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847B78" w14:textId="37CDCED2" w:rsidR="005000AA" w:rsidRPr="002341AF" w:rsidRDefault="005000AA" w:rsidP="005000AA">
      <w:pPr>
        <w:spacing w:before="240" w:after="240" w:line="360" w:lineRule="auto"/>
        <w:jc w:val="both"/>
        <w:rPr>
          <w:rFonts w:ascii="Palatino Linotype" w:hAnsi="Palatino Linotype"/>
          <w:sz w:val="24"/>
          <w:szCs w:val="24"/>
        </w:rPr>
      </w:pPr>
      <w:r w:rsidRPr="002341AF">
        <w:rPr>
          <w:rFonts w:ascii="Palatino Linotype" w:hAnsi="Palatino Linotype"/>
          <w:sz w:val="24"/>
          <w:szCs w:val="24"/>
        </w:rPr>
        <w:t xml:space="preserve">Resolución del Pleno del Instituto de Transparencia, Acceso a la Información Pública y Protección de Datos Personales del Estado de México y Municipios, con domicilio en Metepec, Estado de México; de </w:t>
      </w:r>
      <w:r w:rsidR="002610D3" w:rsidRPr="002341AF">
        <w:rPr>
          <w:rFonts w:ascii="Palatino Linotype" w:hAnsi="Palatino Linotype"/>
          <w:sz w:val="24"/>
          <w:szCs w:val="24"/>
        </w:rPr>
        <w:t xml:space="preserve">cinco </w:t>
      </w:r>
      <w:r w:rsidRPr="002341AF">
        <w:rPr>
          <w:rFonts w:ascii="Palatino Linotype" w:hAnsi="Palatino Linotype"/>
          <w:sz w:val="24"/>
          <w:szCs w:val="24"/>
        </w:rPr>
        <w:t>(</w:t>
      </w:r>
      <w:r w:rsidR="002610D3" w:rsidRPr="002341AF">
        <w:rPr>
          <w:rFonts w:ascii="Palatino Linotype" w:hAnsi="Palatino Linotype"/>
          <w:sz w:val="24"/>
          <w:szCs w:val="24"/>
        </w:rPr>
        <w:t>05</w:t>
      </w:r>
      <w:r w:rsidR="00BE6E79" w:rsidRPr="002341AF">
        <w:rPr>
          <w:rFonts w:ascii="Palatino Linotype" w:hAnsi="Palatino Linotype"/>
          <w:sz w:val="24"/>
          <w:szCs w:val="24"/>
        </w:rPr>
        <w:t xml:space="preserve">) de </w:t>
      </w:r>
      <w:r w:rsidR="002610D3" w:rsidRPr="002341AF">
        <w:rPr>
          <w:rFonts w:ascii="Palatino Linotype" w:hAnsi="Palatino Linotype"/>
          <w:sz w:val="24"/>
          <w:szCs w:val="24"/>
        </w:rPr>
        <w:t xml:space="preserve">julio </w:t>
      </w:r>
      <w:r w:rsidRPr="002341AF">
        <w:rPr>
          <w:rFonts w:ascii="Palatino Linotype" w:hAnsi="Palatino Linotype"/>
          <w:sz w:val="24"/>
          <w:szCs w:val="24"/>
        </w:rPr>
        <w:t>de dos mil veinti</w:t>
      </w:r>
      <w:r w:rsidR="009F3E8C" w:rsidRPr="002341AF">
        <w:rPr>
          <w:rFonts w:ascii="Palatino Linotype" w:hAnsi="Palatino Linotype"/>
          <w:sz w:val="24"/>
          <w:szCs w:val="24"/>
        </w:rPr>
        <w:t>trés.</w:t>
      </w:r>
    </w:p>
    <w:p w14:paraId="2153F906" w14:textId="77777777" w:rsidR="00174363" w:rsidRPr="002341AF" w:rsidRDefault="005000AA" w:rsidP="005000AA">
      <w:pPr>
        <w:pStyle w:val="Encabezado"/>
        <w:spacing w:line="360" w:lineRule="auto"/>
        <w:jc w:val="both"/>
        <w:rPr>
          <w:rFonts w:ascii="Palatino Linotype" w:hAnsi="Palatino Linotype"/>
          <w:sz w:val="24"/>
          <w:szCs w:val="24"/>
        </w:rPr>
      </w:pPr>
      <w:r w:rsidRPr="002341AF">
        <w:rPr>
          <w:rFonts w:ascii="Palatino Linotype" w:hAnsi="Palatino Linotype"/>
          <w:b/>
          <w:sz w:val="24"/>
          <w:szCs w:val="24"/>
        </w:rPr>
        <w:t>VISTO</w:t>
      </w:r>
      <w:r w:rsidR="00F714A9" w:rsidRPr="002341AF">
        <w:rPr>
          <w:rFonts w:ascii="Palatino Linotype" w:hAnsi="Palatino Linotype"/>
          <w:b/>
          <w:sz w:val="24"/>
          <w:szCs w:val="24"/>
        </w:rPr>
        <w:t>S</w:t>
      </w:r>
      <w:r w:rsidRPr="002341AF">
        <w:rPr>
          <w:rFonts w:ascii="Palatino Linotype" w:hAnsi="Palatino Linotype"/>
          <w:b/>
          <w:sz w:val="24"/>
          <w:szCs w:val="24"/>
        </w:rPr>
        <w:t xml:space="preserve"> </w:t>
      </w:r>
      <w:r w:rsidR="00F714A9" w:rsidRPr="002341AF">
        <w:rPr>
          <w:rFonts w:ascii="Palatino Linotype" w:hAnsi="Palatino Linotype"/>
          <w:b/>
          <w:sz w:val="24"/>
          <w:szCs w:val="24"/>
        </w:rPr>
        <w:t>los</w:t>
      </w:r>
      <w:r w:rsidRPr="002341AF">
        <w:rPr>
          <w:rFonts w:ascii="Palatino Linotype" w:hAnsi="Palatino Linotype"/>
          <w:sz w:val="24"/>
          <w:szCs w:val="24"/>
        </w:rPr>
        <w:t xml:space="preserve"> expediente</w:t>
      </w:r>
      <w:r w:rsidR="00F714A9" w:rsidRPr="002341AF">
        <w:rPr>
          <w:rFonts w:ascii="Palatino Linotype" w:hAnsi="Palatino Linotype"/>
          <w:sz w:val="24"/>
          <w:szCs w:val="24"/>
        </w:rPr>
        <w:t>s</w:t>
      </w:r>
      <w:r w:rsidRPr="002341AF">
        <w:rPr>
          <w:rFonts w:ascii="Palatino Linotype" w:hAnsi="Palatino Linotype"/>
          <w:sz w:val="24"/>
          <w:szCs w:val="24"/>
        </w:rPr>
        <w:t xml:space="preserve"> electrónico</w:t>
      </w:r>
      <w:r w:rsidR="00F714A9" w:rsidRPr="002341AF">
        <w:rPr>
          <w:rFonts w:ascii="Palatino Linotype" w:hAnsi="Palatino Linotype"/>
          <w:sz w:val="24"/>
          <w:szCs w:val="24"/>
        </w:rPr>
        <w:t>s</w:t>
      </w:r>
      <w:r w:rsidRPr="002341AF">
        <w:rPr>
          <w:rFonts w:ascii="Palatino Linotype" w:hAnsi="Palatino Linotype"/>
          <w:sz w:val="24"/>
          <w:szCs w:val="24"/>
        </w:rPr>
        <w:t xml:space="preserve"> formado</w:t>
      </w:r>
      <w:r w:rsidR="00F714A9" w:rsidRPr="002341AF">
        <w:rPr>
          <w:rFonts w:ascii="Palatino Linotype" w:hAnsi="Palatino Linotype"/>
          <w:sz w:val="24"/>
          <w:szCs w:val="24"/>
        </w:rPr>
        <w:t>s</w:t>
      </w:r>
      <w:r w:rsidRPr="002341AF">
        <w:rPr>
          <w:rFonts w:ascii="Palatino Linotype" w:hAnsi="Palatino Linotype"/>
          <w:sz w:val="24"/>
          <w:szCs w:val="24"/>
        </w:rPr>
        <w:t xml:space="preserve"> con motivo de</w:t>
      </w:r>
      <w:r w:rsidR="00F714A9" w:rsidRPr="002341AF">
        <w:rPr>
          <w:rFonts w:ascii="Palatino Linotype" w:hAnsi="Palatino Linotype"/>
          <w:sz w:val="24"/>
          <w:szCs w:val="24"/>
        </w:rPr>
        <w:t xml:space="preserve"> </w:t>
      </w:r>
      <w:r w:rsidRPr="002341AF">
        <w:rPr>
          <w:rFonts w:ascii="Palatino Linotype" w:hAnsi="Palatino Linotype"/>
          <w:sz w:val="24"/>
          <w:szCs w:val="24"/>
        </w:rPr>
        <w:t>l</w:t>
      </w:r>
      <w:r w:rsidR="00F714A9" w:rsidRPr="002341AF">
        <w:rPr>
          <w:rFonts w:ascii="Palatino Linotype" w:hAnsi="Palatino Linotype"/>
          <w:sz w:val="24"/>
          <w:szCs w:val="24"/>
        </w:rPr>
        <w:t>os</w:t>
      </w:r>
      <w:r w:rsidR="003374B1" w:rsidRPr="002341AF">
        <w:rPr>
          <w:rFonts w:ascii="Palatino Linotype" w:hAnsi="Palatino Linotype"/>
          <w:sz w:val="24"/>
          <w:szCs w:val="24"/>
        </w:rPr>
        <w:t xml:space="preserve"> recurso de revisión </w:t>
      </w:r>
    </w:p>
    <w:p w14:paraId="4C818016" w14:textId="191595DE" w:rsidR="005000AA" w:rsidRPr="002341AF" w:rsidRDefault="00174363" w:rsidP="005000AA">
      <w:pPr>
        <w:pStyle w:val="Encabezado"/>
        <w:spacing w:line="360" w:lineRule="auto"/>
        <w:jc w:val="both"/>
        <w:rPr>
          <w:rFonts w:ascii="Palatino Linotype" w:hAnsi="Palatino Linotype"/>
          <w:sz w:val="24"/>
          <w:szCs w:val="24"/>
        </w:rPr>
      </w:pPr>
      <w:r w:rsidRPr="002341AF">
        <w:rPr>
          <w:rFonts w:ascii="Palatino Linotype" w:hAnsi="Palatino Linotype"/>
          <w:b/>
          <w:sz w:val="22"/>
          <w:szCs w:val="22"/>
        </w:rPr>
        <w:t>0</w:t>
      </w:r>
      <w:r w:rsidR="002610D3" w:rsidRPr="002341AF">
        <w:rPr>
          <w:rFonts w:ascii="Palatino Linotype" w:hAnsi="Palatino Linotype"/>
          <w:b/>
          <w:sz w:val="22"/>
          <w:szCs w:val="22"/>
        </w:rPr>
        <w:t>2838</w:t>
      </w:r>
      <w:r w:rsidRPr="002341AF">
        <w:rPr>
          <w:rFonts w:ascii="Palatino Linotype" w:hAnsi="Palatino Linotype"/>
          <w:b/>
          <w:sz w:val="22"/>
          <w:szCs w:val="22"/>
        </w:rPr>
        <w:t>/INFOEM/IP/RR/202</w:t>
      </w:r>
      <w:r w:rsidR="002610D3" w:rsidRPr="002341AF">
        <w:rPr>
          <w:rFonts w:ascii="Palatino Linotype" w:hAnsi="Palatino Linotype"/>
          <w:b/>
          <w:sz w:val="22"/>
          <w:szCs w:val="22"/>
        </w:rPr>
        <w:t>3</w:t>
      </w:r>
      <w:r w:rsidRPr="002341AF">
        <w:rPr>
          <w:rFonts w:ascii="Palatino Linotype" w:hAnsi="Palatino Linotype"/>
          <w:b/>
          <w:sz w:val="22"/>
          <w:szCs w:val="22"/>
        </w:rPr>
        <w:t>, 0</w:t>
      </w:r>
      <w:r w:rsidR="002610D3" w:rsidRPr="002341AF">
        <w:rPr>
          <w:rFonts w:ascii="Palatino Linotype" w:hAnsi="Palatino Linotype"/>
          <w:b/>
          <w:sz w:val="22"/>
          <w:szCs w:val="22"/>
        </w:rPr>
        <w:t>2839</w:t>
      </w:r>
      <w:r w:rsidRPr="002341AF">
        <w:rPr>
          <w:rFonts w:ascii="Palatino Linotype" w:hAnsi="Palatino Linotype"/>
          <w:b/>
          <w:sz w:val="22"/>
          <w:szCs w:val="22"/>
        </w:rPr>
        <w:t>/INFOEM/IP/RR/202</w:t>
      </w:r>
      <w:r w:rsidR="002610D3" w:rsidRPr="002341AF">
        <w:rPr>
          <w:rFonts w:ascii="Palatino Linotype" w:hAnsi="Palatino Linotype"/>
          <w:b/>
          <w:sz w:val="22"/>
          <w:szCs w:val="22"/>
        </w:rPr>
        <w:t>3</w:t>
      </w:r>
      <w:r w:rsidRPr="002341AF">
        <w:rPr>
          <w:rFonts w:ascii="Palatino Linotype" w:hAnsi="Palatino Linotype"/>
          <w:b/>
          <w:sz w:val="22"/>
          <w:szCs w:val="22"/>
        </w:rPr>
        <w:t>, 0</w:t>
      </w:r>
      <w:r w:rsidR="002610D3" w:rsidRPr="002341AF">
        <w:rPr>
          <w:rFonts w:ascii="Palatino Linotype" w:hAnsi="Palatino Linotype"/>
          <w:b/>
          <w:sz w:val="22"/>
          <w:szCs w:val="22"/>
        </w:rPr>
        <w:t>2840</w:t>
      </w:r>
      <w:r w:rsidRPr="002341AF">
        <w:rPr>
          <w:rFonts w:ascii="Palatino Linotype" w:hAnsi="Palatino Linotype"/>
          <w:b/>
          <w:sz w:val="22"/>
          <w:szCs w:val="22"/>
        </w:rPr>
        <w:t>/INFOEM/IP/RR/202</w:t>
      </w:r>
      <w:r w:rsidR="002610D3" w:rsidRPr="002341AF">
        <w:rPr>
          <w:rFonts w:ascii="Palatino Linotype" w:hAnsi="Palatino Linotype"/>
          <w:b/>
          <w:sz w:val="22"/>
          <w:szCs w:val="22"/>
        </w:rPr>
        <w:t>3</w:t>
      </w:r>
      <w:r w:rsidRPr="002341AF">
        <w:rPr>
          <w:rFonts w:ascii="Palatino Linotype" w:hAnsi="Palatino Linotype"/>
          <w:b/>
          <w:sz w:val="22"/>
          <w:szCs w:val="22"/>
        </w:rPr>
        <w:t>, 0</w:t>
      </w:r>
      <w:r w:rsidR="002610D3" w:rsidRPr="002341AF">
        <w:rPr>
          <w:rFonts w:ascii="Palatino Linotype" w:hAnsi="Palatino Linotype"/>
          <w:b/>
          <w:sz w:val="22"/>
          <w:szCs w:val="22"/>
        </w:rPr>
        <w:t>2841</w:t>
      </w:r>
      <w:r w:rsidRPr="002341AF">
        <w:rPr>
          <w:rFonts w:ascii="Palatino Linotype" w:hAnsi="Palatino Linotype"/>
          <w:b/>
          <w:sz w:val="22"/>
          <w:szCs w:val="22"/>
        </w:rPr>
        <w:t>/INFOEM/IP/RR/202</w:t>
      </w:r>
      <w:r w:rsidR="002610D3" w:rsidRPr="002341AF">
        <w:rPr>
          <w:rFonts w:ascii="Palatino Linotype" w:hAnsi="Palatino Linotype"/>
          <w:b/>
          <w:sz w:val="22"/>
          <w:szCs w:val="22"/>
        </w:rPr>
        <w:t>3 y</w:t>
      </w:r>
      <w:r w:rsidRPr="002341AF">
        <w:rPr>
          <w:rFonts w:ascii="Palatino Linotype" w:hAnsi="Palatino Linotype"/>
          <w:b/>
          <w:sz w:val="22"/>
          <w:szCs w:val="22"/>
        </w:rPr>
        <w:t xml:space="preserve"> 0</w:t>
      </w:r>
      <w:r w:rsidR="002610D3" w:rsidRPr="002341AF">
        <w:rPr>
          <w:rFonts w:ascii="Palatino Linotype" w:hAnsi="Palatino Linotype"/>
          <w:b/>
          <w:sz w:val="22"/>
          <w:szCs w:val="22"/>
        </w:rPr>
        <w:t>2842</w:t>
      </w:r>
      <w:r w:rsidRPr="002341AF">
        <w:rPr>
          <w:rFonts w:ascii="Palatino Linotype" w:hAnsi="Palatino Linotype"/>
          <w:b/>
          <w:sz w:val="22"/>
          <w:szCs w:val="22"/>
        </w:rPr>
        <w:t>/INFOEM/IP/RR/202</w:t>
      </w:r>
      <w:r w:rsidR="002610D3" w:rsidRPr="002341AF">
        <w:rPr>
          <w:rFonts w:ascii="Palatino Linotype" w:hAnsi="Palatino Linotype"/>
          <w:b/>
          <w:sz w:val="22"/>
          <w:szCs w:val="22"/>
        </w:rPr>
        <w:t>3</w:t>
      </w:r>
      <w:r w:rsidR="00BA2F78" w:rsidRPr="002341AF">
        <w:rPr>
          <w:rFonts w:ascii="Palatino Linotype" w:hAnsi="Palatino Linotype"/>
          <w:b/>
          <w:sz w:val="22"/>
          <w:szCs w:val="22"/>
        </w:rPr>
        <w:t xml:space="preserve">, </w:t>
      </w:r>
      <w:r w:rsidR="005000AA" w:rsidRPr="002341AF">
        <w:rPr>
          <w:rFonts w:ascii="Palatino Linotype" w:hAnsi="Palatino Linotype"/>
          <w:sz w:val="24"/>
          <w:szCs w:val="24"/>
        </w:rPr>
        <w:t>por</w:t>
      </w:r>
      <w:r w:rsidR="00396CF5" w:rsidRPr="002341AF">
        <w:rPr>
          <w:rFonts w:ascii="Palatino Linotype" w:hAnsi="Palatino Linotype"/>
          <w:sz w:val="24"/>
          <w:szCs w:val="24"/>
        </w:rPr>
        <w:t xml:space="preserve"> </w:t>
      </w:r>
      <w:r w:rsidR="00BA2F78" w:rsidRPr="002341AF">
        <w:rPr>
          <w:rFonts w:ascii="Palatino Linotype" w:hAnsi="Palatino Linotype"/>
          <w:sz w:val="24"/>
          <w:szCs w:val="24"/>
        </w:rPr>
        <w:t>u</w:t>
      </w:r>
      <w:r w:rsidR="00396CF5" w:rsidRPr="002341AF">
        <w:rPr>
          <w:rFonts w:ascii="Palatino Linotype" w:eastAsia="Calibri" w:hAnsi="Palatino Linotype" w:cs="Tahoma"/>
          <w:b/>
          <w:bCs/>
          <w:sz w:val="24"/>
          <w:szCs w:val="24"/>
          <w:lang w:eastAsia="en-US"/>
        </w:rPr>
        <w:t>n usuario del Sistema de Acceso a la Información Mexiquense</w:t>
      </w:r>
      <w:r w:rsidR="00BA2F78" w:rsidRPr="002341AF">
        <w:rPr>
          <w:rFonts w:ascii="Palatino Linotype" w:eastAsia="Calibri" w:hAnsi="Palatino Linotype" w:cs="Tahoma"/>
          <w:b/>
          <w:bCs/>
          <w:sz w:val="24"/>
          <w:szCs w:val="24"/>
          <w:lang w:eastAsia="en-US"/>
        </w:rPr>
        <w:t>,</w:t>
      </w:r>
      <w:r w:rsidR="00396CF5" w:rsidRPr="002341AF">
        <w:rPr>
          <w:rFonts w:ascii="Palatino Linotype" w:eastAsia="Calibri" w:hAnsi="Palatino Linotype" w:cs="Tahoma"/>
          <w:b/>
          <w:bCs/>
          <w:sz w:val="24"/>
          <w:szCs w:val="24"/>
          <w:lang w:eastAsia="en-US"/>
        </w:rPr>
        <w:t xml:space="preserve"> </w:t>
      </w:r>
      <w:r w:rsidR="00BA2F78" w:rsidRPr="002341AF">
        <w:rPr>
          <w:rFonts w:ascii="Palatino Linotype" w:eastAsia="Calibri" w:hAnsi="Palatino Linotype" w:cs="Tahoma"/>
          <w:b/>
          <w:bCs/>
          <w:sz w:val="24"/>
          <w:szCs w:val="24"/>
          <w:lang w:eastAsia="en-US"/>
        </w:rPr>
        <w:t>quien</w:t>
      </w:r>
      <w:r w:rsidR="00396CF5" w:rsidRPr="002341AF">
        <w:rPr>
          <w:rFonts w:ascii="Palatino Linotype" w:eastAsia="Calibri" w:hAnsi="Palatino Linotype" w:cs="Tahoma"/>
          <w:b/>
          <w:bCs/>
          <w:sz w:val="24"/>
          <w:szCs w:val="24"/>
          <w:lang w:eastAsia="en-US"/>
        </w:rPr>
        <w:t xml:space="preserve"> no proporcionó su nombre para ser identificado</w:t>
      </w:r>
      <w:r w:rsidR="00CA3902" w:rsidRPr="002341AF">
        <w:rPr>
          <w:rFonts w:ascii="Palatino Linotype" w:eastAsia="Calibri" w:hAnsi="Palatino Linotype" w:cs="Tahoma"/>
          <w:b/>
          <w:sz w:val="24"/>
          <w:szCs w:val="22"/>
          <w:lang w:eastAsia="en-US"/>
        </w:rPr>
        <w:t>,</w:t>
      </w:r>
      <w:r w:rsidR="005D09C1" w:rsidRPr="002341AF">
        <w:rPr>
          <w:rFonts w:ascii="Palatino Linotype" w:hAnsi="Palatino Linotype"/>
          <w:sz w:val="24"/>
          <w:szCs w:val="24"/>
        </w:rPr>
        <w:t xml:space="preserve"> en su calidad de </w:t>
      </w:r>
      <w:r w:rsidR="005000AA" w:rsidRPr="002341AF">
        <w:rPr>
          <w:rFonts w:ascii="Palatino Linotype" w:hAnsi="Palatino Linotype"/>
          <w:b/>
          <w:sz w:val="24"/>
          <w:szCs w:val="24"/>
        </w:rPr>
        <w:t>RECURRENTE</w:t>
      </w:r>
      <w:r w:rsidR="005000AA" w:rsidRPr="002341AF">
        <w:rPr>
          <w:rFonts w:ascii="Palatino Linotype" w:hAnsi="Palatino Linotype" w:cs="Arial"/>
          <w:sz w:val="24"/>
          <w:szCs w:val="24"/>
        </w:rPr>
        <w:t>, en contra de la respuesta del</w:t>
      </w:r>
      <w:r w:rsidR="002610D3" w:rsidRPr="002341AF">
        <w:rPr>
          <w:rFonts w:ascii="Palatino Linotype" w:hAnsi="Palatino Linotype" w:cs="Arial"/>
          <w:sz w:val="24"/>
          <w:szCs w:val="24"/>
        </w:rPr>
        <w:t xml:space="preserve"> </w:t>
      </w:r>
      <w:r w:rsidR="009A49EB" w:rsidRPr="002341AF">
        <w:rPr>
          <w:rFonts w:ascii="Palatino Linotype" w:hAnsi="Palatino Linotype" w:cs="Arial"/>
          <w:b/>
          <w:bCs/>
          <w:sz w:val="24"/>
          <w:szCs w:val="24"/>
        </w:rPr>
        <w:t>Consejo</w:t>
      </w:r>
      <w:r w:rsidR="002610D3" w:rsidRPr="002341AF">
        <w:rPr>
          <w:rFonts w:ascii="Palatino Linotype" w:hAnsi="Palatino Linotype" w:cs="Arial"/>
          <w:b/>
          <w:bCs/>
          <w:sz w:val="24"/>
          <w:szCs w:val="24"/>
        </w:rPr>
        <w:t xml:space="preserve"> Mexiquense de Ciencia y Tecnología</w:t>
      </w:r>
      <w:r w:rsidR="005000AA" w:rsidRPr="002341AF">
        <w:rPr>
          <w:rFonts w:ascii="Palatino Linotype" w:hAnsi="Palatino Linotype" w:cs="Arial"/>
          <w:sz w:val="24"/>
          <w:szCs w:val="24"/>
        </w:rPr>
        <w:t>,</w:t>
      </w:r>
      <w:r w:rsidR="005000AA" w:rsidRPr="002341AF">
        <w:rPr>
          <w:rFonts w:ascii="Palatino Linotype" w:hAnsi="Palatino Linotype"/>
          <w:b/>
          <w:sz w:val="24"/>
          <w:szCs w:val="24"/>
        </w:rPr>
        <w:t xml:space="preserve"> </w:t>
      </w:r>
      <w:r w:rsidR="005000AA" w:rsidRPr="002341AF">
        <w:rPr>
          <w:rFonts w:ascii="Palatino Linotype" w:hAnsi="Palatino Linotype"/>
          <w:sz w:val="24"/>
          <w:szCs w:val="24"/>
        </w:rPr>
        <w:t>en lo sucesivo el</w:t>
      </w:r>
      <w:r w:rsidR="005000AA" w:rsidRPr="002341AF">
        <w:rPr>
          <w:rFonts w:ascii="Palatino Linotype" w:hAnsi="Palatino Linotype"/>
          <w:b/>
          <w:sz w:val="24"/>
          <w:szCs w:val="24"/>
        </w:rPr>
        <w:t xml:space="preserve"> SUJETO OBLIGADO, </w:t>
      </w:r>
      <w:r w:rsidR="005000AA" w:rsidRPr="002341AF">
        <w:rPr>
          <w:rFonts w:ascii="Palatino Linotype" w:hAnsi="Palatino Linotype"/>
          <w:sz w:val="24"/>
          <w:szCs w:val="24"/>
        </w:rPr>
        <w:t>se procede a dictar la presente resolución, con base en los siguientes:</w:t>
      </w:r>
    </w:p>
    <w:p w14:paraId="1F1BAF80" w14:textId="77777777" w:rsidR="005000AA" w:rsidRPr="002341AF" w:rsidRDefault="005000AA" w:rsidP="005000AA">
      <w:pPr>
        <w:pStyle w:val="Ttulo1"/>
        <w:jc w:val="center"/>
        <w:rPr>
          <w:rFonts w:ascii="Palatino Linotype" w:hAnsi="Palatino Linotype"/>
          <w:b/>
          <w:color w:val="auto"/>
          <w:sz w:val="24"/>
          <w:szCs w:val="24"/>
        </w:rPr>
      </w:pPr>
      <w:bookmarkStart w:id="0" w:name="_Toc87549671"/>
      <w:r w:rsidRPr="002341AF">
        <w:rPr>
          <w:rFonts w:ascii="Palatino Linotype" w:hAnsi="Palatino Linotype"/>
          <w:b/>
          <w:color w:val="auto"/>
          <w:sz w:val="24"/>
          <w:szCs w:val="24"/>
        </w:rPr>
        <w:t>ANTECEDENTES</w:t>
      </w:r>
      <w:bookmarkEnd w:id="0"/>
    </w:p>
    <w:p w14:paraId="04287D5F" w14:textId="77777777" w:rsidR="005000AA" w:rsidRPr="002341AF" w:rsidRDefault="005000AA" w:rsidP="005000AA">
      <w:pPr>
        <w:rPr>
          <w:rFonts w:ascii="Palatino Linotype" w:hAnsi="Palatino Linotype"/>
          <w:sz w:val="24"/>
          <w:szCs w:val="24"/>
          <w:lang w:eastAsia="en-US"/>
        </w:rPr>
      </w:pPr>
    </w:p>
    <w:p w14:paraId="5ED33D9B" w14:textId="6A2003B9" w:rsidR="00A87524" w:rsidRPr="002341AF" w:rsidRDefault="00A36BE2" w:rsidP="00E04AA7">
      <w:pPr>
        <w:pStyle w:val="Prrafodelista"/>
        <w:numPr>
          <w:ilvl w:val="0"/>
          <w:numId w:val="3"/>
        </w:numPr>
        <w:spacing w:line="360" w:lineRule="auto"/>
        <w:ind w:left="0" w:firstLine="0"/>
        <w:jc w:val="both"/>
        <w:rPr>
          <w:rFonts w:ascii="Palatino Linotype" w:hAnsi="Palatino Linotype" w:cs="Arial"/>
          <w:sz w:val="24"/>
          <w:lang w:val="es-ES"/>
        </w:rPr>
      </w:pPr>
      <w:r w:rsidRPr="002341AF">
        <w:rPr>
          <w:rFonts w:ascii="Palatino Linotype" w:eastAsia="Calibri" w:hAnsi="Palatino Linotype" w:cs="Arial"/>
          <w:sz w:val="24"/>
          <w:lang w:val="es-ES"/>
        </w:rPr>
        <w:t xml:space="preserve">El </w:t>
      </w:r>
      <w:r w:rsidR="002610D3" w:rsidRPr="002341AF">
        <w:rPr>
          <w:rFonts w:ascii="Palatino Linotype" w:eastAsia="Calibri" w:hAnsi="Palatino Linotype" w:cs="Arial"/>
          <w:sz w:val="24"/>
          <w:lang w:val="es-ES"/>
        </w:rPr>
        <w:t>tres (03)</w:t>
      </w:r>
      <w:r w:rsidR="009F3E8C" w:rsidRPr="002341AF">
        <w:rPr>
          <w:rFonts w:ascii="Palatino Linotype" w:eastAsia="Calibri" w:hAnsi="Palatino Linotype" w:cs="Arial"/>
          <w:sz w:val="24"/>
          <w:lang w:val="es-ES"/>
        </w:rPr>
        <w:t xml:space="preserve"> de </w:t>
      </w:r>
      <w:r w:rsidR="002610D3" w:rsidRPr="002341AF">
        <w:rPr>
          <w:rFonts w:ascii="Palatino Linotype" w:eastAsia="Calibri" w:hAnsi="Palatino Linotype" w:cs="Arial"/>
          <w:sz w:val="24"/>
          <w:lang w:val="es-ES"/>
        </w:rPr>
        <w:t>mayo</w:t>
      </w:r>
      <w:r w:rsidR="009F3E8C" w:rsidRPr="002341AF">
        <w:rPr>
          <w:rFonts w:ascii="Palatino Linotype" w:eastAsia="Calibri" w:hAnsi="Palatino Linotype" w:cs="Arial"/>
          <w:sz w:val="24"/>
          <w:lang w:val="es-ES"/>
        </w:rPr>
        <w:t xml:space="preserve"> </w:t>
      </w:r>
      <w:r w:rsidR="005000AA" w:rsidRPr="002341AF">
        <w:rPr>
          <w:rFonts w:ascii="Palatino Linotype" w:eastAsia="Calibri" w:hAnsi="Palatino Linotype"/>
          <w:sz w:val="24"/>
          <w:lang w:val="es-ES"/>
        </w:rPr>
        <w:t>de dos mil veinti</w:t>
      </w:r>
      <w:r w:rsidR="002610D3" w:rsidRPr="002341AF">
        <w:rPr>
          <w:rFonts w:ascii="Palatino Linotype" w:eastAsia="Calibri" w:hAnsi="Palatino Linotype"/>
          <w:sz w:val="24"/>
          <w:lang w:val="es-ES"/>
        </w:rPr>
        <w:t>trés</w:t>
      </w:r>
      <w:r w:rsidR="005000AA" w:rsidRPr="002341AF">
        <w:rPr>
          <w:rFonts w:ascii="Palatino Linotype" w:eastAsia="Calibri" w:hAnsi="Palatino Linotype" w:cs="Arial"/>
          <w:sz w:val="24"/>
          <w:lang w:val="es-ES"/>
        </w:rPr>
        <w:t>,</w:t>
      </w:r>
      <w:r w:rsidR="002610D3" w:rsidRPr="002341AF">
        <w:rPr>
          <w:rFonts w:ascii="Palatino Linotype" w:eastAsia="Calibri" w:hAnsi="Palatino Linotype"/>
          <w:sz w:val="24"/>
          <w:lang w:val="es-ES"/>
        </w:rPr>
        <w:t xml:space="preserve"> el</w:t>
      </w:r>
      <w:r w:rsidR="005000AA" w:rsidRPr="002341AF">
        <w:rPr>
          <w:rFonts w:ascii="Palatino Linotype" w:eastAsia="Calibri" w:hAnsi="Palatino Linotype"/>
          <w:b/>
          <w:sz w:val="24"/>
          <w:lang w:val="es-ES"/>
        </w:rPr>
        <w:t xml:space="preserve"> RECURRENTE </w:t>
      </w:r>
      <w:r w:rsidR="005000AA" w:rsidRPr="002341AF">
        <w:rPr>
          <w:rFonts w:ascii="Palatino Linotype" w:eastAsia="Calibri" w:hAnsi="Palatino Linotype"/>
          <w:bCs/>
          <w:sz w:val="24"/>
          <w:lang w:val="es-ES"/>
        </w:rPr>
        <w:t>presentó</w:t>
      </w:r>
      <w:r w:rsidR="002610D3" w:rsidRPr="002341AF">
        <w:rPr>
          <w:rFonts w:ascii="Palatino Linotype" w:hAnsi="Palatino Linotype"/>
          <w:b/>
          <w:sz w:val="24"/>
          <w:lang w:val="es-ES"/>
        </w:rPr>
        <w:t xml:space="preserve"> </w:t>
      </w:r>
      <w:r w:rsidR="005000AA" w:rsidRPr="002341AF">
        <w:rPr>
          <w:rFonts w:ascii="Palatino Linotype" w:eastAsia="Calibri" w:hAnsi="Palatino Linotype" w:cs="Arial"/>
          <w:sz w:val="24"/>
          <w:lang w:val="es-ES"/>
        </w:rPr>
        <w:t xml:space="preserve">ante el </w:t>
      </w:r>
      <w:r w:rsidR="005000AA" w:rsidRPr="002341AF">
        <w:rPr>
          <w:rFonts w:ascii="Palatino Linotype" w:eastAsia="Calibri" w:hAnsi="Palatino Linotype" w:cs="Arial"/>
          <w:b/>
          <w:sz w:val="24"/>
          <w:lang w:val="es-ES"/>
        </w:rPr>
        <w:t>SUJETO OBLIGADO</w:t>
      </w:r>
      <w:r w:rsidR="00BA2F78" w:rsidRPr="002341AF">
        <w:rPr>
          <w:rFonts w:ascii="Palatino Linotype" w:eastAsia="Calibri" w:hAnsi="Palatino Linotype" w:cs="Arial"/>
          <w:b/>
          <w:sz w:val="24"/>
          <w:lang w:val="es-ES"/>
        </w:rPr>
        <w:t>,</w:t>
      </w:r>
      <w:r w:rsidR="005000AA" w:rsidRPr="002341AF">
        <w:rPr>
          <w:rFonts w:ascii="Palatino Linotype" w:eastAsia="Calibri" w:hAnsi="Palatino Linotype" w:cs="Arial"/>
          <w:sz w:val="24"/>
        </w:rPr>
        <w:t xml:space="preserve"> vía </w:t>
      </w:r>
      <w:r w:rsidR="005000AA" w:rsidRPr="002341AF">
        <w:rPr>
          <w:rFonts w:ascii="Palatino Linotype" w:eastAsia="Calibri" w:hAnsi="Palatino Linotype" w:cs="Arial"/>
          <w:sz w:val="24"/>
          <w:lang w:val="es-ES"/>
        </w:rPr>
        <w:t>Sistema de Acceso a la Información Mexiquense (</w:t>
      </w:r>
      <w:r w:rsidR="005000AA" w:rsidRPr="002341AF">
        <w:rPr>
          <w:rFonts w:ascii="Palatino Linotype" w:eastAsia="Calibri" w:hAnsi="Palatino Linotype" w:cs="Arial"/>
          <w:b/>
          <w:sz w:val="24"/>
          <w:lang w:val="es-ES"/>
        </w:rPr>
        <w:t>SAIMEX)</w:t>
      </w:r>
      <w:r w:rsidR="005000AA" w:rsidRPr="002341AF">
        <w:rPr>
          <w:rFonts w:ascii="Palatino Linotype" w:eastAsia="Calibri" w:hAnsi="Palatino Linotype" w:cs="Arial"/>
          <w:sz w:val="24"/>
          <w:lang w:val="es-ES"/>
        </w:rPr>
        <w:t>, la</w:t>
      </w:r>
      <w:r w:rsidR="00A13224" w:rsidRPr="002341AF">
        <w:rPr>
          <w:rFonts w:ascii="Palatino Linotype" w:eastAsia="Calibri" w:hAnsi="Palatino Linotype" w:cs="Arial"/>
          <w:sz w:val="24"/>
          <w:lang w:val="es-ES"/>
        </w:rPr>
        <w:t>s</w:t>
      </w:r>
      <w:r w:rsidR="005000AA" w:rsidRPr="002341AF">
        <w:rPr>
          <w:rFonts w:ascii="Palatino Linotype" w:eastAsia="Calibri" w:hAnsi="Palatino Linotype" w:cs="Arial"/>
          <w:sz w:val="24"/>
          <w:lang w:val="es-ES"/>
        </w:rPr>
        <w:t xml:space="preserve"> solicitud</w:t>
      </w:r>
      <w:r w:rsidR="00A13224" w:rsidRPr="002341AF">
        <w:rPr>
          <w:rFonts w:ascii="Palatino Linotype" w:eastAsia="Calibri" w:hAnsi="Palatino Linotype" w:cs="Arial"/>
          <w:sz w:val="24"/>
          <w:lang w:val="es-ES"/>
        </w:rPr>
        <w:t>es</w:t>
      </w:r>
      <w:r w:rsidR="005000AA" w:rsidRPr="002341AF">
        <w:rPr>
          <w:rFonts w:ascii="Palatino Linotype" w:eastAsia="Calibri" w:hAnsi="Palatino Linotype" w:cs="Arial"/>
          <w:sz w:val="24"/>
          <w:lang w:val="es-ES"/>
        </w:rPr>
        <w:t xml:space="preserve"> de información pública registrada</w:t>
      </w:r>
      <w:r w:rsidR="00A13224" w:rsidRPr="002341AF">
        <w:rPr>
          <w:rFonts w:ascii="Palatino Linotype" w:eastAsia="Calibri" w:hAnsi="Palatino Linotype" w:cs="Arial"/>
          <w:sz w:val="24"/>
          <w:lang w:val="es-ES"/>
        </w:rPr>
        <w:t>s</w:t>
      </w:r>
      <w:r w:rsidR="005000AA" w:rsidRPr="002341AF">
        <w:rPr>
          <w:rFonts w:ascii="Palatino Linotype" w:eastAsia="Calibri" w:hAnsi="Palatino Linotype" w:cs="Arial"/>
          <w:sz w:val="24"/>
          <w:lang w:val="es-ES"/>
        </w:rPr>
        <w:t xml:space="preserve"> con el número </w:t>
      </w:r>
      <w:r w:rsidR="00E04AA7" w:rsidRPr="002341AF">
        <w:rPr>
          <w:rFonts w:ascii="Palatino Linotype" w:hAnsi="Palatino Linotype" w:cs="Arial"/>
          <w:b/>
          <w:sz w:val="24"/>
          <w:lang w:val="es-ES"/>
        </w:rPr>
        <w:t>0</w:t>
      </w:r>
      <w:r w:rsidR="009F3E8C" w:rsidRPr="002341AF">
        <w:rPr>
          <w:rFonts w:ascii="Palatino Linotype" w:hAnsi="Palatino Linotype" w:cs="Arial"/>
          <w:b/>
          <w:sz w:val="24"/>
          <w:lang w:val="es-ES"/>
        </w:rPr>
        <w:t>0</w:t>
      </w:r>
      <w:r w:rsidR="002610D3" w:rsidRPr="002341AF">
        <w:rPr>
          <w:rFonts w:ascii="Palatino Linotype" w:hAnsi="Palatino Linotype" w:cs="Arial"/>
          <w:b/>
          <w:sz w:val="24"/>
          <w:lang w:val="es-ES"/>
        </w:rPr>
        <w:t>008</w:t>
      </w:r>
      <w:r w:rsidR="00E04AA7" w:rsidRPr="002341AF">
        <w:rPr>
          <w:rFonts w:ascii="Palatino Linotype" w:hAnsi="Palatino Linotype" w:cs="Arial"/>
          <w:b/>
          <w:sz w:val="24"/>
          <w:lang w:val="es-ES"/>
        </w:rPr>
        <w:t>/</w:t>
      </w:r>
      <w:proofErr w:type="spellStart"/>
      <w:r w:rsidR="002610D3" w:rsidRPr="002341AF">
        <w:rPr>
          <w:rFonts w:ascii="Palatino Linotype" w:hAnsi="Palatino Linotype" w:cs="Arial"/>
          <w:b/>
          <w:sz w:val="24"/>
          <w:lang w:val="es-ES"/>
        </w:rPr>
        <w:t>COMECyT</w:t>
      </w:r>
      <w:proofErr w:type="spellEnd"/>
      <w:r w:rsidR="00E04AA7" w:rsidRPr="002341AF">
        <w:rPr>
          <w:rFonts w:ascii="Palatino Linotype" w:hAnsi="Palatino Linotype" w:cs="Arial"/>
          <w:b/>
          <w:sz w:val="24"/>
          <w:lang w:val="es-ES"/>
        </w:rPr>
        <w:t>/IP/202</w:t>
      </w:r>
      <w:r w:rsidR="002610D3" w:rsidRPr="002341AF">
        <w:rPr>
          <w:rFonts w:ascii="Palatino Linotype" w:hAnsi="Palatino Linotype" w:cs="Arial"/>
          <w:b/>
          <w:sz w:val="24"/>
          <w:lang w:val="es-ES"/>
        </w:rPr>
        <w:t>3</w:t>
      </w:r>
      <w:r w:rsidR="00E04AA7" w:rsidRPr="002341AF">
        <w:rPr>
          <w:rFonts w:ascii="Palatino Linotype" w:hAnsi="Palatino Linotype" w:cs="Arial"/>
          <w:b/>
          <w:sz w:val="24"/>
          <w:lang w:val="es-ES"/>
        </w:rPr>
        <w:t xml:space="preserve">, </w:t>
      </w:r>
      <w:r w:rsidR="002610D3" w:rsidRPr="002341AF">
        <w:rPr>
          <w:rFonts w:ascii="Palatino Linotype" w:hAnsi="Palatino Linotype" w:cs="Arial"/>
          <w:b/>
          <w:sz w:val="24"/>
          <w:lang w:val="es-ES"/>
        </w:rPr>
        <w:t>0000</w:t>
      </w:r>
      <w:r w:rsidR="00295D6A" w:rsidRPr="002341AF">
        <w:rPr>
          <w:rFonts w:ascii="Palatino Linotype" w:hAnsi="Palatino Linotype" w:cs="Arial"/>
          <w:b/>
          <w:sz w:val="24"/>
          <w:lang w:val="es-ES"/>
        </w:rPr>
        <w:t>9</w:t>
      </w:r>
      <w:r w:rsidR="002610D3" w:rsidRPr="002341AF">
        <w:rPr>
          <w:rFonts w:ascii="Palatino Linotype" w:hAnsi="Palatino Linotype" w:cs="Arial"/>
          <w:b/>
          <w:sz w:val="24"/>
          <w:lang w:val="es-ES"/>
        </w:rPr>
        <w:t>/</w:t>
      </w:r>
      <w:proofErr w:type="spellStart"/>
      <w:r w:rsidR="002610D3" w:rsidRPr="002341AF">
        <w:rPr>
          <w:rFonts w:ascii="Palatino Linotype" w:hAnsi="Palatino Linotype" w:cs="Arial"/>
          <w:b/>
          <w:sz w:val="24"/>
          <w:lang w:val="es-ES"/>
        </w:rPr>
        <w:t>COMECyT</w:t>
      </w:r>
      <w:proofErr w:type="spellEnd"/>
      <w:r w:rsidR="002610D3" w:rsidRPr="002341AF">
        <w:rPr>
          <w:rFonts w:ascii="Palatino Linotype" w:hAnsi="Palatino Linotype" w:cs="Arial"/>
          <w:b/>
          <w:sz w:val="24"/>
          <w:lang w:val="es-ES"/>
        </w:rPr>
        <w:t>/IP/2023</w:t>
      </w:r>
      <w:r w:rsidR="00E04AA7" w:rsidRPr="002341AF">
        <w:rPr>
          <w:rFonts w:ascii="Palatino Linotype" w:hAnsi="Palatino Linotype" w:cs="Arial"/>
          <w:b/>
          <w:sz w:val="24"/>
          <w:lang w:val="es-ES"/>
        </w:rPr>
        <w:t xml:space="preserve">, </w:t>
      </w:r>
      <w:r w:rsidR="002610D3" w:rsidRPr="002341AF">
        <w:rPr>
          <w:rFonts w:ascii="Palatino Linotype" w:hAnsi="Palatino Linotype" w:cs="Arial"/>
          <w:b/>
          <w:sz w:val="24"/>
          <w:lang w:val="es-ES"/>
        </w:rPr>
        <w:t>000</w:t>
      </w:r>
      <w:r w:rsidR="00295D6A" w:rsidRPr="002341AF">
        <w:rPr>
          <w:rFonts w:ascii="Palatino Linotype" w:hAnsi="Palatino Linotype" w:cs="Arial"/>
          <w:b/>
          <w:sz w:val="24"/>
          <w:lang w:val="es-ES"/>
        </w:rPr>
        <w:t>10</w:t>
      </w:r>
      <w:r w:rsidR="002610D3" w:rsidRPr="002341AF">
        <w:rPr>
          <w:rFonts w:ascii="Palatino Linotype" w:hAnsi="Palatino Linotype" w:cs="Arial"/>
          <w:b/>
          <w:sz w:val="24"/>
          <w:lang w:val="es-ES"/>
        </w:rPr>
        <w:t>/</w:t>
      </w:r>
      <w:proofErr w:type="spellStart"/>
      <w:r w:rsidR="002610D3" w:rsidRPr="002341AF">
        <w:rPr>
          <w:rFonts w:ascii="Palatino Linotype" w:hAnsi="Palatino Linotype" w:cs="Arial"/>
          <w:b/>
          <w:sz w:val="24"/>
          <w:lang w:val="es-ES"/>
        </w:rPr>
        <w:t>COMECyT</w:t>
      </w:r>
      <w:proofErr w:type="spellEnd"/>
      <w:r w:rsidR="002610D3" w:rsidRPr="002341AF">
        <w:rPr>
          <w:rFonts w:ascii="Palatino Linotype" w:hAnsi="Palatino Linotype" w:cs="Arial"/>
          <w:b/>
          <w:sz w:val="24"/>
          <w:lang w:val="es-ES"/>
        </w:rPr>
        <w:t>/IP/2023</w:t>
      </w:r>
      <w:r w:rsidR="00E04AA7" w:rsidRPr="002341AF">
        <w:rPr>
          <w:rFonts w:ascii="Palatino Linotype" w:hAnsi="Palatino Linotype" w:cs="Arial"/>
          <w:b/>
          <w:sz w:val="24"/>
          <w:lang w:val="es-ES"/>
        </w:rPr>
        <w:t xml:space="preserve">, </w:t>
      </w:r>
      <w:r w:rsidR="002610D3" w:rsidRPr="002341AF">
        <w:rPr>
          <w:rFonts w:ascii="Palatino Linotype" w:hAnsi="Palatino Linotype" w:cs="Arial"/>
          <w:b/>
          <w:sz w:val="24"/>
          <w:lang w:val="es-ES"/>
        </w:rPr>
        <w:t>000</w:t>
      </w:r>
      <w:r w:rsidR="00295D6A" w:rsidRPr="002341AF">
        <w:rPr>
          <w:rFonts w:ascii="Palatino Linotype" w:hAnsi="Palatino Linotype" w:cs="Arial"/>
          <w:b/>
          <w:sz w:val="24"/>
          <w:lang w:val="es-ES"/>
        </w:rPr>
        <w:t>11</w:t>
      </w:r>
      <w:r w:rsidR="002610D3" w:rsidRPr="002341AF">
        <w:rPr>
          <w:rFonts w:ascii="Palatino Linotype" w:hAnsi="Palatino Linotype" w:cs="Arial"/>
          <w:b/>
          <w:sz w:val="24"/>
          <w:lang w:val="es-ES"/>
        </w:rPr>
        <w:t>/</w:t>
      </w:r>
      <w:proofErr w:type="spellStart"/>
      <w:r w:rsidR="002610D3" w:rsidRPr="002341AF">
        <w:rPr>
          <w:rFonts w:ascii="Palatino Linotype" w:hAnsi="Palatino Linotype" w:cs="Arial"/>
          <w:b/>
          <w:sz w:val="24"/>
          <w:lang w:val="es-ES"/>
        </w:rPr>
        <w:t>COMECyT</w:t>
      </w:r>
      <w:proofErr w:type="spellEnd"/>
      <w:r w:rsidR="002610D3" w:rsidRPr="002341AF">
        <w:rPr>
          <w:rFonts w:ascii="Palatino Linotype" w:hAnsi="Palatino Linotype" w:cs="Arial"/>
          <w:b/>
          <w:sz w:val="24"/>
          <w:lang w:val="es-ES"/>
        </w:rPr>
        <w:t>/IP/2023 y 000</w:t>
      </w:r>
      <w:r w:rsidR="00295D6A" w:rsidRPr="002341AF">
        <w:rPr>
          <w:rFonts w:ascii="Palatino Linotype" w:hAnsi="Palatino Linotype" w:cs="Arial"/>
          <w:b/>
          <w:sz w:val="24"/>
          <w:lang w:val="es-ES"/>
        </w:rPr>
        <w:t>12</w:t>
      </w:r>
      <w:r w:rsidR="002610D3" w:rsidRPr="002341AF">
        <w:rPr>
          <w:rFonts w:ascii="Palatino Linotype" w:hAnsi="Palatino Linotype" w:cs="Arial"/>
          <w:b/>
          <w:sz w:val="24"/>
          <w:lang w:val="es-ES"/>
        </w:rPr>
        <w:t>/</w:t>
      </w:r>
      <w:proofErr w:type="spellStart"/>
      <w:r w:rsidR="002610D3" w:rsidRPr="002341AF">
        <w:rPr>
          <w:rFonts w:ascii="Palatino Linotype" w:hAnsi="Palatino Linotype" w:cs="Arial"/>
          <w:b/>
          <w:sz w:val="24"/>
          <w:lang w:val="es-ES"/>
        </w:rPr>
        <w:t>COMECyT</w:t>
      </w:r>
      <w:proofErr w:type="spellEnd"/>
      <w:r w:rsidR="002610D3" w:rsidRPr="002341AF">
        <w:rPr>
          <w:rFonts w:ascii="Palatino Linotype" w:hAnsi="Palatino Linotype" w:cs="Arial"/>
          <w:b/>
          <w:sz w:val="24"/>
          <w:lang w:val="es-ES"/>
        </w:rPr>
        <w:t>/IP/2023</w:t>
      </w:r>
      <w:r w:rsidR="00BA2F78" w:rsidRPr="002341AF">
        <w:rPr>
          <w:rFonts w:ascii="Palatino Linotype" w:hAnsi="Palatino Linotype" w:cs="Arial"/>
          <w:b/>
          <w:sz w:val="24"/>
          <w:lang w:val="es-ES"/>
        </w:rPr>
        <w:t>,</w:t>
      </w:r>
      <w:r w:rsidR="002610D3" w:rsidRPr="002341AF">
        <w:rPr>
          <w:rFonts w:ascii="Palatino Linotype" w:hAnsi="Palatino Linotype" w:cs="Arial"/>
          <w:b/>
          <w:sz w:val="24"/>
          <w:lang w:val="es-ES"/>
        </w:rPr>
        <w:t xml:space="preserve"> </w:t>
      </w:r>
      <w:r w:rsidR="008A2519" w:rsidRPr="002341AF">
        <w:rPr>
          <w:rFonts w:ascii="Palatino Linotype" w:eastAsia="Calibri" w:hAnsi="Palatino Linotype" w:cs="Arial"/>
          <w:sz w:val="24"/>
          <w:lang w:val="es-ES"/>
        </w:rPr>
        <w:t>mediante las cuales solicitó lo siguiente:</w:t>
      </w:r>
    </w:p>
    <w:p w14:paraId="18CEEBE3" w14:textId="77777777" w:rsidR="00BB3A74" w:rsidRPr="002341AF" w:rsidRDefault="00BB3A74" w:rsidP="008A2519">
      <w:pPr>
        <w:pStyle w:val="Prrafodelista"/>
        <w:spacing w:line="360" w:lineRule="auto"/>
        <w:ind w:left="0"/>
        <w:jc w:val="both"/>
        <w:rPr>
          <w:rFonts w:ascii="Palatino Linotype" w:hAnsi="Palatino Linotype" w:cs="Arial"/>
          <w:sz w:val="24"/>
          <w:lang w:val="es-ES"/>
        </w:rPr>
      </w:pPr>
    </w:p>
    <w:tbl>
      <w:tblPr>
        <w:tblStyle w:val="Tablaconcuadrcula"/>
        <w:tblW w:w="9067" w:type="dxa"/>
        <w:tblLayout w:type="fixed"/>
        <w:tblLook w:val="04A0" w:firstRow="1" w:lastRow="0" w:firstColumn="1" w:lastColumn="0" w:noHBand="0" w:noVBand="1"/>
      </w:tblPr>
      <w:tblGrid>
        <w:gridCol w:w="562"/>
        <w:gridCol w:w="2410"/>
        <w:gridCol w:w="2693"/>
        <w:gridCol w:w="3402"/>
      </w:tblGrid>
      <w:tr w:rsidR="00E04AA7" w:rsidRPr="002341AF" w14:paraId="4425E883" w14:textId="77777777" w:rsidTr="002610D3">
        <w:tc>
          <w:tcPr>
            <w:tcW w:w="562" w:type="dxa"/>
            <w:shd w:val="clear" w:color="auto" w:fill="D9D9D9" w:themeFill="background1" w:themeFillShade="D9"/>
          </w:tcPr>
          <w:p w14:paraId="2A18D6AA" w14:textId="776AE057" w:rsidR="005F6158" w:rsidRPr="002341AF" w:rsidRDefault="00E04AA7" w:rsidP="002610D3">
            <w:pPr>
              <w:jc w:val="center"/>
              <w:rPr>
                <w:rFonts w:ascii="Palatino Linotype" w:hAnsi="Palatino Linotype" w:cstheme="majorHAnsi"/>
                <w:b/>
                <w:bCs/>
                <w:color w:val="000000" w:themeColor="text1"/>
              </w:rPr>
            </w:pPr>
            <w:r w:rsidRPr="002341AF">
              <w:rPr>
                <w:rFonts w:ascii="Palatino Linotype" w:hAnsi="Palatino Linotype" w:cstheme="majorHAnsi"/>
                <w:b/>
                <w:bCs/>
                <w:color w:val="000000" w:themeColor="text1"/>
              </w:rPr>
              <w:t>No</w:t>
            </w:r>
          </w:p>
        </w:tc>
        <w:tc>
          <w:tcPr>
            <w:tcW w:w="2410" w:type="dxa"/>
            <w:shd w:val="clear" w:color="auto" w:fill="D9D9D9" w:themeFill="background1" w:themeFillShade="D9"/>
          </w:tcPr>
          <w:p w14:paraId="15F004A3" w14:textId="65626A4B" w:rsidR="00E04AA7" w:rsidRPr="002341AF" w:rsidRDefault="00295D6A" w:rsidP="002610D3">
            <w:pPr>
              <w:jc w:val="center"/>
              <w:rPr>
                <w:rFonts w:ascii="Palatino Linotype" w:hAnsi="Palatino Linotype" w:cstheme="majorHAnsi"/>
                <w:b/>
                <w:bCs/>
                <w:color w:val="000000" w:themeColor="text1"/>
              </w:rPr>
            </w:pPr>
            <w:r w:rsidRPr="002341AF">
              <w:rPr>
                <w:rFonts w:ascii="Palatino Linotype" w:hAnsi="Palatino Linotype" w:cstheme="majorHAnsi"/>
                <w:b/>
                <w:bCs/>
                <w:color w:val="000000" w:themeColor="text1"/>
              </w:rPr>
              <w:t>Solicitud</w:t>
            </w:r>
          </w:p>
        </w:tc>
        <w:tc>
          <w:tcPr>
            <w:tcW w:w="2693" w:type="dxa"/>
            <w:shd w:val="clear" w:color="auto" w:fill="D9D9D9" w:themeFill="background1" w:themeFillShade="D9"/>
          </w:tcPr>
          <w:p w14:paraId="33EEA2A1" w14:textId="630AC94A" w:rsidR="00E04AA7" w:rsidRPr="002341AF" w:rsidRDefault="00295D6A" w:rsidP="002610D3">
            <w:pPr>
              <w:jc w:val="center"/>
              <w:rPr>
                <w:rFonts w:ascii="Palatino Linotype" w:hAnsi="Palatino Linotype" w:cstheme="majorHAnsi"/>
                <w:b/>
                <w:bCs/>
                <w:color w:val="000000" w:themeColor="text1"/>
              </w:rPr>
            </w:pPr>
            <w:r w:rsidRPr="002341AF">
              <w:rPr>
                <w:rFonts w:ascii="Palatino Linotype" w:hAnsi="Palatino Linotype" w:cstheme="majorHAnsi"/>
                <w:b/>
                <w:bCs/>
                <w:color w:val="000000" w:themeColor="text1"/>
              </w:rPr>
              <w:t>Recurso de Revisión</w:t>
            </w:r>
          </w:p>
        </w:tc>
        <w:tc>
          <w:tcPr>
            <w:tcW w:w="3402" w:type="dxa"/>
            <w:shd w:val="clear" w:color="auto" w:fill="D9D9D9" w:themeFill="background1" w:themeFillShade="D9"/>
          </w:tcPr>
          <w:p w14:paraId="64E1C3EB" w14:textId="218F9F69" w:rsidR="00E04AA7" w:rsidRPr="002341AF" w:rsidRDefault="00E04AA7" w:rsidP="002610D3">
            <w:pPr>
              <w:jc w:val="center"/>
              <w:rPr>
                <w:rFonts w:ascii="Palatino Linotype" w:hAnsi="Palatino Linotype" w:cstheme="majorHAnsi"/>
                <w:b/>
                <w:bCs/>
                <w:color w:val="000000" w:themeColor="text1"/>
              </w:rPr>
            </w:pPr>
            <w:r w:rsidRPr="002341AF">
              <w:rPr>
                <w:rFonts w:ascii="Palatino Linotype" w:hAnsi="Palatino Linotype" w:cstheme="majorHAnsi"/>
                <w:b/>
                <w:bCs/>
                <w:color w:val="000000" w:themeColor="text1"/>
              </w:rPr>
              <w:t>Requerimiento</w:t>
            </w:r>
          </w:p>
        </w:tc>
      </w:tr>
      <w:tr w:rsidR="00E04AA7" w:rsidRPr="002341AF" w14:paraId="2D87DBEF" w14:textId="77777777" w:rsidTr="00774BF5">
        <w:tc>
          <w:tcPr>
            <w:tcW w:w="562" w:type="dxa"/>
          </w:tcPr>
          <w:p w14:paraId="7D55B0C5" w14:textId="77777777" w:rsidR="00E04AA7" w:rsidRPr="002341AF" w:rsidRDefault="00E04AA7" w:rsidP="000E6FEE">
            <w:pPr>
              <w:rPr>
                <w:rFonts w:ascii="Palatino Linotype" w:hAnsi="Palatino Linotype" w:cstheme="majorHAnsi"/>
                <w:color w:val="000000" w:themeColor="text1"/>
                <w:sz w:val="18"/>
                <w:szCs w:val="18"/>
              </w:rPr>
            </w:pPr>
            <w:r w:rsidRPr="002341AF">
              <w:rPr>
                <w:rFonts w:ascii="Palatino Linotype" w:hAnsi="Palatino Linotype" w:cstheme="majorHAnsi"/>
                <w:color w:val="000000" w:themeColor="text1"/>
                <w:sz w:val="18"/>
                <w:szCs w:val="18"/>
              </w:rPr>
              <w:t>1</w:t>
            </w:r>
          </w:p>
        </w:tc>
        <w:tc>
          <w:tcPr>
            <w:tcW w:w="2410" w:type="dxa"/>
          </w:tcPr>
          <w:p w14:paraId="5B6B64D5" w14:textId="0609EF16" w:rsidR="00295D6A" w:rsidRPr="002341AF" w:rsidRDefault="00295D6A" w:rsidP="00295D6A">
            <w:pPr>
              <w:ind w:right="-113"/>
              <w:rPr>
                <w:rFonts w:ascii="Palatino Linotype" w:hAnsi="Palatino Linotype" w:cstheme="majorHAnsi"/>
                <w:b/>
                <w:bCs/>
                <w:color w:val="000000" w:themeColor="text1"/>
                <w:sz w:val="18"/>
                <w:szCs w:val="18"/>
              </w:rPr>
            </w:pPr>
            <w:r w:rsidRPr="002341AF">
              <w:rPr>
                <w:rFonts w:ascii="Palatino Linotype" w:hAnsi="Palatino Linotype"/>
                <w:b/>
                <w:bCs/>
                <w:color w:val="000000" w:themeColor="text1"/>
                <w:sz w:val="18"/>
                <w:szCs w:val="18"/>
              </w:rPr>
              <w:t>00008/</w:t>
            </w:r>
            <w:proofErr w:type="spellStart"/>
            <w:r w:rsidRPr="002341AF">
              <w:rPr>
                <w:rFonts w:ascii="Palatino Linotype" w:hAnsi="Palatino Linotype"/>
                <w:b/>
                <w:bCs/>
                <w:color w:val="000000" w:themeColor="text1"/>
                <w:sz w:val="18"/>
                <w:szCs w:val="18"/>
              </w:rPr>
              <w:t>COMECyT</w:t>
            </w:r>
            <w:proofErr w:type="spellEnd"/>
            <w:r w:rsidRPr="002341AF">
              <w:rPr>
                <w:rFonts w:ascii="Palatino Linotype" w:hAnsi="Palatino Linotype"/>
                <w:b/>
                <w:bCs/>
                <w:color w:val="000000" w:themeColor="text1"/>
                <w:sz w:val="18"/>
                <w:szCs w:val="18"/>
              </w:rPr>
              <w:t>/IP/2023</w:t>
            </w:r>
          </w:p>
        </w:tc>
        <w:tc>
          <w:tcPr>
            <w:tcW w:w="2693" w:type="dxa"/>
            <w:shd w:val="clear" w:color="auto" w:fill="auto"/>
          </w:tcPr>
          <w:p w14:paraId="67729F43" w14:textId="77777777" w:rsidR="00295D6A" w:rsidRPr="002341AF" w:rsidRDefault="00295D6A" w:rsidP="00295D6A">
            <w:pPr>
              <w:ind w:right="-113"/>
              <w:rPr>
                <w:rFonts w:ascii="Palatino Linotype" w:hAnsi="Palatino Linotype"/>
                <w:b/>
                <w:bCs/>
                <w:color w:val="000000" w:themeColor="text1"/>
                <w:sz w:val="18"/>
                <w:szCs w:val="18"/>
              </w:rPr>
            </w:pPr>
            <w:r w:rsidRPr="002341AF">
              <w:rPr>
                <w:rFonts w:ascii="Palatino Linotype" w:hAnsi="Palatino Linotype"/>
                <w:b/>
                <w:bCs/>
                <w:color w:val="000000" w:themeColor="text1"/>
                <w:sz w:val="18"/>
                <w:szCs w:val="18"/>
              </w:rPr>
              <w:t>02838/INFOEM/IP/RR/2023</w:t>
            </w:r>
          </w:p>
          <w:p w14:paraId="17946EE6" w14:textId="064D9878" w:rsidR="009F3E8C" w:rsidRPr="002341AF" w:rsidRDefault="009F3E8C" w:rsidP="002610D3">
            <w:pPr>
              <w:rPr>
                <w:rFonts w:ascii="Palatino Linotype" w:hAnsi="Palatino Linotype" w:cstheme="majorHAnsi"/>
                <w:color w:val="000000" w:themeColor="text1"/>
                <w:sz w:val="18"/>
                <w:szCs w:val="18"/>
              </w:rPr>
            </w:pPr>
          </w:p>
        </w:tc>
        <w:tc>
          <w:tcPr>
            <w:tcW w:w="3402" w:type="dxa"/>
          </w:tcPr>
          <w:p w14:paraId="29D6B91A" w14:textId="66AE415B" w:rsidR="00E04AA7" w:rsidRPr="002341AF" w:rsidRDefault="002610D3" w:rsidP="009F3E8C">
            <w:pPr>
              <w:jc w:val="both"/>
              <w:rPr>
                <w:rFonts w:ascii="Palatino Linotype" w:hAnsi="Palatino Linotype" w:cstheme="majorHAnsi"/>
                <w:bCs/>
                <w:i/>
                <w:iCs/>
                <w:color w:val="000000" w:themeColor="text1"/>
                <w:sz w:val="22"/>
                <w:szCs w:val="22"/>
                <w:lang w:eastAsia="es-MX"/>
              </w:rPr>
            </w:pPr>
            <w:r w:rsidRPr="002341AF">
              <w:rPr>
                <w:rFonts w:ascii="Palatino Linotype" w:hAnsi="Palatino Linotype"/>
                <w:i/>
                <w:iCs/>
                <w:color w:val="000000"/>
                <w:sz w:val="22"/>
                <w:szCs w:val="22"/>
              </w:rPr>
              <w:t xml:space="preserve">“investigaciones vigente y concluidas iniciadas en contra de </w:t>
            </w:r>
            <w:r w:rsidRPr="002341AF">
              <w:rPr>
                <w:rFonts w:ascii="Palatino Linotype" w:hAnsi="Palatino Linotype"/>
                <w:i/>
                <w:iCs/>
                <w:color w:val="000000"/>
                <w:sz w:val="22"/>
                <w:szCs w:val="22"/>
              </w:rPr>
              <w:lastRenderedPageBreak/>
              <w:t>GABRIELA AVILES OLIVARES la</w:t>
            </w:r>
            <w:r w:rsidRPr="002341AF">
              <w:rPr>
                <w:rFonts w:ascii="Verdana" w:hAnsi="Verdana"/>
                <w:color w:val="000000"/>
                <w:sz w:val="14"/>
                <w:szCs w:val="14"/>
              </w:rPr>
              <w:t xml:space="preserve"> </w:t>
            </w:r>
            <w:r w:rsidRPr="002341AF">
              <w:rPr>
                <w:rFonts w:ascii="Palatino Linotype" w:hAnsi="Palatino Linotype"/>
                <w:i/>
                <w:iCs/>
                <w:color w:val="000000"/>
                <w:sz w:val="22"/>
                <w:szCs w:val="22"/>
              </w:rPr>
              <w:t>cual dejo de laborar para el COMECYT en 2017” (Sic)</w:t>
            </w:r>
          </w:p>
        </w:tc>
      </w:tr>
      <w:tr w:rsidR="00E04AA7" w:rsidRPr="002341AF" w14:paraId="13645DD1" w14:textId="77777777" w:rsidTr="00774BF5">
        <w:tc>
          <w:tcPr>
            <w:tcW w:w="562" w:type="dxa"/>
          </w:tcPr>
          <w:p w14:paraId="500D3039" w14:textId="77777777" w:rsidR="00E04AA7" w:rsidRPr="002341AF" w:rsidRDefault="00E04AA7" w:rsidP="000E6FEE">
            <w:pPr>
              <w:rPr>
                <w:rFonts w:ascii="Palatino Linotype" w:hAnsi="Palatino Linotype" w:cstheme="majorHAnsi"/>
                <w:color w:val="000000" w:themeColor="text1"/>
                <w:sz w:val="18"/>
                <w:szCs w:val="18"/>
              </w:rPr>
            </w:pPr>
            <w:r w:rsidRPr="002341AF">
              <w:rPr>
                <w:rFonts w:ascii="Palatino Linotype" w:hAnsi="Palatino Linotype" w:cstheme="majorHAnsi"/>
                <w:color w:val="000000" w:themeColor="text1"/>
                <w:sz w:val="18"/>
                <w:szCs w:val="18"/>
              </w:rPr>
              <w:lastRenderedPageBreak/>
              <w:t>2</w:t>
            </w:r>
          </w:p>
        </w:tc>
        <w:tc>
          <w:tcPr>
            <w:tcW w:w="2410" w:type="dxa"/>
          </w:tcPr>
          <w:p w14:paraId="24FFD0BA" w14:textId="1D682C71" w:rsidR="00E04AA7" w:rsidRPr="002341AF" w:rsidRDefault="00295D6A" w:rsidP="000E6FEE">
            <w:pPr>
              <w:rPr>
                <w:rFonts w:ascii="Palatino Linotype" w:hAnsi="Palatino Linotype" w:cstheme="majorHAnsi"/>
                <w:b/>
                <w:bCs/>
                <w:color w:val="000000" w:themeColor="text1"/>
                <w:sz w:val="18"/>
                <w:szCs w:val="18"/>
              </w:rPr>
            </w:pPr>
            <w:r w:rsidRPr="002341AF">
              <w:rPr>
                <w:rFonts w:ascii="Palatino Linotype" w:hAnsi="Palatino Linotype"/>
                <w:b/>
                <w:bCs/>
                <w:color w:val="000000" w:themeColor="text1"/>
                <w:sz w:val="18"/>
                <w:szCs w:val="18"/>
              </w:rPr>
              <w:t>00009/</w:t>
            </w:r>
            <w:proofErr w:type="spellStart"/>
            <w:r w:rsidRPr="002341AF">
              <w:rPr>
                <w:rFonts w:ascii="Palatino Linotype" w:hAnsi="Palatino Linotype"/>
                <w:b/>
                <w:bCs/>
                <w:color w:val="000000" w:themeColor="text1"/>
                <w:sz w:val="18"/>
                <w:szCs w:val="18"/>
              </w:rPr>
              <w:t>COMECyT</w:t>
            </w:r>
            <w:proofErr w:type="spellEnd"/>
            <w:r w:rsidRPr="002341AF">
              <w:rPr>
                <w:rFonts w:ascii="Palatino Linotype" w:hAnsi="Palatino Linotype"/>
                <w:b/>
                <w:bCs/>
                <w:color w:val="000000" w:themeColor="text1"/>
                <w:sz w:val="18"/>
                <w:szCs w:val="18"/>
              </w:rPr>
              <w:t>/IP/2023</w:t>
            </w:r>
          </w:p>
        </w:tc>
        <w:tc>
          <w:tcPr>
            <w:tcW w:w="2693" w:type="dxa"/>
            <w:shd w:val="clear" w:color="auto" w:fill="auto"/>
          </w:tcPr>
          <w:p w14:paraId="692A412C" w14:textId="3336FB77" w:rsidR="00E04AA7" w:rsidRPr="002341AF" w:rsidRDefault="00295D6A" w:rsidP="009F3E8C">
            <w:pPr>
              <w:rPr>
                <w:rFonts w:ascii="Palatino Linotype" w:hAnsi="Palatino Linotype" w:cstheme="majorHAnsi"/>
                <w:color w:val="000000" w:themeColor="text1"/>
                <w:sz w:val="18"/>
                <w:szCs w:val="18"/>
              </w:rPr>
            </w:pPr>
            <w:r w:rsidRPr="002341AF">
              <w:rPr>
                <w:rFonts w:ascii="Palatino Linotype" w:hAnsi="Palatino Linotype"/>
                <w:b/>
                <w:bCs/>
                <w:color w:val="000000" w:themeColor="text1"/>
                <w:sz w:val="18"/>
                <w:szCs w:val="18"/>
              </w:rPr>
              <w:t>02839/INFOEM/IP/RR/2023</w:t>
            </w:r>
          </w:p>
        </w:tc>
        <w:tc>
          <w:tcPr>
            <w:tcW w:w="3402" w:type="dxa"/>
          </w:tcPr>
          <w:p w14:paraId="1D1A420B" w14:textId="0B183CEC" w:rsidR="00E04AA7" w:rsidRPr="002341AF" w:rsidRDefault="00295D6A" w:rsidP="00295D6A">
            <w:pPr>
              <w:jc w:val="both"/>
              <w:rPr>
                <w:rFonts w:ascii="Palatino Linotype" w:hAnsi="Palatino Linotype" w:cstheme="majorHAnsi"/>
                <w:i/>
                <w:iCs/>
                <w:color w:val="000000" w:themeColor="text1"/>
                <w:sz w:val="22"/>
                <w:szCs w:val="22"/>
              </w:rPr>
            </w:pPr>
            <w:r w:rsidRPr="002341AF">
              <w:rPr>
                <w:rFonts w:ascii="Palatino Linotype" w:hAnsi="Palatino Linotype"/>
                <w:i/>
                <w:iCs/>
                <w:color w:val="000000"/>
                <w:sz w:val="21"/>
                <w:szCs w:val="21"/>
              </w:rPr>
              <w:t>“motivos por los cuales se iniciaron las investigaciones en contra de GABRIELA AVILES OLIVARES la cual dejo de laborar para el COMECYT en 2017” (Sic)</w:t>
            </w:r>
          </w:p>
        </w:tc>
      </w:tr>
      <w:tr w:rsidR="00E04AA7" w:rsidRPr="002341AF" w14:paraId="1C609268" w14:textId="77777777" w:rsidTr="00774BF5">
        <w:tc>
          <w:tcPr>
            <w:tcW w:w="562" w:type="dxa"/>
          </w:tcPr>
          <w:p w14:paraId="0C6FC8C9" w14:textId="77777777" w:rsidR="00E04AA7" w:rsidRPr="002341AF" w:rsidRDefault="00E04AA7" w:rsidP="000E6FEE">
            <w:pPr>
              <w:rPr>
                <w:rFonts w:ascii="Palatino Linotype" w:hAnsi="Palatino Linotype" w:cstheme="majorHAnsi"/>
                <w:color w:val="000000" w:themeColor="text1"/>
                <w:sz w:val="18"/>
                <w:szCs w:val="18"/>
              </w:rPr>
            </w:pPr>
            <w:r w:rsidRPr="002341AF">
              <w:rPr>
                <w:rFonts w:ascii="Palatino Linotype" w:hAnsi="Palatino Linotype" w:cstheme="majorHAnsi"/>
                <w:color w:val="000000" w:themeColor="text1"/>
                <w:sz w:val="18"/>
                <w:szCs w:val="18"/>
              </w:rPr>
              <w:t>3</w:t>
            </w:r>
          </w:p>
        </w:tc>
        <w:tc>
          <w:tcPr>
            <w:tcW w:w="2410" w:type="dxa"/>
          </w:tcPr>
          <w:p w14:paraId="377680CA" w14:textId="21AFCFEE" w:rsidR="00E04AA7" w:rsidRPr="002341AF" w:rsidRDefault="00295D6A" w:rsidP="000E6FEE">
            <w:pPr>
              <w:rPr>
                <w:rFonts w:ascii="Palatino Linotype" w:hAnsi="Palatino Linotype" w:cstheme="majorHAnsi"/>
                <w:b/>
                <w:bCs/>
                <w:color w:val="000000" w:themeColor="text1"/>
                <w:sz w:val="18"/>
                <w:szCs w:val="18"/>
              </w:rPr>
            </w:pPr>
            <w:r w:rsidRPr="002341AF">
              <w:rPr>
                <w:rFonts w:ascii="Palatino Linotype" w:hAnsi="Palatino Linotype"/>
                <w:b/>
                <w:bCs/>
                <w:color w:val="000000" w:themeColor="text1"/>
                <w:sz w:val="18"/>
                <w:szCs w:val="18"/>
              </w:rPr>
              <w:t>00011/</w:t>
            </w:r>
            <w:proofErr w:type="spellStart"/>
            <w:r w:rsidRPr="002341AF">
              <w:rPr>
                <w:rFonts w:ascii="Palatino Linotype" w:hAnsi="Palatino Linotype"/>
                <w:b/>
                <w:bCs/>
                <w:color w:val="000000" w:themeColor="text1"/>
                <w:sz w:val="18"/>
                <w:szCs w:val="18"/>
              </w:rPr>
              <w:t>COMECyT</w:t>
            </w:r>
            <w:proofErr w:type="spellEnd"/>
            <w:r w:rsidRPr="002341AF">
              <w:rPr>
                <w:rFonts w:ascii="Palatino Linotype" w:hAnsi="Palatino Linotype"/>
                <w:b/>
                <w:bCs/>
                <w:color w:val="000000" w:themeColor="text1"/>
                <w:sz w:val="18"/>
                <w:szCs w:val="18"/>
              </w:rPr>
              <w:t>/IP/2023</w:t>
            </w:r>
          </w:p>
        </w:tc>
        <w:tc>
          <w:tcPr>
            <w:tcW w:w="2693" w:type="dxa"/>
            <w:shd w:val="clear" w:color="auto" w:fill="auto"/>
          </w:tcPr>
          <w:p w14:paraId="377E1461" w14:textId="68BB26D2" w:rsidR="00E04AA7" w:rsidRPr="002341AF" w:rsidRDefault="00295D6A" w:rsidP="009F3E8C">
            <w:pPr>
              <w:rPr>
                <w:rFonts w:ascii="Palatino Linotype" w:hAnsi="Palatino Linotype" w:cstheme="majorHAnsi"/>
                <w:color w:val="000000" w:themeColor="text1"/>
                <w:sz w:val="18"/>
                <w:szCs w:val="18"/>
              </w:rPr>
            </w:pPr>
            <w:r w:rsidRPr="002341AF">
              <w:rPr>
                <w:rFonts w:ascii="Palatino Linotype" w:hAnsi="Palatino Linotype"/>
                <w:b/>
                <w:bCs/>
                <w:color w:val="000000" w:themeColor="text1"/>
                <w:sz w:val="18"/>
                <w:szCs w:val="18"/>
              </w:rPr>
              <w:t>02840/INFOEM/IP/RR/2023</w:t>
            </w:r>
          </w:p>
        </w:tc>
        <w:tc>
          <w:tcPr>
            <w:tcW w:w="3402" w:type="dxa"/>
          </w:tcPr>
          <w:p w14:paraId="14B91B7F" w14:textId="7F12754E" w:rsidR="00E04AA7" w:rsidRPr="002341AF" w:rsidRDefault="00295D6A" w:rsidP="009F3E8C">
            <w:pPr>
              <w:jc w:val="both"/>
              <w:rPr>
                <w:rFonts w:ascii="Palatino Linotype" w:hAnsi="Palatino Linotype" w:cstheme="majorHAnsi"/>
                <w:i/>
                <w:iCs/>
                <w:color w:val="000000" w:themeColor="text1"/>
                <w:sz w:val="22"/>
                <w:szCs w:val="22"/>
              </w:rPr>
            </w:pPr>
            <w:r w:rsidRPr="002341AF">
              <w:rPr>
                <w:rFonts w:ascii="Palatino Linotype" w:hAnsi="Palatino Linotype"/>
                <w:i/>
                <w:iCs/>
                <w:color w:val="000000"/>
              </w:rPr>
              <w:t>Estatus procesal que guardan las investigaciones iniciadas en contra de GABRIELA AVILES OLIVARES la cual dejo de laborar para el COMECYT en 2017” (Sic)</w:t>
            </w:r>
          </w:p>
        </w:tc>
      </w:tr>
      <w:tr w:rsidR="00E04AA7" w:rsidRPr="002341AF" w14:paraId="4C5963C8" w14:textId="77777777" w:rsidTr="00774BF5">
        <w:tc>
          <w:tcPr>
            <w:tcW w:w="562" w:type="dxa"/>
          </w:tcPr>
          <w:p w14:paraId="3FDD6D42" w14:textId="77777777" w:rsidR="00E04AA7" w:rsidRPr="002341AF" w:rsidRDefault="00E04AA7" w:rsidP="000E6FEE">
            <w:pPr>
              <w:rPr>
                <w:rFonts w:ascii="Palatino Linotype" w:hAnsi="Palatino Linotype" w:cstheme="majorHAnsi"/>
                <w:color w:val="000000" w:themeColor="text1"/>
                <w:sz w:val="18"/>
                <w:szCs w:val="18"/>
              </w:rPr>
            </w:pPr>
            <w:r w:rsidRPr="002341AF">
              <w:rPr>
                <w:rFonts w:ascii="Palatino Linotype" w:hAnsi="Palatino Linotype" w:cstheme="majorHAnsi"/>
                <w:color w:val="000000" w:themeColor="text1"/>
                <w:sz w:val="18"/>
                <w:szCs w:val="18"/>
              </w:rPr>
              <w:t>4</w:t>
            </w:r>
          </w:p>
        </w:tc>
        <w:tc>
          <w:tcPr>
            <w:tcW w:w="2410" w:type="dxa"/>
          </w:tcPr>
          <w:p w14:paraId="2CB54FC6" w14:textId="4571A78D" w:rsidR="00E04AA7" w:rsidRPr="002341AF" w:rsidRDefault="00295D6A" w:rsidP="000E6FEE">
            <w:pPr>
              <w:rPr>
                <w:rFonts w:ascii="Palatino Linotype" w:hAnsi="Palatino Linotype" w:cstheme="majorHAnsi"/>
                <w:b/>
                <w:bCs/>
                <w:color w:val="000000" w:themeColor="text1"/>
                <w:sz w:val="18"/>
                <w:szCs w:val="18"/>
              </w:rPr>
            </w:pPr>
            <w:r w:rsidRPr="002341AF">
              <w:rPr>
                <w:rFonts w:ascii="Palatino Linotype" w:hAnsi="Palatino Linotype"/>
                <w:b/>
                <w:bCs/>
                <w:color w:val="000000" w:themeColor="text1"/>
                <w:sz w:val="18"/>
                <w:szCs w:val="18"/>
              </w:rPr>
              <w:t>00010/</w:t>
            </w:r>
            <w:proofErr w:type="spellStart"/>
            <w:r w:rsidRPr="002341AF">
              <w:rPr>
                <w:rFonts w:ascii="Palatino Linotype" w:hAnsi="Palatino Linotype"/>
                <w:b/>
                <w:bCs/>
                <w:color w:val="000000" w:themeColor="text1"/>
                <w:sz w:val="18"/>
                <w:szCs w:val="18"/>
              </w:rPr>
              <w:t>COMECyT</w:t>
            </w:r>
            <w:proofErr w:type="spellEnd"/>
            <w:r w:rsidRPr="002341AF">
              <w:rPr>
                <w:rFonts w:ascii="Palatino Linotype" w:hAnsi="Palatino Linotype"/>
                <w:b/>
                <w:bCs/>
                <w:color w:val="000000" w:themeColor="text1"/>
                <w:sz w:val="18"/>
                <w:szCs w:val="18"/>
              </w:rPr>
              <w:t>/IP/2023</w:t>
            </w:r>
          </w:p>
        </w:tc>
        <w:tc>
          <w:tcPr>
            <w:tcW w:w="2693" w:type="dxa"/>
            <w:shd w:val="clear" w:color="auto" w:fill="auto"/>
          </w:tcPr>
          <w:p w14:paraId="01DF31A5" w14:textId="2D483310" w:rsidR="00E04AA7" w:rsidRPr="002341AF" w:rsidRDefault="00295D6A" w:rsidP="00295D6A">
            <w:pPr>
              <w:rPr>
                <w:rFonts w:ascii="Palatino Linotype" w:hAnsi="Palatino Linotype" w:cstheme="majorHAnsi"/>
                <w:color w:val="000000" w:themeColor="text1"/>
                <w:sz w:val="18"/>
                <w:szCs w:val="18"/>
              </w:rPr>
            </w:pPr>
            <w:r w:rsidRPr="002341AF">
              <w:rPr>
                <w:rFonts w:ascii="Palatino Linotype" w:hAnsi="Palatino Linotype"/>
                <w:b/>
                <w:bCs/>
                <w:color w:val="000000" w:themeColor="text1"/>
                <w:sz w:val="18"/>
                <w:szCs w:val="18"/>
              </w:rPr>
              <w:t>02841/INFOEM/IP/RR/2023</w:t>
            </w:r>
          </w:p>
        </w:tc>
        <w:tc>
          <w:tcPr>
            <w:tcW w:w="3402" w:type="dxa"/>
          </w:tcPr>
          <w:p w14:paraId="5508C423" w14:textId="50872A3E" w:rsidR="00E04AA7" w:rsidRPr="002341AF" w:rsidRDefault="00295D6A" w:rsidP="009F3E8C">
            <w:pPr>
              <w:jc w:val="both"/>
              <w:rPr>
                <w:rFonts w:ascii="Palatino Linotype" w:hAnsi="Palatino Linotype" w:cstheme="majorHAnsi"/>
                <w:i/>
                <w:iCs/>
                <w:color w:val="000000" w:themeColor="text1"/>
              </w:rPr>
            </w:pPr>
            <w:r w:rsidRPr="002341AF">
              <w:rPr>
                <w:rFonts w:ascii="Palatino Linotype" w:hAnsi="Palatino Linotype"/>
                <w:i/>
                <w:iCs/>
                <w:color w:val="000000" w:themeColor="text1"/>
              </w:rPr>
              <w:t>“documentos que den cuenta de las investigaciones iniciadas en contra de GABRIELA AVILES OLIVARES la cual dejo de laborar para el COMECYT en 2017” (Sic)</w:t>
            </w:r>
          </w:p>
        </w:tc>
      </w:tr>
      <w:tr w:rsidR="00E04AA7" w:rsidRPr="002341AF" w14:paraId="5F6C42FB" w14:textId="77777777" w:rsidTr="00295D6A">
        <w:trPr>
          <w:trHeight w:val="654"/>
        </w:trPr>
        <w:tc>
          <w:tcPr>
            <w:tcW w:w="562" w:type="dxa"/>
          </w:tcPr>
          <w:p w14:paraId="1C55CD2B" w14:textId="77777777" w:rsidR="00E04AA7" w:rsidRPr="002341AF" w:rsidRDefault="00E04AA7" w:rsidP="000E6FEE">
            <w:pPr>
              <w:rPr>
                <w:rFonts w:ascii="Palatino Linotype" w:hAnsi="Palatino Linotype" w:cstheme="majorHAnsi"/>
                <w:color w:val="000000" w:themeColor="text1"/>
                <w:sz w:val="18"/>
                <w:szCs w:val="18"/>
              </w:rPr>
            </w:pPr>
            <w:r w:rsidRPr="002341AF">
              <w:rPr>
                <w:rFonts w:ascii="Palatino Linotype" w:hAnsi="Palatino Linotype" w:cstheme="majorHAnsi"/>
                <w:color w:val="000000" w:themeColor="text1"/>
                <w:sz w:val="18"/>
                <w:szCs w:val="18"/>
              </w:rPr>
              <w:t>5</w:t>
            </w:r>
          </w:p>
        </w:tc>
        <w:tc>
          <w:tcPr>
            <w:tcW w:w="2410" w:type="dxa"/>
          </w:tcPr>
          <w:p w14:paraId="22ACB879" w14:textId="4631B809" w:rsidR="00E04AA7" w:rsidRPr="002341AF" w:rsidRDefault="00295D6A" w:rsidP="000E6FEE">
            <w:pPr>
              <w:rPr>
                <w:rFonts w:ascii="Palatino Linotype" w:hAnsi="Palatino Linotype" w:cstheme="majorHAnsi"/>
                <w:b/>
                <w:bCs/>
                <w:color w:val="000000" w:themeColor="text1"/>
                <w:sz w:val="18"/>
                <w:szCs w:val="18"/>
              </w:rPr>
            </w:pPr>
            <w:r w:rsidRPr="002341AF">
              <w:rPr>
                <w:rFonts w:ascii="Palatino Linotype" w:hAnsi="Palatino Linotype"/>
                <w:b/>
                <w:bCs/>
                <w:color w:val="000000" w:themeColor="text1"/>
                <w:sz w:val="18"/>
                <w:szCs w:val="18"/>
              </w:rPr>
              <w:t>00012/</w:t>
            </w:r>
            <w:proofErr w:type="spellStart"/>
            <w:r w:rsidRPr="002341AF">
              <w:rPr>
                <w:rFonts w:ascii="Palatino Linotype" w:hAnsi="Palatino Linotype"/>
                <w:b/>
                <w:bCs/>
                <w:color w:val="000000" w:themeColor="text1"/>
                <w:sz w:val="18"/>
                <w:szCs w:val="18"/>
              </w:rPr>
              <w:t>COMECyT</w:t>
            </w:r>
            <w:proofErr w:type="spellEnd"/>
            <w:r w:rsidRPr="002341AF">
              <w:rPr>
                <w:rFonts w:ascii="Palatino Linotype" w:hAnsi="Palatino Linotype"/>
                <w:b/>
                <w:bCs/>
                <w:color w:val="000000" w:themeColor="text1"/>
                <w:sz w:val="18"/>
                <w:szCs w:val="18"/>
              </w:rPr>
              <w:t>/IP/2023</w:t>
            </w:r>
          </w:p>
        </w:tc>
        <w:tc>
          <w:tcPr>
            <w:tcW w:w="2693" w:type="dxa"/>
            <w:shd w:val="clear" w:color="auto" w:fill="auto"/>
          </w:tcPr>
          <w:p w14:paraId="15DEAD38" w14:textId="036774A6" w:rsidR="00E04AA7" w:rsidRPr="002341AF" w:rsidRDefault="00295D6A" w:rsidP="00295D6A">
            <w:pPr>
              <w:tabs>
                <w:tab w:val="left" w:pos="1066"/>
              </w:tabs>
              <w:rPr>
                <w:rFonts w:ascii="Palatino Linotype" w:hAnsi="Palatino Linotype" w:cstheme="majorHAnsi"/>
                <w:color w:val="000000" w:themeColor="text1"/>
                <w:sz w:val="18"/>
                <w:szCs w:val="18"/>
              </w:rPr>
            </w:pPr>
            <w:r w:rsidRPr="002341AF">
              <w:rPr>
                <w:rFonts w:ascii="Palatino Linotype" w:hAnsi="Palatino Linotype"/>
                <w:b/>
                <w:bCs/>
                <w:color w:val="000000" w:themeColor="text1"/>
                <w:sz w:val="18"/>
                <w:szCs w:val="18"/>
              </w:rPr>
              <w:t>02842/INFOEM/IP/RR/2023</w:t>
            </w:r>
          </w:p>
        </w:tc>
        <w:tc>
          <w:tcPr>
            <w:tcW w:w="3402" w:type="dxa"/>
          </w:tcPr>
          <w:p w14:paraId="39F0A164" w14:textId="7B78E514" w:rsidR="00E04AA7" w:rsidRPr="002341AF" w:rsidRDefault="00295D6A" w:rsidP="009F3E8C">
            <w:pPr>
              <w:jc w:val="both"/>
              <w:rPr>
                <w:rFonts w:ascii="Palatino Linotype" w:hAnsi="Palatino Linotype" w:cstheme="majorHAnsi"/>
                <w:i/>
                <w:iCs/>
                <w:color w:val="000000" w:themeColor="text1"/>
              </w:rPr>
            </w:pPr>
            <w:r w:rsidRPr="002341AF">
              <w:rPr>
                <w:rFonts w:ascii="Palatino Linotype" w:hAnsi="Palatino Linotype"/>
                <w:i/>
                <w:iCs/>
                <w:color w:val="000000" w:themeColor="text1"/>
              </w:rPr>
              <w:t>Materia a la que corresponden las investigaciones iniciadas en contra de corrupta de GABRIELA AVILES OLIVARES la cual dejo de laborar para el COMECYT en 2017</w:t>
            </w:r>
          </w:p>
        </w:tc>
      </w:tr>
    </w:tbl>
    <w:p w14:paraId="15FF6F24" w14:textId="77777777" w:rsidR="005F6158" w:rsidRPr="002341AF" w:rsidRDefault="005F6158" w:rsidP="005F6158">
      <w:pPr>
        <w:pStyle w:val="Prrafodelista"/>
        <w:spacing w:line="360" w:lineRule="auto"/>
        <w:ind w:left="0"/>
        <w:jc w:val="both"/>
        <w:rPr>
          <w:rFonts w:ascii="Palatino Linotype" w:hAnsi="Palatino Linotype" w:cs="Arial"/>
          <w:sz w:val="24"/>
          <w:lang w:val="es-ES"/>
        </w:rPr>
      </w:pPr>
    </w:p>
    <w:p w14:paraId="0151ADED" w14:textId="0EC15106" w:rsidR="00295D6A" w:rsidRPr="002341AF" w:rsidRDefault="005000AA" w:rsidP="00261B61">
      <w:pPr>
        <w:pStyle w:val="Prrafodelista"/>
        <w:numPr>
          <w:ilvl w:val="0"/>
          <w:numId w:val="26"/>
        </w:numPr>
        <w:spacing w:line="360" w:lineRule="auto"/>
        <w:ind w:right="539" w:hanging="153"/>
        <w:jc w:val="both"/>
        <w:rPr>
          <w:rFonts w:ascii="Palatino Linotype" w:hAnsi="Palatino Linotype" w:cs="Arial"/>
          <w:b/>
          <w:sz w:val="24"/>
          <w:lang w:val="es-ES"/>
        </w:rPr>
      </w:pPr>
      <w:r w:rsidRPr="002341AF">
        <w:rPr>
          <w:rFonts w:ascii="Palatino Linotype" w:hAnsi="Palatino Linotype" w:cs="Arial"/>
          <w:sz w:val="24"/>
          <w:lang w:val="es-ES"/>
        </w:rPr>
        <w:t xml:space="preserve">Señaló como modalidad de entrega de la información a través del </w:t>
      </w:r>
      <w:r w:rsidRPr="002341AF">
        <w:rPr>
          <w:rFonts w:ascii="Palatino Linotype" w:hAnsi="Palatino Linotype" w:cs="Arial"/>
          <w:b/>
          <w:sz w:val="24"/>
          <w:lang w:val="es-ES"/>
        </w:rPr>
        <w:t>SAIMEX.</w:t>
      </w:r>
    </w:p>
    <w:p w14:paraId="035FAD75" w14:textId="77777777" w:rsidR="00DD2E71" w:rsidRPr="002341AF" w:rsidRDefault="00DD2E71" w:rsidP="00295D6A">
      <w:pPr>
        <w:rPr>
          <w:rFonts w:ascii="Palatino Linotype" w:hAnsi="Palatino Linotype"/>
          <w:i/>
          <w:color w:val="000000"/>
          <w:sz w:val="24"/>
        </w:rPr>
      </w:pPr>
    </w:p>
    <w:p w14:paraId="15F8C30E" w14:textId="34195BF3" w:rsidR="00DD2E71" w:rsidRPr="002341AF" w:rsidRDefault="00DD2E71" w:rsidP="005D09C1">
      <w:pPr>
        <w:pStyle w:val="Prrafodelista"/>
        <w:numPr>
          <w:ilvl w:val="0"/>
          <w:numId w:val="3"/>
        </w:numPr>
        <w:spacing w:before="240" w:after="240" w:line="360" w:lineRule="auto"/>
        <w:ind w:left="0" w:firstLine="0"/>
        <w:jc w:val="both"/>
        <w:rPr>
          <w:rFonts w:ascii="Palatino Linotype" w:hAnsi="Palatino Linotype"/>
          <w:i/>
          <w:color w:val="000000"/>
          <w:sz w:val="24"/>
        </w:rPr>
      </w:pPr>
      <w:r w:rsidRPr="002341AF">
        <w:rPr>
          <w:rFonts w:ascii="Palatino Linotype" w:hAnsi="Palatino Linotype"/>
          <w:color w:val="000000"/>
          <w:sz w:val="24"/>
        </w:rPr>
        <w:t xml:space="preserve">El </w:t>
      </w:r>
      <w:r w:rsidR="00295D6A" w:rsidRPr="002341AF">
        <w:rPr>
          <w:rFonts w:ascii="Palatino Linotype" w:hAnsi="Palatino Linotype"/>
          <w:color w:val="000000"/>
          <w:sz w:val="24"/>
        </w:rPr>
        <w:t>ocho (08)</w:t>
      </w:r>
      <w:r w:rsidR="007A5713" w:rsidRPr="002341AF">
        <w:rPr>
          <w:rFonts w:ascii="Palatino Linotype" w:hAnsi="Palatino Linotype"/>
          <w:color w:val="000000"/>
          <w:sz w:val="24"/>
        </w:rPr>
        <w:t xml:space="preserve"> de </w:t>
      </w:r>
      <w:r w:rsidR="00295D6A" w:rsidRPr="002341AF">
        <w:rPr>
          <w:rFonts w:ascii="Palatino Linotype" w:hAnsi="Palatino Linotype"/>
          <w:color w:val="000000"/>
          <w:sz w:val="24"/>
        </w:rPr>
        <w:t>mayo</w:t>
      </w:r>
      <w:r w:rsidR="00A871C4" w:rsidRPr="002341AF">
        <w:rPr>
          <w:rFonts w:ascii="Palatino Linotype" w:hAnsi="Palatino Linotype"/>
          <w:color w:val="000000"/>
          <w:sz w:val="24"/>
        </w:rPr>
        <w:t xml:space="preserve"> </w:t>
      </w:r>
      <w:r w:rsidRPr="002341AF">
        <w:rPr>
          <w:rFonts w:ascii="Palatino Linotype" w:hAnsi="Palatino Linotype"/>
          <w:color w:val="000000"/>
          <w:sz w:val="24"/>
        </w:rPr>
        <w:t>de dos mil veinti</w:t>
      </w:r>
      <w:r w:rsidR="00295D6A" w:rsidRPr="002341AF">
        <w:rPr>
          <w:rFonts w:ascii="Palatino Linotype" w:hAnsi="Palatino Linotype"/>
          <w:color w:val="000000"/>
          <w:sz w:val="24"/>
        </w:rPr>
        <w:t>trés</w:t>
      </w:r>
      <w:r w:rsidRPr="002341AF">
        <w:rPr>
          <w:rFonts w:ascii="Palatino Linotype" w:hAnsi="Palatino Linotype"/>
          <w:color w:val="000000"/>
          <w:sz w:val="24"/>
        </w:rPr>
        <w:t xml:space="preserve"> el </w:t>
      </w:r>
      <w:r w:rsidR="007A5713" w:rsidRPr="002341AF">
        <w:rPr>
          <w:rFonts w:ascii="Palatino Linotype" w:hAnsi="Palatino Linotype"/>
          <w:b/>
          <w:bCs/>
          <w:color w:val="000000"/>
          <w:sz w:val="24"/>
        </w:rPr>
        <w:t>SUJETO OBLIGADO</w:t>
      </w:r>
      <w:r w:rsidR="00BA2F78" w:rsidRPr="002341AF">
        <w:rPr>
          <w:rFonts w:ascii="Palatino Linotype" w:hAnsi="Palatino Linotype"/>
          <w:b/>
          <w:bCs/>
          <w:color w:val="000000"/>
          <w:sz w:val="24"/>
        </w:rPr>
        <w:t>,</w:t>
      </w:r>
      <w:r w:rsidR="007A5713" w:rsidRPr="002341AF">
        <w:rPr>
          <w:rFonts w:ascii="Palatino Linotype" w:hAnsi="Palatino Linotype"/>
          <w:color w:val="000000"/>
          <w:sz w:val="24"/>
        </w:rPr>
        <w:t xml:space="preserve"> </w:t>
      </w:r>
      <w:r w:rsidRPr="002341AF">
        <w:rPr>
          <w:rFonts w:ascii="Palatino Linotype" w:hAnsi="Palatino Linotype"/>
          <w:color w:val="000000"/>
          <w:sz w:val="24"/>
        </w:rPr>
        <w:t xml:space="preserve">dio respuesta a las solicitudes en los </w:t>
      </w:r>
      <w:r w:rsidR="00295D6A" w:rsidRPr="002341AF">
        <w:rPr>
          <w:rFonts w:ascii="Palatino Linotype" w:hAnsi="Palatino Linotype"/>
          <w:color w:val="000000"/>
          <w:sz w:val="24"/>
        </w:rPr>
        <w:t>mismos</w:t>
      </w:r>
      <w:r w:rsidRPr="002341AF">
        <w:rPr>
          <w:rFonts w:ascii="Palatino Linotype" w:hAnsi="Palatino Linotype"/>
          <w:color w:val="000000"/>
          <w:sz w:val="24"/>
        </w:rPr>
        <w:t xml:space="preserve"> términos:</w:t>
      </w:r>
    </w:p>
    <w:p w14:paraId="3BA217A1" w14:textId="61AB5437" w:rsidR="00A871C4" w:rsidRPr="002341AF" w:rsidRDefault="00A871C4" w:rsidP="00A871C4">
      <w:pPr>
        <w:pStyle w:val="Prrafodelista"/>
        <w:spacing w:before="240" w:after="240" w:line="360" w:lineRule="auto"/>
        <w:ind w:left="0"/>
        <w:jc w:val="both"/>
        <w:rPr>
          <w:rFonts w:ascii="Palatino Linotype" w:hAnsi="Palatino Linotype"/>
          <w:i/>
          <w:color w:val="000000"/>
          <w:sz w:val="24"/>
        </w:rPr>
      </w:pPr>
    </w:p>
    <w:p w14:paraId="21A11C16" w14:textId="1CF6BE61" w:rsidR="00261B61" w:rsidRPr="002341AF" w:rsidRDefault="00322F72" w:rsidP="00261B61">
      <w:pPr>
        <w:pStyle w:val="Prrafodelista"/>
        <w:spacing w:before="240" w:after="240"/>
        <w:ind w:left="567" w:right="539"/>
        <w:jc w:val="both"/>
        <w:rPr>
          <w:rFonts w:ascii="Palatino Linotype" w:hAnsi="Palatino Linotype"/>
          <w:i/>
          <w:color w:val="000000"/>
          <w:szCs w:val="22"/>
        </w:rPr>
      </w:pPr>
      <w:r w:rsidRPr="002341AF">
        <w:rPr>
          <w:rFonts w:ascii="Palatino Linotype" w:hAnsi="Palatino Linotype"/>
          <w:i/>
          <w:color w:val="000000"/>
          <w:szCs w:val="22"/>
        </w:rPr>
        <w:lastRenderedPageBreak/>
        <w:t>“Se anexa oficio de incompetencia ya que la información obra en poder de otro sujeto obligado.” (Sic)</w:t>
      </w:r>
    </w:p>
    <w:p w14:paraId="40F25F69" w14:textId="77777777" w:rsidR="00261B61" w:rsidRPr="002341AF" w:rsidRDefault="00261B61" w:rsidP="00261B61">
      <w:pPr>
        <w:pStyle w:val="Prrafodelista"/>
        <w:spacing w:before="240" w:after="240"/>
        <w:ind w:left="567" w:right="539"/>
        <w:jc w:val="both"/>
        <w:rPr>
          <w:rFonts w:ascii="Palatino Linotype" w:hAnsi="Palatino Linotype"/>
          <w:i/>
          <w:color w:val="000000"/>
          <w:szCs w:val="22"/>
        </w:rPr>
      </w:pPr>
    </w:p>
    <w:p w14:paraId="08C72303" w14:textId="63F69D6C" w:rsidR="00322F72" w:rsidRPr="002341AF" w:rsidRDefault="00322F72" w:rsidP="00A871C4">
      <w:pPr>
        <w:pStyle w:val="Prrafodelista"/>
        <w:spacing w:before="240" w:after="240" w:line="360" w:lineRule="auto"/>
        <w:ind w:left="0"/>
        <w:jc w:val="both"/>
        <w:rPr>
          <w:rFonts w:ascii="Palatino Linotype" w:hAnsi="Palatino Linotype"/>
          <w:iCs/>
          <w:color w:val="000000"/>
          <w:sz w:val="24"/>
        </w:rPr>
      </w:pPr>
      <w:r w:rsidRPr="002341AF">
        <w:rPr>
          <w:rFonts w:ascii="Palatino Linotype" w:hAnsi="Palatino Linotype"/>
          <w:iCs/>
          <w:color w:val="000000"/>
          <w:sz w:val="24"/>
        </w:rPr>
        <w:t xml:space="preserve">Se adjuntaron los archivos electrónicos denominados: </w:t>
      </w:r>
      <w:hyperlink r:id="rId9" w:tgtFrame="_blank" w:history="1">
        <w:r w:rsidRPr="002341AF">
          <w:rPr>
            <w:rStyle w:val="Hipervnculo"/>
            <w:rFonts w:ascii="Palatino Linotype" w:hAnsi="Palatino Linotype" w:cs="Arial"/>
            <w:b/>
            <w:bCs/>
            <w:iCs/>
            <w:color w:val="000000" w:themeColor="text1"/>
            <w:szCs w:val="22"/>
            <w:u w:val="none"/>
          </w:rPr>
          <w:t>C. Solicitud de Información - En Poder de Otro Sujeto Obligo 08.pdf</w:t>
        </w:r>
      </w:hyperlink>
      <w:r w:rsidRPr="002341AF">
        <w:rPr>
          <w:rFonts w:ascii="Palatino Linotype" w:hAnsi="Palatino Linotype"/>
          <w:b/>
          <w:bCs/>
          <w:iCs/>
          <w:color w:val="000000" w:themeColor="text1"/>
          <w:szCs w:val="22"/>
        </w:rPr>
        <w:t xml:space="preserve">, </w:t>
      </w:r>
      <w:hyperlink r:id="rId10" w:tgtFrame="_blank" w:history="1">
        <w:r w:rsidRPr="002341AF">
          <w:rPr>
            <w:rStyle w:val="Hipervnculo"/>
            <w:rFonts w:ascii="Palatino Linotype" w:hAnsi="Palatino Linotype" w:cs="Arial"/>
            <w:b/>
            <w:bCs/>
            <w:iCs/>
            <w:color w:val="000000" w:themeColor="text1"/>
            <w:szCs w:val="22"/>
            <w:u w:val="none"/>
          </w:rPr>
          <w:t>C. Solicitud de Información - En Poder de Otro Sujeto Obligo 09.pdf</w:t>
        </w:r>
      </w:hyperlink>
      <w:r w:rsidRPr="002341AF">
        <w:rPr>
          <w:rFonts w:ascii="Palatino Linotype" w:hAnsi="Palatino Linotype"/>
          <w:b/>
          <w:bCs/>
          <w:iCs/>
          <w:color w:val="000000" w:themeColor="text1"/>
          <w:szCs w:val="22"/>
        </w:rPr>
        <w:t xml:space="preserve">, </w:t>
      </w:r>
      <w:hyperlink r:id="rId11" w:tgtFrame="_blank" w:history="1">
        <w:r w:rsidRPr="002341AF">
          <w:rPr>
            <w:rStyle w:val="Hipervnculo"/>
            <w:rFonts w:ascii="Palatino Linotype" w:hAnsi="Palatino Linotype" w:cs="Arial"/>
            <w:b/>
            <w:bCs/>
            <w:iCs/>
            <w:color w:val="000000" w:themeColor="text1"/>
            <w:szCs w:val="22"/>
            <w:u w:val="none"/>
          </w:rPr>
          <w:t>C. Solicitud de Información - En Poder de Otro Sujeto Obligo 10.pdf</w:t>
        </w:r>
      </w:hyperlink>
      <w:r w:rsidRPr="002341AF">
        <w:rPr>
          <w:rFonts w:ascii="Palatino Linotype" w:hAnsi="Palatino Linotype"/>
          <w:b/>
          <w:bCs/>
          <w:iCs/>
          <w:color w:val="000000" w:themeColor="text1"/>
          <w:szCs w:val="22"/>
        </w:rPr>
        <w:t xml:space="preserve">, </w:t>
      </w:r>
      <w:hyperlink r:id="rId12" w:tgtFrame="_blank" w:history="1">
        <w:r w:rsidRPr="002341AF">
          <w:rPr>
            <w:rStyle w:val="Hipervnculo"/>
            <w:rFonts w:ascii="Palatino Linotype" w:hAnsi="Palatino Linotype" w:cs="Arial"/>
            <w:b/>
            <w:bCs/>
            <w:iCs/>
            <w:color w:val="000000" w:themeColor="text1"/>
            <w:szCs w:val="22"/>
            <w:u w:val="none"/>
          </w:rPr>
          <w:t>C. Solicitud de Información - En Poder de Otro Sujeto Obligo 11.pdf</w:t>
        </w:r>
      </w:hyperlink>
      <w:r w:rsidRPr="002341AF">
        <w:rPr>
          <w:rFonts w:ascii="Palatino Linotype" w:hAnsi="Palatino Linotype"/>
          <w:b/>
          <w:bCs/>
          <w:iCs/>
          <w:color w:val="000000" w:themeColor="text1"/>
          <w:szCs w:val="22"/>
        </w:rPr>
        <w:t xml:space="preserve"> </w:t>
      </w:r>
      <w:hyperlink r:id="rId13" w:tgtFrame="_blank" w:history="1">
        <w:r w:rsidRPr="002341AF">
          <w:rPr>
            <w:rStyle w:val="Hipervnculo"/>
            <w:rFonts w:ascii="Palatino Linotype" w:hAnsi="Palatino Linotype" w:cs="Arial"/>
            <w:b/>
            <w:bCs/>
            <w:iCs/>
            <w:color w:val="000000" w:themeColor="text1"/>
            <w:szCs w:val="22"/>
            <w:u w:val="none"/>
          </w:rPr>
          <w:t>C. Solicitud de Información - En Poder de Otro Sujeto Obligo 12.pdf</w:t>
        </w:r>
      </w:hyperlink>
      <w:r w:rsidRPr="002341AF">
        <w:rPr>
          <w:rFonts w:ascii="Palatino Linotype" w:hAnsi="Palatino Linotype"/>
          <w:b/>
          <w:bCs/>
          <w:iCs/>
          <w:color w:val="000000" w:themeColor="text1"/>
          <w:szCs w:val="22"/>
        </w:rPr>
        <w:t xml:space="preserve">, correspondientemente; </w:t>
      </w:r>
      <w:r w:rsidRPr="002341AF">
        <w:rPr>
          <w:rFonts w:ascii="Palatino Linotype" w:hAnsi="Palatino Linotype"/>
          <w:iCs/>
          <w:color w:val="000000" w:themeColor="text1"/>
          <w:szCs w:val="22"/>
        </w:rPr>
        <w:t>por medio de los cuales</w:t>
      </w:r>
      <w:r w:rsidR="00261B61" w:rsidRPr="002341AF">
        <w:rPr>
          <w:rFonts w:ascii="Palatino Linotype" w:hAnsi="Palatino Linotype"/>
          <w:iCs/>
          <w:color w:val="000000" w:themeColor="text1"/>
          <w:szCs w:val="22"/>
        </w:rPr>
        <w:t>,</w:t>
      </w:r>
      <w:r w:rsidRPr="002341AF">
        <w:rPr>
          <w:rFonts w:ascii="Palatino Linotype" w:hAnsi="Palatino Linotype"/>
          <w:iCs/>
          <w:color w:val="000000" w:themeColor="text1"/>
          <w:szCs w:val="22"/>
        </w:rPr>
        <w:t xml:space="preserve"> el </w:t>
      </w:r>
      <w:r w:rsidRPr="002341AF">
        <w:rPr>
          <w:rFonts w:ascii="Palatino Linotype" w:hAnsi="Palatino Linotype"/>
          <w:b/>
          <w:bCs/>
          <w:iCs/>
          <w:color w:val="000000" w:themeColor="text1"/>
          <w:szCs w:val="22"/>
        </w:rPr>
        <w:t>SUJETO OBLIGADO</w:t>
      </w:r>
      <w:r w:rsidRPr="002341AF">
        <w:rPr>
          <w:rFonts w:ascii="Palatino Linotype" w:hAnsi="Palatino Linotype"/>
          <w:iCs/>
          <w:color w:val="000000" w:themeColor="text1"/>
          <w:szCs w:val="22"/>
        </w:rPr>
        <w:t xml:space="preserve"> declaró la incompetencia para poseer y hacer entrega de </w:t>
      </w:r>
      <w:r w:rsidR="00261B61" w:rsidRPr="002341AF">
        <w:rPr>
          <w:rFonts w:ascii="Palatino Linotype" w:hAnsi="Palatino Linotype"/>
          <w:iCs/>
          <w:color w:val="000000" w:themeColor="text1"/>
          <w:szCs w:val="22"/>
        </w:rPr>
        <w:t>lo solicitado</w:t>
      </w:r>
      <w:r w:rsidRPr="002341AF">
        <w:rPr>
          <w:rFonts w:ascii="Palatino Linotype" w:hAnsi="Palatino Linotype"/>
          <w:iCs/>
          <w:color w:val="000000" w:themeColor="text1"/>
          <w:szCs w:val="22"/>
        </w:rPr>
        <w:t>, asimismo, sugirió al Particular presentar una nueva solicitud de información ante la Secretaría de la Contraloría.</w:t>
      </w:r>
    </w:p>
    <w:p w14:paraId="56E77AC3" w14:textId="77777777" w:rsidR="00322F72" w:rsidRPr="002341AF" w:rsidRDefault="00322F72" w:rsidP="00322F72">
      <w:pPr>
        <w:pStyle w:val="Prrafodelista"/>
        <w:spacing w:before="240" w:after="240" w:line="360" w:lineRule="auto"/>
        <w:ind w:left="0"/>
        <w:jc w:val="both"/>
        <w:rPr>
          <w:rFonts w:ascii="Palatino Linotype" w:hAnsi="Palatino Linotype" w:cs="Arial"/>
          <w:i/>
          <w:sz w:val="24"/>
        </w:rPr>
      </w:pPr>
    </w:p>
    <w:p w14:paraId="518CDCD9" w14:textId="7BA1B8AB" w:rsidR="005000AA" w:rsidRPr="002341AF" w:rsidRDefault="002A4AE4" w:rsidP="005000AA">
      <w:pPr>
        <w:pStyle w:val="Prrafodelista"/>
        <w:numPr>
          <w:ilvl w:val="0"/>
          <w:numId w:val="3"/>
        </w:numPr>
        <w:spacing w:before="240" w:after="240" w:line="360" w:lineRule="auto"/>
        <w:ind w:left="0" w:firstLine="0"/>
        <w:jc w:val="both"/>
        <w:rPr>
          <w:rFonts w:ascii="Palatino Linotype" w:hAnsi="Palatino Linotype" w:cs="Arial"/>
          <w:i/>
          <w:sz w:val="24"/>
        </w:rPr>
      </w:pPr>
      <w:r w:rsidRPr="002341AF">
        <w:rPr>
          <w:rFonts w:ascii="Palatino Linotype" w:eastAsia="Calibri" w:hAnsi="Palatino Linotype" w:cs="Arial"/>
          <w:sz w:val="24"/>
          <w:lang w:val="es-AR"/>
        </w:rPr>
        <w:t xml:space="preserve">El </w:t>
      </w:r>
      <w:r w:rsidR="007A5713" w:rsidRPr="002341AF">
        <w:rPr>
          <w:rFonts w:ascii="Palatino Linotype" w:eastAsia="Calibri" w:hAnsi="Palatino Linotype" w:cs="Arial"/>
          <w:sz w:val="24"/>
          <w:lang w:val="es-AR"/>
        </w:rPr>
        <w:t>veinti</w:t>
      </w:r>
      <w:r w:rsidR="00322F72" w:rsidRPr="002341AF">
        <w:rPr>
          <w:rFonts w:ascii="Palatino Linotype" w:eastAsia="Calibri" w:hAnsi="Palatino Linotype" w:cs="Arial"/>
          <w:sz w:val="24"/>
          <w:lang w:val="es-AR"/>
        </w:rPr>
        <w:t xml:space="preserve">dós </w:t>
      </w:r>
      <w:r w:rsidR="007A5713" w:rsidRPr="002341AF">
        <w:rPr>
          <w:rFonts w:ascii="Palatino Linotype" w:eastAsia="Calibri" w:hAnsi="Palatino Linotype" w:cs="Arial"/>
          <w:sz w:val="24"/>
          <w:lang w:val="es-AR"/>
        </w:rPr>
        <w:t>(2</w:t>
      </w:r>
      <w:r w:rsidR="00322F72" w:rsidRPr="002341AF">
        <w:rPr>
          <w:rFonts w:ascii="Palatino Linotype" w:eastAsia="Calibri" w:hAnsi="Palatino Linotype" w:cs="Arial"/>
          <w:sz w:val="24"/>
          <w:lang w:val="es-AR"/>
        </w:rPr>
        <w:t>2</w:t>
      </w:r>
      <w:r w:rsidR="007A5713" w:rsidRPr="002341AF">
        <w:rPr>
          <w:rFonts w:ascii="Palatino Linotype" w:eastAsia="Calibri" w:hAnsi="Palatino Linotype" w:cs="Arial"/>
          <w:sz w:val="24"/>
          <w:lang w:val="es-AR"/>
        </w:rPr>
        <w:t>)</w:t>
      </w:r>
      <w:r w:rsidR="00D74DC2" w:rsidRPr="002341AF">
        <w:rPr>
          <w:rFonts w:ascii="Palatino Linotype" w:eastAsia="Calibri" w:hAnsi="Palatino Linotype" w:cs="Arial"/>
          <w:sz w:val="24"/>
          <w:lang w:val="es-AR"/>
        </w:rPr>
        <w:t xml:space="preserve"> </w:t>
      </w:r>
      <w:r w:rsidR="005000AA" w:rsidRPr="002341AF">
        <w:rPr>
          <w:rFonts w:ascii="Palatino Linotype" w:eastAsia="Calibri" w:hAnsi="Palatino Linotype" w:cs="Arial"/>
          <w:sz w:val="24"/>
          <w:lang w:val="es-AR"/>
        </w:rPr>
        <w:t>de</w:t>
      </w:r>
      <w:r w:rsidR="007A5713" w:rsidRPr="002341AF">
        <w:rPr>
          <w:rFonts w:ascii="Palatino Linotype" w:eastAsia="Calibri" w:hAnsi="Palatino Linotype" w:cs="Arial"/>
          <w:sz w:val="24"/>
          <w:lang w:val="es-AR"/>
        </w:rPr>
        <w:t xml:space="preserve"> </w:t>
      </w:r>
      <w:r w:rsidR="00322F72" w:rsidRPr="002341AF">
        <w:rPr>
          <w:rFonts w:ascii="Palatino Linotype" w:eastAsia="Calibri" w:hAnsi="Palatino Linotype" w:cs="Arial"/>
          <w:sz w:val="24"/>
          <w:lang w:val="es-AR"/>
        </w:rPr>
        <w:t>mayo</w:t>
      </w:r>
      <w:r w:rsidR="007A5713" w:rsidRPr="002341AF">
        <w:rPr>
          <w:rFonts w:ascii="Palatino Linotype" w:eastAsia="Calibri" w:hAnsi="Palatino Linotype" w:cs="Arial"/>
          <w:sz w:val="24"/>
          <w:lang w:val="es-AR"/>
        </w:rPr>
        <w:t xml:space="preserve"> de</w:t>
      </w:r>
      <w:r w:rsidR="005000AA" w:rsidRPr="002341AF">
        <w:rPr>
          <w:rFonts w:ascii="Palatino Linotype" w:hAnsi="Palatino Linotype" w:cs="Arial"/>
          <w:sz w:val="24"/>
          <w:lang w:val="es-ES"/>
        </w:rPr>
        <w:t xml:space="preserve"> dos mil veinti</w:t>
      </w:r>
      <w:r w:rsidR="00322F72" w:rsidRPr="002341AF">
        <w:rPr>
          <w:rFonts w:ascii="Palatino Linotype" w:hAnsi="Palatino Linotype" w:cs="Arial"/>
          <w:sz w:val="24"/>
          <w:lang w:val="es-ES"/>
        </w:rPr>
        <w:t>trés</w:t>
      </w:r>
      <w:r w:rsidR="005000AA" w:rsidRPr="002341AF">
        <w:rPr>
          <w:rFonts w:ascii="Palatino Linotype" w:hAnsi="Palatino Linotype" w:cs="Arial"/>
          <w:sz w:val="24"/>
          <w:lang w:val="es-ES"/>
        </w:rPr>
        <w:t>,</w:t>
      </w:r>
      <w:r w:rsidR="007A5713" w:rsidRPr="002341AF">
        <w:rPr>
          <w:rFonts w:ascii="Palatino Linotype" w:hAnsi="Palatino Linotype" w:cs="Arial"/>
          <w:sz w:val="24"/>
          <w:lang w:val="es-ES"/>
        </w:rPr>
        <w:t xml:space="preserve"> el </w:t>
      </w:r>
      <w:r w:rsidR="00322F72" w:rsidRPr="002341AF">
        <w:rPr>
          <w:rFonts w:ascii="Palatino Linotype" w:hAnsi="Palatino Linotype"/>
          <w:b/>
          <w:sz w:val="24"/>
        </w:rPr>
        <w:t>RECURRENTE</w:t>
      </w:r>
      <w:r w:rsidR="005000AA" w:rsidRPr="002341AF">
        <w:rPr>
          <w:rFonts w:ascii="Palatino Linotype" w:hAnsi="Palatino Linotype" w:cs="Arial"/>
          <w:sz w:val="24"/>
          <w:lang w:val="es-ES"/>
        </w:rPr>
        <w:t xml:space="preserve"> interpuso </w:t>
      </w:r>
      <w:r w:rsidR="00043374" w:rsidRPr="002341AF">
        <w:rPr>
          <w:rFonts w:ascii="Palatino Linotype" w:hAnsi="Palatino Linotype" w:cs="Arial"/>
          <w:sz w:val="24"/>
          <w:lang w:val="es-ES"/>
        </w:rPr>
        <w:t>los</w:t>
      </w:r>
      <w:r w:rsidR="005000AA" w:rsidRPr="002341AF">
        <w:rPr>
          <w:rFonts w:ascii="Palatino Linotype" w:hAnsi="Palatino Linotype" w:cs="Arial"/>
          <w:sz w:val="24"/>
          <w:lang w:val="es-ES"/>
        </w:rPr>
        <w:t xml:space="preserve"> recurso</w:t>
      </w:r>
      <w:r w:rsidR="00043374" w:rsidRPr="002341AF">
        <w:rPr>
          <w:rFonts w:ascii="Palatino Linotype" w:hAnsi="Palatino Linotype" w:cs="Arial"/>
          <w:sz w:val="24"/>
          <w:lang w:val="es-ES"/>
        </w:rPr>
        <w:t>s</w:t>
      </w:r>
      <w:r w:rsidR="005000AA" w:rsidRPr="002341AF">
        <w:rPr>
          <w:rFonts w:ascii="Palatino Linotype" w:hAnsi="Palatino Linotype" w:cs="Arial"/>
          <w:sz w:val="24"/>
          <w:lang w:val="es-ES"/>
        </w:rPr>
        <w:t xml:space="preserve"> de revisión, en contra de la</w:t>
      </w:r>
      <w:r w:rsidR="00085D14" w:rsidRPr="002341AF">
        <w:rPr>
          <w:rFonts w:ascii="Palatino Linotype" w:hAnsi="Palatino Linotype" w:cs="Arial"/>
          <w:sz w:val="24"/>
          <w:lang w:val="es-ES"/>
        </w:rPr>
        <w:t>s</w:t>
      </w:r>
      <w:r w:rsidR="005000AA" w:rsidRPr="002341AF">
        <w:rPr>
          <w:rFonts w:ascii="Palatino Linotype" w:hAnsi="Palatino Linotype" w:cs="Arial"/>
          <w:sz w:val="24"/>
          <w:lang w:val="es-ES"/>
        </w:rPr>
        <w:t xml:space="preserve"> respuesta</w:t>
      </w:r>
      <w:r w:rsidR="00043374" w:rsidRPr="002341AF">
        <w:rPr>
          <w:rFonts w:ascii="Palatino Linotype" w:hAnsi="Palatino Linotype" w:cs="Arial"/>
          <w:sz w:val="24"/>
          <w:lang w:val="es-ES"/>
        </w:rPr>
        <w:t>s</w:t>
      </w:r>
      <w:r w:rsidR="005000AA" w:rsidRPr="002341AF">
        <w:rPr>
          <w:rFonts w:ascii="Palatino Linotype" w:hAnsi="Palatino Linotype" w:cs="Arial"/>
          <w:sz w:val="24"/>
          <w:lang w:val="es-ES"/>
        </w:rPr>
        <w:t xml:space="preserve"> y, señaló</w:t>
      </w:r>
      <w:r w:rsidR="00085D14" w:rsidRPr="002341AF">
        <w:rPr>
          <w:rFonts w:ascii="Palatino Linotype" w:hAnsi="Palatino Linotype" w:cs="Arial"/>
          <w:sz w:val="24"/>
          <w:lang w:val="es-ES"/>
        </w:rPr>
        <w:t>, en todos y cada uno de los recursos</w:t>
      </w:r>
      <w:r w:rsidR="005000AA" w:rsidRPr="002341AF">
        <w:rPr>
          <w:rFonts w:ascii="Palatino Linotype" w:hAnsi="Palatino Linotype" w:cs="Arial"/>
          <w:sz w:val="24"/>
          <w:lang w:val="es-ES"/>
        </w:rPr>
        <w:t xml:space="preserve"> como:</w:t>
      </w:r>
      <w:bookmarkStart w:id="1" w:name="_Toc462307683"/>
      <w:bookmarkStart w:id="2" w:name="_Toc472427085"/>
      <w:bookmarkStart w:id="3" w:name="_Toc472500652"/>
    </w:p>
    <w:p w14:paraId="4BAC304F" w14:textId="77777777" w:rsidR="00F714A9" w:rsidRPr="002341AF" w:rsidRDefault="00F714A9" w:rsidP="005000AA">
      <w:pPr>
        <w:pStyle w:val="Prrafodelista"/>
        <w:rPr>
          <w:rFonts w:ascii="Palatino Linotype" w:eastAsia="Calibri" w:hAnsi="Palatino Linotype" w:cs="Tahoma"/>
          <w:b/>
          <w:sz w:val="24"/>
          <w:lang w:eastAsia="en-US"/>
        </w:rPr>
      </w:pPr>
    </w:p>
    <w:p w14:paraId="137ACA93" w14:textId="2D1AA949" w:rsidR="00F714A9" w:rsidRPr="002341AF" w:rsidRDefault="00F714A9" w:rsidP="00261B61">
      <w:pPr>
        <w:pStyle w:val="Prrafodelista"/>
        <w:ind w:left="567" w:right="539"/>
        <w:jc w:val="both"/>
        <w:rPr>
          <w:rFonts w:ascii="Palatino Linotype" w:hAnsi="Palatino Linotype"/>
          <w:bCs/>
          <w:i/>
          <w:iCs/>
          <w:szCs w:val="22"/>
        </w:rPr>
      </w:pPr>
      <w:r w:rsidRPr="002341AF">
        <w:rPr>
          <w:rFonts w:ascii="Palatino Linotype" w:hAnsi="Palatino Linotype"/>
          <w:b/>
          <w:szCs w:val="22"/>
        </w:rPr>
        <w:t xml:space="preserve">Acto impugnado: </w:t>
      </w:r>
      <w:r w:rsidRPr="002341AF">
        <w:rPr>
          <w:rFonts w:ascii="Palatino Linotype" w:hAnsi="Palatino Linotype"/>
          <w:bCs/>
          <w:i/>
          <w:iCs/>
          <w:szCs w:val="22"/>
        </w:rPr>
        <w:t>“</w:t>
      </w:r>
      <w:r w:rsidR="00322F72" w:rsidRPr="002341AF">
        <w:rPr>
          <w:rFonts w:ascii="Palatino Linotype" w:hAnsi="Palatino Linotype"/>
          <w:i/>
          <w:iCs/>
          <w:color w:val="000000"/>
          <w:szCs w:val="22"/>
        </w:rPr>
        <w:t>NIEGAN INFORMACIÓIN</w:t>
      </w:r>
      <w:r w:rsidR="00261B61" w:rsidRPr="002341AF">
        <w:rPr>
          <w:rFonts w:ascii="Palatino Linotype" w:hAnsi="Palatino Linotype"/>
          <w:bCs/>
          <w:i/>
          <w:iCs/>
          <w:szCs w:val="22"/>
        </w:rPr>
        <w:t>” (sic)</w:t>
      </w:r>
    </w:p>
    <w:p w14:paraId="31EB5B4F" w14:textId="77777777" w:rsidR="00261B61" w:rsidRPr="002341AF" w:rsidRDefault="00261B61" w:rsidP="00261B61">
      <w:pPr>
        <w:pStyle w:val="Prrafodelista"/>
        <w:ind w:left="567" w:right="539"/>
        <w:jc w:val="both"/>
        <w:rPr>
          <w:rFonts w:ascii="Palatino Linotype" w:hAnsi="Palatino Linotype" w:cstheme="minorBidi"/>
          <w:bCs/>
          <w:i/>
          <w:iCs/>
          <w:szCs w:val="22"/>
        </w:rPr>
      </w:pPr>
    </w:p>
    <w:p w14:paraId="68BA12FC" w14:textId="1694FA89" w:rsidR="00F714A9" w:rsidRPr="002341AF" w:rsidRDefault="00F714A9" w:rsidP="00261B61">
      <w:pPr>
        <w:pStyle w:val="Prrafodelista"/>
        <w:ind w:left="567" w:right="539"/>
        <w:jc w:val="both"/>
        <w:rPr>
          <w:rFonts w:ascii="Palatino Linotype" w:eastAsia="Calibri" w:hAnsi="Palatino Linotype" w:cs="Arial"/>
          <w:i/>
          <w:szCs w:val="22"/>
          <w:lang w:val="es-ES"/>
        </w:rPr>
      </w:pPr>
      <w:r w:rsidRPr="002341AF">
        <w:rPr>
          <w:rFonts w:ascii="Palatino Linotype" w:hAnsi="Palatino Linotype"/>
          <w:b/>
          <w:szCs w:val="22"/>
        </w:rPr>
        <w:t>Razones o Motivos de Inconformidad</w:t>
      </w:r>
      <w:r w:rsidRPr="002341AF">
        <w:rPr>
          <w:rFonts w:ascii="Palatino Linotype" w:hAnsi="Palatino Linotype"/>
          <w:b/>
          <w:i/>
          <w:iCs/>
          <w:szCs w:val="22"/>
        </w:rPr>
        <w:t>:</w:t>
      </w:r>
      <w:r w:rsidRPr="002341AF">
        <w:rPr>
          <w:rStyle w:val="Ttulo2Car"/>
          <w:rFonts w:ascii="Palatino Linotype" w:hAnsi="Palatino Linotype"/>
          <w:b/>
          <w:i/>
          <w:iCs/>
          <w:sz w:val="22"/>
          <w:szCs w:val="22"/>
          <w:lang w:val="es-ES"/>
        </w:rPr>
        <w:t xml:space="preserve"> </w:t>
      </w:r>
      <w:r w:rsidRPr="002341AF">
        <w:rPr>
          <w:rFonts w:ascii="Palatino Linotype" w:hAnsi="Palatino Linotype"/>
          <w:i/>
          <w:iCs/>
          <w:szCs w:val="22"/>
        </w:rPr>
        <w:t>“</w:t>
      </w:r>
      <w:r w:rsidR="00322F72" w:rsidRPr="002341AF">
        <w:rPr>
          <w:rFonts w:ascii="Palatino Linotype" w:hAnsi="Palatino Linotype"/>
          <w:i/>
          <w:iCs/>
          <w:color w:val="000000"/>
          <w:szCs w:val="22"/>
        </w:rPr>
        <w:t>NIEGAN INFORMACIÓIN Y TAMPOCO EXISTE UN ACUERDO DE INCOMPETENCIA DEBIDAMENTE VALIDADO POR EL COMITE DE TRANSPARENCIA COMO LA LEY DE TRASPARENCIA LO INDICA.</w:t>
      </w:r>
      <w:r w:rsidRPr="002341AF">
        <w:rPr>
          <w:rFonts w:ascii="Palatino Linotype" w:hAnsi="Palatino Linotype"/>
          <w:i/>
          <w:iCs/>
          <w:szCs w:val="22"/>
        </w:rPr>
        <w:t>"</w:t>
      </w:r>
      <w:r w:rsidRPr="002341AF">
        <w:rPr>
          <w:rFonts w:ascii="Palatino Linotype" w:eastAsia="Calibri" w:hAnsi="Palatino Linotype" w:cs="Arial"/>
          <w:i/>
          <w:iCs/>
          <w:szCs w:val="22"/>
          <w:lang w:val="es-ES"/>
        </w:rPr>
        <w:t>(Sic)</w:t>
      </w:r>
    </w:p>
    <w:p w14:paraId="704B4AA0" w14:textId="77777777" w:rsidR="00F714A9" w:rsidRPr="002341AF" w:rsidRDefault="00F714A9" w:rsidP="005000AA">
      <w:pPr>
        <w:pStyle w:val="Prrafodelista"/>
        <w:rPr>
          <w:rFonts w:ascii="Palatino Linotype" w:eastAsia="Calibri" w:hAnsi="Palatino Linotype" w:cs="Tahoma"/>
          <w:b/>
          <w:sz w:val="24"/>
          <w:lang w:eastAsia="en-US"/>
        </w:rPr>
      </w:pPr>
    </w:p>
    <w:bookmarkEnd w:id="1"/>
    <w:bookmarkEnd w:id="2"/>
    <w:bookmarkEnd w:id="3"/>
    <w:p w14:paraId="21EFF6B2" w14:textId="1082322B" w:rsidR="005000AA" w:rsidRPr="002341AF" w:rsidRDefault="005000AA" w:rsidP="005000AA">
      <w:pPr>
        <w:pStyle w:val="Prrafodelista"/>
        <w:numPr>
          <w:ilvl w:val="0"/>
          <w:numId w:val="3"/>
        </w:numPr>
        <w:spacing w:before="240" w:after="240" w:line="360" w:lineRule="auto"/>
        <w:ind w:left="0" w:firstLine="0"/>
        <w:jc w:val="both"/>
        <w:rPr>
          <w:rFonts w:ascii="Palatino Linotype" w:eastAsia="Calibri" w:hAnsi="Palatino Linotype" w:cs="Arial"/>
          <w:sz w:val="24"/>
          <w:lang w:val="es-AR"/>
        </w:rPr>
      </w:pPr>
      <w:r w:rsidRPr="002341AF">
        <w:rPr>
          <w:rFonts w:ascii="Palatino Linotype" w:hAnsi="Palatino Linotype" w:cs="Arial"/>
          <w:sz w:val="24"/>
          <w:lang w:val="es-ES"/>
        </w:rPr>
        <w:t>Se regist</w:t>
      </w:r>
      <w:r w:rsidR="00043374" w:rsidRPr="002341AF">
        <w:rPr>
          <w:rFonts w:ascii="Palatino Linotype" w:hAnsi="Palatino Linotype" w:cs="Arial"/>
          <w:sz w:val="24"/>
          <w:lang w:val="es-ES"/>
        </w:rPr>
        <w:t>raron</w:t>
      </w:r>
      <w:r w:rsidRPr="002341AF">
        <w:rPr>
          <w:rFonts w:ascii="Palatino Linotype" w:hAnsi="Palatino Linotype" w:cs="Arial"/>
          <w:sz w:val="24"/>
          <w:lang w:val="es-ES"/>
        </w:rPr>
        <w:t xml:space="preserve"> </w:t>
      </w:r>
      <w:r w:rsidR="00043374" w:rsidRPr="002341AF">
        <w:rPr>
          <w:rFonts w:ascii="Palatino Linotype" w:hAnsi="Palatino Linotype" w:cs="Arial"/>
          <w:sz w:val="24"/>
          <w:lang w:val="es-ES"/>
        </w:rPr>
        <w:t>los</w:t>
      </w:r>
      <w:r w:rsidRPr="002341AF">
        <w:rPr>
          <w:rFonts w:ascii="Palatino Linotype" w:hAnsi="Palatino Linotype" w:cs="Arial"/>
          <w:sz w:val="24"/>
          <w:lang w:val="es-ES"/>
        </w:rPr>
        <w:t xml:space="preserve"> recurso</w:t>
      </w:r>
      <w:r w:rsidR="00043374" w:rsidRPr="002341AF">
        <w:rPr>
          <w:rFonts w:ascii="Palatino Linotype" w:hAnsi="Palatino Linotype" w:cs="Arial"/>
          <w:sz w:val="24"/>
          <w:lang w:val="es-ES"/>
        </w:rPr>
        <w:t>s</w:t>
      </w:r>
      <w:r w:rsidRPr="002341AF">
        <w:rPr>
          <w:rFonts w:ascii="Palatino Linotype" w:hAnsi="Palatino Linotype" w:cs="Arial"/>
          <w:sz w:val="24"/>
          <w:lang w:val="es-ES"/>
        </w:rPr>
        <w:t xml:space="preserve"> de revisión bajo </w:t>
      </w:r>
      <w:r w:rsidR="00043374" w:rsidRPr="002341AF">
        <w:rPr>
          <w:rFonts w:ascii="Palatino Linotype" w:hAnsi="Palatino Linotype" w:cs="Arial"/>
          <w:sz w:val="24"/>
          <w:lang w:val="es-ES"/>
        </w:rPr>
        <w:t>los</w:t>
      </w:r>
      <w:r w:rsidRPr="002341AF">
        <w:rPr>
          <w:rFonts w:ascii="Palatino Linotype" w:hAnsi="Palatino Linotype" w:cs="Arial"/>
          <w:sz w:val="24"/>
          <w:lang w:val="es-ES"/>
        </w:rPr>
        <w:t xml:space="preserve"> número</w:t>
      </w:r>
      <w:r w:rsidR="00043374" w:rsidRPr="002341AF">
        <w:rPr>
          <w:rFonts w:ascii="Palatino Linotype" w:hAnsi="Palatino Linotype" w:cs="Arial"/>
          <w:sz w:val="24"/>
          <w:lang w:val="es-ES"/>
        </w:rPr>
        <w:t>s</w:t>
      </w:r>
      <w:r w:rsidRPr="002341AF">
        <w:rPr>
          <w:rFonts w:ascii="Palatino Linotype" w:hAnsi="Palatino Linotype" w:cs="Arial"/>
          <w:sz w:val="24"/>
          <w:lang w:val="es-ES"/>
        </w:rPr>
        <w:t xml:space="preserve"> de expediente </w:t>
      </w:r>
      <w:r w:rsidRPr="002341AF">
        <w:rPr>
          <w:rFonts w:ascii="Palatino Linotype" w:hAnsi="Palatino Linotype" w:cs="Arial"/>
          <w:bCs/>
          <w:sz w:val="24"/>
        </w:rPr>
        <w:t>al rubro indicado</w:t>
      </w:r>
      <w:r w:rsidR="00043374" w:rsidRPr="002341AF">
        <w:rPr>
          <w:rFonts w:ascii="Palatino Linotype" w:hAnsi="Palatino Linotype" w:cs="Arial"/>
          <w:bCs/>
          <w:sz w:val="24"/>
        </w:rPr>
        <w:t>s</w:t>
      </w:r>
      <w:r w:rsidRPr="002341AF">
        <w:rPr>
          <w:rFonts w:ascii="Palatino Linotype" w:hAnsi="Palatino Linotype" w:cs="Arial"/>
          <w:bCs/>
          <w:sz w:val="24"/>
        </w:rPr>
        <w:t xml:space="preserve">, asimismo con fundamento en lo dispuesto por el </w:t>
      </w:r>
      <w:r w:rsidRPr="002341AF">
        <w:rPr>
          <w:rFonts w:ascii="Palatino Linotype" w:eastAsia="Calibri" w:hAnsi="Palatino Linotype" w:cs="Arial"/>
          <w:sz w:val="24"/>
          <w:lang w:val="es-ES"/>
        </w:rPr>
        <w:t xml:space="preserve">artículo 185 fracción I de </w:t>
      </w:r>
      <w:r w:rsidRPr="002341AF">
        <w:rPr>
          <w:rFonts w:ascii="Palatino Linotype" w:eastAsia="Calibri" w:hAnsi="Palatino Linotype" w:cs="Arial"/>
          <w:sz w:val="24"/>
          <w:lang w:val="es-ES"/>
        </w:rPr>
        <w:lastRenderedPageBreak/>
        <w:t xml:space="preserve">la </w:t>
      </w:r>
      <w:r w:rsidRPr="002341AF">
        <w:rPr>
          <w:rFonts w:ascii="Palatino Linotype" w:eastAsia="Calibri" w:hAnsi="Palatino Linotype" w:cs="Arial"/>
          <w:b/>
          <w:sz w:val="24"/>
          <w:lang w:val="es-ES"/>
        </w:rPr>
        <w:t xml:space="preserve">Ley de Transparencia y Acceso a la Información Pública del Estado de México y Municipios </w:t>
      </w:r>
      <w:r w:rsidR="00D31521" w:rsidRPr="002341AF">
        <w:rPr>
          <w:rFonts w:ascii="Palatino Linotype" w:hAnsi="Palatino Linotype" w:cs="Arial"/>
          <w:sz w:val="24"/>
          <w:lang w:val="es-ES"/>
        </w:rPr>
        <w:t>se turnó a</w:t>
      </w:r>
      <w:r w:rsidR="00F942BD" w:rsidRPr="002341AF">
        <w:rPr>
          <w:rFonts w:ascii="Palatino Linotype" w:hAnsi="Palatino Linotype" w:cs="Arial"/>
          <w:sz w:val="24"/>
          <w:lang w:val="es-ES"/>
        </w:rPr>
        <w:t xml:space="preserve"> </w:t>
      </w:r>
      <w:r w:rsidRPr="002341AF">
        <w:rPr>
          <w:rFonts w:ascii="Palatino Linotype" w:hAnsi="Palatino Linotype" w:cs="Arial"/>
          <w:sz w:val="24"/>
          <w:lang w:val="es-ES"/>
        </w:rPr>
        <w:t>l</w:t>
      </w:r>
      <w:r w:rsidR="00F942BD" w:rsidRPr="002341AF">
        <w:rPr>
          <w:rFonts w:ascii="Palatino Linotype" w:hAnsi="Palatino Linotype" w:cs="Arial"/>
          <w:sz w:val="24"/>
          <w:lang w:val="es-ES"/>
        </w:rPr>
        <w:t>a</w:t>
      </w:r>
      <w:r w:rsidRPr="002341AF">
        <w:rPr>
          <w:rFonts w:ascii="Palatino Linotype" w:hAnsi="Palatino Linotype" w:cs="Arial"/>
          <w:sz w:val="24"/>
          <w:lang w:val="es-ES"/>
        </w:rPr>
        <w:t xml:space="preserve"> </w:t>
      </w:r>
      <w:r w:rsidR="00F942BD" w:rsidRPr="002341AF">
        <w:rPr>
          <w:rFonts w:ascii="Palatino Linotype" w:hAnsi="Palatino Linotype" w:cs="Arial"/>
          <w:b/>
          <w:sz w:val="24"/>
          <w:lang w:val="es-ES"/>
        </w:rPr>
        <w:t>Comisionada</w:t>
      </w:r>
      <w:r w:rsidRPr="002341AF">
        <w:rPr>
          <w:rFonts w:ascii="Palatino Linotype" w:hAnsi="Palatino Linotype" w:cs="Arial"/>
          <w:b/>
          <w:sz w:val="24"/>
          <w:lang w:val="es-ES"/>
        </w:rPr>
        <w:t xml:space="preserve"> </w:t>
      </w:r>
      <w:r w:rsidR="00F942BD" w:rsidRPr="002341AF">
        <w:rPr>
          <w:rFonts w:ascii="Palatino Linotype" w:hAnsi="Palatino Linotype" w:cs="Arial"/>
          <w:b/>
          <w:sz w:val="24"/>
          <w:lang w:val="es-ES"/>
        </w:rPr>
        <w:t>María del Rosario Mejía Ayala</w:t>
      </w:r>
      <w:r w:rsidRPr="002341AF">
        <w:rPr>
          <w:rFonts w:ascii="Palatino Linotype" w:hAnsi="Palatino Linotype" w:cs="Arial"/>
          <w:b/>
          <w:sz w:val="24"/>
          <w:lang w:val="es-ES"/>
        </w:rPr>
        <w:t xml:space="preserve">, </w:t>
      </w:r>
      <w:r w:rsidRPr="002341AF">
        <w:rPr>
          <w:rFonts w:ascii="Palatino Linotype" w:hAnsi="Palatino Linotype" w:cs="Arial"/>
          <w:sz w:val="24"/>
          <w:lang w:val="es-ES"/>
        </w:rPr>
        <w:t xml:space="preserve">con el objeto de </w:t>
      </w:r>
      <w:r w:rsidRPr="002341AF">
        <w:rPr>
          <w:rFonts w:ascii="Palatino Linotype" w:hAnsi="Palatino Linotype" w:cs="Arial"/>
          <w:sz w:val="24"/>
        </w:rPr>
        <w:t>su análisis.</w:t>
      </w:r>
    </w:p>
    <w:p w14:paraId="72DD2936" w14:textId="77777777" w:rsidR="00261B61" w:rsidRPr="002341AF" w:rsidRDefault="00261B61" w:rsidP="00261B61">
      <w:pPr>
        <w:pStyle w:val="Prrafodelista"/>
        <w:spacing w:before="240" w:after="240" w:line="360" w:lineRule="auto"/>
        <w:ind w:left="0"/>
        <w:jc w:val="both"/>
        <w:rPr>
          <w:rFonts w:ascii="Palatino Linotype" w:eastAsia="Calibri" w:hAnsi="Palatino Linotype" w:cs="Arial"/>
          <w:sz w:val="24"/>
          <w:lang w:val="es-AR"/>
        </w:rPr>
      </w:pPr>
    </w:p>
    <w:p w14:paraId="51336F6A" w14:textId="78A9CE82" w:rsidR="00043374" w:rsidRPr="002341AF" w:rsidRDefault="00BA2F78" w:rsidP="00B63BE6">
      <w:pPr>
        <w:pStyle w:val="Prrafodelista"/>
        <w:numPr>
          <w:ilvl w:val="0"/>
          <w:numId w:val="3"/>
        </w:numPr>
        <w:spacing w:before="240" w:after="240" w:line="360" w:lineRule="auto"/>
        <w:ind w:left="0" w:firstLine="0"/>
        <w:jc w:val="both"/>
        <w:rPr>
          <w:rFonts w:ascii="Palatino Linotype" w:eastAsiaTheme="minorEastAsia" w:hAnsi="Palatino Linotype" w:cstheme="minorBidi"/>
          <w:i/>
          <w:color w:val="000000"/>
          <w:sz w:val="24"/>
          <w:lang w:val="es-ES_tradnl"/>
        </w:rPr>
      </w:pPr>
      <w:r w:rsidRPr="002341AF">
        <w:rPr>
          <w:rFonts w:ascii="Palatino Linotype" w:eastAsia="Calibri" w:hAnsi="Palatino Linotype" w:cs="Arial"/>
          <w:sz w:val="24"/>
          <w:lang w:val="es-ES"/>
        </w:rPr>
        <w:t>La c</w:t>
      </w:r>
      <w:r w:rsidR="00D73603" w:rsidRPr="002341AF">
        <w:rPr>
          <w:rFonts w:ascii="Palatino Linotype" w:eastAsia="Calibri" w:hAnsi="Palatino Linotype" w:cs="Arial"/>
          <w:sz w:val="24"/>
          <w:lang w:val="es-ES"/>
        </w:rPr>
        <w:t>omisionada</w:t>
      </w:r>
      <w:r w:rsidR="005000AA" w:rsidRPr="002341AF">
        <w:rPr>
          <w:rFonts w:ascii="Palatino Linotype" w:eastAsia="Calibri" w:hAnsi="Palatino Linotype" w:cs="Arial"/>
          <w:sz w:val="24"/>
          <w:lang w:val="es-ES"/>
        </w:rPr>
        <w:t xml:space="preserve"> </w:t>
      </w:r>
      <w:r w:rsidRPr="002341AF">
        <w:rPr>
          <w:rFonts w:ascii="Palatino Linotype" w:eastAsia="Calibri" w:hAnsi="Palatino Linotype" w:cs="Arial"/>
          <w:sz w:val="24"/>
          <w:lang w:val="es-ES"/>
        </w:rPr>
        <w:t>p</w:t>
      </w:r>
      <w:r w:rsidR="005000AA" w:rsidRPr="002341AF">
        <w:rPr>
          <w:rFonts w:ascii="Palatino Linotype" w:eastAsia="Calibri" w:hAnsi="Palatino Linotype" w:cs="Arial"/>
          <w:sz w:val="24"/>
          <w:lang w:val="es-ES"/>
        </w:rPr>
        <w:t>onente con fundamento en lo dispuesto por el artículo 185 fracción II de la ley de la materia, a través del acuerdo de admisión de</w:t>
      </w:r>
      <w:r w:rsidR="00BB3A74" w:rsidRPr="002341AF">
        <w:rPr>
          <w:rFonts w:ascii="Palatino Linotype" w:eastAsia="Calibri" w:hAnsi="Palatino Linotype" w:cs="Arial"/>
          <w:sz w:val="24"/>
          <w:lang w:val="es-ES"/>
        </w:rPr>
        <w:t>l</w:t>
      </w:r>
      <w:r w:rsidR="00322F72" w:rsidRPr="002341AF">
        <w:rPr>
          <w:rFonts w:ascii="Palatino Linotype" w:eastAsia="Calibri" w:hAnsi="Palatino Linotype" w:cs="Arial"/>
          <w:sz w:val="24"/>
          <w:lang w:val="es-ES"/>
        </w:rPr>
        <w:t xml:space="preserve"> veintiséis</w:t>
      </w:r>
      <w:r w:rsidR="00BB3A74" w:rsidRPr="002341AF">
        <w:rPr>
          <w:rFonts w:ascii="Palatino Linotype" w:eastAsia="Calibri" w:hAnsi="Palatino Linotype" w:cs="Arial"/>
          <w:sz w:val="24"/>
          <w:lang w:val="es-ES"/>
        </w:rPr>
        <w:t xml:space="preserve"> (</w:t>
      </w:r>
      <w:r w:rsidR="00322F72" w:rsidRPr="002341AF">
        <w:rPr>
          <w:rFonts w:ascii="Palatino Linotype" w:eastAsia="Calibri" w:hAnsi="Palatino Linotype" w:cs="Arial"/>
          <w:sz w:val="24"/>
          <w:lang w:val="es-ES"/>
        </w:rPr>
        <w:t>26</w:t>
      </w:r>
      <w:r w:rsidR="00BB3A74" w:rsidRPr="002341AF">
        <w:rPr>
          <w:rFonts w:ascii="Palatino Linotype" w:eastAsia="Calibri" w:hAnsi="Palatino Linotype" w:cs="Arial"/>
          <w:sz w:val="24"/>
          <w:lang w:val="es-ES"/>
        </w:rPr>
        <w:t>) de ma</w:t>
      </w:r>
      <w:r w:rsidR="00322F72" w:rsidRPr="002341AF">
        <w:rPr>
          <w:rFonts w:ascii="Palatino Linotype" w:eastAsia="Calibri" w:hAnsi="Palatino Linotype" w:cs="Arial"/>
          <w:sz w:val="24"/>
          <w:lang w:val="es-ES"/>
        </w:rPr>
        <w:t xml:space="preserve">yo </w:t>
      </w:r>
      <w:r w:rsidR="005000AA" w:rsidRPr="002341AF">
        <w:rPr>
          <w:rFonts w:ascii="Palatino Linotype" w:eastAsia="Calibri" w:hAnsi="Palatino Linotype" w:cs="Arial"/>
          <w:sz w:val="24"/>
          <w:lang w:val="es-ES"/>
        </w:rPr>
        <w:t>de dos mil veinti</w:t>
      </w:r>
      <w:r w:rsidR="00322F72" w:rsidRPr="002341AF">
        <w:rPr>
          <w:rFonts w:ascii="Palatino Linotype" w:eastAsia="Calibri" w:hAnsi="Palatino Linotype" w:cs="Arial"/>
          <w:sz w:val="24"/>
          <w:lang w:val="es-ES"/>
        </w:rPr>
        <w:t>trés</w:t>
      </w:r>
      <w:r w:rsidR="005000AA" w:rsidRPr="002341AF">
        <w:rPr>
          <w:rFonts w:ascii="Palatino Linotype" w:eastAsia="Calibri" w:hAnsi="Palatino Linotype" w:cs="Arial"/>
          <w:sz w:val="24"/>
          <w:lang w:val="es-ES"/>
        </w:rPr>
        <w:t xml:space="preserve">, puso a disposición de las partes el expediente electrónico </w:t>
      </w:r>
      <w:r w:rsidR="005000AA" w:rsidRPr="002341AF">
        <w:rPr>
          <w:rFonts w:ascii="Palatino Linotype" w:eastAsia="Calibri" w:hAnsi="Palatino Linotype" w:cs="Arial"/>
          <w:sz w:val="24"/>
        </w:rPr>
        <w:t xml:space="preserve">vía </w:t>
      </w:r>
      <w:r w:rsidR="005000AA" w:rsidRPr="002341AF">
        <w:rPr>
          <w:rFonts w:ascii="Palatino Linotype" w:eastAsia="Calibri" w:hAnsi="Palatino Linotype" w:cs="Arial"/>
          <w:b/>
          <w:sz w:val="24"/>
          <w:lang w:val="es-ES"/>
        </w:rPr>
        <w:t xml:space="preserve">SAIMEX </w:t>
      </w:r>
      <w:r w:rsidR="005000AA" w:rsidRPr="002341AF">
        <w:rPr>
          <w:rFonts w:ascii="Palatino Linotype" w:eastAsia="Calibri" w:hAnsi="Palatino Linotype" w:cs="Arial"/>
          <w:sz w:val="24"/>
          <w:lang w:val="es-ES"/>
        </w:rPr>
        <w:t xml:space="preserve">a efecto de que en un plazo máximo de siete días manifestaran lo que a derecho convinieran, ofrecieran pruebas y alegatos según corresponda al caso concreto, de esta forma para que el </w:t>
      </w:r>
      <w:r w:rsidR="005000AA" w:rsidRPr="002341AF">
        <w:rPr>
          <w:rFonts w:ascii="Palatino Linotype" w:eastAsia="Calibri" w:hAnsi="Palatino Linotype" w:cs="Arial"/>
          <w:b/>
          <w:sz w:val="24"/>
          <w:lang w:val="es-ES"/>
        </w:rPr>
        <w:t>SUJETO OBLIGADO</w:t>
      </w:r>
      <w:r w:rsidRPr="002341AF">
        <w:rPr>
          <w:rFonts w:ascii="Palatino Linotype" w:eastAsia="Calibri" w:hAnsi="Palatino Linotype" w:cs="Arial"/>
          <w:b/>
          <w:sz w:val="24"/>
          <w:lang w:val="es-ES"/>
        </w:rPr>
        <w:t>,</w:t>
      </w:r>
      <w:r w:rsidR="005000AA" w:rsidRPr="002341AF">
        <w:rPr>
          <w:rFonts w:ascii="Palatino Linotype" w:eastAsia="Calibri" w:hAnsi="Palatino Linotype" w:cs="Arial"/>
          <w:sz w:val="24"/>
          <w:lang w:val="es-ES"/>
        </w:rPr>
        <w:t xml:space="preserve"> presentara el informe justificado procedente.</w:t>
      </w:r>
    </w:p>
    <w:p w14:paraId="46382307" w14:textId="77777777" w:rsidR="00B63BE6" w:rsidRPr="002341AF" w:rsidRDefault="00B63BE6" w:rsidP="00B63BE6">
      <w:pPr>
        <w:pStyle w:val="Prrafodelista"/>
        <w:spacing w:before="240" w:after="240" w:line="360" w:lineRule="auto"/>
        <w:ind w:left="0"/>
        <w:jc w:val="both"/>
        <w:rPr>
          <w:rFonts w:ascii="Palatino Linotype" w:eastAsiaTheme="minorEastAsia" w:hAnsi="Palatino Linotype" w:cstheme="minorBidi"/>
          <w:i/>
          <w:color w:val="000000"/>
          <w:sz w:val="24"/>
          <w:lang w:val="es-ES_tradnl"/>
        </w:rPr>
      </w:pPr>
    </w:p>
    <w:p w14:paraId="36B2F64B" w14:textId="137547A5" w:rsidR="00043374" w:rsidRPr="002341AF" w:rsidRDefault="00043374" w:rsidP="00043374">
      <w:pPr>
        <w:pStyle w:val="Prrafodelista"/>
        <w:numPr>
          <w:ilvl w:val="0"/>
          <w:numId w:val="2"/>
        </w:numPr>
        <w:spacing w:before="240" w:after="240" w:line="360" w:lineRule="auto"/>
        <w:ind w:left="0" w:hanging="11"/>
        <w:jc w:val="both"/>
        <w:rPr>
          <w:rFonts w:ascii="Palatino Linotype" w:hAnsi="Palatino Linotype"/>
          <w:i/>
          <w:color w:val="000000"/>
          <w:sz w:val="24"/>
        </w:rPr>
      </w:pPr>
      <w:r w:rsidRPr="002341AF">
        <w:rPr>
          <w:rFonts w:ascii="Palatino Linotype" w:eastAsia="MS Mincho" w:hAnsi="Palatino Linotype" w:cs="Arial"/>
          <w:sz w:val="24"/>
        </w:rPr>
        <w:t xml:space="preserve">En la </w:t>
      </w:r>
      <w:r w:rsidR="00322F72" w:rsidRPr="002341AF">
        <w:rPr>
          <w:rFonts w:ascii="Palatino Linotype" w:eastAsia="MS Mincho" w:hAnsi="Palatino Linotype" w:cs="Arial"/>
          <w:sz w:val="24"/>
        </w:rPr>
        <w:t>Vigésima</w:t>
      </w:r>
      <w:r w:rsidR="00C21A0D" w:rsidRPr="002341AF">
        <w:rPr>
          <w:rFonts w:ascii="Palatino Linotype" w:eastAsia="MS Mincho" w:hAnsi="Palatino Linotype" w:cs="Arial"/>
          <w:sz w:val="24"/>
        </w:rPr>
        <w:t xml:space="preserve"> Se</w:t>
      </w:r>
      <w:r w:rsidRPr="002341AF">
        <w:rPr>
          <w:rFonts w:ascii="Palatino Linotype" w:eastAsia="MS Mincho" w:hAnsi="Palatino Linotype" w:cs="Arial"/>
          <w:sz w:val="24"/>
        </w:rPr>
        <w:t xml:space="preserve">sión Ordinaria de fecha </w:t>
      </w:r>
      <w:r w:rsidR="00322F72" w:rsidRPr="002341AF">
        <w:rPr>
          <w:rFonts w:ascii="Palatino Linotype" w:eastAsia="MS Mincho" w:hAnsi="Palatino Linotype" w:cs="Arial"/>
          <w:sz w:val="24"/>
        </w:rPr>
        <w:t>treinta y uno</w:t>
      </w:r>
      <w:r w:rsidR="00BB3A74" w:rsidRPr="002341AF">
        <w:rPr>
          <w:rFonts w:ascii="Palatino Linotype" w:eastAsia="MS Mincho" w:hAnsi="Palatino Linotype" w:cs="Arial"/>
          <w:sz w:val="24"/>
        </w:rPr>
        <w:t xml:space="preserve"> </w:t>
      </w:r>
      <w:r w:rsidRPr="002341AF">
        <w:rPr>
          <w:rFonts w:ascii="Palatino Linotype" w:eastAsia="MS Mincho" w:hAnsi="Palatino Linotype" w:cs="Arial"/>
          <w:sz w:val="24"/>
        </w:rPr>
        <w:t>(</w:t>
      </w:r>
      <w:r w:rsidR="00322F72" w:rsidRPr="002341AF">
        <w:rPr>
          <w:rFonts w:ascii="Palatino Linotype" w:eastAsia="MS Mincho" w:hAnsi="Palatino Linotype" w:cs="Arial"/>
          <w:sz w:val="24"/>
        </w:rPr>
        <w:t>31</w:t>
      </w:r>
      <w:r w:rsidRPr="002341AF">
        <w:rPr>
          <w:rFonts w:ascii="Palatino Linotype" w:eastAsia="MS Mincho" w:hAnsi="Palatino Linotype" w:cs="Arial"/>
          <w:sz w:val="24"/>
        </w:rPr>
        <w:t xml:space="preserve">) de </w:t>
      </w:r>
      <w:r w:rsidR="00C21A0D" w:rsidRPr="002341AF">
        <w:rPr>
          <w:rFonts w:ascii="Palatino Linotype" w:eastAsia="MS Mincho" w:hAnsi="Palatino Linotype" w:cs="Arial"/>
          <w:sz w:val="24"/>
        </w:rPr>
        <w:t>ma</w:t>
      </w:r>
      <w:r w:rsidR="00322F72" w:rsidRPr="002341AF">
        <w:rPr>
          <w:rFonts w:ascii="Palatino Linotype" w:eastAsia="MS Mincho" w:hAnsi="Palatino Linotype" w:cs="Arial"/>
          <w:sz w:val="24"/>
        </w:rPr>
        <w:t>yo</w:t>
      </w:r>
      <w:r w:rsidR="00BB3A74" w:rsidRPr="002341AF">
        <w:rPr>
          <w:rFonts w:ascii="Palatino Linotype" w:eastAsia="MS Mincho" w:hAnsi="Palatino Linotype" w:cs="Arial"/>
          <w:sz w:val="24"/>
        </w:rPr>
        <w:t xml:space="preserve"> </w:t>
      </w:r>
      <w:r w:rsidRPr="002341AF">
        <w:rPr>
          <w:rFonts w:ascii="Palatino Linotype" w:eastAsia="MS Mincho" w:hAnsi="Palatino Linotype" w:cs="Arial"/>
          <w:sz w:val="24"/>
        </w:rPr>
        <w:t>de dos mil veinti</w:t>
      </w:r>
      <w:r w:rsidR="00322F72" w:rsidRPr="002341AF">
        <w:rPr>
          <w:rFonts w:ascii="Palatino Linotype" w:eastAsia="MS Mincho" w:hAnsi="Palatino Linotype" w:cs="Arial"/>
          <w:sz w:val="24"/>
        </w:rPr>
        <w:t>trés</w:t>
      </w:r>
      <w:r w:rsidRPr="002341AF">
        <w:rPr>
          <w:rFonts w:ascii="Palatino Linotype" w:eastAsia="MS Mincho" w:hAnsi="Palatino Linotype" w:cs="Arial"/>
          <w:sz w:val="24"/>
        </w:rPr>
        <w:t>, el Pleno de este Órgano Garante acordó la acumulación de los recursos de revisión</w:t>
      </w:r>
      <w:r w:rsidR="00A75BBA" w:rsidRPr="002341AF">
        <w:rPr>
          <w:rFonts w:ascii="Palatino Linotype" w:eastAsia="MS Mincho" w:hAnsi="Palatino Linotype" w:cs="Arial"/>
          <w:sz w:val="24"/>
        </w:rPr>
        <w:t xml:space="preserve"> </w:t>
      </w:r>
      <w:r w:rsidRPr="002341AF">
        <w:rPr>
          <w:rFonts w:ascii="Palatino Linotype" w:hAnsi="Palatino Linotype" w:cs="Arial"/>
          <w:sz w:val="24"/>
        </w:rPr>
        <w:t>a la</w:t>
      </w:r>
      <w:r w:rsidR="00BA2F78" w:rsidRPr="002341AF">
        <w:rPr>
          <w:rFonts w:ascii="Palatino Linotype" w:eastAsia="MS Mincho" w:hAnsi="Palatino Linotype"/>
          <w:sz w:val="24"/>
        </w:rPr>
        <w:t xml:space="preserve"> c</w:t>
      </w:r>
      <w:r w:rsidRPr="002341AF">
        <w:rPr>
          <w:rFonts w:ascii="Palatino Linotype" w:eastAsia="MS Mincho" w:hAnsi="Palatino Linotype"/>
          <w:sz w:val="24"/>
        </w:rPr>
        <w:t>omisionada</w:t>
      </w:r>
      <w:r w:rsidRPr="002341AF">
        <w:rPr>
          <w:rFonts w:ascii="Palatino Linotype" w:eastAsia="MS Mincho" w:hAnsi="Palatino Linotype"/>
          <w:b/>
          <w:sz w:val="24"/>
        </w:rPr>
        <w:t xml:space="preserve"> </w:t>
      </w:r>
      <w:r w:rsidRPr="002341AF">
        <w:rPr>
          <w:rFonts w:ascii="Palatino Linotype" w:hAnsi="Palatino Linotype"/>
          <w:b/>
          <w:sz w:val="24"/>
        </w:rPr>
        <w:t>María del Rosario Mejía Ayala</w:t>
      </w:r>
      <w:r w:rsidRPr="002341AF">
        <w:rPr>
          <w:rFonts w:ascii="Palatino Linotype" w:eastAsia="MS Mincho" w:hAnsi="Palatino Linotype"/>
          <w:b/>
          <w:sz w:val="24"/>
        </w:rPr>
        <w:t xml:space="preserve"> </w:t>
      </w:r>
      <w:r w:rsidRPr="002341AF">
        <w:rPr>
          <w:rFonts w:ascii="Palatino Linotype" w:eastAsia="MS Mincho" w:hAnsi="Palatino Linotype"/>
          <w:sz w:val="24"/>
        </w:rPr>
        <w:t xml:space="preserve">a efecto de presentar al Pleno el proyecto de resolución correspondiente y de </w:t>
      </w:r>
      <w:r w:rsidRPr="002341AF">
        <w:rPr>
          <w:rFonts w:ascii="Palatino Linotype" w:hAnsi="Palatino Linotype" w:cs="Arial"/>
          <w:sz w:val="24"/>
        </w:rPr>
        <w:t xml:space="preserve">conformidad con el numeral ONCE inciso c) de los </w:t>
      </w:r>
      <w:r w:rsidRPr="002341AF">
        <w:rPr>
          <w:rFonts w:ascii="Palatino Linotype" w:hAnsi="Palatino Linotype" w:cs="Arial"/>
          <w:b/>
          <w:sz w:val="24"/>
        </w:rPr>
        <w:t xml:space="preserve">Lineamientos para la Recepción, Trámite y Resolución de las Solicitudes de Acceso a la Información Pública, así como de los Recursos de </w:t>
      </w:r>
      <w:r w:rsidRPr="002341AF">
        <w:rPr>
          <w:rFonts w:ascii="Palatino Linotype" w:hAnsi="Palatino Linotype" w:cs="Arial"/>
          <w:b/>
          <w:sz w:val="24"/>
        </w:rPr>
        <w:lastRenderedPageBreak/>
        <w:t>Revisión que Deberán Observar los Sujetos Obligados por la Ley de Transparencia Estatal</w:t>
      </w:r>
      <w:r w:rsidRPr="002341AF">
        <w:rPr>
          <w:rFonts w:ascii="Palatino Linotype" w:hAnsi="Palatino Linotype" w:cs="Arial"/>
          <w:sz w:val="24"/>
          <w:vertAlign w:val="superscript"/>
        </w:rPr>
        <w:footnoteReference w:id="1"/>
      </w:r>
      <w:r w:rsidRPr="002341AF">
        <w:rPr>
          <w:rFonts w:ascii="Palatino Linotype" w:hAnsi="Palatino Linotype" w:cs="Arial"/>
          <w:sz w:val="24"/>
        </w:rPr>
        <w:t>, que señala:</w:t>
      </w:r>
    </w:p>
    <w:p w14:paraId="0A9F752A" w14:textId="77777777" w:rsidR="00043374" w:rsidRPr="002341AF" w:rsidRDefault="00043374" w:rsidP="00BB3A74">
      <w:pPr>
        <w:autoSpaceDE w:val="0"/>
        <w:autoSpaceDN w:val="0"/>
        <w:adjustRightInd w:val="0"/>
        <w:spacing w:before="240" w:after="240"/>
        <w:ind w:left="567" w:right="567"/>
        <w:contextualSpacing/>
        <w:jc w:val="both"/>
        <w:rPr>
          <w:rFonts w:ascii="Palatino Linotype" w:hAnsi="Palatino Linotype" w:cs="Arial"/>
          <w:i/>
          <w:sz w:val="22"/>
          <w:szCs w:val="22"/>
        </w:rPr>
      </w:pPr>
      <w:r w:rsidRPr="002341AF">
        <w:rPr>
          <w:rFonts w:ascii="Palatino Linotype" w:hAnsi="Palatino Linotype" w:cs="Arial"/>
          <w:b/>
          <w:i/>
          <w:sz w:val="22"/>
          <w:szCs w:val="22"/>
        </w:rPr>
        <w:t>ONCE.</w:t>
      </w:r>
      <w:r w:rsidRPr="002341AF">
        <w:rPr>
          <w:rFonts w:ascii="Palatino Linotype"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225E7E89" w14:textId="7C2F39E5" w:rsidR="00043374" w:rsidRPr="002341AF" w:rsidRDefault="00BB3A74" w:rsidP="00BB3A74">
      <w:pPr>
        <w:autoSpaceDE w:val="0"/>
        <w:autoSpaceDN w:val="0"/>
        <w:adjustRightInd w:val="0"/>
        <w:spacing w:before="240" w:after="240"/>
        <w:ind w:left="567" w:right="567"/>
        <w:contextualSpacing/>
        <w:jc w:val="both"/>
        <w:rPr>
          <w:rFonts w:ascii="Palatino Linotype" w:hAnsi="Palatino Linotype" w:cs="Arial"/>
          <w:i/>
          <w:sz w:val="22"/>
          <w:szCs w:val="22"/>
        </w:rPr>
      </w:pPr>
      <w:r w:rsidRPr="002341AF">
        <w:rPr>
          <w:rFonts w:ascii="Palatino Linotype" w:hAnsi="Palatino Linotype" w:cs="Arial"/>
          <w:i/>
          <w:sz w:val="22"/>
          <w:szCs w:val="22"/>
        </w:rPr>
        <w:t>(</w:t>
      </w:r>
      <w:r w:rsidR="00043374" w:rsidRPr="002341AF">
        <w:rPr>
          <w:rFonts w:ascii="Palatino Linotype" w:hAnsi="Palatino Linotype" w:cs="Arial"/>
          <w:i/>
          <w:sz w:val="22"/>
          <w:szCs w:val="22"/>
        </w:rPr>
        <w:t>…</w:t>
      </w:r>
      <w:r w:rsidRPr="002341AF">
        <w:rPr>
          <w:rFonts w:ascii="Palatino Linotype" w:hAnsi="Palatino Linotype" w:cs="Arial"/>
          <w:i/>
          <w:sz w:val="22"/>
          <w:szCs w:val="22"/>
        </w:rPr>
        <w:t>)</w:t>
      </w:r>
    </w:p>
    <w:p w14:paraId="1E29230A" w14:textId="77777777" w:rsidR="00043374" w:rsidRPr="002341AF" w:rsidRDefault="00043374" w:rsidP="00BB3A74">
      <w:pPr>
        <w:autoSpaceDE w:val="0"/>
        <w:autoSpaceDN w:val="0"/>
        <w:adjustRightInd w:val="0"/>
        <w:spacing w:before="240" w:after="240"/>
        <w:ind w:left="567" w:right="567"/>
        <w:contextualSpacing/>
        <w:jc w:val="both"/>
        <w:rPr>
          <w:rFonts w:ascii="Palatino Linotype" w:hAnsi="Palatino Linotype" w:cs="Arial"/>
          <w:i/>
          <w:sz w:val="22"/>
          <w:szCs w:val="22"/>
        </w:rPr>
      </w:pPr>
      <w:r w:rsidRPr="002341AF">
        <w:rPr>
          <w:rFonts w:ascii="Palatino Linotype" w:hAnsi="Palatino Linotype" w:cs="Arial"/>
          <w:i/>
          <w:sz w:val="22"/>
          <w:szCs w:val="22"/>
        </w:rPr>
        <w:t>c) Cuando se trate del mismo solicitante, el mismo SUJETO OBLIGADO, aunque se trate de solicitudes diversas;</w:t>
      </w:r>
    </w:p>
    <w:p w14:paraId="2B32053C" w14:textId="63B24282" w:rsidR="00043374" w:rsidRPr="002341AF" w:rsidRDefault="00BB3A74" w:rsidP="00BB3A74">
      <w:pPr>
        <w:spacing w:before="240" w:after="240"/>
        <w:ind w:left="567"/>
        <w:contextualSpacing/>
        <w:jc w:val="both"/>
        <w:rPr>
          <w:rFonts w:ascii="Palatino Linotype" w:hAnsi="Palatino Linotype" w:cs="Arial"/>
          <w:i/>
          <w:sz w:val="22"/>
          <w:szCs w:val="22"/>
        </w:rPr>
      </w:pPr>
      <w:r w:rsidRPr="002341AF">
        <w:rPr>
          <w:rFonts w:ascii="Palatino Linotype" w:hAnsi="Palatino Linotype" w:cs="Arial"/>
          <w:i/>
          <w:sz w:val="22"/>
          <w:szCs w:val="22"/>
        </w:rPr>
        <w:t>(</w:t>
      </w:r>
      <w:r w:rsidR="00043374" w:rsidRPr="002341AF">
        <w:rPr>
          <w:rFonts w:ascii="Palatino Linotype" w:hAnsi="Palatino Linotype" w:cs="Arial"/>
          <w:i/>
          <w:sz w:val="22"/>
          <w:szCs w:val="22"/>
        </w:rPr>
        <w:t>…</w:t>
      </w:r>
      <w:r w:rsidRPr="002341AF">
        <w:rPr>
          <w:rFonts w:ascii="Palatino Linotype" w:hAnsi="Palatino Linotype" w:cs="Arial"/>
          <w:i/>
          <w:sz w:val="22"/>
          <w:szCs w:val="22"/>
        </w:rPr>
        <w:t>)</w:t>
      </w:r>
    </w:p>
    <w:p w14:paraId="2982F8B3" w14:textId="77777777" w:rsidR="00261B61" w:rsidRPr="002341AF" w:rsidRDefault="00261B61" w:rsidP="00261B61">
      <w:pPr>
        <w:spacing w:before="240" w:after="240"/>
        <w:contextualSpacing/>
        <w:jc w:val="both"/>
        <w:rPr>
          <w:rFonts w:ascii="Palatino Linotype" w:hAnsi="Palatino Linotype" w:cs="Arial"/>
          <w:i/>
          <w:sz w:val="22"/>
          <w:szCs w:val="22"/>
        </w:rPr>
      </w:pPr>
    </w:p>
    <w:p w14:paraId="38FF9707" w14:textId="77777777" w:rsidR="00043374" w:rsidRPr="002341AF" w:rsidRDefault="00043374" w:rsidP="00043374">
      <w:pPr>
        <w:pStyle w:val="Prrafodelista"/>
        <w:numPr>
          <w:ilvl w:val="0"/>
          <w:numId w:val="2"/>
        </w:numPr>
        <w:tabs>
          <w:tab w:val="center" w:pos="567"/>
          <w:tab w:val="right" w:pos="8504"/>
        </w:tabs>
        <w:spacing w:line="360" w:lineRule="auto"/>
        <w:ind w:left="0" w:firstLine="0"/>
        <w:jc w:val="both"/>
        <w:rPr>
          <w:rFonts w:ascii="Palatino Linotype" w:eastAsia="MS Mincho" w:hAnsi="Palatino Linotype"/>
          <w:sz w:val="24"/>
          <w:szCs w:val="28"/>
        </w:rPr>
      </w:pPr>
      <w:r w:rsidRPr="002341AF">
        <w:rPr>
          <w:rFonts w:ascii="Palatino Linotype" w:eastAsia="MS Mincho" w:hAnsi="Palatino Linotype" w:cs="Arial"/>
          <w:color w:val="000000"/>
          <w:sz w:val="24"/>
          <w:szCs w:val="28"/>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2341AF">
        <w:rPr>
          <w:rFonts w:ascii="Palatino Linotype" w:eastAsia="MS Mincho" w:hAnsi="Palatino Linotype" w:cs="Arial"/>
          <w:color w:val="000000"/>
          <w:sz w:val="24"/>
          <w:szCs w:val="28"/>
          <w:lang w:val="es-ES"/>
        </w:rPr>
        <w:t xml:space="preserve">Código de Procedimientos Administrativos del Estado de México, de aplicación supletoria en términos del </w:t>
      </w:r>
      <w:r w:rsidRPr="002341AF">
        <w:rPr>
          <w:rFonts w:ascii="Palatino Linotype" w:eastAsia="MS Mincho" w:hAnsi="Palatino Linotype" w:cs="Arial"/>
          <w:color w:val="000000"/>
          <w:sz w:val="24"/>
          <w:szCs w:val="28"/>
        </w:rPr>
        <w:t xml:space="preserve">artículo 195 de </w:t>
      </w:r>
      <w:r w:rsidRPr="002341AF">
        <w:rPr>
          <w:rFonts w:ascii="Palatino Linotype" w:eastAsia="MS Mincho" w:hAnsi="Palatino Linotype"/>
          <w:sz w:val="24"/>
          <w:szCs w:val="28"/>
        </w:rPr>
        <w:t>la Ley de Transparencia y Acceso a la Información Pública del Estado de México y Municipios en vigor, que a la letra señalan:</w:t>
      </w:r>
    </w:p>
    <w:p w14:paraId="4051C547" w14:textId="77777777" w:rsidR="00043374" w:rsidRPr="002341AF" w:rsidRDefault="00043374" w:rsidP="00043374">
      <w:pPr>
        <w:tabs>
          <w:tab w:val="center" w:pos="4252"/>
          <w:tab w:val="right" w:pos="8504"/>
        </w:tabs>
        <w:spacing w:line="360" w:lineRule="auto"/>
        <w:jc w:val="both"/>
        <w:rPr>
          <w:rFonts w:ascii="Palatino Linotype" w:eastAsia="MS Mincho" w:hAnsi="Palatino Linotype"/>
        </w:rPr>
      </w:pPr>
    </w:p>
    <w:p w14:paraId="1C0A178D" w14:textId="77777777" w:rsidR="00043374" w:rsidRPr="002341AF" w:rsidRDefault="00043374" w:rsidP="00BB3A74">
      <w:pPr>
        <w:ind w:left="567" w:right="567"/>
        <w:jc w:val="both"/>
        <w:rPr>
          <w:rFonts w:ascii="Palatino Linotype" w:eastAsia="MS Mincho" w:hAnsi="Palatino Linotype" w:cs="Arial"/>
          <w:b/>
          <w:i/>
          <w:sz w:val="22"/>
          <w:szCs w:val="22"/>
        </w:rPr>
      </w:pPr>
      <w:r w:rsidRPr="002341AF">
        <w:rPr>
          <w:rFonts w:ascii="Palatino Linotype" w:eastAsia="MS Mincho" w:hAnsi="Palatino Linotype" w:cs="Arial"/>
          <w:b/>
          <w:i/>
          <w:sz w:val="22"/>
          <w:szCs w:val="22"/>
        </w:rPr>
        <w:t>Código de Procedimientos Administrativos del Estado de México</w:t>
      </w:r>
    </w:p>
    <w:p w14:paraId="4A363F22" w14:textId="77777777" w:rsidR="00043374" w:rsidRPr="002341AF" w:rsidRDefault="00043374" w:rsidP="00BB3A74">
      <w:pPr>
        <w:ind w:left="567" w:right="567"/>
        <w:jc w:val="both"/>
        <w:rPr>
          <w:rFonts w:ascii="Palatino Linotype" w:eastAsia="MS Mincho" w:hAnsi="Palatino Linotype" w:cs="Arial"/>
          <w:i/>
          <w:sz w:val="22"/>
          <w:szCs w:val="22"/>
        </w:rPr>
      </w:pPr>
      <w:r w:rsidRPr="002341AF">
        <w:rPr>
          <w:rFonts w:ascii="Palatino Linotype" w:eastAsia="MS Mincho" w:hAnsi="Palatino Linotype" w:cs="Arial"/>
          <w:i/>
          <w:sz w:val="22"/>
          <w:szCs w:val="22"/>
        </w:rPr>
        <w:t>“</w:t>
      </w:r>
      <w:r w:rsidRPr="002341AF">
        <w:rPr>
          <w:rFonts w:ascii="Palatino Linotype" w:eastAsia="MS Mincho" w:hAnsi="Palatino Linotype" w:cs="Arial"/>
          <w:b/>
          <w:i/>
          <w:sz w:val="22"/>
          <w:szCs w:val="22"/>
        </w:rPr>
        <w:t>Artículo 18</w:t>
      </w:r>
      <w:r w:rsidRPr="002341AF">
        <w:rPr>
          <w:rFonts w:ascii="Palatino Linotype" w:eastAsia="MS Mincho" w:hAnsi="Palatino Linotype" w:cs="Arial"/>
          <w:i/>
          <w:sz w:val="22"/>
          <w:szCs w:val="22"/>
        </w:rPr>
        <w:t xml:space="preserve">.- </w:t>
      </w:r>
      <w:r w:rsidRPr="002341AF">
        <w:rPr>
          <w:rFonts w:ascii="Palatino Linotype" w:eastAsia="MS Mincho" w:hAnsi="Palatino Linotype" w:cs="Arial"/>
          <w:b/>
          <w:i/>
          <w:sz w:val="22"/>
          <w:szCs w:val="22"/>
        </w:rPr>
        <w:t xml:space="preserve">La autoridad administrativa o el Tribunal </w:t>
      </w:r>
      <w:r w:rsidRPr="002341AF">
        <w:rPr>
          <w:rFonts w:ascii="Palatino Linotype" w:eastAsia="MS Mincho" w:hAnsi="Palatino Linotype" w:cs="Arial"/>
          <w:b/>
          <w:i/>
          <w:sz w:val="22"/>
          <w:szCs w:val="22"/>
          <w:u w:val="single"/>
        </w:rPr>
        <w:t>acordarán la acumulación de los expedientes</w:t>
      </w:r>
      <w:r w:rsidRPr="002341AF">
        <w:rPr>
          <w:rFonts w:ascii="Palatino Linotype" w:eastAsia="MS Mincho" w:hAnsi="Palatino Linotype" w:cs="Arial"/>
          <w:b/>
          <w:i/>
          <w:sz w:val="22"/>
          <w:szCs w:val="22"/>
        </w:rPr>
        <w:t xml:space="preserve"> del procedimiento y proceso administrativo que ante ellos se sigan, de oficio</w:t>
      </w:r>
      <w:r w:rsidRPr="002341AF">
        <w:rPr>
          <w:rFonts w:ascii="Palatino Linotype" w:eastAsia="MS Mincho" w:hAnsi="Palatino Linotype" w:cs="Arial"/>
          <w:i/>
          <w:sz w:val="22"/>
          <w:szCs w:val="22"/>
        </w:rPr>
        <w:t xml:space="preserve"> o a petición de parte, </w:t>
      </w:r>
      <w:r w:rsidRPr="002341AF">
        <w:rPr>
          <w:rFonts w:ascii="Palatino Linotype" w:eastAsia="MS Mincho" w:hAnsi="Palatino Linotype" w:cs="Arial"/>
          <w:b/>
          <w:i/>
          <w:sz w:val="22"/>
          <w:szCs w:val="22"/>
          <w:u w:val="single"/>
        </w:rPr>
        <w:t>cuando las partes</w:t>
      </w:r>
      <w:r w:rsidRPr="002341AF">
        <w:rPr>
          <w:rFonts w:ascii="Palatino Linotype" w:eastAsia="MS Mincho" w:hAnsi="Palatino Linotype" w:cs="Arial"/>
          <w:i/>
          <w:sz w:val="22"/>
          <w:szCs w:val="22"/>
        </w:rPr>
        <w:t xml:space="preserve"> o los actos administrativos </w:t>
      </w:r>
      <w:r w:rsidRPr="002341AF">
        <w:rPr>
          <w:rFonts w:ascii="Palatino Linotype" w:eastAsia="MS Mincho" w:hAnsi="Palatino Linotype" w:cs="Arial"/>
          <w:b/>
          <w:i/>
          <w:sz w:val="22"/>
          <w:szCs w:val="22"/>
          <w:u w:val="single"/>
        </w:rPr>
        <w:t>sean iguales</w:t>
      </w:r>
      <w:r w:rsidRPr="002341AF">
        <w:rPr>
          <w:rFonts w:ascii="Palatino Linotype" w:eastAsia="MS Mincho" w:hAnsi="Palatino Linotype" w:cs="Arial"/>
          <w:i/>
          <w:sz w:val="22"/>
          <w:szCs w:val="22"/>
        </w:rPr>
        <w:t xml:space="preserve">, se trate de actos conexos o </w:t>
      </w:r>
      <w:r w:rsidRPr="002341AF">
        <w:rPr>
          <w:rFonts w:ascii="Palatino Linotype" w:eastAsia="MS Mincho" w:hAnsi="Palatino Linotype" w:cs="Arial"/>
          <w:b/>
          <w:i/>
          <w:sz w:val="22"/>
          <w:szCs w:val="22"/>
          <w:u w:val="single"/>
        </w:rPr>
        <w:t xml:space="preserve">resulte conveniente el trámite </w:t>
      </w:r>
      <w:r w:rsidRPr="002341AF">
        <w:rPr>
          <w:rFonts w:ascii="Palatino Linotype" w:eastAsia="MS Mincho" w:hAnsi="Palatino Linotype" w:cs="Arial"/>
          <w:b/>
          <w:i/>
          <w:sz w:val="22"/>
          <w:szCs w:val="22"/>
          <w:u w:val="single"/>
        </w:rPr>
        <w:lastRenderedPageBreak/>
        <w:t>unificado de los asuntos, para evitar la emisión de resoluciones contradictorias</w:t>
      </w:r>
      <w:r w:rsidRPr="002341AF">
        <w:rPr>
          <w:rFonts w:ascii="Palatino Linotype" w:eastAsia="MS Mincho" w:hAnsi="Palatino Linotype" w:cs="Arial"/>
          <w:i/>
          <w:sz w:val="22"/>
          <w:szCs w:val="22"/>
        </w:rPr>
        <w:t>. La misma regla se aplicará, en lo conducente, para la separación de los expedientes.”</w:t>
      </w:r>
    </w:p>
    <w:p w14:paraId="1E20DD0F" w14:textId="77777777" w:rsidR="00043374" w:rsidRPr="002341AF" w:rsidRDefault="00043374" w:rsidP="00BB3A74">
      <w:pPr>
        <w:ind w:left="567" w:right="567"/>
        <w:jc w:val="both"/>
        <w:rPr>
          <w:rFonts w:ascii="Palatino Linotype" w:eastAsia="MS Mincho" w:hAnsi="Palatino Linotype" w:cs="Arial"/>
          <w:i/>
          <w:sz w:val="22"/>
          <w:szCs w:val="22"/>
        </w:rPr>
      </w:pPr>
    </w:p>
    <w:p w14:paraId="6DCD5CE4" w14:textId="77777777" w:rsidR="00043374" w:rsidRPr="002341AF" w:rsidRDefault="00043374" w:rsidP="00BB3A74">
      <w:pPr>
        <w:ind w:left="567" w:right="567"/>
        <w:jc w:val="both"/>
        <w:rPr>
          <w:rFonts w:ascii="Palatino Linotype" w:eastAsia="MS Mincho" w:hAnsi="Palatino Linotype" w:cs="Arial"/>
          <w:b/>
          <w:i/>
          <w:sz w:val="22"/>
          <w:szCs w:val="22"/>
        </w:rPr>
      </w:pPr>
      <w:r w:rsidRPr="002341AF">
        <w:rPr>
          <w:rFonts w:ascii="Palatino Linotype" w:eastAsia="MS Mincho" w:hAnsi="Palatino Linotype" w:cs="Arial"/>
          <w:b/>
          <w:i/>
          <w:sz w:val="22"/>
          <w:szCs w:val="22"/>
        </w:rPr>
        <w:t xml:space="preserve">Ley de Transparencia y Acceso a la Información Pública del Estado de México y Municipios </w:t>
      </w:r>
    </w:p>
    <w:p w14:paraId="03DB03A4" w14:textId="208BBD13" w:rsidR="00B63BE6" w:rsidRPr="002341AF" w:rsidRDefault="00043374" w:rsidP="00261B61">
      <w:pPr>
        <w:ind w:left="567" w:right="567"/>
        <w:jc w:val="both"/>
        <w:rPr>
          <w:rFonts w:ascii="Palatino Linotype" w:eastAsia="MS Mincho" w:hAnsi="Palatino Linotype" w:cs="Arial"/>
          <w:i/>
          <w:sz w:val="22"/>
          <w:szCs w:val="22"/>
        </w:rPr>
      </w:pPr>
      <w:r w:rsidRPr="002341AF">
        <w:rPr>
          <w:rFonts w:ascii="Palatino Linotype" w:eastAsia="MS Mincho" w:hAnsi="Palatino Linotype" w:cs="Arial"/>
          <w:i/>
          <w:sz w:val="22"/>
          <w:szCs w:val="22"/>
        </w:rPr>
        <w:t>“</w:t>
      </w:r>
      <w:r w:rsidRPr="002341AF">
        <w:rPr>
          <w:rFonts w:ascii="Palatino Linotype" w:eastAsia="MS Mincho" w:hAnsi="Palatino Linotype" w:cs="Arial"/>
          <w:b/>
          <w:i/>
          <w:sz w:val="22"/>
          <w:szCs w:val="22"/>
        </w:rPr>
        <w:t xml:space="preserve">Artículo 195. </w:t>
      </w:r>
      <w:r w:rsidRPr="002341AF">
        <w:rPr>
          <w:rFonts w:ascii="Palatino Linotype" w:eastAsia="MS Mincho" w:hAnsi="Palatino Linotype" w:cs="Arial"/>
          <w:i/>
          <w:sz w:val="22"/>
          <w:szCs w:val="22"/>
        </w:rPr>
        <w:t>En la tramitación del recurso de revisión se aplicarán supletoriamente las disposiciones contenidas en el Código de Procedimientos Administrativos del Estado de México.”</w:t>
      </w:r>
    </w:p>
    <w:p w14:paraId="2BE157C6" w14:textId="77777777" w:rsidR="00261B61" w:rsidRPr="002341AF" w:rsidRDefault="00261B61" w:rsidP="00261B61">
      <w:pPr>
        <w:ind w:right="567"/>
        <w:jc w:val="both"/>
        <w:rPr>
          <w:rFonts w:ascii="Palatino Linotype" w:eastAsia="MS Mincho" w:hAnsi="Palatino Linotype" w:cs="Arial"/>
          <w:i/>
          <w:sz w:val="22"/>
          <w:szCs w:val="22"/>
        </w:rPr>
      </w:pPr>
    </w:p>
    <w:p w14:paraId="6C30383F" w14:textId="140FFF82" w:rsidR="006E4632" w:rsidRPr="002341AF" w:rsidRDefault="006E4632" w:rsidP="006E4632">
      <w:pPr>
        <w:numPr>
          <w:ilvl w:val="0"/>
          <w:numId w:val="2"/>
        </w:numPr>
        <w:tabs>
          <w:tab w:val="left" w:pos="284"/>
        </w:tabs>
        <w:spacing w:before="240" w:after="240" w:line="360" w:lineRule="auto"/>
        <w:ind w:left="0" w:firstLine="0"/>
        <w:contextualSpacing/>
        <w:jc w:val="both"/>
        <w:rPr>
          <w:rFonts w:ascii="Palatino Linotype" w:hAnsi="Palatino Linotype"/>
          <w:b/>
          <w:bCs/>
          <w:i/>
          <w:color w:val="000000"/>
          <w:sz w:val="24"/>
          <w:szCs w:val="24"/>
        </w:rPr>
      </w:pPr>
      <w:r w:rsidRPr="002341AF">
        <w:rPr>
          <w:rFonts w:ascii="Palatino Linotype" w:eastAsiaTheme="minorEastAsia" w:hAnsi="Palatino Linotype"/>
          <w:color w:val="000000"/>
          <w:sz w:val="24"/>
          <w:szCs w:val="24"/>
          <w:lang w:val="es-ES_tradnl"/>
        </w:rPr>
        <w:t xml:space="preserve">El cinco (05) de junio de dos mil veintitrés, el </w:t>
      </w:r>
      <w:r w:rsidRPr="002341AF">
        <w:rPr>
          <w:rFonts w:ascii="Palatino Linotype" w:eastAsiaTheme="minorEastAsia" w:hAnsi="Palatino Linotype"/>
          <w:b/>
          <w:bCs/>
          <w:color w:val="000000"/>
          <w:sz w:val="24"/>
          <w:szCs w:val="24"/>
          <w:lang w:val="es-ES_tradnl"/>
        </w:rPr>
        <w:t>SUJETO OBLIGADO</w:t>
      </w:r>
      <w:r w:rsidRPr="002341AF">
        <w:rPr>
          <w:rFonts w:ascii="Palatino Linotype" w:eastAsiaTheme="minorEastAsia" w:hAnsi="Palatino Linotype"/>
          <w:color w:val="000000"/>
          <w:sz w:val="24"/>
          <w:szCs w:val="24"/>
          <w:lang w:val="es-ES_tradnl"/>
        </w:rPr>
        <w:t xml:space="preserve"> rindió los informes justificados correspondientes a través de los archivos electrónicos denominados: </w:t>
      </w:r>
      <w:r w:rsidRPr="002341AF">
        <w:rPr>
          <w:rFonts w:ascii="Palatino Linotype" w:hAnsi="Palatino Linotype"/>
          <w:b/>
          <w:bCs/>
          <w:sz w:val="24"/>
          <w:szCs w:val="24"/>
        </w:rPr>
        <w:t>INFORME JUSTIFICADO 08 OK.pdf, INFORME JUSTIFICADO 09 OK.pdf</w:t>
      </w:r>
      <w:r w:rsidRPr="002341AF">
        <w:rPr>
          <w:rFonts w:ascii="Palatino Linotype" w:hAnsi="Palatino Linotype"/>
          <w:b/>
          <w:bCs/>
          <w:i/>
          <w:color w:val="000000"/>
          <w:sz w:val="24"/>
          <w:szCs w:val="24"/>
        </w:rPr>
        <w:t xml:space="preserve">, </w:t>
      </w:r>
      <w:r w:rsidRPr="002341AF">
        <w:rPr>
          <w:rFonts w:ascii="Palatino Linotype" w:hAnsi="Palatino Linotype"/>
          <w:b/>
          <w:bCs/>
          <w:sz w:val="24"/>
          <w:szCs w:val="24"/>
        </w:rPr>
        <w:t>INFORME JUSTIFICADO 10 OK.pdf</w:t>
      </w:r>
      <w:r w:rsidRPr="002341AF">
        <w:rPr>
          <w:rFonts w:ascii="Palatino Linotype" w:hAnsi="Palatino Linotype"/>
          <w:b/>
          <w:bCs/>
          <w:i/>
          <w:color w:val="000000"/>
          <w:sz w:val="24"/>
          <w:szCs w:val="24"/>
        </w:rPr>
        <w:t xml:space="preserve">, </w:t>
      </w:r>
      <w:r w:rsidRPr="002341AF">
        <w:rPr>
          <w:rFonts w:ascii="Palatino Linotype" w:hAnsi="Palatino Linotype"/>
          <w:b/>
          <w:bCs/>
          <w:sz w:val="24"/>
          <w:szCs w:val="24"/>
        </w:rPr>
        <w:t xml:space="preserve">INFORME JUSTIFICADO 11 OK.pdf </w:t>
      </w:r>
      <w:proofErr w:type="spellStart"/>
      <w:r w:rsidRPr="002341AF">
        <w:rPr>
          <w:rFonts w:ascii="Palatino Linotype" w:hAnsi="Palatino Linotype"/>
          <w:b/>
          <w:bCs/>
          <w:sz w:val="24"/>
          <w:szCs w:val="24"/>
        </w:rPr>
        <w:t>y</w:t>
      </w:r>
      <w:proofErr w:type="spellEnd"/>
      <w:r w:rsidRPr="002341AF">
        <w:rPr>
          <w:rFonts w:ascii="Palatino Linotype" w:hAnsi="Palatino Linotype"/>
          <w:b/>
          <w:bCs/>
          <w:i/>
          <w:color w:val="000000"/>
          <w:sz w:val="24"/>
          <w:szCs w:val="24"/>
        </w:rPr>
        <w:t xml:space="preserve"> </w:t>
      </w:r>
      <w:r w:rsidRPr="002341AF">
        <w:rPr>
          <w:rFonts w:ascii="Palatino Linotype" w:hAnsi="Palatino Linotype"/>
          <w:b/>
          <w:bCs/>
          <w:sz w:val="24"/>
          <w:szCs w:val="24"/>
        </w:rPr>
        <w:t>INFORME JUSTIFICADO 12 OK.pdf</w:t>
      </w:r>
      <w:r w:rsidRPr="002341AF">
        <w:rPr>
          <w:rFonts w:ascii="Palatino Linotype" w:hAnsi="Palatino Linotype"/>
          <w:sz w:val="24"/>
          <w:szCs w:val="24"/>
        </w:rPr>
        <w:t xml:space="preserve">; asimismo, remitió para todos los casos el archivo electrónico denominado </w:t>
      </w:r>
      <w:r w:rsidRPr="002341AF">
        <w:rPr>
          <w:rFonts w:ascii="Palatino Linotype" w:hAnsi="Palatino Linotype"/>
          <w:b/>
          <w:bCs/>
          <w:sz w:val="24"/>
          <w:szCs w:val="24"/>
        </w:rPr>
        <w:t xml:space="preserve">RESOLUCIÓN CTCOMECYT-04-EXT-02-2023 incompetencia.pdf </w:t>
      </w:r>
      <w:r w:rsidRPr="002341AF">
        <w:rPr>
          <w:rFonts w:ascii="Palatino Linotype" w:hAnsi="Palatino Linotype"/>
          <w:sz w:val="24"/>
          <w:szCs w:val="24"/>
        </w:rPr>
        <w:t xml:space="preserve">del cual se advierte el </w:t>
      </w:r>
      <w:r w:rsidRPr="002341AF">
        <w:rPr>
          <w:rFonts w:ascii="Palatino Linotype" w:hAnsi="Palatino Linotype"/>
          <w:b/>
          <w:bCs/>
          <w:sz w:val="24"/>
          <w:szCs w:val="24"/>
        </w:rPr>
        <w:t>Acuerdo número CTCOMECYT/04/EXT/02/2023 del 02 de junio de 2023 se confirmó la incompetencia para atender</w:t>
      </w:r>
      <w:r w:rsidR="00261B61" w:rsidRPr="002341AF">
        <w:rPr>
          <w:rFonts w:ascii="Palatino Linotype" w:hAnsi="Palatino Linotype"/>
          <w:b/>
          <w:bCs/>
          <w:sz w:val="24"/>
          <w:szCs w:val="24"/>
        </w:rPr>
        <w:t xml:space="preserve"> las solicitudes de información</w:t>
      </w:r>
      <w:r w:rsidRPr="002341AF">
        <w:rPr>
          <w:rFonts w:ascii="Palatino Linotype" w:hAnsi="Palatino Linotype"/>
          <w:b/>
          <w:bCs/>
          <w:sz w:val="24"/>
          <w:szCs w:val="24"/>
        </w:rPr>
        <w:t xml:space="preserve"> </w:t>
      </w:r>
      <w:r w:rsidR="00261B61" w:rsidRPr="002341AF">
        <w:rPr>
          <w:rFonts w:ascii="Palatino Linotype" w:hAnsi="Palatino Linotype"/>
          <w:b/>
          <w:bCs/>
          <w:sz w:val="24"/>
          <w:szCs w:val="24"/>
        </w:rPr>
        <w:t>por</w:t>
      </w:r>
      <w:r w:rsidRPr="002341AF">
        <w:rPr>
          <w:rFonts w:ascii="Palatino Linotype" w:hAnsi="Palatino Linotype"/>
          <w:b/>
          <w:bCs/>
          <w:sz w:val="24"/>
          <w:szCs w:val="24"/>
        </w:rPr>
        <w:t xml:space="preserve"> el Comité de Transparencia del Consejo </w:t>
      </w:r>
      <w:proofErr w:type="spellStart"/>
      <w:r w:rsidRPr="002341AF">
        <w:rPr>
          <w:rFonts w:ascii="Palatino Linotype" w:hAnsi="Palatino Linotype"/>
          <w:b/>
          <w:bCs/>
          <w:sz w:val="24"/>
          <w:szCs w:val="24"/>
        </w:rPr>
        <w:t>Mexiquese</w:t>
      </w:r>
      <w:proofErr w:type="spellEnd"/>
      <w:r w:rsidRPr="002341AF">
        <w:rPr>
          <w:rFonts w:ascii="Palatino Linotype" w:hAnsi="Palatino Linotype"/>
          <w:b/>
          <w:bCs/>
          <w:sz w:val="24"/>
          <w:szCs w:val="24"/>
        </w:rPr>
        <w:t xml:space="preserve"> de Ciencia y Tecnología (COMECYT)</w:t>
      </w:r>
      <w:r w:rsidR="003B1454" w:rsidRPr="002341AF">
        <w:rPr>
          <w:rFonts w:ascii="Palatino Linotype" w:hAnsi="Palatino Linotype"/>
          <w:b/>
          <w:bCs/>
          <w:sz w:val="24"/>
          <w:szCs w:val="24"/>
        </w:rPr>
        <w:t>.</w:t>
      </w:r>
    </w:p>
    <w:p w14:paraId="1A53C78E" w14:textId="77777777" w:rsidR="006E4632" w:rsidRPr="002341AF" w:rsidRDefault="006E4632" w:rsidP="006E4632">
      <w:pPr>
        <w:tabs>
          <w:tab w:val="left" w:pos="284"/>
        </w:tabs>
        <w:spacing w:before="240" w:after="240" w:line="360" w:lineRule="auto"/>
        <w:contextualSpacing/>
        <w:jc w:val="both"/>
        <w:rPr>
          <w:rFonts w:ascii="Palatino Linotype" w:hAnsi="Palatino Linotype"/>
          <w:i/>
          <w:color w:val="000000"/>
          <w:sz w:val="24"/>
        </w:rPr>
      </w:pPr>
    </w:p>
    <w:p w14:paraId="4BD4356E" w14:textId="3312885B" w:rsidR="00B63BE6" w:rsidRPr="002341AF" w:rsidRDefault="00BC6FDD" w:rsidP="006E4632">
      <w:pPr>
        <w:numPr>
          <w:ilvl w:val="0"/>
          <w:numId w:val="2"/>
        </w:numPr>
        <w:tabs>
          <w:tab w:val="left" w:pos="284"/>
        </w:tabs>
        <w:spacing w:before="240" w:after="240" w:line="360" w:lineRule="auto"/>
        <w:ind w:left="0" w:firstLine="0"/>
        <w:contextualSpacing/>
        <w:jc w:val="both"/>
        <w:rPr>
          <w:rFonts w:ascii="Palatino Linotype" w:hAnsi="Palatino Linotype"/>
          <w:i/>
          <w:color w:val="000000"/>
          <w:sz w:val="24"/>
        </w:rPr>
      </w:pPr>
      <w:r w:rsidRPr="002341AF">
        <w:rPr>
          <w:rFonts w:ascii="Palatino Linotype" w:eastAsiaTheme="minorEastAsia" w:hAnsi="Palatino Linotype"/>
          <w:color w:val="000000"/>
          <w:sz w:val="24"/>
          <w:szCs w:val="24"/>
          <w:lang w:val="es-ES_tradnl"/>
        </w:rPr>
        <w:t xml:space="preserve"> </w:t>
      </w:r>
      <w:r w:rsidR="006E4632" w:rsidRPr="002341AF">
        <w:rPr>
          <w:rFonts w:ascii="Palatino Linotype" w:eastAsiaTheme="minorEastAsia" w:hAnsi="Palatino Linotype"/>
          <w:color w:val="000000"/>
          <w:sz w:val="24"/>
          <w:szCs w:val="24"/>
          <w:lang w:val="es-ES_tradnl"/>
        </w:rPr>
        <w:t>P</w:t>
      </w:r>
      <w:r w:rsidRPr="002341AF">
        <w:rPr>
          <w:rFonts w:ascii="Palatino Linotype" w:eastAsiaTheme="minorEastAsia" w:hAnsi="Palatino Linotype"/>
          <w:color w:val="000000"/>
          <w:sz w:val="24"/>
          <w:szCs w:val="24"/>
          <w:lang w:val="es-ES_tradnl"/>
        </w:rPr>
        <w:t xml:space="preserve">or su parte el </w:t>
      </w:r>
      <w:r w:rsidRPr="002341AF">
        <w:rPr>
          <w:rFonts w:ascii="Palatino Linotype" w:eastAsiaTheme="minorEastAsia" w:hAnsi="Palatino Linotype"/>
          <w:b/>
          <w:color w:val="000000"/>
          <w:sz w:val="24"/>
          <w:szCs w:val="24"/>
          <w:lang w:val="es-ES_tradnl"/>
        </w:rPr>
        <w:t>RECURRENTE</w:t>
      </w:r>
      <w:r w:rsidR="006E4632" w:rsidRPr="002341AF">
        <w:rPr>
          <w:rFonts w:ascii="Palatino Linotype" w:eastAsiaTheme="minorEastAsia" w:hAnsi="Palatino Linotype"/>
          <w:b/>
          <w:color w:val="000000"/>
          <w:sz w:val="24"/>
          <w:szCs w:val="24"/>
          <w:lang w:val="es-ES_tradnl"/>
        </w:rPr>
        <w:t xml:space="preserve"> </w:t>
      </w:r>
      <w:r w:rsidR="006E4632" w:rsidRPr="002341AF">
        <w:rPr>
          <w:rFonts w:ascii="Palatino Linotype" w:eastAsiaTheme="minorEastAsia" w:hAnsi="Palatino Linotype"/>
          <w:bCs/>
          <w:color w:val="000000"/>
          <w:sz w:val="24"/>
          <w:szCs w:val="24"/>
          <w:lang w:val="es-ES_tradnl"/>
        </w:rPr>
        <w:t>no</w:t>
      </w:r>
      <w:r w:rsidRPr="002341AF">
        <w:rPr>
          <w:rFonts w:ascii="Palatino Linotype" w:eastAsiaTheme="minorEastAsia" w:hAnsi="Palatino Linotype"/>
          <w:color w:val="000000"/>
          <w:sz w:val="24"/>
          <w:szCs w:val="24"/>
          <w:lang w:val="es-ES_tradnl"/>
        </w:rPr>
        <w:t xml:space="preserve"> presentó alegatos ni ofreció medios de prueba, según constancias del Sistema de Acceso a la Información Mexiquense </w:t>
      </w:r>
      <w:r w:rsidRPr="002341AF">
        <w:rPr>
          <w:rFonts w:ascii="Palatino Linotype" w:eastAsiaTheme="minorEastAsia" w:hAnsi="Palatino Linotype"/>
          <w:b/>
          <w:color w:val="000000"/>
          <w:sz w:val="24"/>
          <w:szCs w:val="24"/>
          <w:lang w:val="es-ES_tradnl"/>
        </w:rPr>
        <w:t>SAIMEX</w:t>
      </w:r>
      <w:r w:rsidR="0012305A" w:rsidRPr="002341AF">
        <w:rPr>
          <w:rFonts w:ascii="Palatino Linotype" w:eastAsiaTheme="minorEastAsia" w:hAnsi="Palatino Linotype"/>
          <w:b/>
          <w:color w:val="000000"/>
          <w:sz w:val="24"/>
          <w:szCs w:val="24"/>
          <w:lang w:val="es-ES_tradnl"/>
        </w:rPr>
        <w:t>.</w:t>
      </w:r>
      <w:r w:rsidRPr="002341AF">
        <w:rPr>
          <w:rFonts w:ascii="Palatino Linotype" w:eastAsiaTheme="minorEastAsia" w:hAnsi="Palatino Linotype"/>
          <w:b/>
          <w:color w:val="000000"/>
          <w:sz w:val="24"/>
          <w:szCs w:val="24"/>
          <w:lang w:val="es-ES_tradnl"/>
        </w:rPr>
        <w:t xml:space="preserve"> </w:t>
      </w:r>
    </w:p>
    <w:p w14:paraId="7BA1D1E7" w14:textId="77777777" w:rsidR="00BB3A74" w:rsidRPr="002341AF" w:rsidRDefault="00BB3A74" w:rsidP="00BB3A74">
      <w:pPr>
        <w:pStyle w:val="Prrafodelista"/>
        <w:spacing w:line="360" w:lineRule="auto"/>
        <w:ind w:left="0"/>
        <w:jc w:val="both"/>
        <w:rPr>
          <w:rFonts w:ascii="Palatino Linotype" w:hAnsi="Palatino Linotype" w:cs="Tahoma"/>
          <w:sz w:val="24"/>
        </w:rPr>
      </w:pPr>
    </w:p>
    <w:p w14:paraId="5E1D97D8" w14:textId="4F67523A" w:rsidR="00BA1FB0" w:rsidRPr="002341AF" w:rsidRDefault="00DD7DC3" w:rsidP="00BA1FB0">
      <w:pPr>
        <w:pStyle w:val="Prrafodelista"/>
        <w:numPr>
          <w:ilvl w:val="0"/>
          <w:numId w:val="3"/>
        </w:numPr>
        <w:spacing w:line="360" w:lineRule="auto"/>
        <w:ind w:left="0" w:firstLine="0"/>
        <w:jc w:val="both"/>
        <w:rPr>
          <w:rFonts w:ascii="Palatino Linotype" w:hAnsi="Palatino Linotype" w:cs="Tahoma"/>
          <w:sz w:val="24"/>
        </w:rPr>
      </w:pPr>
      <w:r w:rsidRPr="002341AF">
        <w:rPr>
          <w:rFonts w:ascii="Palatino Linotype" w:eastAsia="Calibri" w:hAnsi="Palatino Linotype" w:cs="Arial"/>
          <w:sz w:val="24"/>
          <w:lang w:val="es-ES"/>
        </w:rPr>
        <w:lastRenderedPageBreak/>
        <w:t xml:space="preserve">El </w:t>
      </w:r>
      <w:r w:rsidR="003B1454" w:rsidRPr="002341AF">
        <w:rPr>
          <w:rFonts w:ascii="Palatino Linotype" w:eastAsia="Calibri" w:hAnsi="Palatino Linotype" w:cs="Arial"/>
          <w:sz w:val="24"/>
          <w:lang w:val="es-ES"/>
        </w:rPr>
        <w:t xml:space="preserve">cinco </w:t>
      </w:r>
      <w:r w:rsidR="004F1E2D" w:rsidRPr="002341AF">
        <w:rPr>
          <w:rFonts w:ascii="Palatino Linotype" w:eastAsia="Calibri" w:hAnsi="Palatino Linotype" w:cs="Arial"/>
          <w:sz w:val="24"/>
          <w:lang w:val="es-ES"/>
        </w:rPr>
        <w:t>(</w:t>
      </w:r>
      <w:r w:rsidR="003B1454" w:rsidRPr="002341AF">
        <w:rPr>
          <w:rFonts w:ascii="Palatino Linotype" w:eastAsia="Calibri" w:hAnsi="Palatino Linotype" w:cs="Arial"/>
          <w:sz w:val="24"/>
          <w:lang w:val="es-ES"/>
        </w:rPr>
        <w:t>05</w:t>
      </w:r>
      <w:r w:rsidR="004F1E2D" w:rsidRPr="002341AF">
        <w:rPr>
          <w:rFonts w:ascii="Palatino Linotype" w:eastAsia="Calibri" w:hAnsi="Palatino Linotype" w:cs="Arial"/>
          <w:sz w:val="24"/>
          <w:lang w:val="es-ES"/>
        </w:rPr>
        <w:t xml:space="preserve">) </w:t>
      </w:r>
      <w:r w:rsidR="0012305A" w:rsidRPr="002341AF">
        <w:rPr>
          <w:rFonts w:ascii="Palatino Linotype" w:eastAsia="Calibri" w:hAnsi="Palatino Linotype" w:cs="Arial"/>
          <w:sz w:val="24"/>
          <w:lang w:val="es-ES"/>
        </w:rPr>
        <w:t xml:space="preserve">de </w:t>
      </w:r>
      <w:r w:rsidR="003B1454" w:rsidRPr="002341AF">
        <w:rPr>
          <w:rFonts w:ascii="Palatino Linotype" w:eastAsia="Calibri" w:hAnsi="Palatino Linotype" w:cs="Arial"/>
          <w:sz w:val="24"/>
          <w:lang w:val="es-ES"/>
        </w:rPr>
        <w:t>julio</w:t>
      </w:r>
      <w:r w:rsidR="0012305A" w:rsidRPr="002341AF">
        <w:rPr>
          <w:rFonts w:ascii="Palatino Linotype" w:eastAsia="Calibri" w:hAnsi="Palatino Linotype" w:cs="Arial"/>
          <w:sz w:val="24"/>
          <w:lang w:val="es-ES"/>
        </w:rPr>
        <w:t xml:space="preserve"> d</w:t>
      </w:r>
      <w:r w:rsidR="00E65B7C" w:rsidRPr="002341AF">
        <w:rPr>
          <w:rFonts w:ascii="Palatino Linotype" w:eastAsia="Calibri" w:hAnsi="Palatino Linotype" w:cs="Arial"/>
          <w:sz w:val="24"/>
          <w:lang w:val="es-ES"/>
        </w:rPr>
        <w:t xml:space="preserve">e </w:t>
      </w:r>
      <w:r w:rsidR="00D73603" w:rsidRPr="002341AF">
        <w:rPr>
          <w:rFonts w:ascii="Palatino Linotype" w:eastAsia="Calibri" w:hAnsi="Palatino Linotype" w:cs="Arial"/>
          <w:sz w:val="24"/>
          <w:lang w:val="es-ES"/>
        </w:rPr>
        <w:t>dos mil vein</w:t>
      </w:r>
      <w:r w:rsidR="003B1454" w:rsidRPr="002341AF">
        <w:rPr>
          <w:rFonts w:ascii="Palatino Linotype" w:eastAsia="Calibri" w:hAnsi="Palatino Linotype" w:cs="Arial"/>
          <w:sz w:val="24"/>
          <w:lang w:val="es-ES"/>
        </w:rPr>
        <w:t>titrés</w:t>
      </w:r>
      <w:r w:rsidR="00D73603" w:rsidRPr="002341AF">
        <w:rPr>
          <w:rFonts w:ascii="Palatino Linotype" w:eastAsia="Calibri" w:hAnsi="Palatino Linotype" w:cs="Arial"/>
          <w:sz w:val="24"/>
          <w:lang w:val="es-ES"/>
        </w:rPr>
        <w:t>, la</w:t>
      </w:r>
      <w:r w:rsidR="005000AA" w:rsidRPr="002341AF">
        <w:rPr>
          <w:rFonts w:ascii="Palatino Linotype" w:hAnsi="Palatino Linotype"/>
          <w:sz w:val="24"/>
        </w:rPr>
        <w:t xml:space="preserve"> Comisionad</w:t>
      </w:r>
      <w:r w:rsidR="00D73603" w:rsidRPr="002341AF">
        <w:rPr>
          <w:rFonts w:ascii="Palatino Linotype" w:hAnsi="Palatino Linotype"/>
          <w:sz w:val="24"/>
        </w:rPr>
        <w:t>a</w:t>
      </w:r>
      <w:r w:rsidR="005000AA" w:rsidRPr="002341AF">
        <w:rPr>
          <w:rFonts w:ascii="Palatino Linotype" w:hAnsi="Palatino Linotype"/>
          <w:sz w:val="24"/>
        </w:rPr>
        <w:t xml:space="preserve"> Ponente decretó el cierre de instrucción</w:t>
      </w:r>
      <w:r w:rsidR="00BB3A74" w:rsidRPr="002341AF">
        <w:rPr>
          <w:rFonts w:ascii="Palatino Linotype" w:hAnsi="Palatino Linotype" w:cs="Arial"/>
          <w:sz w:val="24"/>
        </w:rPr>
        <w:t>,</w:t>
      </w:r>
      <w:r w:rsidR="00C21A0D" w:rsidRPr="002341AF">
        <w:rPr>
          <w:rFonts w:ascii="Palatino Linotype" w:hAnsi="Palatino Linotype" w:cs="Arial"/>
          <w:sz w:val="24"/>
        </w:rPr>
        <w:t xml:space="preserve"> </w:t>
      </w:r>
      <w:r w:rsidR="00BB3A74" w:rsidRPr="002341AF">
        <w:rPr>
          <w:rFonts w:ascii="Palatino Linotype" w:hAnsi="Palatino Linotype" w:cs="Arial"/>
          <w:sz w:val="24"/>
        </w:rPr>
        <w:t xml:space="preserve">por </w:t>
      </w:r>
      <w:r w:rsidR="003C497F" w:rsidRPr="002341AF">
        <w:rPr>
          <w:rFonts w:ascii="Palatino Linotype" w:hAnsi="Palatino Linotype" w:cs="Tahoma"/>
          <w:sz w:val="24"/>
        </w:rPr>
        <w:t xml:space="preserve">lo que turnó la presente resolución </w:t>
      </w:r>
      <w:r w:rsidR="003C5753" w:rsidRPr="002341AF">
        <w:rPr>
          <w:rFonts w:ascii="Palatino Linotype" w:hAnsi="Palatino Linotype" w:cs="Tahoma"/>
          <w:sz w:val="24"/>
        </w:rPr>
        <w:t xml:space="preserve">para su </w:t>
      </w:r>
      <w:r w:rsidR="003B1454" w:rsidRPr="002341AF">
        <w:rPr>
          <w:rFonts w:ascii="Palatino Linotype" w:hAnsi="Palatino Linotype" w:cs="Tahoma"/>
          <w:sz w:val="24"/>
        </w:rPr>
        <w:t>aprobación. -----</w:t>
      </w:r>
    </w:p>
    <w:p w14:paraId="0F9176A0" w14:textId="77777777" w:rsidR="005000AA" w:rsidRPr="002341AF" w:rsidRDefault="005000AA" w:rsidP="005000AA">
      <w:pPr>
        <w:pStyle w:val="Ttulo1"/>
        <w:jc w:val="center"/>
        <w:rPr>
          <w:rFonts w:ascii="Palatino Linotype" w:hAnsi="Palatino Linotype"/>
          <w:b/>
          <w:color w:val="auto"/>
          <w:sz w:val="24"/>
          <w:szCs w:val="24"/>
        </w:rPr>
      </w:pPr>
      <w:bookmarkStart w:id="4" w:name="_Toc87549672"/>
      <w:r w:rsidRPr="002341AF">
        <w:rPr>
          <w:rFonts w:ascii="Palatino Linotype" w:hAnsi="Palatino Linotype"/>
          <w:b/>
          <w:color w:val="auto"/>
          <w:sz w:val="24"/>
          <w:szCs w:val="24"/>
        </w:rPr>
        <w:t>CONSIDERANDO</w:t>
      </w:r>
      <w:bookmarkEnd w:id="4"/>
      <w:r w:rsidRPr="002341AF">
        <w:rPr>
          <w:rFonts w:ascii="Palatino Linotype" w:hAnsi="Palatino Linotype"/>
          <w:b/>
          <w:color w:val="auto"/>
          <w:sz w:val="24"/>
          <w:szCs w:val="24"/>
        </w:rPr>
        <w:t xml:space="preserve"> </w:t>
      </w:r>
    </w:p>
    <w:p w14:paraId="5A808AC6" w14:textId="77777777" w:rsidR="005000AA" w:rsidRPr="002341AF" w:rsidRDefault="005000AA" w:rsidP="005000AA">
      <w:pPr>
        <w:rPr>
          <w:rFonts w:ascii="Palatino Linotype" w:hAnsi="Palatino Linotype"/>
          <w:sz w:val="24"/>
          <w:szCs w:val="24"/>
          <w:lang w:eastAsia="en-US"/>
        </w:rPr>
      </w:pPr>
    </w:p>
    <w:p w14:paraId="1058C60B" w14:textId="77777777" w:rsidR="005000AA" w:rsidRPr="002341AF" w:rsidRDefault="005000AA" w:rsidP="005000AA">
      <w:pPr>
        <w:pStyle w:val="Ttulo2"/>
        <w:rPr>
          <w:rFonts w:ascii="Palatino Linotype" w:hAnsi="Palatino Linotype"/>
          <w:b/>
          <w:bCs/>
          <w:color w:val="auto"/>
          <w:spacing w:val="60"/>
          <w:sz w:val="24"/>
          <w:szCs w:val="24"/>
          <w:lang w:eastAsia="en-US"/>
        </w:rPr>
      </w:pPr>
      <w:bookmarkStart w:id="5" w:name="_Toc87549673"/>
      <w:r w:rsidRPr="002341AF">
        <w:rPr>
          <w:rFonts w:ascii="Palatino Linotype" w:hAnsi="Palatino Linotype"/>
          <w:b/>
          <w:color w:val="auto"/>
          <w:sz w:val="24"/>
          <w:szCs w:val="24"/>
        </w:rPr>
        <w:t>PRIMERO. De la competencia</w:t>
      </w:r>
      <w:bookmarkEnd w:id="5"/>
    </w:p>
    <w:p w14:paraId="38B24DFE" w14:textId="48AE6E29" w:rsidR="005000AA" w:rsidRPr="002341AF" w:rsidRDefault="005000AA" w:rsidP="005000AA">
      <w:pPr>
        <w:pStyle w:val="Prrafodelista"/>
        <w:numPr>
          <w:ilvl w:val="0"/>
          <w:numId w:val="3"/>
        </w:numPr>
        <w:spacing w:before="240" w:after="240" w:line="360" w:lineRule="auto"/>
        <w:ind w:left="0" w:firstLine="0"/>
        <w:jc w:val="both"/>
        <w:rPr>
          <w:rFonts w:ascii="Palatino Linotype" w:hAnsi="Palatino Linotype"/>
          <w:sz w:val="24"/>
        </w:rPr>
      </w:pPr>
      <w:r w:rsidRPr="002341AF">
        <w:rPr>
          <w:rFonts w:ascii="Palatino Linotype" w:eastAsia="Calibri" w:hAnsi="Palatino Linotype"/>
          <w:sz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w:t>
      </w:r>
      <w:r w:rsidRPr="002341AF">
        <w:rPr>
          <w:rFonts w:ascii="Palatino Linotype" w:hAnsi="Palatino Linotype" w:cs="Arial"/>
          <w:color w:val="222222"/>
          <w:sz w:val="24"/>
          <w:lang w:val="es-ES"/>
        </w:rPr>
        <w:t>trigésimo y trigésimo primero fracciones</w:t>
      </w:r>
      <w:r w:rsidRPr="002341AF">
        <w:rPr>
          <w:rFonts w:ascii="Palatino Linotype" w:eastAsia="Calibri" w:hAnsi="Palatino Linotype"/>
          <w:sz w:val="24"/>
          <w:lang w:val="es-ES"/>
        </w:rPr>
        <w:t xml:space="preserve"> IV y V de la Constitución Política del Estado Libre y Soberano de México; artículos 1, 2 fracción II, 13, 29, 36 fracciones I y II, 176, 178, 179, 181 párrafo tercero y 185 </w:t>
      </w:r>
      <w:r w:rsidRPr="002341AF">
        <w:rPr>
          <w:rFonts w:ascii="Palatino Linotype" w:eastAsia="Calibri" w:hAnsi="Palatino Linotype" w:cs="Arial"/>
          <w:sz w:val="24"/>
          <w:lang w:val="es-ES"/>
        </w:rPr>
        <w:t>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Pr="002341AF">
        <w:rPr>
          <w:rFonts w:ascii="Palatino Linotype" w:hAnsi="Palatino Linotype"/>
          <w:sz w:val="24"/>
        </w:rPr>
        <w:t>.</w:t>
      </w:r>
    </w:p>
    <w:p w14:paraId="66C4FB2D" w14:textId="77777777" w:rsidR="00BB3A74" w:rsidRPr="002341AF" w:rsidRDefault="00BB3A74" w:rsidP="00BB3A74">
      <w:pPr>
        <w:pStyle w:val="Prrafodelista"/>
        <w:spacing w:before="240" w:after="240" w:line="360" w:lineRule="auto"/>
        <w:ind w:left="0"/>
        <w:jc w:val="both"/>
        <w:rPr>
          <w:rFonts w:ascii="Palatino Linotype" w:hAnsi="Palatino Linotype"/>
          <w:sz w:val="24"/>
        </w:rPr>
      </w:pPr>
    </w:p>
    <w:p w14:paraId="6D296A9A" w14:textId="77777777" w:rsidR="005000AA" w:rsidRPr="002341AF" w:rsidRDefault="005000AA" w:rsidP="005000AA">
      <w:pPr>
        <w:pStyle w:val="Ttulo2"/>
        <w:rPr>
          <w:rFonts w:ascii="Palatino Linotype" w:hAnsi="Palatino Linotype"/>
          <w:b/>
          <w:color w:val="auto"/>
          <w:sz w:val="24"/>
          <w:szCs w:val="24"/>
        </w:rPr>
      </w:pPr>
      <w:bookmarkStart w:id="6" w:name="_Toc87549674"/>
      <w:r w:rsidRPr="002341AF">
        <w:rPr>
          <w:rFonts w:ascii="Palatino Linotype" w:hAnsi="Palatino Linotype"/>
          <w:b/>
          <w:color w:val="auto"/>
          <w:sz w:val="24"/>
          <w:szCs w:val="24"/>
        </w:rPr>
        <w:t>SEGUNDO. De la oportunidad y procedencia.</w:t>
      </w:r>
      <w:bookmarkEnd w:id="6"/>
    </w:p>
    <w:p w14:paraId="34A6A51D" w14:textId="77777777" w:rsidR="00DA420D" w:rsidRPr="002341AF" w:rsidRDefault="00DA420D" w:rsidP="00DA420D">
      <w:pPr>
        <w:rPr>
          <w:rFonts w:ascii="Palatino Linotype" w:hAnsi="Palatino Linotype"/>
        </w:rPr>
      </w:pPr>
    </w:p>
    <w:p w14:paraId="2DE9EBB1" w14:textId="7B4D82BF" w:rsidR="00DA420D" w:rsidRPr="002341AF" w:rsidRDefault="00DA420D" w:rsidP="004E24D9">
      <w:pPr>
        <w:pStyle w:val="Prrafodelista"/>
        <w:numPr>
          <w:ilvl w:val="0"/>
          <w:numId w:val="2"/>
        </w:numPr>
        <w:tabs>
          <w:tab w:val="left" w:pos="426"/>
        </w:tabs>
        <w:spacing w:line="360" w:lineRule="auto"/>
        <w:ind w:left="0" w:right="49" w:firstLine="0"/>
        <w:jc w:val="both"/>
        <w:rPr>
          <w:rFonts w:ascii="Palatino Linotype" w:hAnsi="Palatino Linotype" w:cs="Arial"/>
          <w:bCs/>
          <w:color w:val="000000" w:themeColor="text1"/>
          <w:sz w:val="24"/>
          <w:lang w:eastAsia="es-MX"/>
        </w:rPr>
      </w:pPr>
      <w:bookmarkStart w:id="7" w:name="_Toc87549675"/>
      <w:r w:rsidRPr="002341AF">
        <w:rPr>
          <w:rFonts w:ascii="Palatino Linotype" w:eastAsia="Calibri" w:hAnsi="Palatino Linotype" w:cs="Arial"/>
          <w:color w:val="000000" w:themeColor="text1"/>
          <w:sz w:val="24"/>
        </w:rPr>
        <w:t xml:space="preserve">El medio de impugnación fue presentado a través del </w:t>
      </w:r>
      <w:r w:rsidRPr="002341AF">
        <w:rPr>
          <w:rFonts w:ascii="Palatino Linotype" w:eastAsia="Calibri" w:hAnsi="Palatino Linotype" w:cs="Arial"/>
          <w:bCs/>
          <w:iCs/>
          <w:color w:val="000000" w:themeColor="text1"/>
          <w:sz w:val="24"/>
        </w:rPr>
        <w:t>SAIMEX</w:t>
      </w:r>
      <w:r w:rsidRPr="002341AF">
        <w:rPr>
          <w:rFonts w:ascii="Palatino Linotype" w:eastAsia="Calibri" w:hAnsi="Palatino Linotype" w:cs="Arial"/>
          <w:color w:val="000000" w:themeColor="text1"/>
          <w:sz w:val="24"/>
        </w:rPr>
        <w:t xml:space="preserve"> en el formato previamente aprobado para tal efecto y dentro del plazo legal de quince días hábiles otorgados; siendo así que el </w:t>
      </w:r>
      <w:r w:rsidRPr="002341AF">
        <w:rPr>
          <w:rFonts w:ascii="Palatino Linotype" w:eastAsia="Calibri" w:hAnsi="Palatino Linotype" w:cs="Arial"/>
          <w:b/>
          <w:color w:val="000000" w:themeColor="text1"/>
          <w:sz w:val="24"/>
        </w:rPr>
        <w:t>SUJETO OBLIGADO</w:t>
      </w:r>
      <w:r w:rsidRPr="002341AF">
        <w:rPr>
          <w:rFonts w:ascii="Palatino Linotype" w:eastAsia="Calibri" w:hAnsi="Palatino Linotype" w:cs="Arial"/>
          <w:color w:val="000000" w:themeColor="text1"/>
          <w:sz w:val="24"/>
        </w:rPr>
        <w:t xml:space="preserve"> entregó respuesta </w:t>
      </w:r>
      <w:r w:rsidR="003B1454" w:rsidRPr="002341AF">
        <w:rPr>
          <w:rFonts w:ascii="Palatino Linotype" w:eastAsia="Calibri" w:hAnsi="Palatino Linotype" w:cs="Arial"/>
          <w:color w:val="000000" w:themeColor="text1"/>
          <w:sz w:val="24"/>
        </w:rPr>
        <w:t xml:space="preserve">el ocho (08) de </w:t>
      </w:r>
      <w:r w:rsidR="003B1454" w:rsidRPr="002341AF">
        <w:rPr>
          <w:rFonts w:ascii="Palatino Linotype" w:eastAsia="Calibri" w:hAnsi="Palatino Linotype" w:cs="Arial"/>
          <w:color w:val="000000" w:themeColor="text1"/>
          <w:sz w:val="24"/>
        </w:rPr>
        <w:lastRenderedPageBreak/>
        <w:t>mayo de dos mil veintitrés</w:t>
      </w:r>
      <w:r w:rsidRPr="002341AF">
        <w:rPr>
          <w:rFonts w:ascii="Palatino Linotype" w:hAnsi="Palatino Linotype"/>
          <w:color w:val="000000"/>
          <w:sz w:val="24"/>
        </w:rPr>
        <w:t xml:space="preserve">, </w:t>
      </w:r>
      <w:r w:rsidRPr="002341AF">
        <w:rPr>
          <w:rFonts w:ascii="Palatino Linotype" w:eastAsia="Calibri" w:hAnsi="Palatino Linotype" w:cs="Arial"/>
          <w:color w:val="000000" w:themeColor="text1"/>
          <w:sz w:val="24"/>
        </w:rPr>
        <w:t xml:space="preserve">de tal forma que el plazo para interponer el recurso de revisión transcurrió del </w:t>
      </w:r>
      <w:r w:rsidR="003B1454" w:rsidRPr="002341AF">
        <w:rPr>
          <w:rFonts w:ascii="Palatino Linotype" w:eastAsia="Calibri" w:hAnsi="Palatino Linotype" w:cs="Arial"/>
          <w:color w:val="000000" w:themeColor="text1"/>
          <w:sz w:val="24"/>
        </w:rPr>
        <w:t>nueve (09) al veintinueve (29) de mayo de dos mil veintitrés</w:t>
      </w:r>
      <w:r w:rsidR="00711898" w:rsidRPr="002341AF">
        <w:rPr>
          <w:rFonts w:ascii="Palatino Linotype" w:eastAsia="Calibri" w:hAnsi="Palatino Linotype" w:cs="Arial"/>
          <w:color w:val="000000" w:themeColor="text1"/>
          <w:sz w:val="24"/>
        </w:rPr>
        <w:t>;</w:t>
      </w:r>
      <w:r w:rsidR="00030C87" w:rsidRPr="002341AF">
        <w:rPr>
          <w:rFonts w:ascii="Palatino Linotype" w:eastAsia="Calibri" w:hAnsi="Palatino Linotype" w:cs="Arial"/>
          <w:color w:val="000000" w:themeColor="text1"/>
          <w:sz w:val="24"/>
        </w:rPr>
        <w:t xml:space="preserve"> los </w:t>
      </w:r>
      <w:r w:rsidRPr="002341AF">
        <w:rPr>
          <w:rFonts w:ascii="Palatino Linotype" w:eastAsia="Calibri" w:hAnsi="Palatino Linotype" w:cs="Arial"/>
          <w:color w:val="000000" w:themeColor="text1"/>
          <w:sz w:val="24"/>
        </w:rPr>
        <w:t>recurso</w:t>
      </w:r>
      <w:r w:rsidR="00030C87" w:rsidRPr="002341AF">
        <w:rPr>
          <w:rFonts w:ascii="Palatino Linotype" w:eastAsia="Calibri" w:hAnsi="Palatino Linotype" w:cs="Arial"/>
          <w:color w:val="000000" w:themeColor="text1"/>
          <w:sz w:val="24"/>
        </w:rPr>
        <w:t>s</w:t>
      </w:r>
      <w:r w:rsidRPr="002341AF">
        <w:rPr>
          <w:rFonts w:ascii="Palatino Linotype" w:eastAsia="Calibri" w:hAnsi="Palatino Linotype" w:cs="Arial"/>
          <w:color w:val="000000" w:themeColor="text1"/>
          <w:sz w:val="24"/>
        </w:rPr>
        <w:t xml:space="preserve"> de revisión </w:t>
      </w:r>
      <w:r w:rsidRPr="002341AF">
        <w:rPr>
          <w:rFonts w:ascii="Palatino Linotype" w:hAnsi="Palatino Linotype"/>
          <w:color w:val="000000" w:themeColor="text1"/>
          <w:sz w:val="24"/>
        </w:rPr>
        <w:t>fue</w:t>
      </w:r>
      <w:r w:rsidR="00030C87" w:rsidRPr="002341AF">
        <w:rPr>
          <w:rFonts w:ascii="Palatino Linotype" w:hAnsi="Palatino Linotype"/>
          <w:color w:val="000000" w:themeColor="text1"/>
          <w:sz w:val="24"/>
        </w:rPr>
        <w:t>ron</w:t>
      </w:r>
      <w:r w:rsidRPr="002341AF">
        <w:rPr>
          <w:rFonts w:ascii="Palatino Linotype" w:hAnsi="Palatino Linotype"/>
          <w:color w:val="000000" w:themeColor="text1"/>
          <w:sz w:val="24"/>
        </w:rPr>
        <w:t xml:space="preserve"> interpuesto</w:t>
      </w:r>
      <w:r w:rsidR="00030C87" w:rsidRPr="002341AF">
        <w:rPr>
          <w:rFonts w:ascii="Palatino Linotype" w:hAnsi="Palatino Linotype"/>
          <w:color w:val="000000" w:themeColor="text1"/>
          <w:sz w:val="24"/>
        </w:rPr>
        <w:t>s</w:t>
      </w:r>
      <w:r w:rsidRPr="002341AF">
        <w:rPr>
          <w:rFonts w:ascii="Palatino Linotype" w:hAnsi="Palatino Linotype"/>
          <w:color w:val="000000" w:themeColor="text1"/>
          <w:sz w:val="24"/>
        </w:rPr>
        <w:t xml:space="preserve"> el </w:t>
      </w:r>
      <w:r w:rsidR="00BB3A74" w:rsidRPr="002341AF">
        <w:rPr>
          <w:rFonts w:ascii="Palatino Linotype" w:hAnsi="Palatino Linotype"/>
          <w:color w:val="000000" w:themeColor="text1"/>
          <w:sz w:val="24"/>
        </w:rPr>
        <w:t>veinti</w:t>
      </w:r>
      <w:r w:rsidR="003B1454" w:rsidRPr="002341AF">
        <w:rPr>
          <w:rFonts w:ascii="Palatino Linotype" w:hAnsi="Palatino Linotype"/>
          <w:color w:val="000000" w:themeColor="text1"/>
          <w:sz w:val="24"/>
        </w:rPr>
        <w:t>dós</w:t>
      </w:r>
      <w:r w:rsidR="00BB3A74" w:rsidRPr="002341AF">
        <w:rPr>
          <w:rFonts w:ascii="Palatino Linotype" w:hAnsi="Palatino Linotype"/>
          <w:color w:val="000000" w:themeColor="text1"/>
          <w:sz w:val="24"/>
        </w:rPr>
        <w:t xml:space="preserve"> (2</w:t>
      </w:r>
      <w:r w:rsidR="003B1454" w:rsidRPr="002341AF">
        <w:rPr>
          <w:rFonts w:ascii="Palatino Linotype" w:hAnsi="Palatino Linotype"/>
          <w:color w:val="000000" w:themeColor="text1"/>
          <w:sz w:val="24"/>
        </w:rPr>
        <w:t>2</w:t>
      </w:r>
      <w:r w:rsidR="00BB3A74" w:rsidRPr="002341AF">
        <w:rPr>
          <w:rFonts w:ascii="Palatino Linotype" w:hAnsi="Palatino Linotype"/>
          <w:color w:val="000000" w:themeColor="text1"/>
          <w:sz w:val="24"/>
        </w:rPr>
        <w:t xml:space="preserve">) </w:t>
      </w:r>
      <w:r w:rsidR="004E24D9" w:rsidRPr="002341AF">
        <w:rPr>
          <w:rFonts w:ascii="Palatino Linotype" w:hAnsi="Palatino Linotype"/>
          <w:color w:val="000000" w:themeColor="text1"/>
          <w:sz w:val="24"/>
        </w:rPr>
        <w:t xml:space="preserve">de </w:t>
      </w:r>
      <w:r w:rsidR="003B1454" w:rsidRPr="002341AF">
        <w:rPr>
          <w:rFonts w:ascii="Palatino Linotype" w:hAnsi="Palatino Linotype"/>
          <w:color w:val="000000" w:themeColor="text1"/>
          <w:sz w:val="24"/>
        </w:rPr>
        <w:t>mayo</w:t>
      </w:r>
      <w:r w:rsidR="004E24D9" w:rsidRPr="002341AF">
        <w:rPr>
          <w:rFonts w:ascii="Palatino Linotype" w:hAnsi="Palatino Linotype"/>
          <w:color w:val="000000" w:themeColor="text1"/>
          <w:sz w:val="24"/>
        </w:rPr>
        <w:t xml:space="preserve"> </w:t>
      </w:r>
      <w:r w:rsidRPr="002341AF">
        <w:rPr>
          <w:rFonts w:ascii="Palatino Linotype" w:hAnsi="Palatino Linotype"/>
          <w:color w:val="000000" w:themeColor="text1"/>
          <w:sz w:val="24"/>
        </w:rPr>
        <w:t>de dos mil veint</w:t>
      </w:r>
      <w:r w:rsidR="003B1454" w:rsidRPr="002341AF">
        <w:rPr>
          <w:rFonts w:ascii="Palatino Linotype" w:hAnsi="Palatino Linotype"/>
          <w:color w:val="000000" w:themeColor="text1"/>
          <w:sz w:val="24"/>
        </w:rPr>
        <w:t>itrés</w:t>
      </w:r>
      <w:r w:rsidRPr="002341AF">
        <w:rPr>
          <w:rFonts w:ascii="Palatino Linotype" w:hAnsi="Palatino Linotype"/>
          <w:color w:val="000000" w:themeColor="text1"/>
          <w:sz w:val="24"/>
        </w:rPr>
        <w:t>, éste</w:t>
      </w:r>
      <w:r w:rsidRPr="002341AF">
        <w:rPr>
          <w:rFonts w:ascii="Palatino Linotype" w:hAnsi="Palatino Linotype" w:cs="Arial"/>
          <w:color w:val="000000" w:themeColor="text1"/>
          <w:sz w:val="24"/>
        </w:rPr>
        <w:t xml:space="preserve"> se encuentra</w:t>
      </w:r>
      <w:r w:rsidR="00030C87" w:rsidRPr="002341AF">
        <w:rPr>
          <w:rFonts w:ascii="Palatino Linotype" w:hAnsi="Palatino Linotype" w:cs="Arial"/>
          <w:color w:val="000000" w:themeColor="text1"/>
          <w:sz w:val="24"/>
        </w:rPr>
        <w:t>n</w:t>
      </w:r>
      <w:r w:rsidRPr="002341AF">
        <w:rPr>
          <w:rFonts w:ascii="Palatino Linotype" w:hAnsi="Palatino Linotype" w:cs="Arial"/>
          <w:color w:val="000000" w:themeColor="text1"/>
          <w:sz w:val="24"/>
        </w:rPr>
        <w:t xml:space="preserve"> dentro de los márgenes temporales previstos en el artículo 178 de la Ley de Transparencia y Acceso a la Información Pública del Estado de México y Municipios</w:t>
      </w:r>
      <w:r w:rsidRPr="002341AF">
        <w:rPr>
          <w:rFonts w:ascii="Palatino Linotype" w:hAnsi="Palatino Linotype" w:cs="Arial"/>
          <w:b/>
          <w:color w:val="000000" w:themeColor="text1"/>
          <w:sz w:val="24"/>
        </w:rPr>
        <w:t xml:space="preserve"> </w:t>
      </w:r>
      <w:r w:rsidRPr="002341AF">
        <w:rPr>
          <w:rFonts w:ascii="Palatino Linotype" w:hAnsi="Palatino Linotype" w:cs="Arial"/>
          <w:color w:val="000000" w:themeColor="text1"/>
          <w:sz w:val="24"/>
        </w:rPr>
        <w:t>vigente.</w:t>
      </w:r>
    </w:p>
    <w:p w14:paraId="0203A1B2" w14:textId="77777777" w:rsidR="00DA420D" w:rsidRPr="002341AF" w:rsidRDefault="00DA420D" w:rsidP="00DA420D">
      <w:pPr>
        <w:tabs>
          <w:tab w:val="left" w:pos="426"/>
        </w:tabs>
        <w:spacing w:line="360" w:lineRule="auto"/>
        <w:ind w:right="49"/>
        <w:jc w:val="both"/>
        <w:rPr>
          <w:rFonts w:ascii="Palatino Linotype" w:hAnsi="Palatino Linotype" w:cs="Arial"/>
          <w:bCs/>
          <w:color w:val="000000" w:themeColor="text1"/>
          <w:sz w:val="22"/>
          <w:lang w:eastAsia="es-MX"/>
        </w:rPr>
      </w:pPr>
    </w:p>
    <w:p w14:paraId="605EEC93" w14:textId="77777777" w:rsidR="00DA420D" w:rsidRPr="002341AF" w:rsidRDefault="00DA420D" w:rsidP="00DA420D">
      <w:pPr>
        <w:pStyle w:val="Prrafodelista"/>
        <w:numPr>
          <w:ilvl w:val="0"/>
          <w:numId w:val="2"/>
        </w:numPr>
        <w:tabs>
          <w:tab w:val="left" w:pos="426"/>
        </w:tabs>
        <w:spacing w:line="360" w:lineRule="auto"/>
        <w:ind w:left="0" w:right="49" w:firstLine="0"/>
        <w:jc w:val="both"/>
        <w:rPr>
          <w:rFonts w:ascii="Palatino Linotype" w:hAnsi="Palatino Linotype" w:cs="Arial"/>
          <w:bCs/>
          <w:color w:val="000000" w:themeColor="text1"/>
          <w:sz w:val="24"/>
          <w:lang w:eastAsia="es-MX"/>
        </w:rPr>
      </w:pPr>
      <w:r w:rsidRPr="002341AF">
        <w:rPr>
          <w:rFonts w:ascii="Palatino Linotype" w:eastAsia="Calibri" w:hAnsi="Palatino Linotype" w:cs="Arial"/>
          <w:color w:val="000000" w:themeColor="text1"/>
          <w:sz w:val="24"/>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5DABD31D" w14:textId="77777777" w:rsidR="006072D7" w:rsidRPr="002341AF" w:rsidRDefault="006072D7" w:rsidP="006072D7"/>
    <w:p w14:paraId="3858365A" w14:textId="679DCAC0" w:rsidR="006072D7" w:rsidRPr="002341AF" w:rsidRDefault="00BB3A74" w:rsidP="00DF7526">
      <w:pPr>
        <w:pStyle w:val="Ttulo1"/>
        <w:rPr>
          <w:rFonts w:ascii="Palatino Linotype" w:hAnsi="Palatino Linotype"/>
          <w:b/>
          <w:color w:val="auto"/>
          <w:sz w:val="24"/>
          <w:szCs w:val="24"/>
        </w:rPr>
      </w:pPr>
      <w:r w:rsidRPr="002341AF">
        <w:rPr>
          <w:rFonts w:ascii="Palatino Linotype" w:hAnsi="Palatino Linotype"/>
          <w:b/>
          <w:color w:val="auto"/>
          <w:sz w:val="24"/>
          <w:szCs w:val="24"/>
        </w:rPr>
        <w:t>TERCERO</w:t>
      </w:r>
      <w:r w:rsidR="006072D7" w:rsidRPr="002341AF">
        <w:rPr>
          <w:rFonts w:ascii="Palatino Linotype" w:hAnsi="Palatino Linotype"/>
          <w:b/>
          <w:color w:val="auto"/>
          <w:sz w:val="24"/>
          <w:szCs w:val="24"/>
        </w:rPr>
        <w:t xml:space="preserve">. </w:t>
      </w:r>
      <w:r w:rsidR="005000AA" w:rsidRPr="002341AF">
        <w:rPr>
          <w:rFonts w:ascii="Palatino Linotype" w:hAnsi="Palatino Linotype"/>
          <w:b/>
          <w:color w:val="auto"/>
          <w:sz w:val="24"/>
          <w:szCs w:val="24"/>
        </w:rPr>
        <w:t>Planteamiento de la Litis</w:t>
      </w:r>
      <w:bookmarkEnd w:id="7"/>
      <w:r w:rsidR="006072D7" w:rsidRPr="002341AF">
        <w:rPr>
          <w:rFonts w:ascii="Palatino Linotype" w:hAnsi="Palatino Linotype"/>
          <w:b/>
          <w:color w:val="auto"/>
          <w:sz w:val="24"/>
          <w:szCs w:val="24"/>
        </w:rPr>
        <w:t>.</w:t>
      </w:r>
    </w:p>
    <w:p w14:paraId="2B782136" w14:textId="77777777" w:rsidR="003B1454" w:rsidRPr="002341AF" w:rsidRDefault="003B1454" w:rsidP="003B1454"/>
    <w:p w14:paraId="70A19A31" w14:textId="0ACD84A8" w:rsidR="00BA1FB0" w:rsidRPr="002341AF" w:rsidRDefault="005000AA" w:rsidP="00951FBB">
      <w:pPr>
        <w:pStyle w:val="Prrafodelista"/>
        <w:numPr>
          <w:ilvl w:val="0"/>
          <w:numId w:val="3"/>
        </w:numPr>
        <w:tabs>
          <w:tab w:val="left" w:pos="567"/>
        </w:tabs>
        <w:spacing w:before="240" w:after="240" w:line="360" w:lineRule="auto"/>
        <w:ind w:left="0" w:right="49" w:firstLine="0"/>
        <w:jc w:val="both"/>
        <w:rPr>
          <w:rFonts w:ascii="Palatino Linotype" w:hAnsi="Palatino Linotype"/>
          <w:i/>
          <w:sz w:val="24"/>
          <w:lang w:eastAsia="es-MX"/>
        </w:rPr>
      </w:pPr>
      <w:r w:rsidRPr="002341AF">
        <w:rPr>
          <w:rFonts w:ascii="Palatino Linotype" w:hAnsi="Palatino Linotype"/>
          <w:bCs/>
          <w:sz w:val="24"/>
        </w:rPr>
        <w:t xml:space="preserve">El </w:t>
      </w:r>
      <w:r w:rsidR="003B1454" w:rsidRPr="002341AF">
        <w:rPr>
          <w:rFonts w:ascii="Palatino Linotype" w:hAnsi="Palatino Linotype"/>
          <w:bCs/>
          <w:sz w:val="24"/>
        </w:rPr>
        <w:t>Solicitante requirió lo siguiente:</w:t>
      </w:r>
    </w:p>
    <w:p w14:paraId="22D43A45" w14:textId="77777777" w:rsidR="003B1454" w:rsidRPr="002341AF" w:rsidRDefault="003B1454" w:rsidP="003B1454">
      <w:pPr>
        <w:pStyle w:val="Prrafodelista"/>
        <w:spacing w:line="360" w:lineRule="auto"/>
        <w:ind w:left="0"/>
        <w:jc w:val="both"/>
        <w:rPr>
          <w:rFonts w:ascii="Palatino Linotype" w:hAnsi="Palatino Linotype" w:cs="Arial"/>
          <w:sz w:val="24"/>
          <w:lang w:val="es-ES"/>
        </w:rPr>
      </w:pPr>
    </w:p>
    <w:tbl>
      <w:tblPr>
        <w:tblStyle w:val="Tablaconcuadrcula"/>
        <w:tblW w:w="8926" w:type="dxa"/>
        <w:tblLayout w:type="fixed"/>
        <w:tblLook w:val="04A0" w:firstRow="1" w:lastRow="0" w:firstColumn="1" w:lastColumn="0" w:noHBand="0" w:noVBand="1"/>
      </w:tblPr>
      <w:tblGrid>
        <w:gridCol w:w="562"/>
        <w:gridCol w:w="2410"/>
        <w:gridCol w:w="5954"/>
      </w:tblGrid>
      <w:tr w:rsidR="003B1454" w:rsidRPr="002341AF" w14:paraId="1405C37F" w14:textId="77777777" w:rsidTr="003B1454">
        <w:tc>
          <w:tcPr>
            <w:tcW w:w="562" w:type="dxa"/>
            <w:shd w:val="clear" w:color="auto" w:fill="D9D9D9" w:themeFill="background1" w:themeFillShade="D9"/>
          </w:tcPr>
          <w:p w14:paraId="42CC37D1" w14:textId="77777777" w:rsidR="003B1454" w:rsidRPr="002341AF" w:rsidRDefault="003B1454" w:rsidP="005B1855">
            <w:pPr>
              <w:jc w:val="center"/>
              <w:rPr>
                <w:rFonts w:ascii="Palatino Linotype" w:hAnsi="Palatino Linotype" w:cstheme="majorHAnsi"/>
                <w:b/>
                <w:bCs/>
                <w:color w:val="000000" w:themeColor="text1"/>
              </w:rPr>
            </w:pPr>
            <w:r w:rsidRPr="002341AF">
              <w:rPr>
                <w:rFonts w:ascii="Palatino Linotype" w:hAnsi="Palatino Linotype" w:cstheme="majorHAnsi"/>
                <w:b/>
                <w:bCs/>
                <w:color w:val="000000" w:themeColor="text1"/>
              </w:rPr>
              <w:t>No</w:t>
            </w:r>
          </w:p>
        </w:tc>
        <w:tc>
          <w:tcPr>
            <w:tcW w:w="2410" w:type="dxa"/>
            <w:shd w:val="clear" w:color="auto" w:fill="D9D9D9" w:themeFill="background1" w:themeFillShade="D9"/>
          </w:tcPr>
          <w:p w14:paraId="2F862318" w14:textId="77777777" w:rsidR="003B1454" w:rsidRPr="002341AF" w:rsidRDefault="003B1454" w:rsidP="005B1855">
            <w:pPr>
              <w:jc w:val="center"/>
              <w:rPr>
                <w:rFonts w:ascii="Palatino Linotype" w:hAnsi="Palatino Linotype" w:cstheme="majorHAnsi"/>
                <w:b/>
                <w:bCs/>
                <w:color w:val="000000" w:themeColor="text1"/>
              </w:rPr>
            </w:pPr>
            <w:r w:rsidRPr="002341AF">
              <w:rPr>
                <w:rFonts w:ascii="Palatino Linotype" w:hAnsi="Palatino Linotype" w:cstheme="majorHAnsi"/>
                <w:b/>
                <w:bCs/>
                <w:color w:val="000000" w:themeColor="text1"/>
              </w:rPr>
              <w:t>Solicitud</w:t>
            </w:r>
          </w:p>
        </w:tc>
        <w:tc>
          <w:tcPr>
            <w:tcW w:w="5954" w:type="dxa"/>
            <w:shd w:val="clear" w:color="auto" w:fill="D9D9D9" w:themeFill="background1" w:themeFillShade="D9"/>
          </w:tcPr>
          <w:p w14:paraId="55896C1F" w14:textId="77777777" w:rsidR="003B1454" w:rsidRPr="002341AF" w:rsidRDefault="003B1454" w:rsidP="005B1855">
            <w:pPr>
              <w:jc w:val="center"/>
              <w:rPr>
                <w:rFonts w:ascii="Palatino Linotype" w:hAnsi="Palatino Linotype" w:cstheme="majorHAnsi"/>
                <w:b/>
                <w:bCs/>
                <w:color w:val="000000" w:themeColor="text1"/>
              </w:rPr>
            </w:pPr>
            <w:r w:rsidRPr="002341AF">
              <w:rPr>
                <w:rFonts w:ascii="Palatino Linotype" w:hAnsi="Palatino Linotype" w:cstheme="majorHAnsi"/>
                <w:b/>
                <w:bCs/>
                <w:color w:val="000000" w:themeColor="text1"/>
              </w:rPr>
              <w:t>Requerimiento</w:t>
            </w:r>
          </w:p>
        </w:tc>
      </w:tr>
      <w:tr w:rsidR="003B1454" w:rsidRPr="002341AF" w14:paraId="0DFD7F16" w14:textId="77777777" w:rsidTr="003B1454">
        <w:tc>
          <w:tcPr>
            <w:tcW w:w="562" w:type="dxa"/>
          </w:tcPr>
          <w:p w14:paraId="3C2997A2" w14:textId="77777777" w:rsidR="003B1454" w:rsidRPr="002341AF" w:rsidRDefault="003B1454" w:rsidP="005B1855">
            <w:pPr>
              <w:rPr>
                <w:rFonts w:ascii="Palatino Linotype" w:hAnsi="Palatino Linotype" w:cstheme="majorHAnsi"/>
                <w:color w:val="000000" w:themeColor="text1"/>
                <w:sz w:val="18"/>
                <w:szCs w:val="18"/>
              </w:rPr>
            </w:pPr>
            <w:r w:rsidRPr="002341AF">
              <w:rPr>
                <w:rFonts w:ascii="Palatino Linotype" w:hAnsi="Palatino Linotype" w:cstheme="majorHAnsi"/>
                <w:color w:val="000000" w:themeColor="text1"/>
                <w:sz w:val="18"/>
                <w:szCs w:val="18"/>
              </w:rPr>
              <w:t>1</w:t>
            </w:r>
          </w:p>
        </w:tc>
        <w:tc>
          <w:tcPr>
            <w:tcW w:w="2410" w:type="dxa"/>
          </w:tcPr>
          <w:p w14:paraId="22AAFA0B" w14:textId="77777777" w:rsidR="003B1454" w:rsidRPr="002341AF" w:rsidRDefault="003B1454" w:rsidP="005B1855">
            <w:pPr>
              <w:ind w:right="-113"/>
              <w:rPr>
                <w:rFonts w:ascii="Palatino Linotype" w:hAnsi="Palatino Linotype" w:cstheme="majorHAnsi"/>
                <w:b/>
                <w:bCs/>
                <w:color w:val="000000" w:themeColor="text1"/>
                <w:sz w:val="18"/>
                <w:szCs w:val="18"/>
              </w:rPr>
            </w:pPr>
            <w:r w:rsidRPr="002341AF">
              <w:rPr>
                <w:rFonts w:ascii="Palatino Linotype" w:hAnsi="Palatino Linotype"/>
                <w:b/>
                <w:bCs/>
                <w:color w:val="000000" w:themeColor="text1"/>
                <w:sz w:val="18"/>
                <w:szCs w:val="18"/>
              </w:rPr>
              <w:t>00008/</w:t>
            </w:r>
            <w:proofErr w:type="spellStart"/>
            <w:r w:rsidRPr="002341AF">
              <w:rPr>
                <w:rFonts w:ascii="Palatino Linotype" w:hAnsi="Palatino Linotype"/>
                <w:b/>
                <w:bCs/>
                <w:color w:val="000000" w:themeColor="text1"/>
                <w:sz w:val="18"/>
                <w:szCs w:val="18"/>
              </w:rPr>
              <w:t>COMECyT</w:t>
            </w:r>
            <w:proofErr w:type="spellEnd"/>
            <w:r w:rsidRPr="002341AF">
              <w:rPr>
                <w:rFonts w:ascii="Palatino Linotype" w:hAnsi="Palatino Linotype"/>
                <w:b/>
                <w:bCs/>
                <w:color w:val="000000" w:themeColor="text1"/>
                <w:sz w:val="18"/>
                <w:szCs w:val="18"/>
              </w:rPr>
              <w:t>/IP/2023</w:t>
            </w:r>
          </w:p>
        </w:tc>
        <w:tc>
          <w:tcPr>
            <w:tcW w:w="5954" w:type="dxa"/>
          </w:tcPr>
          <w:p w14:paraId="0E7A899A" w14:textId="77777777" w:rsidR="003B1454" w:rsidRPr="002341AF" w:rsidRDefault="003B1454" w:rsidP="005B1855">
            <w:pPr>
              <w:jc w:val="both"/>
              <w:rPr>
                <w:rFonts w:ascii="Palatino Linotype" w:hAnsi="Palatino Linotype" w:cstheme="majorHAnsi"/>
                <w:bCs/>
                <w:i/>
                <w:iCs/>
                <w:color w:val="000000" w:themeColor="text1"/>
                <w:sz w:val="22"/>
                <w:szCs w:val="22"/>
                <w:lang w:eastAsia="es-MX"/>
              </w:rPr>
            </w:pPr>
            <w:r w:rsidRPr="002341AF">
              <w:rPr>
                <w:rFonts w:ascii="Palatino Linotype" w:hAnsi="Palatino Linotype"/>
                <w:i/>
                <w:iCs/>
                <w:color w:val="000000"/>
                <w:sz w:val="22"/>
                <w:szCs w:val="22"/>
              </w:rPr>
              <w:t>“investigaciones vigente y concluidas iniciadas en contra de GABRIELA AVILES OLIVARES la</w:t>
            </w:r>
            <w:r w:rsidRPr="002341AF">
              <w:rPr>
                <w:rFonts w:ascii="Verdana" w:hAnsi="Verdana"/>
                <w:color w:val="000000"/>
                <w:sz w:val="14"/>
                <w:szCs w:val="14"/>
              </w:rPr>
              <w:t xml:space="preserve"> </w:t>
            </w:r>
            <w:r w:rsidRPr="002341AF">
              <w:rPr>
                <w:rFonts w:ascii="Palatino Linotype" w:hAnsi="Palatino Linotype"/>
                <w:i/>
                <w:iCs/>
                <w:color w:val="000000"/>
                <w:sz w:val="22"/>
                <w:szCs w:val="22"/>
              </w:rPr>
              <w:t>cual dejo de laborar para el COMECYT en 2017” (Sic)</w:t>
            </w:r>
          </w:p>
        </w:tc>
      </w:tr>
      <w:tr w:rsidR="003B1454" w:rsidRPr="002341AF" w14:paraId="0A83BFA5" w14:textId="77777777" w:rsidTr="003B1454">
        <w:tc>
          <w:tcPr>
            <w:tcW w:w="562" w:type="dxa"/>
          </w:tcPr>
          <w:p w14:paraId="510133ED" w14:textId="77777777" w:rsidR="003B1454" w:rsidRPr="002341AF" w:rsidRDefault="003B1454" w:rsidP="005B1855">
            <w:pPr>
              <w:rPr>
                <w:rFonts w:ascii="Palatino Linotype" w:hAnsi="Palatino Linotype" w:cstheme="majorHAnsi"/>
                <w:color w:val="000000" w:themeColor="text1"/>
                <w:sz w:val="18"/>
                <w:szCs w:val="18"/>
              </w:rPr>
            </w:pPr>
            <w:r w:rsidRPr="002341AF">
              <w:rPr>
                <w:rFonts w:ascii="Palatino Linotype" w:hAnsi="Palatino Linotype" w:cstheme="majorHAnsi"/>
                <w:color w:val="000000" w:themeColor="text1"/>
                <w:sz w:val="18"/>
                <w:szCs w:val="18"/>
              </w:rPr>
              <w:lastRenderedPageBreak/>
              <w:t>2</w:t>
            </w:r>
          </w:p>
        </w:tc>
        <w:tc>
          <w:tcPr>
            <w:tcW w:w="2410" w:type="dxa"/>
          </w:tcPr>
          <w:p w14:paraId="3631E922" w14:textId="77777777" w:rsidR="003B1454" w:rsidRPr="002341AF" w:rsidRDefault="003B1454" w:rsidP="005B1855">
            <w:pPr>
              <w:rPr>
                <w:rFonts w:ascii="Palatino Linotype" w:hAnsi="Palatino Linotype" w:cstheme="majorHAnsi"/>
                <w:b/>
                <w:bCs/>
                <w:color w:val="000000" w:themeColor="text1"/>
                <w:sz w:val="18"/>
                <w:szCs w:val="18"/>
              </w:rPr>
            </w:pPr>
            <w:r w:rsidRPr="002341AF">
              <w:rPr>
                <w:rFonts w:ascii="Palatino Linotype" w:hAnsi="Palatino Linotype"/>
                <w:b/>
                <w:bCs/>
                <w:color w:val="000000" w:themeColor="text1"/>
                <w:sz w:val="18"/>
                <w:szCs w:val="18"/>
              </w:rPr>
              <w:t>00009/</w:t>
            </w:r>
            <w:proofErr w:type="spellStart"/>
            <w:r w:rsidRPr="002341AF">
              <w:rPr>
                <w:rFonts w:ascii="Palatino Linotype" w:hAnsi="Palatino Linotype"/>
                <w:b/>
                <w:bCs/>
                <w:color w:val="000000" w:themeColor="text1"/>
                <w:sz w:val="18"/>
                <w:szCs w:val="18"/>
              </w:rPr>
              <w:t>COMECyT</w:t>
            </w:r>
            <w:proofErr w:type="spellEnd"/>
            <w:r w:rsidRPr="002341AF">
              <w:rPr>
                <w:rFonts w:ascii="Palatino Linotype" w:hAnsi="Palatino Linotype"/>
                <w:b/>
                <w:bCs/>
                <w:color w:val="000000" w:themeColor="text1"/>
                <w:sz w:val="18"/>
                <w:szCs w:val="18"/>
              </w:rPr>
              <w:t>/IP/2023</w:t>
            </w:r>
          </w:p>
        </w:tc>
        <w:tc>
          <w:tcPr>
            <w:tcW w:w="5954" w:type="dxa"/>
          </w:tcPr>
          <w:p w14:paraId="577DA730" w14:textId="77777777" w:rsidR="003B1454" w:rsidRPr="002341AF" w:rsidRDefault="003B1454" w:rsidP="005B1855">
            <w:pPr>
              <w:jc w:val="both"/>
              <w:rPr>
                <w:rFonts w:ascii="Palatino Linotype" w:hAnsi="Palatino Linotype" w:cstheme="majorHAnsi"/>
                <w:i/>
                <w:iCs/>
                <w:color w:val="000000" w:themeColor="text1"/>
                <w:sz w:val="22"/>
                <w:szCs w:val="22"/>
              </w:rPr>
            </w:pPr>
            <w:r w:rsidRPr="002341AF">
              <w:rPr>
                <w:rFonts w:ascii="Palatino Linotype" w:hAnsi="Palatino Linotype"/>
                <w:i/>
                <w:iCs/>
                <w:color w:val="000000"/>
                <w:sz w:val="21"/>
                <w:szCs w:val="21"/>
              </w:rPr>
              <w:t>“motivos por los cuales se iniciaron las investigaciones en contra de GABRIELA AVILES OLIVARES la cual dejo de laborar para el COMECYT en 2017” (Sic)</w:t>
            </w:r>
          </w:p>
        </w:tc>
      </w:tr>
      <w:tr w:rsidR="003B1454" w:rsidRPr="002341AF" w14:paraId="74E557D2" w14:textId="77777777" w:rsidTr="003B1454">
        <w:tc>
          <w:tcPr>
            <w:tcW w:w="562" w:type="dxa"/>
          </w:tcPr>
          <w:p w14:paraId="7B5BE34C" w14:textId="77777777" w:rsidR="003B1454" w:rsidRPr="002341AF" w:rsidRDefault="003B1454" w:rsidP="005B1855">
            <w:pPr>
              <w:rPr>
                <w:rFonts w:ascii="Palatino Linotype" w:hAnsi="Palatino Linotype" w:cstheme="majorHAnsi"/>
                <w:color w:val="000000" w:themeColor="text1"/>
                <w:sz w:val="18"/>
                <w:szCs w:val="18"/>
              </w:rPr>
            </w:pPr>
            <w:r w:rsidRPr="002341AF">
              <w:rPr>
                <w:rFonts w:ascii="Palatino Linotype" w:hAnsi="Palatino Linotype" w:cstheme="majorHAnsi"/>
                <w:color w:val="000000" w:themeColor="text1"/>
                <w:sz w:val="18"/>
                <w:szCs w:val="18"/>
              </w:rPr>
              <w:t>3</w:t>
            </w:r>
          </w:p>
        </w:tc>
        <w:tc>
          <w:tcPr>
            <w:tcW w:w="2410" w:type="dxa"/>
          </w:tcPr>
          <w:p w14:paraId="0F2BC9F5" w14:textId="77777777" w:rsidR="003B1454" w:rsidRPr="002341AF" w:rsidRDefault="003B1454" w:rsidP="005B1855">
            <w:pPr>
              <w:rPr>
                <w:rFonts w:ascii="Palatino Linotype" w:hAnsi="Palatino Linotype" w:cstheme="majorHAnsi"/>
                <w:b/>
                <w:bCs/>
                <w:color w:val="000000" w:themeColor="text1"/>
                <w:sz w:val="18"/>
                <w:szCs w:val="18"/>
              </w:rPr>
            </w:pPr>
            <w:r w:rsidRPr="002341AF">
              <w:rPr>
                <w:rFonts w:ascii="Palatino Linotype" w:hAnsi="Palatino Linotype"/>
                <w:b/>
                <w:bCs/>
                <w:color w:val="000000" w:themeColor="text1"/>
                <w:sz w:val="18"/>
                <w:szCs w:val="18"/>
              </w:rPr>
              <w:t>00011/</w:t>
            </w:r>
            <w:proofErr w:type="spellStart"/>
            <w:r w:rsidRPr="002341AF">
              <w:rPr>
                <w:rFonts w:ascii="Palatino Linotype" w:hAnsi="Palatino Linotype"/>
                <w:b/>
                <w:bCs/>
                <w:color w:val="000000" w:themeColor="text1"/>
                <w:sz w:val="18"/>
                <w:szCs w:val="18"/>
              </w:rPr>
              <w:t>COMECyT</w:t>
            </w:r>
            <w:proofErr w:type="spellEnd"/>
            <w:r w:rsidRPr="002341AF">
              <w:rPr>
                <w:rFonts w:ascii="Palatino Linotype" w:hAnsi="Palatino Linotype"/>
                <w:b/>
                <w:bCs/>
                <w:color w:val="000000" w:themeColor="text1"/>
                <w:sz w:val="18"/>
                <w:szCs w:val="18"/>
              </w:rPr>
              <w:t>/IP/2023</w:t>
            </w:r>
          </w:p>
        </w:tc>
        <w:tc>
          <w:tcPr>
            <w:tcW w:w="5954" w:type="dxa"/>
          </w:tcPr>
          <w:p w14:paraId="05219888" w14:textId="77777777" w:rsidR="003B1454" w:rsidRPr="002341AF" w:rsidRDefault="003B1454" w:rsidP="005B1855">
            <w:pPr>
              <w:jc w:val="both"/>
              <w:rPr>
                <w:rFonts w:ascii="Palatino Linotype" w:hAnsi="Palatino Linotype" w:cstheme="majorHAnsi"/>
                <w:i/>
                <w:iCs/>
                <w:color w:val="000000" w:themeColor="text1"/>
                <w:sz w:val="22"/>
                <w:szCs w:val="22"/>
              </w:rPr>
            </w:pPr>
            <w:r w:rsidRPr="002341AF">
              <w:rPr>
                <w:rFonts w:ascii="Palatino Linotype" w:hAnsi="Palatino Linotype"/>
                <w:i/>
                <w:iCs/>
                <w:color w:val="000000"/>
              </w:rPr>
              <w:t>Estatus procesal que guardan las investigaciones iniciadas en contra de GABRIELA AVILES OLIVARES la cual dejo de laborar para el COMECYT en 2017” (Sic)</w:t>
            </w:r>
          </w:p>
        </w:tc>
      </w:tr>
      <w:tr w:rsidR="003B1454" w:rsidRPr="002341AF" w14:paraId="68084292" w14:textId="77777777" w:rsidTr="003B1454">
        <w:tc>
          <w:tcPr>
            <w:tcW w:w="562" w:type="dxa"/>
          </w:tcPr>
          <w:p w14:paraId="1D66F8E5" w14:textId="77777777" w:rsidR="003B1454" w:rsidRPr="002341AF" w:rsidRDefault="003B1454" w:rsidP="005B1855">
            <w:pPr>
              <w:rPr>
                <w:rFonts w:ascii="Palatino Linotype" w:hAnsi="Palatino Linotype" w:cstheme="majorHAnsi"/>
                <w:color w:val="000000" w:themeColor="text1"/>
                <w:sz w:val="18"/>
                <w:szCs w:val="18"/>
              </w:rPr>
            </w:pPr>
            <w:r w:rsidRPr="002341AF">
              <w:rPr>
                <w:rFonts w:ascii="Palatino Linotype" w:hAnsi="Palatino Linotype" w:cstheme="majorHAnsi"/>
                <w:color w:val="000000" w:themeColor="text1"/>
                <w:sz w:val="18"/>
                <w:szCs w:val="18"/>
              </w:rPr>
              <w:t>4</w:t>
            </w:r>
          </w:p>
        </w:tc>
        <w:tc>
          <w:tcPr>
            <w:tcW w:w="2410" w:type="dxa"/>
          </w:tcPr>
          <w:p w14:paraId="1267285C" w14:textId="77777777" w:rsidR="003B1454" w:rsidRPr="002341AF" w:rsidRDefault="003B1454" w:rsidP="005B1855">
            <w:pPr>
              <w:rPr>
                <w:rFonts w:ascii="Palatino Linotype" w:hAnsi="Palatino Linotype" w:cstheme="majorHAnsi"/>
                <w:b/>
                <w:bCs/>
                <w:color w:val="000000" w:themeColor="text1"/>
                <w:sz w:val="18"/>
                <w:szCs w:val="18"/>
              </w:rPr>
            </w:pPr>
            <w:r w:rsidRPr="002341AF">
              <w:rPr>
                <w:rFonts w:ascii="Palatino Linotype" w:hAnsi="Palatino Linotype"/>
                <w:b/>
                <w:bCs/>
                <w:color w:val="000000" w:themeColor="text1"/>
                <w:sz w:val="18"/>
                <w:szCs w:val="18"/>
              </w:rPr>
              <w:t>00010/</w:t>
            </w:r>
            <w:proofErr w:type="spellStart"/>
            <w:r w:rsidRPr="002341AF">
              <w:rPr>
                <w:rFonts w:ascii="Palatino Linotype" w:hAnsi="Palatino Linotype"/>
                <w:b/>
                <w:bCs/>
                <w:color w:val="000000" w:themeColor="text1"/>
                <w:sz w:val="18"/>
                <w:szCs w:val="18"/>
              </w:rPr>
              <w:t>COMECyT</w:t>
            </w:r>
            <w:proofErr w:type="spellEnd"/>
            <w:r w:rsidRPr="002341AF">
              <w:rPr>
                <w:rFonts w:ascii="Palatino Linotype" w:hAnsi="Palatino Linotype"/>
                <w:b/>
                <w:bCs/>
                <w:color w:val="000000" w:themeColor="text1"/>
                <w:sz w:val="18"/>
                <w:szCs w:val="18"/>
              </w:rPr>
              <w:t>/IP/2023</w:t>
            </w:r>
          </w:p>
        </w:tc>
        <w:tc>
          <w:tcPr>
            <w:tcW w:w="5954" w:type="dxa"/>
          </w:tcPr>
          <w:p w14:paraId="5671D514" w14:textId="77777777" w:rsidR="003B1454" w:rsidRPr="002341AF" w:rsidRDefault="003B1454" w:rsidP="005B1855">
            <w:pPr>
              <w:jc w:val="both"/>
              <w:rPr>
                <w:rFonts w:ascii="Palatino Linotype" w:hAnsi="Palatino Linotype" w:cstheme="majorHAnsi"/>
                <w:i/>
                <w:iCs/>
                <w:color w:val="000000" w:themeColor="text1"/>
              </w:rPr>
            </w:pPr>
            <w:r w:rsidRPr="002341AF">
              <w:rPr>
                <w:rFonts w:ascii="Palatino Linotype" w:hAnsi="Palatino Linotype"/>
                <w:i/>
                <w:iCs/>
                <w:color w:val="000000" w:themeColor="text1"/>
              </w:rPr>
              <w:t>“documentos que den cuenta de las investigaciones iniciadas en contra de GABRIELA AVILES OLIVARES la cual dejo de laborar para el COMECYT en 2017” (Sic)</w:t>
            </w:r>
          </w:p>
        </w:tc>
      </w:tr>
      <w:tr w:rsidR="003B1454" w:rsidRPr="002341AF" w14:paraId="06231C6F" w14:textId="77777777" w:rsidTr="003B1454">
        <w:trPr>
          <w:trHeight w:val="654"/>
        </w:trPr>
        <w:tc>
          <w:tcPr>
            <w:tcW w:w="562" w:type="dxa"/>
          </w:tcPr>
          <w:p w14:paraId="1FEEC0DE" w14:textId="77777777" w:rsidR="003B1454" w:rsidRPr="002341AF" w:rsidRDefault="003B1454" w:rsidP="005B1855">
            <w:pPr>
              <w:rPr>
                <w:rFonts w:ascii="Palatino Linotype" w:hAnsi="Palatino Linotype" w:cstheme="majorHAnsi"/>
                <w:color w:val="000000" w:themeColor="text1"/>
                <w:sz w:val="18"/>
                <w:szCs w:val="18"/>
              </w:rPr>
            </w:pPr>
            <w:r w:rsidRPr="002341AF">
              <w:rPr>
                <w:rFonts w:ascii="Palatino Linotype" w:hAnsi="Palatino Linotype" w:cstheme="majorHAnsi"/>
                <w:color w:val="000000" w:themeColor="text1"/>
                <w:sz w:val="18"/>
                <w:szCs w:val="18"/>
              </w:rPr>
              <w:t>5</w:t>
            </w:r>
          </w:p>
        </w:tc>
        <w:tc>
          <w:tcPr>
            <w:tcW w:w="2410" w:type="dxa"/>
          </w:tcPr>
          <w:p w14:paraId="2569D8B8" w14:textId="77777777" w:rsidR="003B1454" w:rsidRPr="002341AF" w:rsidRDefault="003B1454" w:rsidP="005B1855">
            <w:pPr>
              <w:rPr>
                <w:rFonts w:ascii="Palatino Linotype" w:hAnsi="Palatino Linotype" w:cstheme="majorHAnsi"/>
                <w:b/>
                <w:bCs/>
                <w:color w:val="000000" w:themeColor="text1"/>
                <w:sz w:val="18"/>
                <w:szCs w:val="18"/>
              </w:rPr>
            </w:pPr>
            <w:r w:rsidRPr="002341AF">
              <w:rPr>
                <w:rFonts w:ascii="Palatino Linotype" w:hAnsi="Palatino Linotype"/>
                <w:b/>
                <w:bCs/>
                <w:color w:val="000000" w:themeColor="text1"/>
                <w:sz w:val="18"/>
                <w:szCs w:val="18"/>
              </w:rPr>
              <w:t>00012/</w:t>
            </w:r>
            <w:proofErr w:type="spellStart"/>
            <w:r w:rsidRPr="002341AF">
              <w:rPr>
                <w:rFonts w:ascii="Palatino Linotype" w:hAnsi="Palatino Linotype"/>
                <w:b/>
                <w:bCs/>
                <w:color w:val="000000" w:themeColor="text1"/>
                <w:sz w:val="18"/>
                <w:szCs w:val="18"/>
              </w:rPr>
              <w:t>COMECyT</w:t>
            </w:r>
            <w:proofErr w:type="spellEnd"/>
            <w:r w:rsidRPr="002341AF">
              <w:rPr>
                <w:rFonts w:ascii="Palatino Linotype" w:hAnsi="Palatino Linotype"/>
                <w:b/>
                <w:bCs/>
                <w:color w:val="000000" w:themeColor="text1"/>
                <w:sz w:val="18"/>
                <w:szCs w:val="18"/>
              </w:rPr>
              <w:t>/IP/2023</w:t>
            </w:r>
          </w:p>
        </w:tc>
        <w:tc>
          <w:tcPr>
            <w:tcW w:w="5954" w:type="dxa"/>
          </w:tcPr>
          <w:p w14:paraId="244BAC70" w14:textId="77777777" w:rsidR="003B1454" w:rsidRPr="002341AF" w:rsidRDefault="003B1454" w:rsidP="005B1855">
            <w:pPr>
              <w:jc w:val="both"/>
              <w:rPr>
                <w:rFonts w:ascii="Palatino Linotype" w:hAnsi="Palatino Linotype" w:cstheme="majorHAnsi"/>
                <w:i/>
                <w:iCs/>
                <w:color w:val="000000" w:themeColor="text1"/>
              </w:rPr>
            </w:pPr>
            <w:r w:rsidRPr="002341AF">
              <w:rPr>
                <w:rFonts w:ascii="Palatino Linotype" w:hAnsi="Palatino Linotype"/>
                <w:i/>
                <w:iCs/>
                <w:color w:val="000000" w:themeColor="text1"/>
              </w:rPr>
              <w:t>Materia a la que corresponden las investigaciones iniciadas en contra de corrupta de GABRIELA AVILES OLIVARES la cual dejo de laborar para el COMECYT en 2017</w:t>
            </w:r>
          </w:p>
        </w:tc>
      </w:tr>
    </w:tbl>
    <w:p w14:paraId="1806D1B4" w14:textId="77777777" w:rsidR="00BA1FB0" w:rsidRPr="002341AF" w:rsidRDefault="00BA1FB0" w:rsidP="00BA1FB0">
      <w:pPr>
        <w:pStyle w:val="Prrafodelista"/>
        <w:spacing w:before="240" w:after="240" w:line="360" w:lineRule="auto"/>
        <w:ind w:left="0" w:right="49"/>
        <w:jc w:val="both"/>
        <w:rPr>
          <w:rFonts w:ascii="Palatino Linotype" w:hAnsi="Palatino Linotype"/>
          <w:i/>
          <w:sz w:val="24"/>
          <w:lang w:eastAsia="es-MX"/>
        </w:rPr>
      </w:pPr>
    </w:p>
    <w:p w14:paraId="218768EE" w14:textId="5AE1D85C" w:rsidR="004E24D9" w:rsidRPr="002341AF" w:rsidRDefault="00030C87" w:rsidP="00BA1FB0">
      <w:pPr>
        <w:pStyle w:val="Prrafodelista"/>
        <w:numPr>
          <w:ilvl w:val="0"/>
          <w:numId w:val="3"/>
        </w:numPr>
        <w:spacing w:before="240" w:after="240" w:line="360" w:lineRule="auto"/>
        <w:ind w:left="0" w:right="49" w:firstLine="0"/>
        <w:jc w:val="both"/>
        <w:rPr>
          <w:rFonts w:ascii="Palatino Linotype" w:hAnsi="Palatino Linotype"/>
          <w:i/>
          <w:sz w:val="24"/>
          <w:lang w:eastAsia="es-MX"/>
        </w:rPr>
      </w:pPr>
      <w:r w:rsidRPr="002341AF">
        <w:rPr>
          <w:rFonts w:ascii="Palatino Linotype" w:eastAsiaTheme="minorEastAsia" w:hAnsi="Palatino Linotype"/>
          <w:iCs/>
          <w:sz w:val="24"/>
          <w:lang w:val="es-ES_tradnl"/>
        </w:rPr>
        <w:t>E</w:t>
      </w:r>
      <w:r w:rsidR="00BA1FB0" w:rsidRPr="002341AF">
        <w:rPr>
          <w:rFonts w:ascii="Palatino Linotype" w:eastAsiaTheme="minorEastAsia" w:hAnsi="Palatino Linotype"/>
          <w:iCs/>
          <w:sz w:val="24"/>
          <w:lang w:val="es-ES_tradnl"/>
        </w:rPr>
        <w:t xml:space="preserve">n respuesta el </w:t>
      </w:r>
      <w:r w:rsidR="00BA1FB0" w:rsidRPr="002341AF">
        <w:rPr>
          <w:rFonts w:ascii="Palatino Linotype" w:eastAsiaTheme="minorEastAsia" w:hAnsi="Palatino Linotype"/>
          <w:b/>
          <w:bCs/>
          <w:iCs/>
          <w:sz w:val="24"/>
          <w:lang w:val="es-ES_tradnl"/>
        </w:rPr>
        <w:t>SUJETO OBLIGADO</w:t>
      </w:r>
      <w:r w:rsidR="00BA2F78" w:rsidRPr="002341AF">
        <w:rPr>
          <w:rFonts w:ascii="Palatino Linotype" w:eastAsiaTheme="minorEastAsia" w:hAnsi="Palatino Linotype"/>
          <w:b/>
          <w:bCs/>
          <w:iCs/>
          <w:sz w:val="24"/>
          <w:lang w:val="es-ES_tradnl"/>
        </w:rPr>
        <w:t>,</w:t>
      </w:r>
      <w:r w:rsidR="00BA1FB0" w:rsidRPr="002341AF">
        <w:rPr>
          <w:rFonts w:ascii="Palatino Linotype" w:eastAsiaTheme="minorEastAsia" w:hAnsi="Palatino Linotype"/>
          <w:iCs/>
          <w:sz w:val="24"/>
          <w:lang w:val="es-ES_tradnl"/>
        </w:rPr>
        <w:t xml:space="preserve"> </w:t>
      </w:r>
      <w:r w:rsidR="003B1454" w:rsidRPr="002341AF">
        <w:rPr>
          <w:rFonts w:ascii="Palatino Linotype" w:eastAsiaTheme="minorEastAsia" w:hAnsi="Palatino Linotype"/>
          <w:iCs/>
          <w:sz w:val="24"/>
          <w:lang w:val="es-ES_tradnl"/>
        </w:rPr>
        <w:t>declar</w:t>
      </w:r>
      <w:r w:rsidR="00ED7EEC" w:rsidRPr="002341AF">
        <w:rPr>
          <w:rFonts w:ascii="Palatino Linotype" w:eastAsiaTheme="minorEastAsia" w:hAnsi="Palatino Linotype"/>
          <w:iCs/>
          <w:sz w:val="24"/>
          <w:lang w:val="es-ES_tradnl"/>
        </w:rPr>
        <w:t xml:space="preserve">ó </w:t>
      </w:r>
      <w:r w:rsidR="003B1454" w:rsidRPr="002341AF">
        <w:rPr>
          <w:rFonts w:ascii="Palatino Linotype" w:eastAsiaTheme="minorEastAsia" w:hAnsi="Palatino Linotype"/>
          <w:iCs/>
          <w:sz w:val="24"/>
          <w:lang w:val="es-ES_tradnl"/>
        </w:rPr>
        <w:t>la incompetencia para poseer y remitir la información solicitada; motivo por el cual, el Particular impugnó la respuesta, manifestando también que no le fue remitido el Acuerdo de Incompetencia correspondiente.</w:t>
      </w:r>
    </w:p>
    <w:p w14:paraId="75F21DE9" w14:textId="4F6DB8AD" w:rsidR="00951FBB" w:rsidRPr="002341AF" w:rsidRDefault="00951FBB" w:rsidP="003B1454">
      <w:pPr>
        <w:pStyle w:val="Prrafodelista"/>
        <w:tabs>
          <w:tab w:val="left" w:pos="284"/>
        </w:tabs>
        <w:spacing w:before="240" w:after="240" w:line="360" w:lineRule="auto"/>
        <w:ind w:left="0"/>
        <w:jc w:val="both"/>
        <w:rPr>
          <w:rFonts w:ascii="Palatino Linotype" w:eastAsiaTheme="minorEastAsia" w:hAnsi="Palatino Linotype"/>
          <w:iCs/>
          <w:sz w:val="24"/>
          <w:lang w:val="es-ES_tradnl"/>
        </w:rPr>
      </w:pPr>
    </w:p>
    <w:p w14:paraId="61030792" w14:textId="25363ACF" w:rsidR="003B1454" w:rsidRPr="002341AF" w:rsidRDefault="00951FBB" w:rsidP="003B1454">
      <w:pPr>
        <w:pStyle w:val="Prrafodelista"/>
        <w:numPr>
          <w:ilvl w:val="0"/>
          <w:numId w:val="2"/>
        </w:numPr>
        <w:tabs>
          <w:tab w:val="left" w:pos="426"/>
        </w:tabs>
        <w:spacing w:line="360" w:lineRule="auto"/>
        <w:ind w:left="0" w:right="49" w:firstLine="0"/>
        <w:jc w:val="both"/>
        <w:rPr>
          <w:rFonts w:ascii="Palatino Linotype" w:hAnsi="Palatino Linotype" w:cs="Arial"/>
          <w:color w:val="000000" w:themeColor="text1"/>
          <w:sz w:val="24"/>
        </w:rPr>
      </w:pPr>
      <w:r w:rsidRPr="002341AF">
        <w:rPr>
          <w:rFonts w:ascii="Palatino Linotype" w:hAnsi="Palatino Linotype" w:cs="Arial"/>
          <w:color w:val="000000" w:themeColor="text1"/>
          <w:sz w:val="24"/>
        </w:rPr>
        <w:t xml:space="preserve">Por </w:t>
      </w:r>
      <w:r w:rsidRPr="002341AF">
        <w:rPr>
          <w:rFonts w:ascii="Palatino Linotype" w:eastAsia="MS Mincho" w:hAnsi="Palatino Linotype"/>
          <w:sz w:val="24"/>
          <w:lang w:val="es-ES_tradnl"/>
        </w:rPr>
        <w:t xml:space="preserve">lo que de este modo, el presente recurso de revisión se circunscribe a determinar si el </w:t>
      </w:r>
      <w:r w:rsidRPr="002341AF">
        <w:rPr>
          <w:rFonts w:ascii="Palatino Linotype" w:eastAsia="MS Mincho" w:hAnsi="Palatino Linotype"/>
          <w:b/>
          <w:sz w:val="24"/>
          <w:lang w:val="es-ES_tradnl"/>
        </w:rPr>
        <w:t>SUJETO OBLIGADO</w:t>
      </w:r>
      <w:r w:rsidR="00BA2F78" w:rsidRPr="002341AF">
        <w:rPr>
          <w:rFonts w:ascii="Palatino Linotype" w:eastAsia="MS Mincho" w:hAnsi="Palatino Linotype"/>
          <w:b/>
          <w:sz w:val="24"/>
          <w:lang w:val="es-ES_tradnl"/>
        </w:rPr>
        <w:t>,</w:t>
      </w:r>
      <w:r w:rsidRPr="002341AF">
        <w:rPr>
          <w:rFonts w:ascii="Palatino Linotype" w:eastAsia="MS Mincho" w:hAnsi="Palatino Linotype"/>
          <w:sz w:val="24"/>
          <w:lang w:val="es-ES_tradnl"/>
        </w:rPr>
        <w:t xml:space="preserve"> con las manifestaciones realizadas, vulnera el derecho de acceso a la información accionado por el particular actualizando la</w:t>
      </w:r>
      <w:r w:rsidR="003B1454" w:rsidRPr="002341AF">
        <w:rPr>
          <w:rFonts w:ascii="Palatino Linotype" w:eastAsia="MS Mincho" w:hAnsi="Palatino Linotype"/>
          <w:sz w:val="24"/>
          <w:lang w:val="es-ES_tradnl"/>
        </w:rPr>
        <w:t xml:space="preserve"> </w:t>
      </w:r>
      <w:r w:rsidRPr="002341AF">
        <w:rPr>
          <w:rFonts w:ascii="Palatino Linotype" w:eastAsia="MS Mincho" w:hAnsi="Palatino Linotype"/>
          <w:sz w:val="24"/>
          <w:lang w:val="es-ES_tradnl"/>
        </w:rPr>
        <w:t>causal de procedencia previstas en el artículo 179 fracción I</w:t>
      </w:r>
      <w:r w:rsidR="003B1454" w:rsidRPr="002341AF">
        <w:rPr>
          <w:rFonts w:ascii="Palatino Linotype" w:eastAsia="MS Mincho" w:hAnsi="Palatino Linotype"/>
          <w:sz w:val="24"/>
          <w:lang w:val="es-ES_tradnl"/>
        </w:rPr>
        <w:t>V</w:t>
      </w:r>
      <w:r w:rsidRPr="002341AF">
        <w:rPr>
          <w:rFonts w:ascii="Palatino Linotype" w:eastAsia="MS Mincho" w:hAnsi="Palatino Linotype"/>
          <w:sz w:val="24"/>
          <w:vertAlign w:val="superscript"/>
          <w:lang w:val="es-ES_tradnl"/>
        </w:rPr>
        <w:footnoteReference w:id="2"/>
      </w:r>
      <w:r w:rsidRPr="002341AF">
        <w:rPr>
          <w:rFonts w:ascii="Palatino Linotype" w:eastAsia="MS Mincho" w:hAnsi="Palatino Linotype"/>
          <w:sz w:val="24"/>
          <w:lang w:val="es-ES_tradnl"/>
        </w:rPr>
        <w:t xml:space="preserve"> de la Ley de Transparencia y Acceso a la Información del Estado de México y Municipios.</w:t>
      </w:r>
    </w:p>
    <w:p w14:paraId="5A5C4D9D" w14:textId="062ED2AC" w:rsidR="00030C87" w:rsidRPr="002341AF" w:rsidRDefault="00BB3A74" w:rsidP="00030C87">
      <w:pPr>
        <w:pStyle w:val="Ttulo2"/>
        <w:tabs>
          <w:tab w:val="left" w:pos="426"/>
        </w:tabs>
        <w:rPr>
          <w:rFonts w:ascii="Palatino Linotype" w:hAnsi="Palatino Linotype" w:cs="Arial"/>
          <w:b/>
          <w:color w:val="000000" w:themeColor="text1"/>
          <w:sz w:val="24"/>
          <w:szCs w:val="24"/>
        </w:rPr>
      </w:pPr>
      <w:bookmarkStart w:id="8" w:name="_Toc87456489"/>
      <w:bookmarkStart w:id="9" w:name="_Toc34911390"/>
      <w:r w:rsidRPr="002341AF">
        <w:rPr>
          <w:rFonts w:ascii="Palatino Linotype" w:hAnsi="Palatino Linotype" w:cs="Arial"/>
          <w:b/>
          <w:color w:val="000000" w:themeColor="text1"/>
          <w:sz w:val="24"/>
          <w:szCs w:val="24"/>
        </w:rPr>
        <w:lastRenderedPageBreak/>
        <w:t>C</w:t>
      </w:r>
      <w:r w:rsidR="00900CBA" w:rsidRPr="002341AF">
        <w:rPr>
          <w:rFonts w:ascii="Palatino Linotype" w:hAnsi="Palatino Linotype" w:cs="Arial"/>
          <w:b/>
          <w:color w:val="000000" w:themeColor="text1"/>
          <w:sz w:val="24"/>
          <w:szCs w:val="24"/>
        </w:rPr>
        <w:t>UARTO</w:t>
      </w:r>
      <w:r w:rsidR="00030C87" w:rsidRPr="002341AF">
        <w:rPr>
          <w:rFonts w:ascii="Palatino Linotype" w:hAnsi="Palatino Linotype" w:cs="Arial"/>
          <w:b/>
          <w:color w:val="000000" w:themeColor="text1"/>
          <w:sz w:val="24"/>
          <w:szCs w:val="24"/>
        </w:rPr>
        <w:t>. Estudio y Resolución del asunto.</w:t>
      </w:r>
      <w:bookmarkEnd w:id="8"/>
    </w:p>
    <w:p w14:paraId="4D54B4F9" w14:textId="77777777" w:rsidR="00F43915" w:rsidRPr="002341AF" w:rsidRDefault="00F43915" w:rsidP="00F43915"/>
    <w:p w14:paraId="5BBDBE64" w14:textId="77777777" w:rsidR="00D01349" w:rsidRPr="002341AF" w:rsidRDefault="00D01349" w:rsidP="00D01349">
      <w:pPr>
        <w:tabs>
          <w:tab w:val="left" w:pos="426"/>
        </w:tabs>
        <w:spacing w:before="240" w:after="240" w:line="360" w:lineRule="auto"/>
        <w:ind w:right="51"/>
        <w:jc w:val="both"/>
        <w:outlineLvl w:val="2"/>
        <w:rPr>
          <w:rFonts w:ascii="Palatino Linotype" w:hAnsi="Palatino Linotype"/>
          <w:color w:val="000000" w:themeColor="text1"/>
          <w:sz w:val="24"/>
          <w:szCs w:val="24"/>
        </w:rPr>
      </w:pPr>
      <w:bookmarkStart w:id="10" w:name="_Toc88071782"/>
      <w:r w:rsidRPr="002341AF">
        <w:rPr>
          <w:rFonts w:ascii="Palatino Linotype" w:hAnsi="Palatino Linotype"/>
          <w:b/>
          <w:color w:val="000000" w:themeColor="text1"/>
          <w:sz w:val="24"/>
          <w:szCs w:val="24"/>
        </w:rPr>
        <w:t>I. Del deber de las autoridades de promover, respetar, proteger y garantizar el derecho de acceso a la información pública.</w:t>
      </w:r>
      <w:bookmarkEnd w:id="10"/>
    </w:p>
    <w:p w14:paraId="125A4ED7" w14:textId="2C7AD491" w:rsidR="00D01349" w:rsidRPr="002341AF" w:rsidRDefault="005B056B" w:rsidP="00DF7526">
      <w:pPr>
        <w:numPr>
          <w:ilvl w:val="0"/>
          <w:numId w:val="2"/>
        </w:numPr>
        <w:spacing w:line="360" w:lineRule="auto"/>
        <w:ind w:left="0" w:right="34" w:firstLine="0"/>
        <w:contextualSpacing/>
        <w:jc w:val="both"/>
        <w:rPr>
          <w:rFonts w:ascii="Palatino Linotype" w:eastAsia="MS Mincho" w:hAnsi="Palatino Linotype" w:cs="Arial"/>
          <w:sz w:val="24"/>
          <w:szCs w:val="24"/>
        </w:rPr>
      </w:pPr>
      <w:r w:rsidRPr="002341AF">
        <w:rPr>
          <w:rFonts w:ascii="Palatino Linotype" w:eastAsia="MS Mincho" w:hAnsi="Palatino Linotype" w:cs="Arial"/>
          <w:sz w:val="24"/>
          <w:szCs w:val="24"/>
        </w:rPr>
        <w:t xml:space="preserve">Es </w:t>
      </w:r>
      <w:r w:rsidRPr="002341AF">
        <w:rPr>
          <w:rFonts w:ascii="Palatino Linotype" w:hAnsi="Palatino Linotype"/>
          <w:sz w:val="24"/>
          <w:szCs w:val="24"/>
          <w:lang w:val="es-ES"/>
        </w:rPr>
        <w:t xml:space="preserve">elemental </w:t>
      </w:r>
      <w:r w:rsidRPr="002341AF">
        <w:rPr>
          <w:rFonts w:ascii="Palatino Linotype" w:hAnsi="Palatino Linotype"/>
          <w:sz w:val="24"/>
          <w:szCs w:val="24"/>
          <w:lang w:val="es-ES_tradnl"/>
        </w:rPr>
        <w:t>precisar</w:t>
      </w:r>
      <w:r w:rsidRPr="002341AF">
        <w:rPr>
          <w:rFonts w:ascii="Palatino Linotype" w:hAnsi="Palatino Linotype"/>
          <w:bCs/>
          <w:sz w:val="24"/>
          <w:szCs w:val="24"/>
        </w:rPr>
        <w:t xml:space="preserve"> que </w:t>
      </w:r>
      <w:r w:rsidRPr="002341AF">
        <w:rPr>
          <w:rFonts w:ascii="Palatino Linotype" w:hAnsi="Palatino Linotype"/>
          <w:bCs/>
          <w:sz w:val="24"/>
          <w:szCs w:val="24"/>
          <w:lang w:val="es-ES_tradnl"/>
        </w:rPr>
        <w:t xml:space="preserve">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2341AF">
        <w:rPr>
          <w:rFonts w:ascii="Palatino Linotype" w:hAnsi="Palatino Linotype"/>
          <w:b/>
          <w:bCs/>
          <w:sz w:val="24"/>
          <w:szCs w:val="24"/>
          <w:lang w:val="es-ES_tradnl"/>
        </w:rPr>
        <w:t>SUJETO OBLIGADO</w:t>
      </w:r>
      <w:r w:rsidR="00BA2F78" w:rsidRPr="002341AF">
        <w:rPr>
          <w:rFonts w:ascii="Palatino Linotype" w:hAnsi="Palatino Linotype"/>
          <w:b/>
          <w:bCs/>
          <w:sz w:val="24"/>
          <w:szCs w:val="24"/>
          <w:lang w:val="es-ES_tradnl"/>
        </w:rPr>
        <w:t>,</w:t>
      </w:r>
      <w:r w:rsidRPr="002341AF">
        <w:rPr>
          <w:rFonts w:ascii="Palatino Linotype" w:hAnsi="Palatino Linotype"/>
          <w:bCs/>
          <w:sz w:val="24"/>
          <w:szCs w:val="24"/>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341AF">
        <w:rPr>
          <w:rFonts w:ascii="Palatino Linotype" w:hAnsi="Palatino Linotype"/>
          <w:b/>
          <w:bCs/>
          <w:sz w:val="24"/>
          <w:szCs w:val="24"/>
          <w:lang w:val="es-ES_tradnl"/>
        </w:rPr>
        <w:t xml:space="preserve">Constitución Política de los Estados Unidos Mexicanos </w:t>
      </w:r>
      <w:r w:rsidRPr="002341AF">
        <w:rPr>
          <w:rFonts w:ascii="Palatino Linotype" w:hAnsi="Palatino Linotype"/>
          <w:bCs/>
          <w:sz w:val="24"/>
          <w:szCs w:val="24"/>
          <w:lang w:val="es-ES_tradnl"/>
        </w:rPr>
        <w:t xml:space="preserve">al señalar la obligación de “promover, </w:t>
      </w:r>
      <w:r w:rsidRPr="002341AF">
        <w:rPr>
          <w:rFonts w:ascii="Palatino Linotype" w:hAnsi="Palatino Linotype"/>
          <w:b/>
          <w:bCs/>
          <w:sz w:val="24"/>
          <w:szCs w:val="24"/>
          <w:lang w:val="es-ES_tradnl"/>
        </w:rPr>
        <w:t>respetar</w:t>
      </w:r>
      <w:r w:rsidRPr="002341AF">
        <w:rPr>
          <w:rFonts w:ascii="Palatino Linotype" w:hAnsi="Palatino Linotype"/>
          <w:bCs/>
          <w:sz w:val="24"/>
          <w:szCs w:val="24"/>
          <w:lang w:val="es-ES_tradnl"/>
        </w:rPr>
        <w:t xml:space="preserve">, proteger y </w:t>
      </w:r>
      <w:r w:rsidRPr="002341AF">
        <w:rPr>
          <w:rFonts w:ascii="Palatino Linotype" w:hAnsi="Palatino Linotype"/>
          <w:b/>
          <w:bCs/>
          <w:sz w:val="24"/>
          <w:szCs w:val="24"/>
          <w:lang w:val="es-ES_tradnl"/>
        </w:rPr>
        <w:t>garantizar</w:t>
      </w:r>
      <w:r w:rsidRPr="002341AF">
        <w:rPr>
          <w:rFonts w:ascii="Palatino Linotype" w:hAnsi="Palatino Linotype"/>
          <w:bCs/>
          <w:sz w:val="24"/>
          <w:szCs w:val="24"/>
          <w:lang w:val="es-ES_tradnl"/>
        </w:rPr>
        <w:t xml:space="preserve"> los derechos humanos”, entre los cuales se encuentra dicho derecho.</w:t>
      </w:r>
    </w:p>
    <w:p w14:paraId="5742589B" w14:textId="77777777" w:rsidR="005B056B" w:rsidRPr="002341AF" w:rsidRDefault="005B056B" w:rsidP="005B056B">
      <w:pPr>
        <w:spacing w:line="360" w:lineRule="auto"/>
        <w:ind w:right="34"/>
        <w:contextualSpacing/>
        <w:jc w:val="both"/>
        <w:rPr>
          <w:rFonts w:ascii="Palatino Linotype" w:eastAsia="MS Mincho" w:hAnsi="Palatino Linotype" w:cs="Arial"/>
          <w:sz w:val="24"/>
          <w:szCs w:val="24"/>
        </w:rPr>
      </w:pPr>
    </w:p>
    <w:p w14:paraId="528DA4FB" w14:textId="77777777" w:rsidR="005B056B" w:rsidRPr="002341AF" w:rsidRDefault="005B056B" w:rsidP="005B056B">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sz w:val="24"/>
        </w:rPr>
      </w:pPr>
      <w:r w:rsidRPr="002341AF">
        <w:rPr>
          <w:rFonts w:ascii="Palatino Linotype" w:eastAsia="MS Mincho" w:hAnsi="Palatino Linotype" w:cs="Arial"/>
          <w:sz w:val="24"/>
        </w:rPr>
        <w:t xml:space="preserve">Por </w:t>
      </w:r>
      <w:r w:rsidRPr="002341AF">
        <w:rPr>
          <w:rFonts w:ascii="Palatino Linotype" w:hAnsi="Palatino Linotype"/>
          <w:color w:val="000000" w:themeColor="text1"/>
          <w:sz w:val="24"/>
        </w:rPr>
        <w:t xml:space="preserve">ende, se deduce que el derecho de acceso a la información pública es un derecho humano convencional y constitucionalmente reconocido; en consecuencia, </w:t>
      </w:r>
      <w:r w:rsidRPr="002341AF">
        <w:rPr>
          <w:rFonts w:ascii="Palatino Linotype" w:hAnsi="Palatino Linotype"/>
          <w:color w:val="000000" w:themeColor="text1"/>
          <w:sz w:val="24"/>
        </w:rPr>
        <w:lastRenderedPageBreak/>
        <w:t>todas las autoridades en el ámbito de sus competencias, funciones y atribuciones tienen la obligación de respetarlo, protegerlo y garantizarlo.</w:t>
      </w:r>
    </w:p>
    <w:p w14:paraId="6EF5BEB7" w14:textId="1AD323D9" w:rsidR="00D01349" w:rsidRPr="002341AF" w:rsidRDefault="005B056B" w:rsidP="00DF7526">
      <w:pPr>
        <w:numPr>
          <w:ilvl w:val="0"/>
          <w:numId w:val="2"/>
        </w:numPr>
        <w:spacing w:line="360" w:lineRule="auto"/>
        <w:ind w:left="0" w:right="34" w:firstLine="0"/>
        <w:contextualSpacing/>
        <w:jc w:val="both"/>
        <w:rPr>
          <w:rFonts w:ascii="Palatino Linotype" w:eastAsia="MS Mincho" w:hAnsi="Palatino Linotype" w:cs="Arial"/>
          <w:sz w:val="24"/>
          <w:szCs w:val="24"/>
        </w:rPr>
      </w:pPr>
      <w:r w:rsidRPr="002341AF">
        <w:rPr>
          <w:rFonts w:ascii="Palatino Linotype" w:eastAsia="MS Mincho" w:hAnsi="Palatino Linotype" w:cs="Arial"/>
          <w:sz w:val="24"/>
          <w:szCs w:val="24"/>
        </w:rPr>
        <w:t xml:space="preserve">Así </w:t>
      </w:r>
      <w:r w:rsidRPr="002341AF">
        <w:rPr>
          <w:rFonts w:ascii="Palatino Linotype" w:hAnsi="Palatino Linotype"/>
          <w:sz w:val="24"/>
          <w:szCs w:val="24"/>
          <w:lang w:val="es-ES"/>
        </w:rPr>
        <w:t xml:space="preserve">las cosas, </w:t>
      </w:r>
      <w:r w:rsidRPr="002341AF">
        <w:rPr>
          <w:rFonts w:ascii="Palatino Linotype" w:hAnsi="Palatino Linotype"/>
          <w:color w:val="000000" w:themeColor="text1"/>
          <w:sz w:val="24"/>
          <w:szCs w:val="24"/>
        </w:rPr>
        <w:t xml:space="preserve">podemos definir el Derecho de Acceso a la Información Pública como: </w:t>
      </w:r>
      <w:r w:rsidRPr="002341AF">
        <w:rPr>
          <w:rFonts w:ascii="Palatino Linotype" w:hAnsi="Palatino Linotype"/>
          <w:i/>
          <w:color w:val="000000" w:themeColor="text1"/>
          <w:sz w:val="24"/>
          <w:szCs w:val="24"/>
        </w:rPr>
        <w:t>La igualdad de oportunidades para recibir, buscar e impartir información</w:t>
      </w:r>
      <w:r w:rsidRPr="002341AF">
        <w:rPr>
          <w:rFonts w:ascii="Palatino Linotype" w:hAnsi="Palatino Linotype"/>
          <w:i/>
          <w:color w:val="000000" w:themeColor="text1"/>
          <w:sz w:val="24"/>
          <w:szCs w:val="24"/>
          <w:vertAlign w:val="superscript"/>
        </w:rPr>
        <w:footnoteReference w:id="3"/>
      </w:r>
      <w:r w:rsidRPr="002341AF">
        <w:rPr>
          <w:rFonts w:ascii="Palatino Linotype" w:hAnsi="Palatino Linotype"/>
          <w:i/>
          <w:color w:val="000000" w:themeColor="text1"/>
          <w:sz w:val="24"/>
          <w:szCs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341AF">
        <w:rPr>
          <w:rFonts w:ascii="Palatino Linotype" w:hAnsi="Palatino Linotype"/>
          <w:i/>
          <w:color w:val="000000" w:themeColor="text1"/>
          <w:sz w:val="24"/>
          <w:szCs w:val="24"/>
          <w:vertAlign w:val="superscript"/>
        </w:rPr>
        <w:footnoteReference w:id="4"/>
      </w:r>
      <w:r w:rsidRPr="002341AF">
        <w:rPr>
          <w:rFonts w:ascii="Palatino Linotype" w:hAnsi="Palatino Linotype"/>
          <w:color w:val="000000" w:themeColor="text1"/>
          <w:sz w:val="24"/>
          <w:szCs w:val="24"/>
        </w:rPr>
        <w:t>que se constituye como una herramienta fundamental para ejercer</w:t>
      </w:r>
      <w:r w:rsidRPr="002341AF">
        <w:rPr>
          <w:rFonts w:ascii="Palatino Linotype" w:hAnsi="Palatino Linotype"/>
          <w:i/>
          <w:color w:val="000000" w:themeColor="text1"/>
          <w:sz w:val="24"/>
          <w:szCs w:val="24"/>
        </w:rPr>
        <w:t xml:space="preserve"> el control democrático de las gestiones estatales, de forma tal que puedan cuestionar, indagar y considerar si se está dando un adecuado cumplimiento a las funciones públicas,</w:t>
      </w:r>
      <w:r w:rsidRPr="002341AF">
        <w:rPr>
          <w:rFonts w:ascii="Palatino Linotype" w:hAnsi="Palatino Linotype"/>
          <w:i/>
          <w:color w:val="000000" w:themeColor="text1"/>
          <w:sz w:val="24"/>
          <w:szCs w:val="24"/>
          <w:vertAlign w:val="superscript"/>
        </w:rPr>
        <w:footnoteReference w:id="5"/>
      </w:r>
      <w:r w:rsidRPr="002341AF">
        <w:rPr>
          <w:rFonts w:ascii="Palatino Linotype" w:hAnsi="Palatino Linotype"/>
          <w:i/>
          <w:color w:val="000000" w:themeColor="text1"/>
          <w:sz w:val="24"/>
          <w:szCs w:val="24"/>
        </w:rPr>
        <w:t xml:space="preserve"> </w:t>
      </w:r>
      <w:r w:rsidRPr="002341AF">
        <w:rPr>
          <w:rFonts w:ascii="Palatino Linotype" w:hAnsi="Palatino Linotype"/>
          <w:color w:val="000000" w:themeColor="text1"/>
          <w:sz w:val="24"/>
          <w:szCs w:val="24"/>
        </w:rPr>
        <w:t>fomentando</w:t>
      </w:r>
      <w:r w:rsidRPr="002341AF">
        <w:rPr>
          <w:rFonts w:ascii="Palatino Linotype" w:hAnsi="Palatino Linotype"/>
          <w:i/>
          <w:color w:val="000000" w:themeColor="text1"/>
          <w:sz w:val="24"/>
          <w:szCs w:val="24"/>
        </w:rPr>
        <w:t xml:space="preserve"> la transparencia de las actividades estatales y </w:t>
      </w:r>
      <w:r w:rsidRPr="002341AF">
        <w:rPr>
          <w:rFonts w:ascii="Palatino Linotype" w:hAnsi="Palatino Linotype"/>
          <w:color w:val="000000" w:themeColor="text1"/>
          <w:sz w:val="24"/>
          <w:szCs w:val="24"/>
        </w:rPr>
        <w:t>promoviendo</w:t>
      </w:r>
      <w:r w:rsidRPr="002341AF">
        <w:rPr>
          <w:rFonts w:ascii="Palatino Linotype" w:hAnsi="Palatino Linotype"/>
          <w:i/>
          <w:color w:val="000000" w:themeColor="text1"/>
          <w:sz w:val="24"/>
          <w:szCs w:val="24"/>
        </w:rPr>
        <w:t xml:space="preserve"> la responsabilidad de los funcionarios sobre su gestión pública,</w:t>
      </w:r>
      <w:r w:rsidRPr="002341AF">
        <w:rPr>
          <w:rFonts w:ascii="Palatino Linotype" w:hAnsi="Palatino Linotype"/>
          <w:i/>
          <w:color w:val="000000" w:themeColor="text1"/>
          <w:sz w:val="24"/>
          <w:szCs w:val="24"/>
          <w:vertAlign w:val="superscript"/>
        </w:rPr>
        <w:footnoteReference w:id="6"/>
      </w:r>
      <w:r w:rsidRPr="002341AF">
        <w:rPr>
          <w:rFonts w:ascii="Palatino Linotype" w:hAnsi="Palatino Linotype"/>
          <w:color w:val="000000" w:themeColor="text1"/>
          <w:sz w:val="24"/>
          <w:szCs w:val="24"/>
        </w:rPr>
        <w:t>que permite</w:t>
      </w:r>
      <w:r w:rsidRPr="002341AF">
        <w:rPr>
          <w:rFonts w:ascii="Palatino Linotype" w:hAnsi="Palatino Linotype"/>
          <w:i/>
          <w:color w:val="000000" w:themeColor="text1"/>
          <w:sz w:val="24"/>
          <w:szCs w:val="24"/>
        </w:rPr>
        <w:t xml:space="preserve"> saber qué están haciendo los gobiernos por sus pueblos, sin lo cual la verdad languidecería y la participación en el gobierno permanecería fragmentada.</w:t>
      </w:r>
    </w:p>
    <w:p w14:paraId="3113063D" w14:textId="77777777" w:rsidR="005B056B" w:rsidRPr="002341AF" w:rsidRDefault="005B056B" w:rsidP="005B056B">
      <w:pPr>
        <w:spacing w:line="360" w:lineRule="auto"/>
        <w:ind w:right="34"/>
        <w:contextualSpacing/>
        <w:jc w:val="both"/>
        <w:rPr>
          <w:rFonts w:ascii="Palatino Linotype" w:eastAsia="MS Mincho" w:hAnsi="Palatino Linotype" w:cs="Arial"/>
          <w:sz w:val="24"/>
          <w:szCs w:val="24"/>
        </w:rPr>
      </w:pPr>
    </w:p>
    <w:p w14:paraId="2ADFCA02" w14:textId="77777777" w:rsidR="005B056B" w:rsidRPr="002341AF" w:rsidRDefault="005B056B" w:rsidP="005B056B">
      <w:pPr>
        <w:numPr>
          <w:ilvl w:val="0"/>
          <w:numId w:val="2"/>
        </w:numPr>
        <w:spacing w:line="360" w:lineRule="auto"/>
        <w:ind w:left="0" w:right="34" w:firstLine="0"/>
        <w:contextualSpacing/>
        <w:jc w:val="both"/>
        <w:rPr>
          <w:rFonts w:ascii="Palatino Linotype" w:eastAsia="MS Mincho" w:hAnsi="Palatino Linotype" w:cs="Arial"/>
          <w:sz w:val="24"/>
          <w:szCs w:val="24"/>
        </w:rPr>
      </w:pPr>
      <w:r w:rsidRPr="002341AF">
        <w:rPr>
          <w:rFonts w:ascii="Palatino Linotype" w:eastAsia="MS Mincho" w:hAnsi="Palatino Linotype" w:cs="Arial"/>
          <w:sz w:val="24"/>
          <w:szCs w:val="24"/>
        </w:rPr>
        <w:t xml:space="preserve">Por </w:t>
      </w:r>
      <w:r w:rsidRPr="002341AF">
        <w:rPr>
          <w:rFonts w:ascii="Palatino Linotype" w:hAnsi="Palatino Linotype"/>
          <w:color w:val="000000" w:themeColor="text1"/>
          <w:sz w:val="24"/>
          <w:szCs w:val="24"/>
        </w:rPr>
        <w:t xml:space="preserve">otro lado, la Ley de Transparencia y Acceso a la Información Pública del Estado de México y Municipios, cuyo objeto es establecer principios, bases generales </w:t>
      </w:r>
      <w:r w:rsidRPr="002341AF">
        <w:rPr>
          <w:rFonts w:ascii="Palatino Linotype" w:hAnsi="Palatino Linotype"/>
          <w:color w:val="000000" w:themeColor="text1"/>
          <w:sz w:val="24"/>
          <w:szCs w:val="24"/>
        </w:rPr>
        <w:lastRenderedPageBreak/>
        <w:t xml:space="preserve">y procedimientos para tutelar y garantizar la transparencia y el derecho humano de acceso a la información pública en posesión de los sujetos obligados; en su artículo 176, establece que </w:t>
      </w:r>
      <w:r w:rsidRPr="002341AF">
        <w:rPr>
          <w:rFonts w:ascii="Palatino Linotype" w:hAnsi="Palatino Linotype"/>
          <w:b/>
          <w:color w:val="000000" w:themeColor="text1"/>
          <w:sz w:val="24"/>
          <w:szCs w:val="24"/>
        </w:rPr>
        <w:t>el recurso de revisión es la garantía secundaria mediante la cual se pretende reparar cualquier posible afectación al derecho de acceso a la información pública</w:t>
      </w:r>
      <w:r w:rsidRPr="002341AF">
        <w:rPr>
          <w:rFonts w:ascii="Palatino Linotype" w:hAnsi="Palatino Linotype"/>
          <w:color w:val="000000" w:themeColor="text1"/>
          <w:sz w:val="24"/>
          <w:szCs w:val="24"/>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665582CB" w14:textId="77777777" w:rsidR="005B056B" w:rsidRPr="002341AF" w:rsidRDefault="005B056B" w:rsidP="005B056B">
      <w:pPr>
        <w:pStyle w:val="Prrafodelista"/>
        <w:rPr>
          <w:rFonts w:ascii="Palatino Linotype" w:eastAsia="MS Mincho" w:hAnsi="Palatino Linotype" w:cs="Arial"/>
          <w:sz w:val="24"/>
        </w:rPr>
      </w:pPr>
    </w:p>
    <w:p w14:paraId="48597A2A" w14:textId="570E3FFB" w:rsidR="00951FBB" w:rsidRPr="002341AF" w:rsidRDefault="005B056B" w:rsidP="00F43915">
      <w:pPr>
        <w:numPr>
          <w:ilvl w:val="0"/>
          <w:numId w:val="2"/>
        </w:numPr>
        <w:spacing w:line="360" w:lineRule="auto"/>
        <w:ind w:left="0" w:right="34" w:firstLine="0"/>
        <w:contextualSpacing/>
        <w:jc w:val="both"/>
        <w:rPr>
          <w:rFonts w:ascii="Palatino Linotype" w:eastAsia="MS Mincho" w:hAnsi="Palatino Linotype" w:cs="Arial"/>
          <w:sz w:val="24"/>
          <w:szCs w:val="24"/>
        </w:rPr>
      </w:pPr>
      <w:r w:rsidRPr="002341AF">
        <w:rPr>
          <w:rFonts w:ascii="Palatino Linotype" w:eastAsia="MS Mincho" w:hAnsi="Palatino Linotype" w:cs="Arial"/>
          <w:sz w:val="24"/>
          <w:szCs w:val="24"/>
        </w:rPr>
        <w:t xml:space="preserve">Ahora bien, como </w:t>
      </w:r>
      <w:r w:rsidR="00951FBB" w:rsidRPr="002341AF">
        <w:rPr>
          <w:rFonts w:ascii="Palatino Linotype" w:eastAsia="MS Mincho" w:hAnsi="Palatino Linotype" w:cs="Arial"/>
          <w:sz w:val="24"/>
          <w:szCs w:val="24"/>
        </w:rPr>
        <w:t xml:space="preserve">ya fuera expuesto en el apartado de </w:t>
      </w:r>
      <w:r w:rsidR="00951FBB" w:rsidRPr="002341AF">
        <w:rPr>
          <w:rFonts w:ascii="Palatino Linotype" w:eastAsia="MS Mincho" w:hAnsi="Palatino Linotype" w:cs="Arial"/>
          <w:i/>
          <w:sz w:val="24"/>
          <w:szCs w:val="24"/>
        </w:rPr>
        <w:t>Antecedentes</w:t>
      </w:r>
      <w:r w:rsidR="00951FBB" w:rsidRPr="002341AF">
        <w:rPr>
          <w:rFonts w:ascii="Palatino Linotype" w:eastAsia="MS Mincho" w:hAnsi="Palatino Linotype" w:cs="Arial"/>
          <w:sz w:val="24"/>
          <w:szCs w:val="24"/>
        </w:rPr>
        <w:t xml:space="preserve"> de la presente resolución, el Particular solicitó</w:t>
      </w:r>
      <w:r w:rsidR="00951FBB" w:rsidRPr="002341AF">
        <w:rPr>
          <w:rFonts w:ascii="Palatino Linotype" w:eastAsia="MS Mincho" w:hAnsi="Palatino Linotype" w:cs="Arial"/>
          <w:b/>
          <w:sz w:val="24"/>
          <w:szCs w:val="24"/>
        </w:rPr>
        <w:t>,</w:t>
      </w:r>
      <w:r w:rsidR="00951FBB" w:rsidRPr="002341AF">
        <w:rPr>
          <w:rFonts w:ascii="Palatino Linotype" w:eastAsia="MS Mincho" w:hAnsi="Palatino Linotype" w:cs="Arial"/>
          <w:i/>
          <w:sz w:val="24"/>
          <w:szCs w:val="24"/>
        </w:rPr>
        <w:t xml:space="preserve"> </w:t>
      </w:r>
      <w:r w:rsidR="00951FBB" w:rsidRPr="002341AF">
        <w:rPr>
          <w:rFonts w:ascii="Palatino Linotype" w:eastAsia="MS Mincho" w:hAnsi="Palatino Linotype" w:cs="Arial"/>
          <w:sz w:val="24"/>
          <w:szCs w:val="24"/>
        </w:rPr>
        <w:t>acceso a</w:t>
      </w:r>
      <w:r w:rsidR="00F43915" w:rsidRPr="002341AF">
        <w:rPr>
          <w:rFonts w:ascii="Palatino Linotype" w:eastAsia="MS Mincho" w:hAnsi="Palatino Linotype" w:cs="Arial"/>
          <w:sz w:val="24"/>
          <w:szCs w:val="24"/>
        </w:rPr>
        <w:t xml:space="preserve"> lo siguiente</w:t>
      </w:r>
      <w:r w:rsidR="00951FBB" w:rsidRPr="002341AF">
        <w:rPr>
          <w:rFonts w:ascii="Palatino Linotype" w:eastAsia="MS Mincho" w:hAnsi="Palatino Linotype" w:cs="Arial"/>
          <w:sz w:val="24"/>
          <w:szCs w:val="24"/>
        </w:rPr>
        <w:t>:</w:t>
      </w:r>
    </w:p>
    <w:p w14:paraId="6393B6BA" w14:textId="34D5ED97" w:rsidR="00F43915" w:rsidRPr="002341AF" w:rsidRDefault="00F43915" w:rsidP="00F43915">
      <w:pPr>
        <w:spacing w:line="360" w:lineRule="auto"/>
        <w:ind w:right="34"/>
        <w:contextualSpacing/>
        <w:jc w:val="both"/>
        <w:rPr>
          <w:rFonts w:ascii="Palatino Linotype" w:eastAsia="MS Mincho" w:hAnsi="Palatino Linotype" w:cs="Arial"/>
          <w:sz w:val="24"/>
          <w:szCs w:val="24"/>
        </w:rPr>
      </w:pPr>
    </w:p>
    <w:tbl>
      <w:tblPr>
        <w:tblStyle w:val="Tablaconcuadrcula"/>
        <w:tblW w:w="9376" w:type="dxa"/>
        <w:tblLayout w:type="fixed"/>
        <w:tblLook w:val="04A0" w:firstRow="1" w:lastRow="0" w:firstColumn="1" w:lastColumn="0" w:noHBand="0" w:noVBand="1"/>
      </w:tblPr>
      <w:tblGrid>
        <w:gridCol w:w="9376"/>
      </w:tblGrid>
      <w:tr w:rsidR="00F43915" w:rsidRPr="002341AF" w14:paraId="7C99F0FF" w14:textId="77777777" w:rsidTr="00F43915">
        <w:trPr>
          <w:trHeight w:val="246"/>
        </w:trPr>
        <w:tc>
          <w:tcPr>
            <w:tcW w:w="9376" w:type="dxa"/>
            <w:shd w:val="clear" w:color="auto" w:fill="D9D9D9" w:themeFill="background1" w:themeFillShade="D9"/>
          </w:tcPr>
          <w:p w14:paraId="79458F5E" w14:textId="77777777" w:rsidR="00F43915" w:rsidRPr="002341AF" w:rsidRDefault="00F43915" w:rsidP="005B1855">
            <w:pPr>
              <w:jc w:val="center"/>
              <w:rPr>
                <w:rFonts w:ascii="Palatino Linotype" w:hAnsi="Palatino Linotype" w:cstheme="majorHAnsi"/>
                <w:b/>
                <w:bCs/>
                <w:color w:val="000000" w:themeColor="text1"/>
              </w:rPr>
            </w:pPr>
            <w:r w:rsidRPr="002341AF">
              <w:rPr>
                <w:rFonts w:ascii="Palatino Linotype" w:hAnsi="Palatino Linotype" w:cstheme="majorHAnsi"/>
                <w:b/>
                <w:bCs/>
                <w:color w:val="000000" w:themeColor="text1"/>
              </w:rPr>
              <w:t>Requerimiento</w:t>
            </w:r>
          </w:p>
        </w:tc>
      </w:tr>
      <w:tr w:rsidR="00F43915" w:rsidRPr="002341AF" w14:paraId="26C6C68D" w14:textId="77777777" w:rsidTr="00F43915">
        <w:trPr>
          <w:trHeight w:val="815"/>
        </w:trPr>
        <w:tc>
          <w:tcPr>
            <w:tcW w:w="9376" w:type="dxa"/>
          </w:tcPr>
          <w:p w14:paraId="36599C1D" w14:textId="77777777" w:rsidR="00F43915" w:rsidRPr="002341AF" w:rsidRDefault="00F43915" w:rsidP="005B1855">
            <w:pPr>
              <w:jc w:val="both"/>
              <w:rPr>
                <w:rFonts w:ascii="Palatino Linotype" w:hAnsi="Palatino Linotype" w:cstheme="majorHAnsi"/>
                <w:bCs/>
                <w:i/>
                <w:iCs/>
                <w:color w:val="000000" w:themeColor="text1"/>
                <w:sz w:val="22"/>
                <w:szCs w:val="22"/>
                <w:lang w:eastAsia="es-MX"/>
              </w:rPr>
            </w:pPr>
            <w:r w:rsidRPr="002341AF">
              <w:rPr>
                <w:rFonts w:ascii="Palatino Linotype" w:hAnsi="Palatino Linotype"/>
                <w:i/>
                <w:iCs/>
                <w:color w:val="000000"/>
                <w:sz w:val="22"/>
                <w:szCs w:val="22"/>
              </w:rPr>
              <w:t>“investigaciones vigente y concluidas iniciadas en contra de GABRIELA AVILES OLIVARES la</w:t>
            </w:r>
            <w:r w:rsidRPr="002341AF">
              <w:rPr>
                <w:rFonts w:ascii="Verdana" w:hAnsi="Verdana"/>
                <w:color w:val="000000"/>
                <w:sz w:val="14"/>
                <w:szCs w:val="14"/>
              </w:rPr>
              <w:t xml:space="preserve"> </w:t>
            </w:r>
            <w:r w:rsidRPr="002341AF">
              <w:rPr>
                <w:rFonts w:ascii="Palatino Linotype" w:hAnsi="Palatino Linotype"/>
                <w:i/>
                <w:iCs/>
                <w:color w:val="000000"/>
                <w:sz w:val="22"/>
                <w:szCs w:val="22"/>
              </w:rPr>
              <w:t>cual dejo de laborar para el COMECYT en 2017” (Sic)</w:t>
            </w:r>
          </w:p>
        </w:tc>
      </w:tr>
      <w:tr w:rsidR="00F43915" w:rsidRPr="002341AF" w14:paraId="0C5CF3BC" w14:textId="77777777" w:rsidTr="00F43915">
        <w:trPr>
          <w:trHeight w:val="784"/>
        </w:trPr>
        <w:tc>
          <w:tcPr>
            <w:tcW w:w="9376" w:type="dxa"/>
          </w:tcPr>
          <w:p w14:paraId="261EF2FF" w14:textId="77777777" w:rsidR="00F43915" w:rsidRPr="002341AF" w:rsidRDefault="00F43915" w:rsidP="005B1855">
            <w:pPr>
              <w:jc w:val="both"/>
              <w:rPr>
                <w:rFonts w:ascii="Palatino Linotype" w:hAnsi="Palatino Linotype" w:cstheme="majorHAnsi"/>
                <w:i/>
                <w:iCs/>
                <w:color w:val="000000" w:themeColor="text1"/>
                <w:sz w:val="22"/>
                <w:szCs w:val="22"/>
              </w:rPr>
            </w:pPr>
            <w:r w:rsidRPr="002341AF">
              <w:rPr>
                <w:rFonts w:ascii="Palatino Linotype" w:hAnsi="Palatino Linotype"/>
                <w:i/>
                <w:iCs/>
                <w:color w:val="000000"/>
                <w:sz w:val="21"/>
                <w:szCs w:val="21"/>
              </w:rPr>
              <w:t>“motivos por los cuales se iniciaron las investigaciones en contra de GABRIELA AVILES OLIVARES la cual dejo de laborar para el COMECYT en 2017” (Sic)</w:t>
            </w:r>
          </w:p>
        </w:tc>
      </w:tr>
      <w:tr w:rsidR="00F43915" w:rsidRPr="002341AF" w14:paraId="48B82B17" w14:textId="77777777" w:rsidTr="00F43915">
        <w:trPr>
          <w:trHeight w:val="754"/>
        </w:trPr>
        <w:tc>
          <w:tcPr>
            <w:tcW w:w="9376" w:type="dxa"/>
          </w:tcPr>
          <w:p w14:paraId="39673DBC" w14:textId="77777777" w:rsidR="00F43915" w:rsidRPr="002341AF" w:rsidRDefault="00F43915" w:rsidP="005B1855">
            <w:pPr>
              <w:jc w:val="both"/>
              <w:rPr>
                <w:rFonts w:ascii="Palatino Linotype" w:hAnsi="Palatino Linotype" w:cstheme="majorHAnsi"/>
                <w:i/>
                <w:iCs/>
                <w:color w:val="000000" w:themeColor="text1"/>
                <w:sz w:val="22"/>
                <w:szCs w:val="22"/>
              </w:rPr>
            </w:pPr>
            <w:r w:rsidRPr="002341AF">
              <w:rPr>
                <w:rFonts w:ascii="Palatino Linotype" w:hAnsi="Palatino Linotype"/>
                <w:i/>
                <w:iCs/>
                <w:color w:val="000000"/>
              </w:rPr>
              <w:t>Estatus procesal que guardan las investigaciones iniciadas en contra de GABRIELA AVILES OLIVARES la cual dejo de laborar para el COMECYT en 2017” (Sic)</w:t>
            </w:r>
          </w:p>
        </w:tc>
      </w:tr>
      <w:tr w:rsidR="00F43915" w:rsidRPr="002341AF" w14:paraId="719C7158" w14:textId="77777777" w:rsidTr="00F43915">
        <w:trPr>
          <w:trHeight w:val="738"/>
        </w:trPr>
        <w:tc>
          <w:tcPr>
            <w:tcW w:w="9376" w:type="dxa"/>
          </w:tcPr>
          <w:p w14:paraId="72599455" w14:textId="77777777" w:rsidR="00F43915" w:rsidRPr="002341AF" w:rsidRDefault="00F43915" w:rsidP="005B1855">
            <w:pPr>
              <w:jc w:val="both"/>
              <w:rPr>
                <w:rFonts w:ascii="Palatino Linotype" w:hAnsi="Palatino Linotype" w:cstheme="majorHAnsi"/>
                <w:i/>
                <w:iCs/>
                <w:color w:val="000000" w:themeColor="text1"/>
              </w:rPr>
            </w:pPr>
            <w:r w:rsidRPr="002341AF">
              <w:rPr>
                <w:rFonts w:ascii="Palatino Linotype" w:hAnsi="Palatino Linotype"/>
                <w:i/>
                <w:iCs/>
                <w:color w:val="000000" w:themeColor="text1"/>
              </w:rPr>
              <w:t>“documentos que den cuenta de las investigaciones iniciadas en contra de GABRIELA AVILES OLIVARES la cual dejo de laborar para el COMECYT en 2017” (Sic)</w:t>
            </w:r>
          </w:p>
        </w:tc>
      </w:tr>
      <w:tr w:rsidR="00F43915" w:rsidRPr="002341AF" w14:paraId="7BB371AB" w14:textId="77777777" w:rsidTr="00F43915">
        <w:trPr>
          <w:trHeight w:val="608"/>
        </w:trPr>
        <w:tc>
          <w:tcPr>
            <w:tcW w:w="9376" w:type="dxa"/>
          </w:tcPr>
          <w:p w14:paraId="436E5B5A" w14:textId="77777777" w:rsidR="00F43915" w:rsidRPr="002341AF" w:rsidRDefault="00F43915" w:rsidP="005B1855">
            <w:pPr>
              <w:jc w:val="both"/>
              <w:rPr>
                <w:rFonts w:ascii="Palatino Linotype" w:hAnsi="Palatino Linotype" w:cstheme="majorHAnsi"/>
                <w:i/>
                <w:iCs/>
                <w:color w:val="000000" w:themeColor="text1"/>
              </w:rPr>
            </w:pPr>
            <w:r w:rsidRPr="002341AF">
              <w:rPr>
                <w:rFonts w:ascii="Palatino Linotype" w:hAnsi="Palatino Linotype"/>
                <w:i/>
                <w:iCs/>
                <w:color w:val="000000" w:themeColor="text1"/>
              </w:rPr>
              <w:t>Materia a la que corresponden las investigaciones iniciadas en contra de corrupta de GABRIELA AVILES OLIVARES la cual dejo de laborar para el COMECYT en 2017</w:t>
            </w:r>
          </w:p>
        </w:tc>
      </w:tr>
    </w:tbl>
    <w:p w14:paraId="366C34AC" w14:textId="77777777" w:rsidR="00F43915" w:rsidRPr="002341AF" w:rsidRDefault="00F43915" w:rsidP="00F43915">
      <w:pPr>
        <w:spacing w:line="360" w:lineRule="auto"/>
        <w:ind w:right="34"/>
        <w:contextualSpacing/>
        <w:jc w:val="both"/>
        <w:rPr>
          <w:rFonts w:ascii="Palatino Linotype" w:eastAsia="MS Mincho" w:hAnsi="Palatino Linotype" w:cs="Arial"/>
          <w:sz w:val="24"/>
          <w:szCs w:val="24"/>
        </w:rPr>
      </w:pPr>
    </w:p>
    <w:p w14:paraId="7993AB8E" w14:textId="77777777" w:rsidR="00261B61" w:rsidRPr="002341AF" w:rsidRDefault="00F43915" w:rsidP="00261B61">
      <w:pPr>
        <w:pStyle w:val="Prrafodelista"/>
        <w:numPr>
          <w:ilvl w:val="0"/>
          <w:numId w:val="3"/>
        </w:numPr>
        <w:spacing w:before="240" w:after="240" w:line="360" w:lineRule="auto"/>
        <w:ind w:left="0" w:right="49" w:firstLine="0"/>
        <w:jc w:val="both"/>
        <w:rPr>
          <w:rFonts w:ascii="Palatino Linotype" w:hAnsi="Palatino Linotype"/>
          <w:i/>
          <w:sz w:val="24"/>
          <w:lang w:eastAsia="es-MX"/>
        </w:rPr>
      </w:pPr>
      <w:r w:rsidRPr="002341AF">
        <w:rPr>
          <w:rFonts w:ascii="Palatino Linotype" w:eastAsia="MS Mincho" w:hAnsi="Palatino Linotype" w:cs="Arial"/>
          <w:sz w:val="24"/>
        </w:rPr>
        <w:lastRenderedPageBreak/>
        <w:t>En</w:t>
      </w:r>
      <w:r w:rsidRPr="002341AF">
        <w:rPr>
          <w:rFonts w:ascii="Palatino Linotype" w:eastAsiaTheme="minorEastAsia" w:hAnsi="Palatino Linotype"/>
          <w:iCs/>
          <w:sz w:val="24"/>
          <w:lang w:val="es-ES_tradnl"/>
        </w:rPr>
        <w:t xml:space="preserve"> respuesta, el </w:t>
      </w:r>
      <w:r w:rsidRPr="002341AF">
        <w:rPr>
          <w:rFonts w:ascii="Palatino Linotype" w:eastAsiaTheme="minorEastAsia" w:hAnsi="Palatino Linotype"/>
          <w:b/>
          <w:bCs/>
          <w:iCs/>
          <w:sz w:val="24"/>
          <w:lang w:val="es-ES_tradnl"/>
        </w:rPr>
        <w:t>SUJETO OBLIGADO</w:t>
      </w:r>
      <w:r w:rsidRPr="002341AF">
        <w:rPr>
          <w:rFonts w:ascii="Palatino Linotype" w:eastAsiaTheme="minorEastAsia" w:hAnsi="Palatino Linotype"/>
          <w:iCs/>
          <w:sz w:val="24"/>
          <w:lang w:val="es-ES_tradnl"/>
        </w:rPr>
        <w:t xml:space="preserve"> declar</w:t>
      </w:r>
      <w:r w:rsidR="00ED7EEC" w:rsidRPr="002341AF">
        <w:rPr>
          <w:rFonts w:ascii="Palatino Linotype" w:eastAsiaTheme="minorEastAsia" w:hAnsi="Palatino Linotype"/>
          <w:iCs/>
          <w:sz w:val="24"/>
          <w:lang w:val="es-ES_tradnl"/>
        </w:rPr>
        <w:t xml:space="preserve">ó </w:t>
      </w:r>
      <w:r w:rsidRPr="002341AF">
        <w:rPr>
          <w:rFonts w:ascii="Palatino Linotype" w:eastAsiaTheme="minorEastAsia" w:hAnsi="Palatino Linotype"/>
          <w:iCs/>
          <w:sz w:val="24"/>
          <w:lang w:val="es-ES_tradnl"/>
        </w:rPr>
        <w:t>la incompetencia para poseer y remitir la información solicitada; motivo por el cual, el Particular impugnó la respuesta, manifestando también</w:t>
      </w:r>
      <w:r w:rsidR="00261B61" w:rsidRPr="002341AF">
        <w:rPr>
          <w:rFonts w:ascii="Palatino Linotype" w:eastAsiaTheme="minorEastAsia" w:hAnsi="Palatino Linotype"/>
          <w:iCs/>
          <w:sz w:val="24"/>
          <w:lang w:val="es-ES_tradnl"/>
        </w:rPr>
        <w:t>,</w:t>
      </w:r>
      <w:r w:rsidRPr="002341AF">
        <w:rPr>
          <w:rFonts w:ascii="Palatino Linotype" w:eastAsiaTheme="minorEastAsia" w:hAnsi="Palatino Linotype"/>
          <w:iCs/>
          <w:sz w:val="24"/>
          <w:lang w:val="es-ES_tradnl"/>
        </w:rPr>
        <w:t xml:space="preserve"> que no le fue remitido el Acuerdo de Incompetencia correspondiente.</w:t>
      </w:r>
    </w:p>
    <w:p w14:paraId="1D1F7C22" w14:textId="77777777" w:rsidR="00261B61" w:rsidRPr="002341AF" w:rsidRDefault="00261B61" w:rsidP="00261B61">
      <w:pPr>
        <w:pStyle w:val="Prrafodelista"/>
        <w:spacing w:before="240" w:after="240" w:line="360" w:lineRule="auto"/>
        <w:ind w:left="0" w:right="49"/>
        <w:jc w:val="both"/>
        <w:rPr>
          <w:rFonts w:ascii="Palatino Linotype" w:hAnsi="Palatino Linotype"/>
          <w:i/>
          <w:sz w:val="24"/>
          <w:lang w:eastAsia="es-MX"/>
        </w:rPr>
      </w:pPr>
    </w:p>
    <w:p w14:paraId="295509FC" w14:textId="31296BF6" w:rsidR="00F43915" w:rsidRPr="002341AF" w:rsidRDefault="005059CD" w:rsidP="00261B61">
      <w:pPr>
        <w:pStyle w:val="Prrafodelista"/>
        <w:numPr>
          <w:ilvl w:val="0"/>
          <w:numId w:val="3"/>
        </w:numPr>
        <w:spacing w:before="240" w:after="240" w:line="360" w:lineRule="auto"/>
        <w:ind w:left="0" w:right="49" w:firstLine="0"/>
        <w:jc w:val="both"/>
        <w:rPr>
          <w:rFonts w:ascii="Palatino Linotype" w:hAnsi="Palatino Linotype"/>
          <w:i/>
          <w:sz w:val="24"/>
          <w:lang w:eastAsia="es-MX"/>
        </w:rPr>
      </w:pPr>
      <w:r w:rsidRPr="002341AF">
        <w:rPr>
          <w:rFonts w:ascii="Palatino Linotype" w:eastAsia="MS Mincho" w:hAnsi="Palatino Linotype" w:cs="Arial"/>
          <w:sz w:val="24"/>
        </w:rPr>
        <w:t>Así, con el fin de reparar el derecho de acceso a la información pública,</w:t>
      </w:r>
      <w:r w:rsidR="00F43915" w:rsidRPr="002341AF">
        <w:rPr>
          <w:rFonts w:ascii="Palatino Linotype" w:eastAsia="MS Mincho" w:hAnsi="Palatino Linotype" w:cs="Arial"/>
          <w:sz w:val="24"/>
        </w:rPr>
        <w:t xml:space="preserve"> el </w:t>
      </w:r>
      <w:r w:rsidR="00F43915" w:rsidRPr="002341AF">
        <w:rPr>
          <w:rFonts w:ascii="Palatino Linotype" w:eastAsia="MS Mincho" w:hAnsi="Palatino Linotype" w:cs="Arial"/>
          <w:b/>
          <w:bCs/>
          <w:sz w:val="24"/>
        </w:rPr>
        <w:t>SUJETO OBLIGADO</w:t>
      </w:r>
      <w:r w:rsidR="00F43915" w:rsidRPr="002341AF">
        <w:rPr>
          <w:rFonts w:ascii="Palatino Linotype" w:eastAsia="MS Mincho" w:hAnsi="Palatino Linotype" w:cs="Arial"/>
          <w:sz w:val="24"/>
        </w:rPr>
        <w:t xml:space="preserve"> a través de un acto jurídico posterior como lo es el informe justificado, remitió el archivo electrónico denominado </w:t>
      </w:r>
      <w:r w:rsidR="00F43915" w:rsidRPr="002341AF">
        <w:rPr>
          <w:rFonts w:ascii="Palatino Linotype" w:hAnsi="Palatino Linotype"/>
          <w:b/>
          <w:bCs/>
          <w:sz w:val="24"/>
        </w:rPr>
        <w:t xml:space="preserve">RESOLUCIÓN CTCOMECYT-04-EXT-02-2023 incompetencia.pdf </w:t>
      </w:r>
      <w:r w:rsidR="00F43915" w:rsidRPr="002341AF">
        <w:rPr>
          <w:rFonts w:ascii="Palatino Linotype" w:hAnsi="Palatino Linotype"/>
          <w:sz w:val="24"/>
        </w:rPr>
        <w:t xml:space="preserve">el cual consiste en el </w:t>
      </w:r>
      <w:r w:rsidR="00F43915" w:rsidRPr="002341AF">
        <w:rPr>
          <w:rFonts w:ascii="Palatino Linotype" w:hAnsi="Palatino Linotype"/>
          <w:b/>
          <w:bCs/>
          <w:sz w:val="24"/>
        </w:rPr>
        <w:t xml:space="preserve">Acuerdo número CTCOMECYT/04/EXT/02/2023 </w:t>
      </w:r>
      <w:r w:rsidR="00F43915" w:rsidRPr="002341AF">
        <w:rPr>
          <w:rFonts w:ascii="Palatino Linotype" w:hAnsi="Palatino Linotype"/>
          <w:sz w:val="24"/>
        </w:rPr>
        <w:t>del 02 de junio de 2023 se confirmó la notoria incompetencia para atender las solicitudes de información, declarada por el Comité de Transparencia del Consejo Mexique</w:t>
      </w:r>
      <w:r w:rsidR="00ED7EEC" w:rsidRPr="002341AF">
        <w:rPr>
          <w:rFonts w:ascii="Palatino Linotype" w:hAnsi="Palatino Linotype"/>
          <w:sz w:val="24"/>
        </w:rPr>
        <w:t>n</w:t>
      </w:r>
      <w:r w:rsidR="00F43915" w:rsidRPr="002341AF">
        <w:rPr>
          <w:rFonts w:ascii="Palatino Linotype" w:hAnsi="Palatino Linotype"/>
          <w:sz w:val="24"/>
        </w:rPr>
        <w:t>se de Ciencia y Tecnología (COMECYT); mismo que se inserta a continuación:</w:t>
      </w:r>
    </w:p>
    <w:p w14:paraId="3584C3C3" w14:textId="2814106D" w:rsidR="00F43915" w:rsidRPr="002341AF" w:rsidRDefault="00F43915" w:rsidP="00F43915">
      <w:pPr>
        <w:spacing w:line="360" w:lineRule="auto"/>
        <w:ind w:right="34"/>
        <w:contextualSpacing/>
        <w:jc w:val="both"/>
        <w:rPr>
          <w:rFonts w:ascii="Palatino Linotype" w:hAnsi="Palatino Linotype"/>
          <w:sz w:val="24"/>
          <w:szCs w:val="24"/>
        </w:rPr>
      </w:pPr>
      <w:r w:rsidRPr="002341AF">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4C6FED7" wp14:editId="288A39B9">
                <wp:simplePos x="0" y="0"/>
                <wp:positionH relativeFrom="column">
                  <wp:posOffset>612</wp:posOffset>
                </wp:positionH>
                <wp:positionV relativeFrom="paragraph">
                  <wp:posOffset>69827</wp:posOffset>
                </wp:positionV>
                <wp:extent cx="5759669" cy="2648607"/>
                <wp:effectExtent l="0" t="0" r="19050" b="18415"/>
                <wp:wrapNone/>
                <wp:docPr id="32" name="Conector recto 32"/>
                <wp:cNvGraphicFramePr/>
                <a:graphic xmlns:a="http://schemas.openxmlformats.org/drawingml/2006/main">
                  <a:graphicData uri="http://schemas.microsoft.com/office/word/2010/wordprocessingShape">
                    <wps:wsp>
                      <wps:cNvCnPr/>
                      <wps:spPr>
                        <a:xfrm>
                          <a:off x="0" y="0"/>
                          <a:ext cx="5759669" cy="264860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C6AFAD" id="Conector recto 3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5pt,5.5pt" to="453.55pt,2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" strokecolor="#4472c4 [3204]" strokeweight=".5pt">
                <v:stroke joinstyle="miter"/>
              </v:line>
            </w:pict>
          </mc:Fallback>
        </mc:AlternateContent>
      </w:r>
    </w:p>
    <w:p w14:paraId="3A41D892" w14:textId="03B59574" w:rsidR="00F43915" w:rsidRPr="002341AF" w:rsidRDefault="00F43915" w:rsidP="00F43915">
      <w:pPr>
        <w:spacing w:line="360" w:lineRule="auto"/>
        <w:ind w:right="34"/>
        <w:contextualSpacing/>
        <w:jc w:val="both"/>
        <w:rPr>
          <w:rFonts w:ascii="Palatino Linotype" w:eastAsia="MS Mincho" w:hAnsi="Palatino Linotype" w:cs="Arial"/>
          <w:sz w:val="24"/>
          <w:szCs w:val="24"/>
        </w:rPr>
      </w:pPr>
      <w:r w:rsidRPr="002341AF">
        <w:rPr>
          <w:rFonts w:ascii="Palatino Linotype" w:eastAsia="MS Mincho" w:hAnsi="Palatino Linotype" w:cs="Arial"/>
          <w:noProof/>
          <w:sz w:val="24"/>
          <w:szCs w:val="24"/>
          <w:lang w:eastAsia="es-MX"/>
        </w:rPr>
        <w:lastRenderedPageBreak/>
        <w:drawing>
          <wp:inline distT="0" distB="0" distL="0" distR="0" wp14:anchorId="2A50428E" wp14:editId="65C76489">
            <wp:extent cx="5075188" cy="6526925"/>
            <wp:effectExtent l="12700" t="12700" r="17780" b="139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4">
                      <a:extLst>
                        <a:ext uri="{28A0092B-C50C-407E-A947-70E740481C1C}">
                          <a14:useLocalDpi xmlns:a14="http://schemas.microsoft.com/office/drawing/2010/main" val="0"/>
                        </a:ext>
                      </a:extLst>
                    </a:blip>
                    <a:stretch>
                      <a:fillRect/>
                    </a:stretch>
                  </pic:blipFill>
                  <pic:spPr>
                    <a:xfrm>
                      <a:off x="0" y="0"/>
                      <a:ext cx="5083327" cy="6537392"/>
                    </a:xfrm>
                    <a:prstGeom prst="rect">
                      <a:avLst/>
                    </a:prstGeom>
                    <a:ln>
                      <a:solidFill>
                        <a:schemeClr val="tx1"/>
                      </a:solidFill>
                    </a:ln>
                  </pic:spPr>
                </pic:pic>
              </a:graphicData>
            </a:graphic>
          </wp:inline>
        </w:drawing>
      </w:r>
    </w:p>
    <w:p w14:paraId="68334214" w14:textId="2D5CC3C1" w:rsidR="00F43915" w:rsidRPr="002341AF" w:rsidRDefault="00F43915" w:rsidP="00F43915">
      <w:pPr>
        <w:spacing w:line="360" w:lineRule="auto"/>
        <w:ind w:right="34"/>
        <w:contextualSpacing/>
        <w:jc w:val="both"/>
        <w:rPr>
          <w:rFonts w:ascii="Palatino Linotype" w:eastAsia="MS Mincho" w:hAnsi="Palatino Linotype" w:cs="Arial"/>
          <w:sz w:val="24"/>
          <w:szCs w:val="24"/>
        </w:rPr>
      </w:pPr>
      <w:r w:rsidRPr="002341AF">
        <w:rPr>
          <w:rFonts w:ascii="Palatino Linotype" w:eastAsia="MS Mincho" w:hAnsi="Palatino Linotype" w:cs="Arial"/>
          <w:noProof/>
          <w:sz w:val="24"/>
          <w:szCs w:val="24"/>
          <w:lang w:eastAsia="es-MX"/>
        </w:rPr>
        <w:lastRenderedPageBreak/>
        <w:drawing>
          <wp:inline distT="0" distB="0" distL="0" distR="0" wp14:anchorId="5ACE8499" wp14:editId="2C07942C">
            <wp:extent cx="5134546" cy="6495394"/>
            <wp:effectExtent l="12700" t="12700" r="9525"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15">
                      <a:extLst>
                        <a:ext uri="{28A0092B-C50C-407E-A947-70E740481C1C}">
                          <a14:useLocalDpi xmlns:a14="http://schemas.microsoft.com/office/drawing/2010/main" val="0"/>
                        </a:ext>
                      </a:extLst>
                    </a:blip>
                    <a:stretch>
                      <a:fillRect/>
                    </a:stretch>
                  </pic:blipFill>
                  <pic:spPr>
                    <a:xfrm>
                      <a:off x="0" y="0"/>
                      <a:ext cx="5145175" cy="6508840"/>
                    </a:xfrm>
                    <a:prstGeom prst="rect">
                      <a:avLst/>
                    </a:prstGeom>
                    <a:ln>
                      <a:solidFill>
                        <a:schemeClr val="tx1"/>
                      </a:solidFill>
                    </a:ln>
                  </pic:spPr>
                </pic:pic>
              </a:graphicData>
            </a:graphic>
          </wp:inline>
        </w:drawing>
      </w:r>
    </w:p>
    <w:p w14:paraId="13CBF8DA" w14:textId="4879CCE0" w:rsidR="00F43915" w:rsidRPr="002341AF" w:rsidRDefault="00F43915" w:rsidP="00F43915">
      <w:pPr>
        <w:spacing w:line="360" w:lineRule="auto"/>
        <w:ind w:right="34"/>
        <w:contextualSpacing/>
        <w:jc w:val="center"/>
        <w:rPr>
          <w:rFonts w:ascii="Palatino Linotype" w:eastAsia="MS Mincho" w:hAnsi="Palatino Linotype" w:cs="Arial"/>
          <w:sz w:val="24"/>
          <w:szCs w:val="24"/>
        </w:rPr>
      </w:pPr>
      <w:r w:rsidRPr="002341AF">
        <w:rPr>
          <w:rFonts w:ascii="Palatino Linotype" w:eastAsia="MS Mincho" w:hAnsi="Palatino Linotype" w:cs="Arial"/>
          <w:noProof/>
          <w:sz w:val="24"/>
          <w:szCs w:val="24"/>
          <w:lang w:eastAsia="es-MX"/>
        </w:rPr>
        <w:lastRenderedPageBreak/>
        <w:drawing>
          <wp:inline distT="0" distB="0" distL="0" distR="0" wp14:anchorId="555EAA57" wp14:editId="24D8569D">
            <wp:extent cx="4543099" cy="6170657"/>
            <wp:effectExtent l="12700" t="12700" r="16510" b="146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16">
                      <a:extLst>
                        <a:ext uri="{28A0092B-C50C-407E-A947-70E740481C1C}">
                          <a14:useLocalDpi xmlns:a14="http://schemas.microsoft.com/office/drawing/2010/main" val="0"/>
                        </a:ext>
                      </a:extLst>
                    </a:blip>
                    <a:stretch>
                      <a:fillRect/>
                    </a:stretch>
                  </pic:blipFill>
                  <pic:spPr>
                    <a:xfrm>
                      <a:off x="0" y="0"/>
                      <a:ext cx="4550619" cy="6180870"/>
                    </a:xfrm>
                    <a:prstGeom prst="rect">
                      <a:avLst/>
                    </a:prstGeom>
                    <a:ln>
                      <a:solidFill>
                        <a:schemeClr val="tx1"/>
                      </a:solidFill>
                    </a:ln>
                  </pic:spPr>
                </pic:pic>
              </a:graphicData>
            </a:graphic>
          </wp:inline>
        </w:drawing>
      </w:r>
    </w:p>
    <w:p w14:paraId="4204D4D0" w14:textId="6E808B5B" w:rsidR="00F43915" w:rsidRPr="002341AF" w:rsidRDefault="00F43915" w:rsidP="00F43915">
      <w:pPr>
        <w:spacing w:line="360" w:lineRule="auto"/>
        <w:ind w:right="34"/>
        <w:contextualSpacing/>
        <w:jc w:val="center"/>
        <w:rPr>
          <w:rFonts w:ascii="Palatino Linotype" w:eastAsia="MS Mincho" w:hAnsi="Palatino Linotype" w:cs="Arial"/>
          <w:sz w:val="24"/>
          <w:szCs w:val="24"/>
        </w:rPr>
      </w:pPr>
      <w:r w:rsidRPr="002341AF">
        <w:rPr>
          <w:rFonts w:ascii="Palatino Linotype" w:eastAsia="MS Mincho" w:hAnsi="Palatino Linotype" w:cs="Arial"/>
          <w:noProof/>
          <w:sz w:val="24"/>
          <w:szCs w:val="24"/>
          <w:lang w:eastAsia="es-MX"/>
        </w:rPr>
        <w:lastRenderedPageBreak/>
        <w:drawing>
          <wp:inline distT="0" distB="0" distL="0" distR="0" wp14:anchorId="546F21CF" wp14:editId="26173C89">
            <wp:extent cx="5359957" cy="6442842"/>
            <wp:effectExtent l="12700" t="12700" r="12700"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17">
                      <a:extLst>
                        <a:ext uri="{28A0092B-C50C-407E-A947-70E740481C1C}">
                          <a14:useLocalDpi xmlns:a14="http://schemas.microsoft.com/office/drawing/2010/main" val="0"/>
                        </a:ext>
                      </a:extLst>
                    </a:blip>
                    <a:stretch>
                      <a:fillRect/>
                    </a:stretch>
                  </pic:blipFill>
                  <pic:spPr>
                    <a:xfrm>
                      <a:off x="0" y="0"/>
                      <a:ext cx="5370215" cy="6455173"/>
                    </a:xfrm>
                    <a:prstGeom prst="rect">
                      <a:avLst/>
                    </a:prstGeom>
                    <a:ln>
                      <a:solidFill>
                        <a:schemeClr val="tx1"/>
                      </a:solidFill>
                    </a:ln>
                  </pic:spPr>
                </pic:pic>
              </a:graphicData>
            </a:graphic>
          </wp:inline>
        </w:drawing>
      </w:r>
    </w:p>
    <w:p w14:paraId="22F2A9F4" w14:textId="75AB0383" w:rsidR="00F43915" w:rsidRPr="002341AF" w:rsidRDefault="00F43915" w:rsidP="00F43915">
      <w:pPr>
        <w:spacing w:line="360" w:lineRule="auto"/>
        <w:ind w:right="34"/>
        <w:contextualSpacing/>
        <w:jc w:val="center"/>
        <w:rPr>
          <w:rFonts w:ascii="Palatino Linotype" w:eastAsia="MS Mincho" w:hAnsi="Palatino Linotype" w:cs="Arial"/>
          <w:sz w:val="24"/>
          <w:szCs w:val="24"/>
        </w:rPr>
      </w:pPr>
      <w:r w:rsidRPr="002341AF">
        <w:rPr>
          <w:rFonts w:ascii="Palatino Linotype" w:eastAsia="MS Mincho" w:hAnsi="Palatino Linotype" w:cs="Arial"/>
          <w:noProof/>
          <w:sz w:val="24"/>
          <w:szCs w:val="24"/>
          <w:lang w:eastAsia="es-MX"/>
        </w:rPr>
        <w:lastRenderedPageBreak/>
        <w:drawing>
          <wp:inline distT="0" distB="0" distL="0" distR="0" wp14:anchorId="3CB2A623" wp14:editId="5C82672F">
            <wp:extent cx="4632854" cy="6434520"/>
            <wp:effectExtent l="12700" t="12700" r="15875" b="171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18">
                      <a:extLst>
                        <a:ext uri="{28A0092B-C50C-407E-A947-70E740481C1C}">
                          <a14:useLocalDpi xmlns:a14="http://schemas.microsoft.com/office/drawing/2010/main" val="0"/>
                        </a:ext>
                      </a:extLst>
                    </a:blip>
                    <a:stretch>
                      <a:fillRect/>
                    </a:stretch>
                  </pic:blipFill>
                  <pic:spPr>
                    <a:xfrm>
                      <a:off x="0" y="0"/>
                      <a:ext cx="4635760" cy="6438557"/>
                    </a:xfrm>
                    <a:prstGeom prst="rect">
                      <a:avLst/>
                    </a:prstGeom>
                    <a:ln>
                      <a:solidFill>
                        <a:schemeClr val="tx1"/>
                      </a:solidFill>
                    </a:ln>
                  </pic:spPr>
                </pic:pic>
              </a:graphicData>
            </a:graphic>
          </wp:inline>
        </w:drawing>
      </w:r>
    </w:p>
    <w:p w14:paraId="327EBE3C" w14:textId="4FE9229C" w:rsidR="00F43915" w:rsidRPr="002341AF" w:rsidRDefault="00F43915" w:rsidP="005059CD">
      <w:pPr>
        <w:spacing w:line="360" w:lineRule="auto"/>
        <w:ind w:right="34"/>
        <w:contextualSpacing/>
        <w:jc w:val="center"/>
        <w:rPr>
          <w:rFonts w:ascii="Palatino Linotype" w:eastAsia="MS Mincho" w:hAnsi="Palatino Linotype" w:cs="Arial"/>
          <w:sz w:val="24"/>
          <w:szCs w:val="24"/>
        </w:rPr>
      </w:pPr>
      <w:r w:rsidRPr="002341AF">
        <w:rPr>
          <w:rFonts w:ascii="Palatino Linotype" w:eastAsia="MS Mincho" w:hAnsi="Palatino Linotype" w:cs="Arial"/>
          <w:noProof/>
          <w:sz w:val="24"/>
          <w:szCs w:val="24"/>
          <w:lang w:eastAsia="es-MX"/>
        </w:rPr>
        <w:lastRenderedPageBreak/>
        <w:drawing>
          <wp:inline distT="0" distB="0" distL="0" distR="0" wp14:anchorId="4E8C1B9B" wp14:editId="3A1D6073">
            <wp:extent cx="5012718" cy="6524735"/>
            <wp:effectExtent l="12700" t="12700" r="16510" b="158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19">
                      <a:extLst>
                        <a:ext uri="{28A0092B-C50C-407E-A947-70E740481C1C}">
                          <a14:useLocalDpi xmlns:a14="http://schemas.microsoft.com/office/drawing/2010/main" val="0"/>
                        </a:ext>
                      </a:extLst>
                    </a:blip>
                    <a:stretch>
                      <a:fillRect/>
                    </a:stretch>
                  </pic:blipFill>
                  <pic:spPr>
                    <a:xfrm>
                      <a:off x="0" y="0"/>
                      <a:ext cx="5029539" cy="6546630"/>
                    </a:xfrm>
                    <a:prstGeom prst="rect">
                      <a:avLst/>
                    </a:prstGeom>
                    <a:ln>
                      <a:solidFill>
                        <a:schemeClr val="tx1"/>
                      </a:solidFill>
                    </a:ln>
                  </pic:spPr>
                </pic:pic>
              </a:graphicData>
            </a:graphic>
          </wp:inline>
        </w:drawing>
      </w:r>
    </w:p>
    <w:p w14:paraId="5BE9EDEE" w14:textId="70B5C51C" w:rsidR="00261B61" w:rsidRPr="002341AF" w:rsidRDefault="002529DA" w:rsidP="00030C87">
      <w:pPr>
        <w:numPr>
          <w:ilvl w:val="0"/>
          <w:numId w:val="2"/>
        </w:numPr>
        <w:spacing w:line="360" w:lineRule="auto"/>
        <w:ind w:left="0" w:right="34" w:firstLine="0"/>
        <w:contextualSpacing/>
        <w:jc w:val="both"/>
        <w:rPr>
          <w:rFonts w:ascii="Palatino Linotype" w:eastAsia="MS Mincho" w:hAnsi="Palatino Linotype" w:cs="Arial"/>
          <w:sz w:val="24"/>
          <w:szCs w:val="24"/>
        </w:rPr>
      </w:pPr>
      <w:r w:rsidRPr="002341AF">
        <w:rPr>
          <w:rFonts w:ascii="Palatino Linotype" w:eastAsia="MS Mincho" w:hAnsi="Palatino Linotype" w:cs="Arial"/>
          <w:sz w:val="24"/>
          <w:szCs w:val="24"/>
        </w:rPr>
        <w:lastRenderedPageBreak/>
        <w:t xml:space="preserve">Expuestas las </w:t>
      </w:r>
      <w:r w:rsidRPr="002341AF">
        <w:rPr>
          <w:rFonts w:ascii="Palatino Linotype" w:eastAsia="Palatino Linotype" w:hAnsi="Palatino Linotype" w:cs="Palatino Linotype"/>
          <w:sz w:val="24"/>
          <w:szCs w:val="24"/>
        </w:rPr>
        <w:t xml:space="preserve">posturas de las partes, resulta importante realizar el análisis de las constancias que conforman el expediente electrónico, donde se aprecia que el </w:t>
      </w:r>
      <w:r w:rsidRPr="002341AF">
        <w:rPr>
          <w:rFonts w:ascii="Palatino Linotype" w:eastAsia="Palatino Linotype" w:hAnsi="Palatino Linotype" w:cs="Palatino Linotype"/>
          <w:b/>
          <w:sz w:val="24"/>
          <w:szCs w:val="24"/>
        </w:rPr>
        <w:t>SUJETO OBLIGADO</w:t>
      </w:r>
      <w:r w:rsidRPr="002341AF">
        <w:rPr>
          <w:rFonts w:ascii="Palatino Linotype" w:eastAsia="Palatino Linotype" w:hAnsi="Palatino Linotype" w:cs="Palatino Linotype"/>
          <w:sz w:val="24"/>
          <w:szCs w:val="24"/>
        </w:rPr>
        <w:t xml:space="preserve"> no turnó la solicitud a las unidades administrativas competentes y únicamente se limitó a pronunciarse el Titular de la Unidad de Transparencia, por lo que consecuentemente, no se satisfizo en su totalidad el derecho de acceso el derecho de acceso a la información pública del </w:t>
      </w:r>
      <w:r w:rsidR="00DA196A" w:rsidRPr="002341AF">
        <w:rPr>
          <w:rFonts w:ascii="Palatino Linotype" w:eastAsia="Palatino Linotype" w:hAnsi="Palatino Linotype" w:cs="Palatino Linotype"/>
          <w:b/>
          <w:sz w:val="24"/>
          <w:szCs w:val="24"/>
        </w:rPr>
        <w:t>RECURRENTE</w:t>
      </w:r>
      <w:r w:rsidRPr="002341AF">
        <w:rPr>
          <w:rFonts w:ascii="Palatino Linotype" w:eastAsia="Palatino Linotype" w:hAnsi="Palatino Linotype" w:cs="Palatino Linotype"/>
          <w:sz w:val="24"/>
          <w:szCs w:val="24"/>
        </w:rPr>
        <w:t>, al incumplir con el principio de exhaustividad, toda vez que</w:t>
      </w:r>
      <w:r w:rsidR="00DA196A" w:rsidRPr="002341AF">
        <w:rPr>
          <w:rFonts w:ascii="Palatino Linotype" w:eastAsia="Palatino Linotype" w:hAnsi="Palatino Linotype" w:cs="Palatino Linotype"/>
          <w:sz w:val="24"/>
          <w:szCs w:val="24"/>
        </w:rPr>
        <w:t>, no se advirtió</w:t>
      </w:r>
      <w:r w:rsidRPr="002341AF">
        <w:rPr>
          <w:rFonts w:ascii="Palatino Linotype" w:eastAsia="Palatino Linotype" w:hAnsi="Palatino Linotype" w:cs="Palatino Linotype"/>
          <w:sz w:val="24"/>
          <w:szCs w:val="24"/>
        </w:rPr>
        <w:t xml:space="preserve"> una correcta búsqueda exhaustiva y razonable de la información solicitada, lo anterior es así, en razón de que</w:t>
      </w:r>
      <w:r w:rsidR="00DA196A" w:rsidRPr="002341AF">
        <w:rPr>
          <w:rFonts w:ascii="Palatino Linotype" w:eastAsia="Palatino Linotype" w:hAnsi="Palatino Linotype" w:cs="Palatino Linotype"/>
          <w:sz w:val="24"/>
          <w:szCs w:val="24"/>
        </w:rPr>
        <w:t>,</w:t>
      </w:r>
      <w:r w:rsidRPr="002341AF">
        <w:rPr>
          <w:rFonts w:ascii="Palatino Linotype" w:eastAsia="Palatino Linotype" w:hAnsi="Palatino Linotype" w:cs="Palatino Linotype"/>
          <w:sz w:val="24"/>
          <w:szCs w:val="24"/>
        </w:rPr>
        <w:t xml:space="preserve"> como se verá en las próximas líneas argumentativas, para oto</w:t>
      </w:r>
      <w:r w:rsidR="00DA196A" w:rsidRPr="002341AF">
        <w:rPr>
          <w:rFonts w:ascii="Palatino Linotype" w:eastAsia="Palatino Linotype" w:hAnsi="Palatino Linotype" w:cs="Palatino Linotype"/>
          <w:sz w:val="24"/>
          <w:szCs w:val="24"/>
        </w:rPr>
        <w:t>rgar mayor certeza jurídica al P</w:t>
      </w:r>
      <w:r w:rsidRPr="002341AF">
        <w:rPr>
          <w:rFonts w:ascii="Palatino Linotype" w:eastAsia="Palatino Linotype" w:hAnsi="Palatino Linotype" w:cs="Palatino Linotype"/>
          <w:sz w:val="24"/>
          <w:szCs w:val="24"/>
        </w:rPr>
        <w:t>articular de que se realizaron las gestiones necesarias para obtener la información, dicho requerimiento debió turnarse a su vez a</w:t>
      </w:r>
      <w:r w:rsidR="00DA196A" w:rsidRPr="002341AF">
        <w:rPr>
          <w:rFonts w:ascii="Palatino Linotype" w:eastAsia="Palatino Linotype" w:hAnsi="Palatino Linotype" w:cs="Palatino Linotype"/>
          <w:sz w:val="24"/>
          <w:szCs w:val="24"/>
        </w:rPr>
        <w:t xml:space="preserve"> </w:t>
      </w:r>
      <w:r w:rsidR="00DA196A" w:rsidRPr="002341AF">
        <w:rPr>
          <w:rFonts w:ascii="Palatino Linotype" w:eastAsia="Palatino Linotype" w:hAnsi="Palatino Linotype" w:cs="Palatino Linotype"/>
          <w:b/>
          <w:sz w:val="24"/>
          <w:szCs w:val="24"/>
        </w:rPr>
        <w:t xml:space="preserve">la Contraloría Interna del </w:t>
      </w:r>
      <w:r w:rsidR="00DA196A" w:rsidRPr="002341AF">
        <w:rPr>
          <w:rFonts w:ascii="Palatino Linotype" w:eastAsia="Calibri" w:hAnsi="Palatino Linotype" w:cs="Tahoma"/>
          <w:b/>
          <w:bCs/>
          <w:sz w:val="24"/>
          <w:szCs w:val="24"/>
          <w:lang w:eastAsia="en-US"/>
        </w:rPr>
        <w:t>Consejo Mexiquense de Ciencia y Tecnología</w:t>
      </w:r>
      <w:r w:rsidR="00DA196A" w:rsidRPr="002341AF">
        <w:rPr>
          <w:rFonts w:ascii="Palatino Linotype" w:eastAsia="Calibri" w:hAnsi="Palatino Linotype" w:cs="Tahoma"/>
          <w:bCs/>
          <w:sz w:val="24"/>
          <w:szCs w:val="24"/>
          <w:lang w:eastAsia="en-US"/>
        </w:rPr>
        <w:t xml:space="preserve">, en este sentido, </w:t>
      </w:r>
      <w:r w:rsidR="00DA196A" w:rsidRPr="002341AF">
        <w:rPr>
          <w:rFonts w:ascii="Palatino Linotype" w:eastAsia="Palatino Linotype" w:hAnsi="Palatino Linotype" w:cs="Palatino Linotype"/>
          <w:sz w:val="24"/>
          <w:szCs w:val="24"/>
        </w:rPr>
        <w:t>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B5FF0D9" w14:textId="77777777" w:rsidR="002529DA" w:rsidRPr="002341AF" w:rsidRDefault="002529DA" w:rsidP="002529DA">
      <w:pPr>
        <w:spacing w:line="360" w:lineRule="auto"/>
        <w:ind w:right="34"/>
        <w:contextualSpacing/>
        <w:jc w:val="both"/>
        <w:rPr>
          <w:rFonts w:ascii="Palatino Linotype" w:eastAsia="MS Mincho" w:hAnsi="Palatino Linotype" w:cs="Arial"/>
          <w:sz w:val="24"/>
          <w:szCs w:val="24"/>
        </w:rPr>
      </w:pPr>
    </w:p>
    <w:p w14:paraId="7C859CB7" w14:textId="77777777" w:rsidR="00DA196A" w:rsidRPr="002341AF" w:rsidRDefault="00DA196A" w:rsidP="003C7ACC">
      <w:pPr>
        <w:spacing w:after="240"/>
        <w:ind w:left="567" w:right="539"/>
        <w:jc w:val="both"/>
        <w:rPr>
          <w:rFonts w:ascii="Palatino Linotype" w:eastAsia="Palatino Linotype" w:hAnsi="Palatino Linotype" w:cs="Palatino Linotype"/>
          <w:sz w:val="22"/>
          <w:szCs w:val="22"/>
        </w:rPr>
      </w:pPr>
      <w:r w:rsidRPr="002341AF">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2CDA1EFA" w14:textId="77777777" w:rsidR="00DA196A" w:rsidRPr="002341AF" w:rsidRDefault="00DA196A" w:rsidP="003C7ACC">
      <w:pPr>
        <w:spacing w:after="240"/>
        <w:ind w:left="567" w:right="539"/>
        <w:jc w:val="both"/>
        <w:rPr>
          <w:rFonts w:ascii="Palatino Linotype" w:eastAsia="Palatino Linotype" w:hAnsi="Palatino Linotype" w:cs="Palatino Linotype"/>
          <w:sz w:val="22"/>
          <w:szCs w:val="22"/>
        </w:rPr>
      </w:pPr>
      <w:r w:rsidRPr="002341AF">
        <w:rPr>
          <w:rFonts w:ascii="Palatino Linotype" w:eastAsia="Palatino Linotype" w:hAnsi="Palatino Linotype" w:cs="Palatino Linotype"/>
          <w:sz w:val="22"/>
          <w:szCs w:val="22"/>
        </w:rPr>
        <w:lastRenderedPageBreak/>
        <w:t xml:space="preserve">• La respuesta a los requerimientos informativos, deberá notificarse al interesado en el menor tiempo posible, que no podrá exceder de quince días hábiles, contados a partir del día siguiente a la presentación de esta. </w:t>
      </w:r>
    </w:p>
    <w:p w14:paraId="46E33875" w14:textId="77777777" w:rsidR="00DA196A" w:rsidRPr="002341AF" w:rsidRDefault="00DA196A" w:rsidP="003C7ACC">
      <w:pPr>
        <w:spacing w:after="240"/>
        <w:ind w:left="567" w:right="539"/>
        <w:jc w:val="both"/>
        <w:rPr>
          <w:rFonts w:ascii="Palatino Linotype" w:eastAsia="Palatino Linotype" w:hAnsi="Palatino Linotype" w:cs="Palatino Linotype"/>
          <w:sz w:val="22"/>
          <w:szCs w:val="22"/>
        </w:rPr>
      </w:pPr>
      <w:r w:rsidRPr="002341AF">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15F9BFF7" w14:textId="77777777" w:rsidR="00DA196A" w:rsidRPr="002341AF" w:rsidRDefault="00DA196A" w:rsidP="003C7ACC">
      <w:pPr>
        <w:spacing w:after="240"/>
        <w:ind w:left="567" w:right="539"/>
        <w:jc w:val="both"/>
        <w:rPr>
          <w:rFonts w:ascii="Palatino Linotype" w:eastAsia="Palatino Linotype" w:hAnsi="Palatino Linotype" w:cs="Palatino Linotype"/>
          <w:sz w:val="22"/>
          <w:szCs w:val="22"/>
        </w:rPr>
      </w:pPr>
      <w:r w:rsidRPr="002341AF">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294629F1" w14:textId="1DD4FC28" w:rsidR="00DA196A" w:rsidRPr="002341AF" w:rsidRDefault="00DA196A" w:rsidP="003C7ACC">
      <w:pPr>
        <w:spacing w:after="240"/>
        <w:ind w:left="567" w:right="539"/>
        <w:jc w:val="both"/>
        <w:rPr>
          <w:rFonts w:ascii="Palatino Linotype" w:eastAsia="Palatino Linotype" w:hAnsi="Palatino Linotype" w:cs="Palatino Linotype"/>
          <w:sz w:val="22"/>
          <w:szCs w:val="22"/>
        </w:rPr>
      </w:pPr>
      <w:r w:rsidRPr="002341AF">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w:t>
      </w:r>
      <w:r w:rsidRPr="002341AF">
        <w:rPr>
          <w:rFonts w:ascii="Palatino Linotype" w:eastAsia="Palatino Linotype" w:hAnsi="Palatino Linotype" w:cs="Palatino Linotype"/>
          <w:b/>
          <w:sz w:val="22"/>
          <w:szCs w:val="22"/>
        </w:rPr>
        <w:t>SUJETO OBLIGADO</w:t>
      </w:r>
      <w:r w:rsidRPr="002341AF">
        <w:rPr>
          <w:rFonts w:ascii="Palatino Linotype" w:eastAsia="Palatino Linotype" w:hAnsi="Palatino Linotype" w:cs="Palatino Linotype"/>
          <w:sz w:val="22"/>
          <w:szCs w:val="22"/>
        </w:rPr>
        <w:t xml:space="preserve"> deberá ofrecer otras; por lo cual, deberá fundar y motivar la necesidad de modificar el medio de entrega, y </w:t>
      </w:r>
    </w:p>
    <w:p w14:paraId="462E6280" w14:textId="3EA12B9A" w:rsidR="00DA196A" w:rsidRPr="002341AF" w:rsidRDefault="00DA196A" w:rsidP="003C7ACC">
      <w:pPr>
        <w:spacing w:after="240"/>
        <w:ind w:left="567" w:right="539"/>
        <w:jc w:val="both"/>
        <w:rPr>
          <w:rFonts w:ascii="Palatino Linotype" w:eastAsia="Palatino Linotype" w:hAnsi="Palatino Linotype" w:cs="Palatino Linotype"/>
          <w:sz w:val="22"/>
          <w:szCs w:val="22"/>
        </w:rPr>
      </w:pPr>
      <w:r w:rsidRPr="002341AF">
        <w:rPr>
          <w:rFonts w:ascii="Palatino Linotype" w:eastAsia="Palatino Linotype" w:hAnsi="Palatino Linotype" w:cs="Palatino Linotype"/>
          <w:sz w:val="22"/>
          <w:szCs w:val="22"/>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6992C51F" w14:textId="77777777" w:rsidR="00DA196A" w:rsidRPr="002341AF" w:rsidRDefault="00DA196A" w:rsidP="00DA196A">
      <w:pPr>
        <w:spacing w:after="240"/>
        <w:ind w:right="539"/>
        <w:jc w:val="both"/>
        <w:rPr>
          <w:rFonts w:ascii="Palatino Linotype" w:eastAsia="Palatino Linotype" w:hAnsi="Palatino Linotype" w:cs="Palatino Linotype"/>
          <w:sz w:val="22"/>
        </w:rPr>
      </w:pPr>
    </w:p>
    <w:p w14:paraId="2987DCC6" w14:textId="1D8E7DB5" w:rsidR="00561938" w:rsidRPr="002341AF" w:rsidRDefault="00DA196A" w:rsidP="00561938">
      <w:pPr>
        <w:numPr>
          <w:ilvl w:val="0"/>
          <w:numId w:val="2"/>
        </w:numPr>
        <w:spacing w:line="360" w:lineRule="auto"/>
        <w:ind w:left="0" w:right="34" w:firstLine="0"/>
        <w:contextualSpacing/>
        <w:jc w:val="both"/>
        <w:rPr>
          <w:rFonts w:ascii="Palatino Linotype" w:eastAsia="MS Mincho" w:hAnsi="Palatino Linotype" w:cs="Arial"/>
          <w:sz w:val="24"/>
          <w:szCs w:val="24"/>
        </w:rPr>
      </w:pPr>
      <w:r w:rsidRPr="002341AF">
        <w:rPr>
          <w:rFonts w:ascii="Palatino Linotype" w:eastAsia="MS Mincho" w:hAnsi="Palatino Linotype" w:cs="Arial"/>
          <w:sz w:val="24"/>
          <w:szCs w:val="24"/>
        </w:rPr>
        <w:t xml:space="preserve">En </w:t>
      </w:r>
      <w:r w:rsidRPr="002341AF">
        <w:rPr>
          <w:rFonts w:ascii="Palatino Linotype" w:eastAsia="Palatino Linotype" w:hAnsi="Palatino Linotype" w:cs="Palatino Linotype"/>
          <w:sz w:val="24"/>
          <w:szCs w:val="24"/>
        </w:rPr>
        <w:t xml:space="preserve">este orden de ideas, el </w:t>
      </w:r>
      <w:r w:rsidRPr="002341AF">
        <w:rPr>
          <w:rFonts w:ascii="Palatino Linotype" w:eastAsia="Palatino Linotype" w:hAnsi="Palatino Linotype" w:cs="Palatino Linotype"/>
          <w:b/>
          <w:sz w:val="24"/>
          <w:szCs w:val="24"/>
        </w:rPr>
        <w:t>SUJETO OBLIGADO</w:t>
      </w:r>
      <w:r w:rsidRPr="002341AF">
        <w:rPr>
          <w:rFonts w:ascii="Palatino Linotype" w:eastAsia="Palatino Linotype" w:hAnsi="Palatino Linotype" w:cs="Palatino Linotype"/>
          <w:sz w:val="24"/>
          <w:szCs w:val="24"/>
        </w:rPr>
        <w:t xml:space="preserve"> debió turnar la solicitud a las áreas competentes para conocer de la solicitud de información, como en el presente caso</w:t>
      </w:r>
      <w:r w:rsidR="00C0735B" w:rsidRPr="002341AF">
        <w:rPr>
          <w:rFonts w:ascii="Palatino Linotype" w:eastAsia="Palatino Linotype" w:hAnsi="Palatino Linotype" w:cs="Palatino Linotype"/>
          <w:sz w:val="24"/>
          <w:szCs w:val="24"/>
        </w:rPr>
        <w:t>,</w:t>
      </w:r>
      <w:r w:rsidRPr="002341AF">
        <w:rPr>
          <w:rFonts w:ascii="Palatino Linotype" w:eastAsia="Palatino Linotype" w:hAnsi="Palatino Linotype" w:cs="Palatino Linotype"/>
          <w:sz w:val="24"/>
          <w:szCs w:val="24"/>
        </w:rPr>
        <w:t xml:space="preserve"> se advierte que pudiera contar con la información</w:t>
      </w:r>
      <w:r w:rsidR="00C0735B" w:rsidRPr="002341AF">
        <w:rPr>
          <w:rFonts w:ascii="Palatino Linotype" w:eastAsia="Palatino Linotype" w:hAnsi="Palatino Linotype" w:cs="Palatino Linotype"/>
          <w:sz w:val="24"/>
          <w:szCs w:val="24"/>
        </w:rPr>
        <w:t xml:space="preserve"> </w:t>
      </w:r>
      <w:r w:rsidRPr="002341AF">
        <w:rPr>
          <w:rFonts w:ascii="Palatino Linotype" w:eastAsia="Palatino Linotype" w:hAnsi="Palatino Linotype" w:cs="Palatino Linotype"/>
          <w:b/>
          <w:sz w:val="24"/>
          <w:szCs w:val="24"/>
        </w:rPr>
        <w:t>la Contraloría Interna</w:t>
      </w:r>
      <w:r w:rsidRPr="002341AF">
        <w:rPr>
          <w:rFonts w:ascii="Palatino Linotype" w:eastAsia="Palatino Linotype" w:hAnsi="Palatino Linotype" w:cs="Palatino Linotype"/>
          <w:sz w:val="24"/>
          <w:szCs w:val="24"/>
        </w:rPr>
        <w:t xml:space="preserve">, ello en virtud de que, es la unidad encargada de recibir, analizar y tramitar </w:t>
      </w:r>
      <w:r w:rsidR="00D2039D" w:rsidRPr="002341AF">
        <w:rPr>
          <w:rFonts w:ascii="Palatino Linotype" w:eastAsia="Palatino Linotype" w:hAnsi="Palatino Linotype" w:cs="Palatino Linotype"/>
          <w:sz w:val="24"/>
          <w:szCs w:val="24"/>
        </w:rPr>
        <w:t xml:space="preserve">las quejas y </w:t>
      </w:r>
      <w:r w:rsidR="00D2039D" w:rsidRPr="002341AF">
        <w:rPr>
          <w:rFonts w:ascii="Palatino Linotype" w:eastAsia="Palatino Linotype" w:hAnsi="Palatino Linotype" w:cs="Palatino Linotype"/>
          <w:sz w:val="24"/>
          <w:szCs w:val="24"/>
        </w:rPr>
        <w:lastRenderedPageBreak/>
        <w:t>denuncias en contra de servidores públicos adscritos a las unidades administrativas del Consejo y las que se presenten con respecto a los servicios proporcionados por éste; así como, aplicar los procedimientos administrativos, disciplinarios y resarcitorios e imponer, en su caso, las sanciones a los servidores públicos en términos de la Ley correspondiente, esto de conformidad con el Manual General de Organización del Consejo Mexiquense de Ciencia y Tecnología</w:t>
      </w:r>
      <w:r w:rsidR="00D41818" w:rsidRPr="002341AF">
        <w:rPr>
          <w:rFonts w:ascii="Palatino Linotype" w:eastAsia="Palatino Linotype" w:hAnsi="Palatino Linotype" w:cs="Palatino Linotype"/>
          <w:sz w:val="24"/>
          <w:szCs w:val="24"/>
        </w:rPr>
        <w:t>, como se observa:</w:t>
      </w:r>
    </w:p>
    <w:p w14:paraId="103A82D5" w14:textId="77777777" w:rsidR="005B1855" w:rsidRPr="002341AF" w:rsidRDefault="005B1855" w:rsidP="005B1855">
      <w:pPr>
        <w:spacing w:line="360" w:lineRule="auto"/>
        <w:ind w:right="34"/>
        <w:contextualSpacing/>
        <w:jc w:val="both"/>
        <w:rPr>
          <w:rFonts w:ascii="Palatino Linotype" w:eastAsia="MS Mincho" w:hAnsi="Palatino Linotype" w:cs="Arial"/>
          <w:sz w:val="24"/>
          <w:szCs w:val="24"/>
        </w:rPr>
      </w:pPr>
    </w:p>
    <w:p w14:paraId="4661979C" w14:textId="53AC41A1" w:rsidR="005B1855" w:rsidRPr="002341AF" w:rsidRDefault="005B1855" w:rsidP="005B1855">
      <w:pPr>
        <w:spacing w:line="360" w:lineRule="auto"/>
        <w:ind w:right="34"/>
        <w:contextualSpacing/>
        <w:jc w:val="center"/>
        <w:rPr>
          <w:rFonts w:ascii="Palatino Linotype" w:eastAsia="MS Mincho" w:hAnsi="Palatino Linotype" w:cs="Arial"/>
          <w:b/>
          <w:sz w:val="24"/>
          <w:szCs w:val="24"/>
        </w:rPr>
      </w:pPr>
      <w:r w:rsidRPr="002341AF">
        <w:rPr>
          <w:rFonts w:ascii="Palatino Linotype" w:eastAsia="MS Mincho" w:hAnsi="Palatino Linotype" w:cs="Arial"/>
          <w:b/>
          <w:sz w:val="24"/>
          <w:szCs w:val="24"/>
        </w:rPr>
        <w:t>(…)</w:t>
      </w:r>
    </w:p>
    <w:p w14:paraId="498C062C" w14:textId="5CDDDE0D" w:rsidR="00561938" w:rsidRPr="002341AF" w:rsidRDefault="00561938" w:rsidP="00561938">
      <w:pPr>
        <w:spacing w:line="360" w:lineRule="auto"/>
        <w:ind w:right="34"/>
        <w:contextualSpacing/>
        <w:jc w:val="center"/>
        <w:rPr>
          <w:rFonts w:ascii="Palatino Linotype" w:eastAsia="Palatino Linotype" w:hAnsi="Palatino Linotype" w:cs="Palatino Linotype"/>
          <w:sz w:val="24"/>
          <w:szCs w:val="24"/>
        </w:rPr>
      </w:pPr>
      <w:r w:rsidRPr="002341AF">
        <w:rPr>
          <w:rFonts w:ascii="Palatino Linotype" w:eastAsia="Palatino Linotype" w:hAnsi="Palatino Linotype" w:cs="Palatino Linotype"/>
          <w:noProof/>
          <w:sz w:val="24"/>
          <w:szCs w:val="24"/>
          <w:lang w:eastAsia="es-MX"/>
        </w:rPr>
        <w:drawing>
          <wp:inline distT="0" distB="0" distL="0" distR="0" wp14:anchorId="6D8F3141" wp14:editId="1BC742FD">
            <wp:extent cx="5711498" cy="2514600"/>
            <wp:effectExtent l="19050" t="19050" r="22860"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20">
                      <a:extLst>
                        <a:ext uri="{28A0092B-C50C-407E-A947-70E740481C1C}">
                          <a14:useLocalDpi xmlns:a14="http://schemas.microsoft.com/office/drawing/2010/main" val="0"/>
                        </a:ext>
                      </a:extLst>
                    </a:blip>
                    <a:srcRect b="50616"/>
                    <a:stretch/>
                  </pic:blipFill>
                  <pic:spPr bwMode="auto">
                    <a:xfrm>
                      <a:off x="0" y="0"/>
                      <a:ext cx="5762940" cy="253724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25E9861" w14:textId="7FBC6D70" w:rsidR="005B1855" w:rsidRPr="002341AF" w:rsidRDefault="005B1855" w:rsidP="00561938">
      <w:pPr>
        <w:spacing w:line="360" w:lineRule="auto"/>
        <w:ind w:right="34"/>
        <w:contextualSpacing/>
        <w:jc w:val="center"/>
        <w:rPr>
          <w:rFonts w:ascii="Palatino Linotype" w:eastAsia="Palatino Linotype" w:hAnsi="Palatino Linotype" w:cs="Palatino Linotype"/>
          <w:b/>
          <w:sz w:val="24"/>
          <w:szCs w:val="24"/>
        </w:rPr>
      </w:pPr>
      <w:r w:rsidRPr="002341AF">
        <w:rPr>
          <w:rFonts w:ascii="Palatino Linotype" w:eastAsia="Palatino Linotype" w:hAnsi="Palatino Linotype" w:cs="Palatino Linotype"/>
          <w:b/>
          <w:sz w:val="24"/>
          <w:szCs w:val="24"/>
        </w:rPr>
        <w:t>(…)</w:t>
      </w:r>
    </w:p>
    <w:p w14:paraId="2FB9F03C" w14:textId="77777777" w:rsidR="005B1855" w:rsidRPr="002341AF" w:rsidRDefault="005B1855" w:rsidP="00561938">
      <w:pPr>
        <w:spacing w:line="360" w:lineRule="auto"/>
        <w:ind w:right="34"/>
        <w:contextualSpacing/>
        <w:jc w:val="center"/>
        <w:rPr>
          <w:rFonts w:ascii="Palatino Linotype" w:eastAsia="Palatino Linotype" w:hAnsi="Palatino Linotype" w:cs="Palatino Linotype"/>
          <w:sz w:val="24"/>
          <w:szCs w:val="24"/>
        </w:rPr>
      </w:pPr>
    </w:p>
    <w:p w14:paraId="29C7C459" w14:textId="7EDAB3D1" w:rsidR="00D954CD" w:rsidRPr="002341AF" w:rsidRDefault="00BA2F78" w:rsidP="00561938">
      <w:pPr>
        <w:numPr>
          <w:ilvl w:val="0"/>
          <w:numId w:val="2"/>
        </w:numPr>
        <w:spacing w:line="360" w:lineRule="auto"/>
        <w:ind w:left="0" w:right="34" w:firstLine="0"/>
        <w:contextualSpacing/>
        <w:jc w:val="both"/>
        <w:rPr>
          <w:rFonts w:ascii="Palatino Linotype" w:eastAsia="MS Mincho" w:hAnsi="Palatino Linotype" w:cs="Arial"/>
          <w:sz w:val="24"/>
          <w:szCs w:val="24"/>
        </w:rPr>
      </w:pPr>
      <w:r w:rsidRPr="002341AF">
        <w:rPr>
          <w:rFonts w:ascii="Palatino Linotype" w:eastAsia="MS Mincho" w:hAnsi="Palatino Linotype" w:cs="Arial"/>
          <w:sz w:val="24"/>
          <w:szCs w:val="24"/>
        </w:rPr>
        <w:lastRenderedPageBreak/>
        <w:t>De lo anterior</w:t>
      </w:r>
      <w:r w:rsidR="00C0735B" w:rsidRPr="002341AF">
        <w:rPr>
          <w:rFonts w:ascii="Palatino Linotype" w:eastAsia="MS Mincho" w:hAnsi="Palatino Linotype" w:cs="Arial"/>
          <w:sz w:val="24"/>
          <w:szCs w:val="24"/>
        </w:rPr>
        <w:t xml:space="preserve"> </w:t>
      </w:r>
      <w:r w:rsidR="00C0735B" w:rsidRPr="002341AF">
        <w:rPr>
          <w:rFonts w:ascii="Palatino Linotype" w:eastAsia="Palatino Linotype" w:hAnsi="Palatino Linotype" w:cs="Palatino Linotype"/>
          <w:sz w:val="24"/>
          <w:szCs w:val="24"/>
        </w:rPr>
        <w:t xml:space="preserve">se reitera que el </w:t>
      </w:r>
      <w:r w:rsidR="00C0735B" w:rsidRPr="002341AF">
        <w:rPr>
          <w:rFonts w:ascii="Palatino Linotype" w:eastAsia="Palatino Linotype" w:hAnsi="Palatino Linotype" w:cs="Palatino Linotype"/>
          <w:b/>
          <w:sz w:val="24"/>
          <w:szCs w:val="24"/>
        </w:rPr>
        <w:t>SUJETO OBLIGADO</w:t>
      </w:r>
      <w:r w:rsidRPr="002341AF">
        <w:rPr>
          <w:rFonts w:ascii="Palatino Linotype" w:eastAsia="Palatino Linotype" w:hAnsi="Palatino Linotype" w:cs="Palatino Linotype"/>
          <w:b/>
          <w:sz w:val="24"/>
          <w:szCs w:val="24"/>
        </w:rPr>
        <w:t>,</w:t>
      </w:r>
      <w:r w:rsidR="00C0735B" w:rsidRPr="002341AF">
        <w:rPr>
          <w:rFonts w:ascii="Palatino Linotype" w:eastAsia="Palatino Linotype" w:hAnsi="Palatino Linotype" w:cs="Palatino Linotype"/>
          <w:sz w:val="24"/>
          <w:szCs w:val="24"/>
        </w:rPr>
        <w:t xml:space="preserve"> debió turnarle las solicitudes de información al Servidor Público Habilitado competente para que en su momento se pronunciara al respecto.</w:t>
      </w:r>
    </w:p>
    <w:p w14:paraId="46416413" w14:textId="77777777" w:rsidR="00C0735B" w:rsidRPr="002341AF" w:rsidRDefault="00C0735B" w:rsidP="00C0735B">
      <w:pPr>
        <w:spacing w:line="360" w:lineRule="auto"/>
        <w:ind w:right="34"/>
        <w:contextualSpacing/>
        <w:jc w:val="both"/>
        <w:rPr>
          <w:rFonts w:ascii="Palatino Linotype" w:eastAsia="MS Mincho" w:hAnsi="Palatino Linotype" w:cs="Arial"/>
          <w:sz w:val="24"/>
          <w:szCs w:val="24"/>
        </w:rPr>
      </w:pPr>
    </w:p>
    <w:p w14:paraId="08E3D133" w14:textId="432B7590" w:rsidR="00C0735B" w:rsidRPr="002341AF" w:rsidRDefault="00C0735B" w:rsidP="00C0735B">
      <w:pPr>
        <w:numPr>
          <w:ilvl w:val="0"/>
          <w:numId w:val="2"/>
        </w:numPr>
        <w:spacing w:line="360" w:lineRule="auto"/>
        <w:ind w:left="0" w:right="34" w:firstLine="0"/>
        <w:contextualSpacing/>
        <w:jc w:val="both"/>
        <w:rPr>
          <w:rFonts w:ascii="Palatino Linotype" w:eastAsia="MS Mincho" w:hAnsi="Palatino Linotype" w:cs="Arial"/>
          <w:sz w:val="24"/>
          <w:szCs w:val="24"/>
        </w:rPr>
      </w:pPr>
      <w:r w:rsidRPr="002341AF">
        <w:rPr>
          <w:rFonts w:ascii="Palatino Linotype" w:eastAsia="MS Mincho" w:hAnsi="Palatino Linotype" w:cs="Arial"/>
          <w:sz w:val="24"/>
          <w:szCs w:val="24"/>
        </w:rPr>
        <w:t>Ahora bien, cabe resaltar que las investigaciones vigentes y/o concluidas</w:t>
      </w:r>
      <w:r w:rsidR="00721EB8" w:rsidRPr="002341AF">
        <w:rPr>
          <w:rFonts w:ascii="Palatino Linotype" w:eastAsia="MS Mincho" w:hAnsi="Palatino Linotype" w:cs="Arial"/>
          <w:sz w:val="24"/>
          <w:szCs w:val="24"/>
        </w:rPr>
        <w:t xml:space="preserve"> de la Servidora Pública referida en la solicitud de información</w:t>
      </w:r>
      <w:r w:rsidRPr="002341AF">
        <w:rPr>
          <w:rFonts w:ascii="Palatino Linotype" w:eastAsia="MS Mincho" w:hAnsi="Palatino Linotype" w:cs="Arial"/>
          <w:sz w:val="24"/>
          <w:szCs w:val="24"/>
        </w:rPr>
        <w:t xml:space="preserve">, así como, los </w:t>
      </w:r>
      <w:r w:rsidRPr="002341AF">
        <w:rPr>
          <w:rFonts w:ascii="Palatino Linotype" w:eastAsia="MS Mincho" w:hAnsi="Palatino Linotype" w:cs="Arial"/>
          <w:i/>
          <w:iCs/>
          <w:sz w:val="24"/>
          <w:szCs w:val="24"/>
        </w:rPr>
        <w:t>motivos</w:t>
      </w:r>
      <w:r w:rsidRPr="002341AF">
        <w:rPr>
          <w:rFonts w:ascii="Palatino Linotype" w:eastAsia="MS Mincho" w:hAnsi="Palatino Linotype" w:cs="Arial"/>
          <w:sz w:val="24"/>
          <w:szCs w:val="24"/>
        </w:rPr>
        <w:t xml:space="preserve"> por los cuales iniciaron</w:t>
      </w:r>
      <w:r w:rsidR="00721EB8" w:rsidRPr="002341AF">
        <w:rPr>
          <w:rFonts w:ascii="Palatino Linotype" w:eastAsia="MS Mincho" w:hAnsi="Palatino Linotype" w:cs="Arial"/>
          <w:sz w:val="24"/>
          <w:szCs w:val="24"/>
        </w:rPr>
        <w:t xml:space="preserve">, </w:t>
      </w:r>
      <w:r w:rsidRPr="002341AF">
        <w:rPr>
          <w:rFonts w:ascii="Palatino Linotype" w:eastAsia="MS Mincho" w:hAnsi="Palatino Linotype" w:cs="Arial"/>
          <w:sz w:val="24"/>
          <w:szCs w:val="24"/>
        </w:rPr>
        <w:t>la materia a la que corresponden</w:t>
      </w:r>
      <w:r w:rsidR="00721EB8" w:rsidRPr="002341AF">
        <w:rPr>
          <w:rFonts w:ascii="Palatino Linotype" w:eastAsia="MS Mincho" w:hAnsi="Palatino Linotype" w:cs="Arial"/>
          <w:sz w:val="24"/>
          <w:szCs w:val="24"/>
        </w:rPr>
        <w:t xml:space="preserve"> y los estatus procesales, </w:t>
      </w:r>
      <w:r w:rsidRPr="002341AF">
        <w:rPr>
          <w:rFonts w:ascii="Palatino Linotype" w:eastAsia="MS Mincho" w:hAnsi="Palatino Linotype" w:cs="Arial"/>
          <w:sz w:val="24"/>
          <w:szCs w:val="24"/>
        </w:rPr>
        <w:t>constan de manera enunciativa más no limitativa</w:t>
      </w:r>
      <w:r w:rsidR="00721EB8" w:rsidRPr="002341AF">
        <w:rPr>
          <w:rFonts w:ascii="Palatino Linotype" w:eastAsia="MS Mincho" w:hAnsi="Palatino Linotype" w:cs="Arial"/>
          <w:sz w:val="24"/>
          <w:szCs w:val="24"/>
        </w:rPr>
        <w:t>,</w:t>
      </w:r>
      <w:r w:rsidRPr="002341AF">
        <w:rPr>
          <w:rFonts w:ascii="Palatino Linotype" w:eastAsia="MS Mincho" w:hAnsi="Palatino Linotype" w:cs="Arial"/>
          <w:sz w:val="24"/>
          <w:szCs w:val="24"/>
        </w:rPr>
        <w:t xml:space="preserve"> en los </w:t>
      </w:r>
      <w:r w:rsidRPr="002341AF">
        <w:rPr>
          <w:rFonts w:ascii="Palatino Linotype" w:eastAsia="MS Mincho" w:hAnsi="Palatino Linotype" w:cs="Arial"/>
          <w:b/>
          <w:bCs/>
          <w:sz w:val="24"/>
          <w:szCs w:val="24"/>
        </w:rPr>
        <w:t xml:space="preserve">expedientes de investigaciones </w:t>
      </w:r>
      <w:r w:rsidRPr="002341AF">
        <w:rPr>
          <w:rFonts w:ascii="Palatino Linotype" w:hAnsi="Palatino Linotype"/>
          <w:b/>
          <w:bCs/>
          <w:color w:val="000000"/>
          <w:sz w:val="24"/>
          <w:szCs w:val="24"/>
        </w:rPr>
        <w:t>de responsabilidad administrativa,</w:t>
      </w:r>
      <w:r w:rsidRPr="002341AF">
        <w:rPr>
          <w:rFonts w:ascii="Palatino Linotype" w:hAnsi="Palatino Linotype"/>
          <w:color w:val="000000"/>
          <w:sz w:val="24"/>
          <w:szCs w:val="24"/>
        </w:rPr>
        <w:t xml:space="preserve"> pues </w:t>
      </w:r>
      <w:r w:rsidR="00721EB8" w:rsidRPr="002341AF">
        <w:rPr>
          <w:rFonts w:ascii="Palatino Linotype" w:hAnsi="Palatino Linotype"/>
          <w:color w:val="000000"/>
          <w:sz w:val="24"/>
          <w:szCs w:val="24"/>
        </w:rPr>
        <w:t>corresponden a</w:t>
      </w:r>
      <w:r w:rsidRPr="002341AF">
        <w:rPr>
          <w:rFonts w:ascii="Palatino Linotype" w:hAnsi="Palatino Linotype"/>
          <w:color w:val="000000"/>
          <w:sz w:val="24"/>
          <w:szCs w:val="24"/>
        </w:rPr>
        <w:t xml:space="preserve"> los documentos que dan cuenta.</w:t>
      </w:r>
    </w:p>
    <w:p w14:paraId="5A4CB449" w14:textId="77777777" w:rsidR="00D954CD" w:rsidRPr="002341AF" w:rsidRDefault="00D954CD" w:rsidP="00D41818">
      <w:pPr>
        <w:spacing w:line="360" w:lineRule="auto"/>
        <w:ind w:right="34"/>
        <w:contextualSpacing/>
        <w:jc w:val="both"/>
        <w:rPr>
          <w:rFonts w:ascii="Palatino Linotype" w:eastAsia="Palatino Linotype" w:hAnsi="Palatino Linotype" w:cs="Palatino Linotype"/>
          <w:sz w:val="24"/>
          <w:szCs w:val="24"/>
        </w:rPr>
      </w:pPr>
    </w:p>
    <w:p w14:paraId="090D21DB" w14:textId="26E1EBBB" w:rsidR="00D41818" w:rsidRPr="002341AF" w:rsidRDefault="00D41818" w:rsidP="00D41818">
      <w:pPr>
        <w:pStyle w:val="Prrafodelista"/>
        <w:numPr>
          <w:ilvl w:val="0"/>
          <w:numId w:val="26"/>
        </w:numPr>
        <w:spacing w:line="360" w:lineRule="auto"/>
        <w:ind w:right="34"/>
        <w:jc w:val="both"/>
        <w:rPr>
          <w:rFonts w:ascii="Palatino Linotype" w:eastAsia="MS Mincho" w:hAnsi="Palatino Linotype" w:cs="Arial"/>
          <w:sz w:val="24"/>
        </w:rPr>
      </w:pPr>
      <w:r w:rsidRPr="002341AF">
        <w:rPr>
          <w:rFonts w:ascii="Palatino Linotype" w:hAnsi="Palatino Linotype" w:cs="Tahoma"/>
          <w:b/>
          <w:bCs/>
          <w:iCs/>
          <w:sz w:val="24"/>
        </w:rPr>
        <w:t>De la naturaleza de la información solicitada.</w:t>
      </w:r>
    </w:p>
    <w:p w14:paraId="757437B3" w14:textId="77777777" w:rsidR="00D2039D" w:rsidRPr="002341AF" w:rsidRDefault="00D2039D" w:rsidP="00D2039D">
      <w:pPr>
        <w:spacing w:line="360" w:lineRule="auto"/>
        <w:ind w:right="34"/>
        <w:contextualSpacing/>
        <w:jc w:val="both"/>
        <w:rPr>
          <w:rFonts w:ascii="Palatino Linotype" w:eastAsia="MS Mincho" w:hAnsi="Palatino Linotype" w:cs="Arial"/>
          <w:sz w:val="24"/>
          <w:szCs w:val="24"/>
        </w:rPr>
      </w:pPr>
    </w:p>
    <w:p w14:paraId="3E0575D0" w14:textId="5667978D"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b/>
          <w:sz w:val="24"/>
        </w:rPr>
      </w:pPr>
      <w:r w:rsidRPr="002341AF">
        <w:rPr>
          <w:rFonts w:ascii="Palatino Linotype" w:eastAsia="MS Mincho" w:hAnsi="Palatino Linotype" w:cs="Arial"/>
          <w:sz w:val="24"/>
        </w:rPr>
        <w:t xml:space="preserve">Una </w:t>
      </w:r>
      <w:r w:rsidRPr="002341AF">
        <w:rPr>
          <w:rFonts w:ascii="Palatino Linotype" w:hAnsi="Palatino Linotype" w:cs="Tahoma"/>
          <w:bCs/>
          <w:iCs/>
          <w:sz w:val="24"/>
        </w:rPr>
        <w:t xml:space="preserve">vez identificada la competencia de la </w:t>
      </w:r>
      <w:r w:rsidRPr="002341AF">
        <w:rPr>
          <w:rFonts w:ascii="Palatino Linotype" w:hAnsi="Palatino Linotype" w:cs="Tahoma"/>
          <w:b/>
          <w:iCs/>
          <w:sz w:val="24"/>
        </w:rPr>
        <w:t xml:space="preserve">Contraloría </w:t>
      </w:r>
      <w:r w:rsidR="00CA5708" w:rsidRPr="002341AF">
        <w:rPr>
          <w:rFonts w:ascii="Palatino Linotype" w:hAnsi="Palatino Linotype" w:cs="Tahoma"/>
          <w:b/>
          <w:iCs/>
          <w:sz w:val="24"/>
        </w:rPr>
        <w:t>Interna</w:t>
      </w:r>
      <w:r w:rsidRPr="002341AF">
        <w:rPr>
          <w:rFonts w:ascii="Palatino Linotype" w:hAnsi="Palatino Linotype" w:cs="Tahoma"/>
          <w:bCs/>
          <w:iCs/>
          <w:sz w:val="24"/>
        </w:rPr>
        <w:t xml:space="preserve">, </w:t>
      </w:r>
      <w:r w:rsidRPr="002341AF">
        <w:rPr>
          <w:rFonts w:ascii="Palatino Linotype" w:hAnsi="Palatino Linotype"/>
          <w:sz w:val="24"/>
          <w:lang w:val="es-ES_tradnl"/>
        </w:rPr>
        <w:t xml:space="preserve">con el objetivo de comprender en sentido amplio la información solicitada por el </w:t>
      </w:r>
      <w:r w:rsidR="00CA5708" w:rsidRPr="002341AF">
        <w:rPr>
          <w:rFonts w:ascii="Palatino Linotype" w:hAnsi="Palatino Linotype"/>
          <w:sz w:val="24"/>
          <w:lang w:val="es-ES_tradnl"/>
        </w:rPr>
        <w:t>P</w:t>
      </w:r>
      <w:r w:rsidRPr="002341AF">
        <w:rPr>
          <w:rFonts w:ascii="Palatino Linotype" w:hAnsi="Palatino Linotype"/>
          <w:sz w:val="24"/>
          <w:lang w:val="es-ES_tradnl"/>
        </w:rPr>
        <w:t xml:space="preserve">articular, conviene establecer la línea procesal que afronta un expediente que se encuentre sustanciado en el </w:t>
      </w:r>
      <w:r w:rsidRPr="002341AF">
        <w:rPr>
          <w:rFonts w:ascii="Palatino Linotype" w:hAnsi="Palatino Linotype"/>
          <w:b/>
          <w:bCs/>
          <w:sz w:val="24"/>
          <w:lang w:val="es-ES_tradnl"/>
        </w:rPr>
        <w:t>Órgano de Control Interno</w:t>
      </w:r>
      <w:r w:rsidRPr="002341AF">
        <w:rPr>
          <w:rFonts w:ascii="Palatino Linotype" w:hAnsi="Palatino Linotype"/>
          <w:sz w:val="24"/>
          <w:lang w:val="es-ES_tradnl"/>
        </w:rPr>
        <w:t xml:space="preserve"> del </w:t>
      </w:r>
      <w:r w:rsidRPr="002341AF">
        <w:rPr>
          <w:rFonts w:ascii="Palatino Linotype" w:hAnsi="Palatino Linotype"/>
          <w:b/>
          <w:sz w:val="24"/>
          <w:lang w:val="es-ES_tradnl"/>
        </w:rPr>
        <w:t>SUJETO OBLIGADO</w:t>
      </w:r>
      <w:r w:rsidRPr="002341AF">
        <w:rPr>
          <w:rFonts w:ascii="Palatino Linotype" w:hAnsi="Palatino Linotype"/>
          <w:sz w:val="24"/>
          <w:lang w:val="es-ES_tradnl"/>
        </w:rPr>
        <w:t xml:space="preserve">, el cual se inicia </w:t>
      </w:r>
      <w:r w:rsidRPr="002341AF">
        <w:rPr>
          <w:rFonts w:ascii="Palatino Linotype" w:hAnsi="Palatino Linotype"/>
          <w:b/>
          <w:sz w:val="24"/>
          <w:lang w:val="es-ES_tradnl"/>
        </w:rPr>
        <w:t>mediante una investigación por la presunta responsabilidad de faltas administrativas</w:t>
      </w:r>
      <w:r w:rsidRPr="002341AF">
        <w:rPr>
          <w:rFonts w:ascii="Palatino Linotype" w:hAnsi="Palatino Linotype"/>
          <w:sz w:val="24"/>
          <w:lang w:val="es-ES_tradnl"/>
        </w:rPr>
        <w:t xml:space="preserve"> </w:t>
      </w:r>
      <w:r w:rsidRPr="002341AF">
        <w:rPr>
          <w:rFonts w:ascii="Palatino Linotype" w:hAnsi="Palatino Linotype"/>
          <w:sz w:val="24"/>
          <w:lang w:val="es-ES_tradnl"/>
        </w:rPr>
        <w:lastRenderedPageBreak/>
        <w:t xml:space="preserve">promovida: </w:t>
      </w:r>
      <w:r w:rsidRPr="002341AF">
        <w:rPr>
          <w:rFonts w:ascii="Palatino Linotype" w:hAnsi="Palatino Linotype"/>
          <w:b/>
          <w:sz w:val="24"/>
          <w:lang w:val="es-ES_tradnl"/>
        </w:rPr>
        <w:t xml:space="preserve">a) de oficio, b) </w:t>
      </w:r>
      <w:r w:rsidRPr="002341AF">
        <w:rPr>
          <w:rFonts w:ascii="Palatino Linotype" w:hAnsi="Palatino Linotype"/>
          <w:b/>
          <w:bCs/>
          <w:sz w:val="24"/>
          <w:lang w:val="es-ES_tradnl"/>
        </w:rPr>
        <w:t>por denuncia;</w:t>
      </w:r>
      <w:r w:rsidRPr="002341AF">
        <w:rPr>
          <w:rFonts w:ascii="Palatino Linotype" w:hAnsi="Palatino Linotype"/>
          <w:b/>
          <w:sz w:val="24"/>
          <w:lang w:val="es-ES_tradnl"/>
        </w:rPr>
        <w:t xml:space="preserve"> o, c) derivado de las auditorías practicadas por parte de las autoridades correspondientes o, en su caso, auditores externos</w:t>
      </w:r>
      <w:r w:rsidRPr="002341AF">
        <w:rPr>
          <w:rFonts w:ascii="Palatino Linotype" w:hAnsi="Palatino Linotype"/>
          <w:b/>
          <w:sz w:val="24"/>
          <w:vertAlign w:val="superscript"/>
          <w:lang w:val="es-ES_tradnl"/>
        </w:rPr>
        <w:footnoteReference w:id="7"/>
      </w:r>
      <w:r w:rsidRPr="002341AF">
        <w:rPr>
          <w:rFonts w:ascii="Palatino Linotype" w:hAnsi="Palatino Linotype"/>
          <w:b/>
          <w:sz w:val="24"/>
          <w:lang w:val="es-ES_tradnl"/>
        </w:rPr>
        <w:t>.</w:t>
      </w:r>
    </w:p>
    <w:p w14:paraId="728573BE"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04B62F4C"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rPr>
        <w:t xml:space="preserve">Al respecto, </w:t>
      </w:r>
      <w:r w:rsidRPr="002341AF">
        <w:rPr>
          <w:rFonts w:ascii="Palatino Linotype" w:hAnsi="Palatino Linotype"/>
          <w:sz w:val="24"/>
          <w:lang w:val="es-ES_tradnl"/>
        </w:rPr>
        <w:t>la Ley de Responsabilidades Administrativas del Estado de México y Municipios establece y diferencia, en sus artículos 50, 51 y 52, las faltas administrativas no graves y graves, respectivamente, en que pueden incurrir los servidores públicos, a saber:</w:t>
      </w:r>
    </w:p>
    <w:p w14:paraId="5C41200B" w14:textId="77777777" w:rsidR="00D41818" w:rsidRPr="002341AF" w:rsidRDefault="00D41818" w:rsidP="00D41818">
      <w:pPr>
        <w:pStyle w:val="Prrafodelista"/>
        <w:tabs>
          <w:tab w:val="left" w:pos="426"/>
        </w:tabs>
        <w:spacing w:line="360" w:lineRule="auto"/>
        <w:ind w:left="0"/>
        <w:jc w:val="both"/>
        <w:rPr>
          <w:rFonts w:ascii="Palatino Linotype" w:hAnsi="Palatino Linotype"/>
        </w:rPr>
      </w:pPr>
    </w:p>
    <w:p w14:paraId="497730FE"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bCs/>
          <w:i/>
        </w:rPr>
      </w:pPr>
      <w:r w:rsidRPr="002341AF">
        <w:rPr>
          <w:rFonts w:ascii="Palatino Linotype" w:hAnsi="Palatino Linotype"/>
          <w:bCs/>
          <w:i/>
        </w:rPr>
        <w:t>“</w:t>
      </w:r>
      <w:r w:rsidRPr="002341AF">
        <w:rPr>
          <w:rFonts w:ascii="Palatino Linotype" w:hAnsi="Palatino Linotype"/>
          <w:b/>
          <w:i/>
        </w:rPr>
        <w:t>Artículo 50</w:t>
      </w:r>
      <w:r w:rsidRPr="002341AF">
        <w:rPr>
          <w:rFonts w:ascii="Palatino Linotype" w:hAnsi="Palatino Linotype"/>
          <w:bCs/>
          <w:i/>
        </w:rPr>
        <w:t xml:space="preserve">. Incurre en falta administrativa no grave, el servidor público que con sus actos u omisiones, incumpla o transgreda las obligaciones siguientes: </w:t>
      </w:r>
    </w:p>
    <w:p w14:paraId="7C9F68CC"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bCs/>
          <w:i/>
        </w:rPr>
      </w:pPr>
      <w:r w:rsidRPr="002341AF">
        <w:rPr>
          <w:rFonts w:ascii="Palatino Linotype" w:hAnsi="Palatino Linotype"/>
          <w:b/>
          <w:i/>
        </w:rPr>
        <w:t>I.</w:t>
      </w:r>
      <w:r w:rsidRPr="002341AF">
        <w:rPr>
          <w:rFonts w:ascii="Palatino Linotype" w:hAnsi="Palatino Linotype"/>
          <w:bCs/>
          <w:i/>
        </w:rPr>
        <w:t xml:space="preserve"> Cumplir con las funciones, atribuciones y comisiones encomendadas, observando en su desempeño disciplina y respeto, tanto a los demás servidores públicos, a los particulares con los que llegare a tratar, en los términos que se establezcan en el código de ética a que se refiere esta Ley. </w:t>
      </w:r>
    </w:p>
    <w:p w14:paraId="0A8442DD"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bCs/>
          <w:i/>
        </w:rPr>
      </w:pPr>
      <w:r w:rsidRPr="002341AF">
        <w:rPr>
          <w:rFonts w:ascii="Palatino Linotype" w:hAnsi="Palatino Linotype"/>
          <w:b/>
          <w:i/>
        </w:rPr>
        <w:t>II.</w:t>
      </w:r>
      <w:r w:rsidRPr="002341AF">
        <w:rPr>
          <w:rFonts w:ascii="Palatino Linotype" w:hAnsi="Palatino Linotype"/>
          <w:bCs/>
          <w:i/>
        </w:rPr>
        <w:t xml:space="preserve"> Denunciar los actos u omisiones que en ejercicio de sus funciones llegare a advertir, que puedan constituir faltas administrativas en términos del artículo 95 de la presente Ley. </w:t>
      </w:r>
    </w:p>
    <w:p w14:paraId="0F05C95E"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bCs/>
          <w:i/>
        </w:rPr>
      </w:pPr>
      <w:r w:rsidRPr="002341AF">
        <w:rPr>
          <w:rFonts w:ascii="Palatino Linotype" w:hAnsi="Palatino Linotype"/>
          <w:b/>
          <w:i/>
        </w:rPr>
        <w:t>III.</w:t>
      </w:r>
      <w:r w:rsidRPr="002341AF">
        <w:rPr>
          <w:rFonts w:ascii="Palatino Linotype" w:hAnsi="Palatino Linotype"/>
          <w:bCs/>
          <w:i/>
        </w:rPr>
        <w:t xml:space="preserve"> Atender las instrucciones de sus superiores, siempre que éstas sean acordes con las disposiciones relacionadas con el servicio público. </w:t>
      </w:r>
    </w:p>
    <w:p w14:paraId="6C0ACDA6"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bCs/>
          <w:i/>
        </w:rPr>
      </w:pPr>
      <w:r w:rsidRPr="002341AF">
        <w:rPr>
          <w:rFonts w:ascii="Palatino Linotype" w:hAnsi="Palatino Linotype"/>
          <w:bCs/>
          <w:i/>
        </w:rPr>
        <w:t>En caso de recibir instrucción o encomienda contraria a dichas disposiciones, deberá denunciar esta circunstancia en términos del artículo 95 de la presente Ley.</w:t>
      </w:r>
    </w:p>
    <w:p w14:paraId="7580437A"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bCs/>
          <w:i/>
        </w:rPr>
      </w:pPr>
      <w:r w:rsidRPr="002341AF">
        <w:rPr>
          <w:rFonts w:ascii="Palatino Linotype" w:hAnsi="Palatino Linotype"/>
          <w:b/>
          <w:i/>
        </w:rPr>
        <w:t>IV.</w:t>
      </w:r>
      <w:r w:rsidRPr="002341AF">
        <w:rPr>
          <w:rFonts w:ascii="Palatino Linotype" w:hAnsi="Palatino Linotype"/>
          <w:bCs/>
          <w:i/>
        </w:rPr>
        <w:t xml:space="preserve"> Presentar en tiempo y forma la declaración de situación patrimonial y la de intereses que, en su caso, considere se actualice, en los términos establecidos por esta Ley. </w:t>
      </w:r>
    </w:p>
    <w:p w14:paraId="54A987FF"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bCs/>
          <w:i/>
        </w:rPr>
      </w:pPr>
      <w:r w:rsidRPr="002341AF">
        <w:rPr>
          <w:rFonts w:ascii="Palatino Linotype" w:hAnsi="Palatino Linotype"/>
          <w:b/>
          <w:i/>
        </w:rPr>
        <w:t>V.</w:t>
      </w:r>
      <w:r w:rsidRPr="002341AF">
        <w:rPr>
          <w:rFonts w:ascii="Palatino Linotype" w:hAnsi="Palatino Linotype"/>
          <w:bCs/>
          <w:i/>
        </w:rPr>
        <w:t xml:space="preserve"> Rendir cuentas sobre el ejercicio de las funciones, en términos de las normas aplicables. </w:t>
      </w:r>
    </w:p>
    <w:p w14:paraId="06D3120A"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bCs/>
          <w:i/>
        </w:rPr>
      </w:pPr>
      <w:r w:rsidRPr="002341AF">
        <w:rPr>
          <w:rFonts w:ascii="Palatino Linotype" w:hAnsi="Palatino Linotype"/>
          <w:b/>
          <w:i/>
        </w:rPr>
        <w:t>VI.</w:t>
      </w:r>
      <w:r w:rsidRPr="002341AF">
        <w:rPr>
          <w:rFonts w:ascii="Palatino Linotype" w:hAnsi="Palatino Linotype"/>
          <w:bCs/>
          <w:i/>
        </w:rPr>
        <w:t xml:space="preserve"> Colaborar en los procedimientos judiciales y administrativos en los que sea parte. </w:t>
      </w:r>
    </w:p>
    <w:p w14:paraId="6A67B949"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bCs/>
          <w:i/>
        </w:rPr>
      </w:pPr>
      <w:r w:rsidRPr="002341AF">
        <w:rPr>
          <w:rFonts w:ascii="Palatino Linotype" w:hAnsi="Palatino Linotype"/>
          <w:b/>
          <w:i/>
        </w:rPr>
        <w:lastRenderedPageBreak/>
        <w:t>VII.</w:t>
      </w:r>
      <w:r w:rsidRPr="002341AF">
        <w:rPr>
          <w:rFonts w:ascii="Palatino Linotype" w:hAnsi="Palatino Linotype"/>
          <w:bCs/>
          <w:i/>
        </w:rPr>
        <w:t xml:space="preserve">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w:t>
      </w:r>
    </w:p>
    <w:p w14:paraId="283C1371"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bCs/>
          <w:i/>
        </w:rPr>
      </w:pPr>
      <w:r w:rsidRPr="002341AF">
        <w:rPr>
          <w:rFonts w:ascii="Palatino Linotype" w:hAnsi="Palatino Linotype"/>
          <w:bCs/>
          <w:i/>
        </w:rPr>
        <w:t xml:space="preserve">Las manifestaciones respectivas deberán constar por escrito y hacerse del conocimiento del órgano interno de control, previo a la celebración del acto en cuestión. En caso que el contratista sea persona jurídica colectiva, dichas manifestaciones deberán presentarse respecto de los socios o accionistas que ejerzan control sobre la sociedad. </w:t>
      </w:r>
    </w:p>
    <w:p w14:paraId="23C29B70"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bCs/>
          <w:i/>
        </w:rPr>
      </w:pPr>
      <w:r w:rsidRPr="002341AF">
        <w:rPr>
          <w:rFonts w:ascii="Palatino Linotype" w:hAnsi="Palatino Linotype"/>
          <w:bCs/>
          <w:i/>
        </w:rPr>
        <w:t xml:space="preserve">Para efectos de la presente Ley,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jurídicas colectivas. </w:t>
      </w:r>
    </w:p>
    <w:p w14:paraId="7BD1D2CD"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bCs/>
          <w:i/>
        </w:rPr>
      </w:pPr>
      <w:r w:rsidRPr="002341AF">
        <w:rPr>
          <w:rFonts w:ascii="Palatino Linotype" w:hAnsi="Palatino Linotype"/>
          <w:b/>
          <w:i/>
        </w:rPr>
        <w:t>VIII.</w:t>
      </w:r>
      <w:r w:rsidRPr="002341AF">
        <w:rPr>
          <w:rFonts w:ascii="Palatino Linotype" w:hAnsi="Palatino Linotype"/>
          <w:bCs/>
          <w:i/>
        </w:rPr>
        <w:t xml:space="preserve"> Actuar y ejecutar legalmente con la máxima diligencia, los planes, programas, presupuestos y demás normas a fin de alcanzar las metas institucionales según sus responsabilidades, conforme a una cultura de servicio orientada al logro de resultados. </w:t>
      </w:r>
    </w:p>
    <w:p w14:paraId="3B910EBD"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bCs/>
          <w:i/>
        </w:rPr>
      </w:pPr>
      <w:r w:rsidRPr="002341AF">
        <w:rPr>
          <w:rFonts w:ascii="Palatino Linotype" w:hAnsi="Palatino Linotype"/>
          <w:b/>
          <w:i/>
        </w:rPr>
        <w:t>IX.</w:t>
      </w:r>
      <w:r w:rsidRPr="002341AF">
        <w:rPr>
          <w:rFonts w:ascii="Palatino Linotype" w:hAnsi="Palatino Linotype"/>
          <w:bCs/>
          <w:i/>
        </w:rPr>
        <w:t xml:space="preserve"> Registrar, integrar, custodiar y cuidar la documentación e información que por razón de su empleo, cargo o comisión, conserve bajo su cuidado y responsabilidad o a la cual tenga acceso, impidiendo o evitando el uso, divulgación, sustracción, destrucción, ocultamiento o inutilización indebidas de aquéllas. </w:t>
      </w:r>
    </w:p>
    <w:p w14:paraId="46EF43B3"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bCs/>
          <w:i/>
        </w:rPr>
      </w:pPr>
      <w:r w:rsidRPr="002341AF">
        <w:rPr>
          <w:rFonts w:ascii="Palatino Linotype" w:hAnsi="Palatino Linotype"/>
          <w:b/>
          <w:i/>
        </w:rPr>
        <w:t>X.</w:t>
      </w:r>
      <w:r w:rsidRPr="002341AF">
        <w:rPr>
          <w:rFonts w:ascii="Palatino Linotype" w:hAnsi="Palatino Linotype"/>
          <w:bCs/>
          <w:i/>
        </w:rPr>
        <w:t xml:space="preserve"> Observar buena conducta en su empleo, cargo o comisión tratando con respeto, diligencia, imparcialidad y rectitud a las personas y servidores públicos con los que tenga relación con motivo de éste. </w:t>
      </w:r>
    </w:p>
    <w:p w14:paraId="6404F81A"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bCs/>
          <w:i/>
        </w:rPr>
      </w:pPr>
      <w:r w:rsidRPr="002341AF">
        <w:rPr>
          <w:rFonts w:ascii="Palatino Linotype" w:hAnsi="Palatino Linotype"/>
          <w:b/>
          <w:i/>
        </w:rPr>
        <w:t>XI.</w:t>
      </w:r>
      <w:r w:rsidRPr="002341AF">
        <w:rPr>
          <w:rFonts w:ascii="Palatino Linotype" w:hAnsi="Palatino Linotype"/>
          <w:bCs/>
          <w:i/>
        </w:rPr>
        <w:t xml:space="preserve"> Observar un trato respetuoso con sus subalternos. </w:t>
      </w:r>
    </w:p>
    <w:p w14:paraId="2DAEE1A0"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bCs/>
          <w:i/>
        </w:rPr>
      </w:pPr>
      <w:r w:rsidRPr="002341AF">
        <w:rPr>
          <w:rFonts w:ascii="Palatino Linotype" w:hAnsi="Palatino Linotype"/>
          <w:b/>
          <w:i/>
        </w:rPr>
        <w:lastRenderedPageBreak/>
        <w:t>XII.</w:t>
      </w:r>
      <w:r w:rsidRPr="002341AF">
        <w:rPr>
          <w:rFonts w:ascii="Palatino Linotype" w:hAnsi="Palatino Linotype"/>
          <w:bCs/>
          <w:i/>
        </w:rPr>
        <w:t xml:space="preserve"> Supervisar que los servidores públicos sujetos a su dirección, cumplan con las disposiciones de esta Ley. </w:t>
      </w:r>
    </w:p>
    <w:p w14:paraId="29128B59"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bCs/>
          <w:i/>
        </w:rPr>
      </w:pPr>
      <w:r w:rsidRPr="002341AF">
        <w:rPr>
          <w:rFonts w:ascii="Palatino Linotype" w:hAnsi="Palatino Linotype"/>
          <w:b/>
          <w:i/>
        </w:rPr>
        <w:t>XIII.</w:t>
      </w:r>
      <w:r w:rsidRPr="002341AF">
        <w:rPr>
          <w:rFonts w:ascii="Palatino Linotype" w:hAnsi="Palatino Linotype"/>
          <w:bCs/>
          <w:i/>
        </w:rPr>
        <w:t xml:space="preserve"> Cumplir con la entrega de índole administrativo del despacho y de toda aquella documentación inherente a su cargo, en los términos que establezcan las disposiciones legales o administrativas que al efecto se señalen. </w:t>
      </w:r>
    </w:p>
    <w:p w14:paraId="47788F1A"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bCs/>
          <w:i/>
        </w:rPr>
      </w:pPr>
      <w:r w:rsidRPr="002341AF">
        <w:rPr>
          <w:rFonts w:ascii="Palatino Linotype" w:hAnsi="Palatino Linotype"/>
          <w:b/>
          <w:i/>
        </w:rPr>
        <w:t>XIV.</w:t>
      </w:r>
      <w:r w:rsidRPr="002341AF">
        <w:rPr>
          <w:rFonts w:ascii="Palatino Linotype" w:hAnsi="Palatino Linotype"/>
          <w:bCs/>
          <w:i/>
        </w:rPr>
        <w:t xml:space="preserve"> Proporcionar, en su caso, en tiempo y forma ante las dependencias competentes, la documentación comprobatoria de la aplicación de recursos económicos federales, estatales o municipales, asignados a través de los programas respectivos. </w:t>
      </w:r>
    </w:p>
    <w:p w14:paraId="7716B401"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bCs/>
          <w:i/>
        </w:rPr>
      </w:pPr>
      <w:r w:rsidRPr="002341AF">
        <w:rPr>
          <w:rFonts w:ascii="Palatino Linotype" w:hAnsi="Palatino Linotype"/>
          <w:b/>
          <w:i/>
        </w:rPr>
        <w:t>XV.</w:t>
      </w:r>
      <w:r w:rsidRPr="002341AF">
        <w:rPr>
          <w:rFonts w:ascii="Palatino Linotype" w:hAnsi="Palatino Linotype"/>
          <w:bCs/>
          <w:i/>
        </w:rPr>
        <w:t xml:space="preserve"> Abstenerse de solicitar requisitos, cargas tributarias o cualquier otro concepto adicional no previsto en la legislación aplicable, que tengan por objeto condicionar la expedición de licencias de funcionamiento para unidades económicas o negocios.</w:t>
      </w:r>
    </w:p>
    <w:p w14:paraId="3D048938"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bCs/>
          <w:i/>
        </w:rPr>
      </w:pPr>
      <w:r w:rsidRPr="002341AF">
        <w:rPr>
          <w:rFonts w:ascii="Palatino Linotype" w:hAnsi="Palatino Linotype"/>
          <w:b/>
          <w:i/>
        </w:rPr>
        <w:t>XVI.</w:t>
      </w:r>
      <w:r w:rsidRPr="002341AF">
        <w:rPr>
          <w:rFonts w:ascii="Palatino Linotype" w:hAnsi="Palatino Linotype"/>
          <w:bCs/>
          <w:i/>
        </w:rPr>
        <w:t xml:space="preserve"> Cumplir con las disposiciones en materia de Gobierno Digital que impongan la Ley de la materia, su reglamento y demás disposiciones aplicables. </w:t>
      </w:r>
    </w:p>
    <w:p w14:paraId="7210F0BF"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bCs/>
          <w:i/>
        </w:rPr>
      </w:pPr>
      <w:r w:rsidRPr="002341AF">
        <w:rPr>
          <w:rFonts w:ascii="Palatino Linotype" w:hAnsi="Palatino Linotype"/>
          <w:b/>
          <w:i/>
        </w:rPr>
        <w:t>XVII.</w:t>
      </w:r>
      <w:r w:rsidRPr="002341AF">
        <w:rPr>
          <w:rFonts w:ascii="Palatino Linotype" w:hAnsi="Palatino Linotype"/>
          <w:bCs/>
          <w:i/>
        </w:rPr>
        <w:t xml:space="preserve"> Utilizar las medidas de seguridad informática y protección de datos e información personal recomendada por las instancias competentes. </w:t>
      </w:r>
    </w:p>
    <w:p w14:paraId="0EF0D390"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bCs/>
          <w:i/>
        </w:rPr>
      </w:pPr>
      <w:r w:rsidRPr="002341AF">
        <w:rPr>
          <w:rFonts w:ascii="Palatino Linotype" w:hAnsi="Palatino Linotype"/>
          <w:b/>
          <w:i/>
        </w:rPr>
        <w:t>XVIII.</w:t>
      </w:r>
      <w:r w:rsidRPr="002341AF">
        <w:rPr>
          <w:rFonts w:ascii="Palatino Linotype" w:hAnsi="Palatino Linotype"/>
          <w:bCs/>
          <w:i/>
        </w:rPr>
        <w:t xml:space="preserve"> Cumplir oportunamente con los laudos que dicte el Tribunal Estatal de Conciliación y Arbitraje o cualquier de las Salas Auxiliares del mismo, así como pagar el monto de las indemnizaciones y demás prestaciones a que tenga derecho el servidor público, y </w:t>
      </w:r>
    </w:p>
    <w:p w14:paraId="47F0FEAC"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bCs/>
          <w:i/>
        </w:rPr>
      </w:pPr>
      <w:r w:rsidRPr="002341AF">
        <w:rPr>
          <w:rFonts w:ascii="Palatino Linotype" w:hAnsi="Palatino Linotype"/>
          <w:b/>
          <w:i/>
        </w:rPr>
        <w:t>XIX.</w:t>
      </w:r>
      <w:r w:rsidRPr="002341AF">
        <w:rPr>
          <w:rFonts w:ascii="Palatino Linotype" w:hAnsi="Palatino Linotype"/>
          <w:bCs/>
          <w:i/>
        </w:rPr>
        <w:t xml:space="preserve"> Las demás que le impongan las leyes, reglamentos o disposiciones administrativas aplicables. </w:t>
      </w:r>
    </w:p>
    <w:p w14:paraId="0366F1A4"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bCs/>
          <w:i/>
        </w:rPr>
      </w:pPr>
    </w:p>
    <w:p w14:paraId="1F50DC4C"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bCs/>
          <w:i/>
        </w:rPr>
      </w:pPr>
      <w:r w:rsidRPr="002341AF">
        <w:rPr>
          <w:rFonts w:ascii="Palatino Linotype" w:hAnsi="Palatino Linotype"/>
          <w:b/>
          <w:i/>
        </w:rPr>
        <w:t>Artículo 51.</w:t>
      </w:r>
      <w:r w:rsidRPr="002341AF">
        <w:rPr>
          <w:rFonts w:ascii="Palatino Linotype" w:hAnsi="Palatino Linotype"/>
          <w:bCs/>
          <w:i/>
        </w:rPr>
        <w:t xml:space="preserve"> También se considerará falta administrativa no grave, los daños y perjuicios que, de manera culposa o negligente y sin incurrir en alguna de las faltas administrativas graves señaladas en el Capítulo siguiente, cause un servidor público a la Hacienda Pública o al patrimonio de un ente público. </w:t>
      </w:r>
    </w:p>
    <w:p w14:paraId="7C202087"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bCs/>
          <w:i/>
        </w:rPr>
      </w:pPr>
      <w:r w:rsidRPr="002341AF">
        <w:rPr>
          <w:rFonts w:ascii="Palatino Linotype" w:hAnsi="Palatino Linotype"/>
          <w:bCs/>
          <w:i/>
        </w:rPr>
        <w:t xml:space="preserve">Los entes públicos o los particulares que, en términos de este artículo, hayan recibido recursos públicos sin tener derecho a los mismos, deberán reintegrar los mismos a la Hacienda Pública Estatal o Municipal o al patrimonio del ente público afectado en un plazo </w:t>
      </w:r>
      <w:r w:rsidRPr="002341AF">
        <w:rPr>
          <w:rFonts w:ascii="Palatino Linotype" w:hAnsi="Palatino Linotype"/>
          <w:bCs/>
          <w:i/>
        </w:rPr>
        <w:lastRenderedPageBreak/>
        <w:t xml:space="preserve">no mayor a 90 días, contados a partir de la notificación correspondiente por parte del Órgano Superior de Fiscalización o de la autoridad </w:t>
      </w:r>
      <w:proofErr w:type="spellStart"/>
      <w:r w:rsidRPr="002341AF">
        <w:rPr>
          <w:rFonts w:ascii="Palatino Linotype" w:hAnsi="Palatino Linotype"/>
          <w:bCs/>
          <w:i/>
        </w:rPr>
        <w:t>resolutora</w:t>
      </w:r>
      <w:proofErr w:type="spellEnd"/>
      <w:r w:rsidRPr="002341AF">
        <w:rPr>
          <w:rFonts w:ascii="Palatino Linotype" w:hAnsi="Palatino Linotype"/>
          <w:bCs/>
          <w:i/>
        </w:rPr>
        <w:t xml:space="preserve">. </w:t>
      </w:r>
    </w:p>
    <w:p w14:paraId="778CE1D6"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bCs/>
          <w:i/>
        </w:rPr>
      </w:pPr>
      <w:r w:rsidRPr="002341AF">
        <w:rPr>
          <w:rFonts w:ascii="Palatino Linotype" w:hAnsi="Palatino Linotype"/>
          <w:bCs/>
          <w:i/>
        </w:rPr>
        <w:t xml:space="preserve">En caso de no realizar el reintegro de los recursos señalados en el párrafo anterior, éstos serán considerados créditos fiscales, por lo que la Secretaría de Finanzas del Gobierno del Estado de México deberá ejecutar el cobro de los mismos en términos de las disposiciones jurídicas aplicables. </w:t>
      </w:r>
    </w:p>
    <w:p w14:paraId="72C0C640"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bCs/>
          <w:i/>
        </w:rPr>
      </w:pPr>
      <w:r w:rsidRPr="002341AF">
        <w:rPr>
          <w:rFonts w:ascii="Palatino Linotype" w:hAnsi="Palatino Linotype"/>
          <w:bCs/>
          <w:i/>
        </w:rPr>
        <w:t xml:space="preserve">La autoridad </w:t>
      </w:r>
      <w:proofErr w:type="spellStart"/>
      <w:r w:rsidRPr="002341AF">
        <w:rPr>
          <w:rFonts w:ascii="Palatino Linotype" w:hAnsi="Palatino Linotype"/>
          <w:bCs/>
          <w:i/>
        </w:rPr>
        <w:t>resolutora</w:t>
      </w:r>
      <w:proofErr w:type="spellEnd"/>
      <w:r w:rsidRPr="002341AF">
        <w:rPr>
          <w:rFonts w:ascii="Palatino Linotype" w:hAnsi="Palatino Linotype"/>
          <w:bCs/>
          <w:i/>
        </w:rPr>
        <w:t xml:space="preserve"> podrá abstenerse de imponer la sanción que corresponda conforme al artículo 79 de esta Ley cuando el daño o perjuicio a la Hacienda Pública Estatal o Municipal o al patrimonio de los entes públicos no exceda de dos mil veces el valor diario de la unidad de medida y actualización y el daño haya sido resarcido o recuperado.</w:t>
      </w:r>
    </w:p>
    <w:p w14:paraId="68827AA9"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b/>
          <w:i/>
        </w:rPr>
      </w:pPr>
    </w:p>
    <w:p w14:paraId="70A89782"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b/>
          <w:i/>
        </w:rPr>
        <w:t>Artículo 52.</w:t>
      </w:r>
      <w:r w:rsidRPr="002341AF">
        <w:rPr>
          <w:rFonts w:ascii="Palatino Linotype" w:hAnsi="Palatino Linotype"/>
          <w:i/>
        </w:rPr>
        <w:t xml:space="preserve"> Para efectos de la presente Ley, se consideran faltas administrativas graves de los servidores públicos, mediante cualquier acto u omisión, las siguientes: </w:t>
      </w:r>
    </w:p>
    <w:p w14:paraId="0EC94892"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b/>
          <w:i/>
        </w:rPr>
        <w:t>I.</w:t>
      </w:r>
      <w:r w:rsidRPr="002341AF">
        <w:rPr>
          <w:rFonts w:ascii="Palatino Linotype" w:hAnsi="Palatino Linotype"/>
          <w:i/>
        </w:rPr>
        <w:t xml:space="preserve"> El cohecho. </w:t>
      </w:r>
    </w:p>
    <w:p w14:paraId="5AF1C3B5"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b/>
          <w:i/>
        </w:rPr>
        <w:t>II.</w:t>
      </w:r>
      <w:r w:rsidRPr="002341AF">
        <w:rPr>
          <w:rFonts w:ascii="Palatino Linotype" w:hAnsi="Palatino Linotype"/>
          <w:i/>
        </w:rPr>
        <w:t xml:space="preserve"> El peculado. </w:t>
      </w:r>
    </w:p>
    <w:p w14:paraId="07EDD937"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b/>
          <w:i/>
        </w:rPr>
        <w:t>III.</w:t>
      </w:r>
      <w:r w:rsidRPr="002341AF">
        <w:rPr>
          <w:rFonts w:ascii="Palatino Linotype" w:hAnsi="Palatino Linotype"/>
          <w:i/>
        </w:rPr>
        <w:t xml:space="preserve"> El desvío de recursos públicos. </w:t>
      </w:r>
    </w:p>
    <w:p w14:paraId="4AB2BA05"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b/>
          <w:i/>
        </w:rPr>
        <w:t>IV.</w:t>
      </w:r>
      <w:r w:rsidRPr="002341AF">
        <w:rPr>
          <w:rFonts w:ascii="Palatino Linotype" w:hAnsi="Palatino Linotype"/>
          <w:i/>
        </w:rPr>
        <w:t xml:space="preserve"> La utilización indebida de información. </w:t>
      </w:r>
    </w:p>
    <w:p w14:paraId="45971DA5"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b/>
          <w:i/>
        </w:rPr>
        <w:t>V.</w:t>
      </w:r>
      <w:r w:rsidRPr="002341AF">
        <w:rPr>
          <w:rFonts w:ascii="Palatino Linotype" w:hAnsi="Palatino Linotype"/>
          <w:i/>
        </w:rPr>
        <w:t xml:space="preserve"> El abuso de funciones. </w:t>
      </w:r>
    </w:p>
    <w:p w14:paraId="515915E3"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b/>
          <w:i/>
        </w:rPr>
        <w:t>VI.</w:t>
      </w:r>
      <w:r w:rsidRPr="002341AF">
        <w:rPr>
          <w:rFonts w:ascii="Palatino Linotype" w:hAnsi="Palatino Linotype"/>
          <w:i/>
        </w:rPr>
        <w:t xml:space="preserve"> Cometer o tolerar conductas de hostigamiento y acoso sexual. </w:t>
      </w:r>
    </w:p>
    <w:p w14:paraId="61A98239"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b/>
          <w:i/>
        </w:rPr>
        <w:t>VII.</w:t>
      </w:r>
      <w:r w:rsidRPr="002341AF">
        <w:rPr>
          <w:rFonts w:ascii="Palatino Linotype" w:hAnsi="Palatino Linotype"/>
          <w:i/>
        </w:rPr>
        <w:t xml:space="preserve"> El actuar bajo conflicto de interés. </w:t>
      </w:r>
    </w:p>
    <w:p w14:paraId="3EF5BFF7"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b/>
          <w:i/>
        </w:rPr>
        <w:t>VIII.</w:t>
      </w:r>
      <w:r w:rsidRPr="002341AF">
        <w:rPr>
          <w:rFonts w:ascii="Palatino Linotype" w:hAnsi="Palatino Linotype"/>
          <w:i/>
        </w:rPr>
        <w:t xml:space="preserve"> La contratación indebida. </w:t>
      </w:r>
    </w:p>
    <w:p w14:paraId="74D238D9"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b/>
          <w:i/>
        </w:rPr>
        <w:t>IX.</w:t>
      </w:r>
      <w:r w:rsidRPr="002341AF">
        <w:rPr>
          <w:rFonts w:ascii="Palatino Linotype" w:hAnsi="Palatino Linotype"/>
          <w:i/>
        </w:rPr>
        <w:t xml:space="preserve"> El enriquecimiento oculto u ocultamiento de conflicto de interés. </w:t>
      </w:r>
    </w:p>
    <w:p w14:paraId="3FDBE008"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b/>
          <w:i/>
        </w:rPr>
        <w:t>X.</w:t>
      </w:r>
      <w:r w:rsidRPr="002341AF">
        <w:rPr>
          <w:rFonts w:ascii="Palatino Linotype" w:hAnsi="Palatino Linotype"/>
          <w:i/>
        </w:rPr>
        <w:t xml:space="preserve"> El tráfico de influencias. </w:t>
      </w:r>
    </w:p>
    <w:p w14:paraId="712E6ED7"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b/>
          <w:i/>
        </w:rPr>
        <w:t>XI.</w:t>
      </w:r>
      <w:r w:rsidRPr="002341AF">
        <w:rPr>
          <w:rFonts w:ascii="Palatino Linotype" w:hAnsi="Palatino Linotype"/>
          <w:i/>
        </w:rPr>
        <w:t xml:space="preserve"> El encubrimiento. </w:t>
      </w:r>
    </w:p>
    <w:p w14:paraId="1D5F2971"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b/>
          <w:i/>
        </w:rPr>
        <w:t>XII.</w:t>
      </w:r>
      <w:r w:rsidRPr="002341AF">
        <w:rPr>
          <w:rFonts w:ascii="Palatino Linotype" w:hAnsi="Palatino Linotype"/>
          <w:i/>
        </w:rPr>
        <w:t xml:space="preserve"> El desacato. </w:t>
      </w:r>
    </w:p>
    <w:p w14:paraId="66C586ED"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eastAsia="Calibri" w:hAnsi="Palatino Linotype" w:cs="Arial"/>
          <w:i/>
        </w:rPr>
      </w:pPr>
      <w:r w:rsidRPr="002341AF">
        <w:rPr>
          <w:rFonts w:ascii="Palatino Linotype" w:hAnsi="Palatino Linotype"/>
          <w:b/>
          <w:i/>
        </w:rPr>
        <w:t>XIII.</w:t>
      </w:r>
      <w:r w:rsidRPr="002341AF">
        <w:rPr>
          <w:rFonts w:ascii="Palatino Linotype" w:hAnsi="Palatino Linotype"/>
          <w:i/>
        </w:rPr>
        <w:t xml:space="preserve"> La obstrucción de la Justicia.”</w:t>
      </w:r>
    </w:p>
    <w:p w14:paraId="42D618C0" w14:textId="77777777" w:rsidR="00D41818" w:rsidRPr="002341AF" w:rsidRDefault="00D41818" w:rsidP="00D41818">
      <w:pPr>
        <w:pStyle w:val="Prrafodelista"/>
        <w:tabs>
          <w:tab w:val="left" w:pos="426"/>
        </w:tabs>
        <w:spacing w:line="360" w:lineRule="auto"/>
        <w:ind w:left="0"/>
        <w:jc w:val="both"/>
        <w:rPr>
          <w:rFonts w:ascii="Palatino Linotype" w:hAnsi="Palatino Linotype"/>
        </w:rPr>
      </w:pPr>
    </w:p>
    <w:p w14:paraId="2A8051BF" w14:textId="05086873"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szCs w:val="28"/>
        </w:rPr>
      </w:pPr>
      <w:r w:rsidRPr="002341AF">
        <w:rPr>
          <w:rFonts w:ascii="Palatino Linotype" w:hAnsi="Palatino Linotype"/>
          <w:sz w:val="24"/>
          <w:szCs w:val="28"/>
        </w:rPr>
        <w:t xml:space="preserve">Dentro </w:t>
      </w:r>
      <w:r w:rsidRPr="002341AF">
        <w:rPr>
          <w:rFonts w:ascii="Palatino Linotype" w:hAnsi="Palatino Linotype"/>
          <w:sz w:val="24"/>
          <w:szCs w:val="28"/>
          <w:lang w:val="es-ES_tradnl"/>
        </w:rPr>
        <w:t xml:space="preserve">de la etapa de investigación, las autoridades investigadoras deberán observar los principios de legalidad, imparcialidad, objetividad, congruencia, verdad </w:t>
      </w:r>
      <w:r w:rsidRPr="002341AF">
        <w:rPr>
          <w:rFonts w:ascii="Palatino Linotype" w:hAnsi="Palatino Linotype"/>
          <w:sz w:val="24"/>
          <w:szCs w:val="28"/>
          <w:lang w:val="es-ES_tradnl"/>
        </w:rPr>
        <w:lastRenderedPageBreak/>
        <w:t>material y respeto a los derechos humanos. Serán responsables de realizar con oportunidad, exhaustividad y eficiencia la investigación, la integralidad de los datos y documentos, así como el resguardo del expediente en su conjunto</w:t>
      </w:r>
      <w:r w:rsidRPr="002341AF">
        <w:rPr>
          <w:rFonts w:ascii="Palatino Linotype" w:hAnsi="Palatino Linotype"/>
          <w:sz w:val="24"/>
          <w:szCs w:val="28"/>
          <w:vertAlign w:val="superscript"/>
          <w:lang w:val="es-ES_tradnl"/>
        </w:rPr>
        <w:footnoteReference w:id="8"/>
      </w:r>
      <w:r w:rsidRPr="002341AF">
        <w:rPr>
          <w:rFonts w:ascii="Palatino Linotype" w:hAnsi="Palatino Linotype"/>
          <w:sz w:val="24"/>
          <w:szCs w:val="28"/>
          <w:lang w:val="es-ES_tradnl"/>
        </w:rPr>
        <w:t>.  En concordancia con lo anterior, llevarán de oficio las auditorías o investigaciones debidamente fundadas y motivadas respecto de las conductas de los servidores públicos y particulares que puedan constituir responsabilidades administrativas en el ámbito de su competencia</w:t>
      </w:r>
      <w:r w:rsidRPr="002341AF">
        <w:rPr>
          <w:rFonts w:ascii="Palatino Linotype" w:hAnsi="Palatino Linotype"/>
          <w:sz w:val="24"/>
          <w:szCs w:val="28"/>
          <w:vertAlign w:val="superscript"/>
          <w:lang w:val="es-ES_tradnl"/>
        </w:rPr>
        <w:footnoteReference w:id="9"/>
      </w:r>
      <w:r w:rsidRPr="002341AF">
        <w:rPr>
          <w:rFonts w:ascii="Palatino Linotype" w:hAnsi="Palatino Linotype"/>
          <w:sz w:val="24"/>
          <w:szCs w:val="28"/>
          <w:lang w:val="es-ES_tradnl"/>
        </w:rPr>
        <w:t>. Para ello, tendrán acceso a toda la información necesaria para el esclarecimiento de los hechos, incluyendo aquélla que las disposiciones legales en la materia consideren con carácter de reservada o confidencial, siempre que esté relacionada con la comisión de infracciones a que se refiere la Ley de Responsabilidades Administrativas del Estado de México y Municipios, con la obligación de mantener la misma reserva o secrecía, conforme a lo que determinen las leyes; inclusive, podrán ordenar la práctica de visitas de verificación.</w:t>
      </w:r>
      <w:r w:rsidRPr="002341AF">
        <w:rPr>
          <w:rFonts w:ascii="Palatino Linotype" w:hAnsi="Palatino Linotype"/>
          <w:sz w:val="24"/>
          <w:szCs w:val="28"/>
          <w:vertAlign w:val="superscript"/>
          <w:lang w:val="es-ES_tradnl"/>
        </w:rPr>
        <w:footnoteReference w:id="10"/>
      </w:r>
      <w:r w:rsidRPr="002341AF">
        <w:rPr>
          <w:rFonts w:ascii="Palatino Linotype" w:hAnsi="Palatino Linotype"/>
          <w:sz w:val="24"/>
          <w:szCs w:val="28"/>
          <w:lang w:val="es-ES_tradnl"/>
        </w:rPr>
        <w:t xml:space="preserve"> La autoridad investigadora podrá hacer uso de las siguientes medidas para hacer cumplir sus determinaciones</w:t>
      </w:r>
      <w:r w:rsidRPr="002341AF">
        <w:rPr>
          <w:rFonts w:ascii="Palatino Linotype" w:hAnsi="Palatino Linotype"/>
          <w:sz w:val="24"/>
          <w:szCs w:val="28"/>
          <w:vertAlign w:val="superscript"/>
          <w:lang w:val="es-ES_tradnl"/>
        </w:rPr>
        <w:footnoteReference w:id="11"/>
      </w:r>
      <w:r w:rsidRPr="002341AF">
        <w:rPr>
          <w:rFonts w:ascii="Palatino Linotype" w:hAnsi="Palatino Linotype"/>
          <w:sz w:val="24"/>
          <w:szCs w:val="28"/>
          <w:lang w:val="es-ES_tradnl"/>
        </w:rPr>
        <w:t>:</w:t>
      </w:r>
    </w:p>
    <w:p w14:paraId="2E9BB6F4" w14:textId="77777777" w:rsidR="00D954CD" w:rsidRPr="002341AF" w:rsidRDefault="00D954CD" w:rsidP="00D954CD">
      <w:pPr>
        <w:pStyle w:val="Prrafodelista"/>
        <w:tabs>
          <w:tab w:val="left" w:pos="426"/>
        </w:tabs>
        <w:spacing w:line="360" w:lineRule="auto"/>
        <w:ind w:left="0"/>
        <w:jc w:val="both"/>
        <w:rPr>
          <w:rFonts w:ascii="Palatino Linotype" w:hAnsi="Palatino Linotype"/>
          <w:sz w:val="24"/>
          <w:szCs w:val="28"/>
        </w:rPr>
      </w:pPr>
    </w:p>
    <w:p w14:paraId="17CCD79E" w14:textId="77777777" w:rsidR="00D41818" w:rsidRPr="002341AF" w:rsidRDefault="00D41818" w:rsidP="00D954CD">
      <w:pPr>
        <w:pStyle w:val="Prrafodelista"/>
        <w:numPr>
          <w:ilvl w:val="1"/>
          <w:numId w:val="2"/>
        </w:numPr>
        <w:tabs>
          <w:tab w:val="left" w:pos="426"/>
          <w:tab w:val="left" w:pos="567"/>
        </w:tabs>
        <w:ind w:left="567" w:right="539" w:firstLine="0"/>
        <w:jc w:val="both"/>
        <w:rPr>
          <w:rFonts w:ascii="Palatino Linotype" w:hAnsi="Palatino Linotype"/>
          <w:lang w:val="es-ES_tradnl"/>
        </w:rPr>
      </w:pPr>
      <w:r w:rsidRPr="002341AF">
        <w:rPr>
          <w:rFonts w:ascii="Palatino Linotype" w:hAnsi="Palatino Linotype"/>
          <w:lang w:val="es-ES_tradnl"/>
        </w:rPr>
        <w:t xml:space="preserve">Multa hasta por la cantidad equivalente de cien a ciento cincuenta veces el valor diario de la Unidad de Medida y Actualización, la cual podrá duplicarse o triplicarse en cada ocasión, hasta alcanzar dos mil veces el valor diario de la </w:t>
      </w:r>
      <w:r w:rsidRPr="002341AF">
        <w:rPr>
          <w:rFonts w:ascii="Palatino Linotype" w:hAnsi="Palatino Linotype"/>
          <w:lang w:val="es-ES_tradnl"/>
        </w:rPr>
        <w:lastRenderedPageBreak/>
        <w:t xml:space="preserve">Unidad de Medida y Actualización, en caso de renuencia al cumplimiento del mandato respectivo; </w:t>
      </w:r>
    </w:p>
    <w:p w14:paraId="287889F6" w14:textId="77777777" w:rsidR="00D41818" w:rsidRPr="002341AF" w:rsidRDefault="00D41818" w:rsidP="00D954CD">
      <w:pPr>
        <w:pStyle w:val="Prrafodelista"/>
        <w:numPr>
          <w:ilvl w:val="1"/>
          <w:numId w:val="2"/>
        </w:numPr>
        <w:tabs>
          <w:tab w:val="left" w:pos="426"/>
          <w:tab w:val="left" w:pos="567"/>
        </w:tabs>
        <w:ind w:left="567" w:right="539" w:firstLine="0"/>
        <w:jc w:val="both"/>
        <w:rPr>
          <w:rFonts w:ascii="Palatino Linotype" w:hAnsi="Palatino Linotype"/>
          <w:lang w:val="es-ES_tradnl"/>
        </w:rPr>
      </w:pPr>
      <w:r w:rsidRPr="002341AF">
        <w:rPr>
          <w:rFonts w:ascii="Palatino Linotype" w:hAnsi="Palatino Linotype"/>
          <w:lang w:val="es-ES_tradnl"/>
        </w:rPr>
        <w:t xml:space="preserve">Solicitar el auxilio de la fuerza pública de cualquier orden de gobierno estatal o municipal, los que deberán de atender de inmediato el requerimiento de la autoridad, o </w:t>
      </w:r>
    </w:p>
    <w:p w14:paraId="335179BC" w14:textId="77777777" w:rsidR="00D41818" w:rsidRPr="002341AF" w:rsidRDefault="00D41818" w:rsidP="00D954CD">
      <w:pPr>
        <w:pStyle w:val="Prrafodelista"/>
        <w:numPr>
          <w:ilvl w:val="1"/>
          <w:numId w:val="2"/>
        </w:numPr>
        <w:tabs>
          <w:tab w:val="left" w:pos="426"/>
          <w:tab w:val="left" w:pos="567"/>
        </w:tabs>
        <w:ind w:left="567" w:right="539" w:firstLine="0"/>
        <w:jc w:val="both"/>
        <w:rPr>
          <w:rFonts w:ascii="Palatino Linotype" w:hAnsi="Palatino Linotype"/>
          <w:lang w:val="es-ES_tradnl"/>
        </w:rPr>
      </w:pPr>
      <w:r w:rsidRPr="002341AF">
        <w:rPr>
          <w:rFonts w:ascii="Palatino Linotype" w:hAnsi="Palatino Linotype"/>
          <w:lang w:val="es-ES_tradnl"/>
        </w:rPr>
        <w:t>Arresto hasta por treinta y seis horas.</w:t>
      </w:r>
    </w:p>
    <w:p w14:paraId="57B7F331"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szCs w:val="28"/>
        </w:rPr>
      </w:pPr>
    </w:p>
    <w:p w14:paraId="46F98D18"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szCs w:val="28"/>
        </w:rPr>
      </w:pPr>
      <w:r w:rsidRPr="002341AF">
        <w:rPr>
          <w:rFonts w:ascii="Palatino Linotype" w:hAnsi="Palatino Linotype"/>
          <w:sz w:val="24"/>
          <w:szCs w:val="28"/>
        </w:rPr>
        <w:t xml:space="preserve">Una </w:t>
      </w:r>
      <w:r w:rsidRPr="002341AF">
        <w:rPr>
          <w:rFonts w:ascii="Palatino Linotype" w:hAnsi="Palatino Linotype"/>
          <w:sz w:val="24"/>
          <w:szCs w:val="28"/>
          <w:lang w:val="es-ES_tradnl"/>
        </w:rPr>
        <w:t>vez concluidas las diligencias de investigación, las autoridades investigadoras procederán al análisis de los hechos, así como de la información recabada, a efecto de determinar la existencia o inexistencia de actos u omisiones que la Ley señale como falta administrativa</w:t>
      </w:r>
      <w:r w:rsidRPr="002341AF">
        <w:rPr>
          <w:rFonts w:ascii="Palatino Linotype" w:hAnsi="Palatino Linotype"/>
          <w:sz w:val="24"/>
          <w:szCs w:val="28"/>
          <w:vertAlign w:val="superscript"/>
          <w:lang w:val="es-ES_tradnl"/>
        </w:rPr>
        <w:footnoteReference w:id="12"/>
      </w:r>
      <w:r w:rsidRPr="002341AF">
        <w:rPr>
          <w:rFonts w:ascii="Palatino Linotype" w:hAnsi="Palatino Linotype"/>
          <w:sz w:val="24"/>
          <w:szCs w:val="28"/>
          <w:lang w:val="es-ES_tradnl"/>
        </w:rPr>
        <w:t>. De no encontrarse elementos suficientes para demostrar la existencia de la infracción y acreditar la presunta responsabilidad del infractor, se emitirá un acuerdo de conclusión y archivo del expediente debidamente fundado y motivado, ello sin perjuicio de poder reabrir la investigación en el supuesto de presentarse nuevos indicios o pruebas y no hubiere prescrito la facultad para sancionar</w:t>
      </w:r>
      <w:r w:rsidRPr="002341AF">
        <w:rPr>
          <w:rFonts w:ascii="Palatino Linotype" w:hAnsi="Palatino Linotype"/>
          <w:sz w:val="24"/>
          <w:szCs w:val="28"/>
          <w:vertAlign w:val="superscript"/>
          <w:lang w:val="es-ES_tradnl"/>
        </w:rPr>
        <w:footnoteReference w:id="13"/>
      </w:r>
      <w:r w:rsidRPr="002341AF">
        <w:rPr>
          <w:rFonts w:ascii="Palatino Linotype" w:hAnsi="Palatino Linotype"/>
          <w:sz w:val="24"/>
          <w:szCs w:val="28"/>
          <w:lang w:val="es-ES_tradnl"/>
        </w:rPr>
        <w:t>.</w:t>
      </w:r>
    </w:p>
    <w:p w14:paraId="6EA6B9F1"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szCs w:val="28"/>
        </w:rPr>
      </w:pPr>
    </w:p>
    <w:p w14:paraId="0D3845CB"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szCs w:val="28"/>
        </w:rPr>
      </w:pPr>
      <w:r w:rsidRPr="002341AF">
        <w:rPr>
          <w:rFonts w:ascii="Palatino Linotype" w:hAnsi="Palatino Linotype"/>
          <w:sz w:val="24"/>
          <w:szCs w:val="28"/>
        </w:rPr>
        <w:t>Empero</w:t>
      </w:r>
      <w:r w:rsidRPr="002341AF">
        <w:rPr>
          <w:rFonts w:ascii="Palatino Linotype" w:hAnsi="Palatino Linotype"/>
          <w:sz w:val="24"/>
          <w:szCs w:val="28"/>
          <w:lang w:val="es-ES_tradnl"/>
        </w:rPr>
        <w:t xml:space="preserve">, si como resultado de la investigación y el análisis de los hechos y la información recabada, las autoridades investigadoras determinen calificar la conducta como una falta grave o no grave, ésta se incluirá en un documento denominado </w:t>
      </w:r>
      <w:r w:rsidRPr="002341AF">
        <w:rPr>
          <w:rFonts w:ascii="Palatino Linotype" w:hAnsi="Palatino Linotype"/>
          <w:b/>
          <w:sz w:val="24"/>
          <w:szCs w:val="28"/>
          <w:lang w:val="es-ES_tradnl"/>
        </w:rPr>
        <w:t>Informe de Presunta Responsabilidad Administrativa</w:t>
      </w:r>
      <w:r w:rsidRPr="002341AF">
        <w:rPr>
          <w:rFonts w:ascii="Palatino Linotype" w:hAnsi="Palatino Linotype"/>
          <w:sz w:val="24"/>
          <w:szCs w:val="28"/>
          <w:lang w:val="es-ES_tradnl"/>
        </w:rPr>
        <w:t xml:space="preserve">, que se presentará ante la </w:t>
      </w:r>
      <w:r w:rsidRPr="002341AF">
        <w:rPr>
          <w:rFonts w:ascii="Palatino Linotype" w:hAnsi="Palatino Linotype"/>
          <w:sz w:val="24"/>
          <w:szCs w:val="28"/>
          <w:lang w:val="es-ES_tradnl"/>
        </w:rPr>
        <w:lastRenderedPageBreak/>
        <w:t>autoridad sustanciadora a efecto de iniciar el procedimiento de responsabilidad administrativa correspondiente</w:t>
      </w:r>
      <w:r w:rsidRPr="002341AF">
        <w:rPr>
          <w:rFonts w:ascii="Palatino Linotype" w:hAnsi="Palatino Linotype"/>
          <w:sz w:val="24"/>
          <w:szCs w:val="28"/>
          <w:vertAlign w:val="superscript"/>
          <w:lang w:val="es-ES_tradnl"/>
        </w:rPr>
        <w:footnoteReference w:id="14"/>
      </w:r>
      <w:r w:rsidRPr="002341AF">
        <w:rPr>
          <w:rFonts w:ascii="Palatino Linotype" w:hAnsi="Palatino Linotype"/>
          <w:sz w:val="24"/>
          <w:szCs w:val="28"/>
          <w:lang w:val="es-ES_tradnl"/>
        </w:rPr>
        <w:t>.</w:t>
      </w:r>
    </w:p>
    <w:p w14:paraId="42DA3E4F"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szCs w:val="28"/>
        </w:rPr>
      </w:pPr>
    </w:p>
    <w:p w14:paraId="49953411"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szCs w:val="28"/>
        </w:rPr>
      </w:pPr>
      <w:r w:rsidRPr="002341AF">
        <w:rPr>
          <w:rFonts w:ascii="Palatino Linotype" w:hAnsi="Palatino Linotype"/>
          <w:b/>
          <w:bCs/>
          <w:sz w:val="24"/>
          <w:szCs w:val="28"/>
        </w:rPr>
        <w:t xml:space="preserve">El </w:t>
      </w:r>
      <w:r w:rsidRPr="002341AF">
        <w:rPr>
          <w:rFonts w:ascii="Palatino Linotype" w:hAnsi="Palatino Linotype"/>
          <w:b/>
          <w:bCs/>
          <w:sz w:val="24"/>
          <w:szCs w:val="28"/>
          <w:lang w:val="es-ES_tradnl"/>
        </w:rPr>
        <w:t>procedimiento de responsabilidad administrativa dará inicio cuando las autoridades substanciadoras</w:t>
      </w:r>
      <w:r w:rsidRPr="002341AF">
        <w:rPr>
          <w:rFonts w:ascii="Palatino Linotype" w:hAnsi="Palatino Linotype"/>
          <w:sz w:val="24"/>
          <w:szCs w:val="28"/>
          <w:lang w:val="es-ES_tradnl"/>
        </w:rPr>
        <w:t xml:space="preserve">, en el ámbito de su competencia, </w:t>
      </w:r>
      <w:r w:rsidRPr="002341AF">
        <w:rPr>
          <w:rFonts w:ascii="Palatino Linotype" w:hAnsi="Palatino Linotype"/>
          <w:b/>
          <w:bCs/>
          <w:sz w:val="24"/>
          <w:szCs w:val="28"/>
          <w:lang w:val="es-ES_tradnl"/>
        </w:rPr>
        <w:t>admitan el Informe de Presunta Responsabilidad Administrativa</w:t>
      </w:r>
      <w:r w:rsidRPr="002341AF">
        <w:rPr>
          <w:rFonts w:ascii="Palatino Linotype" w:hAnsi="Palatino Linotype"/>
          <w:sz w:val="24"/>
          <w:szCs w:val="28"/>
          <w:vertAlign w:val="superscript"/>
          <w:lang w:val="es-ES_tradnl"/>
        </w:rPr>
        <w:footnoteReference w:id="15"/>
      </w:r>
      <w:r w:rsidRPr="002341AF">
        <w:rPr>
          <w:rFonts w:ascii="Palatino Linotype" w:hAnsi="Palatino Linotype"/>
          <w:sz w:val="24"/>
          <w:szCs w:val="28"/>
          <w:lang w:val="es-ES_tradnl"/>
        </w:rPr>
        <w:t xml:space="preserve">, el cual, implica que la autoridad investigadora concluyó la existencia de elementos de prueba consolidados y suficientes para determinar la existencia de una conducta orientada en contra del buen gobierno, misma que ha sido calificada como grave o no grave de acuerdo con los elementos y naturaleza de la conducta. Se insiste, la autoridad a quien se encomiende la sustanciación y, en su caso, la resolución del procedimiento de responsabilidad administrativa, deberá ser distinto de aquél o aquellos encargados de la investigación. Para tal efecto, </w:t>
      </w:r>
      <w:r w:rsidRPr="002341AF">
        <w:rPr>
          <w:rFonts w:ascii="Palatino Linotype" w:hAnsi="Palatino Linotype"/>
          <w:b/>
          <w:sz w:val="24"/>
          <w:szCs w:val="28"/>
          <w:lang w:val="es-ES_tradnl"/>
        </w:rPr>
        <w:t>el Órgano Interno de Control contará con la estructura orgánica necesaria para realizar las funciones correspondientes a las autoridades investigadoras y substanciadoras y garantizará la independencia entre ambas en el ejercicio de sus funciones</w:t>
      </w:r>
      <w:r w:rsidRPr="002341AF">
        <w:rPr>
          <w:rFonts w:ascii="Palatino Linotype" w:hAnsi="Palatino Linotype"/>
          <w:sz w:val="24"/>
          <w:szCs w:val="28"/>
          <w:vertAlign w:val="superscript"/>
          <w:lang w:val="es-ES_tradnl"/>
        </w:rPr>
        <w:footnoteReference w:id="16"/>
      </w:r>
      <w:r w:rsidRPr="002341AF">
        <w:rPr>
          <w:rFonts w:ascii="Palatino Linotype" w:hAnsi="Palatino Linotype"/>
          <w:sz w:val="24"/>
          <w:szCs w:val="28"/>
          <w:lang w:val="es-ES_tradnl"/>
        </w:rPr>
        <w:t>.</w:t>
      </w:r>
    </w:p>
    <w:p w14:paraId="7BFB4212"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szCs w:val="28"/>
        </w:rPr>
      </w:pPr>
    </w:p>
    <w:p w14:paraId="71229AD5"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szCs w:val="28"/>
        </w:rPr>
      </w:pPr>
      <w:r w:rsidRPr="002341AF">
        <w:rPr>
          <w:rFonts w:ascii="Palatino Linotype" w:hAnsi="Palatino Linotype"/>
          <w:sz w:val="24"/>
          <w:szCs w:val="28"/>
        </w:rPr>
        <w:lastRenderedPageBreak/>
        <w:t xml:space="preserve">Ahora </w:t>
      </w:r>
      <w:r w:rsidRPr="002341AF">
        <w:rPr>
          <w:rFonts w:ascii="Palatino Linotype" w:hAnsi="Palatino Linotype"/>
          <w:sz w:val="24"/>
          <w:szCs w:val="28"/>
          <w:lang w:val="es-ES_tradnl"/>
        </w:rPr>
        <w:t xml:space="preserve">bien, por cuanto hace al procedimiento administrativo relacionado con las </w:t>
      </w:r>
      <w:r w:rsidRPr="002341AF">
        <w:rPr>
          <w:rFonts w:ascii="Palatino Linotype" w:hAnsi="Palatino Linotype"/>
          <w:b/>
          <w:bCs/>
          <w:sz w:val="24"/>
          <w:szCs w:val="28"/>
          <w:lang w:val="es-ES_tradnl"/>
        </w:rPr>
        <w:t>faltas administrativas no graves</w:t>
      </w:r>
      <w:r w:rsidRPr="002341AF">
        <w:rPr>
          <w:rFonts w:ascii="Palatino Linotype" w:hAnsi="Palatino Linotype"/>
          <w:sz w:val="24"/>
          <w:szCs w:val="28"/>
          <w:lang w:val="es-ES_tradnl"/>
        </w:rPr>
        <w:t>, el artículo 194 de la Ley de Responsabilidades Administrativas del Estado de México y Municipios expone que se desarrollará de la siguiente manera:</w:t>
      </w:r>
    </w:p>
    <w:p w14:paraId="579AC59A" w14:textId="77777777" w:rsidR="00D41818" w:rsidRPr="002341AF" w:rsidRDefault="00D41818" w:rsidP="00D41818">
      <w:pPr>
        <w:pStyle w:val="Prrafodelista"/>
        <w:tabs>
          <w:tab w:val="left" w:pos="426"/>
        </w:tabs>
        <w:spacing w:line="360" w:lineRule="auto"/>
        <w:ind w:left="0"/>
        <w:jc w:val="both"/>
        <w:rPr>
          <w:rFonts w:ascii="Palatino Linotype" w:hAnsi="Palatino Linotype"/>
        </w:rPr>
      </w:pPr>
    </w:p>
    <w:p w14:paraId="679B9842"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b/>
          <w:i/>
        </w:rPr>
        <w:t>“I</w:t>
      </w:r>
      <w:r w:rsidRPr="002341AF">
        <w:rPr>
          <w:rFonts w:ascii="Palatino Linotype" w:hAnsi="Palatino Linotype"/>
          <w:i/>
        </w:rPr>
        <w:t xml:space="preserve">. La autoridad investigadora deberá presentar ante la autoridad substanciadora el informe de presunta responsabilidad administrativa, la cual, dentro de los tres días hábiles siguientes, se pronunciará sobre su admisión, pudiendo prevenir a la autoridad investigadora para que subsane las omisiones que advierta, o que aclare los hechos narrados en dicho informe. </w:t>
      </w:r>
    </w:p>
    <w:p w14:paraId="572D0AB8"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b/>
          <w:i/>
        </w:rPr>
        <w:t>II.</w:t>
      </w:r>
      <w:r w:rsidRPr="002341AF">
        <w:rPr>
          <w:rFonts w:ascii="Palatino Linotype" w:hAnsi="Palatino Linotype"/>
          <w:i/>
        </w:rPr>
        <w:t xml:space="preserve"> En el caso de que la autoridad substanciadora admita el Informe de Presunta Responsabilidad Administrativa, ordenará el emplazamiento del presunto responsable, debiendo citarlo para que comparezca personalmente a la celebración de la audiencia inicial, señalando con precisión el día, lugar y hora en que tendrá verificativo, así como la autoridad ante la que deberá comparecer. </w:t>
      </w:r>
    </w:p>
    <w:p w14:paraId="76012083"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i/>
        </w:rPr>
        <w:t>Del mismo modo, le hará saber el derecho que tiene de no declarar en contra de sí mismo, ni a declararse culpable, de defenderse personalmente o ser asistido por un defensor perito en la materia y de no contar con uno, le será designado un defensor de oficio.</w:t>
      </w:r>
    </w:p>
    <w:p w14:paraId="24494278"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b/>
          <w:i/>
        </w:rPr>
        <w:t>III.</w:t>
      </w:r>
      <w:r w:rsidRPr="002341AF">
        <w:rPr>
          <w:rFonts w:ascii="Palatino Linotype" w:hAnsi="Palatino Linotype"/>
          <w:i/>
        </w:rPr>
        <w:t xml:space="preserve"> Entre la fecha del emplazamiento y la del desahogo de la audiencia inicial, deberá mediar un plazo no menor de diez ni mayor de quince días hábiles. </w:t>
      </w:r>
    </w:p>
    <w:p w14:paraId="2987B941"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i/>
        </w:rPr>
        <w:t xml:space="preserve">El diferimiento de la audiencia sólo podrá otorgarse por causas de caso fortuito o de fuerza mayor debidamente justificadas o en aquellos casos en que se señale. </w:t>
      </w:r>
    </w:p>
    <w:p w14:paraId="56DACD47"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b/>
          <w:i/>
        </w:rPr>
        <w:t>IV.</w:t>
      </w:r>
      <w:r w:rsidRPr="002341AF">
        <w:rPr>
          <w:rFonts w:ascii="Palatino Linotype" w:hAnsi="Palatino Linotype"/>
          <w:i/>
        </w:rPr>
        <w:t xml:space="preserve"> Previo a la celebración de la audiencia inicial, la autoridad substanciadora deberá citar a las demás partes que deban concurrir al procedimiento, cuando menos con setenta y dos horas de anticipación. </w:t>
      </w:r>
    </w:p>
    <w:p w14:paraId="2301EE64"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b/>
          <w:i/>
        </w:rPr>
        <w:lastRenderedPageBreak/>
        <w:t>V.</w:t>
      </w:r>
      <w:r w:rsidRPr="002341AF">
        <w:rPr>
          <w:rFonts w:ascii="Palatino Linotype" w:hAnsi="Palatino Linotype"/>
          <w:i/>
        </w:rPr>
        <w:t xml:space="preserve"> El día y hora señalado para la audiencia inicial el presunto responsable rendirá su declaración por escrito o verbalmente y deberá ofrecer las pruebas que considere pertinentes. </w:t>
      </w:r>
    </w:p>
    <w:p w14:paraId="1C2344C0"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i/>
        </w:rPr>
        <w:t>En caso de tratarse de pruebas documentales, deberá exhibir todas las que tenga en su poder, o las que no estándolo, conste que las solicitó a través del acuse de recibo correspondiente debidamente sellado por la autoridad competente.</w:t>
      </w:r>
    </w:p>
    <w:p w14:paraId="10114C19"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i/>
        </w:rPr>
        <w:t xml:space="preserve">Tratándose de documentos que obren en poder de terceros y que no pudo conseguirlos por obrar en archivos privados, deberá señalar el archivo donde se encuentren o la persona que los tenga a su cuidado para que, en su caso, le sean requeridos en los términos previstos en la presente Ley. </w:t>
      </w:r>
    </w:p>
    <w:p w14:paraId="02A12677"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b/>
          <w:i/>
        </w:rPr>
        <w:t>VI.</w:t>
      </w:r>
      <w:r w:rsidRPr="002341AF">
        <w:rPr>
          <w:rFonts w:ascii="Palatino Linotype" w:hAnsi="Palatino Linotype"/>
          <w:i/>
        </w:rPr>
        <w:t xml:space="preserve"> Los terceros llamados al procedimiento de responsabilidad administrativa, a más tardar durante la audiencia inicial, podrán manifestar por escrito o verbalmente lo que a su derecho convenga y ofrecer las pruebas que estimen conducentes, debiendo exhibir las documentales que obren en su poder, o las que no estándolo, conste que las solicitaron por el acuse de recibo correspondiente.</w:t>
      </w:r>
    </w:p>
    <w:p w14:paraId="7B4D4C5D"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i/>
        </w:rPr>
        <w:t xml:space="preserve">Tratándose de documentos que obren en poder de terceros y que no pudieron conseguirlos por obrar en archivos privados, deberán señalar el archivo donde se encuentren o la persona que los tenga a su cuidado para que, en su caso, le sean requeridos. </w:t>
      </w:r>
    </w:p>
    <w:p w14:paraId="5F778146"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b/>
          <w:i/>
        </w:rPr>
        <w:t>VII.</w:t>
      </w:r>
      <w:r w:rsidRPr="002341AF">
        <w:rPr>
          <w:rFonts w:ascii="Palatino Linotype" w:hAnsi="Palatino Linotype"/>
          <w:i/>
        </w:rPr>
        <w:t xml:space="preserve"> Una vez que las partes hayan manifestado durante la audiencia inicial lo que a su derecho convenga y ofrecido sus respectivas pruebas, la autoridad substanciadora declarará cerrada dicha audiencia inicial, posteriormente las partes no podrán ofrecer más pruebas, salvo las que sean supervenientes. </w:t>
      </w:r>
    </w:p>
    <w:p w14:paraId="06A74428"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b/>
          <w:i/>
        </w:rPr>
        <w:t>VIII.</w:t>
      </w:r>
      <w:r w:rsidRPr="002341AF">
        <w:rPr>
          <w:rFonts w:ascii="Palatino Linotype" w:hAnsi="Palatino Linotype"/>
          <w:i/>
        </w:rPr>
        <w:t xml:space="preserve"> Dentro de los quince días hábiles siguientes al cierre de la audiencia inicial, la autoridad substanciadora deberá emitir el acuerdo de admisión de pruebas que corresponda, donde deberá ordenar las diligencias necesarias para su preparación y desahogo. </w:t>
      </w:r>
    </w:p>
    <w:p w14:paraId="59EE7152"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b/>
          <w:i/>
        </w:rPr>
        <w:t>IX.</w:t>
      </w:r>
      <w:r w:rsidRPr="002341AF">
        <w:rPr>
          <w:rFonts w:ascii="Palatino Linotype" w:hAnsi="Palatino Linotype"/>
          <w:i/>
        </w:rPr>
        <w:t xml:space="preserve"> Concluido el desahogo de las pruebas ofrecidas por las partes y si no existieran diligencias pendientes para mejor proveer o más pruebas que desahogar, la autoridad substanciadora declarará abierto el periodo de alegatos por un término de cinco días hábiles comunes para las partes. </w:t>
      </w:r>
    </w:p>
    <w:p w14:paraId="2B7E38DF"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b/>
          <w:i/>
        </w:rPr>
        <w:lastRenderedPageBreak/>
        <w:t>X</w:t>
      </w:r>
      <w:r w:rsidRPr="002341AF">
        <w:rPr>
          <w:rFonts w:ascii="Palatino Linotype" w:hAnsi="Palatino Linotype"/>
          <w:i/>
        </w:rPr>
        <w:t xml:space="preserve">. Una vez trascurrido el periodo de alegatos, la autoridad </w:t>
      </w:r>
      <w:proofErr w:type="spellStart"/>
      <w:r w:rsidRPr="002341AF">
        <w:rPr>
          <w:rFonts w:ascii="Palatino Linotype" w:hAnsi="Palatino Linotype"/>
          <w:i/>
        </w:rPr>
        <w:t>resolutora</w:t>
      </w:r>
      <w:proofErr w:type="spellEnd"/>
      <w:r w:rsidRPr="002341AF">
        <w:rPr>
          <w:rFonts w:ascii="Palatino Linotype" w:hAnsi="Palatino Linotype"/>
          <w:i/>
        </w:rPr>
        <w:t xml:space="preserve">, de oficio, declarará cerrada la instrucción y citará a las partes para oír la resolución que corresponda, la cual deberá dictarse en un plazo no mayor a treinta días hábiles, el cual podrá ampliarse por una sola vez por un término igual cuando la complejidad del asunto así lo requiera, debiendo fundar y motivar las causas para ello. </w:t>
      </w:r>
    </w:p>
    <w:p w14:paraId="245893F0"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eastAsia="Calibri" w:hAnsi="Palatino Linotype" w:cs="Arial"/>
          <w:i/>
        </w:rPr>
      </w:pPr>
      <w:r w:rsidRPr="002341AF">
        <w:rPr>
          <w:rFonts w:ascii="Palatino Linotype" w:hAnsi="Palatino Linotype"/>
          <w:b/>
          <w:i/>
        </w:rPr>
        <w:t>XI.</w:t>
      </w:r>
      <w:r w:rsidRPr="002341AF">
        <w:rPr>
          <w:rFonts w:ascii="Palatino Linotype" w:hAnsi="Palatino Linotype"/>
          <w:i/>
        </w:rPr>
        <w:t xml:space="preserve"> La resolución, deberá notificarse personalmente al servidor público o particular, según corresponda. En su caso, se notificará a los denunciantes únicamente para su conocimiento, y al jefe inmediato o al titular de la dependencia, municipio u organismo auxiliar, para los efectos de su ejecución, en un término que no exceda de diez días hábiles.”</w:t>
      </w:r>
    </w:p>
    <w:p w14:paraId="75301841" w14:textId="77777777" w:rsidR="00D41818" w:rsidRPr="002341AF" w:rsidRDefault="00D41818" w:rsidP="00D41818">
      <w:pPr>
        <w:pStyle w:val="Prrafodelista"/>
        <w:tabs>
          <w:tab w:val="left" w:pos="426"/>
        </w:tabs>
        <w:spacing w:line="360" w:lineRule="auto"/>
        <w:ind w:left="0"/>
        <w:jc w:val="both"/>
        <w:rPr>
          <w:rFonts w:ascii="Palatino Linotype" w:hAnsi="Palatino Linotype"/>
        </w:rPr>
      </w:pPr>
    </w:p>
    <w:p w14:paraId="511F6D0C"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szCs w:val="28"/>
        </w:rPr>
      </w:pPr>
      <w:r w:rsidRPr="002341AF">
        <w:rPr>
          <w:rFonts w:ascii="Palatino Linotype" w:hAnsi="Palatino Linotype"/>
          <w:b/>
          <w:bCs/>
          <w:sz w:val="24"/>
          <w:szCs w:val="28"/>
        </w:rPr>
        <w:t xml:space="preserve">Para </w:t>
      </w:r>
      <w:r w:rsidRPr="002341AF">
        <w:rPr>
          <w:rFonts w:ascii="Palatino Linotype" w:hAnsi="Palatino Linotype"/>
          <w:b/>
          <w:bCs/>
          <w:sz w:val="24"/>
          <w:szCs w:val="28"/>
          <w:lang w:val="es-ES_tradnl"/>
        </w:rPr>
        <w:t>el caso de las faltas administrativas graves</w:t>
      </w:r>
      <w:r w:rsidRPr="002341AF">
        <w:rPr>
          <w:rFonts w:ascii="Palatino Linotype" w:hAnsi="Palatino Linotype"/>
          <w:sz w:val="24"/>
          <w:szCs w:val="28"/>
          <w:lang w:val="es-ES_tradnl"/>
        </w:rPr>
        <w:t xml:space="preserve"> o faltas de particulares, </w:t>
      </w:r>
      <w:r w:rsidRPr="002341AF">
        <w:rPr>
          <w:rFonts w:ascii="Palatino Linotype" w:hAnsi="Palatino Linotype"/>
          <w:b/>
          <w:bCs/>
          <w:sz w:val="24"/>
          <w:szCs w:val="28"/>
          <w:lang w:val="es-ES_tradnl"/>
        </w:rPr>
        <w:t>el procedimiento de responsabilidad administrativa se llevará ante el Tribunal de Justicia Administrativa del Estado de México y Municipios</w:t>
      </w:r>
      <w:r w:rsidRPr="002341AF">
        <w:rPr>
          <w:rFonts w:ascii="Palatino Linotype" w:hAnsi="Palatino Linotype"/>
          <w:sz w:val="24"/>
          <w:szCs w:val="28"/>
          <w:lang w:val="es-ES_tradnl"/>
        </w:rPr>
        <w:t>; y, de acuerdo con el numeral 195 de la Ley de Responsabilidades Administrativas del Estado de México y Municipios, el proceso se llevará a cabo de la siguiente forma:</w:t>
      </w:r>
    </w:p>
    <w:p w14:paraId="3DA753E1" w14:textId="77777777" w:rsidR="00D41818" w:rsidRPr="002341AF" w:rsidRDefault="00D41818" w:rsidP="00D41818">
      <w:pPr>
        <w:pStyle w:val="Prrafodelista"/>
        <w:tabs>
          <w:tab w:val="left" w:pos="426"/>
        </w:tabs>
        <w:spacing w:line="360" w:lineRule="auto"/>
        <w:ind w:left="0"/>
        <w:jc w:val="both"/>
        <w:rPr>
          <w:rFonts w:ascii="Palatino Linotype" w:hAnsi="Palatino Linotype"/>
        </w:rPr>
      </w:pPr>
    </w:p>
    <w:p w14:paraId="5749B581"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i/>
        </w:rPr>
        <w:t xml:space="preserve">“Las autoridades substanciadoras deberán observar lo dispuesto en las fracciones I a la VII del artículo anterior, posteriormente procederán en los siguientes términos: </w:t>
      </w:r>
    </w:p>
    <w:p w14:paraId="41C4FCBD"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b/>
          <w:i/>
        </w:rPr>
        <w:t>I.</w:t>
      </w:r>
      <w:r w:rsidRPr="002341AF">
        <w:rPr>
          <w:rFonts w:ascii="Palatino Linotype" w:hAnsi="Palatino Linotype"/>
          <w:i/>
        </w:rPr>
        <w:t xml:space="preserve"> Dentro de los tres días hábiles siguientes de haber concluido la audiencia inicial, la autoridad substanciadora deberá, bajo su responsabilidad, enviar al Tribunal, los autos originales del expediente, así como notificar a las partes la fecha de su envío, indicando el domicilio del Tribunal encargado de la resolución del asunto.</w:t>
      </w:r>
    </w:p>
    <w:p w14:paraId="3D20C78F"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b/>
          <w:i/>
        </w:rPr>
        <w:t>II.</w:t>
      </w:r>
      <w:r w:rsidRPr="002341AF">
        <w:rPr>
          <w:rFonts w:ascii="Palatino Linotype" w:hAnsi="Palatino Linotype"/>
          <w:i/>
        </w:rPr>
        <w:t xml:space="preserve"> Cuando el Tribunal reciba el expediente, bajo su más estricta responsabilidad, deberá verificar que la falta descrita en el informe de presunta responsabilidad administrativa sea de las consideradas como graves. </w:t>
      </w:r>
    </w:p>
    <w:p w14:paraId="2D949E2E"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i/>
        </w:rPr>
        <w:t xml:space="preserve">En caso de no serlo, fundando y motivando debidamente su resolución, enviará el expediente respectivo a la autoridad substanciadora que corresponda para que continúe el </w:t>
      </w:r>
      <w:r w:rsidRPr="002341AF">
        <w:rPr>
          <w:rFonts w:ascii="Palatino Linotype" w:hAnsi="Palatino Linotype"/>
          <w:i/>
        </w:rPr>
        <w:lastRenderedPageBreak/>
        <w:t xml:space="preserve">procedimiento en términos de lo dispuesto en el artículo anterior. De igual forma, de advertir el Tribunal que los hechos descritos por la autoridad investigadora en el informe de presunta responsabilidad administrativa corresponden a la descripción de una falta grave diversa, le ordenará a ésta realice la reclasificación que corresponda, pudiendo señalar las directrices que considere pertinentes para su debida presentación, para lo cual le concederá un plazo de tres días hábiles. </w:t>
      </w:r>
    </w:p>
    <w:p w14:paraId="39850D66"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i/>
        </w:rPr>
        <w:t xml:space="preserve">En caso de que la autoridad investigadora se niegue a hacer la reclasificación, bajo su más estricta responsabilidad así lo hará del conocimiento del Tribunal fundando y motivando su proceder. En este caso, dicho Tribunal continuará con el procedimiento de responsabilidad administrativa. </w:t>
      </w:r>
    </w:p>
    <w:p w14:paraId="405FCEDB"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i/>
        </w:rPr>
        <w:t xml:space="preserve">Una vez que el Tribunal haya determinado su competencia y en su caso, se haya solventado la reclasificación, deberá notificar personalmente a las partes sobre la recepción del expediente. </w:t>
      </w:r>
    </w:p>
    <w:p w14:paraId="368F885E"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i/>
        </w:rPr>
        <w:t xml:space="preserve">Cuando conste en autos que las partes han sido debidamente notificadas, dictará dentro de los quince días hábiles siguientes el acuerdo de admisión de pruebas que corresponda, donde deberá ordenar las diligencias necesarias para su preparación y desahogo. </w:t>
      </w:r>
    </w:p>
    <w:p w14:paraId="3B6F4BB3"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b/>
          <w:i/>
        </w:rPr>
        <w:t>III.</w:t>
      </w:r>
      <w:r w:rsidRPr="002341AF">
        <w:rPr>
          <w:rFonts w:ascii="Palatino Linotype" w:hAnsi="Palatino Linotype"/>
          <w:i/>
        </w:rPr>
        <w:t xml:space="preserve"> Concluido el desahogo de las pruebas ofrecidas por las partes y si no existieran diligencias pendientes para mejor proveer o más pruebas que desahogar, el Tribunal declarará abierto el periodo de alegatos por un término de cinco días hábiles comunes para las partes. </w:t>
      </w:r>
    </w:p>
    <w:p w14:paraId="37B7EBCB"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b/>
          <w:i/>
        </w:rPr>
        <w:t>IV.</w:t>
      </w:r>
      <w:r w:rsidRPr="002341AF">
        <w:rPr>
          <w:rFonts w:ascii="Palatino Linotype" w:hAnsi="Palatino Linotype"/>
          <w:i/>
        </w:rPr>
        <w:t xml:space="preserve"> Una vez trascurrido el periodo de alegatos, el Tribunal, de oficio, declarará cerrada la instrucción y citará a las partes para oír la resolución que corresponda, la cual deberá dictarse en un plazo no mayor a treinta días hábiles, el cual podrá ampliarse por un término igual, cuando la complejidad del asunto así lo requiera debiendo fundar y motivar las causas para ello. </w:t>
      </w:r>
    </w:p>
    <w:p w14:paraId="25DD9574" w14:textId="77777777" w:rsidR="00D41818" w:rsidRPr="002341AF" w:rsidRDefault="00D41818" w:rsidP="00D41818">
      <w:pPr>
        <w:pStyle w:val="Prrafodelista"/>
        <w:spacing w:before="100" w:beforeAutospacing="1" w:after="100" w:afterAutospacing="1" w:line="276" w:lineRule="auto"/>
        <w:ind w:left="567" w:right="567"/>
        <w:jc w:val="both"/>
        <w:rPr>
          <w:rFonts w:ascii="Palatino Linotype" w:hAnsi="Palatino Linotype"/>
          <w:i/>
        </w:rPr>
      </w:pPr>
      <w:r w:rsidRPr="002341AF">
        <w:rPr>
          <w:rFonts w:ascii="Palatino Linotype" w:hAnsi="Palatino Linotype"/>
          <w:b/>
          <w:i/>
        </w:rPr>
        <w:t>V.</w:t>
      </w:r>
      <w:r w:rsidRPr="002341AF">
        <w:rPr>
          <w:rFonts w:ascii="Palatino Linotype" w:hAnsi="Palatino Linotype"/>
          <w:i/>
        </w:rPr>
        <w:t xml:space="preserve"> La resolución, deberá notificarse personalmente al servidor público o particular, según corresponda. En su caso, se notificará a los denunciantes únicamente para su conocimiento y al jefe inmediato o al titular de la dependencia, municipio u organismo auxiliar, para los efectos de su ejecución, en un término que no exceda de diez días hábiles.”</w:t>
      </w:r>
    </w:p>
    <w:p w14:paraId="40BB3A4A" w14:textId="77777777" w:rsidR="00D41818" w:rsidRPr="002341AF" w:rsidRDefault="00D41818" w:rsidP="00D41818">
      <w:pPr>
        <w:pStyle w:val="Prrafodelista"/>
        <w:tabs>
          <w:tab w:val="left" w:pos="426"/>
        </w:tabs>
        <w:spacing w:line="360" w:lineRule="auto"/>
        <w:ind w:left="0"/>
        <w:jc w:val="both"/>
        <w:rPr>
          <w:rFonts w:ascii="Palatino Linotype" w:hAnsi="Palatino Linotype"/>
        </w:rPr>
      </w:pPr>
    </w:p>
    <w:p w14:paraId="69B7F6BB" w14:textId="77777777" w:rsidR="00D41818" w:rsidRPr="002341AF" w:rsidRDefault="00D41818" w:rsidP="00D41818">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sz w:val="24"/>
        </w:rPr>
      </w:pPr>
      <w:r w:rsidRPr="002341AF">
        <w:rPr>
          <w:rFonts w:ascii="Palatino Linotype" w:hAnsi="Palatino Linotype"/>
          <w:sz w:val="24"/>
        </w:rPr>
        <w:t xml:space="preserve">De </w:t>
      </w:r>
      <w:r w:rsidRPr="002341AF">
        <w:rPr>
          <w:rFonts w:ascii="Palatino Linotype" w:hAnsi="Palatino Linotype"/>
          <w:sz w:val="24"/>
          <w:lang w:val="es-ES_tradnl"/>
        </w:rPr>
        <w:t xml:space="preserve">lo anterior expuesto podemos concluir que, </w:t>
      </w:r>
      <w:r w:rsidRPr="002341AF">
        <w:rPr>
          <w:rFonts w:ascii="Palatino Linotype" w:hAnsi="Palatino Linotype"/>
          <w:b/>
          <w:sz w:val="24"/>
          <w:lang w:val="es-ES_tradnl"/>
        </w:rPr>
        <w:t>por cuanto hace a los expedientes generados por responsabilidades administrativas no graves, la actuación del Órgano Interno de Control trasciende hasta la resolución del conflicto</w:t>
      </w:r>
      <w:r w:rsidRPr="002341AF">
        <w:rPr>
          <w:rFonts w:ascii="Palatino Linotype" w:hAnsi="Palatino Linotype"/>
          <w:sz w:val="24"/>
          <w:lang w:val="es-ES_tradnl"/>
        </w:rPr>
        <w:t xml:space="preserve">; mientras que </w:t>
      </w:r>
      <w:r w:rsidRPr="002341AF">
        <w:rPr>
          <w:rFonts w:ascii="Palatino Linotype" w:hAnsi="Palatino Linotype"/>
          <w:b/>
          <w:sz w:val="24"/>
          <w:lang w:val="es-ES_tradnl"/>
        </w:rPr>
        <w:t>en las responsabilidades administrativas graves, una vez desahogada la audiencia inicial, se deberá remitir el expediente al Juzgador Administrativo Estatal,</w:t>
      </w:r>
      <w:r w:rsidRPr="002341AF">
        <w:rPr>
          <w:rFonts w:ascii="Palatino Linotype" w:hAnsi="Palatino Linotype"/>
          <w:sz w:val="24"/>
          <w:lang w:val="es-ES_tradnl"/>
        </w:rPr>
        <w:t xml:space="preserve"> quien será el encargado de emitir la resolución.</w:t>
      </w:r>
    </w:p>
    <w:p w14:paraId="51815992" w14:textId="77777777" w:rsidR="00D41818" w:rsidRPr="002341AF" w:rsidRDefault="00D41818" w:rsidP="00D41818">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6A56169F" w14:textId="0F3176AA"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color w:val="000000" w:themeColor="text1"/>
          <w:sz w:val="24"/>
        </w:rPr>
        <w:t xml:space="preserve">Por </w:t>
      </w:r>
      <w:r w:rsidRPr="002341AF">
        <w:rPr>
          <w:rFonts w:ascii="Palatino Linotype" w:hAnsi="Palatino Linotype"/>
          <w:sz w:val="24"/>
        </w:rPr>
        <w:t xml:space="preserve">lo que una vez </w:t>
      </w:r>
      <w:r w:rsidRPr="002341AF">
        <w:rPr>
          <w:rFonts w:ascii="Palatino Linotype" w:hAnsi="Palatino Linotype"/>
          <w:sz w:val="24"/>
          <w:lang w:val="es-ES_tradnl"/>
        </w:rPr>
        <w:t xml:space="preserve">analizado la línea procesal que presupone un procedimiento por responsabilidades administrativas, podemos apreciar la complejidad de su propia naturaleza, ello en el tenor de que no todos los expedientes existen, necesariamente, bajo las mismas circunstancias procesales y gravosas. Ello es así, ya que, por un lado, </w:t>
      </w:r>
      <w:r w:rsidRPr="002341AF">
        <w:rPr>
          <w:rFonts w:ascii="Palatino Linotype" w:hAnsi="Palatino Linotype"/>
          <w:b/>
          <w:sz w:val="24"/>
          <w:lang w:val="es-ES_tradnl"/>
        </w:rPr>
        <w:t>la calificación de la conducta que realice la autoridad investigadora derivado de la presentación de una queja o denuncia será determinada como una</w:t>
      </w:r>
      <w:r w:rsidRPr="002341AF">
        <w:rPr>
          <w:rFonts w:ascii="Palatino Linotype" w:hAnsi="Palatino Linotype"/>
          <w:sz w:val="24"/>
          <w:lang w:val="es-ES_tradnl"/>
        </w:rPr>
        <w:t xml:space="preserve"> </w:t>
      </w:r>
      <w:r w:rsidRPr="002341AF">
        <w:rPr>
          <w:rFonts w:ascii="Palatino Linotype" w:hAnsi="Palatino Linotype"/>
          <w:b/>
          <w:sz w:val="24"/>
          <w:lang w:val="es-ES_tradnl"/>
        </w:rPr>
        <w:t>falta administrativa grave o no grave</w:t>
      </w:r>
      <w:r w:rsidRPr="002341AF">
        <w:rPr>
          <w:rFonts w:ascii="Palatino Linotype" w:hAnsi="Palatino Linotype"/>
          <w:sz w:val="24"/>
          <w:lang w:val="es-ES_tradnl"/>
        </w:rPr>
        <w:t xml:space="preserve">; y, por otro lado, los expedientes podrán encontrarse en las siguientes condiciones: </w:t>
      </w:r>
    </w:p>
    <w:p w14:paraId="77A2004A" w14:textId="77777777" w:rsidR="00D954CD" w:rsidRPr="002341AF" w:rsidRDefault="00D954CD" w:rsidP="00D954CD">
      <w:pPr>
        <w:pStyle w:val="Prrafodelista"/>
        <w:tabs>
          <w:tab w:val="left" w:pos="426"/>
        </w:tabs>
        <w:spacing w:line="360" w:lineRule="auto"/>
        <w:ind w:left="0"/>
        <w:jc w:val="both"/>
        <w:rPr>
          <w:rFonts w:ascii="Palatino Linotype" w:hAnsi="Palatino Linotype"/>
          <w:sz w:val="24"/>
        </w:rPr>
      </w:pPr>
    </w:p>
    <w:p w14:paraId="03AEB0C6" w14:textId="77777777" w:rsidR="00D41818" w:rsidRPr="002341AF" w:rsidRDefault="00D41818" w:rsidP="00D954CD">
      <w:pPr>
        <w:pStyle w:val="Prrafodelista"/>
        <w:numPr>
          <w:ilvl w:val="1"/>
          <w:numId w:val="28"/>
        </w:numPr>
        <w:tabs>
          <w:tab w:val="left" w:pos="426"/>
        </w:tabs>
        <w:ind w:left="567" w:right="539" w:firstLine="0"/>
        <w:jc w:val="both"/>
        <w:rPr>
          <w:rFonts w:ascii="Palatino Linotype" w:hAnsi="Palatino Linotype"/>
          <w:szCs w:val="22"/>
        </w:rPr>
      </w:pPr>
      <w:r w:rsidRPr="002341AF">
        <w:rPr>
          <w:rFonts w:ascii="Palatino Linotype" w:hAnsi="Palatino Linotype"/>
          <w:szCs w:val="22"/>
          <w:lang w:val="es-ES_tradnl"/>
        </w:rPr>
        <w:t xml:space="preserve">Los que se encuentren en etapa de investigación; </w:t>
      </w:r>
    </w:p>
    <w:p w14:paraId="5FC05BB1" w14:textId="77777777" w:rsidR="00D41818" w:rsidRPr="002341AF" w:rsidRDefault="00D41818" w:rsidP="00D954CD">
      <w:pPr>
        <w:pStyle w:val="Prrafodelista"/>
        <w:numPr>
          <w:ilvl w:val="1"/>
          <w:numId w:val="28"/>
        </w:numPr>
        <w:tabs>
          <w:tab w:val="left" w:pos="426"/>
        </w:tabs>
        <w:ind w:left="567" w:right="539" w:firstLine="0"/>
        <w:jc w:val="both"/>
        <w:rPr>
          <w:rFonts w:ascii="Palatino Linotype" w:hAnsi="Palatino Linotype"/>
          <w:szCs w:val="22"/>
        </w:rPr>
      </w:pPr>
      <w:r w:rsidRPr="002341AF">
        <w:rPr>
          <w:rFonts w:ascii="Palatino Linotype" w:hAnsi="Palatino Linotype"/>
          <w:szCs w:val="22"/>
        </w:rPr>
        <w:t>Los que</w:t>
      </w:r>
      <w:r w:rsidRPr="002341AF">
        <w:rPr>
          <w:rFonts w:ascii="Palatino Linotype" w:hAnsi="Palatino Linotype"/>
          <w:szCs w:val="22"/>
          <w:lang w:val="es-ES_tradnl"/>
        </w:rPr>
        <w:t xml:space="preserve"> estuvieron en etapa de investigación, y se concluyera que no hay razones o motivos suficientes para iniciar un procedimiento de responsabilidades administrativas; y, </w:t>
      </w:r>
    </w:p>
    <w:p w14:paraId="718A853E" w14:textId="77777777" w:rsidR="00D41818" w:rsidRPr="002341AF" w:rsidRDefault="00D41818" w:rsidP="00D954CD">
      <w:pPr>
        <w:pStyle w:val="Prrafodelista"/>
        <w:numPr>
          <w:ilvl w:val="1"/>
          <w:numId w:val="28"/>
        </w:numPr>
        <w:tabs>
          <w:tab w:val="left" w:pos="426"/>
        </w:tabs>
        <w:ind w:left="567" w:right="539" w:firstLine="0"/>
        <w:jc w:val="both"/>
        <w:rPr>
          <w:rFonts w:ascii="Palatino Linotype" w:hAnsi="Palatino Linotype"/>
          <w:szCs w:val="22"/>
        </w:rPr>
      </w:pPr>
      <w:r w:rsidRPr="002341AF">
        <w:rPr>
          <w:rFonts w:ascii="Palatino Linotype" w:hAnsi="Palatino Linotype"/>
          <w:szCs w:val="22"/>
          <w:lang w:val="es-ES_tradnl"/>
        </w:rPr>
        <w:t xml:space="preserve">Los que ya superaron la etapa de notificación, por lo que se ha generado el respectivo Informe de Presunta Responsabilidad Administrativa, y se haya </w:t>
      </w:r>
      <w:r w:rsidRPr="002341AF">
        <w:rPr>
          <w:rFonts w:ascii="Palatino Linotype" w:hAnsi="Palatino Linotype"/>
          <w:szCs w:val="22"/>
          <w:lang w:val="es-ES_tradnl"/>
        </w:rPr>
        <w:lastRenderedPageBreak/>
        <w:t>emplazado formalmente al presunto responsable dentro de un procedimiento de responsabilidades administrativas.</w:t>
      </w:r>
    </w:p>
    <w:p w14:paraId="6A268399"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629369F5"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t xml:space="preserve">Por cuanto hace a las faltas administrativas no graves, el artículo 53 de la Ley del Sistema Anticorrupción del Estado de México y Municipios determina que los registros de este tipo de sanciones quedarán registrados para efectos de eventual reincidencia, </w:t>
      </w:r>
      <w:r w:rsidRPr="002341AF">
        <w:rPr>
          <w:rFonts w:ascii="Palatino Linotype" w:hAnsi="Palatino Linotype"/>
          <w:b/>
          <w:bCs/>
          <w:sz w:val="24"/>
          <w:u w:val="single"/>
          <w:lang w:val="es-ES_tradnl"/>
        </w:rPr>
        <w:t>pero no serán públicas</w:t>
      </w:r>
      <w:r w:rsidRPr="002341AF">
        <w:rPr>
          <w:rFonts w:ascii="Palatino Linotype" w:hAnsi="Palatino Linotype"/>
          <w:sz w:val="24"/>
          <w:lang w:val="es-ES_tradnl"/>
        </w:rPr>
        <w:t>.</w:t>
      </w:r>
    </w:p>
    <w:p w14:paraId="4C54D2FD"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6D2F1ED5" w14:textId="77777777" w:rsidR="00D41818" w:rsidRPr="002341AF" w:rsidRDefault="00D41818" w:rsidP="00D41818">
      <w:pPr>
        <w:pStyle w:val="Prrafodelista"/>
        <w:numPr>
          <w:ilvl w:val="0"/>
          <w:numId w:val="2"/>
        </w:numPr>
        <w:tabs>
          <w:tab w:val="left" w:pos="426"/>
        </w:tabs>
        <w:spacing w:before="240" w:after="240" w:line="360" w:lineRule="auto"/>
        <w:ind w:left="0" w:right="51" w:firstLine="0"/>
        <w:jc w:val="both"/>
        <w:rPr>
          <w:rFonts w:ascii="Palatino Linotype" w:hAnsi="Palatino Linotype" w:cs="Tahoma"/>
          <w:bCs/>
          <w:iCs/>
          <w:sz w:val="24"/>
        </w:rPr>
      </w:pPr>
      <w:r w:rsidRPr="002341AF">
        <w:rPr>
          <w:rFonts w:ascii="Palatino Linotype" w:hAnsi="Palatino Linotype"/>
          <w:sz w:val="24"/>
        </w:rPr>
        <w:t xml:space="preserve">En ese tenor, </w:t>
      </w:r>
      <w:r w:rsidRPr="002341AF">
        <w:rPr>
          <w:rFonts w:ascii="Palatino Linotype" w:hAnsi="Palatino Linotype"/>
          <w:sz w:val="24"/>
          <w:lang w:val="es-ES_tradnl"/>
        </w:rPr>
        <w:t xml:space="preserve">podemos concluir que </w:t>
      </w:r>
      <w:r w:rsidRPr="002341AF">
        <w:rPr>
          <w:rFonts w:ascii="Palatino Linotype" w:hAnsi="Palatino Linotype"/>
          <w:b/>
          <w:sz w:val="24"/>
          <w:lang w:val="es-ES_tradnl"/>
        </w:rPr>
        <w:t>la Ley determina que no se podrán dar a conocer las sanciones no graves, es decir, no es posible dar a conocer el nombre del servidor público sancionado ni el registro de incidencias de éste</w:t>
      </w:r>
      <w:r w:rsidRPr="002341AF">
        <w:rPr>
          <w:rFonts w:ascii="Palatino Linotype" w:hAnsi="Palatino Linotype"/>
          <w:sz w:val="24"/>
          <w:lang w:val="es-ES_tradnl"/>
        </w:rPr>
        <w:t>.</w:t>
      </w:r>
    </w:p>
    <w:p w14:paraId="1A30E6D5" w14:textId="77777777" w:rsidR="00D41818" w:rsidRPr="002341AF" w:rsidRDefault="00D41818" w:rsidP="00D41818">
      <w:pPr>
        <w:pStyle w:val="Prrafodelista"/>
        <w:tabs>
          <w:tab w:val="left" w:pos="426"/>
        </w:tabs>
        <w:spacing w:before="240" w:after="240" w:line="360" w:lineRule="auto"/>
        <w:ind w:left="0" w:right="51"/>
        <w:jc w:val="both"/>
        <w:rPr>
          <w:rFonts w:ascii="Palatino Linotype" w:hAnsi="Palatino Linotype" w:cs="Tahoma"/>
          <w:bCs/>
          <w:iCs/>
          <w:sz w:val="24"/>
        </w:rPr>
      </w:pPr>
    </w:p>
    <w:p w14:paraId="61143F9B" w14:textId="77777777" w:rsidR="00D41818" w:rsidRPr="002341AF" w:rsidRDefault="00D41818" w:rsidP="00D41818">
      <w:pPr>
        <w:pStyle w:val="Prrafodelista"/>
        <w:numPr>
          <w:ilvl w:val="0"/>
          <w:numId w:val="2"/>
        </w:numPr>
        <w:tabs>
          <w:tab w:val="left" w:pos="426"/>
        </w:tabs>
        <w:spacing w:before="240" w:after="240" w:line="360" w:lineRule="auto"/>
        <w:ind w:left="0" w:right="51" w:firstLine="0"/>
        <w:jc w:val="both"/>
        <w:rPr>
          <w:rFonts w:ascii="Palatino Linotype" w:hAnsi="Palatino Linotype" w:cs="Tahoma"/>
          <w:bCs/>
          <w:iCs/>
          <w:sz w:val="24"/>
        </w:rPr>
      </w:pPr>
      <w:r w:rsidRPr="002341AF">
        <w:rPr>
          <w:rFonts w:ascii="Palatino Linotype" w:hAnsi="Palatino Linotype"/>
          <w:color w:val="000000" w:themeColor="text1"/>
          <w:sz w:val="24"/>
        </w:rPr>
        <w:t>En ese sentido, se procede a analizar la viabilidad de la entrega de los expedientes solicitados, dependiente su naturaleza y estado procesal.</w:t>
      </w:r>
    </w:p>
    <w:p w14:paraId="60D8F6DD" w14:textId="77777777" w:rsidR="00D41818" w:rsidRPr="002341AF" w:rsidRDefault="00D41818" w:rsidP="00D41818">
      <w:pPr>
        <w:pStyle w:val="Prrafodelista"/>
        <w:tabs>
          <w:tab w:val="left" w:pos="426"/>
        </w:tabs>
        <w:spacing w:before="240" w:after="240" w:line="360" w:lineRule="auto"/>
        <w:ind w:left="0" w:right="51"/>
        <w:jc w:val="both"/>
        <w:rPr>
          <w:rFonts w:ascii="Palatino Linotype" w:hAnsi="Palatino Linotype" w:cs="Tahoma"/>
          <w:bCs/>
          <w:iCs/>
          <w:sz w:val="24"/>
        </w:rPr>
      </w:pPr>
    </w:p>
    <w:p w14:paraId="7E8376F0" w14:textId="6A72B6F9" w:rsidR="00D41818" w:rsidRPr="002341AF" w:rsidRDefault="00D41818" w:rsidP="00D954CD">
      <w:pPr>
        <w:pStyle w:val="Prrafodelista"/>
        <w:numPr>
          <w:ilvl w:val="0"/>
          <w:numId w:val="26"/>
        </w:numPr>
        <w:tabs>
          <w:tab w:val="left" w:pos="567"/>
        </w:tabs>
        <w:spacing w:before="240" w:after="240" w:line="360" w:lineRule="auto"/>
        <w:ind w:right="51" w:hanging="153"/>
        <w:jc w:val="both"/>
        <w:outlineLvl w:val="2"/>
        <w:rPr>
          <w:rFonts w:ascii="Palatino Linotype" w:hAnsi="Palatino Linotype" w:cs="Tahoma"/>
          <w:b/>
          <w:bCs/>
          <w:iCs/>
          <w:sz w:val="24"/>
        </w:rPr>
      </w:pPr>
      <w:r w:rsidRPr="002341AF">
        <w:rPr>
          <w:rFonts w:ascii="Palatino Linotype" w:hAnsi="Palatino Linotype" w:cs="Tahoma"/>
          <w:b/>
          <w:bCs/>
          <w:iCs/>
          <w:sz w:val="24"/>
        </w:rPr>
        <w:t>De la presunción de inocencia.</w:t>
      </w:r>
    </w:p>
    <w:p w14:paraId="1476E2A8" w14:textId="77777777" w:rsidR="00D41818" w:rsidRPr="002341AF" w:rsidRDefault="00D41818" w:rsidP="00D41818">
      <w:pPr>
        <w:pStyle w:val="Prrafodelista"/>
        <w:tabs>
          <w:tab w:val="left" w:pos="426"/>
        </w:tabs>
        <w:spacing w:before="240" w:after="240" w:line="360" w:lineRule="auto"/>
        <w:ind w:left="0" w:right="51"/>
        <w:jc w:val="both"/>
        <w:rPr>
          <w:rFonts w:ascii="Palatino Linotype" w:hAnsi="Palatino Linotype" w:cs="Tahoma"/>
          <w:bCs/>
          <w:iCs/>
          <w:sz w:val="24"/>
        </w:rPr>
      </w:pPr>
    </w:p>
    <w:p w14:paraId="2FE1F81C"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cs="Tahoma"/>
          <w:bCs/>
          <w:iCs/>
          <w:sz w:val="24"/>
        </w:rPr>
        <w:t xml:space="preserve">En </w:t>
      </w:r>
      <w:r w:rsidRPr="002341AF">
        <w:rPr>
          <w:rFonts w:ascii="Palatino Linotype" w:hAnsi="Palatino Linotype"/>
          <w:sz w:val="24"/>
        </w:rPr>
        <w:t>primer lugar, resulta</w:t>
      </w:r>
      <w:r w:rsidRPr="002341AF">
        <w:rPr>
          <w:rFonts w:ascii="Palatino Linotype" w:hAnsi="Palatino Linotype"/>
          <w:sz w:val="24"/>
          <w:lang w:val="es-ES_tradnl"/>
        </w:rPr>
        <w:t xml:space="preserve"> aplicable la reserva de la información si no existe una resolución firme, porque de revelarse la información se atenta contra el principio de presunción de inocencia que debe seguirse en la administración de la justicia, conforme a lo que enseguida se razona.</w:t>
      </w:r>
    </w:p>
    <w:p w14:paraId="0AF8230A"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6C64FA71" w14:textId="3389D9FE"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lastRenderedPageBreak/>
        <w:t>La Suprema Corte de Justicia de la Nación resolvió en la contradicción de tesis 200/2013 que en los procedimientos de responsabilidad administrativa es aplicable el principio de presunción de inocencia con sus respectivos matices. En la resolución son de interés los siguientes argumentos:</w:t>
      </w:r>
    </w:p>
    <w:p w14:paraId="4A7CAA22" w14:textId="77777777" w:rsidR="00D954CD" w:rsidRPr="002341AF" w:rsidRDefault="00D954CD" w:rsidP="00D954CD">
      <w:pPr>
        <w:pStyle w:val="Prrafodelista"/>
        <w:tabs>
          <w:tab w:val="left" w:pos="426"/>
        </w:tabs>
        <w:spacing w:line="360" w:lineRule="auto"/>
        <w:ind w:left="0"/>
        <w:jc w:val="both"/>
        <w:rPr>
          <w:rFonts w:ascii="Palatino Linotype" w:hAnsi="Palatino Linotype"/>
          <w:sz w:val="24"/>
        </w:rPr>
      </w:pPr>
    </w:p>
    <w:p w14:paraId="78E8A9A6" w14:textId="77777777" w:rsidR="00D41818" w:rsidRPr="002341AF" w:rsidRDefault="00D41818" w:rsidP="00D954CD">
      <w:pPr>
        <w:pStyle w:val="Prrafodelista"/>
        <w:numPr>
          <w:ilvl w:val="1"/>
          <w:numId w:val="2"/>
        </w:numPr>
        <w:tabs>
          <w:tab w:val="left" w:pos="426"/>
        </w:tabs>
        <w:ind w:left="709" w:right="539" w:hanging="142"/>
        <w:jc w:val="both"/>
        <w:rPr>
          <w:rFonts w:ascii="Palatino Linotype" w:hAnsi="Palatino Linotype"/>
          <w:szCs w:val="22"/>
        </w:rPr>
      </w:pPr>
      <w:r w:rsidRPr="002341AF">
        <w:rPr>
          <w:rFonts w:ascii="Palatino Linotype" w:hAnsi="Palatino Linotype"/>
          <w:szCs w:val="22"/>
          <w:lang w:val="es-ES_tradnl"/>
        </w:rPr>
        <w:t>La Constitución Federal reconoce el estado o condición de inocencia de los gobernados, razón por la cual lo protege a través del derecho de toda persona a que se presuma su inocencia, lo que significa que todo hombre debe ser tratado con tal calidad -inocente- hasta en tanto no se demuestre lo contrario.</w:t>
      </w:r>
    </w:p>
    <w:p w14:paraId="10C13507" w14:textId="77777777" w:rsidR="00D41818" w:rsidRPr="002341AF" w:rsidRDefault="00D41818" w:rsidP="00D954CD">
      <w:pPr>
        <w:pStyle w:val="Prrafodelista"/>
        <w:numPr>
          <w:ilvl w:val="1"/>
          <w:numId w:val="2"/>
        </w:numPr>
        <w:tabs>
          <w:tab w:val="left" w:pos="426"/>
        </w:tabs>
        <w:ind w:left="709" w:right="539" w:hanging="142"/>
        <w:jc w:val="both"/>
        <w:rPr>
          <w:rFonts w:ascii="Palatino Linotype" w:hAnsi="Palatino Linotype"/>
          <w:szCs w:val="22"/>
        </w:rPr>
      </w:pPr>
      <w:r w:rsidRPr="002341AF">
        <w:rPr>
          <w:rFonts w:ascii="Palatino Linotype" w:hAnsi="Palatino Linotype"/>
          <w:szCs w:val="22"/>
        </w:rPr>
        <w:t>La presunción de inocencia se resguarda en el texto constitucional como derecho fundamental a favor de toda persona, con base en el cual se exige que para toda autoridad y ante el procedimiento al que se le sujete, no se estimen verosímiles los cargos atribuidos al gobernado respecto a la comisión de delitos, salvo decisión contraria emitida por un tribunal, dentro de la observancia del debido proceso.</w:t>
      </w:r>
    </w:p>
    <w:p w14:paraId="5F1BFA6C" w14:textId="77777777" w:rsidR="00D41818" w:rsidRPr="002341AF" w:rsidRDefault="00D41818" w:rsidP="00D954CD">
      <w:pPr>
        <w:pStyle w:val="Prrafodelista"/>
        <w:numPr>
          <w:ilvl w:val="1"/>
          <w:numId w:val="2"/>
        </w:numPr>
        <w:tabs>
          <w:tab w:val="left" w:pos="426"/>
        </w:tabs>
        <w:ind w:left="709" w:right="539" w:hanging="142"/>
        <w:jc w:val="both"/>
        <w:rPr>
          <w:rFonts w:ascii="Palatino Linotype" w:hAnsi="Palatino Linotype"/>
          <w:szCs w:val="22"/>
        </w:rPr>
      </w:pPr>
      <w:r w:rsidRPr="002341AF">
        <w:rPr>
          <w:rFonts w:ascii="Palatino Linotype" w:hAnsi="Palatino Linotype"/>
          <w:szCs w:val="22"/>
        </w:rPr>
        <w:t>Este principio tendrá eficaz aplicación, sólo cuando el gobernado se enfrente a una acusación, cuyo propósito ha de ser el límite a la potestad represiva del Estado en ejercicio de su derecho punitivo, así se concebirá también a nuestro objeto de estudio como una garantía procesal a favor del imputado, dentro de todo enjuiciamiento o procedimiento del orden administrativo.</w:t>
      </w:r>
    </w:p>
    <w:p w14:paraId="4F62F9DE"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2318A46C"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t>Se sigue que, el principio de presunción de inocencia tiene tres significados garantistas; que en forma breve pueden enunciarse de la siguiente forma:</w:t>
      </w:r>
    </w:p>
    <w:p w14:paraId="036896DC"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5E701E4F" w14:textId="77777777" w:rsidR="00D41818" w:rsidRPr="002341AF" w:rsidRDefault="00D41818" w:rsidP="00D954CD">
      <w:pPr>
        <w:pStyle w:val="Prrafodelista"/>
        <w:tabs>
          <w:tab w:val="left" w:pos="426"/>
        </w:tabs>
        <w:ind w:left="567" w:right="567"/>
        <w:jc w:val="both"/>
        <w:rPr>
          <w:rFonts w:ascii="Palatino Linotype" w:hAnsi="Palatino Linotype"/>
          <w:szCs w:val="22"/>
        </w:rPr>
      </w:pPr>
      <w:r w:rsidRPr="002341AF">
        <w:rPr>
          <w:rFonts w:ascii="Palatino Linotype" w:hAnsi="Palatino Linotype"/>
          <w:b/>
          <w:szCs w:val="22"/>
        </w:rPr>
        <w:t>Primero</w:t>
      </w:r>
      <w:r w:rsidRPr="002341AF">
        <w:rPr>
          <w:rFonts w:ascii="Palatino Linotype" w:hAnsi="Palatino Linotype"/>
          <w:szCs w:val="22"/>
        </w:rPr>
        <w:t>. Como una regla probatoria, que impone la carga de la prueba para quien acusa y, por ende, la absolución en caso de duda.</w:t>
      </w:r>
    </w:p>
    <w:p w14:paraId="0E4792DF" w14:textId="77777777" w:rsidR="00D41818" w:rsidRPr="002341AF" w:rsidRDefault="00D41818" w:rsidP="00D954CD">
      <w:pPr>
        <w:pStyle w:val="Prrafodelista"/>
        <w:tabs>
          <w:tab w:val="left" w:pos="426"/>
        </w:tabs>
        <w:ind w:left="567" w:right="567"/>
        <w:jc w:val="both"/>
        <w:rPr>
          <w:rFonts w:ascii="Palatino Linotype" w:hAnsi="Palatino Linotype"/>
          <w:szCs w:val="22"/>
        </w:rPr>
      </w:pPr>
      <w:r w:rsidRPr="002341AF">
        <w:rPr>
          <w:rFonts w:ascii="Palatino Linotype" w:hAnsi="Palatino Linotype"/>
          <w:b/>
          <w:szCs w:val="22"/>
        </w:rPr>
        <w:lastRenderedPageBreak/>
        <w:t>Segundo</w:t>
      </w:r>
      <w:r w:rsidRPr="002341AF">
        <w:rPr>
          <w:rFonts w:ascii="Palatino Linotype" w:hAnsi="Palatino Linotype"/>
          <w:szCs w:val="22"/>
        </w:rPr>
        <w:t>. Como una regla de tratamiento del acusado, que excluye o restringe al máximo la limitación de sus derechos fundamentales, sobre todo los que inciden en su libertad personal, con motivo del proceso que se instaura en su contra.</w:t>
      </w:r>
    </w:p>
    <w:p w14:paraId="6ADA2424" w14:textId="77777777" w:rsidR="00D41818" w:rsidRPr="002341AF" w:rsidRDefault="00D41818" w:rsidP="00D954CD">
      <w:pPr>
        <w:pStyle w:val="Prrafodelista"/>
        <w:tabs>
          <w:tab w:val="left" w:pos="426"/>
        </w:tabs>
        <w:ind w:left="567" w:right="567"/>
        <w:jc w:val="both"/>
        <w:rPr>
          <w:rFonts w:ascii="Palatino Linotype" w:hAnsi="Palatino Linotype"/>
          <w:szCs w:val="22"/>
        </w:rPr>
      </w:pPr>
      <w:r w:rsidRPr="002341AF">
        <w:rPr>
          <w:rFonts w:ascii="Palatino Linotype" w:hAnsi="Palatino Linotype"/>
          <w:b/>
          <w:szCs w:val="22"/>
        </w:rPr>
        <w:t>Tercero</w:t>
      </w:r>
      <w:r w:rsidRPr="002341AF">
        <w:rPr>
          <w:rFonts w:ascii="Palatino Linotype" w:hAnsi="Palatino Linotype"/>
          <w:szCs w:val="22"/>
        </w:rPr>
        <w:t>. Como una regla de juicio, que ordena a los jueces la absolución de los inculpados cuando durante el proceso no se aportaron pruebas de cargo suficientes.</w:t>
      </w:r>
    </w:p>
    <w:p w14:paraId="4DA95C95"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7551A25B"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t xml:space="preserve">En vista de lo anterior, este Organismo Garante estima que, en el derecho disciplinario, mismo que se sigue dentro el Órgano de Control Interno, contra los servidores públicos en los casos que se presenta una denuncia, es aplicable </w:t>
      </w:r>
      <w:r w:rsidRPr="002341AF">
        <w:rPr>
          <w:rFonts w:ascii="Palatino Linotype" w:hAnsi="Palatino Linotype"/>
          <w:i/>
          <w:iCs/>
          <w:sz w:val="24"/>
          <w:lang w:val="es-ES_tradnl"/>
        </w:rPr>
        <w:t>la regla garantista de presunción de inocencia</w:t>
      </w:r>
      <w:r w:rsidRPr="002341AF">
        <w:rPr>
          <w:rFonts w:ascii="Palatino Linotype" w:hAnsi="Palatino Linotype"/>
          <w:sz w:val="24"/>
          <w:lang w:val="es-ES_tradnl"/>
        </w:rPr>
        <w:t>.</w:t>
      </w:r>
    </w:p>
    <w:p w14:paraId="57CE8248"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2868DC80"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t xml:space="preserve">Así, </w:t>
      </w:r>
      <w:r w:rsidRPr="002341AF">
        <w:rPr>
          <w:rFonts w:ascii="Palatino Linotype" w:hAnsi="Palatino Linotype"/>
          <w:sz w:val="24"/>
        </w:rPr>
        <w:t xml:space="preserve">todo servidor público en su carácter de -presunto infractor- tiene el derecho, </w:t>
      </w:r>
      <w:r w:rsidRPr="002341AF">
        <w:rPr>
          <w:rFonts w:ascii="Palatino Linotype" w:hAnsi="Palatino Linotype"/>
          <w:i/>
          <w:iCs/>
          <w:sz w:val="24"/>
        </w:rPr>
        <w:t>como regla de tratamiento en el proceso</w:t>
      </w:r>
      <w:r w:rsidRPr="002341AF">
        <w:rPr>
          <w:rFonts w:ascii="Palatino Linotype" w:hAnsi="Palatino Linotype"/>
          <w:sz w:val="24"/>
        </w:rPr>
        <w:t xml:space="preserve">, a que se le trate en carácter de inocente hasta que no se emita una resolución firme. </w:t>
      </w:r>
    </w:p>
    <w:p w14:paraId="59DFD3E5"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7AD0D746"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t xml:space="preserve">La relación que guarda el principio de presunción de inocencia con el derecho de acceso a la información se da en dos variantes: </w:t>
      </w:r>
      <w:r w:rsidRPr="002341AF">
        <w:rPr>
          <w:rFonts w:ascii="Palatino Linotype" w:hAnsi="Palatino Linotype"/>
          <w:b/>
          <w:sz w:val="24"/>
          <w:lang w:val="es-ES_tradnl"/>
        </w:rPr>
        <w:t>(i)</w:t>
      </w:r>
      <w:r w:rsidRPr="002341AF">
        <w:rPr>
          <w:rFonts w:ascii="Palatino Linotype" w:hAnsi="Palatino Linotype"/>
          <w:sz w:val="24"/>
          <w:lang w:val="es-ES_tradnl"/>
        </w:rPr>
        <w:t xml:space="preserve"> la conservación de información que no vicie las reglas y principios de administración de justicia y </w:t>
      </w:r>
      <w:r w:rsidRPr="002341AF">
        <w:rPr>
          <w:rFonts w:ascii="Palatino Linotype" w:hAnsi="Palatino Linotype"/>
          <w:b/>
          <w:sz w:val="24"/>
          <w:lang w:val="es-ES_tradnl"/>
        </w:rPr>
        <w:t>(ii)</w:t>
      </w:r>
      <w:r w:rsidRPr="002341AF">
        <w:rPr>
          <w:rFonts w:ascii="Palatino Linotype" w:hAnsi="Palatino Linotype"/>
          <w:sz w:val="24"/>
          <w:lang w:val="es-ES_tradnl"/>
        </w:rPr>
        <w:t xml:space="preserve"> conservar la reputación de las personas que aún no se les ha comprobado con plenitud haber realizado alguna infracción.</w:t>
      </w:r>
    </w:p>
    <w:p w14:paraId="38DF8587"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72125180"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lastRenderedPageBreak/>
        <w:t>Con más detenimiento, la primera premisa es que de revelarse la información de las personas a quienes se les ha iniciado un procedimiento administrativo y el nombre de aquellos que tienen un procedimiento instaurado y se encuentra pendiente de resolución rompería la regla de tratamiento y de juicio que debe seguirse en la administración de justicia, es decir, su incidencia tiene implicaciones que pudieran afectar la forma en cómo debe tratarse al servidor público acusado, pues no se ha comprobado en su totalidad que éste incurrió en una infracción, razón por la cual es aplicable la reserva de información prevista en el artículo 140, fracciones IV y VII de la Ley de Transparencia y Acceso a la Información Pública del Estado de México y Municipios</w:t>
      </w:r>
      <w:r w:rsidRPr="002341AF">
        <w:rPr>
          <w:rStyle w:val="Refdenotaalpie"/>
          <w:rFonts w:ascii="Palatino Linotype" w:hAnsi="Palatino Linotype"/>
          <w:sz w:val="24"/>
          <w:lang w:val="es-ES_tradnl"/>
        </w:rPr>
        <w:footnoteReference w:id="17"/>
      </w:r>
      <w:r w:rsidRPr="002341AF">
        <w:rPr>
          <w:rFonts w:ascii="Palatino Linotype" w:hAnsi="Palatino Linotype"/>
          <w:sz w:val="24"/>
          <w:lang w:val="es-ES_tradnl"/>
        </w:rPr>
        <w:t>, con la finalidad de preservar el debido proceso en la aplicación de la administración de justicia a través del resguardo de información que pudiera alterar el principio de presunción de inocencia, de modo tal que el nombre y cargo del servidor público denunciado debe ser protegido, siempre y cuando como se ha mencionado, haya derivado la denuncia en una sanción grave.</w:t>
      </w:r>
    </w:p>
    <w:p w14:paraId="43CD83F3"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3E4BE336"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lastRenderedPageBreak/>
        <w:t>Luego entonces en el caso, se considera que la publicación de quienes se les ha iniciado un procedimiento administrativo y el nombre de aquellos que tienen un procedimiento instaurado y se encuentra pendiente de resolución puede significar una discriminación a su persona hasta en tanto no se determine con firmeza en una resolución si se configuró la infracción administrativa o no.</w:t>
      </w:r>
    </w:p>
    <w:p w14:paraId="0058519B"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573F699E"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t>El razonamiento que formula este Órgano Garante se construye a partir de la correlación que otros derechos tienen con el acceso a la información en tratándose de información sobre procesos y procedimientos que siguen en forma de juicio, los cuales de la óptica de interdependencia de los derechos humanos no pueden ser desconocidos, en el ámbito de la competencia de este Instituto.</w:t>
      </w:r>
    </w:p>
    <w:p w14:paraId="36C3C916"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10062E6E"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t>Resulta necesario tomar en cuenta el derecho al buen nombre y a la intimidad porque se considera que, hasta en que no exista una resolución firme, la publicación de la información solicitada afectaría la reputación de una persona.</w:t>
      </w:r>
    </w:p>
    <w:p w14:paraId="582FF8D8"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436A49DD"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t xml:space="preserve">A mayor abundamiento, el derecho al buen nombre es la prerrogativa que tiene toda persona a no ser difamada, esto es, a que por parte de la sociedad se tenga una buena calificación o juicio favorable de su comportamiento mientras no se le pruebe lo contrario; este concepto tiene su basamento en el derecho al honor personal y ambos </w:t>
      </w:r>
      <w:r w:rsidRPr="002341AF">
        <w:rPr>
          <w:rFonts w:ascii="Palatino Linotype" w:hAnsi="Palatino Linotype"/>
          <w:sz w:val="24"/>
          <w:lang w:val="es-ES_tradnl"/>
        </w:rPr>
        <w:lastRenderedPageBreak/>
        <w:t>suponen una valoración de la persona desde la perspectiva de su esfera externa, razón por la cual guardan una íntima relación.</w:t>
      </w:r>
    </w:p>
    <w:p w14:paraId="5FA0837E"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2BE15B4E"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t>Si bien el derecho al buen nombre no es un bien jurídicamente tutelado de manera expresa en el ordenamiento jurídico mexicano si está ligado con la intimidad de una persona, aspecto que sin duda se puede configurase como dato personal sensible ya que a partir de su uso desproporcionado puede destruir la reputación y honorabilidad de una persona.</w:t>
      </w:r>
    </w:p>
    <w:p w14:paraId="7F7893B4"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4FC74E76"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t>En el fondo, se considera que se puede atentar contra la honra y el buen nombre de una persona mediante la divulgación de información sobre aquellos servidores públicos a quienes se les ha iniciado un procedimiento administrativo, o bien, se encuentran pendientes de resolución porque podrían orientar el juicio que se tiene de una persona por parte de la sociedad, lo que en efecto constituye una lesión injustificada a la posición del hombre en sociedad.</w:t>
      </w:r>
    </w:p>
    <w:p w14:paraId="2C19D844"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35F37764" w14:textId="03D9AFC8"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t>En esta condición debe ser resguardada la información con la finalidad de evitar situaciones discriminatorias sobre los servidores públicos a quienes se les inició un procedimiento, o bien, ya iniciado éste no se ha emitido una resolución, por lo que se tiene la intención de salvaguardar los datos sensibles de las personas a quienes no se les ha corroborado como infractores.</w:t>
      </w:r>
    </w:p>
    <w:p w14:paraId="58380BC5" w14:textId="4CFB3432" w:rsidR="00D41818" w:rsidRPr="002341AF" w:rsidRDefault="00D41818" w:rsidP="00D954CD">
      <w:pPr>
        <w:pStyle w:val="Prrafodelista"/>
        <w:numPr>
          <w:ilvl w:val="0"/>
          <w:numId w:val="26"/>
        </w:numPr>
        <w:tabs>
          <w:tab w:val="left" w:pos="709"/>
        </w:tabs>
        <w:spacing w:line="360" w:lineRule="auto"/>
        <w:ind w:hanging="153"/>
        <w:jc w:val="both"/>
        <w:outlineLvl w:val="2"/>
        <w:rPr>
          <w:rFonts w:ascii="Palatino Linotype" w:hAnsi="Palatino Linotype"/>
          <w:b/>
          <w:bCs/>
          <w:sz w:val="24"/>
        </w:rPr>
      </w:pPr>
      <w:bookmarkStart w:id="11" w:name="_Toc92875120"/>
      <w:r w:rsidRPr="002341AF">
        <w:rPr>
          <w:rFonts w:ascii="Palatino Linotype" w:hAnsi="Palatino Linotype"/>
          <w:b/>
          <w:bCs/>
          <w:sz w:val="24"/>
        </w:rPr>
        <w:lastRenderedPageBreak/>
        <w:t>De la información reservada, expedientes en trámite y concluidos.</w:t>
      </w:r>
      <w:bookmarkEnd w:id="11"/>
    </w:p>
    <w:p w14:paraId="7928799A"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20CDFE83"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t xml:space="preserve">Así las cosas, es de importante relevancia hacer del conocimiento del </w:t>
      </w:r>
      <w:r w:rsidRPr="002341AF">
        <w:rPr>
          <w:rFonts w:ascii="Palatino Linotype" w:hAnsi="Palatino Linotype"/>
          <w:b/>
          <w:bCs/>
          <w:sz w:val="24"/>
          <w:lang w:val="es-ES_tradnl"/>
        </w:rPr>
        <w:t>SUJETO OBLIGADO</w:t>
      </w:r>
      <w:r w:rsidRPr="002341AF">
        <w:rPr>
          <w:rFonts w:ascii="Palatino Linotype" w:hAnsi="Palatino Linotype"/>
          <w:sz w:val="24"/>
          <w:lang w:val="es-ES_tradnl"/>
        </w:rPr>
        <w:t xml:space="preserve"> que la información con la que cuente respecto de expedientes de procedimientos administrativos, si no han causado estado; es decir, que el principio de </w:t>
      </w:r>
      <w:proofErr w:type="spellStart"/>
      <w:r w:rsidRPr="002341AF">
        <w:rPr>
          <w:rFonts w:ascii="Palatino Linotype" w:hAnsi="Palatino Linotype"/>
          <w:sz w:val="24"/>
          <w:lang w:val="es-ES_tradnl"/>
        </w:rPr>
        <w:t>definitividad</w:t>
      </w:r>
      <w:proofErr w:type="spellEnd"/>
      <w:r w:rsidRPr="002341AF">
        <w:rPr>
          <w:rFonts w:ascii="Palatino Linotype" w:hAnsi="Palatino Linotype"/>
          <w:sz w:val="24"/>
          <w:lang w:val="es-ES_tradnl"/>
        </w:rPr>
        <w:t xml:space="preserve"> no se haya actualizado, por aún existir instancias para su revisión o impugnación o en su caso que no haya causado estado, dicha información reviste el carácter de información reservada, y la cual no podrá dar acceso a la solicitante, pero para ello deberá llevar a cabo el respectivo acuerdo de clasificación de la información como reservada y notificarlo a la </w:t>
      </w:r>
      <w:r w:rsidRPr="002341AF">
        <w:rPr>
          <w:rFonts w:ascii="Palatino Linotype" w:hAnsi="Palatino Linotype"/>
          <w:b/>
          <w:bCs/>
          <w:sz w:val="24"/>
          <w:lang w:val="es-ES_tradnl"/>
        </w:rPr>
        <w:t>RECURRENTE</w:t>
      </w:r>
      <w:r w:rsidRPr="002341AF">
        <w:rPr>
          <w:rFonts w:ascii="Palatino Linotype" w:hAnsi="Palatino Linotype"/>
          <w:sz w:val="24"/>
          <w:lang w:val="es-ES_tradnl"/>
        </w:rPr>
        <w:t xml:space="preserve">; pero si los expedientes aludidos ya han causado estado, es decir, que ya no acepta recurso o medio de defensa alguno, es procedente entregar la información al recurrente pero en versión pública protegiendo todos los datos personales que en éste se encuentren, para lo cual el </w:t>
      </w:r>
      <w:r w:rsidRPr="002341AF">
        <w:rPr>
          <w:rFonts w:ascii="Palatino Linotype" w:hAnsi="Palatino Linotype"/>
          <w:b/>
          <w:bCs/>
          <w:sz w:val="24"/>
          <w:lang w:val="es-ES_tradnl"/>
        </w:rPr>
        <w:t>SUJETO OBLIGADO</w:t>
      </w:r>
      <w:r w:rsidRPr="002341AF">
        <w:rPr>
          <w:rFonts w:ascii="Palatino Linotype" w:hAnsi="Palatino Linotype"/>
          <w:sz w:val="24"/>
          <w:lang w:val="es-ES_tradnl"/>
        </w:rPr>
        <w:t xml:space="preserve"> deberá realizar y notificar el Acuerdo de Clasificación de la información relativa a los datos personales a efecto de que pueda emitir la versión pública de lo que se le solicitó.</w:t>
      </w:r>
    </w:p>
    <w:p w14:paraId="19A99AEB"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1AA8ED1C"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t xml:space="preserve">Relativo a ello el </w:t>
      </w:r>
      <w:r w:rsidRPr="002341AF">
        <w:rPr>
          <w:rFonts w:ascii="Palatino Linotype" w:hAnsi="Palatino Linotype"/>
          <w:b/>
          <w:bCs/>
          <w:sz w:val="24"/>
          <w:lang w:val="es-ES_tradnl"/>
        </w:rPr>
        <w:t>SUJETO OBLIGADO</w:t>
      </w:r>
      <w:r w:rsidRPr="002341AF">
        <w:rPr>
          <w:rFonts w:ascii="Palatino Linotype" w:hAnsi="Palatino Linotype"/>
          <w:sz w:val="24"/>
          <w:lang w:val="es-ES_tradnl"/>
        </w:rPr>
        <w:t xml:space="preserve"> deberá realizar la clasificación de información, en la que dé seguridad jurídica al </w:t>
      </w:r>
      <w:r w:rsidRPr="002341AF">
        <w:rPr>
          <w:rFonts w:ascii="Palatino Linotype" w:hAnsi="Palatino Linotype"/>
          <w:b/>
          <w:bCs/>
          <w:sz w:val="24"/>
          <w:lang w:val="es-ES_tradnl"/>
        </w:rPr>
        <w:t>RECURRENTE</w:t>
      </w:r>
      <w:r w:rsidRPr="002341AF">
        <w:rPr>
          <w:rFonts w:ascii="Palatino Linotype" w:hAnsi="Palatino Linotype"/>
          <w:sz w:val="24"/>
          <w:lang w:val="es-ES_tradnl"/>
        </w:rPr>
        <w:t xml:space="preserve"> que, por alguna excepción establecida en Ley no es posible acceder temporalmente a la información </w:t>
      </w:r>
      <w:r w:rsidRPr="002341AF">
        <w:rPr>
          <w:rFonts w:ascii="Palatino Linotype" w:hAnsi="Palatino Linotype"/>
          <w:sz w:val="24"/>
          <w:lang w:val="es-ES_tradnl"/>
        </w:rPr>
        <w:lastRenderedPageBreak/>
        <w:t xml:space="preserve">referida anteriormente, para así no dejar en estado de indefensión y exista certeza jurídica de lo expuesto por el </w:t>
      </w:r>
      <w:r w:rsidRPr="002341AF">
        <w:rPr>
          <w:rFonts w:ascii="Palatino Linotype" w:hAnsi="Palatino Linotype"/>
          <w:b/>
          <w:bCs/>
          <w:sz w:val="24"/>
          <w:lang w:val="es-ES_tradnl"/>
        </w:rPr>
        <w:t>SUJETO OBLIGADO</w:t>
      </w:r>
      <w:r w:rsidRPr="002341AF">
        <w:rPr>
          <w:rFonts w:ascii="Palatino Linotype" w:hAnsi="Palatino Linotype"/>
          <w:sz w:val="24"/>
          <w:lang w:val="es-ES_tradnl"/>
        </w:rPr>
        <w:t>.</w:t>
      </w:r>
    </w:p>
    <w:p w14:paraId="5D9D0670"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6C0CEA86"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r w:rsidRPr="002341AF">
        <w:rPr>
          <w:rFonts w:ascii="Palatino Linotype" w:hAnsi="Palatino Linotype"/>
          <w:i/>
          <w:iCs/>
          <w:szCs w:val="22"/>
        </w:rPr>
        <w:t>“</w:t>
      </w:r>
      <w:r w:rsidRPr="002341AF">
        <w:rPr>
          <w:rFonts w:ascii="Palatino Linotype" w:hAnsi="Palatino Linotype"/>
          <w:b/>
          <w:bCs/>
          <w:i/>
          <w:iCs/>
          <w:szCs w:val="22"/>
        </w:rPr>
        <w:t>Artículo 3.</w:t>
      </w:r>
      <w:r w:rsidRPr="002341AF">
        <w:rPr>
          <w:rFonts w:ascii="Palatino Linotype" w:hAnsi="Palatino Linotype"/>
          <w:i/>
          <w:iCs/>
          <w:szCs w:val="22"/>
        </w:rPr>
        <w:t xml:space="preserve"> Para los efectos de la presente Ley se entenderá por:</w:t>
      </w:r>
    </w:p>
    <w:p w14:paraId="468E0FD7"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r w:rsidRPr="002341AF">
        <w:rPr>
          <w:rFonts w:ascii="Palatino Linotype" w:hAnsi="Palatino Linotype"/>
          <w:i/>
          <w:iCs/>
          <w:szCs w:val="22"/>
        </w:rPr>
        <w:t>(…)</w:t>
      </w:r>
    </w:p>
    <w:p w14:paraId="53027A01"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r w:rsidRPr="002341AF">
        <w:rPr>
          <w:rFonts w:ascii="Palatino Linotype" w:hAnsi="Palatino Linotype"/>
          <w:b/>
          <w:bCs/>
          <w:i/>
          <w:iCs/>
          <w:szCs w:val="22"/>
        </w:rPr>
        <w:t>XXIV.</w:t>
      </w:r>
      <w:r w:rsidRPr="002341AF">
        <w:rPr>
          <w:rFonts w:ascii="Palatino Linotype" w:hAnsi="Palatino Linotype"/>
          <w:i/>
          <w:iCs/>
          <w:szCs w:val="22"/>
        </w:rPr>
        <w:t xml:space="preserve"> </w:t>
      </w:r>
      <w:r w:rsidRPr="002341AF">
        <w:rPr>
          <w:rFonts w:ascii="Palatino Linotype" w:hAnsi="Palatino Linotype"/>
          <w:b/>
          <w:bCs/>
          <w:i/>
          <w:iCs/>
          <w:szCs w:val="22"/>
        </w:rPr>
        <w:t>Información reservada:</w:t>
      </w:r>
      <w:r w:rsidRPr="002341AF">
        <w:rPr>
          <w:rFonts w:ascii="Palatino Linotype" w:hAnsi="Palatino Linotype"/>
          <w:i/>
          <w:iCs/>
          <w:szCs w:val="22"/>
        </w:rPr>
        <w:t xml:space="preserve"> La clasificada con este carácter de manera temporal por las disposiciones de esta Ley, cuya divulgación puede causar daño en términos de lo establecido por esta Ley;</w:t>
      </w:r>
    </w:p>
    <w:p w14:paraId="210F5C78"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r w:rsidRPr="002341AF">
        <w:rPr>
          <w:rFonts w:ascii="Palatino Linotype" w:hAnsi="Palatino Linotype"/>
          <w:i/>
          <w:iCs/>
          <w:szCs w:val="22"/>
        </w:rPr>
        <w:t>(…)</w:t>
      </w:r>
    </w:p>
    <w:p w14:paraId="655B34D8"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p>
    <w:p w14:paraId="770726B8"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r w:rsidRPr="002341AF">
        <w:rPr>
          <w:rFonts w:ascii="Palatino Linotype" w:hAnsi="Palatino Linotype"/>
          <w:b/>
          <w:bCs/>
          <w:i/>
          <w:iCs/>
          <w:szCs w:val="22"/>
        </w:rPr>
        <w:t>Artículo 122.</w:t>
      </w:r>
      <w:r w:rsidRPr="002341AF">
        <w:rPr>
          <w:rFonts w:ascii="Palatino Linotype" w:hAnsi="Palatino Linotype"/>
          <w:i/>
          <w:iCs/>
          <w:szCs w:val="22"/>
        </w:rPr>
        <w:t xml:space="preserve"> La clasificación es el proceso mediante el cual el Sujeto Obligado determina que la información en su poder </w:t>
      </w:r>
      <w:proofErr w:type="spellStart"/>
      <w:r w:rsidRPr="002341AF">
        <w:rPr>
          <w:rFonts w:ascii="Palatino Linotype" w:hAnsi="Palatino Linotype"/>
          <w:i/>
          <w:iCs/>
          <w:szCs w:val="22"/>
        </w:rPr>
        <w:t>actualiza</w:t>
      </w:r>
      <w:proofErr w:type="spellEnd"/>
      <w:r w:rsidRPr="002341AF">
        <w:rPr>
          <w:rFonts w:ascii="Palatino Linotype" w:hAnsi="Palatino Linotype"/>
          <w:i/>
          <w:iCs/>
          <w:szCs w:val="22"/>
        </w:rPr>
        <w:t xml:space="preserve"> alguno de los supuestos de reserva o confidencialidad, de conformidad con lo dispuesto en el presente título.</w:t>
      </w:r>
    </w:p>
    <w:p w14:paraId="68656265"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r w:rsidRPr="002341AF">
        <w:rPr>
          <w:rFonts w:ascii="Palatino Linotype" w:hAnsi="Palatino Linotype"/>
          <w:i/>
          <w:iCs/>
          <w:szCs w:val="22"/>
        </w:rPr>
        <w:t>Los supuestos de reserva o confidencialidad previstos en las leyes deberán ser acordes con las bases, principios y disposiciones establecidos en la Ley General y, en ningún caso, podrán contravenirla.</w:t>
      </w:r>
    </w:p>
    <w:p w14:paraId="147C98C8"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r w:rsidRPr="002341AF">
        <w:rPr>
          <w:rFonts w:ascii="Palatino Linotype" w:hAnsi="Palatino Linotype"/>
          <w:i/>
          <w:iCs/>
          <w:szCs w:val="22"/>
        </w:rPr>
        <w:t>Los titulares de las áreas de los sujetos obligados serán los responsables de clasificar la información, de conformidad con lo dispuesto en la presente Ley y demás disposiciones jurídicas aplicables.</w:t>
      </w:r>
    </w:p>
    <w:p w14:paraId="0AFDED34"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p>
    <w:p w14:paraId="4A818E60"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r w:rsidRPr="002341AF">
        <w:rPr>
          <w:rFonts w:ascii="Palatino Linotype" w:hAnsi="Palatino Linotype"/>
          <w:b/>
          <w:bCs/>
          <w:i/>
          <w:iCs/>
          <w:szCs w:val="22"/>
        </w:rPr>
        <w:t>Artículo 125.</w:t>
      </w:r>
      <w:r w:rsidRPr="002341AF">
        <w:rPr>
          <w:rFonts w:ascii="Palatino Linotype" w:hAnsi="Palatino Linotype"/>
          <w:i/>
          <w:iCs/>
          <w:szCs w:val="22"/>
        </w:rPr>
        <w:t xml:space="preserve"> </w:t>
      </w:r>
      <w:r w:rsidRPr="002341AF">
        <w:rPr>
          <w:rFonts w:ascii="Palatino Linotype" w:hAnsi="Palatino Linotype"/>
          <w:b/>
          <w:bCs/>
          <w:i/>
          <w:iCs/>
          <w:szCs w:val="22"/>
        </w:rPr>
        <w:t>La información clasificada como reservada, de acuerdo a lo establecido en esta Ley podrá permanecer con tal carácter hasta por un periodo de cinco años</w:t>
      </w:r>
      <w:r w:rsidRPr="002341AF">
        <w:rPr>
          <w:rFonts w:ascii="Palatino Linotype" w:hAnsi="Palatino Linotype"/>
          <w:i/>
          <w:iCs/>
          <w:szCs w:val="22"/>
        </w:rPr>
        <w:t>, contados a partir de su clasificación, salvo que antes del cumplimiento del periodo de restricción, dejaran de existir los motivos de su reserva.</w:t>
      </w:r>
    </w:p>
    <w:p w14:paraId="673FD256"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r w:rsidRPr="002341AF">
        <w:rPr>
          <w:rFonts w:ascii="Palatino Linotype" w:hAnsi="Palatino Linotype"/>
          <w:i/>
          <w:iCs/>
          <w:szCs w:val="22"/>
        </w:rPr>
        <w:t>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167528CD"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r w:rsidRPr="002341AF">
        <w:rPr>
          <w:rFonts w:ascii="Palatino Linotype" w:hAnsi="Palatino Linotype"/>
          <w:i/>
          <w:iCs/>
          <w:szCs w:val="22"/>
        </w:rPr>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14:paraId="27AB081B"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r w:rsidRPr="002341AF">
        <w:rPr>
          <w:rFonts w:ascii="Palatino Linotype" w:hAnsi="Palatino Linotype"/>
          <w:i/>
          <w:iCs/>
          <w:szCs w:val="22"/>
        </w:rPr>
        <w:lastRenderedPageBreak/>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w:t>
      </w:r>
    </w:p>
    <w:p w14:paraId="6762C029"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p>
    <w:p w14:paraId="5272C241"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r w:rsidRPr="002341AF">
        <w:rPr>
          <w:rFonts w:ascii="Palatino Linotype" w:hAnsi="Palatino Linotype"/>
          <w:b/>
          <w:bCs/>
          <w:i/>
          <w:iCs/>
          <w:szCs w:val="22"/>
        </w:rPr>
        <w:t>Artículo 128.</w:t>
      </w:r>
      <w:r w:rsidRPr="002341AF">
        <w:rPr>
          <w:rFonts w:ascii="Palatino Linotype" w:hAnsi="Palatino Linotype"/>
          <w:i/>
          <w:iCs/>
          <w:szCs w:val="22"/>
        </w:rPr>
        <w:t xml:space="preserve"> </w:t>
      </w:r>
      <w:r w:rsidRPr="002341AF">
        <w:rPr>
          <w:rFonts w:ascii="Palatino Linotype" w:hAnsi="Palatino Linotype"/>
          <w:b/>
          <w:bCs/>
          <w:i/>
          <w:iCs/>
          <w:szCs w:val="22"/>
        </w:rPr>
        <w:t>En los casos en que se niegue el acceso a la información, por actualizarse alguno de los supuestos de clasificación, el Comité de Transparencia deberá confirmar, modificar o revocar la decisión</w:t>
      </w:r>
      <w:r w:rsidRPr="002341AF">
        <w:rPr>
          <w:rFonts w:ascii="Palatino Linotype" w:hAnsi="Palatino Linotype"/>
          <w:i/>
          <w:iCs/>
          <w:szCs w:val="22"/>
        </w:rPr>
        <w:t>.</w:t>
      </w:r>
    </w:p>
    <w:p w14:paraId="17931DE5"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r w:rsidRPr="002341AF">
        <w:rPr>
          <w:rFonts w:ascii="Palatino Linotype" w:hAnsi="Palatino Linotype"/>
          <w:i/>
          <w:iCs/>
          <w:szCs w:val="22"/>
        </w:rPr>
        <w:t xml:space="preserve">Para motivar la clasificación de la información y la ampliación del plazo de reserva, </w:t>
      </w:r>
      <w:r w:rsidRPr="002341AF">
        <w:rPr>
          <w:rFonts w:ascii="Palatino Linotype" w:hAnsi="Palatino Linotype"/>
          <w:b/>
          <w:bCs/>
          <w:i/>
          <w:iCs/>
          <w:szCs w:val="22"/>
        </w:rPr>
        <w:t>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r w:rsidRPr="002341AF">
        <w:rPr>
          <w:rFonts w:ascii="Palatino Linotype" w:hAnsi="Palatino Linotype"/>
          <w:i/>
          <w:iCs/>
          <w:szCs w:val="22"/>
        </w:rPr>
        <w:t>.</w:t>
      </w:r>
    </w:p>
    <w:p w14:paraId="01EE8B59"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r w:rsidRPr="002341AF">
        <w:rPr>
          <w:rFonts w:ascii="Palatino Linotype" w:hAnsi="Palatino Linotype"/>
          <w:i/>
          <w:iCs/>
          <w:szCs w:val="22"/>
        </w:rPr>
        <w:t>Tratándose de aquella información que actualice los supuestos de clasificación, deberá señalarse el plazo al que estará sujeto la reserva.</w:t>
      </w:r>
    </w:p>
    <w:p w14:paraId="37648ECE"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p>
    <w:p w14:paraId="27C73487" w14:textId="77777777" w:rsidR="00D41818" w:rsidRPr="002341AF" w:rsidRDefault="00D41818" w:rsidP="00D954CD">
      <w:pPr>
        <w:pStyle w:val="Prrafodelista"/>
        <w:tabs>
          <w:tab w:val="left" w:pos="426"/>
        </w:tabs>
        <w:ind w:left="567" w:right="567"/>
        <w:jc w:val="both"/>
        <w:rPr>
          <w:rFonts w:ascii="Palatino Linotype" w:hAnsi="Palatino Linotype"/>
          <w:b/>
          <w:bCs/>
          <w:i/>
          <w:iCs/>
          <w:szCs w:val="22"/>
        </w:rPr>
      </w:pPr>
      <w:r w:rsidRPr="002341AF">
        <w:rPr>
          <w:rFonts w:ascii="Palatino Linotype" w:hAnsi="Palatino Linotype"/>
          <w:b/>
          <w:bCs/>
          <w:i/>
          <w:iCs/>
          <w:szCs w:val="22"/>
        </w:rPr>
        <w:t>Artículo 129. En la aplicación de la prueba de daño, el Sujeto Obligado deberá precisar las razones objetivas por las que la apertura de la información generaría una afectación, justificando que:</w:t>
      </w:r>
    </w:p>
    <w:p w14:paraId="2036F8A9" w14:textId="77777777" w:rsidR="00D41818" w:rsidRPr="002341AF" w:rsidRDefault="00D41818" w:rsidP="00D954CD">
      <w:pPr>
        <w:pStyle w:val="Prrafodelista"/>
        <w:tabs>
          <w:tab w:val="left" w:pos="426"/>
        </w:tabs>
        <w:ind w:left="567" w:right="567"/>
        <w:jc w:val="both"/>
        <w:rPr>
          <w:rFonts w:ascii="Palatino Linotype" w:hAnsi="Palatino Linotype"/>
          <w:b/>
          <w:bCs/>
          <w:i/>
          <w:iCs/>
          <w:szCs w:val="22"/>
        </w:rPr>
      </w:pPr>
      <w:r w:rsidRPr="002341AF">
        <w:rPr>
          <w:rFonts w:ascii="Palatino Linotype" w:hAnsi="Palatino Linotype"/>
          <w:b/>
          <w:bCs/>
          <w:i/>
          <w:iCs/>
          <w:szCs w:val="22"/>
        </w:rPr>
        <w:t>I. La divulgación de la información representa un riesgo real, demostrable e identificable del perjuicio significativo al interés público o a la seguridad pública;</w:t>
      </w:r>
    </w:p>
    <w:p w14:paraId="77EE2829" w14:textId="77777777" w:rsidR="00D41818" w:rsidRPr="002341AF" w:rsidRDefault="00D41818" w:rsidP="00D954CD">
      <w:pPr>
        <w:pStyle w:val="Prrafodelista"/>
        <w:tabs>
          <w:tab w:val="left" w:pos="426"/>
        </w:tabs>
        <w:ind w:left="567" w:right="567"/>
        <w:jc w:val="both"/>
        <w:rPr>
          <w:rFonts w:ascii="Palatino Linotype" w:hAnsi="Palatino Linotype"/>
          <w:b/>
          <w:bCs/>
          <w:i/>
          <w:iCs/>
          <w:szCs w:val="22"/>
        </w:rPr>
      </w:pPr>
      <w:r w:rsidRPr="002341AF">
        <w:rPr>
          <w:rFonts w:ascii="Palatino Linotype" w:hAnsi="Palatino Linotype"/>
          <w:b/>
          <w:bCs/>
          <w:i/>
          <w:iCs/>
          <w:szCs w:val="22"/>
        </w:rPr>
        <w:t>II. El riesgo de perjuicio que supondría la divulgación supera el interés público general de que se difunda; y</w:t>
      </w:r>
    </w:p>
    <w:p w14:paraId="068792A7" w14:textId="77777777" w:rsidR="00D41818" w:rsidRPr="002341AF" w:rsidRDefault="00D41818" w:rsidP="00D954CD">
      <w:pPr>
        <w:pStyle w:val="Prrafodelista"/>
        <w:tabs>
          <w:tab w:val="left" w:pos="426"/>
        </w:tabs>
        <w:ind w:left="567" w:right="567"/>
        <w:jc w:val="both"/>
        <w:rPr>
          <w:rFonts w:ascii="Palatino Linotype" w:hAnsi="Palatino Linotype"/>
          <w:b/>
          <w:bCs/>
          <w:i/>
          <w:iCs/>
          <w:szCs w:val="22"/>
        </w:rPr>
      </w:pPr>
      <w:r w:rsidRPr="002341AF">
        <w:rPr>
          <w:rFonts w:ascii="Palatino Linotype" w:hAnsi="Palatino Linotype"/>
          <w:b/>
          <w:bCs/>
          <w:i/>
          <w:iCs/>
          <w:szCs w:val="22"/>
        </w:rPr>
        <w:t>III. La limitación se adecua al principio de proporcionalidad y representa el medio menos restrictivo disponible representa el medio menos restrictivo disponible para evitar el perjuicio.</w:t>
      </w:r>
    </w:p>
    <w:p w14:paraId="1A11B78F"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p>
    <w:p w14:paraId="34BBA6D7"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r w:rsidRPr="002341AF">
        <w:rPr>
          <w:rFonts w:ascii="Palatino Linotype" w:hAnsi="Palatino Linotype"/>
          <w:b/>
          <w:bCs/>
          <w:i/>
          <w:iCs/>
          <w:szCs w:val="22"/>
        </w:rPr>
        <w:t>Artículo 130.</w:t>
      </w:r>
      <w:r w:rsidRPr="002341AF">
        <w:rPr>
          <w:rFonts w:ascii="Palatino Linotype" w:hAnsi="Palatino Linotype"/>
          <w:i/>
          <w:iCs/>
          <w:szCs w:val="22"/>
        </w:rPr>
        <w:t xml:space="preserve"> </w:t>
      </w:r>
      <w:r w:rsidRPr="002341AF">
        <w:rPr>
          <w:rFonts w:ascii="Palatino Linotype" w:hAnsi="Palatino Linotype"/>
          <w:b/>
          <w:bCs/>
          <w:i/>
          <w:iCs/>
          <w:szCs w:val="22"/>
          <w:u w:val="single"/>
        </w:rPr>
        <w:t>Los sujetos obligados deberán aplicar, de manera restrictiva y limitada, las excepciones al derecho de acceso a la información y sólo podrán invocarlas cuando acrediten su procedencia</w:t>
      </w:r>
      <w:r w:rsidRPr="002341AF">
        <w:rPr>
          <w:rFonts w:ascii="Palatino Linotype" w:hAnsi="Palatino Linotype"/>
          <w:i/>
          <w:iCs/>
          <w:szCs w:val="22"/>
        </w:rPr>
        <w:t>, sin ampliar las excepciones o supuestos de reserva o confidencialidad previstos en la Ley General y la presente Ley, aduciendo analogía o mayoría de razón.</w:t>
      </w:r>
    </w:p>
    <w:p w14:paraId="1DFC614C"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p>
    <w:p w14:paraId="762D5641"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r w:rsidRPr="002341AF">
        <w:rPr>
          <w:rFonts w:ascii="Palatino Linotype" w:hAnsi="Palatino Linotype"/>
          <w:b/>
          <w:bCs/>
          <w:i/>
          <w:iCs/>
          <w:szCs w:val="22"/>
        </w:rPr>
        <w:t>Artículo 140.</w:t>
      </w:r>
      <w:r w:rsidRPr="002341AF">
        <w:rPr>
          <w:rFonts w:ascii="Palatino Linotype" w:hAnsi="Palatino Linotype"/>
          <w:i/>
          <w:iCs/>
          <w:szCs w:val="22"/>
        </w:rPr>
        <w:t xml:space="preserve"> </w:t>
      </w:r>
      <w:r w:rsidRPr="002341AF">
        <w:rPr>
          <w:rFonts w:ascii="Palatino Linotype" w:hAnsi="Palatino Linotype"/>
          <w:b/>
          <w:bCs/>
          <w:i/>
          <w:iCs/>
          <w:szCs w:val="22"/>
        </w:rPr>
        <w:t>El acceso a la información pública será restringido excepcionalmente, cuando por razones de interés público, ésta sea clasificada como reservada, conforme a los criterios siguientes:</w:t>
      </w:r>
    </w:p>
    <w:p w14:paraId="4452FDEA"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r w:rsidRPr="002341AF">
        <w:rPr>
          <w:rFonts w:ascii="Palatino Linotype" w:hAnsi="Palatino Linotype"/>
          <w:i/>
          <w:iCs/>
          <w:szCs w:val="22"/>
        </w:rPr>
        <w:t>(…)</w:t>
      </w:r>
    </w:p>
    <w:p w14:paraId="3EE3CF0D"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r w:rsidRPr="002341AF">
        <w:rPr>
          <w:rFonts w:ascii="Palatino Linotype" w:hAnsi="Palatino Linotype"/>
          <w:b/>
          <w:bCs/>
          <w:i/>
          <w:iCs/>
          <w:szCs w:val="22"/>
        </w:rPr>
        <w:t>VI.</w:t>
      </w:r>
      <w:r w:rsidRPr="002341AF">
        <w:rPr>
          <w:rFonts w:ascii="Palatino Linotype" w:hAnsi="Palatino Linotype"/>
          <w:i/>
          <w:iCs/>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448B05C8" w14:textId="77777777" w:rsidR="00D41818" w:rsidRPr="002341AF" w:rsidRDefault="00D41818" w:rsidP="00D954CD">
      <w:pPr>
        <w:pStyle w:val="Prrafodelista"/>
        <w:tabs>
          <w:tab w:val="left" w:pos="426"/>
        </w:tabs>
        <w:ind w:left="567" w:right="567"/>
        <w:jc w:val="both"/>
        <w:rPr>
          <w:rFonts w:ascii="Palatino Linotype" w:hAnsi="Palatino Linotype"/>
          <w:szCs w:val="22"/>
        </w:rPr>
      </w:pPr>
      <w:r w:rsidRPr="002341AF">
        <w:rPr>
          <w:rFonts w:ascii="Palatino Linotype" w:hAnsi="Palatino Linotype"/>
          <w:i/>
          <w:iCs/>
          <w:szCs w:val="22"/>
        </w:rPr>
        <w:t>(…)”</w:t>
      </w:r>
    </w:p>
    <w:p w14:paraId="02E8D9DE"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39FABA3E" w14:textId="27314D84"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t xml:space="preserve">De la interpretación sistemática de los artículos citados, se advierte que el </w:t>
      </w:r>
      <w:r w:rsidRPr="002341AF">
        <w:rPr>
          <w:rFonts w:ascii="Palatino Linotype" w:hAnsi="Palatino Linotype"/>
          <w:b/>
          <w:bCs/>
          <w:sz w:val="24"/>
          <w:lang w:val="es-ES_tradnl"/>
        </w:rPr>
        <w:t>SUJETO OBLIGADO</w:t>
      </w:r>
      <w:r w:rsidR="00BA2F78" w:rsidRPr="002341AF">
        <w:rPr>
          <w:rFonts w:ascii="Palatino Linotype" w:hAnsi="Palatino Linotype"/>
          <w:b/>
          <w:bCs/>
          <w:sz w:val="24"/>
          <w:lang w:val="es-ES_tradnl"/>
        </w:rPr>
        <w:t>,</w:t>
      </w:r>
      <w:r w:rsidRPr="002341AF">
        <w:rPr>
          <w:rFonts w:ascii="Palatino Linotype" w:hAnsi="Palatino Linotype"/>
          <w:sz w:val="24"/>
          <w:lang w:val="es-ES_tradnl"/>
        </w:rPr>
        <w:t xml:space="preserve"> debe realizar la debida reserva de la información por seguir en trámite el procedimiento aludido, siguiendo los requisitos expuestos:</w:t>
      </w:r>
    </w:p>
    <w:p w14:paraId="62C7B6E3"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22C0158F" w14:textId="77777777" w:rsidR="00D41818" w:rsidRPr="002341AF" w:rsidRDefault="00D41818" w:rsidP="00D954CD">
      <w:pPr>
        <w:pStyle w:val="Prrafodelista"/>
        <w:tabs>
          <w:tab w:val="left" w:pos="426"/>
        </w:tabs>
        <w:ind w:left="567" w:right="567"/>
        <w:jc w:val="both"/>
        <w:rPr>
          <w:rFonts w:ascii="Palatino Linotype" w:hAnsi="Palatino Linotype"/>
          <w:szCs w:val="22"/>
        </w:rPr>
      </w:pPr>
      <w:r w:rsidRPr="002341AF">
        <w:rPr>
          <w:rFonts w:ascii="Palatino Linotype" w:hAnsi="Palatino Linotype"/>
          <w:b/>
          <w:bCs/>
          <w:szCs w:val="22"/>
        </w:rPr>
        <w:t>I.</w:t>
      </w:r>
      <w:r w:rsidRPr="002341AF">
        <w:rPr>
          <w:rFonts w:ascii="Palatino Linotype" w:hAnsi="Palatino Linotype"/>
          <w:szCs w:val="22"/>
        </w:rPr>
        <w:t xml:space="preserve"> La divulgación de la información representa un riesgo real, demostrable e identificable del perjuicio significativo al interés público o a la seguridad pública;</w:t>
      </w:r>
    </w:p>
    <w:p w14:paraId="3E07C26D" w14:textId="77777777" w:rsidR="00D41818" w:rsidRPr="002341AF" w:rsidRDefault="00D41818" w:rsidP="00D954CD">
      <w:pPr>
        <w:pStyle w:val="Prrafodelista"/>
        <w:tabs>
          <w:tab w:val="left" w:pos="426"/>
        </w:tabs>
        <w:ind w:left="567" w:right="567"/>
        <w:jc w:val="both"/>
        <w:rPr>
          <w:rFonts w:ascii="Palatino Linotype" w:hAnsi="Palatino Linotype"/>
          <w:szCs w:val="22"/>
        </w:rPr>
      </w:pPr>
      <w:r w:rsidRPr="002341AF">
        <w:rPr>
          <w:rFonts w:ascii="Palatino Linotype" w:hAnsi="Palatino Linotype"/>
          <w:b/>
          <w:bCs/>
          <w:szCs w:val="22"/>
        </w:rPr>
        <w:t>II.</w:t>
      </w:r>
      <w:r w:rsidRPr="002341AF">
        <w:rPr>
          <w:rFonts w:ascii="Palatino Linotype" w:hAnsi="Palatino Linotype"/>
          <w:szCs w:val="22"/>
        </w:rPr>
        <w:t xml:space="preserve"> El riesgo de perjuicio que supondría la divulgación supera el interés público general de que se difunda; y</w:t>
      </w:r>
    </w:p>
    <w:p w14:paraId="4ABAA145" w14:textId="77777777" w:rsidR="00D41818" w:rsidRPr="002341AF" w:rsidRDefault="00D41818" w:rsidP="00D954CD">
      <w:pPr>
        <w:pStyle w:val="Prrafodelista"/>
        <w:tabs>
          <w:tab w:val="left" w:pos="426"/>
        </w:tabs>
        <w:ind w:left="567" w:right="567"/>
        <w:jc w:val="both"/>
        <w:rPr>
          <w:rFonts w:ascii="Palatino Linotype" w:hAnsi="Palatino Linotype"/>
          <w:szCs w:val="22"/>
        </w:rPr>
      </w:pPr>
      <w:r w:rsidRPr="002341AF">
        <w:rPr>
          <w:rFonts w:ascii="Palatino Linotype" w:hAnsi="Palatino Linotype"/>
          <w:b/>
          <w:bCs/>
          <w:szCs w:val="22"/>
        </w:rPr>
        <w:t>III.</w:t>
      </w:r>
      <w:r w:rsidRPr="002341AF">
        <w:rPr>
          <w:rFonts w:ascii="Palatino Linotype" w:hAnsi="Palatino Linotype"/>
          <w:szCs w:val="22"/>
        </w:rPr>
        <w:t xml:space="preserve"> La limitación se adecua al principio de proporcionalidad y representa el medio menos restrictivo disponible representa el medio menos restrictivo disponible para evitar el perjuicio.</w:t>
      </w:r>
    </w:p>
    <w:p w14:paraId="74C9AD74"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78102FBA"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t xml:space="preserve">Requisitos que deben estar acompañados de la debida fundamentación y motivación, cobrado aplicación lo que señala la jurisprudencia de la novena época visible en el Semanario Judicial de la Federación y su Gaceta. Instancia: Tribunales </w:t>
      </w:r>
      <w:r w:rsidRPr="002341AF">
        <w:rPr>
          <w:rFonts w:ascii="Palatino Linotype" w:hAnsi="Palatino Linotype"/>
          <w:sz w:val="24"/>
          <w:lang w:val="es-ES_tradnl"/>
        </w:rPr>
        <w:lastRenderedPageBreak/>
        <w:t>Colegiados de Circuito. Tesis I.4o.A.J/43 (9a.) bajo el número de registro 175082 cuyo rubro y texto esgrime;</w:t>
      </w:r>
    </w:p>
    <w:p w14:paraId="2003E4B0"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5068FFFD"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r w:rsidRPr="002341AF">
        <w:rPr>
          <w:rFonts w:ascii="Palatino Linotype" w:hAnsi="Palatino Linotype"/>
          <w:b/>
          <w:bCs/>
          <w:i/>
          <w:iCs/>
          <w:szCs w:val="22"/>
        </w:rPr>
        <w:t>FUNDAMENTACIÓN Y MOTIVACIÓN. EL ASPECTO FORMAL DE LA GARANTÍA Y SU FINALIDAD SE TRADUCEN EN EXPLICAR, JUSTIFICAR, POSIBILITAR LA DEFENSA Y COMUNICAR LA DECISIÓN</w:t>
      </w:r>
      <w:r w:rsidRPr="002341AF">
        <w:rPr>
          <w:rFonts w:ascii="Palatino Linotype" w:hAnsi="Palatino Linotype"/>
          <w:i/>
          <w:iCs/>
          <w:szCs w:val="22"/>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673174C2"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6F592D3C" w14:textId="29778CB5"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t xml:space="preserve">Debiendo argumentar el </w:t>
      </w:r>
      <w:r w:rsidRPr="002341AF">
        <w:rPr>
          <w:rFonts w:ascii="Palatino Linotype" w:hAnsi="Palatino Linotype"/>
          <w:b/>
          <w:bCs/>
          <w:sz w:val="24"/>
          <w:lang w:val="es-ES_tradnl"/>
        </w:rPr>
        <w:t>SUJETO OBLIGADO</w:t>
      </w:r>
      <w:r w:rsidR="00BA2F78" w:rsidRPr="002341AF">
        <w:rPr>
          <w:rFonts w:ascii="Palatino Linotype" w:hAnsi="Palatino Linotype"/>
          <w:b/>
          <w:bCs/>
          <w:sz w:val="24"/>
          <w:lang w:val="es-ES_tradnl"/>
        </w:rPr>
        <w:t>,</w:t>
      </w:r>
      <w:r w:rsidRPr="002341AF">
        <w:rPr>
          <w:rFonts w:ascii="Palatino Linotype" w:hAnsi="Palatino Linotype"/>
          <w:sz w:val="24"/>
          <w:lang w:val="es-ES_tradnl"/>
        </w:rPr>
        <w:t xml:space="preserve"> que la liberación de la información pueda amenazar el interés protegido por la ley; es decir, esgrimir ideas jurídicas en el cual se evidencie la amenaza del daño o alteración al procedimiento que aduce el </w:t>
      </w:r>
      <w:r w:rsidRPr="002341AF">
        <w:rPr>
          <w:rFonts w:ascii="Palatino Linotype" w:hAnsi="Palatino Linotype"/>
          <w:b/>
          <w:bCs/>
          <w:sz w:val="24"/>
          <w:lang w:val="es-ES_tradnl"/>
        </w:rPr>
        <w:t>SUJETO OBLIGADO</w:t>
      </w:r>
      <w:r w:rsidRPr="002341AF">
        <w:rPr>
          <w:rFonts w:ascii="Palatino Linotype" w:hAnsi="Palatino Linotype"/>
          <w:sz w:val="24"/>
          <w:lang w:val="es-ES_tradnl"/>
        </w:rPr>
        <w:t xml:space="preserve">, amparado de razones, y circunstancias especiales que lo llevaron a concluir que el caso particular se ajusta al supuesto previsto en la norma legal invocada como fundamento, específicamente como lo hizo valer en su respuesta, </w:t>
      </w:r>
      <w:r w:rsidRPr="002341AF">
        <w:rPr>
          <w:rFonts w:ascii="Palatino Linotype" w:hAnsi="Palatino Linotype"/>
          <w:sz w:val="24"/>
          <w:lang w:val="es-ES_tradnl"/>
        </w:rPr>
        <w:lastRenderedPageBreak/>
        <w:t>deberá clasificarla por la hipótesis análoga siendo aplicables los numerales de la Ley de la materia, que a la letra esgrimen:</w:t>
      </w:r>
    </w:p>
    <w:p w14:paraId="4B29532D"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0B68D345"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r w:rsidRPr="002341AF">
        <w:rPr>
          <w:rFonts w:ascii="Palatino Linotype" w:hAnsi="Palatino Linotype"/>
          <w:i/>
          <w:iCs/>
          <w:szCs w:val="22"/>
        </w:rPr>
        <w:t>“</w:t>
      </w:r>
      <w:r w:rsidRPr="002341AF">
        <w:rPr>
          <w:rFonts w:ascii="Palatino Linotype" w:hAnsi="Palatino Linotype"/>
          <w:b/>
          <w:bCs/>
          <w:i/>
          <w:iCs/>
          <w:szCs w:val="22"/>
        </w:rPr>
        <w:t>Artículo 3.</w:t>
      </w:r>
      <w:r w:rsidRPr="002341AF">
        <w:rPr>
          <w:rFonts w:ascii="Palatino Linotype" w:hAnsi="Palatino Linotype"/>
          <w:i/>
          <w:iCs/>
          <w:szCs w:val="22"/>
        </w:rPr>
        <w:t xml:space="preserve"> Para los efectos de la presente Ley se entenderá por:</w:t>
      </w:r>
    </w:p>
    <w:p w14:paraId="4F7DC373"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r w:rsidRPr="002341AF">
        <w:rPr>
          <w:rFonts w:ascii="Palatino Linotype" w:hAnsi="Palatino Linotype"/>
          <w:i/>
          <w:iCs/>
          <w:szCs w:val="22"/>
        </w:rPr>
        <w:t>(…)</w:t>
      </w:r>
    </w:p>
    <w:p w14:paraId="26BFF443"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r w:rsidRPr="002341AF">
        <w:rPr>
          <w:rFonts w:ascii="Palatino Linotype" w:hAnsi="Palatino Linotype"/>
          <w:b/>
          <w:bCs/>
          <w:i/>
          <w:iCs/>
          <w:szCs w:val="22"/>
        </w:rPr>
        <w:t>IX.</w:t>
      </w:r>
      <w:r w:rsidRPr="002341AF">
        <w:rPr>
          <w:rFonts w:ascii="Palatino Linotype" w:hAnsi="Palatino Linotype"/>
          <w:i/>
          <w:iCs/>
          <w:szCs w:val="22"/>
        </w:rPr>
        <w:t xml:space="preserve"> </w:t>
      </w:r>
      <w:r w:rsidRPr="002341AF">
        <w:rPr>
          <w:rFonts w:ascii="Palatino Linotype" w:hAnsi="Palatino Linotype"/>
          <w:b/>
          <w:bCs/>
          <w:i/>
          <w:iCs/>
          <w:szCs w:val="22"/>
        </w:rPr>
        <w:t>Datos personales:</w:t>
      </w:r>
      <w:r w:rsidRPr="002341AF">
        <w:rPr>
          <w:rFonts w:ascii="Palatino Linotype" w:hAnsi="Palatino Linotype"/>
          <w:i/>
          <w:iCs/>
          <w:szCs w:val="22"/>
        </w:rPr>
        <w:t xml:space="preserve"> La información concerniente a una persona, identificada o identificable según lo dispuesto por la Ley de Protección de Datos Personales del Estado de México;</w:t>
      </w:r>
    </w:p>
    <w:p w14:paraId="2D0A6DE1"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r w:rsidRPr="002341AF">
        <w:rPr>
          <w:rFonts w:ascii="Palatino Linotype" w:hAnsi="Palatino Linotype"/>
          <w:i/>
          <w:iCs/>
          <w:szCs w:val="22"/>
        </w:rPr>
        <w:t>(…)</w:t>
      </w:r>
    </w:p>
    <w:p w14:paraId="04262BC8"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r w:rsidRPr="002341AF">
        <w:rPr>
          <w:rFonts w:ascii="Palatino Linotype" w:hAnsi="Palatino Linotype"/>
          <w:b/>
          <w:bCs/>
          <w:i/>
          <w:iCs/>
          <w:szCs w:val="22"/>
        </w:rPr>
        <w:t>XLV.</w:t>
      </w:r>
      <w:r w:rsidRPr="002341AF">
        <w:rPr>
          <w:rFonts w:ascii="Palatino Linotype" w:hAnsi="Palatino Linotype"/>
          <w:i/>
          <w:iCs/>
          <w:szCs w:val="22"/>
        </w:rPr>
        <w:t xml:space="preserve"> </w:t>
      </w:r>
      <w:r w:rsidRPr="002341AF">
        <w:rPr>
          <w:rFonts w:ascii="Palatino Linotype" w:hAnsi="Palatino Linotype"/>
          <w:b/>
          <w:bCs/>
          <w:i/>
          <w:iCs/>
          <w:szCs w:val="22"/>
        </w:rPr>
        <w:t>Versión pública:</w:t>
      </w:r>
      <w:r w:rsidRPr="002341AF">
        <w:rPr>
          <w:rFonts w:ascii="Palatino Linotype" w:hAnsi="Palatino Linotype"/>
          <w:i/>
          <w:iCs/>
          <w:szCs w:val="22"/>
        </w:rPr>
        <w:t xml:space="preserve"> Documento en el que se elimine, suprime o borra la información clasificada como reservada o confidencial para permitir su acceso.</w:t>
      </w:r>
    </w:p>
    <w:p w14:paraId="476A3F5E"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p>
    <w:p w14:paraId="520DDD54"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r w:rsidRPr="002341AF">
        <w:rPr>
          <w:rFonts w:ascii="Palatino Linotype" w:hAnsi="Palatino Linotype"/>
          <w:b/>
          <w:bCs/>
          <w:i/>
          <w:iCs/>
          <w:szCs w:val="22"/>
        </w:rPr>
        <w:t>Artículo 122.</w:t>
      </w:r>
      <w:r w:rsidRPr="002341AF">
        <w:rPr>
          <w:rFonts w:ascii="Palatino Linotype" w:hAnsi="Palatino Linotype"/>
          <w:i/>
          <w:iCs/>
          <w:szCs w:val="22"/>
        </w:rPr>
        <w:t xml:space="preserve"> </w:t>
      </w:r>
      <w:r w:rsidRPr="002341AF">
        <w:rPr>
          <w:rFonts w:ascii="Palatino Linotype" w:hAnsi="Palatino Linotype"/>
          <w:b/>
          <w:bCs/>
          <w:i/>
          <w:iCs/>
          <w:szCs w:val="22"/>
        </w:rPr>
        <w:t xml:space="preserve">La clasificación es el proceso mediante el cual el Sujeto Obligado determina que la información en su poder </w:t>
      </w:r>
      <w:proofErr w:type="spellStart"/>
      <w:r w:rsidRPr="002341AF">
        <w:rPr>
          <w:rFonts w:ascii="Palatino Linotype" w:hAnsi="Palatino Linotype"/>
          <w:b/>
          <w:bCs/>
          <w:i/>
          <w:iCs/>
          <w:szCs w:val="22"/>
        </w:rPr>
        <w:t>actualiza</w:t>
      </w:r>
      <w:proofErr w:type="spellEnd"/>
      <w:r w:rsidRPr="002341AF">
        <w:rPr>
          <w:rFonts w:ascii="Palatino Linotype" w:hAnsi="Palatino Linotype"/>
          <w:b/>
          <w:bCs/>
          <w:i/>
          <w:iCs/>
          <w:szCs w:val="22"/>
        </w:rPr>
        <w:t xml:space="preserve"> alguno de los supuestos de reserva o confidencialidad,</w:t>
      </w:r>
      <w:r w:rsidRPr="002341AF">
        <w:rPr>
          <w:rFonts w:ascii="Palatino Linotype" w:hAnsi="Palatino Linotype"/>
          <w:i/>
          <w:iCs/>
          <w:szCs w:val="22"/>
        </w:rPr>
        <w:t xml:space="preserve"> de conformidad con lo dispuesto en el presente título.</w:t>
      </w:r>
    </w:p>
    <w:p w14:paraId="78F0B3BB"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r w:rsidRPr="002341AF">
        <w:rPr>
          <w:rFonts w:ascii="Palatino Linotype" w:hAnsi="Palatino Linotype"/>
          <w:i/>
          <w:iCs/>
          <w:szCs w:val="22"/>
        </w:rPr>
        <w:t>(…)</w:t>
      </w:r>
    </w:p>
    <w:p w14:paraId="452C136E"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p>
    <w:p w14:paraId="46F23E99"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r w:rsidRPr="002341AF">
        <w:rPr>
          <w:rFonts w:ascii="Palatino Linotype" w:hAnsi="Palatino Linotype"/>
          <w:b/>
          <w:bCs/>
          <w:i/>
          <w:iCs/>
          <w:szCs w:val="22"/>
        </w:rPr>
        <w:t>Artículo 132.</w:t>
      </w:r>
      <w:r w:rsidRPr="002341AF">
        <w:rPr>
          <w:rFonts w:ascii="Palatino Linotype" w:hAnsi="Palatino Linotype"/>
          <w:i/>
          <w:iCs/>
          <w:szCs w:val="22"/>
        </w:rPr>
        <w:t xml:space="preserve"> </w:t>
      </w:r>
      <w:r w:rsidRPr="002341AF">
        <w:rPr>
          <w:rFonts w:ascii="Palatino Linotype" w:hAnsi="Palatino Linotype"/>
          <w:b/>
          <w:bCs/>
          <w:i/>
          <w:iCs/>
          <w:szCs w:val="22"/>
        </w:rPr>
        <w:t>La clasificación de la información se llevará a cabo en el momento en que:</w:t>
      </w:r>
    </w:p>
    <w:p w14:paraId="5658530A"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r w:rsidRPr="002341AF">
        <w:rPr>
          <w:rFonts w:ascii="Palatino Linotype" w:hAnsi="Palatino Linotype"/>
          <w:i/>
          <w:iCs/>
          <w:szCs w:val="22"/>
        </w:rPr>
        <w:t>(…)</w:t>
      </w:r>
    </w:p>
    <w:p w14:paraId="15769036"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r w:rsidRPr="002341AF">
        <w:rPr>
          <w:rFonts w:ascii="Palatino Linotype" w:hAnsi="Palatino Linotype"/>
          <w:b/>
          <w:bCs/>
          <w:i/>
          <w:iCs/>
          <w:szCs w:val="22"/>
        </w:rPr>
        <w:t>III.</w:t>
      </w:r>
      <w:r w:rsidRPr="002341AF">
        <w:rPr>
          <w:rFonts w:ascii="Palatino Linotype" w:hAnsi="Palatino Linotype"/>
          <w:i/>
          <w:iCs/>
          <w:szCs w:val="22"/>
        </w:rPr>
        <w:t xml:space="preserve"> </w:t>
      </w:r>
      <w:r w:rsidRPr="002341AF">
        <w:rPr>
          <w:rFonts w:ascii="Palatino Linotype" w:hAnsi="Palatino Linotype"/>
          <w:b/>
          <w:bCs/>
          <w:i/>
          <w:iCs/>
          <w:szCs w:val="22"/>
        </w:rPr>
        <w:t>Se generen versiones públicas</w:t>
      </w:r>
      <w:r w:rsidRPr="002341AF">
        <w:rPr>
          <w:rFonts w:ascii="Palatino Linotype" w:hAnsi="Palatino Linotype"/>
          <w:i/>
          <w:iCs/>
          <w:szCs w:val="22"/>
        </w:rPr>
        <w:t xml:space="preserve"> para dar cumplimiento a las obligaciones de transparencia previstas en esta Ley.</w:t>
      </w:r>
    </w:p>
    <w:p w14:paraId="0087187A"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p>
    <w:p w14:paraId="59C29DEA" w14:textId="77777777" w:rsidR="00D41818" w:rsidRPr="002341AF" w:rsidRDefault="00D41818" w:rsidP="00D954CD">
      <w:pPr>
        <w:pStyle w:val="Prrafodelista"/>
        <w:tabs>
          <w:tab w:val="left" w:pos="426"/>
        </w:tabs>
        <w:ind w:left="567" w:right="567"/>
        <w:jc w:val="both"/>
        <w:rPr>
          <w:rFonts w:ascii="Palatino Linotype" w:hAnsi="Palatino Linotype"/>
          <w:i/>
          <w:iCs/>
          <w:szCs w:val="22"/>
        </w:rPr>
      </w:pPr>
      <w:r w:rsidRPr="002341AF">
        <w:rPr>
          <w:rFonts w:ascii="Palatino Linotype" w:hAnsi="Palatino Linotype"/>
          <w:b/>
          <w:bCs/>
          <w:i/>
          <w:iCs/>
          <w:szCs w:val="22"/>
        </w:rPr>
        <w:t>Artículo 137.</w:t>
      </w:r>
      <w:r w:rsidRPr="002341AF">
        <w:rPr>
          <w:rFonts w:ascii="Palatino Linotype" w:hAnsi="Palatino Linotype"/>
          <w:i/>
          <w:iCs/>
          <w:szCs w:val="22"/>
        </w:rPr>
        <w:t xml:space="preserve"> </w:t>
      </w:r>
      <w:r w:rsidRPr="002341AF">
        <w:rPr>
          <w:rFonts w:ascii="Palatino Linotype" w:hAnsi="Palatino Linotype"/>
          <w:b/>
          <w:bCs/>
          <w:i/>
          <w:iCs/>
          <w:szCs w:val="22"/>
        </w:rPr>
        <w:t>Cuando un mismo medio, impreso o electrónico, contenga información pública y reservada o confidencial, la Unidad de Transparencia</w:t>
      </w:r>
      <w:r w:rsidRPr="002341AF">
        <w:rPr>
          <w:rFonts w:ascii="Palatino Linotype" w:hAnsi="Palatino Linotype"/>
          <w:i/>
          <w:iCs/>
          <w:szCs w:val="22"/>
        </w:rPr>
        <w:t xml:space="preserve"> para efectos de atender una solicitud de información, </w:t>
      </w:r>
      <w:r w:rsidRPr="002341AF">
        <w:rPr>
          <w:rFonts w:ascii="Palatino Linotype" w:hAnsi="Palatino Linotype"/>
          <w:b/>
          <w:bCs/>
          <w:i/>
          <w:iCs/>
          <w:szCs w:val="22"/>
        </w:rPr>
        <w:t xml:space="preserve">deberán elaborar una versión pública </w:t>
      </w:r>
      <w:r w:rsidRPr="002341AF">
        <w:rPr>
          <w:rFonts w:ascii="Palatino Linotype" w:hAnsi="Palatino Linotype"/>
          <w:i/>
          <w:iCs/>
          <w:szCs w:val="22"/>
        </w:rPr>
        <w:t xml:space="preserve">en la que se testen las partes o secciones clasificadas, </w:t>
      </w:r>
      <w:r w:rsidRPr="002341AF">
        <w:rPr>
          <w:rFonts w:ascii="Palatino Linotype" w:hAnsi="Palatino Linotype"/>
          <w:b/>
          <w:bCs/>
          <w:i/>
          <w:iCs/>
          <w:szCs w:val="22"/>
        </w:rPr>
        <w:t>indicando su contenido de manera genérica y fundando y motivando su clasificación</w:t>
      </w:r>
      <w:r w:rsidRPr="002341AF">
        <w:rPr>
          <w:rFonts w:ascii="Palatino Linotype" w:hAnsi="Palatino Linotype"/>
          <w:i/>
          <w:iCs/>
          <w:szCs w:val="22"/>
        </w:rPr>
        <w:t>.”</w:t>
      </w:r>
    </w:p>
    <w:p w14:paraId="1A31108C"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6754976F"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lastRenderedPageBreak/>
        <w:t>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w:t>
      </w:r>
    </w:p>
    <w:p w14:paraId="33426F97"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16BFCDC6"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5745D735"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2D5DE186"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t xml:space="preserve">Así, los LINEAMIENTOS GENERALES EN MATERIA DE CLASIFICACIÓN Y DESCLASIFICACIÓN DE LA INFORMACIÓN, ASÍ COMO PARA LA ELABORACIÓN DE VERSIONES PÚBLICAS, emitidos por Consejo Nacional del Sistema Nacional de Transparencia, señalan con claridad cuáles son aquellos datos </w:t>
      </w:r>
      <w:r w:rsidRPr="002341AF">
        <w:rPr>
          <w:rFonts w:ascii="Palatino Linotype" w:hAnsi="Palatino Linotype"/>
          <w:sz w:val="24"/>
          <w:lang w:val="es-ES_tradnl"/>
        </w:rPr>
        <w:lastRenderedPageBreak/>
        <w:t>personales que deben ser clasificados al momento de la elaboración de las versiones públicas.</w:t>
      </w:r>
    </w:p>
    <w:p w14:paraId="05A1A049"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248EB264" w14:textId="2AC431D1"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t xml:space="preserve">Efectivamente, cuando se clasifica información como confidencial o reservada </w:t>
      </w:r>
      <w:r w:rsidRPr="002341AF">
        <w:rPr>
          <w:rFonts w:ascii="Palatino Linotype" w:hAnsi="Palatino Linotype"/>
          <w:b/>
          <w:bCs/>
          <w:sz w:val="24"/>
          <w:lang w:val="es-ES_tradnl"/>
        </w:rPr>
        <w:t>es deber someterlo al Comité de Transparencia</w:t>
      </w:r>
      <w:r w:rsidRPr="002341AF">
        <w:rPr>
          <w:rFonts w:ascii="Palatino Linotype" w:hAnsi="Palatino Linotype"/>
          <w:sz w:val="24"/>
          <w:lang w:val="es-ES_tradnl"/>
        </w:rPr>
        <w:t xml:space="preserve">, quien debe confirmar, modificar o revocar las determinaciones en materia de clasificación de la información que realicen los titulares de las áreas de los sujetos obligados; por lo tanto, la entrega de documentos en su versión pública debe estar debidamente fundado y motivado, en el que se expongan los fundamentos y razonamientos que llevaron al </w:t>
      </w:r>
      <w:r w:rsidRPr="002341AF">
        <w:rPr>
          <w:rFonts w:ascii="Palatino Linotype" w:hAnsi="Palatino Linotype"/>
          <w:b/>
          <w:sz w:val="24"/>
          <w:lang w:val="es-ES_tradnl"/>
        </w:rPr>
        <w:t>SUJETO OBLIGADO</w:t>
      </w:r>
      <w:r w:rsidR="00BA2F78" w:rsidRPr="002341AF">
        <w:rPr>
          <w:rFonts w:ascii="Palatino Linotype" w:hAnsi="Palatino Linotype"/>
          <w:b/>
          <w:sz w:val="24"/>
          <w:lang w:val="es-ES_tradnl"/>
        </w:rPr>
        <w:t>,</w:t>
      </w:r>
      <w:r w:rsidRPr="002341AF">
        <w:rPr>
          <w:rFonts w:ascii="Palatino Linotype" w:hAnsi="Palatino Linotype"/>
          <w:sz w:val="24"/>
          <w:lang w:val="es-ES_tradnl"/>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15E5DB4"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6C3D7EC8" w14:textId="03A60A8F" w:rsidR="00D41818" w:rsidRPr="002341AF" w:rsidRDefault="00D41818" w:rsidP="00D41818">
      <w:pPr>
        <w:pStyle w:val="Prrafodelista"/>
        <w:numPr>
          <w:ilvl w:val="0"/>
          <w:numId w:val="26"/>
        </w:numPr>
        <w:tabs>
          <w:tab w:val="left" w:pos="426"/>
        </w:tabs>
        <w:spacing w:line="360" w:lineRule="auto"/>
        <w:ind w:hanging="153"/>
        <w:jc w:val="both"/>
        <w:outlineLvl w:val="2"/>
        <w:rPr>
          <w:rFonts w:ascii="Palatino Linotype" w:hAnsi="Palatino Linotype"/>
          <w:b/>
          <w:bCs/>
          <w:sz w:val="24"/>
        </w:rPr>
      </w:pPr>
      <w:bookmarkStart w:id="12" w:name="_Toc92875121"/>
      <w:r w:rsidRPr="002341AF">
        <w:rPr>
          <w:rFonts w:ascii="Palatino Linotype" w:hAnsi="Palatino Linotype"/>
          <w:b/>
          <w:bCs/>
          <w:szCs w:val="22"/>
        </w:rPr>
        <w:t>Procedimientos en trámite a la fecha de la presente resolución.</w:t>
      </w:r>
      <w:bookmarkEnd w:id="12"/>
    </w:p>
    <w:p w14:paraId="0E35A7EF"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3B78373E"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t xml:space="preserve">Al respecto, el artículo 140, fracción VI, de la Ley de Transparencia y Acceso a la Información Pública del Estado de México y Municipios (homólogo al artículo 113, </w:t>
      </w:r>
      <w:r w:rsidRPr="002341AF">
        <w:rPr>
          <w:rFonts w:ascii="Palatino Linotype" w:hAnsi="Palatino Linotype"/>
          <w:sz w:val="24"/>
          <w:lang w:val="es-ES_tradnl"/>
        </w:rPr>
        <w:lastRenderedPageBreak/>
        <w:t>fracción IX, de la Ley General de Transparencia y Acceso a la Información Pública), establece que aquella información que afecte o vulnere la conducción de procedimientos de responsabilidades administrativas, en tanto no hayan quedado firmes, será reservada.</w:t>
      </w:r>
    </w:p>
    <w:p w14:paraId="0DEC20F0"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36B861BE"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t>Por lo cual, la causal de reserva prevé que la información podrá clasificarse como reservada en el caso de que obstruya los procedimientos para fincar responsabilidad a los servidores públicos, pretende proteger la información vinculada a dichos procedimientos.</w:t>
      </w:r>
    </w:p>
    <w:p w14:paraId="5A8A8599"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0F3414AE"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t>Por su parte, en los Lineamientos Generales en Materia de Clasificación y Desclasificación de la Información, así como para la elaboración de versiones públicas, se establece lo siguiente:</w:t>
      </w:r>
    </w:p>
    <w:p w14:paraId="5C09FF5F"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0696C724" w14:textId="77777777" w:rsidR="00D41818" w:rsidRPr="002341AF" w:rsidRDefault="00D41818" w:rsidP="00D41818">
      <w:pPr>
        <w:pStyle w:val="Prrafodelista"/>
        <w:tabs>
          <w:tab w:val="left" w:pos="426"/>
        </w:tabs>
        <w:ind w:left="567" w:right="567"/>
        <w:jc w:val="both"/>
        <w:rPr>
          <w:rFonts w:ascii="Palatino Linotype" w:hAnsi="Palatino Linotype"/>
          <w:i/>
          <w:iCs/>
          <w:szCs w:val="22"/>
        </w:rPr>
      </w:pPr>
      <w:r w:rsidRPr="002341AF">
        <w:rPr>
          <w:rFonts w:ascii="Palatino Linotype" w:hAnsi="Palatino Linotype"/>
          <w:i/>
          <w:iCs/>
          <w:szCs w:val="22"/>
        </w:rPr>
        <w:t>“(…)</w:t>
      </w:r>
    </w:p>
    <w:p w14:paraId="61626B92" w14:textId="77777777" w:rsidR="00D41818" w:rsidRPr="002341AF" w:rsidRDefault="00D41818" w:rsidP="00D41818">
      <w:pPr>
        <w:pStyle w:val="Prrafodelista"/>
        <w:tabs>
          <w:tab w:val="left" w:pos="426"/>
        </w:tabs>
        <w:ind w:left="567" w:right="567"/>
        <w:jc w:val="both"/>
        <w:rPr>
          <w:rFonts w:ascii="Palatino Linotype" w:hAnsi="Palatino Linotype"/>
          <w:i/>
          <w:iCs/>
          <w:szCs w:val="22"/>
        </w:rPr>
      </w:pPr>
      <w:r w:rsidRPr="002341AF">
        <w:rPr>
          <w:rFonts w:ascii="Palatino Linotype" w:hAnsi="Palatino Linotype"/>
          <w:b/>
          <w:bCs/>
          <w:i/>
          <w:iCs/>
          <w:szCs w:val="22"/>
        </w:rPr>
        <w:t>Vigésimo octavo.</w:t>
      </w:r>
      <w:r w:rsidRPr="002341AF">
        <w:rPr>
          <w:rFonts w:ascii="Palatino Linotype" w:hAnsi="Palatino Linotype"/>
          <w:i/>
          <w:iCs/>
          <w:szCs w:val="22"/>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14:paraId="17C5A26C" w14:textId="77777777" w:rsidR="00D41818" w:rsidRPr="002341AF" w:rsidRDefault="00D41818" w:rsidP="00D41818">
      <w:pPr>
        <w:pStyle w:val="Prrafodelista"/>
        <w:tabs>
          <w:tab w:val="left" w:pos="426"/>
        </w:tabs>
        <w:ind w:left="567" w:right="567"/>
        <w:jc w:val="both"/>
        <w:rPr>
          <w:rFonts w:ascii="Palatino Linotype" w:hAnsi="Palatino Linotype"/>
          <w:i/>
          <w:iCs/>
          <w:szCs w:val="22"/>
        </w:rPr>
      </w:pPr>
      <w:r w:rsidRPr="002341AF">
        <w:rPr>
          <w:rFonts w:ascii="Palatino Linotype" w:hAnsi="Palatino Linotype"/>
          <w:b/>
          <w:bCs/>
          <w:i/>
          <w:iCs/>
          <w:szCs w:val="22"/>
        </w:rPr>
        <w:t>I.</w:t>
      </w:r>
      <w:r w:rsidRPr="002341AF">
        <w:rPr>
          <w:rFonts w:ascii="Palatino Linotype" w:hAnsi="Palatino Linotype"/>
          <w:i/>
          <w:iCs/>
          <w:szCs w:val="22"/>
        </w:rPr>
        <w:t xml:space="preserve"> La existencia de un procedimiento de responsabilidad administrativa en trámite, y </w:t>
      </w:r>
    </w:p>
    <w:p w14:paraId="13F4CFAC" w14:textId="77777777" w:rsidR="00D41818" w:rsidRPr="002341AF" w:rsidRDefault="00D41818" w:rsidP="00D41818">
      <w:pPr>
        <w:pStyle w:val="Prrafodelista"/>
        <w:tabs>
          <w:tab w:val="left" w:pos="426"/>
        </w:tabs>
        <w:ind w:left="567" w:right="567"/>
        <w:jc w:val="both"/>
        <w:rPr>
          <w:rFonts w:ascii="Palatino Linotype" w:hAnsi="Palatino Linotype"/>
          <w:i/>
          <w:iCs/>
          <w:szCs w:val="22"/>
        </w:rPr>
      </w:pPr>
      <w:r w:rsidRPr="002341AF">
        <w:rPr>
          <w:rFonts w:ascii="Palatino Linotype" w:hAnsi="Palatino Linotype"/>
          <w:b/>
          <w:bCs/>
          <w:i/>
          <w:iCs/>
          <w:szCs w:val="22"/>
        </w:rPr>
        <w:t>II.</w:t>
      </w:r>
      <w:r w:rsidRPr="002341AF">
        <w:rPr>
          <w:rFonts w:ascii="Palatino Linotype" w:hAnsi="Palatino Linotype"/>
          <w:i/>
          <w:iCs/>
          <w:szCs w:val="22"/>
        </w:rPr>
        <w:t xml:space="preserve"> Que la información se refiera a actuaciones, diligencias y constancias propias del procedimiento de responsabilidad.</w:t>
      </w:r>
    </w:p>
    <w:p w14:paraId="31CFA312" w14:textId="77777777" w:rsidR="00D41818" w:rsidRPr="002341AF" w:rsidRDefault="00D41818" w:rsidP="00D41818">
      <w:pPr>
        <w:pStyle w:val="Prrafodelista"/>
        <w:tabs>
          <w:tab w:val="left" w:pos="426"/>
        </w:tabs>
        <w:ind w:left="567" w:right="567"/>
        <w:jc w:val="both"/>
        <w:rPr>
          <w:rFonts w:ascii="Palatino Linotype" w:hAnsi="Palatino Linotype"/>
          <w:i/>
          <w:iCs/>
          <w:szCs w:val="22"/>
        </w:rPr>
      </w:pPr>
      <w:r w:rsidRPr="002341AF">
        <w:rPr>
          <w:rFonts w:ascii="Palatino Linotype" w:hAnsi="Palatino Linotype"/>
          <w:i/>
          <w:iCs/>
          <w:szCs w:val="22"/>
        </w:rPr>
        <w:t>(…)”</w:t>
      </w:r>
    </w:p>
    <w:p w14:paraId="05AFBC1D"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41D05E74"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lastRenderedPageBreak/>
        <w:t xml:space="preserve">De lo anterior, se advierte que para que se actualice la causal de reserva que se analiza se debe acreditar </w:t>
      </w:r>
      <w:r w:rsidRPr="002341AF">
        <w:rPr>
          <w:rFonts w:ascii="Palatino Linotype" w:hAnsi="Palatino Linotype"/>
          <w:b/>
          <w:sz w:val="24"/>
          <w:lang w:val="es-ES_tradnl"/>
        </w:rPr>
        <w:t>I)</w:t>
      </w:r>
      <w:r w:rsidRPr="002341AF">
        <w:rPr>
          <w:rFonts w:ascii="Palatino Linotype" w:hAnsi="Palatino Linotype"/>
          <w:sz w:val="24"/>
          <w:lang w:val="es-ES_tradnl"/>
        </w:rPr>
        <w:t xml:space="preserve"> la existencia de un procedimiento de responsabilidad administrativa en trámite, y </w:t>
      </w:r>
      <w:r w:rsidRPr="002341AF">
        <w:rPr>
          <w:rFonts w:ascii="Palatino Linotype" w:hAnsi="Palatino Linotype"/>
          <w:b/>
          <w:sz w:val="24"/>
          <w:lang w:val="es-ES_tradnl"/>
        </w:rPr>
        <w:t>II)</w:t>
      </w:r>
      <w:r w:rsidRPr="002341AF">
        <w:rPr>
          <w:rFonts w:ascii="Palatino Linotype" w:hAnsi="Palatino Linotype"/>
          <w:sz w:val="24"/>
          <w:lang w:val="es-ES_tradnl"/>
        </w:rPr>
        <w:t xml:space="preserve"> que la información se refiera a actuaciones, diligencias y constancias propias del procedimiento de responsabilidad.</w:t>
      </w:r>
    </w:p>
    <w:p w14:paraId="71C471A3"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184870D4"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t>Por tales consideraciones, resulta procedente la reserva, en términos del artículo 140, fracción VI, de la Ley de Transparencia y Acceso a la Información Pública del Estado de México y Municipios, de las quejas por responsabilidades administrativas en trámite, en caso de que existieran.</w:t>
      </w:r>
    </w:p>
    <w:p w14:paraId="2E1D3D2C"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32C097C1" w14:textId="77777777" w:rsidR="00D41818" w:rsidRPr="002341AF" w:rsidRDefault="00D41818" w:rsidP="00D41818">
      <w:pPr>
        <w:pStyle w:val="Prrafodelista"/>
        <w:numPr>
          <w:ilvl w:val="0"/>
          <w:numId w:val="2"/>
        </w:numPr>
        <w:tabs>
          <w:tab w:val="left" w:pos="426"/>
        </w:tabs>
        <w:spacing w:before="240" w:after="240" w:line="360" w:lineRule="auto"/>
        <w:ind w:left="0" w:right="51" w:firstLine="0"/>
        <w:jc w:val="both"/>
        <w:rPr>
          <w:rFonts w:ascii="Palatino Linotype" w:hAnsi="Palatino Linotype" w:cs="Tahoma"/>
          <w:bCs/>
          <w:iCs/>
          <w:sz w:val="24"/>
        </w:rPr>
      </w:pPr>
      <w:r w:rsidRPr="002341AF">
        <w:rPr>
          <w:rFonts w:ascii="Palatino Linotype" w:hAnsi="Palatino Linotype"/>
          <w:sz w:val="24"/>
          <w:lang w:val="es-ES_tradnl"/>
        </w:rPr>
        <w:t>Respecto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por lo que deberá determinar el periodo de reserva, de manera fundada y motivada.</w:t>
      </w:r>
    </w:p>
    <w:p w14:paraId="218A87A1" w14:textId="77777777" w:rsidR="00D41818" w:rsidRPr="002341AF" w:rsidRDefault="00D41818" w:rsidP="00D41818">
      <w:pPr>
        <w:pStyle w:val="Prrafodelista"/>
        <w:tabs>
          <w:tab w:val="left" w:pos="426"/>
        </w:tabs>
        <w:spacing w:before="240" w:after="240" w:line="360" w:lineRule="auto"/>
        <w:ind w:left="0" w:right="51"/>
        <w:jc w:val="both"/>
        <w:rPr>
          <w:rFonts w:ascii="Palatino Linotype" w:hAnsi="Palatino Linotype"/>
          <w:sz w:val="24"/>
          <w:lang w:val="es-ES_tradnl"/>
        </w:rPr>
      </w:pPr>
    </w:p>
    <w:p w14:paraId="5A81EE06" w14:textId="1EBD4403" w:rsidR="00D41818" w:rsidRPr="002341AF" w:rsidRDefault="00D41818" w:rsidP="00D41818">
      <w:pPr>
        <w:pStyle w:val="Prrafodelista"/>
        <w:numPr>
          <w:ilvl w:val="0"/>
          <w:numId w:val="26"/>
        </w:numPr>
        <w:tabs>
          <w:tab w:val="left" w:pos="567"/>
        </w:tabs>
        <w:spacing w:before="240" w:after="240" w:line="360" w:lineRule="auto"/>
        <w:ind w:right="51" w:hanging="153"/>
        <w:jc w:val="both"/>
        <w:outlineLvl w:val="2"/>
        <w:rPr>
          <w:rFonts w:ascii="Palatino Linotype" w:hAnsi="Palatino Linotype"/>
          <w:b/>
          <w:sz w:val="24"/>
          <w:lang w:val="es-ES_tradnl"/>
        </w:rPr>
      </w:pPr>
      <w:r w:rsidRPr="002341AF">
        <w:rPr>
          <w:rFonts w:ascii="Palatino Linotype" w:hAnsi="Palatino Linotype"/>
          <w:b/>
          <w:sz w:val="24"/>
          <w:lang w:val="es-ES_tradnl"/>
        </w:rPr>
        <w:t>Excepciones</w:t>
      </w:r>
    </w:p>
    <w:p w14:paraId="45954168" w14:textId="77777777" w:rsidR="00D41818" w:rsidRPr="002341AF" w:rsidRDefault="00D41818" w:rsidP="00D41818">
      <w:pPr>
        <w:pStyle w:val="Prrafodelista"/>
        <w:tabs>
          <w:tab w:val="left" w:pos="426"/>
        </w:tabs>
        <w:spacing w:before="240" w:after="240" w:line="360" w:lineRule="auto"/>
        <w:ind w:left="0" w:right="51"/>
        <w:jc w:val="both"/>
        <w:rPr>
          <w:rFonts w:ascii="Palatino Linotype" w:hAnsi="Palatino Linotype" w:cs="Tahoma"/>
          <w:bCs/>
          <w:iCs/>
          <w:sz w:val="24"/>
        </w:rPr>
      </w:pPr>
    </w:p>
    <w:p w14:paraId="09FB1BD6"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t xml:space="preserve">El numeral 53 de la Ley del Sistema Anticorrupción del Estado de México y Municipios dispone que </w:t>
      </w:r>
      <w:r w:rsidRPr="002341AF">
        <w:rPr>
          <w:rFonts w:ascii="Palatino Linotype" w:hAnsi="Palatino Linotype"/>
          <w:b/>
          <w:sz w:val="24"/>
          <w:u w:val="single"/>
          <w:lang w:val="es-ES_tradnl"/>
        </w:rPr>
        <w:t xml:space="preserve">las sanciones por faltas administrativas graves serán </w:t>
      </w:r>
      <w:r w:rsidRPr="002341AF">
        <w:rPr>
          <w:rFonts w:ascii="Palatino Linotype" w:hAnsi="Palatino Linotype"/>
          <w:b/>
          <w:sz w:val="24"/>
          <w:u w:val="single"/>
          <w:lang w:val="es-ES_tradnl"/>
        </w:rPr>
        <w:lastRenderedPageBreak/>
        <w:t>públicas</w:t>
      </w:r>
      <w:r w:rsidRPr="002341AF">
        <w:rPr>
          <w:rFonts w:ascii="Palatino Linotype" w:hAnsi="Palatino Linotype"/>
          <w:sz w:val="24"/>
          <w:lang w:val="es-ES_tradnl"/>
        </w:rPr>
        <w:t xml:space="preserve"> cuando de éstas devengan impedimentos o inhabilitaciones para continuar ejerciendo el servicio público.</w:t>
      </w:r>
    </w:p>
    <w:p w14:paraId="0167872F"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7BB9D084"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t>Al respecto, la Ley de Responsabilidades Administrativas del Estado de México y Municipios, define de forma clara y concreta cada uno de los actos considerados como faltas administrativas graves de los servidores públicos en sus artículos 53, 54, 55, 56, 57, 58, 59, 60, 61, 62, 63, 64, 65, 66 y 67; y, cuya ejecución se relacionan, en su mayoría, con el abuso del poder público encomendado en un empleo, cargo o comisión, buscando la obtención de un beneficio meramente personal en agravio del Estado, los ciudadanos u otros servidores públicos.</w:t>
      </w:r>
    </w:p>
    <w:p w14:paraId="22814BDF"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55486907"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t xml:space="preserve">Lo anterior separa, en consecuencia, a los actos contenidos en el artículo 52 de la Ley de Responsabilidades Administrativas Estatal de todos los demás que pudieran ser investigados por el Órgano de Control Interno del </w:t>
      </w:r>
      <w:r w:rsidRPr="002341AF">
        <w:rPr>
          <w:rFonts w:ascii="Palatino Linotype" w:hAnsi="Palatino Linotype"/>
          <w:b/>
          <w:sz w:val="24"/>
          <w:lang w:val="es-ES_tradnl"/>
        </w:rPr>
        <w:t>SUJETO OBLIGADO</w:t>
      </w:r>
      <w:r w:rsidRPr="002341AF">
        <w:rPr>
          <w:rFonts w:ascii="Palatino Linotype" w:hAnsi="Palatino Linotype"/>
          <w:sz w:val="24"/>
          <w:lang w:val="es-ES_tradnl"/>
        </w:rPr>
        <w:t xml:space="preserve">, ya que éstos se pueden determinar </w:t>
      </w:r>
      <w:proofErr w:type="spellStart"/>
      <w:r w:rsidRPr="002341AF">
        <w:rPr>
          <w:rFonts w:ascii="Palatino Linotype" w:hAnsi="Palatino Linotype"/>
          <w:sz w:val="24"/>
          <w:lang w:val="es-ES_tradnl"/>
        </w:rPr>
        <w:t>como</w:t>
      </w:r>
      <w:proofErr w:type="spellEnd"/>
      <w:r w:rsidRPr="002341AF">
        <w:rPr>
          <w:rFonts w:ascii="Palatino Linotype" w:hAnsi="Palatino Linotype"/>
          <w:sz w:val="24"/>
          <w:lang w:val="es-ES_tradnl"/>
        </w:rPr>
        <w:t xml:space="preserve"> actos de corrupción, aunado que su deber de investigación concluye con la emisión del Informe de Presunta Responsabilidad Administrativa, misma que debe turnar al Juzgador Administrativo Estatal para que sea éste quien conduzca el proceso de sustanciación y resolución.</w:t>
      </w:r>
    </w:p>
    <w:p w14:paraId="55F2022A"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4049F02E"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lastRenderedPageBreak/>
        <w:t>En ese sentido, debemos traer a estudio lo dispuesto por el numeral 142 de la Ley de Transparencia y Acceso a la Información Pública del Estado de México y Municipios, mismo que se inserta a continuación:</w:t>
      </w:r>
    </w:p>
    <w:p w14:paraId="6F8FF644"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00E77B94" w14:textId="77777777" w:rsidR="00D41818" w:rsidRPr="002341AF" w:rsidRDefault="00D41818" w:rsidP="00D41818">
      <w:pPr>
        <w:pStyle w:val="Prrafodelista"/>
        <w:ind w:left="567" w:right="567"/>
        <w:jc w:val="both"/>
        <w:rPr>
          <w:rFonts w:ascii="Palatino Linotype" w:hAnsi="Palatino Linotype"/>
          <w:i/>
          <w:szCs w:val="22"/>
        </w:rPr>
      </w:pPr>
      <w:r w:rsidRPr="002341AF">
        <w:rPr>
          <w:rFonts w:ascii="Palatino Linotype" w:hAnsi="Palatino Linotype"/>
          <w:i/>
          <w:szCs w:val="22"/>
        </w:rPr>
        <w:t>“</w:t>
      </w:r>
      <w:r w:rsidRPr="002341AF">
        <w:rPr>
          <w:rFonts w:ascii="Palatino Linotype" w:hAnsi="Palatino Linotype"/>
          <w:b/>
          <w:i/>
          <w:szCs w:val="22"/>
        </w:rPr>
        <w:t>Artículo 142.</w:t>
      </w:r>
      <w:r w:rsidRPr="002341AF">
        <w:rPr>
          <w:rFonts w:ascii="Palatino Linotype" w:hAnsi="Palatino Linotype"/>
          <w:i/>
          <w:szCs w:val="22"/>
        </w:rPr>
        <w:t xml:space="preserve"> </w:t>
      </w:r>
      <w:r w:rsidRPr="002341AF">
        <w:rPr>
          <w:rFonts w:ascii="Palatino Linotype" w:hAnsi="Palatino Linotype"/>
          <w:b/>
          <w:i/>
          <w:szCs w:val="22"/>
        </w:rPr>
        <w:t>Bajo ninguna circunstancia podrá invocarse el carácter de reservado cuando:</w:t>
      </w:r>
    </w:p>
    <w:p w14:paraId="4B7C8D65" w14:textId="77777777" w:rsidR="00D41818" w:rsidRPr="002341AF" w:rsidRDefault="00D41818" w:rsidP="00D41818">
      <w:pPr>
        <w:pStyle w:val="Prrafodelista"/>
        <w:ind w:left="567" w:right="567"/>
        <w:jc w:val="both"/>
        <w:rPr>
          <w:rFonts w:ascii="Palatino Linotype" w:hAnsi="Palatino Linotype"/>
          <w:i/>
          <w:szCs w:val="22"/>
        </w:rPr>
      </w:pPr>
      <w:r w:rsidRPr="002341AF">
        <w:rPr>
          <w:rFonts w:ascii="Palatino Linotype" w:hAnsi="Palatino Linotype"/>
          <w:b/>
          <w:bCs/>
          <w:i/>
          <w:szCs w:val="22"/>
        </w:rPr>
        <w:t>I. Se trate de violaciones graves de derechos humanos</w:t>
      </w:r>
      <w:r w:rsidRPr="002341AF">
        <w:rPr>
          <w:rFonts w:ascii="Palatino Linotype" w:hAnsi="Palatino Linotype"/>
          <w:i/>
          <w:szCs w:val="22"/>
        </w:rPr>
        <w:t>, calificada así por autoridad competente;</w:t>
      </w:r>
    </w:p>
    <w:p w14:paraId="0449311D" w14:textId="77777777" w:rsidR="00D41818" w:rsidRPr="002341AF" w:rsidRDefault="00D41818" w:rsidP="00D41818">
      <w:pPr>
        <w:pStyle w:val="Prrafodelista"/>
        <w:ind w:left="567" w:right="567"/>
        <w:jc w:val="both"/>
        <w:rPr>
          <w:rFonts w:ascii="Palatino Linotype" w:hAnsi="Palatino Linotype"/>
          <w:i/>
          <w:szCs w:val="22"/>
        </w:rPr>
      </w:pPr>
      <w:r w:rsidRPr="002341AF">
        <w:rPr>
          <w:rFonts w:ascii="Palatino Linotype" w:hAnsi="Palatino Linotype"/>
          <w:b/>
          <w:bCs/>
          <w:i/>
          <w:szCs w:val="22"/>
        </w:rPr>
        <w:t>II.</w:t>
      </w:r>
      <w:r w:rsidRPr="002341AF">
        <w:rPr>
          <w:rFonts w:ascii="Palatino Linotype" w:hAnsi="Palatino Linotype"/>
          <w:i/>
          <w:szCs w:val="22"/>
        </w:rPr>
        <w:t xml:space="preserve"> </w:t>
      </w:r>
      <w:r w:rsidRPr="002341AF">
        <w:rPr>
          <w:rFonts w:ascii="Palatino Linotype" w:hAnsi="Palatino Linotype"/>
          <w:b/>
          <w:bCs/>
          <w:i/>
          <w:szCs w:val="22"/>
          <w:u w:val="single"/>
        </w:rPr>
        <w:t>Se trate de la investigación de posibles violaciones graves de derechos humanos aun cuando no exista pronunciamiento previo de autoridad competente</w:t>
      </w:r>
      <w:r w:rsidRPr="002341AF">
        <w:rPr>
          <w:rFonts w:ascii="Palatino Linotype" w:hAnsi="Palatino Linotype"/>
          <w:i/>
          <w:szCs w:val="22"/>
        </w:rPr>
        <w:t xml:space="preserve">, cuando se determine, a partir de criterios cuantitativos y cualitativos la trascendencia social de las violaciones; </w:t>
      </w:r>
    </w:p>
    <w:p w14:paraId="06EDE72D" w14:textId="77777777" w:rsidR="00D41818" w:rsidRPr="002341AF" w:rsidRDefault="00D41818" w:rsidP="00D41818">
      <w:pPr>
        <w:pStyle w:val="Prrafodelista"/>
        <w:ind w:left="567" w:right="567"/>
        <w:jc w:val="both"/>
        <w:rPr>
          <w:rFonts w:ascii="Palatino Linotype" w:hAnsi="Palatino Linotype"/>
          <w:i/>
          <w:szCs w:val="22"/>
        </w:rPr>
      </w:pPr>
      <w:r w:rsidRPr="002341AF">
        <w:rPr>
          <w:rFonts w:ascii="Palatino Linotype" w:hAnsi="Palatino Linotype"/>
          <w:b/>
          <w:bCs/>
          <w:i/>
          <w:szCs w:val="22"/>
        </w:rPr>
        <w:t>III.</w:t>
      </w:r>
      <w:r w:rsidRPr="002341AF">
        <w:rPr>
          <w:rFonts w:ascii="Palatino Linotype" w:hAnsi="Palatino Linotype"/>
          <w:i/>
          <w:szCs w:val="22"/>
        </w:rPr>
        <w:t xml:space="preserve">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6FCA6151" w14:textId="77777777" w:rsidR="00D41818" w:rsidRPr="002341AF" w:rsidRDefault="00D41818" w:rsidP="00D41818">
      <w:pPr>
        <w:pStyle w:val="Prrafodelista"/>
        <w:ind w:left="567" w:right="567"/>
        <w:jc w:val="both"/>
        <w:rPr>
          <w:rFonts w:ascii="Palatino Linotype" w:hAnsi="Palatino Linotype"/>
          <w:szCs w:val="22"/>
        </w:rPr>
      </w:pPr>
      <w:r w:rsidRPr="002341AF">
        <w:rPr>
          <w:rFonts w:ascii="Palatino Linotype" w:hAnsi="Palatino Linotype"/>
          <w:b/>
          <w:i/>
          <w:szCs w:val="22"/>
        </w:rPr>
        <w:t>IV. Se trate de información relacionada con actos de corrupción</w:t>
      </w:r>
      <w:r w:rsidRPr="002341AF">
        <w:rPr>
          <w:rFonts w:ascii="Palatino Linotype" w:hAnsi="Palatino Linotype"/>
          <w:i/>
          <w:szCs w:val="22"/>
        </w:rPr>
        <w:t xml:space="preserve"> de conformidad con las disposiciones jurídicas aplicables.”</w:t>
      </w:r>
    </w:p>
    <w:p w14:paraId="3B2D0722"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060249E2" w14:textId="4B0747AA"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t>Así las cosas, la Ley de la materia reconoce a toda la información relacionada con violaciones a derechos humanos y actos de corrupción como información inmune a recibir un tratamiento de clasificación como reservada, en el margen de que, justamente, el hacer del conocimiento a la ciudadanía este tipo de conductas manifestadas por servidores públicos, atiende el objetivo fundamental de la normatividad: el control ciudadano del funcionamiento del Estado y la gestión pública para el combate a la corrupción y la rendición de cuentas.</w:t>
      </w:r>
    </w:p>
    <w:p w14:paraId="20D92724"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lastRenderedPageBreak/>
        <w:t>Correlativo a lo anterior, el Código Penal Federal, tipifica de manera específica cuáles son los delitos por hechos de corrupción en su Título Décimo, varios de los cuales se relacionan con las faltas administrativas graves contenidas en el artículo 52 de la Ley de Responsabilidades Administrativas del Estado de México y Municipios.</w:t>
      </w:r>
    </w:p>
    <w:p w14:paraId="45BF40DB"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5527F4EA"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t xml:space="preserve">Luego entonces, </w:t>
      </w:r>
      <w:r w:rsidRPr="002341AF">
        <w:rPr>
          <w:rFonts w:ascii="Palatino Linotype" w:hAnsi="Palatino Linotype"/>
          <w:b/>
          <w:bCs/>
          <w:sz w:val="24"/>
          <w:lang w:val="es-ES_tradnl"/>
        </w:rPr>
        <w:t>la autoridad quien, en primera instancia, clasifica la conducta sobre la cual se integra un expediente de investigación como una posible falta administrativa grave es el Órgano de Control Interno</w:t>
      </w:r>
      <w:r w:rsidRPr="002341AF">
        <w:rPr>
          <w:rFonts w:ascii="Palatino Linotype" w:hAnsi="Palatino Linotype"/>
          <w:bCs/>
          <w:sz w:val="24"/>
          <w:lang w:val="es-ES_tradnl"/>
        </w:rPr>
        <w:t xml:space="preserve">, pues </w:t>
      </w:r>
      <w:r w:rsidRPr="002341AF">
        <w:rPr>
          <w:rFonts w:ascii="Palatino Linotype" w:hAnsi="Palatino Linotype"/>
          <w:sz w:val="24"/>
          <w:lang w:val="es-ES_tradnl"/>
        </w:rPr>
        <w:t>luego de revisar los supuestos de las faltas administrativas graves, el mismo Órgano de Control determinará las faltas administrativas graves que corresponden con lo que determina la Ley de Transparencia y Acceso a la Información Pública del Estado de México y Municipios como actos de corrupción</w:t>
      </w:r>
      <w:r w:rsidRPr="002341AF">
        <w:rPr>
          <w:rFonts w:ascii="Palatino Linotype" w:hAnsi="Palatino Linotype"/>
          <w:b/>
          <w:bCs/>
          <w:sz w:val="24"/>
          <w:lang w:val="es-ES_tradnl"/>
        </w:rPr>
        <w:t>.</w:t>
      </w:r>
    </w:p>
    <w:p w14:paraId="78EB894D"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7EFF3612"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t>En consecuencia, se insiste, este ejercicio de identificación de faltas administrativas graves que se relacionen con actos de corrupción será determinado mediante el Informe de Presunta Responsabilidad Administrativa, pues este instrumento contiene todos los elementos necesarios para comprobar si las responsabilidades administrativas graves son, o no, actos de corrupción.</w:t>
      </w:r>
    </w:p>
    <w:p w14:paraId="1FCA4E59"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2F2C5EE9" w14:textId="77777777" w:rsidR="00D41818" w:rsidRPr="002341AF" w:rsidRDefault="00D41818" w:rsidP="00D41818">
      <w:pPr>
        <w:pStyle w:val="Prrafodelista"/>
        <w:numPr>
          <w:ilvl w:val="0"/>
          <w:numId w:val="2"/>
        </w:numPr>
        <w:tabs>
          <w:tab w:val="left" w:pos="426"/>
        </w:tabs>
        <w:spacing w:line="360" w:lineRule="auto"/>
        <w:ind w:left="0" w:firstLine="0"/>
        <w:jc w:val="both"/>
        <w:rPr>
          <w:rFonts w:ascii="Palatino Linotype" w:hAnsi="Palatino Linotype"/>
          <w:sz w:val="24"/>
        </w:rPr>
      </w:pPr>
      <w:r w:rsidRPr="002341AF">
        <w:rPr>
          <w:rFonts w:ascii="Palatino Linotype" w:hAnsi="Palatino Linotype"/>
          <w:sz w:val="24"/>
          <w:lang w:val="es-ES_tradnl"/>
        </w:rPr>
        <w:t xml:space="preserve">En tales circunstancias, </w:t>
      </w:r>
      <w:r w:rsidRPr="002341AF">
        <w:rPr>
          <w:rFonts w:ascii="Palatino Linotype" w:hAnsi="Palatino Linotype"/>
          <w:b/>
          <w:sz w:val="24"/>
          <w:lang w:val="es-ES_tradnl"/>
        </w:rPr>
        <w:t xml:space="preserve">de identificarse expedientes formados que se encuentren en la etapa de investigación, o bien, en el procedimiento de responsabilidades </w:t>
      </w:r>
      <w:r w:rsidRPr="002341AF">
        <w:rPr>
          <w:rFonts w:ascii="Palatino Linotype" w:hAnsi="Palatino Linotype"/>
          <w:b/>
          <w:sz w:val="24"/>
          <w:lang w:val="es-ES_tradnl"/>
        </w:rPr>
        <w:lastRenderedPageBreak/>
        <w:t xml:space="preserve">administrativas </w:t>
      </w:r>
      <w:r w:rsidRPr="002341AF">
        <w:rPr>
          <w:rFonts w:ascii="Palatino Linotype" w:hAnsi="Palatino Linotype"/>
          <w:b/>
          <w:bCs/>
          <w:sz w:val="24"/>
          <w:lang w:val="es-ES_tradnl"/>
        </w:rPr>
        <w:t>por faltas graves</w:t>
      </w:r>
      <w:r w:rsidRPr="002341AF">
        <w:rPr>
          <w:rFonts w:ascii="Palatino Linotype" w:hAnsi="Palatino Linotype"/>
          <w:b/>
          <w:sz w:val="24"/>
          <w:lang w:val="es-ES_tradnl"/>
        </w:rPr>
        <w:t xml:space="preserve"> relacionados con violaciones graves de derechos humanos o actos de corrupción</w:t>
      </w:r>
      <w:r w:rsidRPr="002341AF">
        <w:rPr>
          <w:rFonts w:ascii="Palatino Linotype" w:hAnsi="Palatino Linotype"/>
          <w:sz w:val="24"/>
          <w:lang w:val="es-ES_tradnl"/>
        </w:rPr>
        <w:t xml:space="preserve">, de conformidad con el artículo 142 de la Ley de Transparencia y Acceso a la Información Pública del Estado de México y Municipios, y el artículo 53 de la Ley del Sistema Anticorrupción del Estado de México y Municipios, </w:t>
      </w:r>
      <w:r w:rsidRPr="002341AF">
        <w:rPr>
          <w:rFonts w:ascii="Palatino Linotype" w:hAnsi="Palatino Linotype"/>
          <w:b/>
          <w:sz w:val="24"/>
          <w:lang w:val="es-ES_tradnl"/>
        </w:rPr>
        <w:t xml:space="preserve">el </w:t>
      </w:r>
      <w:r w:rsidRPr="002341AF">
        <w:rPr>
          <w:rFonts w:ascii="Palatino Linotype" w:hAnsi="Palatino Linotype"/>
          <w:b/>
          <w:bCs/>
          <w:sz w:val="24"/>
          <w:lang w:val="es-ES_tradnl"/>
        </w:rPr>
        <w:t>SUJETO OBLIGADO</w:t>
      </w:r>
      <w:r w:rsidRPr="002341AF">
        <w:rPr>
          <w:rFonts w:ascii="Palatino Linotype" w:hAnsi="Palatino Linotype"/>
          <w:b/>
          <w:sz w:val="24"/>
          <w:lang w:val="es-ES_tradnl"/>
        </w:rPr>
        <w:t xml:space="preserve"> deberá hacer entrega de éstas al no ser sujetos de clasificación</w:t>
      </w:r>
      <w:r w:rsidRPr="002341AF">
        <w:rPr>
          <w:rFonts w:ascii="Palatino Linotype" w:hAnsi="Palatino Linotype"/>
          <w:sz w:val="24"/>
          <w:lang w:val="es-ES_tradnl"/>
        </w:rPr>
        <w:t>.</w:t>
      </w:r>
    </w:p>
    <w:p w14:paraId="5441DB6C" w14:textId="77777777" w:rsidR="00D41818" w:rsidRPr="002341AF" w:rsidRDefault="00D41818" w:rsidP="00D41818">
      <w:pPr>
        <w:pStyle w:val="Prrafodelista"/>
        <w:tabs>
          <w:tab w:val="left" w:pos="426"/>
        </w:tabs>
        <w:spacing w:line="360" w:lineRule="auto"/>
        <w:ind w:left="0"/>
        <w:jc w:val="both"/>
        <w:rPr>
          <w:rFonts w:ascii="Palatino Linotype" w:hAnsi="Palatino Linotype"/>
          <w:sz w:val="24"/>
        </w:rPr>
      </w:pPr>
    </w:p>
    <w:p w14:paraId="7D8BA2B6" w14:textId="03033210" w:rsidR="00D41818" w:rsidRPr="002341AF" w:rsidRDefault="00D41818" w:rsidP="00D41818">
      <w:pPr>
        <w:pStyle w:val="Prrafodelista"/>
        <w:numPr>
          <w:ilvl w:val="0"/>
          <w:numId w:val="2"/>
        </w:numPr>
        <w:tabs>
          <w:tab w:val="left" w:pos="426"/>
        </w:tabs>
        <w:spacing w:before="240" w:after="240" w:line="360" w:lineRule="auto"/>
        <w:ind w:left="0" w:right="51" w:firstLine="0"/>
        <w:jc w:val="both"/>
        <w:rPr>
          <w:rFonts w:ascii="Palatino Linotype" w:hAnsi="Palatino Linotype" w:cs="Tahoma"/>
          <w:bCs/>
          <w:iCs/>
          <w:sz w:val="24"/>
        </w:rPr>
      </w:pPr>
      <w:r w:rsidRPr="002341AF">
        <w:rPr>
          <w:rFonts w:ascii="Palatino Linotype" w:hAnsi="Palatino Linotype"/>
          <w:sz w:val="24"/>
          <w:lang w:val="es-ES_tradnl"/>
        </w:rPr>
        <w:t xml:space="preserve">Razón de lo anterior el </w:t>
      </w:r>
      <w:r w:rsidRPr="002341AF">
        <w:rPr>
          <w:rFonts w:ascii="Palatino Linotype" w:hAnsi="Palatino Linotype"/>
          <w:b/>
          <w:bCs/>
          <w:sz w:val="24"/>
          <w:lang w:val="es-ES_tradnl"/>
        </w:rPr>
        <w:t>SUJETO OBLIGADO</w:t>
      </w:r>
      <w:r w:rsidR="00BA2F78" w:rsidRPr="002341AF">
        <w:rPr>
          <w:rFonts w:ascii="Palatino Linotype" w:hAnsi="Palatino Linotype"/>
          <w:b/>
          <w:bCs/>
          <w:sz w:val="24"/>
          <w:lang w:val="es-ES_tradnl"/>
        </w:rPr>
        <w:t>,</w:t>
      </w:r>
      <w:r w:rsidRPr="002341AF">
        <w:rPr>
          <w:rFonts w:ascii="Palatino Linotype" w:hAnsi="Palatino Linotype"/>
          <w:sz w:val="24"/>
          <w:lang w:val="es-ES_tradnl"/>
        </w:rPr>
        <w:t xml:space="preserve"> deberá entregar todas aquellas quejas relacionadas con responsabilidades administrativas graves, a pesar de que éstas aún no hayan recibido una sentencia, </w:t>
      </w:r>
      <w:r w:rsidRPr="002341AF">
        <w:rPr>
          <w:rFonts w:ascii="Palatino Linotype" w:hAnsi="Palatino Linotype"/>
          <w:b/>
          <w:bCs/>
          <w:sz w:val="24"/>
          <w:lang w:val="es-ES_tradnl"/>
        </w:rPr>
        <w:t>sin testar el nombre del o los servidores públicos presuntamente responsables</w:t>
      </w:r>
      <w:r w:rsidRPr="002341AF">
        <w:rPr>
          <w:rFonts w:ascii="Palatino Linotype" w:hAnsi="Palatino Linotype"/>
          <w:sz w:val="24"/>
          <w:lang w:val="es-ES_tradnl"/>
        </w:rPr>
        <w:t xml:space="preserve">, atendiendo lo dispuesto por el artículo 142 de la Ley de Transparencia y Acceso a la Información Pública del Estado de México y Municipios. Claro está que, de ser el caso que los documentos donde consten las quejas respectivas contengan datos personales de terceros, tales como el nombre del o los particulares que presentaron la denuncia respectiva, se deberá realizar la versión pública </w:t>
      </w:r>
      <w:r w:rsidRPr="002341AF">
        <w:rPr>
          <w:rFonts w:ascii="Palatino Linotype" w:hAnsi="Palatino Linotype"/>
          <w:b/>
          <w:bCs/>
          <w:sz w:val="24"/>
          <w:lang w:val="es-ES_tradnl"/>
        </w:rPr>
        <w:t>únicamente</w:t>
      </w:r>
      <w:r w:rsidRPr="002341AF">
        <w:rPr>
          <w:rFonts w:ascii="Palatino Linotype" w:hAnsi="Palatino Linotype"/>
          <w:sz w:val="24"/>
          <w:lang w:val="es-ES_tradnl"/>
        </w:rPr>
        <w:t xml:space="preserve"> de estos datos, mas no de ninguno que individualice al presunto servidor público responsable.</w:t>
      </w:r>
    </w:p>
    <w:p w14:paraId="70EE1035" w14:textId="77777777" w:rsidR="00D41818" w:rsidRPr="002341AF" w:rsidRDefault="00D41818" w:rsidP="00D41818">
      <w:pPr>
        <w:pStyle w:val="Prrafodelista"/>
        <w:tabs>
          <w:tab w:val="left" w:pos="426"/>
        </w:tabs>
        <w:spacing w:before="240" w:after="240" w:line="360" w:lineRule="auto"/>
        <w:ind w:left="0" w:right="51"/>
        <w:jc w:val="both"/>
        <w:rPr>
          <w:rFonts w:ascii="Palatino Linotype" w:hAnsi="Palatino Linotype" w:cs="Tahoma"/>
          <w:bCs/>
          <w:iCs/>
          <w:sz w:val="24"/>
        </w:rPr>
      </w:pPr>
    </w:p>
    <w:p w14:paraId="77F0B743" w14:textId="49E18970" w:rsidR="00D41818" w:rsidRPr="002341AF" w:rsidRDefault="00D41818" w:rsidP="00D41818">
      <w:pPr>
        <w:pStyle w:val="Prrafodelista"/>
        <w:numPr>
          <w:ilvl w:val="0"/>
          <w:numId w:val="26"/>
        </w:numPr>
        <w:tabs>
          <w:tab w:val="left" w:pos="426"/>
        </w:tabs>
        <w:spacing w:before="240" w:after="240" w:line="360" w:lineRule="auto"/>
        <w:ind w:right="539" w:hanging="153"/>
        <w:jc w:val="both"/>
        <w:outlineLvl w:val="2"/>
        <w:rPr>
          <w:rFonts w:ascii="Palatino Linotype" w:hAnsi="Palatino Linotype" w:cs="Tahoma"/>
          <w:b/>
          <w:iCs/>
          <w:sz w:val="24"/>
        </w:rPr>
      </w:pPr>
      <w:r w:rsidRPr="002341AF">
        <w:rPr>
          <w:rFonts w:ascii="Palatino Linotype" w:hAnsi="Palatino Linotype" w:cs="Tahoma"/>
          <w:b/>
          <w:iCs/>
          <w:sz w:val="24"/>
        </w:rPr>
        <w:t xml:space="preserve">De los procedimientos de responsabilidades administrativas </w:t>
      </w:r>
      <w:proofErr w:type="spellStart"/>
      <w:r w:rsidRPr="002341AF">
        <w:rPr>
          <w:rFonts w:ascii="Palatino Linotype" w:hAnsi="Palatino Linotype" w:cs="Tahoma"/>
          <w:b/>
          <w:iCs/>
          <w:sz w:val="24"/>
        </w:rPr>
        <w:t>concluídos</w:t>
      </w:r>
      <w:proofErr w:type="spellEnd"/>
      <w:r w:rsidRPr="002341AF">
        <w:rPr>
          <w:rFonts w:ascii="Palatino Linotype" w:hAnsi="Palatino Linotype" w:cs="Tahoma"/>
          <w:b/>
          <w:iCs/>
          <w:sz w:val="24"/>
        </w:rPr>
        <w:t>, relacionados con faltas no graves.</w:t>
      </w:r>
    </w:p>
    <w:p w14:paraId="68B388D6" w14:textId="77777777" w:rsidR="00D41818" w:rsidRPr="002341AF" w:rsidRDefault="00D41818" w:rsidP="00D41818">
      <w:pPr>
        <w:pStyle w:val="Prrafodelista"/>
        <w:tabs>
          <w:tab w:val="left" w:pos="426"/>
        </w:tabs>
        <w:spacing w:before="240" w:after="240" w:line="360" w:lineRule="auto"/>
        <w:ind w:left="0" w:right="51"/>
        <w:jc w:val="both"/>
        <w:rPr>
          <w:rFonts w:ascii="Palatino Linotype" w:hAnsi="Palatino Linotype" w:cs="Tahoma"/>
          <w:bCs/>
          <w:iCs/>
          <w:sz w:val="24"/>
        </w:rPr>
      </w:pPr>
    </w:p>
    <w:p w14:paraId="4A95718D" w14:textId="77777777" w:rsidR="00D41818" w:rsidRPr="002341AF" w:rsidRDefault="00D41818" w:rsidP="00D41818">
      <w:pPr>
        <w:pStyle w:val="Prrafodelista"/>
        <w:numPr>
          <w:ilvl w:val="0"/>
          <w:numId w:val="2"/>
        </w:numPr>
        <w:tabs>
          <w:tab w:val="left" w:pos="426"/>
        </w:tabs>
        <w:spacing w:before="240" w:after="240" w:line="360" w:lineRule="auto"/>
        <w:ind w:left="0" w:right="51" w:firstLine="0"/>
        <w:jc w:val="both"/>
        <w:rPr>
          <w:rFonts w:ascii="Palatino Linotype" w:hAnsi="Palatino Linotype" w:cs="Tahoma"/>
          <w:bCs/>
          <w:iCs/>
          <w:sz w:val="24"/>
        </w:rPr>
      </w:pPr>
      <w:r w:rsidRPr="002341AF">
        <w:rPr>
          <w:rFonts w:ascii="Palatino Linotype" w:hAnsi="Palatino Linotype"/>
          <w:color w:val="000000" w:themeColor="text1"/>
          <w:sz w:val="24"/>
        </w:rPr>
        <w:lastRenderedPageBreak/>
        <w:t xml:space="preserve">En </w:t>
      </w:r>
      <w:r w:rsidRPr="002341AF">
        <w:rPr>
          <w:rFonts w:ascii="Palatino Linotype" w:eastAsia="Palatino Linotype" w:hAnsi="Palatino Linotype" w:cs="Palatino Linotype"/>
          <w:sz w:val="24"/>
        </w:rPr>
        <w:t>lo que concierne a las sanciones graves y no graves, es de mencionarse que corresponde a una de las obligaciones de transparencia común, como se desprende del artículo 92 fracción XXII de la Ley de Transparencia y Acceso a la Información Pública del Estado de México y Municipios, como se observa:</w:t>
      </w:r>
    </w:p>
    <w:p w14:paraId="62321912" w14:textId="77777777" w:rsidR="00D41818" w:rsidRPr="002341AF" w:rsidRDefault="00D41818" w:rsidP="00D41818">
      <w:pPr>
        <w:pStyle w:val="Prrafodelista"/>
        <w:tabs>
          <w:tab w:val="left" w:pos="426"/>
        </w:tabs>
        <w:spacing w:before="240" w:after="240" w:line="360" w:lineRule="auto"/>
        <w:ind w:left="0" w:right="51"/>
        <w:jc w:val="both"/>
        <w:rPr>
          <w:rFonts w:ascii="Palatino Linotype" w:hAnsi="Palatino Linotype" w:cs="Tahoma"/>
          <w:bCs/>
          <w:iCs/>
          <w:sz w:val="24"/>
        </w:rPr>
      </w:pPr>
    </w:p>
    <w:p w14:paraId="36F8A221" w14:textId="77777777" w:rsidR="00D41818" w:rsidRPr="002341AF" w:rsidRDefault="00D41818" w:rsidP="00D41818">
      <w:pPr>
        <w:ind w:left="567" w:right="567"/>
        <w:jc w:val="both"/>
        <w:rPr>
          <w:rFonts w:ascii="Palatino Linotype" w:eastAsia="Palatino Linotype" w:hAnsi="Palatino Linotype" w:cs="Palatino Linotype"/>
          <w:i/>
          <w:sz w:val="22"/>
          <w:szCs w:val="22"/>
        </w:rPr>
      </w:pPr>
      <w:r w:rsidRPr="002341AF">
        <w:rPr>
          <w:rFonts w:ascii="Palatino Linotype" w:eastAsia="Palatino Linotype" w:hAnsi="Palatino Linotype" w:cs="Palatino Linotype"/>
          <w:i/>
          <w:sz w:val="22"/>
          <w:szCs w:val="22"/>
        </w:rPr>
        <w:t>"</w:t>
      </w:r>
      <w:r w:rsidRPr="002341AF">
        <w:rPr>
          <w:rFonts w:ascii="Palatino Linotype" w:eastAsia="Palatino Linotype" w:hAnsi="Palatino Linotype" w:cs="Palatino Linotype"/>
          <w:b/>
          <w:bCs/>
          <w:i/>
          <w:sz w:val="22"/>
          <w:szCs w:val="22"/>
        </w:rPr>
        <w:t xml:space="preserve">Artículo 92. </w:t>
      </w:r>
      <w:r w:rsidRPr="002341AF">
        <w:rPr>
          <w:rFonts w:ascii="Palatino Linotype" w:eastAsia="Palatino Linotype" w:hAnsi="Palatino Linotype" w:cs="Palatino Linotype"/>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B70969D" w14:textId="77777777" w:rsidR="00D41818" w:rsidRPr="002341AF" w:rsidRDefault="00D41818" w:rsidP="00D41818">
      <w:pPr>
        <w:ind w:left="567" w:right="567"/>
        <w:jc w:val="both"/>
        <w:rPr>
          <w:rFonts w:ascii="Palatino Linotype" w:eastAsia="Palatino Linotype" w:hAnsi="Palatino Linotype" w:cs="Palatino Linotype"/>
          <w:i/>
          <w:sz w:val="22"/>
          <w:szCs w:val="22"/>
        </w:rPr>
      </w:pPr>
      <w:r w:rsidRPr="002341AF">
        <w:rPr>
          <w:rFonts w:ascii="Palatino Linotype" w:eastAsia="Palatino Linotype" w:hAnsi="Palatino Linotype" w:cs="Palatino Linotype"/>
          <w:i/>
          <w:sz w:val="22"/>
          <w:szCs w:val="22"/>
        </w:rPr>
        <w:t>(...)</w:t>
      </w:r>
    </w:p>
    <w:p w14:paraId="294F01F1" w14:textId="77777777" w:rsidR="00D41818" w:rsidRPr="002341AF" w:rsidRDefault="00D41818" w:rsidP="00D41818">
      <w:pPr>
        <w:ind w:left="567" w:right="567"/>
        <w:jc w:val="both"/>
        <w:rPr>
          <w:rFonts w:ascii="Palatino Linotype" w:eastAsia="Palatino Linotype" w:hAnsi="Palatino Linotype" w:cs="Palatino Linotype"/>
          <w:b/>
          <w:i/>
          <w:sz w:val="22"/>
          <w:szCs w:val="22"/>
        </w:rPr>
      </w:pPr>
      <w:r w:rsidRPr="002341AF">
        <w:rPr>
          <w:rFonts w:ascii="Palatino Linotype" w:eastAsia="Palatino Linotype" w:hAnsi="Palatino Linotype" w:cs="Palatino Linotype"/>
          <w:b/>
          <w:bCs/>
          <w:i/>
          <w:sz w:val="22"/>
          <w:szCs w:val="22"/>
        </w:rPr>
        <w:t>XXII. El</w:t>
      </w:r>
      <w:r w:rsidRPr="002341AF">
        <w:rPr>
          <w:rFonts w:ascii="Palatino Linotype" w:eastAsia="Palatino Linotype" w:hAnsi="Palatino Linotype" w:cs="Palatino Linotype"/>
          <w:b/>
          <w:i/>
          <w:sz w:val="22"/>
          <w:szCs w:val="22"/>
        </w:rPr>
        <w:t xml:space="preserve"> listado de Servidores Públicos con sanciones administrativas definitivas, especificando la causa de sanción y la disposición;</w:t>
      </w:r>
    </w:p>
    <w:p w14:paraId="6B3F9EC2" w14:textId="0983DE2A" w:rsidR="00D41818" w:rsidRPr="002341AF" w:rsidRDefault="00D41818" w:rsidP="00D41818">
      <w:pPr>
        <w:ind w:left="567" w:right="567"/>
        <w:jc w:val="both"/>
        <w:rPr>
          <w:rFonts w:ascii="Palatino Linotype" w:eastAsia="Palatino Linotype" w:hAnsi="Palatino Linotype" w:cs="Palatino Linotype"/>
          <w:b/>
          <w:i/>
          <w:sz w:val="22"/>
          <w:szCs w:val="22"/>
        </w:rPr>
      </w:pPr>
      <w:r w:rsidRPr="002341AF">
        <w:rPr>
          <w:rFonts w:ascii="Palatino Linotype" w:eastAsia="Palatino Linotype" w:hAnsi="Palatino Linotype" w:cs="Palatino Linotype"/>
          <w:bCs/>
          <w:i/>
          <w:sz w:val="22"/>
          <w:szCs w:val="22"/>
        </w:rPr>
        <w:t>(...)</w:t>
      </w:r>
      <w:r w:rsidRPr="002341AF">
        <w:rPr>
          <w:rFonts w:ascii="Palatino Linotype" w:eastAsia="Palatino Linotype" w:hAnsi="Palatino Linotype" w:cs="Palatino Linotype"/>
          <w:b/>
          <w:i/>
          <w:sz w:val="22"/>
          <w:szCs w:val="22"/>
        </w:rPr>
        <w:t xml:space="preserve">" </w:t>
      </w:r>
    </w:p>
    <w:p w14:paraId="22EEB5F8" w14:textId="77777777" w:rsidR="00D41818" w:rsidRPr="002341AF" w:rsidRDefault="00D41818" w:rsidP="00D41818">
      <w:pPr>
        <w:spacing w:line="276" w:lineRule="auto"/>
        <w:ind w:left="567" w:right="567"/>
        <w:jc w:val="both"/>
        <w:rPr>
          <w:rFonts w:ascii="Palatino Linotype" w:eastAsia="Palatino Linotype" w:hAnsi="Palatino Linotype" w:cs="Palatino Linotype"/>
          <w:b/>
          <w:i/>
          <w:sz w:val="24"/>
          <w:szCs w:val="24"/>
        </w:rPr>
      </w:pPr>
    </w:p>
    <w:p w14:paraId="02BA6C78" w14:textId="77777777" w:rsidR="00D41818" w:rsidRPr="002341AF" w:rsidRDefault="00D41818" w:rsidP="00D41818">
      <w:pPr>
        <w:pStyle w:val="Prrafodelista"/>
        <w:numPr>
          <w:ilvl w:val="0"/>
          <w:numId w:val="2"/>
        </w:numPr>
        <w:tabs>
          <w:tab w:val="left" w:pos="426"/>
        </w:tabs>
        <w:spacing w:before="240" w:after="240" w:line="360" w:lineRule="auto"/>
        <w:ind w:left="0" w:right="51" w:firstLine="0"/>
        <w:jc w:val="both"/>
        <w:rPr>
          <w:rFonts w:ascii="Palatino Linotype" w:hAnsi="Palatino Linotype" w:cs="Tahoma"/>
          <w:bCs/>
          <w:iCs/>
          <w:sz w:val="24"/>
        </w:rPr>
      </w:pPr>
      <w:r w:rsidRPr="002341AF">
        <w:rPr>
          <w:rFonts w:ascii="Palatino Linotype" w:hAnsi="Palatino Linotype"/>
          <w:color w:val="000000" w:themeColor="text1"/>
          <w:sz w:val="24"/>
        </w:rPr>
        <w:t xml:space="preserve">No obstante, </w:t>
      </w:r>
      <w:r w:rsidRPr="002341AF">
        <w:rPr>
          <w:rFonts w:ascii="Palatino Linotype" w:eastAsia="Palatino Linotype" w:hAnsi="Palatino Linotype" w:cs="Palatino Linotype"/>
          <w:b/>
          <w:sz w:val="24"/>
        </w:rPr>
        <w:t>sólo pueden ser dadas a conocer las responsabilidades administrativas</w:t>
      </w:r>
      <w:r w:rsidRPr="002341AF">
        <w:rPr>
          <w:rFonts w:ascii="Palatino Linotype" w:eastAsia="Palatino Linotype" w:hAnsi="Palatino Linotype" w:cs="Palatino Linotype"/>
          <w:sz w:val="24"/>
        </w:rPr>
        <w:t xml:space="preserve"> </w:t>
      </w:r>
      <w:r w:rsidRPr="002341AF">
        <w:rPr>
          <w:rFonts w:ascii="Palatino Linotype" w:eastAsia="Palatino Linotype" w:hAnsi="Palatino Linotype" w:cs="Palatino Linotype"/>
          <w:b/>
          <w:sz w:val="24"/>
        </w:rPr>
        <w:t>por faltas graves</w:t>
      </w:r>
      <w:r w:rsidRPr="002341AF">
        <w:rPr>
          <w:rFonts w:ascii="Palatino Linotype" w:eastAsia="Palatino Linotype" w:hAnsi="Palatino Linotype" w:cs="Palatino Linotype"/>
          <w:sz w:val="24"/>
        </w:rPr>
        <w:t xml:space="preserve">. Lo anterior, con motivo de la entrada en vigor de la Ley del Sistema Anticorrupción del Estado de México y Municipios publicada en el periódico oficial "Gaceta del Gobierno" el treinta de mayo de 2017, que establece que </w:t>
      </w:r>
      <w:r w:rsidRPr="002341AF">
        <w:rPr>
          <w:rFonts w:ascii="Palatino Linotype" w:eastAsia="Palatino Linotype" w:hAnsi="Palatino Linotype" w:cs="Palatino Linotype"/>
          <w:b/>
          <w:sz w:val="24"/>
        </w:rPr>
        <w:t>las sanciones no graves no serán públicas</w:t>
      </w:r>
      <w:r w:rsidRPr="002341AF">
        <w:rPr>
          <w:rFonts w:ascii="Palatino Linotype" w:eastAsia="Palatino Linotype" w:hAnsi="Palatino Linotype" w:cs="Palatino Linotype"/>
          <w:sz w:val="24"/>
        </w:rPr>
        <w:t xml:space="preserve">, toda vez que únicamente es de interés para los Poderes Ejecutivo, Legislativo y Judicial, los Ayuntamientos, Organismos Auxiliares, Fideicomisos Públicos y los Órganos Constitucionalmente Autónomos, en virtud de que exclusivamente se deriva de la relación entre autoridades </w:t>
      </w:r>
      <w:r w:rsidRPr="002341AF">
        <w:rPr>
          <w:rFonts w:ascii="Palatino Linotype" w:eastAsia="Palatino Linotype" w:hAnsi="Palatino Linotype" w:cs="Palatino Linotype"/>
          <w:sz w:val="24"/>
        </w:rPr>
        <w:lastRenderedPageBreak/>
        <w:t>administrativas y el titular de los datos personales, para acatar las disposiciones contenidas en el artículo 53 de la citada Ley Anticorrupción y que son de la literalidad siguiente:</w:t>
      </w:r>
    </w:p>
    <w:p w14:paraId="44DFF1F7" w14:textId="77777777" w:rsidR="00D41818" w:rsidRPr="002341AF" w:rsidRDefault="00D41818" w:rsidP="00D41818">
      <w:pPr>
        <w:pStyle w:val="Prrafodelista"/>
        <w:tabs>
          <w:tab w:val="left" w:pos="426"/>
        </w:tabs>
        <w:spacing w:before="240" w:line="360" w:lineRule="auto"/>
        <w:ind w:left="0" w:right="51"/>
        <w:jc w:val="both"/>
        <w:rPr>
          <w:rFonts w:ascii="Palatino Linotype" w:hAnsi="Palatino Linotype" w:cs="Tahoma"/>
          <w:bCs/>
          <w:iCs/>
          <w:sz w:val="24"/>
        </w:rPr>
      </w:pPr>
    </w:p>
    <w:p w14:paraId="5E525750" w14:textId="77777777" w:rsidR="00D41818" w:rsidRPr="002341AF" w:rsidRDefault="00D41818" w:rsidP="00D41818">
      <w:pPr>
        <w:ind w:left="567" w:right="567"/>
        <w:jc w:val="both"/>
        <w:rPr>
          <w:rFonts w:ascii="Palatino Linotype" w:eastAsia="Palatino Linotype" w:hAnsi="Palatino Linotype" w:cs="Palatino Linotype"/>
          <w:b/>
          <w:i/>
          <w:sz w:val="22"/>
          <w:szCs w:val="22"/>
        </w:rPr>
      </w:pPr>
      <w:r w:rsidRPr="002341AF">
        <w:rPr>
          <w:rFonts w:ascii="Palatino Linotype" w:eastAsia="Palatino Linotype" w:hAnsi="Palatino Linotype" w:cs="Palatino Linotype"/>
          <w:b/>
          <w:i/>
          <w:sz w:val="22"/>
          <w:szCs w:val="22"/>
        </w:rPr>
        <w:t xml:space="preserve">“Artículo 53. Las sanciones impuestas por faltas administrativas graves serán del conocimiento público </w:t>
      </w:r>
      <w:r w:rsidRPr="002341AF">
        <w:rPr>
          <w:rFonts w:ascii="Palatino Linotype" w:eastAsia="Palatino Linotype" w:hAnsi="Palatino Linotype" w:cs="Palatino Linotype"/>
          <w:b/>
          <w:i/>
          <w:sz w:val="22"/>
          <w:szCs w:val="22"/>
          <w:u w:val="single"/>
        </w:rPr>
        <w:t>cuando éstas contengan impedimentos o inhabilitaciones</w:t>
      </w:r>
      <w:r w:rsidRPr="002341AF">
        <w:rPr>
          <w:rFonts w:ascii="Palatino Linotype" w:eastAsia="Palatino Linotype" w:hAnsi="Palatino Linotype" w:cs="Palatino Linotype"/>
          <w:b/>
          <w:i/>
          <w:sz w:val="22"/>
          <w:szCs w:val="22"/>
        </w:rPr>
        <w:t xml:space="preserve"> para ser contratados como servidores públicos o como prestadores de servicios o contratistas del sector público, en términos de la Ley de Responsabilidades Administrativas del Estado de México y Municipios.</w:t>
      </w:r>
    </w:p>
    <w:p w14:paraId="17EC8CF4" w14:textId="77777777" w:rsidR="00D41818" w:rsidRPr="002341AF" w:rsidRDefault="00D41818" w:rsidP="00D41818">
      <w:pPr>
        <w:ind w:left="567" w:right="567"/>
        <w:jc w:val="both"/>
        <w:rPr>
          <w:rFonts w:ascii="Palatino Linotype" w:eastAsia="Palatino Linotype" w:hAnsi="Palatino Linotype" w:cs="Palatino Linotype"/>
          <w:i/>
          <w:sz w:val="22"/>
          <w:szCs w:val="22"/>
        </w:rPr>
      </w:pPr>
    </w:p>
    <w:p w14:paraId="68E82DE7" w14:textId="77777777" w:rsidR="00D41818" w:rsidRPr="002341AF" w:rsidRDefault="00D41818" w:rsidP="00D41818">
      <w:pPr>
        <w:pStyle w:val="Prrafodelista"/>
        <w:tabs>
          <w:tab w:val="left" w:pos="426"/>
        </w:tabs>
        <w:spacing w:before="240" w:after="240"/>
        <w:ind w:left="567" w:right="567"/>
        <w:jc w:val="both"/>
        <w:rPr>
          <w:rFonts w:ascii="Palatino Linotype" w:eastAsia="Palatino Linotype" w:hAnsi="Palatino Linotype" w:cs="Palatino Linotype"/>
          <w:i/>
          <w:szCs w:val="22"/>
        </w:rPr>
      </w:pPr>
      <w:r w:rsidRPr="002341AF">
        <w:rPr>
          <w:rFonts w:ascii="Palatino Linotype" w:eastAsia="Palatino Linotype" w:hAnsi="Palatino Linotype" w:cs="Palatino Linotype"/>
          <w:i/>
          <w:szCs w:val="22"/>
        </w:rPr>
        <w:t xml:space="preserve">Los registros de </w:t>
      </w:r>
      <w:r w:rsidRPr="002341AF">
        <w:rPr>
          <w:rFonts w:ascii="Palatino Linotype" w:eastAsia="Palatino Linotype" w:hAnsi="Palatino Linotype" w:cs="Palatino Linotype"/>
          <w:b/>
          <w:i/>
          <w:szCs w:val="22"/>
          <w:u w:val="single"/>
        </w:rPr>
        <w:t>las sanciones relativas a responsabilidades administrativas no graves, quedarán registradas para efectos de eventual reincidencia, pero no serán públicas.</w:t>
      </w:r>
      <w:r w:rsidRPr="002341AF">
        <w:rPr>
          <w:rFonts w:ascii="Palatino Linotype" w:eastAsia="Palatino Linotype" w:hAnsi="Palatino Linotype" w:cs="Palatino Linotype"/>
          <w:i/>
          <w:szCs w:val="22"/>
        </w:rPr>
        <w:t>”</w:t>
      </w:r>
    </w:p>
    <w:p w14:paraId="62CA064F" w14:textId="77777777" w:rsidR="00D41818" w:rsidRPr="002341AF" w:rsidRDefault="00D41818" w:rsidP="00D41818">
      <w:pPr>
        <w:pStyle w:val="Prrafodelista"/>
        <w:tabs>
          <w:tab w:val="left" w:pos="426"/>
        </w:tabs>
        <w:spacing w:before="240" w:after="240" w:line="360" w:lineRule="auto"/>
        <w:ind w:left="0" w:right="51"/>
        <w:jc w:val="both"/>
        <w:rPr>
          <w:rFonts w:ascii="Palatino Linotype" w:hAnsi="Palatino Linotype" w:cs="Tahoma"/>
          <w:bCs/>
          <w:iCs/>
          <w:sz w:val="24"/>
        </w:rPr>
      </w:pPr>
    </w:p>
    <w:p w14:paraId="7B60F17E" w14:textId="77777777" w:rsidR="00D41818" w:rsidRPr="002341AF" w:rsidRDefault="00D41818" w:rsidP="00D41818">
      <w:pPr>
        <w:pStyle w:val="Prrafodelista"/>
        <w:numPr>
          <w:ilvl w:val="0"/>
          <w:numId w:val="2"/>
        </w:numPr>
        <w:tabs>
          <w:tab w:val="left" w:pos="426"/>
        </w:tabs>
        <w:spacing w:before="240" w:after="240" w:line="360" w:lineRule="auto"/>
        <w:ind w:left="0" w:right="51" w:firstLine="0"/>
        <w:jc w:val="both"/>
        <w:rPr>
          <w:rFonts w:ascii="Palatino Linotype" w:hAnsi="Palatino Linotype" w:cs="Tahoma"/>
          <w:bCs/>
          <w:iCs/>
          <w:sz w:val="24"/>
        </w:rPr>
      </w:pPr>
      <w:r w:rsidRPr="002341AF">
        <w:rPr>
          <w:rFonts w:ascii="Palatino Linotype" w:hAnsi="Palatino Linotype"/>
          <w:color w:val="000000" w:themeColor="text1"/>
          <w:sz w:val="24"/>
        </w:rPr>
        <w:t xml:space="preserve">En </w:t>
      </w:r>
      <w:r w:rsidRPr="002341AF">
        <w:rPr>
          <w:rFonts w:ascii="Palatino Linotype" w:eastAsia="Palatino Linotype" w:hAnsi="Palatino Linotype" w:cs="Palatino Linotype"/>
          <w:sz w:val="24"/>
        </w:rPr>
        <w:t xml:space="preserve">ese sentido es importante, referir que la Ley de Responsabilidades Administrativas del Estado de México y Municipios, señala </w:t>
      </w:r>
      <w:r w:rsidRPr="002341AF">
        <w:rPr>
          <w:rFonts w:ascii="Palatino Linotype" w:eastAsia="Batang" w:hAnsi="Palatino Linotype" w:cs="Arial"/>
          <w:sz w:val="24"/>
        </w:rPr>
        <w:t>que incurrirá en una falta administrativa no grave, aquellos servidores públicos cuyos actos y omisiones incumplan o transgredan el cumplimiento de sus funciones, atribuciones o comisiones, la atención de instrucciones, presentar en tiempo y forma las declaraciones de situación patrimonial y de intereses, el cuidado de documentación, la rendición de cuentas sobre el ejercicio de sus funciones, entre otras.</w:t>
      </w:r>
    </w:p>
    <w:p w14:paraId="511D6516" w14:textId="77777777" w:rsidR="00D41818" w:rsidRPr="002341AF" w:rsidRDefault="00D41818" w:rsidP="00D41818">
      <w:pPr>
        <w:pStyle w:val="Prrafodelista"/>
        <w:tabs>
          <w:tab w:val="left" w:pos="426"/>
        </w:tabs>
        <w:spacing w:before="240" w:after="240" w:line="360" w:lineRule="auto"/>
        <w:ind w:left="0" w:right="51"/>
        <w:jc w:val="both"/>
        <w:rPr>
          <w:rFonts w:ascii="Palatino Linotype" w:hAnsi="Palatino Linotype" w:cs="Tahoma"/>
          <w:bCs/>
          <w:iCs/>
          <w:sz w:val="24"/>
        </w:rPr>
      </w:pPr>
    </w:p>
    <w:p w14:paraId="6FBBCFA3" w14:textId="77777777" w:rsidR="00D41818" w:rsidRPr="002341AF" w:rsidRDefault="00D41818" w:rsidP="00D41818">
      <w:pPr>
        <w:pStyle w:val="Prrafodelista"/>
        <w:numPr>
          <w:ilvl w:val="0"/>
          <w:numId w:val="2"/>
        </w:numPr>
        <w:tabs>
          <w:tab w:val="left" w:pos="426"/>
        </w:tabs>
        <w:spacing w:before="240" w:after="240" w:line="360" w:lineRule="auto"/>
        <w:ind w:left="0" w:right="51" w:firstLine="0"/>
        <w:jc w:val="both"/>
        <w:rPr>
          <w:rFonts w:ascii="Palatino Linotype" w:hAnsi="Palatino Linotype" w:cs="Tahoma"/>
          <w:bCs/>
          <w:iCs/>
          <w:sz w:val="24"/>
        </w:rPr>
      </w:pPr>
      <w:r w:rsidRPr="002341AF">
        <w:rPr>
          <w:rFonts w:ascii="Palatino Linotype" w:hAnsi="Palatino Linotype"/>
          <w:color w:val="000000" w:themeColor="text1"/>
          <w:sz w:val="24"/>
        </w:rPr>
        <w:t xml:space="preserve">Como </w:t>
      </w:r>
      <w:r w:rsidRPr="002341AF">
        <w:rPr>
          <w:rFonts w:ascii="Palatino Linotype" w:eastAsia="Batang" w:hAnsi="Palatino Linotype" w:cs="Arial"/>
          <w:sz w:val="24"/>
        </w:rPr>
        <w:t xml:space="preserve">se logra observar, las faltas no graves, son aquellas que cometen los servidores públicos por incumplimiento a sus funciones, o bien, a sus obligaciones y, </w:t>
      </w:r>
      <w:r w:rsidRPr="002341AF">
        <w:rPr>
          <w:rFonts w:ascii="Palatino Linotype" w:eastAsia="Batang" w:hAnsi="Palatino Linotype" w:cs="Arial"/>
          <w:sz w:val="24"/>
        </w:rPr>
        <w:lastRenderedPageBreak/>
        <w:t>por lo tanto, las consecuencias recaen directamente en contra, de este, al no haber una afectación a terceros (</w:t>
      </w:r>
      <w:r w:rsidRPr="002341AF">
        <w:rPr>
          <w:rFonts w:ascii="Palatino Linotype" w:eastAsia="Batang" w:hAnsi="Palatino Linotype" w:cs="Arial"/>
          <w:i/>
          <w:sz w:val="24"/>
        </w:rPr>
        <w:t>personas físicas, morales, instituciones públicas u otros trabajadores</w:t>
      </w:r>
      <w:r w:rsidRPr="002341AF">
        <w:rPr>
          <w:rFonts w:ascii="Palatino Linotype" w:eastAsia="Batang" w:hAnsi="Palatino Linotype" w:cs="Arial"/>
          <w:sz w:val="24"/>
        </w:rPr>
        <w:t>), ni haber un detrimento en el erario.</w:t>
      </w:r>
    </w:p>
    <w:p w14:paraId="13198778" w14:textId="77777777" w:rsidR="00D41818" w:rsidRPr="002341AF" w:rsidRDefault="00D41818" w:rsidP="00D41818">
      <w:pPr>
        <w:pStyle w:val="Prrafodelista"/>
        <w:tabs>
          <w:tab w:val="left" w:pos="426"/>
        </w:tabs>
        <w:spacing w:before="240" w:after="240" w:line="360" w:lineRule="auto"/>
        <w:ind w:left="0" w:right="51"/>
        <w:jc w:val="both"/>
        <w:rPr>
          <w:rFonts w:ascii="Palatino Linotype" w:hAnsi="Palatino Linotype" w:cs="Tahoma"/>
          <w:bCs/>
          <w:iCs/>
          <w:sz w:val="24"/>
        </w:rPr>
      </w:pPr>
    </w:p>
    <w:p w14:paraId="556EC5C2" w14:textId="77777777" w:rsidR="00D41818" w:rsidRPr="002341AF" w:rsidRDefault="00D41818" w:rsidP="00D41818">
      <w:pPr>
        <w:pStyle w:val="Prrafodelista"/>
        <w:numPr>
          <w:ilvl w:val="0"/>
          <w:numId w:val="2"/>
        </w:numPr>
        <w:tabs>
          <w:tab w:val="left" w:pos="426"/>
        </w:tabs>
        <w:spacing w:before="240" w:after="240" w:line="360" w:lineRule="auto"/>
        <w:ind w:left="0" w:right="51" w:firstLine="0"/>
        <w:jc w:val="both"/>
        <w:rPr>
          <w:rFonts w:ascii="Palatino Linotype" w:hAnsi="Palatino Linotype" w:cs="Tahoma"/>
          <w:bCs/>
          <w:iCs/>
          <w:sz w:val="24"/>
        </w:rPr>
      </w:pPr>
      <w:r w:rsidRPr="002341AF">
        <w:rPr>
          <w:rFonts w:ascii="Palatino Linotype" w:hAnsi="Palatino Linotype"/>
          <w:color w:val="000000" w:themeColor="text1"/>
          <w:sz w:val="24"/>
        </w:rPr>
        <w:t xml:space="preserve">Así, </w:t>
      </w:r>
      <w:r w:rsidRPr="002341AF">
        <w:rPr>
          <w:rFonts w:ascii="Palatino Linotype" w:eastAsia="Batang" w:hAnsi="Palatino Linotype" w:cs="Arial"/>
          <w:b/>
          <w:sz w:val="24"/>
        </w:rPr>
        <w:t xml:space="preserve">se puede advertir que dichas faltas, no tienen una trascendencia social, </w:t>
      </w:r>
      <w:r w:rsidRPr="002341AF">
        <w:rPr>
          <w:rFonts w:ascii="Palatino Linotype" w:eastAsia="Batang" w:hAnsi="Palatino Linotype" w:cs="Arial"/>
          <w:sz w:val="24"/>
        </w:rPr>
        <w:t>pues no existe un daño externo, sino que únicamente le atañe al servidor público en cuestión.</w:t>
      </w:r>
    </w:p>
    <w:p w14:paraId="15A5820A" w14:textId="77777777" w:rsidR="00D41818" w:rsidRPr="002341AF" w:rsidRDefault="00D41818" w:rsidP="00D41818">
      <w:pPr>
        <w:pStyle w:val="Prrafodelista"/>
        <w:tabs>
          <w:tab w:val="left" w:pos="426"/>
        </w:tabs>
        <w:spacing w:before="240" w:after="240" w:line="360" w:lineRule="auto"/>
        <w:ind w:left="0" w:right="51"/>
        <w:jc w:val="both"/>
        <w:rPr>
          <w:rFonts w:ascii="Palatino Linotype" w:hAnsi="Palatino Linotype" w:cs="Tahoma"/>
          <w:bCs/>
          <w:iCs/>
          <w:sz w:val="24"/>
        </w:rPr>
      </w:pPr>
    </w:p>
    <w:p w14:paraId="097A75F4" w14:textId="77777777" w:rsidR="00D41818" w:rsidRPr="002341AF" w:rsidRDefault="00D41818" w:rsidP="00D41818">
      <w:pPr>
        <w:pStyle w:val="Prrafodelista"/>
        <w:numPr>
          <w:ilvl w:val="0"/>
          <w:numId w:val="2"/>
        </w:numPr>
        <w:tabs>
          <w:tab w:val="left" w:pos="426"/>
        </w:tabs>
        <w:spacing w:line="360" w:lineRule="auto"/>
        <w:ind w:left="0" w:right="49" w:firstLine="0"/>
        <w:jc w:val="both"/>
        <w:rPr>
          <w:rFonts w:ascii="Palatino Linotype" w:eastAsia="Palatino Linotype" w:hAnsi="Palatino Linotype" w:cs="Palatino Linotype"/>
          <w:i/>
          <w:sz w:val="24"/>
        </w:rPr>
      </w:pPr>
      <w:r w:rsidRPr="002341AF">
        <w:rPr>
          <w:rFonts w:ascii="Palatino Linotype" w:hAnsi="Palatino Linotype"/>
          <w:color w:val="000000" w:themeColor="text1"/>
          <w:sz w:val="24"/>
        </w:rPr>
        <w:t xml:space="preserve">Por </w:t>
      </w:r>
      <w:r w:rsidRPr="002341AF">
        <w:rPr>
          <w:rFonts w:ascii="Palatino Linotype" w:hAnsi="Palatino Linotype" w:cs="Arial"/>
          <w:sz w:val="24"/>
        </w:rPr>
        <w:t xml:space="preserve">lo expuesto, se desprende que dar a conocer el nombre del servidor público de un procedimiento de responsabilidad administrativa </w:t>
      </w:r>
      <w:r w:rsidRPr="002341AF">
        <w:rPr>
          <w:rFonts w:ascii="Palatino Linotype" w:hAnsi="Palatino Linotype" w:cs="Arial"/>
          <w:b/>
          <w:bCs/>
          <w:sz w:val="24"/>
        </w:rPr>
        <w:t>no grave</w:t>
      </w:r>
      <w:r w:rsidRPr="002341AF">
        <w:rPr>
          <w:rFonts w:ascii="Palatino Linotype" w:hAnsi="Palatino Linotype" w:cs="Arial"/>
          <w:sz w:val="24"/>
        </w:rPr>
        <w:t xml:space="preserve">, constituye información confidencial que afecta su esfera privada, puesto que podría generar una percepción negativa de este, ocasionando un perjuicio en su </w:t>
      </w:r>
      <w:r w:rsidRPr="002341AF">
        <w:rPr>
          <w:rFonts w:ascii="Palatino Linotype" w:hAnsi="Palatino Linotype" w:cs="Arial"/>
          <w:b/>
          <w:sz w:val="24"/>
        </w:rPr>
        <w:t>honor, intimidad y buena imagen</w:t>
      </w:r>
      <w:r w:rsidRPr="002341AF">
        <w:rPr>
          <w:rFonts w:ascii="Palatino Linotype" w:hAnsi="Palatino Linotype" w:cs="Arial"/>
          <w:sz w:val="24"/>
        </w:rPr>
        <w:t>, pues como se precisó la afectación es para el propio servidor público, situación que no afecta a terceros.</w:t>
      </w:r>
    </w:p>
    <w:p w14:paraId="3A0BCD95" w14:textId="77777777" w:rsidR="00D41818" w:rsidRPr="002341AF" w:rsidRDefault="00D41818" w:rsidP="00D41818">
      <w:pPr>
        <w:pStyle w:val="Prrafodelista"/>
        <w:rPr>
          <w:rFonts w:ascii="Palatino Linotype" w:eastAsia="Palatino Linotype" w:hAnsi="Palatino Linotype" w:cs="Palatino Linotype"/>
          <w:i/>
          <w:sz w:val="24"/>
        </w:rPr>
      </w:pPr>
    </w:p>
    <w:p w14:paraId="71DAB2F4" w14:textId="77777777" w:rsidR="00D41818" w:rsidRPr="002341AF" w:rsidRDefault="00D41818" w:rsidP="00D41818">
      <w:pPr>
        <w:pStyle w:val="Prrafodelista"/>
        <w:numPr>
          <w:ilvl w:val="0"/>
          <w:numId w:val="2"/>
        </w:numPr>
        <w:tabs>
          <w:tab w:val="left" w:pos="426"/>
        </w:tabs>
        <w:spacing w:before="240" w:after="240" w:line="360" w:lineRule="auto"/>
        <w:ind w:left="0" w:right="51" w:firstLine="0"/>
        <w:jc w:val="both"/>
        <w:rPr>
          <w:rFonts w:ascii="Palatino Linotype" w:hAnsi="Palatino Linotype" w:cs="Tahoma"/>
          <w:bCs/>
          <w:iCs/>
          <w:sz w:val="24"/>
        </w:rPr>
      </w:pPr>
      <w:r w:rsidRPr="002341AF">
        <w:rPr>
          <w:rFonts w:ascii="Palatino Linotype" w:hAnsi="Palatino Linotype" w:cs="Arial"/>
          <w:sz w:val="24"/>
        </w:rPr>
        <w:t xml:space="preserve">Por lo cual, dar a conocer el nombre y cargo del servidor público, así como la sanción  que haya recibido por una falta administrativa no grave, la cual no causa una afectación a otros, pues como se precisó en párrafos anteriores, se trata de incumplimientos a sus funciones u obligaciones, podría generar un juicio </w:t>
      </w:r>
      <w:r w:rsidRPr="002341AF">
        <w:rPr>
          <w:rFonts w:ascii="Palatino Linotype" w:hAnsi="Palatino Linotype" w:cs="Arial"/>
          <w:i/>
          <w:sz w:val="24"/>
        </w:rPr>
        <w:t>a priori</w:t>
      </w:r>
      <w:r w:rsidRPr="002341AF">
        <w:rPr>
          <w:rFonts w:ascii="Palatino Linotype" w:hAnsi="Palatino Linotype" w:cs="Arial"/>
          <w:sz w:val="24"/>
        </w:rPr>
        <w:t xml:space="preserve"> por parte de la sociedad, afectando su prestigio y su buen nombre, pues esto podría causar una mala percepción del servidor público frente a la sociedad, </w:t>
      </w:r>
      <w:r w:rsidRPr="002341AF">
        <w:rPr>
          <w:rFonts w:ascii="Palatino Linotype" w:hAnsi="Palatino Linotype" w:cs="Arial"/>
          <w:b/>
          <w:sz w:val="24"/>
        </w:rPr>
        <w:t xml:space="preserve">lo cual daña su vida </w:t>
      </w:r>
      <w:r w:rsidRPr="002341AF">
        <w:rPr>
          <w:rFonts w:ascii="Palatino Linotype" w:hAnsi="Palatino Linotype" w:cs="Arial"/>
          <w:b/>
          <w:sz w:val="24"/>
        </w:rPr>
        <w:lastRenderedPageBreak/>
        <w:t>privada y profesional,</w:t>
      </w:r>
      <w:r w:rsidRPr="002341AF">
        <w:rPr>
          <w:rFonts w:ascii="Palatino Linotype" w:hAnsi="Palatino Linotype" w:cs="Arial"/>
          <w:sz w:val="24"/>
        </w:rPr>
        <w:t xml:space="preserve"> mismas que forman parte de su intimidad; por lo que se concluye que dicha información, en caso de que existiera, tiene el carácter de confidencial.</w:t>
      </w:r>
    </w:p>
    <w:p w14:paraId="6E103512" w14:textId="77777777" w:rsidR="00D41818" w:rsidRPr="002341AF" w:rsidRDefault="00D41818" w:rsidP="00D41818">
      <w:pPr>
        <w:pStyle w:val="Prrafodelista"/>
        <w:tabs>
          <w:tab w:val="left" w:pos="426"/>
        </w:tabs>
        <w:spacing w:before="240" w:after="240" w:line="360" w:lineRule="auto"/>
        <w:ind w:left="0" w:right="51"/>
        <w:jc w:val="both"/>
        <w:rPr>
          <w:rFonts w:ascii="Palatino Linotype" w:hAnsi="Palatino Linotype" w:cs="Tahoma"/>
          <w:bCs/>
          <w:iCs/>
          <w:sz w:val="24"/>
        </w:rPr>
      </w:pPr>
    </w:p>
    <w:p w14:paraId="0AD3657F" w14:textId="77777777" w:rsidR="0032354F" w:rsidRPr="002341AF" w:rsidRDefault="00D41818" w:rsidP="0032354F">
      <w:pPr>
        <w:pStyle w:val="Prrafodelista"/>
        <w:numPr>
          <w:ilvl w:val="0"/>
          <w:numId w:val="2"/>
        </w:numPr>
        <w:tabs>
          <w:tab w:val="left" w:pos="426"/>
        </w:tabs>
        <w:spacing w:line="360" w:lineRule="auto"/>
        <w:ind w:left="0" w:right="49" w:firstLine="0"/>
        <w:jc w:val="both"/>
        <w:rPr>
          <w:rFonts w:ascii="Palatino Linotype" w:eastAsia="Palatino Linotype" w:hAnsi="Palatino Linotype" w:cs="Palatino Linotype"/>
          <w:i/>
          <w:sz w:val="24"/>
        </w:rPr>
      </w:pPr>
      <w:r w:rsidRPr="002341AF">
        <w:rPr>
          <w:rFonts w:ascii="Palatino Linotype" w:hAnsi="Palatino Linotype"/>
          <w:color w:val="000000" w:themeColor="text1"/>
          <w:sz w:val="24"/>
        </w:rPr>
        <w:t xml:space="preserve">Por </w:t>
      </w:r>
      <w:r w:rsidRPr="002341AF">
        <w:rPr>
          <w:rFonts w:ascii="Palatino Linotype" w:hAnsi="Palatino Linotype" w:cs="Arial"/>
          <w:sz w:val="24"/>
        </w:rPr>
        <w:t xml:space="preserve">lo cual, se considera procedente la clasificación, en términos del artículo 143, fracción I, de la Ley de Transparencia y Acceso a la Información Pública del Estado de México y Municipios, </w:t>
      </w:r>
      <w:r w:rsidRPr="002341AF">
        <w:rPr>
          <w:rFonts w:ascii="Palatino Linotype" w:hAnsi="Palatino Linotype" w:cs="Arial"/>
          <w:b/>
          <w:sz w:val="24"/>
        </w:rPr>
        <w:t>del nombre de los servidores públicos que hayan recibido alguna sanción por falta administrativa no grave</w:t>
      </w:r>
      <w:r w:rsidRPr="002341AF">
        <w:rPr>
          <w:rFonts w:ascii="Palatino Linotype" w:hAnsi="Palatino Linotype" w:cs="Arial"/>
          <w:sz w:val="24"/>
        </w:rPr>
        <w:t>.</w:t>
      </w:r>
    </w:p>
    <w:p w14:paraId="15AE2F18" w14:textId="77777777" w:rsidR="0032354F" w:rsidRPr="002341AF" w:rsidRDefault="0032354F" w:rsidP="0032354F">
      <w:pPr>
        <w:rPr>
          <w:rFonts w:ascii="Palatino Linotype" w:eastAsia="Palatino Linotype" w:hAnsi="Palatino Linotype" w:cs="Palatino Linotype"/>
          <w:b/>
          <w:sz w:val="24"/>
        </w:rPr>
      </w:pPr>
    </w:p>
    <w:p w14:paraId="2C57C238" w14:textId="280F54B0" w:rsidR="0032354F" w:rsidRPr="002341AF" w:rsidRDefault="0032354F" w:rsidP="0032354F">
      <w:pPr>
        <w:pStyle w:val="Prrafodelista"/>
        <w:numPr>
          <w:ilvl w:val="0"/>
          <w:numId w:val="26"/>
        </w:numPr>
        <w:tabs>
          <w:tab w:val="left" w:pos="426"/>
        </w:tabs>
        <w:spacing w:line="360" w:lineRule="auto"/>
        <w:ind w:right="539" w:hanging="153"/>
        <w:jc w:val="both"/>
        <w:outlineLvl w:val="2"/>
        <w:rPr>
          <w:rFonts w:ascii="Palatino Linotype" w:hAnsi="Palatino Linotype"/>
          <w:b/>
          <w:bCs/>
          <w:color w:val="000000" w:themeColor="text1"/>
          <w:sz w:val="24"/>
        </w:rPr>
      </w:pPr>
      <w:r w:rsidRPr="002341AF">
        <w:rPr>
          <w:rFonts w:ascii="Palatino Linotype" w:hAnsi="Palatino Linotype"/>
          <w:b/>
          <w:bCs/>
          <w:color w:val="000000" w:themeColor="text1"/>
          <w:sz w:val="24"/>
        </w:rPr>
        <w:t xml:space="preserve">De </w:t>
      </w:r>
      <w:r w:rsidRPr="002341AF">
        <w:rPr>
          <w:rFonts w:ascii="Palatino Linotype" w:hAnsi="Palatino Linotype" w:cs="Tahoma"/>
          <w:b/>
          <w:iCs/>
          <w:sz w:val="24"/>
        </w:rPr>
        <w:t>los procedimientos de responsabilidades administrativas concluidos, relacionados con faltas graves.</w:t>
      </w:r>
    </w:p>
    <w:p w14:paraId="3DC2AC0B" w14:textId="77777777" w:rsidR="0032354F" w:rsidRPr="002341AF" w:rsidRDefault="0032354F" w:rsidP="0032354F">
      <w:pPr>
        <w:rPr>
          <w:rFonts w:ascii="Palatino Linotype" w:eastAsia="Palatino Linotype" w:hAnsi="Palatino Linotype" w:cs="Palatino Linotype"/>
          <w:sz w:val="24"/>
        </w:rPr>
      </w:pPr>
    </w:p>
    <w:p w14:paraId="28A19499" w14:textId="77777777" w:rsidR="0032354F" w:rsidRPr="002341AF" w:rsidRDefault="0032354F" w:rsidP="0032354F">
      <w:pPr>
        <w:pStyle w:val="Prrafodelista"/>
        <w:numPr>
          <w:ilvl w:val="0"/>
          <w:numId w:val="2"/>
        </w:numPr>
        <w:tabs>
          <w:tab w:val="left" w:pos="426"/>
        </w:tabs>
        <w:spacing w:line="360" w:lineRule="auto"/>
        <w:ind w:left="0" w:right="49" w:firstLine="0"/>
        <w:jc w:val="both"/>
        <w:rPr>
          <w:rFonts w:ascii="Palatino Linotype" w:eastAsia="Palatino Linotype" w:hAnsi="Palatino Linotype" w:cs="Palatino Linotype"/>
          <w:i/>
          <w:sz w:val="24"/>
        </w:rPr>
      </w:pPr>
      <w:r w:rsidRPr="002341AF">
        <w:rPr>
          <w:rFonts w:ascii="Palatino Linotype" w:eastAsia="Palatino Linotype" w:hAnsi="Palatino Linotype" w:cs="Palatino Linotype"/>
          <w:sz w:val="24"/>
        </w:rPr>
        <w:t xml:space="preserve">Si </w:t>
      </w:r>
      <w:r w:rsidRPr="002341AF">
        <w:rPr>
          <w:rFonts w:ascii="Palatino Linotype" w:eastAsiaTheme="minorEastAsia" w:hAnsi="Palatino Linotype"/>
          <w:sz w:val="24"/>
        </w:rPr>
        <w:t xml:space="preserve">el o los expedientes requeridos por el particular, encuadren en el presente caso se procederá a su acceso en versión pública, protegiendo el nombre, cargo y área de adscripción del Servidor Público absuelto y aquellos datos personales que hagan identificable a una persona, </w:t>
      </w:r>
      <w:r w:rsidRPr="002341AF">
        <w:rPr>
          <w:rFonts w:ascii="Palatino Linotype" w:eastAsiaTheme="minorEastAsia" w:hAnsi="Palatino Linotype"/>
          <w:bCs/>
          <w:sz w:val="24"/>
        </w:rPr>
        <w:t>toda vez que la información solicitada, se relaciona con servidores públicos en específico, los cuales al no haber recibido alguna sanción por posibles responsabilidades, se procede a clasificar como confidencial, al poder causar un perjuicio a la vida privada de estos.</w:t>
      </w:r>
    </w:p>
    <w:p w14:paraId="5E91BBE9" w14:textId="77777777" w:rsidR="0032354F" w:rsidRPr="002341AF" w:rsidRDefault="0032354F" w:rsidP="0032354F">
      <w:pPr>
        <w:pStyle w:val="Prrafodelista"/>
        <w:tabs>
          <w:tab w:val="left" w:pos="426"/>
        </w:tabs>
        <w:spacing w:line="360" w:lineRule="auto"/>
        <w:ind w:left="0" w:right="49"/>
        <w:jc w:val="both"/>
        <w:rPr>
          <w:rFonts w:ascii="Palatino Linotype" w:eastAsia="Palatino Linotype" w:hAnsi="Palatino Linotype" w:cs="Palatino Linotype"/>
          <w:i/>
          <w:sz w:val="24"/>
        </w:rPr>
      </w:pPr>
    </w:p>
    <w:p w14:paraId="160B615C" w14:textId="77777777" w:rsidR="0032354F" w:rsidRPr="002341AF" w:rsidRDefault="0032354F" w:rsidP="0032354F">
      <w:pPr>
        <w:pStyle w:val="Prrafodelista"/>
        <w:numPr>
          <w:ilvl w:val="0"/>
          <w:numId w:val="2"/>
        </w:numPr>
        <w:tabs>
          <w:tab w:val="left" w:pos="426"/>
        </w:tabs>
        <w:spacing w:line="360" w:lineRule="auto"/>
        <w:ind w:left="0" w:right="49" w:firstLine="0"/>
        <w:jc w:val="both"/>
        <w:rPr>
          <w:rFonts w:ascii="Palatino Linotype" w:eastAsia="Palatino Linotype" w:hAnsi="Palatino Linotype" w:cs="Palatino Linotype"/>
          <w:i/>
          <w:sz w:val="24"/>
        </w:rPr>
      </w:pPr>
      <w:r w:rsidRPr="002341AF">
        <w:rPr>
          <w:rFonts w:ascii="Palatino Linotype" w:eastAsiaTheme="minorEastAsia" w:hAnsi="Palatino Linotype"/>
          <w:sz w:val="24"/>
        </w:rPr>
        <w:lastRenderedPageBreak/>
        <w:t xml:space="preserve">Cabe mencionar que el artículo 6°, Apartado A), fracción II, de la Constitución Política de los Estados Unidos Mexicanos, prevé que la información que se refiere a la vida privada y los datos personales, será protegida en los términos y con las excepciones que fijen las leyes. </w:t>
      </w:r>
      <w:r w:rsidRPr="002341AF">
        <w:rPr>
          <w:rFonts w:ascii="Palatino Linotype" w:eastAsiaTheme="minorEastAsia" w:hAnsi="Palatino Linotype"/>
          <w:bCs/>
          <w:sz w:val="24"/>
        </w:rPr>
        <w:t xml:space="preserve">Igualmente, el segundo párrafo del artículo 16 de la </w:t>
      </w:r>
      <w:r w:rsidRPr="002341AF">
        <w:rPr>
          <w:rFonts w:ascii="Palatino Linotype" w:eastAsiaTheme="minorEastAsia" w:hAnsi="Palatino Linotype"/>
          <w:sz w:val="24"/>
        </w:rPr>
        <w:t xml:space="preserve">Carta Magna </w:t>
      </w:r>
      <w:r w:rsidRPr="002341AF">
        <w:rPr>
          <w:rFonts w:ascii="Palatino Linotype" w:eastAsiaTheme="minorEastAsia" w:hAnsi="Palatino Linotype"/>
          <w:bCs/>
          <w:sz w:val="24"/>
        </w:rPr>
        <w:t>dispone que t</w:t>
      </w:r>
      <w:r w:rsidRPr="002341AF">
        <w:rPr>
          <w:rFonts w:ascii="Palatino Linotype" w:eastAsiaTheme="minorEastAsia" w:hAnsi="Palatino Linotype"/>
          <w:sz w:val="24"/>
        </w:rPr>
        <w: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7826EE30" w14:textId="77777777" w:rsidR="0032354F" w:rsidRPr="002341AF" w:rsidRDefault="0032354F" w:rsidP="0032354F">
      <w:pPr>
        <w:rPr>
          <w:rFonts w:ascii="Palatino Linotype" w:eastAsiaTheme="minorEastAsia" w:hAnsi="Palatino Linotype"/>
          <w:sz w:val="24"/>
        </w:rPr>
      </w:pPr>
    </w:p>
    <w:p w14:paraId="2ECF2D06" w14:textId="77777777" w:rsidR="0032354F" w:rsidRPr="002341AF" w:rsidRDefault="0032354F" w:rsidP="0032354F">
      <w:pPr>
        <w:pStyle w:val="Prrafodelista"/>
        <w:numPr>
          <w:ilvl w:val="0"/>
          <w:numId w:val="2"/>
        </w:numPr>
        <w:tabs>
          <w:tab w:val="left" w:pos="426"/>
        </w:tabs>
        <w:spacing w:line="360" w:lineRule="auto"/>
        <w:ind w:left="0" w:right="49" w:firstLine="0"/>
        <w:jc w:val="both"/>
        <w:rPr>
          <w:rFonts w:ascii="Palatino Linotype" w:eastAsia="Palatino Linotype" w:hAnsi="Palatino Linotype" w:cs="Palatino Linotype"/>
          <w:i/>
          <w:sz w:val="24"/>
        </w:rPr>
      </w:pPr>
      <w:r w:rsidRPr="002341AF">
        <w:rPr>
          <w:rFonts w:ascii="Palatino Linotype" w:eastAsiaTheme="minorEastAsia" w:hAnsi="Palatino Linotype"/>
          <w:sz w:val="24"/>
        </w:rPr>
        <w:t>Acorde</w:t>
      </w:r>
      <w:r w:rsidRPr="002341AF">
        <w:rPr>
          <w:rFonts w:ascii="Palatino Linotype" w:eastAsiaTheme="minorEastAsia" w:hAnsi="Palatino Linotype"/>
          <w:bCs/>
          <w:sz w:val="24"/>
        </w:rPr>
        <w:t xml:space="preserve"> con lo anterior, la Ley General de Transparencia y Acceso a la Información Pública, en su artículo 116, dispone que se considera información confidencial la que contenga datos personales concernientes a una persona física identificada o identificable. </w:t>
      </w:r>
      <w:r w:rsidRPr="002341AF">
        <w:rPr>
          <w:rFonts w:ascii="Palatino Linotype" w:eastAsiaTheme="minorEastAsia" w:hAnsi="Palatino Linotype"/>
          <w:sz w:val="24"/>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40645284" w14:textId="77777777" w:rsidR="0032354F" w:rsidRPr="002341AF" w:rsidRDefault="0032354F" w:rsidP="0032354F">
      <w:pPr>
        <w:pStyle w:val="Prrafodelista"/>
        <w:rPr>
          <w:rFonts w:ascii="Palatino Linotype" w:eastAsiaTheme="minorEastAsia" w:hAnsi="Palatino Linotype"/>
          <w:bCs/>
          <w:sz w:val="24"/>
        </w:rPr>
      </w:pPr>
    </w:p>
    <w:p w14:paraId="7CE48A32" w14:textId="77777777" w:rsidR="0032354F" w:rsidRPr="002341AF" w:rsidRDefault="0032354F" w:rsidP="0032354F">
      <w:pPr>
        <w:pStyle w:val="Prrafodelista"/>
        <w:numPr>
          <w:ilvl w:val="0"/>
          <w:numId w:val="2"/>
        </w:numPr>
        <w:tabs>
          <w:tab w:val="left" w:pos="426"/>
        </w:tabs>
        <w:spacing w:line="360" w:lineRule="auto"/>
        <w:ind w:left="0" w:right="49" w:firstLine="0"/>
        <w:jc w:val="both"/>
        <w:rPr>
          <w:rFonts w:ascii="Palatino Linotype" w:eastAsia="Palatino Linotype" w:hAnsi="Palatino Linotype" w:cs="Palatino Linotype"/>
          <w:i/>
          <w:sz w:val="24"/>
        </w:rPr>
      </w:pPr>
      <w:r w:rsidRPr="002341AF">
        <w:rPr>
          <w:rFonts w:ascii="Palatino Linotype" w:eastAsiaTheme="minorEastAsia" w:hAnsi="Palatino Linotype"/>
          <w:bCs/>
          <w:sz w:val="24"/>
        </w:rPr>
        <w:lastRenderedPageBreak/>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3D92B0E0" w14:textId="77777777" w:rsidR="0032354F" w:rsidRPr="002341AF" w:rsidRDefault="0032354F" w:rsidP="0032354F">
      <w:pPr>
        <w:pStyle w:val="Prrafodelista"/>
        <w:rPr>
          <w:rFonts w:ascii="Palatino Linotype" w:eastAsiaTheme="minorEastAsia" w:hAnsi="Palatino Linotype"/>
          <w:bCs/>
          <w:sz w:val="24"/>
        </w:rPr>
      </w:pPr>
    </w:p>
    <w:p w14:paraId="6172D83B" w14:textId="77777777" w:rsidR="0032354F" w:rsidRPr="002341AF" w:rsidRDefault="0032354F" w:rsidP="0032354F">
      <w:pPr>
        <w:pStyle w:val="Prrafodelista"/>
        <w:numPr>
          <w:ilvl w:val="0"/>
          <w:numId w:val="2"/>
        </w:numPr>
        <w:tabs>
          <w:tab w:val="left" w:pos="426"/>
        </w:tabs>
        <w:spacing w:line="360" w:lineRule="auto"/>
        <w:ind w:left="0" w:right="49" w:firstLine="0"/>
        <w:jc w:val="both"/>
        <w:rPr>
          <w:rFonts w:ascii="Palatino Linotype" w:eastAsia="Palatino Linotype" w:hAnsi="Palatino Linotype" w:cs="Palatino Linotype"/>
          <w:i/>
          <w:sz w:val="24"/>
        </w:rPr>
      </w:pPr>
      <w:r w:rsidRPr="002341AF">
        <w:rPr>
          <w:rFonts w:ascii="Palatino Linotype" w:eastAsiaTheme="minorEastAsia" w:hAnsi="Palatino Linotype"/>
          <w:bCs/>
          <w:sz w:val="24"/>
        </w:rPr>
        <w:t xml:space="preserve">En concordancia con lo previo, el artículo 143, fracción I, de la Ley previamente citada, establece que </w:t>
      </w:r>
      <w:r w:rsidRPr="002341AF">
        <w:rPr>
          <w:rFonts w:ascii="Palatino Linotype" w:eastAsiaTheme="minorEastAsia" w:hAnsi="Palatino Linotype"/>
          <w:sz w:val="24"/>
        </w:rPr>
        <w:t>la información privada</w:t>
      </w:r>
      <w:r w:rsidRPr="002341AF">
        <w:rPr>
          <w:rFonts w:ascii="Palatino Linotype" w:eastAsiaTheme="minorEastAsia" w:hAnsi="Palatino Linotype"/>
          <w:bCs/>
          <w:sz w:val="24"/>
        </w:rPr>
        <w:t xml:space="preserve"> y los datos personales, concernientes a una persona física identificada o identificable son confidenciales.</w:t>
      </w:r>
    </w:p>
    <w:p w14:paraId="208E80D6" w14:textId="77777777" w:rsidR="0032354F" w:rsidRPr="002341AF" w:rsidRDefault="0032354F" w:rsidP="0032354F">
      <w:pPr>
        <w:pStyle w:val="Prrafodelista"/>
        <w:rPr>
          <w:rFonts w:ascii="Palatino Linotype" w:eastAsiaTheme="minorEastAsia" w:hAnsi="Palatino Linotype"/>
          <w:bCs/>
          <w:sz w:val="24"/>
        </w:rPr>
      </w:pPr>
    </w:p>
    <w:p w14:paraId="2C4F6097" w14:textId="77777777" w:rsidR="0032354F" w:rsidRPr="002341AF" w:rsidRDefault="0032354F" w:rsidP="0032354F">
      <w:pPr>
        <w:pStyle w:val="Prrafodelista"/>
        <w:numPr>
          <w:ilvl w:val="0"/>
          <w:numId w:val="2"/>
        </w:numPr>
        <w:tabs>
          <w:tab w:val="left" w:pos="426"/>
        </w:tabs>
        <w:spacing w:line="360" w:lineRule="auto"/>
        <w:ind w:left="0" w:right="49" w:firstLine="0"/>
        <w:jc w:val="both"/>
        <w:rPr>
          <w:rFonts w:ascii="Palatino Linotype" w:eastAsia="Palatino Linotype" w:hAnsi="Palatino Linotype" w:cs="Palatino Linotype"/>
          <w:i/>
          <w:sz w:val="24"/>
        </w:rPr>
      </w:pPr>
      <w:r w:rsidRPr="002341AF">
        <w:rPr>
          <w:rFonts w:ascii="Palatino Linotype" w:eastAsiaTheme="minorEastAsia" w:hAnsi="Palatino Linotype"/>
          <w:bCs/>
          <w:sz w:val="24"/>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w:t>
      </w:r>
      <w:r w:rsidRPr="002341AF">
        <w:rPr>
          <w:rFonts w:ascii="Palatino Linotype" w:eastAsiaTheme="minorEastAsia" w:hAnsi="Palatino Linotype"/>
          <w:b/>
          <w:bCs/>
          <w:sz w:val="24"/>
        </w:rPr>
        <w:t xml:space="preserve">i) </w:t>
      </w:r>
      <w:r w:rsidRPr="002341AF">
        <w:rPr>
          <w:rFonts w:ascii="Palatino Linotype" w:eastAsiaTheme="minorEastAsia" w:hAnsi="Palatino Linotype"/>
          <w:bCs/>
          <w:sz w:val="24"/>
        </w:rPr>
        <w:t xml:space="preserve">la información se encuentre en registros públicos o fuentes de acceso público, </w:t>
      </w:r>
      <w:r w:rsidRPr="002341AF">
        <w:rPr>
          <w:rFonts w:ascii="Palatino Linotype" w:eastAsiaTheme="minorEastAsia" w:hAnsi="Palatino Linotype"/>
          <w:b/>
          <w:bCs/>
          <w:sz w:val="24"/>
        </w:rPr>
        <w:t>ii)</w:t>
      </w:r>
      <w:r w:rsidRPr="002341AF">
        <w:rPr>
          <w:rFonts w:ascii="Palatino Linotype" w:eastAsiaTheme="minorEastAsia" w:hAnsi="Palatino Linotype"/>
          <w:bCs/>
          <w:sz w:val="24"/>
        </w:rPr>
        <w:t xml:space="preserve"> por ley tenga el carácter de pública, </w:t>
      </w:r>
      <w:r w:rsidRPr="002341AF">
        <w:rPr>
          <w:rFonts w:ascii="Palatino Linotype" w:eastAsiaTheme="minorEastAsia" w:hAnsi="Palatino Linotype"/>
          <w:b/>
          <w:bCs/>
          <w:sz w:val="24"/>
        </w:rPr>
        <w:t>iii)</w:t>
      </w:r>
      <w:r w:rsidRPr="002341AF">
        <w:rPr>
          <w:rFonts w:ascii="Palatino Linotype" w:eastAsiaTheme="minorEastAsia" w:hAnsi="Palatino Linotype"/>
          <w:bCs/>
          <w:sz w:val="24"/>
        </w:rPr>
        <w:t xml:space="preserve"> exista una orden judicial, </w:t>
      </w:r>
      <w:r w:rsidRPr="002341AF">
        <w:rPr>
          <w:rFonts w:ascii="Palatino Linotype" w:eastAsiaTheme="minorEastAsia" w:hAnsi="Palatino Linotype"/>
          <w:b/>
          <w:bCs/>
          <w:sz w:val="24"/>
        </w:rPr>
        <w:t>iv)</w:t>
      </w:r>
      <w:r w:rsidRPr="002341AF">
        <w:rPr>
          <w:rFonts w:ascii="Palatino Linotype" w:eastAsiaTheme="minorEastAsia" w:hAnsi="Palatino Linotype"/>
          <w:bCs/>
          <w:sz w:val="24"/>
        </w:rPr>
        <w:t xml:space="preserve"> por razones de seguridad nacional y salubridad general o </w:t>
      </w:r>
      <w:r w:rsidRPr="002341AF">
        <w:rPr>
          <w:rFonts w:ascii="Palatino Linotype" w:eastAsiaTheme="minorEastAsia" w:hAnsi="Palatino Linotype"/>
          <w:b/>
          <w:bCs/>
          <w:sz w:val="24"/>
        </w:rPr>
        <w:t>v)</w:t>
      </w:r>
      <w:r w:rsidRPr="002341AF">
        <w:rPr>
          <w:rFonts w:ascii="Palatino Linotype" w:eastAsiaTheme="minorEastAsia" w:hAnsi="Palatino Linotype"/>
          <w:bCs/>
          <w:sz w:val="24"/>
        </w:rPr>
        <w:t xml:space="preserve"> para proteger los derechos de terceros o cuando se transmita entre sujetos obligados en términos de los tratados y los acuerdos interinstitucionales.</w:t>
      </w:r>
    </w:p>
    <w:p w14:paraId="3E1FDE6F" w14:textId="77777777" w:rsidR="0032354F" w:rsidRPr="002341AF" w:rsidRDefault="0032354F" w:rsidP="0032354F">
      <w:pPr>
        <w:pStyle w:val="Prrafodelista"/>
        <w:rPr>
          <w:rFonts w:ascii="Palatino Linotype" w:eastAsiaTheme="minorEastAsia" w:hAnsi="Palatino Linotype"/>
          <w:bCs/>
          <w:sz w:val="24"/>
        </w:rPr>
      </w:pPr>
    </w:p>
    <w:p w14:paraId="7A560639" w14:textId="3D45FB21" w:rsidR="0032354F" w:rsidRPr="002341AF" w:rsidRDefault="0032354F" w:rsidP="00BA2F78">
      <w:pPr>
        <w:pStyle w:val="Prrafodelista"/>
        <w:numPr>
          <w:ilvl w:val="0"/>
          <w:numId w:val="2"/>
        </w:numPr>
        <w:tabs>
          <w:tab w:val="left" w:pos="426"/>
        </w:tabs>
        <w:spacing w:line="360" w:lineRule="auto"/>
        <w:ind w:left="0" w:right="49" w:firstLine="0"/>
        <w:jc w:val="both"/>
        <w:rPr>
          <w:rFonts w:ascii="Palatino Linotype" w:eastAsia="Palatino Linotype" w:hAnsi="Palatino Linotype" w:cs="Palatino Linotype"/>
          <w:i/>
          <w:sz w:val="24"/>
        </w:rPr>
      </w:pPr>
      <w:r w:rsidRPr="002341AF">
        <w:rPr>
          <w:rFonts w:ascii="Palatino Linotype" w:eastAsiaTheme="minorEastAsia" w:hAnsi="Palatino Linotype"/>
          <w:bCs/>
          <w:sz w:val="24"/>
        </w:rPr>
        <w:t>En términos de lo expuesto, la documentación y aquellos datos que se consideren confidenciales, serán una limitante del derecho de acceso a la información, siempre y cuando:</w:t>
      </w:r>
    </w:p>
    <w:p w14:paraId="34F48F3F" w14:textId="77777777" w:rsidR="0032354F" w:rsidRPr="002341AF" w:rsidRDefault="0032354F" w:rsidP="0032354F">
      <w:pPr>
        <w:ind w:left="567" w:right="539"/>
        <w:contextualSpacing/>
        <w:jc w:val="both"/>
        <w:rPr>
          <w:rFonts w:ascii="Palatino Linotype" w:eastAsiaTheme="minorEastAsia" w:hAnsi="Palatino Linotype"/>
          <w:bCs/>
          <w:sz w:val="22"/>
          <w:szCs w:val="24"/>
        </w:rPr>
      </w:pPr>
      <w:r w:rsidRPr="002341AF">
        <w:rPr>
          <w:rFonts w:ascii="Palatino Linotype" w:eastAsiaTheme="minorEastAsia" w:hAnsi="Palatino Linotype"/>
          <w:bCs/>
          <w:sz w:val="22"/>
          <w:szCs w:val="24"/>
        </w:rPr>
        <w:lastRenderedPageBreak/>
        <w:t xml:space="preserve">a). Se trate de datos personales; esto es, información concerniente a una persona física y que ésta sea identificada o identificable. </w:t>
      </w:r>
    </w:p>
    <w:p w14:paraId="252827C6" w14:textId="77777777" w:rsidR="0032354F" w:rsidRPr="002341AF" w:rsidRDefault="0032354F" w:rsidP="0032354F">
      <w:pPr>
        <w:ind w:left="567" w:right="539"/>
        <w:contextualSpacing/>
        <w:jc w:val="both"/>
        <w:rPr>
          <w:rFonts w:ascii="Palatino Linotype" w:eastAsiaTheme="minorEastAsia" w:hAnsi="Palatino Linotype"/>
          <w:bCs/>
          <w:sz w:val="22"/>
          <w:szCs w:val="24"/>
        </w:rPr>
      </w:pPr>
    </w:p>
    <w:p w14:paraId="21093C2B" w14:textId="5225F4D2" w:rsidR="0032354F" w:rsidRPr="002341AF" w:rsidRDefault="0032354F" w:rsidP="0032354F">
      <w:pPr>
        <w:ind w:left="567" w:right="539"/>
        <w:contextualSpacing/>
        <w:jc w:val="both"/>
        <w:rPr>
          <w:rFonts w:ascii="Palatino Linotype" w:eastAsiaTheme="minorEastAsia" w:hAnsi="Palatino Linotype"/>
          <w:bCs/>
          <w:sz w:val="22"/>
          <w:szCs w:val="24"/>
        </w:rPr>
      </w:pPr>
      <w:r w:rsidRPr="002341AF">
        <w:rPr>
          <w:rFonts w:ascii="Palatino Linotype" w:eastAsiaTheme="minorEastAsia" w:hAnsi="Palatino Linotype"/>
          <w:bCs/>
          <w:sz w:val="22"/>
          <w:szCs w:val="24"/>
        </w:rPr>
        <w:t xml:space="preserve">b). Para la difusión de los datos, se requiera el consentimiento del titular. </w:t>
      </w:r>
    </w:p>
    <w:p w14:paraId="2263A746" w14:textId="77777777" w:rsidR="0032354F" w:rsidRPr="002341AF" w:rsidRDefault="0032354F" w:rsidP="0032354F">
      <w:pPr>
        <w:pStyle w:val="Prrafodelista"/>
        <w:rPr>
          <w:rFonts w:ascii="Palatino Linotype" w:eastAsiaTheme="minorEastAsia" w:hAnsi="Palatino Linotype"/>
          <w:bCs/>
          <w:sz w:val="24"/>
        </w:rPr>
      </w:pPr>
    </w:p>
    <w:p w14:paraId="0B674B54" w14:textId="77777777" w:rsidR="0032354F" w:rsidRPr="002341AF" w:rsidRDefault="0032354F" w:rsidP="0032354F">
      <w:pPr>
        <w:pStyle w:val="Prrafodelista"/>
        <w:numPr>
          <w:ilvl w:val="0"/>
          <w:numId w:val="2"/>
        </w:numPr>
        <w:tabs>
          <w:tab w:val="left" w:pos="426"/>
        </w:tabs>
        <w:spacing w:line="360" w:lineRule="auto"/>
        <w:ind w:left="0" w:right="49" w:firstLine="0"/>
        <w:jc w:val="both"/>
        <w:rPr>
          <w:rFonts w:ascii="Palatino Linotype" w:eastAsia="Palatino Linotype" w:hAnsi="Palatino Linotype" w:cs="Palatino Linotype"/>
          <w:i/>
          <w:sz w:val="24"/>
        </w:rPr>
      </w:pPr>
      <w:r w:rsidRPr="002341AF">
        <w:rPr>
          <w:rFonts w:ascii="Palatino Linotype" w:eastAsiaTheme="minorEastAsia" w:hAnsi="Palatino Linotype"/>
          <w:bCs/>
          <w:sz w:val="24"/>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626EAA63" w14:textId="77777777" w:rsidR="0032354F" w:rsidRPr="002341AF" w:rsidRDefault="0032354F" w:rsidP="0032354F">
      <w:pPr>
        <w:pStyle w:val="Prrafodelista"/>
        <w:tabs>
          <w:tab w:val="left" w:pos="426"/>
        </w:tabs>
        <w:spacing w:line="360" w:lineRule="auto"/>
        <w:ind w:left="0" w:right="49"/>
        <w:jc w:val="both"/>
        <w:rPr>
          <w:rFonts w:ascii="Palatino Linotype" w:eastAsia="Palatino Linotype" w:hAnsi="Palatino Linotype" w:cs="Palatino Linotype"/>
          <w:i/>
          <w:sz w:val="24"/>
        </w:rPr>
      </w:pPr>
    </w:p>
    <w:p w14:paraId="623142D6" w14:textId="77777777" w:rsidR="0032354F" w:rsidRPr="002341AF" w:rsidRDefault="0032354F" w:rsidP="0032354F">
      <w:pPr>
        <w:pStyle w:val="Prrafodelista"/>
        <w:numPr>
          <w:ilvl w:val="0"/>
          <w:numId w:val="2"/>
        </w:numPr>
        <w:tabs>
          <w:tab w:val="left" w:pos="426"/>
        </w:tabs>
        <w:spacing w:line="360" w:lineRule="auto"/>
        <w:ind w:left="0" w:right="49" w:firstLine="0"/>
        <w:jc w:val="both"/>
        <w:rPr>
          <w:rFonts w:ascii="Palatino Linotype" w:eastAsia="Palatino Linotype" w:hAnsi="Palatino Linotype" w:cs="Palatino Linotype"/>
          <w:i/>
          <w:sz w:val="24"/>
        </w:rPr>
      </w:pPr>
      <w:r w:rsidRPr="002341AF">
        <w:rPr>
          <w:rFonts w:ascii="Palatino Linotype" w:eastAsiaTheme="minorEastAsia" w:hAnsi="Palatino Linotype"/>
          <w:bCs/>
          <w:sz w:val="24"/>
        </w:rPr>
        <w:t xml:space="preserve">Además, en el artículo 5° de dicho ordenamiento jurídico, establece que es la Ley aplicable para todo tratamiento de datos personales. </w:t>
      </w:r>
    </w:p>
    <w:p w14:paraId="5AD14A62" w14:textId="77777777" w:rsidR="0032354F" w:rsidRPr="002341AF" w:rsidRDefault="0032354F" w:rsidP="0032354F">
      <w:pPr>
        <w:pStyle w:val="Prrafodelista"/>
        <w:rPr>
          <w:rFonts w:ascii="Palatino Linotype" w:eastAsiaTheme="minorEastAsia" w:hAnsi="Palatino Linotype"/>
          <w:sz w:val="24"/>
        </w:rPr>
      </w:pPr>
    </w:p>
    <w:p w14:paraId="23B56188" w14:textId="77777777" w:rsidR="0032354F" w:rsidRPr="002341AF" w:rsidRDefault="0032354F" w:rsidP="0032354F">
      <w:pPr>
        <w:pStyle w:val="Prrafodelista"/>
        <w:numPr>
          <w:ilvl w:val="0"/>
          <w:numId w:val="2"/>
        </w:numPr>
        <w:tabs>
          <w:tab w:val="left" w:pos="426"/>
        </w:tabs>
        <w:spacing w:line="360" w:lineRule="auto"/>
        <w:ind w:left="0" w:right="49" w:firstLine="0"/>
        <w:jc w:val="both"/>
        <w:rPr>
          <w:rFonts w:ascii="Palatino Linotype" w:eastAsia="Palatino Linotype" w:hAnsi="Palatino Linotype" w:cs="Palatino Linotype"/>
          <w:i/>
          <w:sz w:val="24"/>
        </w:rPr>
      </w:pPr>
      <w:r w:rsidRPr="002341AF">
        <w:rPr>
          <w:rFonts w:ascii="Palatino Linotype" w:eastAsiaTheme="minorEastAsia" w:hAnsi="Palatino Linotype"/>
          <w:sz w:val="24"/>
        </w:rPr>
        <w:t xml:space="preserve">En </w:t>
      </w:r>
      <w:r w:rsidRPr="002341AF">
        <w:rPr>
          <w:rFonts w:ascii="Palatino Linotype" w:eastAsiaTheme="minorEastAsia" w:hAnsi="Palatino Linotype"/>
          <w:bCs/>
          <w:sz w:val="24"/>
        </w:rPr>
        <w:t>ese</w:t>
      </w:r>
      <w:r w:rsidRPr="002341AF">
        <w:rPr>
          <w:rFonts w:ascii="Palatino Linotype" w:eastAsiaTheme="minorEastAsia" w:hAnsi="Palatino Linotype"/>
          <w:sz w:val="24"/>
        </w:rPr>
        <w:t xml:space="preserve"> contexto, los artículos 6°, 7°, 8° y 14 de la </w:t>
      </w:r>
      <w:r w:rsidRPr="002341AF">
        <w:rPr>
          <w:rFonts w:ascii="Palatino Linotype" w:eastAsiaTheme="minorEastAsia" w:hAnsi="Palatino Linotype"/>
          <w:bCs/>
          <w:sz w:val="24"/>
        </w:rPr>
        <w:t>Ley de Protección de Datos Personales en Posesión de Sujetos Obligados del Estado de México y Municipios</w:t>
      </w:r>
      <w:r w:rsidRPr="002341AF">
        <w:rPr>
          <w:rFonts w:ascii="Palatino Linotype" w:eastAsiaTheme="minorEastAsia" w:hAnsi="Palatino Linotype"/>
          <w:sz w:val="24"/>
        </w:rPr>
        <w:t xml:space="preserve"> disponen que los responsables del tratamiento de datos personales, deben observar los principios de licitud, consentimiento, información, calidad, lealtad, finalidad, proporcionalidad y responsabilidad; además, que dicho tratamiento deberá obedecer </w:t>
      </w:r>
      <w:r w:rsidRPr="002341AF">
        <w:rPr>
          <w:rFonts w:ascii="Palatino Linotype" w:eastAsiaTheme="minorEastAsia" w:hAnsi="Palatino Linotype"/>
          <w:sz w:val="24"/>
        </w:rPr>
        <w:lastRenderedPageBreak/>
        <w:t>exclusivamente a sus atribuciones legales y con el consentimiento de su titular, además de que debe estar justificado en ley (principio de finalidad).</w:t>
      </w:r>
    </w:p>
    <w:p w14:paraId="307BD96A" w14:textId="77777777" w:rsidR="0032354F" w:rsidRPr="002341AF" w:rsidRDefault="0032354F" w:rsidP="0032354F">
      <w:pPr>
        <w:pStyle w:val="Prrafodelista"/>
        <w:rPr>
          <w:rFonts w:ascii="Palatino Linotype" w:eastAsiaTheme="minorEastAsia" w:hAnsi="Palatino Linotype"/>
          <w:sz w:val="24"/>
        </w:rPr>
      </w:pPr>
    </w:p>
    <w:p w14:paraId="30830EB1" w14:textId="77777777" w:rsidR="0032354F" w:rsidRPr="002341AF" w:rsidRDefault="0032354F" w:rsidP="0032354F">
      <w:pPr>
        <w:pStyle w:val="Prrafodelista"/>
        <w:numPr>
          <w:ilvl w:val="0"/>
          <w:numId w:val="2"/>
        </w:numPr>
        <w:tabs>
          <w:tab w:val="left" w:pos="426"/>
        </w:tabs>
        <w:spacing w:line="360" w:lineRule="auto"/>
        <w:ind w:left="0" w:right="49" w:firstLine="0"/>
        <w:jc w:val="both"/>
        <w:rPr>
          <w:rFonts w:ascii="Palatino Linotype" w:eastAsia="Palatino Linotype" w:hAnsi="Palatino Linotype" w:cs="Palatino Linotype"/>
          <w:i/>
          <w:sz w:val="24"/>
        </w:rPr>
      </w:pPr>
      <w:r w:rsidRPr="002341AF">
        <w:rPr>
          <w:rFonts w:ascii="Palatino Linotype" w:eastAsiaTheme="minorEastAsia" w:hAnsi="Palatino Linotype"/>
          <w:sz w:val="24"/>
        </w:rPr>
        <w:t>Así,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B439019" w14:textId="77777777" w:rsidR="0032354F" w:rsidRPr="002341AF" w:rsidRDefault="0032354F" w:rsidP="0032354F">
      <w:pPr>
        <w:pStyle w:val="Prrafodelista"/>
        <w:rPr>
          <w:rFonts w:ascii="Palatino Linotype" w:eastAsiaTheme="minorEastAsia" w:hAnsi="Palatino Linotype"/>
          <w:sz w:val="24"/>
        </w:rPr>
      </w:pPr>
    </w:p>
    <w:p w14:paraId="6F1EDB4F" w14:textId="77777777" w:rsidR="0032354F" w:rsidRPr="002341AF" w:rsidRDefault="0032354F" w:rsidP="0032354F">
      <w:pPr>
        <w:pStyle w:val="Prrafodelista"/>
        <w:numPr>
          <w:ilvl w:val="0"/>
          <w:numId w:val="2"/>
        </w:numPr>
        <w:tabs>
          <w:tab w:val="left" w:pos="426"/>
        </w:tabs>
        <w:spacing w:line="360" w:lineRule="auto"/>
        <w:ind w:left="0" w:right="49" w:firstLine="0"/>
        <w:jc w:val="both"/>
        <w:rPr>
          <w:rFonts w:ascii="Palatino Linotype" w:eastAsia="Palatino Linotype" w:hAnsi="Palatino Linotype" w:cs="Palatino Linotype"/>
          <w:i/>
          <w:sz w:val="24"/>
        </w:rPr>
      </w:pPr>
      <w:r w:rsidRPr="002341AF">
        <w:rPr>
          <w:rFonts w:ascii="Palatino Linotype" w:eastAsiaTheme="minorEastAsia" w:hAnsi="Palatino Linotype"/>
          <w:sz w:val="24"/>
        </w:rPr>
        <w:t>En este contexto, la confidencialidad de los datos personales, tiene por objetivo establecer el límite del derecho de acceso a la información a partir del derecho a la intimidad y la vida privada de los individuos.</w:t>
      </w:r>
    </w:p>
    <w:p w14:paraId="0ACEAF8A" w14:textId="77777777" w:rsidR="0032354F" w:rsidRPr="002341AF" w:rsidRDefault="0032354F" w:rsidP="0032354F">
      <w:pPr>
        <w:pStyle w:val="Prrafodelista"/>
        <w:rPr>
          <w:rFonts w:ascii="Palatino Linotype" w:eastAsiaTheme="minorEastAsia" w:hAnsi="Palatino Linotype"/>
          <w:sz w:val="24"/>
        </w:rPr>
      </w:pPr>
    </w:p>
    <w:p w14:paraId="56464639" w14:textId="77777777" w:rsidR="0032354F" w:rsidRPr="002341AF" w:rsidRDefault="0032354F" w:rsidP="0032354F">
      <w:pPr>
        <w:pStyle w:val="Prrafodelista"/>
        <w:numPr>
          <w:ilvl w:val="0"/>
          <w:numId w:val="2"/>
        </w:numPr>
        <w:tabs>
          <w:tab w:val="left" w:pos="426"/>
        </w:tabs>
        <w:spacing w:line="360" w:lineRule="auto"/>
        <w:ind w:left="0" w:right="49" w:firstLine="0"/>
        <w:jc w:val="both"/>
        <w:rPr>
          <w:rFonts w:ascii="Palatino Linotype" w:eastAsia="Palatino Linotype" w:hAnsi="Palatino Linotype" w:cs="Palatino Linotype"/>
          <w:i/>
          <w:sz w:val="24"/>
        </w:rPr>
      </w:pPr>
      <w:r w:rsidRPr="002341AF">
        <w:rPr>
          <w:rFonts w:ascii="Palatino Linotype" w:eastAsiaTheme="minorEastAsia" w:hAnsi="Palatino Linotype"/>
          <w:sz w:val="24"/>
        </w:rPr>
        <w:t>De tal suerte, las instituciones públicas tienen la doble responsabilidad, por un lado, de proteger los datos personales y por otro, darle publicidad aquella información de relevancia que sea de interés público.</w:t>
      </w:r>
    </w:p>
    <w:p w14:paraId="7641260C" w14:textId="77777777" w:rsidR="0032354F" w:rsidRPr="002341AF" w:rsidRDefault="0032354F" w:rsidP="0032354F">
      <w:pPr>
        <w:pStyle w:val="Prrafodelista"/>
        <w:rPr>
          <w:rFonts w:ascii="Palatino Linotype" w:eastAsiaTheme="minorEastAsia" w:hAnsi="Palatino Linotype"/>
          <w:sz w:val="24"/>
        </w:rPr>
      </w:pPr>
    </w:p>
    <w:p w14:paraId="49A861AE" w14:textId="77777777" w:rsidR="0032354F" w:rsidRPr="002341AF" w:rsidRDefault="0032354F" w:rsidP="0032354F">
      <w:pPr>
        <w:pStyle w:val="Prrafodelista"/>
        <w:numPr>
          <w:ilvl w:val="0"/>
          <w:numId w:val="2"/>
        </w:numPr>
        <w:tabs>
          <w:tab w:val="left" w:pos="426"/>
        </w:tabs>
        <w:spacing w:line="360" w:lineRule="auto"/>
        <w:ind w:left="0" w:right="49" w:firstLine="0"/>
        <w:jc w:val="both"/>
        <w:rPr>
          <w:rFonts w:ascii="Palatino Linotype" w:eastAsia="Palatino Linotype" w:hAnsi="Palatino Linotype" w:cs="Palatino Linotype"/>
          <w:i/>
          <w:sz w:val="24"/>
        </w:rPr>
      </w:pPr>
      <w:r w:rsidRPr="002341AF">
        <w:rPr>
          <w:rFonts w:ascii="Palatino Linotype" w:eastAsiaTheme="minorEastAsia" w:hAnsi="Palatino Linotype"/>
          <w:sz w:val="24"/>
        </w:rPr>
        <w:t xml:space="preserve">En este orden de ideas, toda la información que transparente la gestión pública, favorezca la rendición de cuentas y contribuya a la democratización del Estado </w:t>
      </w:r>
      <w:r w:rsidRPr="002341AF">
        <w:rPr>
          <w:rFonts w:ascii="Palatino Linotype" w:eastAsiaTheme="minorEastAsia" w:hAnsi="Palatino Linotype"/>
          <w:sz w:val="24"/>
        </w:rPr>
        <w:lastRenderedPageBreak/>
        <w:t xml:space="preserve">Mexicano es, sin excepción, de naturaleza pública; sin embargo, la información esta necesariamente vinculada con datos personales, los cuales deben ser protegidos </w:t>
      </w:r>
    </w:p>
    <w:p w14:paraId="411B5E73" w14:textId="77777777" w:rsidR="0032354F" w:rsidRPr="002341AF" w:rsidRDefault="0032354F" w:rsidP="0032354F">
      <w:pPr>
        <w:pStyle w:val="Prrafodelista"/>
        <w:rPr>
          <w:rFonts w:ascii="Palatino Linotype" w:eastAsiaTheme="minorEastAsia" w:hAnsi="Palatino Linotype"/>
          <w:sz w:val="24"/>
        </w:rPr>
      </w:pPr>
    </w:p>
    <w:p w14:paraId="6BEEA000" w14:textId="77777777" w:rsidR="0032354F" w:rsidRPr="002341AF" w:rsidRDefault="0032354F" w:rsidP="0032354F">
      <w:pPr>
        <w:pStyle w:val="Prrafodelista"/>
        <w:numPr>
          <w:ilvl w:val="0"/>
          <w:numId w:val="2"/>
        </w:numPr>
        <w:tabs>
          <w:tab w:val="left" w:pos="426"/>
        </w:tabs>
        <w:spacing w:line="360" w:lineRule="auto"/>
        <w:ind w:left="0" w:right="49" w:firstLine="0"/>
        <w:jc w:val="both"/>
        <w:rPr>
          <w:rFonts w:ascii="Palatino Linotype" w:eastAsia="Palatino Linotype" w:hAnsi="Palatino Linotype" w:cs="Palatino Linotype"/>
          <w:i/>
          <w:sz w:val="24"/>
        </w:rPr>
      </w:pPr>
      <w:r w:rsidRPr="002341AF">
        <w:rPr>
          <w:rFonts w:ascii="Palatino Linotype" w:eastAsiaTheme="minorEastAsia" w:hAnsi="Palatino Linotype"/>
          <w:sz w:val="24"/>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22FF2E0B" w14:textId="77777777" w:rsidR="0032354F" w:rsidRPr="002341AF" w:rsidRDefault="0032354F" w:rsidP="0032354F">
      <w:pPr>
        <w:pStyle w:val="Prrafodelista"/>
        <w:rPr>
          <w:rFonts w:ascii="Palatino Linotype" w:eastAsia="Calibri" w:hAnsi="Palatino Linotype" w:cs="Tahoma"/>
          <w:iCs/>
          <w:sz w:val="24"/>
          <w:lang w:eastAsia="es-ES_tradnl"/>
        </w:rPr>
      </w:pPr>
    </w:p>
    <w:p w14:paraId="6B6BC213" w14:textId="77777777" w:rsidR="0032354F" w:rsidRPr="002341AF" w:rsidRDefault="0032354F" w:rsidP="0032354F">
      <w:pPr>
        <w:pStyle w:val="Prrafodelista"/>
        <w:numPr>
          <w:ilvl w:val="0"/>
          <w:numId w:val="2"/>
        </w:numPr>
        <w:tabs>
          <w:tab w:val="left" w:pos="426"/>
        </w:tabs>
        <w:spacing w:line="360" w:lineRule="auto"/>
        <w:ind w:left="0" w:right="49" w:firstLine="0"/>
        <w:jc w:val="both"/>
        <w:rPr>
          <w:rFonts w:ascii="Palatino Linotype" w:eastAsia="Palatino Linotype" w:hAnsi="Palatino Linotype" w:cs="Palatino Linotype"/>
          <w:i/>
          <w:sz w:val="24"/>
        </w:rPr>
      </w:pPr>
      <w:r w:rsidRPr="002341AF">
        <w:rPr>
          <w:rFonts w:ascii="Palatino Linotype" w:eastAsia="Calibri" w:hAnsi="Palatino Linotype" w:cs="Tahoma"/>
          <w:iCs/>
          <w:sz w:val="24"/>
          <w:lang w:eastAsia="es-ES_tradnl"/>
        </w:rPr>
        <w:t>En tales circunstancias, se considera que en la especie proporcionar el nombre, cargo y área de adscripción de los Servidores Públicos absueltos</w:t>
      </w:r>
      <w:r w:rsidRPr="002341AF">
        <w:rPr>
          <w:rFonts w:ascii="Palatino Linotype" w:eastAsia="Calibri" w:hAnsi="Palatino Linotype" w:cs="Tahoma"/>
          <w:bCs/>
          <w:iCs/>
          <w:sz w:val="24"/>
          <w:lang w:eastAsia="es-ES_tradnl"/>
        </w:rPr>
        <w:t>,</w:t>
      </w:r>
      <w:r w:rsidRPr="002341AF">
        <w:rPr>
          <w:rFonts w:ascii="Palatino Linotype" w:eastAsia="Calibri" w:hAnsi="Palatino Linotype" w:cs="Tahoma"/>
          <w:b/>
          <w:iCs/>
          <w:sz w:val="24"/>
          <w:lang w:eastAsia="es-ES_tradnl"/>
        </w:rPr>
        <w:t xml:space="preserve"> </w:t>
      </w:r>
      <w:r w:rsidRPr="002341AF">
        <w:rPr>
          <w:rFonts w:ascii="Palatino Linotype" w:eastAsia="Calibri" w:hAnsi="Palatino Linotype" w:cs="Tahoma"/>
          <w:iCs/>
          <w:sz w:val="24"/>
          <w:lang w:eastAsia="es-ES_tradnl"/>
        </w:rPr>
        <w:t>en caso de que existieran, podría afectar su honor, buen nombre y su imagen.</w:t>
      </w:r>
    </w:p>
    <w:p w14:paraId="699F7570" w14:textId="77777777" w:rsidR="0032354F" w:rsidRPr="002341AF" w:rsidRDefault="0032354F" w:rsidP="0032354F">
      <w:pPr>
        <w:pStyle w:val="Prrafodelista"/>
        <w:rPr>
          <w:rFonts w:ascii="Palatino Linotype" w:hAnsi="Palatino Linotype"/>
          <w:sz w:val="24"/>
        </w:rPr>
      </w:pPr>
    </w:p>
    <w:p w14:paraId="131E1528" w14:textId="77777777" w:rsidR="0032354F" w:rsidRPr="002341AF" w:rsidRDefault="0032354F" w:rsidP="0032354F">
      <w:pPr>
        <w:pStyle w:val="Prrafodelista"/>
        <w:numPr>
          <w:ilvl w:val="0"/>
          <w:numId w:val="2"/>
        </w:numPr>
        <w:tabs>
          <w:tab w:val="left" w:pos="426"/>
        </w:tabs>
        <w:spacing w:line="360" w:lineRule="auto"/>
        <w:ind w:left="0" w:right="49" w:firstLine="0"/>
        <w:jc w:val="both"/>
        <w:rPr>
          <w:rFonts w:ascii="Palatino Linotype" w:eastAsia="Palatino Linotype" w:hAnsi="Palatino Linotype" w:cs="Palatino Linotype"/>
          <w:i/>
          <w:sz w:val="24"/>
        </w:rPr>
      </w:pPr>
      <w:r w:rsidRPr="002341AF">
        <w:rPr>
          <w:rFonts w:ascii="Palatino Linotype" w:hAnsi="Palatino Linotype"/>
          <w:sz w:val="24"/>
        </w:rPr>
        <w:t>Al respecto, la Suprema Corte de Justicia de la Nación ha reconocido como derechos fundamentales de las personas, el derecho a la intimidad y a la propia imagen, en el siguiente criterio:</w:t>
      </w:r>
    </w:p>
    <w:p w14:paraId="1C600E83" w14:textId="77777777" w:rsidR="0032354F" w:rsidRPr="002341AF" w:rsidRDefault="0032354F" w:rsidP="0032354F">
      <w:pPr>
        <w:rPr>
          <w:rFonts w:ascii="Palatino Linotype" w:hAnsi="Palatino Linotype"/>
          <w:sz w:val="24"/>
        </w:rPr>
      </w:pPr>
    </w:p>
    <w:p w14:paraId="5FFA588A" w14:textId="53D27DCA" w:rsidR="0032354F" w:rsidRPr="002341AF" w:rsidRDefault="0032354F" w:rsidP="0032354F">
      <w:pPr>
        <w:ind w:left="567" w:right="567"/>
        <w:contextualSpacing/>
        <w:jc w:val="both"/>
        <w:rPr>
          <w:rFonts w:ascii="Palatino Linotype" w:eastAsiaTheme="minorHAnsi" w:hAnsi="Palatino Linotype" w:cs="Arial"/>
          <w:b/>
          <w:i/>
          <w:color w:val="000000"/>
          <w:sz w:val="22"/>
          <w:szCs w:val="24"/>
        </w:rPr>
      </w:pPr>
      <w:r w:rsidRPr="002341AF">
        <w:rPr>
          <w:rFonts w:ascii="Palatino Linotype" w:eastAsiaTheme="minorHAnsi" w:hAnsi="Palatino Linotype" w:cs="Arial"/>
          <w:bCs/>
          <w:i/>
          <w:color w:val="000000"/>
          <w:sz w:val="22"/>
          <w:szCs w:val="24"/>
        </w:rPr>
        <w:t>“</w:t>
      </w:r>
      <w:r w:rsidRPr="002341AF">
        <w:rPr>
          <w:rFonts w:ascii="Palatino Linotype" w:eastAsiaTheme="minorHAnsi" w:hAnsi="Palatino Linotype" w:cs="Arial"/>
          <w:b/>
          <w:bCs/>
          <w:i/>
          <w:color w:val="000000"/>
          <w:sz w:val="22"/>
          <w:szCs w:val="24"/>
        </w:rPr>
        <w:t xml:space="preserve">DERECHOS A LA INTIMIDAD, PROPIA IMAGEN, IDENTIDAD PERSONAL Y SEXUAL. CONSTITUYEN DERECHOS DE DEFENSA Y GARANTÍA ESENCIAL PARA LA CONDICIÓN HUMANA.  </w:t>
      </w:r>
      <w:r w:rsidRPr="002341AF">
        <w:rPr>
          <w:rFonts w:ascii="Palatino Linotype" w:eastAsiaTheme="minorHAnsi" w:hAnsi="Palatino Linotype" w:cs="Arial"/>
          <w:i/>
          <w:color w:val="000000"/>
          <w:sz w:val="22"/>
          <w:szCs w:val="24"/>
        </w:rPr>
        <w:t xml:space="preserve">Dentro de los derechos personalísimos se encuentran necesariamente comprendidos el </w:t>
      </w:r>
      <w:r w:rsidRPr="002341AF">
        <w:rPr>
          <w:rFonts w:ascii="Palatino Linotype" w:eastAsiaTheme="minorHAnsi" w:hAnsi="Palatino Linotype" w:cs="Arial"/>
          <w:b/>
          <w:i/>
          <w:color w:val="000000"/>
          <w:sz w:val="22"/>
          <w:szCs w:val="24"/>
        </w:rPr>
        <w:t>derecho a la intimidad y a la propia imagen</w:t>
      </w:r>
      <w:r w:rsidRPr="002341AF">
        <w:rPr>
          <w:rFonts w:ascii="Palatino Linotype" w:eastAsiaTheme="minorHAnsi" w:hAnsi="Palatino Linotype" w:cs="Arial"/>
          <w:i/>
          <w:color w:val="000000"/>
          <w:sz w:val="22"/>
          <w:szCs w:val="24"/>
        </w:rPr>
        <w:t xml:space="preserve">, así como a la </w:t>
      </w:r>
      <w:r w:rsidRPr="002341AF">
        <w:rPr>
          <w:rFonts w:ascii="Palatino Linotype" w:eastAsiaTheme="minorHAnsi" w:hAnsi="Palatino Linotype" w:cs="Arial"/>
          <w:b/>
          <w:i/>
          <w:color w:val="000000"/>
          <w:sz w:val="22"/>
          <w:szCs w:val="24"/>
        </w:rPr>
        <w:t>identidad personal</w:t>
      </w:r>
      <w:r w:rsidRPr="002341AF">
        <w:rPr>
          <w:rFonts w:ascii="Palatino Linotype" w:eastAsiaTheme="minorHAnsi" w:hAnsi="Palatino Linotype" w:cs="Arial"/>
          <w:i/>
          <w:color w:val="000000"/>
          <w:sz w:val="22"/>
          <w:szCs w:val="24"/>
        </w:rPr>
        <w:t xml:space="preserve"> y sexual; entendiéndose por el </w:t>
      </w:r>
      <w:r w:rsidRPr="002341AF">
        <w:rPr>
          <w:rFonts w:ascii="Palatino Linotype" w:eastAsiaTheme="minorHAnsi" w:hAnsi="Palatino Linotype" w:cs="Arial"/>
          <w:i/>
          <w:color w:val="000000"/>
          <w:sz w:val="22"/>
          <w:szCs w:val="24"/>
        </w:rPr>
        <w:lastRenderedPageBreak/>
        <w:t xml:space="preserve">primero, </w:t>
      </w:r>
      <w:r w:rsidRPr="002341AF">
        <w:rPr>
          <w:rFonts w:ascii="Palatino Linotype" w:eastAsiaTheme="minorHAnsi" w:hAnsi="Palatino Linotype" w:cs="Arial"/>
          <w:b/>
          <w:i/>
          <w:color w:val="000000"/>
          <w:sz w:val="22"/>
          <w:szCs w:val="24"/>
        </w:rPr>
        <w:t>el derecho del individuo a no ser conocido por otros en ciertos aspectos de su vida</w:t>
      </w:r>
      <w:r w:rsidRPr="002341AF">
        <w:rPr>
          <w:rFonts w:ascii="Palatino Linotype" w:eastAsiaTheme="minorHAnsi" w:hAnsi="Palatino Linotype" w:cs="Arial"/>
          <w:i/>
          <w:color w:val="000000"/>
          <w:sz w:val="22"/>
          <w:szCs w:val="24"/>
        </w:rPr>
        <w:t xml:space="preserve"> y, </w:t>
      </w:r>
      <w:r w:rsidRPr="002341AF">
        <w:rPr>
          <w:rFonts w:ascii="Palatino Linotype" w:eastAsiaTheme="minorHAnsi" w:hAnsi="Palatino Linotype" w:cs="Arial"/>
          <w:b/>
          <w:i/>
          <w:color w:val="000000"/>
          <w:sz w:val="22"/>
          <w:szCs w:val="24"/>
        </w:rPr>
        <w:t>por ende, el poder de decisión sobre la publicidad o información de datos relativos a su persona</w:t>
      </w:r>
      <w:r w:rsidRPr="002341AF">
        <w:rPr>
          <w:rFonts w:ascii="Palatino Linotype" w:eastAsiaTheme="minorHAnsi" w:hAnsi="Palatino Linotype" w:cs="Arial"/>
          <w:i/>
          <w:color w:val="000000"/>
          <w:sz w:val="22"/>
          <w:szCs w:val="24"/>
        </w:rPr>
        <w:t>, familia, pensamientos o sentimientos;</w:t>
      </w:r>
      <w:r w:rsidRPr="002341AF">
        <w:rPr>
          <w:rFonts w:ascii="Palatino Linotype" w:eastAsiaTheme="minorHAnsi" w:hAnsi="Palatino Linotype" w:cs="Arial"/>
          <w:b/>
          <w:i/>
          <w:color w:val="000000"/>
          <w:sz w:val="22"/>
          <w:szCs w:val="24"/>
        </w:rPr>
        <w:t xml:space="preserve"> </w:t>
      </w:r>
      <w:r w:rsidRPr="002341AF">
        <w:rPr>
          <w:rFonts w:ascii="Palatino Linotype" w:eastAsiaTheme="minorHAnsi" w:hAnsi="Palatino Linotype" w:cs="Arial"/>
          <w:i/>
          <w:color w:val="000000"/>
          <w:sz w:val="22"/>
          <w:szCs w:val="24"/>
        </w:rPr>
        <w:t xml:space="preserve">a la </w:t>
      </w:r>
      <w:r w:rsidRPr="002341AF">
        <w:rPr>
          <w:rFonts w:ascii="Palatino Linotype" w:eastAsiaTheme="minorHAnsi" w:hAnsi="Palatino Linotype" w:cs="Arial"/>
          <w:b/>
          <w:i/>
          <w:color w:val="000000"/>
          <w:sz w:val="22"/>
          <w:szCs w:val="24"/>
        </w:rPr>
        <w:t>propia imagen, como aquel derecho de decidir, en forma libre, sobre la manera en que elige mostrarse frente a los demás</w:t>
      </w:r>
      <w:r w:rsidRPr="002341AF">
        <w:rPr>
          <w:rFonts w:ascii="Palatino Linotype" w:eastAsiaTheme="minorHAnsi" w:hAnsi="Palatino Linotype" w:cs="Arial"/>
          <w:i/>
          <w:color w:val="000000"/>
          <w:sz w:val="22"/>
          <w:szCs w:val="24"/>
        </w:rPr>
        <w:t xml:space="preserve">;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w:t>
      </w:r>
      <w:r w:rsidRPr="002341AF">
        <w:rPr>
          <w:rFonts w:ascii="Palatino Linotype" w:eastAsiaTheme="minorHAnsi" w:hAnsi="Palatino Linotype" w:cs="Arial"/>
          <w:b/>
          <w:i/>
          <w:color w:val="000000"/>
          <w:sz w:val="22"/>
          <w:szCs w:val="24"/>
        </w:rPr>
        <w:t>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r w:rsidRPr="002341AF">
        <w:rPr>
          <w:rFonts w:ascii="Palatino Linotype" w:eastAsiaTheme="minorHAnsi" w:hAnsi="Palatino Linotype" w:cs="Arial"/>
          <w:i/>
          <w:color w:val="000000"/>
          <w:sz w:val="22"/>
          <w:szCs w:val="24"/>
        </w:rPr>
        <w:t>”</w:t>
      </w:r>
    </w:p>
    <w:p w14:paraId="22239EFF" w14:textId="77777777" w:rsidR="0032354F" w:rsidRPr="002341AF" w:rsidRDefault="0032354F" w:rsidP="0032354F">
      <w:pPr>
        <w:rPr>
          <w:rFonts w:ascii="Palatino Linotype" w:hAnsi="Palatino Linotype"/>
          <w:sz w:val="24"/>
        </w:rPr>
      </w:pPr>
    </w:p>
    <w:p w14:paraId="6A64C578" w14:textId="77777777" w:rsidR="0032354F" w:rsidRPr="002341AF" w:rsidRDefault="0032354F" w:rsidP="0032354F">
      <w:pPr>
        <w:pStyle w:val="Prrafodelista"/>
        <w:numPr>
          <w:ilvl w:val="0"/>
          <w:numId w:val="2"/>
        </w:numPr>
        <w:tabs>
          <w:tab w:val="left" w:pos="426"/>
        </w:tabs>
        <w:spacing w:line="360" w:lineRule="auto"/>
        <w:ind w:left="0" w:right="49" w:firstLine="0"/>
        <w:jc w:val="both"/>
        <w:rPr>
          <w:rFonts w:ascii="Palatino Linotype" w:eastAsia="Palatino Linotype" w:hAnsi="Palatino Linotype" w:cs="Palatino Linotype"/>
          <w:i/>
          <w:sz w:val="24"/>
        </w:rPr>
      </w:pPr>
      <w:r w:rsidRPr="002341AF">
        <w:rPr>
          <w:rFonts w:ascii="Palatino Linotype" w:hAnsi="Palatino Linotype"/>
          <w:sz w:val="24"/>
        </w:rPr>
        <w:t>En ese sentido, es derecho de todo individuo a no ser conocido por otros en ciertos aspectos de su vida y, por ende, el poder de decisión sobre la publicidad o información de datos relativos a su persona (derecho a la intimidad).</w:t>
      </w:r>
    </w:p>
    <w:p w14:paraId="7FA541E5" w14:textId="77777777" w:rsidR="0032354F" w:rsidRPr="002341AF" w:rsidRDefault="0032354F" w:rsidP="0032354F">
      <w:pPr>
        <w:pStyle w:val="Prrafodelista"/>
        <w:tabs>
          <w:tab w:val="left" w:pos="426"/>
        </w:tabs>
        <w:spacing w:line="360" w:lineRule="auto"/>
        <w:ind w:left="0" w:right="49"/>
        <w:jc w:val="both"/>
        <w:rPr>
          <w:rFonts w:ascii="Palatino Linotype" w:eastAsia="Palatino Linotype" w:hAnsi="Palatino Linotype" w:cs="Palatino Linotype"/>
          <w:i/>
          <w:sz w:val="24"/>
        </w:rPr>
      </w:pPr>
    </w:p>
    <w:p w14:paraId="0E036C17" w14:textId="66FEF72F" w:rsidR="0032354F" w:rsidRPr="002341AF" w:rsidRDefault="0032354F" w:rsidP="00BA2F78">
      <w:pPr>
        <w:pStyle w:val="Prrafodelista"/>
        <w:numPr>
          <w:ilvl w:val="0"/>
          <w:numId w:val="2"/>
        </w:numPr>
        <w:tabs>
          <w:tab w:val="left" w:pos="426"/>
        </w:tabs>
        <w:spacing w:line="360" w:lineRule="auto"/>
        <w:ind w:left="0" w:right="49" w:firstLine="0"/>
        <w:jc w:val="both"/>
        <w:rPr>
          <w:rFonts w:ascii="Palatino Linotype" w:eastAsia="Palatino Linotype" w:hAnsi="Palatino Linotype" w:cs="Palatino Linotype"/>
          <w:i/>
          <w:sz w:val="24"/>
        </w:rPr>
      </w:pPr>
      <w:r w:rsidRPr="002341AF">
        <w:rPr>
          <w:rFonts w:ascii="Palatino Linotype" w:hAnsi="Palatino Linotype"/>
          <w:sz w:val="24"/>
        </w:rPr>
        <w:t>Asimismo, el derecho a la propia imagen es el derecho de decidir, de forma libre, sobre la manera en que elige mostrarse frente a los demás.</w:t>
      </w:r>
    </w:p>
    <w:p w14:paraId="77E85285" w14:textId="77777777" w:rsidR="0032354F" w:rsidRPr="002341AF" w:rsidRDefault="0032354F" w:rsidP="0032354F">
      <w:pPr>
        <w:pStyle w:val="Prrafodelista"/>
        <w:numPr>
          <w:ilvl w:val="0"/>
          <w:numId w:val="2"/>
        </w:numPr>
        <w:tabs>
          <w:tab w:val="left" w:pos="426"/>
        </w:tabs>
        <w:spacing w:line="360" w:lineRule="auto"/>
        <w:ind w:left="0" w:right="49" w:firstLine="0"/>
        <w:jc w:val="both"/>
        <w:rPr>
          <w:rFonts w:ascii="Palatino Linotype" w:eastAsia="Palatino Linotype" w:hAnsi="Palatino Linotype" w:cs="Palatino Linotype"/>
          <w:i/>
          <w:sz w:val="24"/>
        </w:rPr>
      </w:pPr>
      <w:r w:rsidRPr="002341AF">
        <w:rPr>
          <w:rFonts w:ascii="Palatino Linotype" w:hAnsi="Palatino Linotype" w:cs="Arial"/>
          <w:bCs/>
          <w:iCs/>
          <w:sz w:val="24"/>
        </w:rPr>
        <w:lastRenderedPageBreak/>
        <w:t xml:space="preserve">Por otro lado, en cuanto al derecho al honor, </w:t>
      </w:r>
      <w:r w:rsidRPr="002341AF">
        <w:rPr>
          <w:rFonts w:ascii="Palatino Linotype" w:hAnsi="Palatino Linotype"/>
          <w:sz w:val="24"/>
        </w:rPr>
        <w:t xml:space="preserve">la jurisprudencia número 1a./J. 118/2013 (10a.), emitida por la Primera Sala de la Suprema Corte de Justicia de la Nación, publicada en la Gaceta del Semanario Judicial de la Federación, Tomo I, Libro 3, de febrero de 2014, página 470, de la Décima Época, materia constitucional, dispone: </w:t>
      </w:r>
    </w:p>
    <w:p w14:paraId="306C22EE" w14:textId="77777777" w:rsidR="0032354F" w:rsidRPr="002341AF" w:rsidRDefault="0032354F" w:rsidP="0032354F">
      <w:pPr>
        <w:pStyle w:val="Prrafodelista"/>
        <w:rPr>
          <w:rFonts w:ascii="Palatino Linotype" w:eastAsia="Batang" w:hAnsi="Palatino Linotype" w:cs="Arial"/>
          <w:bCs/>
          <w:iCs/>
          <w:sz w:val="24"/>
        </w:rPr>
      </w:pPr>
    </w:p>
    <w:p w14:paraId="16FA5DEF" w14:textId="40FA0AC5" w:rsidR="0032354F" w:rsidRPr="002341AF" w:rsidRDefault="0032354F" w:rsidP="0032354F">
      <w:pPr>
        <w:autoSpaceDE w:val="0"/>
        <w:autoSpaceDN w:val="0"/>
        <w:adjustRightInd w:val="0"/>
        <w:ind w:left="567" w:right="567"/>
        <w:contextualSpacing/>
        <w:jc w:val="both"/>
        <w:rPr>
          <w:rFonts w:ascii="Palatino Linotype" w:eastAsia="Batang" w:hAnsi="Palatino Linotype" w:cs="Arial"/>
          <w:b/>
          <w:i/>
          <w:sz w:val="22"/>
          <w:szCs w:val="24"/>
        </w:rPr>
      </w:pPr>
      <w:r w:rsidRPr="002341AF">
        <w:rPr>
          <w:rFonts w:ascii="Palatino Linotype" w:eastAsia="Batang" w:hAnsi="Palatino Linotype" w:cs="Arial"/>
          <w:i/>
          <w:sz w:val="22"/>
          <w:szCs w:val="24"/>
        </w:rPr>
        <w:t>“</w:t>
      </w:r>
      <w:r w:rsidRPr="002341AF">
        <w:rPr>
          <w:rFonts w:ascii="Palatino Linotype" w:eastAsia="Batang" w:hAnsi="Palatino Linotype" w:cs="Arial"/>
          <w:b/>
          <w:i/>
          <w:sz w:val="22"/>
          <w:szCs w:val="24"/>
        </w:rPr>
        <w:t xml:space="preserve">DERECHO FUNDAMENTAL AL HONOR. SU DIMENSIÓN SUBJETIVA Y OBJETIVA. </w:t>
      </w:r>
      <w:r w:rsidRPr="002341AF">
        <w:rPr>
          <w:rFonts w:ascii="Palatino Linotype" w:eastAsia="Batang" w:hAnsi="Palatino Linotype" w:cs="Arial"/>
          <w:i/>
          <w:sz w:val="22"/>
          <w:szCs w:val="24"/>
        </w:rPr>
        <w:t xml:space="preserve">A juicio de esta Primera Sala de la Suprema Corte de Justicia de la Nación, es posible definir al honor como el </w:t>
      </w:r>
      <w:r w:rsidRPr="002341AF">
        <w:rPr>
          <w:rFonts w:ascii="Palatino Linotype" w:eastAsia="Batang" w:hAnsi="Palatino Linotype" w:cs="Arial"/>
          <w:b/>
          <w:i/>
          <w:sz w:val="22"/>
          <w:szCs w:val="24"/>
        </w:rPr>
        <w:t>concepto que la persona tiene de sí misma o que los demás se han formado de ella, en virtud de su proceder o de la expresión de su calidad ética y social.</w:t>
      </w:r>
      <w:r w:rsidRPr="002341AF">
        <w:rPr>
          <w:rFonts w:ascii="Palatino Linotype" w:eastAsia="Batang" w:hAnsi="Palatino Linotype" w:cs="Arial"/>
          <w:i/>
          <w:sz w:val="22"/>
          <w:szCs w:val="24"/>
        </w:rPr>
        <w:t xml:space="preserve">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14:paraId="1DF24DFA" w14:textId="77777777" w:rsidR="0032354F" w:rsidRPr="002341AF" w:rsidRDefault="0032354F" w:rsidP="0032354F">
      <w:pPr>
        <w:pStyle w:val="Prrafodelista"/>
        <w:rPr>
          <w:rFonts w:ascii="Palatino Linotype" w:eastAsia="Batang" w:hAnsi="Palatino Linotype" w:cs="Arial"/>
          <w:bCs/>
          <w:iCs/>
          <w:sz w:val="24"/>
        </w:rPr>
      </w:pPr>
    </w:p>
    <w:p w14:paraId="296FCF72" w14:textId="77777777" w:rsidR="0032354F" w:rsidRPr="002341AF" w:rsidRDefault="0032354F" w:rsidP="0032354F">
      <w:pPr>
        <w:pStyle w:val="Prrafodelista"/>
        <w:numPr>
          <w:ilvl w:val="0"/>
          <w:numId w:val="2"/>
        </w:numPr>
        <w:tabs>
          <w:tab w:val="left" w:pos="426"/>
        </w:tabs>
        <w:spacing w:line="360" w:lineRule="auto"/>
        <w:ind w:left="0" w:right="49" w:firstLine="0"/>
        <w:jc w:val="both"/>
        <w:rPr>
          <w:rFonts w:ascii="Palatino Linotype" w:eastAsia="Palatino Linotype" w:hAnsi="Palatino Linotype" w:cs="Palatino Linotype"/>
          <w:i/>
          <w:sz w:val="24"/>
        </w:rPr>
      </w:pPr>
      <w:r w:rsidRPr="002341AF">
        <w:rPr>
          <w:rFonts w:ascii="Palatino Linotype" w:eastAsia="Batang" w:hAnsi="Palatino Linotype" w:cs="Arial"/>
          <w:bCs/>
          <w:iCs/>
          <w:sz w:val="24"/>
        </w:rPr>
        <w:t xml:space="preserve">De la tesis transcrita se desprende que </w:t>
      </w:r>
      <w:r w:rsidRPr="002341AF">
        <w:rPr>
          <w:rFonts w:ascii="Palatino Linotype" w:eastAsia="Batang" w:hAnsi="Palatino Linotype" w:cs="Arial"/>
          <w:sz w:val="24"/>
        </w:rPr>
        <w:t xml:space="preserve">el honor es el concepto que la persona tiene de sí misma o que los demás se han formado de ella, en virtud de su proceder o de la expresión de su calidad ética y social. </w:t>
      </w:r>
    </w:p>
    <w:p w14:paraId="5140880C" w14:textId="77777777" w:rsidR="0032354F" w:rsidRPr="002341AF" w:rsidRDefault="0032354F" w:rsidP="0032354F">
      <w:pPr>
        <w:pStyle w:val="Prrafodelista"/>
        <w:numPr>
          <w:ilvl w:val="0"/>
          <w:numId w:val="2"/>
        </w:numPr>
        <w:tabs>
          <w:tab w:val="left" w:pos="426"/>
        </w:tabs>
        <w:spacing w:line="360" w:lineRule="auto"/>
        <w:ind w:left="0" w:right="49" w:firstLine="0"/>
        <w:jc w:val="both"/>
        <w:rPr>
          <w:rFonts w:ascii="Palatino Linotype" w:eastAsia="Palatino Linotype" w:hAnsi="Palatino Linotype" w:cs="Palatino Linotype"/>
          <w:i/>
          <w:sz w:val="24"/>
        </w:rPr>
      </w:pPr>
      <w:r w:rsidRPr="002341AF">
        <w:rPr>
          <w:rFonts w:ascii="Palatino Linotype" w:eastAsia="Batang" w:hAnsi="Palatino Linotype" w:cs="Arial"/>
          <w:sz w:val="24"/>
        </w:rPr>
        <w:t xml:space="preserve">En el campo jurídico, es un derecho humano que involucra la facultad de cada individuo de ser tratado de forma decorosa. Este derecho tiene dos elementos, el </w:t>
      </w:r>
      <w:r w:rsidRPr="002341AF">
        <w:rPr>
          <w:rFonts w:ascii="Palatino Linotype" w:eastAsia="Batang" w:hAnsi="Palatino Linotype" w:cs="Arial"/>
          <w:sz w:val="24"/>
        </w:rPr>
        <w:lastRenderedPageBreak/>
        <w:t>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w:t>
      </w:r>
    </w:p>
    <w:p w14:paraId="05EC5762" w14:textId="77777777" w:rsidR="0032354F" w:rsidRPr="002341AF" w:rsidRDefault="0032354F" w:rsidP="0032354F">
      <w:pPr>
        <w:pStyle w:val="Prrafodelista"/>
        <w:tabs>
          <w:tab w:val="left" w:pos="426"/>
        </w:tabs>
        <w:spacing w:line="360" w:lineRule="auto"/>
        <w:ind w:left="0" w:right="49"/>
        <w:jc w:val="both"/>
        <w:rPr>
          <w:rFonts w:ascii="Palatino Linotype" w:eastAsia="Palatino Linotype" w:hAnsi="Palatino Linotype" w:cs="Palatino Linotype"/>
          <w:i/>
          <w:sz w:val="24"/>
        </w:rPr>
      </w:pPr>
    </w:p>
    <w:p w14:paraId="3E87581D" w14:textId="77777777" w:rsidR="0032354F" w:rsidRPr="002341AF" w:rsidRDefault="0032354F" w:rsidP="0032354F">
      <w:pPr>
        <w:pStyle w:val="Prrafodelista"/>
        <w:numPr>
          <w:ilvl w:val="0"/>
          <w:numId w:val="2"/>
        </w:numPr>
        <w:tabs>
          <w:tab w:val="left" w:pos="426"/>
        </w:tabs>
        <w:spacing w:line="360" w:lineRule="auto"/>
        <w:ind w:left="0" w:right="49" w:firstLine="0"/>
        <w:jc w:val="both"/>
        <w:rPr>
          <w:rFonts w:ascii="Palatino Linotype" w:eastAsia="Palatino Linotype" w:hAnsi="Palatino Linotype" w:cs="Palatino Linotype"/>
          <w:i/>
          <w:sz w:val="24"/>
        </w:rPr>
      </w:pPr>
      <w:r w:rsidRPr="002341AF">
        <w:rPr>
          <w:rFonts w:ascii="Palatino Linotype" w:hAnsi="Palatino Linotype"/>
          <w:sz w:val="24"/>
        </w:rPr>
        <w:t>Adicionalmente, en relación a este derecho [al honor], el máximo tribual también ha señalado que aunque no esté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14:paraId="288FA73B" w14:textId="77777777" w:rsidR="0032354F" w:rsidRPr="002341AF" w:rsidRDefault="0032354F" w:rsidP="0032354F">
      <w:pPr>
        <w:rPr>
          <w:rFonts w:ascii="Palatino Linotype" w:eastAsia="Batang" w:hAnsi="Palatino Linotype" w:cs="Arial"/>
          <w:sz w:val="24"/>
        </w:rPr>
      </w:pPr>
    </w:p>
    <w:p w14:paraId="5A8487F4" w14:textId="5231422E" w:rsidR="0032354F" w:rsidRPr="002341AF" w:rsidRDefault="0032354F" w:rsidP="0032354F">
      <w:pPr>
        <w:tabs>
          <w:tab w:val="left" w:pos="8363"/>
        </w:tabs>
        <w:ind w:left="567" w:right="567"/>
        <w:contextualSpacing/>
        <w:jc w:val="both"/>
        <w:rPr>
          <w:rFonts w:ascii="Palatino Linotype" w:hAnsi="Palatino Linotype"/>
          <w:b/>
          <w:i/>
          <w:sz w:val="22"/>
          <w:szCs w:val="24"/>
        </w:rPr>
      </w:pPr>
      <w:r w:rsidRPr="002341AF">
        <w:rPr>
          <w:rFonts w:ascii="Palatino Linotype" w:hAnsi="Palatino Linotype"/>
          <w:i/>
          <w:sz w:val="22"/>
          <w:szCs w:val="24"/>
        </w:rPr>
        <w:t>“</w:t>
      </w:r>
      <w:r w:rsidRPr="002341AF">
        <w:rPr>
          <w:rFonts w:ascii="Palatino Linotype" w:hAnsi="Palatino Linotype"/>
          <w:b/>
          <w:i/>
          <w:sz w:val="22"/>
          <w:szCs w:val="24"/>
        </w:rPr>
        <w:t xml:space="preserve">DERECHOS AL HONOR, A LA INTIMIDAD Y A LA PROPIA IMAGEN. CONSTITUYEN DERECHOS HUMANOS QUE SE PROTEGEN A TRAVÉS DEL ACTUAL MARCO CONSTITUCIONAL. </w:t>
      </w:r>
      <w:r w:rsidRPr="002341AF">
        <w:rPr>
          <w:rFonts w:ascii="Palatino Linotype" w:hAnsi="Palatino Linotype"/>
          <w:i/>
          <w:sz w:val="22"/>
          <w:szCs w:val="24"/>
        </w:rPr>
        <w:t xml:space="preserve">Si conforme a las 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w:t>
      </w:r>
      <w:r w:rsidRPr="002341AF">
        <w:rPr>
          <w:rFonts w:ascii="Palatino Linotype" w:hAnsi="Palatino Linotype"/>
          <w:i/>
          <w:sz w:val="22"/>
          <w:szCs w:val="24"/>
        </w:rPr>
        <w:lastRenderedPageBreak/>
        <w:t xml:space="preserve">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w:t>
      </w:r>
      <w:proofErr w:type="spellStart"/>
      <w:r w:rsidRPr="002341AF">
        <w:rPr>
          <w:rFonts w:ascii="Palatino Linotype" w:hAnsi="Palatino Linotype"/>
          <w:i/>
          <w:sz w:val="22"/>
          <w:szCs w:val="24"/>
        </w:rPr>
        <w:t>personae</w:t>
      </w:r>
      <w:proofErr w:type="spellEnd"/>
      <w:r w:rsidRPr="002341AF">
        <w:rPr>
          <w:rFonts w:ascii="Palatino Linotype" w:hAnsi="Palatino Linotype"/>
          <w:i/>
          <w:sz w:val="22"/>
          <w:szCs w:val="24"/>
        </w:rPr>
        <w:t>,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superiores -Constitución y tratados internacionales- con los que cuenta el Estado Mexicano.”</w:t>
      </w:r>
    </w:p>
    <w:p w14:paraId="2960739C" w14:textId="77777777" w:rsidR="0032354F" w:rsidRPr="002341AF" w:rsidRDefault="0032354F" w:rsidP="0032354F">
      <w:pPr>
        <w:rPr>
          <w:rFonts w:ascii="Palatino Linotype" w:eastAsia="Batang" w:hAnsi="Palatino Linotype" w:cs="Arial"/>
          <w:sz w:val="24"/>
        </w:rPr>
      </w:pPr>
    </w:p>
    <w:p w14:paraId="534CC4D3" w14:textId="77777777" w:rsidR="0032354F" w:rsidRPr="002341AF" w:rsidRDefault="0032354F" w:rsidP="0032354F">
      <w:pPr>
        <w:pStyle w:val="Prrafodelista"/>
        <w:numPr>
          <w:ilvl w:val="0"/>
          <w:numId w:val="2"/>
        </w:numPr>
        <w:tabs>
          <w:tab w:val="left" w:pos="426"/>
        </w:tabs>
        <w:spacing w:line="360" w:lineRule="auto"/>
        <w:ind w:left="0" w:right="49" w:firstLine="0"/>
        <w:jc w:val="both"/>
        <w:rPr>
          <w:rFonts w:ascii="Palatino Linotype" w:eastAsia="Palatino Linotype" w:hAnsi="Palatino Linotype" w:cs="Palatino Linotype"/>
          <w:i/>
          <w:sz w:val="24"/>
        </w:rPr>
      </w:pPr>
      <w:r w:rsidRPr="002341AF">
        <w:rPr>
          <w:rFonts w:ascii="Palatino Linotype" w:eastAsia="Batang" w:hAnsi="Palatino Linotype" w:cs="Arial"/>
          <w:sz w:val="24"/>
        </w:rPr>
        <w:t>Asimismo, el artículo 12 de la Declaración Universal de los Derechos Humanos</w:t>
      </w:r>
      <w:r w:rsidRPr="002341AF">
        <w:rPr>
          <w:rFonts w:ascii="Palatino Linotype" w:eastAsia="Batang" w:hAnsi="Palatino Linotype" w:cs="Arial"/>
          <w:i/>
          <w:sz w:val="24"/>
        </w:rPr>
        <w:t xml:space="preserve"> </w:t>
      </w:r>
      <w:r w:rsidRPr="002341AF">
        <w:rPr>
          <w:rFonts w:ascii="Palatino Linotype" w:eastAsia="Batang" w:hAnsi="Palatino Linotype" w:cs="Arial"/>
          <w:sz w:val="24"/>
        </w:rPr>
        <w:t>prevé que nadie será objeto de injerencias arbitrarias en su vida privada, su familia, su domicilio o su correspondencia, ni de ataques a su honra o a su reputación. Toda persona tiene derecho a la protección de la ley contra tales injerencias o ataques.</w:t>
      </w:r>
    </w:p>
    <w:p w14:paraId="06A59EFA" w14:textId="77777777" w:rsidR="0032354F" w:rsidRPr="002341AF" w:rsidRDefault="0032354F" w:rsidP="0032354F">
      <w:pPr>
        <w:pStyle w:val="Prrafodelista"/>
        <w:numPr>
          <w:ilvl w:val="0"/>
          <w:numId w:val="2"/>
        </w:numPr>
        <w:tabs>
          <w:tab w:val="left" w:pos="426"/>
        </w:tabs>
        <w:spacing w:line="360" w:lineRule="auto"/>
        <w:ind w:left="0" w:right="49" w:firstLine="0"/>
        <w:jc w:val="both"/>
        <w:rPr>
          <w:rFonts w:ascii="Palatino Linotype" w:eastAsia="Palatino Linotype" w:hAnsi="Palatino Linotype" w:cs="Palatino Linotype"/>
          <w:i/>
          <w:sz w:val="24"/>
        </w:rPr>
      </w:pPr>
      <w:r w:rsidRPr="002341AF">
        <w:rPr>
          <w:rFonts w:ascii="Palatino Linotype" w:eastAsia="Batang" w:hAnsi="Palatino Linotype" w:cs="Arial"/>
          <w:sz w:val="24"/>
        </w:rPr>
        <w:t xml:space="preserve">De igual manera, la Convención Americana sobre los Derechos Humanos, en su artículo 11, establece que toda persona tiene derecho al respeto de su honra y al reconocimiento de su dignidad; que nadie puede ser objeto de injerencias arbitrarias </w:t>
      </w:r>
      <w:r w:rsidRPr="002341AF">
        <w:rPr>
          <w:rFonts w:ascii="Palatino Linotype" w:eastAsia="Batang" w:hAnsi="Palatino Linotype" w:cs="Arial"/>
          <w:sz w:val="24"/>
        </w:rPr>
        <w:lastRenderedPageBreak/>
        <w:t>o abusivas en su vida privada, en la de su familia, en su domicilio o en su correspondencia, ni de ataques ilegales a su honra o reputación; y que toda persona tiene derecho a la protección de la ley contra esas injerencias o esos ataques.</w:t>
      </w:r>
    </w:p>
    <w:p w14:paraId="4CEC3469" w14:textId="77777777" w:rsidR="0032354F" w:rsidRPr="002341AF" w:rsidRDefault="0032354F" w:rsidP="0032354F">
      <w:pPr>
        <w:pStyle w:val="Prrafodelista"/>
        <w:tabs>
          <w:tab w:val="left" w:pos="426"/>
        </w:tabs>
        <w:spacing w:line="360" w:lineRule="auto"/>
        <w:ind w:left="0" w:right="49"/>
        <w:jc w:val="both"/>
        <w:rPr>
          <w:rFonts w:ascii="Palatino Linotype" w:eastAsia="Palatino Linotype" w:hAnsi="Palatino Linotype" w:cs="Palatino Linotype"/>
          <w:i/>
          <w:sz w:val="24"/>
        </w:rPr>
      </w:pPr>
    </w:p>
    <w:p w14:paraId="00EC9DE1" w14:textId="77777777" w:rsidR="0032354F" w:rsidRPr="002341AF" w:rsidRDefault="0032354F" w:rsidP="0032354F">
      <w:pPr>
        <w:pStyle w:val="Prrafodelista"/>
        <w:numPr>
          <w:ilvl w:val="0"/>
          <w:numId w:val="2"/>
        </w:numPr>
        <w:tabs>
          <w:tab w:val="left" w:pos="426"/>
        </w:tabs>
        <w:spacing w:line="360" w:lineRule="auto"/>
        <w:ind w:left="0" w:right="49" w:firstLine="0"/>
        <w:jc w:val="both"/>
        <w:rPr>
          <w:rFonts w:ascii="Palatino Linotype" w:eastAsia="Palatino Linotype" w:hAnsi="Palatino Linotype" w:cs="Palatino Linotype"/>
          <w:i/>
          <w:sz w:val="24"/>
        </w:rPr>
      </w:pPr>
      <w:r w:rsidRPr="002341AF">
        <w:rPr>
          <w:rFonts w:ascii="Palatino Linotype" w:eastAsia="Batang" w:hAnsi="Palatino Linotype" w:cs="Arial"/>
          <w:sz w:val="24"/>
        </w:rPr>
        <w:t>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14:paraId="6BD4B008" w14:textId="77777777" w:rsidR="0032354F" w:rsidRPr="002341AF" w:rsidRDefault="0032354F" w:rsidP="0032354F">
      <w:pPr>
        <w:pStyle w:val="Prrafodelista"/>
        <w:rPr>
          <w:rFonts w:ascii="Palatino Linotype" w:hAnsi="Palatino Linotype" w:cs="Arial"/>
          <w:sz w:val="24"/>
        </w:rPr>
      </w:pPr>
    </w:p>
    <w:p w14:paraId="2604E2C6" w14:textId="77777777" w:rsidR="0032354F" w:rsidRPr="002341AF" w:rsidRDefault="0032354F" w:rsidP="0032354F">
      <w:pPr>
        <w:pStyle w:val="Prrafodelista"/>
        <w:numPr>
          <w:ilvl w:val="0"/>
          <w:numId w:val="2"/>
        </w:numPr>
        <w:tabs>
          <w:tab w:val="left" w:pos="426"/>
        </w:tabs>
        <w:spacing w:line="360" w:lineRule="auto"/>
        <w:ind w:left="0" w:right="49" w:firstLine="0"/>
        <w:jc w:val="both"/>
        <w:rPr>
          <w:rFonts w:ascii="Palatino Linotype" w:eastAsia="Palatino Linotype" w:hAnsi="Palatino Linotype" w:cs="Palatino Linotype"/>
          <w:i/>
          <w:sz w:val="24"/>
        </w:rPr>
      </w:pPr>
      <w:r w:rsidRPr="002341AF">
        <w:rPr>
          <w:rFonts w:ascii="Palatino Linotype" w:hAnsi="Palatino Linotype" w:cs="Arial"/>
          <w:sz w:val="24"/>
        </w:rPr>
        <w:t>Por lo expuesto, se desprende que dar a conocer el nombre, cargo y área de adscripción del servidor público, absuelto, en su caso que existan, constituye información confidencial que afecta su esfera privada, puesto que podría generar una percepción negativa de éste, ocasionando un perjuicio en su honor, intimidad y buena imagen, pues como se precisó la afectación es para el propio servidor público, situación que no afecta a terceros.</w:t>
      </w:r>
    </w:p>
    <w:p w14:paraId="588C2275" w14:textId="77777777" w:rsidR="0032354F" w:rsidRPr="002341AF" w:rsidRDefault="0032354F" w:rsidP="0032354F">
      <w:pPr>
        <w:pStyle w:val="Prrafodelista"/>
        <w:rPr>
          <w:rFonts w:ascii="Palatino Linotype" w:hAnsi="Palatino Linotype" w:cs="Arial"/>
          <w:sz w:val="24"/>
        </w:rPr>
      </w:pPr>
    </w:p>
    <w:p w14:paraId="58F3FC46" w14:textId="77777777" w:rsidR="0032354F" w:rsidRPr="002341AF" w:rsidRDefault="0032354F" w:rsidP="0032354F">
      <w:pPr>
        <w:pStyle w:val="Prrafodelista"/>
        <w:numPr>
          <w:ilvl w:val="0"/>
          <w:numId w:val="2"/>
        </w:numPr>
        <w:tabs>
          <w:tab w:val="left" w:pos="426"/>
        </w:tabs>
        <w:spacing w:line="360" w:lineRule="auto"/>
        <w:ind w:left="0" w:right="49" w:firstLine="0"/>
        <w:jc w:val="both"/>
        <w:rPr>
          <w:rFonts w:ascii="Palatino Linotype" w:eastAsia="Palatino Linotype" w:hAnsi="Palatino Linotype" w:cs="Palatino Linotype"/>
          <w:i/>
          <w:sz w:val="24"/>
        </w:rPr>
      </w:pPr>
      <w:r w:rsidRPr="002341AF">
        <w:rPr>
          <w:rFonts w:ascii="Palatino Linotype" w:hAnsi="Palatino Linotype" w:cs="Arial"/>
          <w:sz w:val="24"/>
        </w:rPr>
        <w:t xml:space="preserve">Por lo cual, dar a conocer el nombre del servidor público que no haya recibido una sanción por una supuesta responsabilidad que no se comprobó, la cual no causa una afectación a otros, pues como se precisó en párrafos anteriores, podría generar un juicio </w:t>
      </w:r>
      <w:r w:rsidRPr="002341AF">
        <w:rPr>
          <w:rFonts w:ascii="Palatino Linotype" w:hAnsi="Palatino Linotype" w:cs="Arial"/>
          <w:i/>
          <w:sz w:val="24"/>
        </w:rPr>
        <w:t>a priori</w:t>
      </w:r>
      <w:r w:rsidRPr="002341AF">
        <w:rPr>
          <w:rFonts w:ascii="Palatino Linotype" w:hAnsi="Palatino Linotype" w:cs="Arial"/>
          <w:sz w:val="24"/>
        </w:rPr>
        <w:t xml:space="preserve"> por parte de la sociedad, afectando su prestigio y su buen nombre, pues </w:t>
      </w:r>
      <w:r w:rsidRPr="002341AF">
        <w:rPr>
          <w:rFonts w:ascii="Palatino Linotype" w:hAnsi="Palatino Linotype" w:cs="Arial"/>
          <w:sz w:val="24"/>
        </w:rPr>
        <w:lastRenderedPageBreak/>
        <w:t>la sociedad podría calificar a dicho servidor público, como ineficiente o motivos de ofensas, lo cual daña si vida privada y profesional, mismas que forman parte de su intimidad; por lo que se concluye que dicha información, en caso que existiera, tiene el carácter de confidencial.</w:t>
      </w:r>
    </w:p>
    <w:p w14:paraId="67719038" w14:textId="77777777" w:rsidR="0032354F" w:rsidRPr="002341AF" w:rsidRDefault="0032354F" w:rsidP="0032354F">
      <w:pPr>
        <w:pStyle w:val="Prrafodelista"/>
        <w:rPr>
          <w:rFonts w:ascii="Palatino Linotype" w:eastAsia="Palatino Linotype" w:hAnsi="Palatino Linotype" w:cs="Palatino Linotype"/>
          <w:sz w:val="24"/>
        </w:rPr>
      </w:pPr>
    </w:p>
    <w:p w14:paraId="2C3763EF" w14:textId="2321EC43" w:rsidR="0032354F" w:rsidRPr="002341AF" w:rsidRDefault="0032354F" w:rsidP="0032354F">
      <w:pPr>
        <w:pStyle w:val="Prrafodelista"/>
        <w:numPr>
          <w:ilvl w:val="0"/>
          <w:numId w:val="2"/>
        </w:numPr>
        <w:tabs>
          <w:tab w:val="left" w:pos="426"/>
        </w:tabs>
        <w:spacing w:line="360" w:lineRule="auto"/>
        <w:ind w:left="0" w:right="49" w:firstLine="0"/>
        <w:jc w:val="both"/>
        <w:rPr>
          <w:rFonts w:ascii="Palatino Linotype" w:eastAsia="Palatino Linotype" w:hAnsi="Palatino Linotype" w:cs="Palatino Linotype"/>
          <w:i/>
          <w:sz w:val="24"/>
        </w:rPr>
      </w:pPr>
      <w:r w:rsidRPr="002341AF">
        <w:rPr>
          <w:rFonts w:ascii="Palatino Linotype" w:eastAsia="Palatino Linotype" w:hAnsi="Palatino Linotype" w:cs="Palatino Linotype"/>
          <w:sz w:val="24"/>
        </w:rPr>
        <w:t xml:space="preserve">Como se ha señalado a lo largo de los párrafos anteriores en la generalidad es posible otorgar en algunos casos el acceso a los expedientes o resoluciones derivados de quejas o denuncias, de ser el caso en versión pública, clasificando el nombre, cargo y área de adscripción de los servidores públicos involucrados, no obstante en el caso particular se hace identificable a la servidora pública de la cual se desea conocer la información, por lo que se identifican los siguientes supuestos: </w:t>
      </w:r>
    </w:p>
    <w:p w14:paraId="361942B1" w14:textId="77777777" w:rsidR="001F3C89" w:rsidRPr="002341AF" w:rsidRDefault="001F3C89" w:rsidP="001F3C89">
      <w:pPr>
        <w:pStyle w:val="Prrafodelista"/>
        <w:tabs>
          <w:tab w:val="left" w:pos="426"/>
        </w:tabs>
        <w:spacing w:line="360" w:lineRule="auto"/>
        <w:ind w:left="0" w:right="49"/>
        <w:jc w:val="both"/>
        <w:rPr>
          <w:rFonts w:ascii="Palatino Linotype" w:eastAsia="Palatino Linotype" w:hAnsi="Palatino Linotype" w:cs="Palatino Linotype"/>
          <w:i/>
          <w:sz w:val="24"/>
        </w:rPr>
      </w:pPr>
    </w:p>
    <w:p w14:paraId="64841FEE" w14:textId="77777777" w:rsidR="001F3C89" w:rsidRPr="002341AF" w:rsidRDefault="001F3C89" w:rsidP="001F3C89">
      <w:pPr>
        <w:spacing w:after="240" w:line="360" w:lineRule="auto"/>
        <w:ind w:left="567" w:right="567"/>
        <w:jc w:val="both"/>
        <w:rPr>
          <w:rFonts w:ascii="Palatino Linotype" w:hAnsi="Palatino Linotype"/>
          <w:b/>
          <w:bCs/>
          <w:color w:val="000000"/>
          <w:sz w:val="24"/>
          <w:szCs w:val="22"/>
        </w:rPr>
      </w:pPr>
      <w:r w:rsidRPr="002341AF">
        <w:rPr>
          <w:rFonts w:ascii="Palatino Linotype" w:hAnsi="Palatino Linotype"/>
          <w:b/>
          <w:bCs/>
          <w:color w:val="000000"/>
          <w:sz w:val="24"/>
          <w:szCs w:val="22"/>
        </w:rPr>
        <w:t>A) de los expedientes en trámite:</w:t>
      </w:r>
    </w:p>
    <w:p w14:paraId="3BC9D4B6" w14:textId="77777777" w:rsidR="001F3C89" w:rsidRPr="002341AF" w:rsidRDefault="001F3C89" w:rsidP="001F3C89">
      <w:pPr>
        <w:spacing w:after="240" w:line="360" w:lineRule="auto"/>
        <w:ind w:left="567" w:right="567"/>
        <w:jc w:val="both"/>
        <w:rPr>
          <w:rFonts w:ascii="Palatino Linotype" w:hAnsi="Palatino Linotype"/>
          <w:b/>
          <w:bCs/>
          <w:color w:val="000000"/>
          <w:sz w:val="24"/>
          <w:szCs w:val="22"/>
        </w:rPr>
      </w:pPr>
      <w:r w:rsidRPr="002341AF">
        <w:rPr>
          <w:rFonts w:ascii="Palatino Linotype" w:hAnsi="Palatino Linotype"/>
          <w:b/>
          <w:bCs/>
          <w:color w:val="000000"/>
          <w:sz w:val="24"/>
          <w:szCs w:val="22"/>
        </w:rPr>
        <w:t>1.</w:t>
      </w:r>
      <w:r w:rsidRPr="002341AF">
        <w:rPr>
          <w:rFonts w:ascii="Palatino Linotype" w:hAnsi="Palatino Linotype"/>
          <w:b/>
          <w:bCs/>
          <w:color w:val="000000"/>
          <w:sz w:val="24"/>
          <w:szCs w:val="22"/>
        </w:rPr>
        <w:tab/>
        <w:t xml:space="preserve">Del pronunciamiento en sentido afirmativo o negativo respecto de si cuenta con procedimientos administrativos por faltas graves y no graves; </w:t>
      </w:r>
    </w:p>
    <w:p w14:paraId="48F22F7F" w14:textId="77777777" w:rsidR="001F3C89" w:rsidRPr="002341AF" w:rsidRDefault="001F3C89" w:rsidP="001F3C89">
      <w:pPr>
        <w:spacing w:after="240" w:line="360" w:lineRule="auto"/>
        <w:ind w:left="567" w:right="567"/>
        <w:jc w:val="both"/>
        <w:rPr>
          <w:rFonts w:ascii="Palatino Linotype" w:hAnsi="Palatino Linotype"/>
          <w:b/>
          <w:bCs/>
          <w:color w:val="000000"/>
          <w:sz w:val="24"/>
          <w:szCs w:val="22"/>
        </w:rPr>
      </w:pPr>
      <w:r w:rsidRPr="002341AF">
        <w:rPr>
          <w:rFonts w:ascii="Palatino Linotype" w:hAnsi="Palatino Linotype"/>
          <w:b/>
          <w:bCs/>
          <w:color w:val="000000"/>
          <w:sz w:val="24"/>
          <w:szCs w:val="22"/>
        </w:rPr>
        <w:t>2. Con excepción de aquellos iniciados por actos de corrupción o violaciones graves a derechos humanos, los cuales deberán ser entregados en versión pública.</w:t>
      </w:r>
    </w:p>
    <w:p w14:paraId="0E14EBC3" w14:textId="77777777" w:rsidR="001F3C89" w:rsidRPr="002341AF" w:rsidRDefault="001F3C89" w:rsidP="001F3C89">
      <w:pPr>
        <w:spacing w:after="240" w:line="360" w:lineRule="auto"/>
        <w:ind w:left="567" w:right="567"/>
        <w:jc w:val="both"/>
        <w:rPr>
          <w:rFonts w:ascii="Palatino Linotype" w:hAnsi="Palatino Linotype"/>
          <w:b/>
          <w:bCs/>
          <w:color w:val="000000"/>
          <w:sz w:val="24"/>
          <w:szCs w:val="22"/>
        </w:rPr>
      </w:pPr>
      <w:r w:rsidRPr="002341AF">
        <w:rPr>
          <w:rFonts w:ascii="Palatino Linotype" w:hAnsi="Palatino Linotype"/>
          <w:b/>
          <w:bCs/>
          <w:color w:val="000000"/>
          <w:sz w:val="24"/>
          <w:szCs w:val="22"/>
        </w:rPr>
        <w:t>B) De los expedientes concluidos:</w:t>
      </w:r>
    </w:p>
    <w:p w14:paraId="53A55C66" w14:textId="77777777" w:rsidR="001F3C89" w:rsidRPr="002341AF" w:rsidRDefault="001F3C89" w:rsidP="001F3C89">
      <w:pPr>
        <w:spacing w:after="240" w:line="360" w:lineRule="auto"/>
        <w:ind w:left="567" w:right="567"/>
        <w:jc w:val="both"/>
        <w:rPr>
          <w:rFonts w:ascii="Palatino Linotype" w:hAnsi="Palatino Linotype"/>
          <w:b/>
          <w:bCs/>
          <w:color w:val="000000"/>
          <w:sz w:val="24"/>
          <w:szCs w:val="22"/>
        </w:rPr>
      </w:pPr>
      <w:r w:rsidRPr="002341AF">
        <w:rPr>
          <w:rFonts w:ascii="Palatino Linotype" w:hAnsi="Palatino Linotype"/>
          <w:b/>
          <w:bCs/>
          <w:color w:val="000000"/>
          <w:sz w:val="24"/>
          <w:szCs w:val="22"/>
        </w:rPr>
        <w:lastRenderedPageBreak/>
        <w:t>1.</w:t>
      </w:r>
      <w:r w:rsidRPr="002341AF">
        <w:rPr>
          <w:rFonts w:ascii="Palatino Linotype" w:hAnsi="Palatino Linotype"/>
          <w:b/>
          <w:bCs/>
          <w:color w:val="000000"/>
          <w:sz w:val="24"/>
          <w:szCs w:val="22"/>
        </w:rPr>
        <w:tab/>
        <w:t>Del pronunciamiento en sentido afirmativo o negativo respecto de si cuenta con procedimientos administrativos por faltas no graves sin importar si fue absolutorio o condenatorio, así como de procedimientos administrativos graves absolutorios.</w:t>
      </w:r>
    </w:p>
    <w:p w14:paraId="6AF96A69" w14:textId="7D7432F4" w:rsidR="001F3C89" w:rsidRPr="002341AF" w:rsidRDefault="001F3C89" w:rsidP="001F3C89">
      <w:pPr>
        <w:spacing w:after="240" w:line="360" w:lineRule="auto"/>
        <w:ind w:left="567" w:right="567"/>
        <w:jc w:val="both"/>
        <w:rPr>
          <w:rFonts w:ascii="Palatino Linotype" w:hAnsi="Palatino Linotype"/>
          <w:b/>
          <w:bCs/>
          <w:color w:val="000000"/>
          <w:sz w:val="24"/>
          <w:szCs w:val="22"/>
        </w:rPr>
      </w:pPr>
      <w:r w:rsidRPr="002341AF">
        <w:rPr>
          <w:rFonts w:ascii="Palatino Linotype" w:hAnsi="Palatino Linotype"/>
          <w:b/>
          <w:bCs/>
          <w:color w:val="000000"/>
          <w:sz w:val="24"/>
          <w:szCs w:val="22"/>
        </w:rPr>
        <w:t>2.</w:t>
      </w:r>
      <w:r w:rsidRPr="002341AF">
        <w:rPr>
          <w:rFonts w:ascii="Palatino Linotype" w:hAnsi="Palatino Linotype"/>
          <w:b/>
          <w:bCs/>
          <w:color w:val="000000"/>
          <w:sz w:val="24"/>
          <w:szCs w:val="22"/>
        </w:rPr>
        <w:tab/>
        <w:t>Para el caso de que cuente con expedientes de investigación concluidos por faltas administrativas graves con resolución condenatoria procede su acceso en versión pública.</w:t>
      </w:r>
    </w:p>
    <w:p w14:paraId="7D175F9E" w14:textId="77777777" w:rsidR="0032354F" w:rsidRPr="002341AF" w:rsidRDefault="0032354F" w:rsidP="0032354F">
      <w:pPr>
        <w:spacing w:before="240" w:after="240" w:line="360" w:lineRule="auto"/>
        <w:jc w:val="both"/>
        <w:rPr>
          <w:rFonts w:ascii="Palatino Linotype" w:eastAsia="Palatino Linotype" w:hAnsi="Palatino Linotype" w:cs="Palatino Linotype"/>
          <w:sz w:val="24"/>
          <w:szCs w:val="24"/>
        </w:rPr>
      </w:pPr>
      <w:r w:rsidRPr="002341AF">
        <w:rPr>
          <w:rFonts w:ascii="Palatino Linotype" w:eastAsia="Palatino Linotype" w:hAnsi="Palatino Linotype" w:cs="Palatino Linotype"/>
          <w:sz w:val="24"/>
          <w:szCs w:val="24"/>
        </w:rPr>
        <w:t xml:space="preserve">En atención al inciso A), punto 1, se trata de información que debe ser clasificada como reservada, </w:t>
      </w:r>
      <w:r w:rsidRPr="002341AF">
        <w:rPr>
          <w:rFonts w:ascii="Palatino Linotype" w:eastAsia="Palatino Linotype" w:hAnsi="Palatino Linotype" w:cs="Palatino Linotype"/>
          <w:b/>
          <w:sz w:val="24"/>
          <w:szCs w:val="24"/>
        </w:rPr>
        <w:t>porque al no estar concluido, de revelarse la información se atenta contra el principio de presunción de inocencia que debe seguirse en la administración de la justicia</w:t>
      </w:r>
      <w:r w:rsidRPr="002341AF">
        <w:rPr>
          <w:rFonts w:ascii="Palatino Linotype" w:eastAsia="Palatino Linotype" w:hAnsi="Palatino Linotype" w:cs="Palatino Linotype"/>
          <w:sz w:val="24"/>
          <w:szCs w:val="24"/>
        </w:rPr>
        <w:t>,</w:t>
      </w:r>
      <w:r w:rsidRPr="002341AF">
        <w:rPr>
          <w:rFonts w:ascii="Palatino Linotype" w:hAnsi="Palatino Linotype"/>
          <w:sz w:val="24"/>
          <w:szCs w:val="24"/>
        </w:rPr>
        <w:t xml:space="preserve"> </w:t>
      </w:r>
      <w:r w:rsidRPr="002341AF">
        <w:rPr>
          <w:rFonts w:ascii="Palatino Linotype" w:eastAsia="Palatino Linotype" w:hAnsi="Palatino Linotype" w:cs="Palatino Linotype"/>
          <w:sz w:val="24"/>
          <w:szCs w:val="24"/>
        </w:rPr>
        <w:t xml:space="preserve">de revelarse la información de las personas a quienes se les ha iniciado un procedimiento administrativo y el nombre de aquellos que tienen un procedimiento instaurado y se encuentra pendiente de resolución rompería la regla de tratamiento y de juicio que debe seguirse en la administración de justicia, es decir, su incidencia tiene implicaciones que </w:t>
      </w:r>
      <w:r w:rsidRPr="002341AF">
        <w:rPr>
          <w:rFonts w:ascii="Palatino Linotype" w:eastAsia="Palatino Linotype" w:hAnsi="Palatino Linotype" w:cs="Palatino Linotype"/>
          <w:b/>
          <w:sz w:val="24"/>
          <w:szCs w:val="24"/>
        </w:rPr>
        <w:t xml:space="preserve">pudieran afectar la forma en cómo debe tratarse al servidor público acusado, pues no se ha comprobado en su totalidad que éste incurrió en una infracción, alterando el proceso de investigación  y el debido proceso en el procedimiento, </w:t>
      </w:r>
      <w:r w:rsidRPr="002341AF">
        <w:rPr>
          <w:rFonts w:ascii="Palatino Linotype" w:eastAsia="Palatino Linotype" w:hAnsi="Palatino Linotype" w:cs="Palatino Linotype"/>
          <w:sz w:val="24"/>
          <w:szCs w:val="24"/>
        </w:rPr>
        <w:t>razón por la cual en dicho supuesto se deberá clasificar la información como reservada, conforme a la causal establecida en el artículo 140, fracción VI de la Ley en la materia.</w:t>
      </w:r>
    </w:p>
    <w:p w14:paraId="04BC316E" w14:textId="77777777" w:rsidR="0032354F" w:rsidRPr="002341AF" w:rsidRDefault="0032354F" w:rsidP="0032354F">
      <w:pPr>
        <w:spacing w:before="240" w:after="240" w:line="360" w:lineRule="auto"/>
        <w:jc w:val="both"/>
        <w:rPr>
          <w:rFonts w:ascii="Palatino Linotype" w:eastAsia="Palatino Linotype" w:hAnsi="Palatino Linotype" w:cs="Palatino Linotype"/>
          <w:sz w:val="24"/>
          <w:szCs w:val="24"/>
        </w:rPr>
      </w:pPr>
      <w:r w:rsidRPr="002341AF">
        <w:rPr>
          <w:rFonts w:ascii="Palatino Linotype" w:eastAsia="Palatino Linotype" w:hAnsi="Palatino Linotype" w:cs="Palatino Linotype"/>
          <w:sz w:val="24"/>
          <w:szCs w:val="24"/>
        </w:rPr>
        <w:lastRenderedPageBreak/>
        <w:t xml:space="preserve"> Para el caso del inciso B), punto 1, procede la clasificación confidencial del pronunciamiento del </w:t>
      </w:r>
      <w:r w:rsidRPr="002341AF">
        <w:rPr>
          <w:rFonts w:ascii="Palatino Linotype" w:eastAsia="Palatino Linotype" w:hAnsi="Palatino Linotype" w:cs="Palatino Linotype"/>
          <w:b/>
          <w:sz w:val="24"/>
          <w:szCs w:val="24"/>
        </w:rPr>
        <w:t>SUJETO OBLIGADO</w:t>
      </w:r>
      <w:r w:rsidRPr="002341AF">
        <w:rPr>
          <w:rFonts w:ascii="Palatino Linotype" w:eastAsia="Palatino Linotype" w:hAnsi="Palatino Linotype" w:cs="Palatino Linotype"/>
          <w:sz w:val="24"/>
          <w:szCs w:val="24"/>
        </w:rPr>
        <w:t xml:space="preserve"> en sentido positivo o negativo respecto a la existencia o no de este tipo de procedimientos, toda vez que el simple pronunciamiento respecto de la información solicitada afectaría la esfera privada de la servidora pública, puesto que podría generar una percepción negativa de esta, ocasionando un perjuicio en su </w:t>
      </w:r>
      <w:r w:rsidRPr="002341AF">
        <w:rPr>
          <w:rFonts w:ascii="Palatino Linotype" w:eastAsia="Palatino Linotype" w:hAnsi="Palatino Linotype" w:cs="Palatino Linotype"/>
          <w:b/>
          <w:sz w:val="24"/>
          <w:szCs w:val="24"/>
        </w:rPr>
        <w:t xml:space="preserve">honor, intimidad y buena imagen, </w:t>
      </w:r>
      <w:r w:rsidRPr="002341AF">
        <w:rPr>
          <w:rFonts w:ascii="Palatino Linotype" w:eastAsia="Palatino Linotype" w:hAnsi="Palatino Linotype" w:cs="Palatino Linotype"/>
          <w:sz w:val="24"/>
          <w:szCs w:val="24"/>
        </w:rPr>
        <w:t xml:space="preserve"> pues como se precisó  en líneas anteriores la afectación es para el propio servidor público, afectando su prestigio y su buen nombre, pues esto podría causar una mala percepción del servidor público frente a la sociedad, </w:t>
      </w:r>
      <w:r w:rsidRPr="002341AF">
        <w:rPr>
          <w:rFonts w:ascii="Palatino Linotype" w:eastAsia="Palatino Linotype" w:hAnsi="Palatino Linotype" w:cs="Palatino Linotype"/>
          <w:b/>
          <w:sz w:val="24"/>
          <w:szCs w:val="24"/>
        </w:rPr>
        <w:t>lo cual daña su vida privada y profesional,</w:t>
      </w:r>
      <w:r w:rsidRPr="002341AF">
        <w:rPr>
          <w:rFonts w:ascii="Palatino Linotype" w:eastAsia="Palatino Linotype" w:hAnsi="Palatino Linotype" w:cs="Palatino Linotype"/>
          <w:sz w:val="24"/>
          <w:szCs w:val="24"/>
        </w:rPr>
        <w:t xml:space="preserve"> mismas que forman parte de su intimidad; por lo que se concluye que dicha información, en caso de que existiera, tiene el carácter de confidencial.</w:t>
      </w:r>
    </w:p>
    <w:p w14:paraId="42C0F458" w14:textId="0994B77A" w:rsidR="0032354F" w:rsidRPr="002341AF" w:rsidRDefault="0032354F" w:rsidP="0032354F">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color w:val="000000"/>
          <w:sz w:val="24"/>
          <w:szCs w:val="24"/>
        </w:rPr>
      </w:pPr>
      <w:r w:rsidRPr="002341AF">
        <w:rPr>
          <w:rFonts w:ascii="Palatino Linotype" w:eastAsia="Palatino Linotype" w:hAnsi="Palatino Linotype" w:cs="Palatino Linotype"/>
          <w:color w:val="000000"/>
          <w:sz w:val="24"/>
          <w:szCs w:val="24"/>
        </w:rPr>
        <w:t>Por lo que este Organismo Garante estima que la información a la que se pretende acceder, por su propia y especial naturaleza al concernir exclusivamente a las partes en el procedimiento, actualiza el supuesto de clasificación como información confidencial, bajo la premisa de que el derecho de acceso a la información pública tiene como limitante el respeto a la intimidad y a la vida privada de las personas.</w:t>
      </w:r>
    </w:p>
    <w:p w14:paraId="7F6AB453" w14:textId="77777777" w:rsidR="0032354F" w:rsidRPr="002341AF" w:rsidRDefault="0032354F" w:rsidP="0032354F">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color w:val="000000"/>
          <w:sz w:val="24"/>
          <w:szCs w:val="24"/>
        </w:rPr>
      </w:pPr>
      <w:r w:rsidRPr="002341AF">
        <w:rPr>
          <w:rFonts w:ascii="Palatino Linotype" w:eastAsia="Palatino Linotype" w:hAnsi="Palatino Linotype" w:cs="Palatino Linotype"/>
          <w:color w:val="000000"/>
          <w:sz w:val="24"/>
          <w:szCs w:val="24"/>
        </w:rPr>
        <w:t xml:space="preserve">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w:t>
      </w:r>
      <w:r w:rsidRPr="002341AF">
        <w:rPr>
          <w:rFonts w:ascii="Palatino Linotype" w:eastAsia="Palatino Linotype" w:hAnsi="Palatino Linotype" w:cs="Palatino Linotype"/>
          <w:color w:val="000000"/>
          <w:sz w:val="24"/>
          <w:szCs w:val="24"/>
        </w:rPr>
        <w:lastRenderedPageBreak/>
        <w:t>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3B94C49F" w14:textId="77777777" w:rsidR="0032354F" w:rsidRPr="002341AF" w:rsidRDefault="0032354F" w:rsidP="0032354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sidRPr="002341AF">
        <w:rPr>
          <w:rFonts w:ascii="Palatino Linotype" w:eastAsia="Palatino Linotype" w:hAnsi="Palatino Linotype" w:cs="Palatino Linotype"/>
          <w:color w:val="000000"/>
          <w:sz w:val="24"/>
          <w:szCs w:val="24"/>
        </w:rPr>
        <w:t>A efecto de no vulnerar el derecho de acceso a la información pública de los solicitantes, o dejarlos en estado de incertidumbre, la Ley constriñe a los sujetos obligados a que elaboren acuerdos de clasificación a través de sus Comités de Transparencia, cuya finalidad consiste en hacer de su conocimiento, de manera fundada y motivada, las razones por las cuales no puede ser entregada la documentación que requieren, restringiendo como consecuencia su derecho de acceso a la información pública.</w:t>
      </w:r>
    </w:p>
    <w:p w14:paraId="5547D3F6" w14:textId="77777777" w:rsidR="0032354F" w:rsidRPr="002341AF" w:rsidRDefault="0032354F" w:rsidP="0032354F">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sz w:val="24"/>
          <w:szCs w:val="24"/>
        </w:rPr>
      </w:pPr>
      <w:r w:rsidRPr="002341AF">
        <w:rPr>
          <w:rFonts w:ascii="Palatino Linotype" w:eastAsia="Palatino Linotype" w:hAnsi="Palatino Linotype" w:cs="Palatino Linotype"/>
          <w:color w:val="000000"/>
          <w:sz w:val="24"/>
          <w:szCs w:val="24"/>
        </w:rPr>
        <w:t>En este tenor, la clasificación de la información debe seguir las formalidades establecidas en los artículos 49 fracción VIII y 132 fracciones I y II de la Ley de Transparencia y Acceso a la Información Pública del Estado de México y Municipios, así como los numerales Cuarto al Décimo Primero de los Lineamientos Generales en materia de Clasificación y Desclasificación de la Información, así como para la elaboración de Versiones Públicas, que a la letra señalan lo siguiente:</w:t>
      </w:r>
    </w:p>
    <w:p w14:paraId="3F9B7A28" w14:textId="77777777" w:rsidR="0032354F" w:rsidRPr="002341AF" w:rsidRDefault="0032354F" w:rsidP="0032354F">
      <w:pPr>
        <w:pBdr>
          <w:top w:val="nil"/>
          <w:left w:val="nil"/>
          <w:bottom w:val="nil"/>
          <w:right w:val="nil"/>
          <w:between w:val="nil"/>
        </w:pBdr>
        <w:spacing w:before="120" w:after="120"/>
        <w:ind w:left="851" w:right="902"/>
        <w:contextualSpacing/>
        <w:jc w:val="both"/>
        <w:rPr>
          <w:rFonts w:ascii="Palatino Linotype" w:hAnsi="Palatino Linotype"/>
          <w:color w:val="000000"/>
          <w:sz w:val="22"/>
          <w:szCs w:val="24"/>
        </w:rPr>
      </w:pPr>
      <w:r w:rsidRPr="002341AF">
        <w:rPr>
          <w:rFonts w:ascii="Palatino Linotype" w:eastAsia="Palatino Linotype" w:hAnsi="Palatino Linotype" w:cs="Palatino Linotype"/>
          <w:b/>
          <w:i/>
          <w:color w:val="000000"/>
          <w:sz w:val="22"/>
          <w:szCs w:val="24"/>
        </w:rPr>
        <w:t>“Artículo 49.</w:t>
      </w:r>
      <w:r w:rsidRPr="002341AF">
        <w:rPr>
          <w:rFonts w:ascii="Palatino Linotype" w:eastAsia="Palatino Linotype" w:hAnsi="Palatino Linotype" w:cs="Palatino Linotype"/>
          <w:i/>
          <w:color w:val="000000"/>
          <w:sz w:val="22"/>
          <w:szCs w:val="24"/>
        </w:rPr>
        <w:t xml:space="preserve"> Los Comités de Transparencia tendrán las siguientes atribuciones:</w:t>
      </w:r>
    </w:p>
    <w:p w14:paraId="4AAA18B0" w14:textId="77777777" w:rsidR="0032354F" w:rsidRPr="002341AF" w:rsidRDefault="0032354F" w:rsidP="0032354F">
      <w:pPr>
        <w:pBdr>
          <w:top w:val="nil"/>
          <w:left w:val="nil"/>
          <w:bottom w:val="nil"/>
          <w:right w:val="nil"/>
          <w:between w:val="nil"/>
        </w:pBdr>
        <w:spacing w:before="120" w:after="120"/>
        <w:ind w:left="993" w:right="902"/>
        <w:contextualSpacing/>
        <w:jc w:val="both"/>
        <w:rPr>
          <w:rFonts w:ascii="Palatino Linotype" w:hAnsi="Palatino Linotype"/>
          <w:color w:val="000000"/>
          <w:sz w:val="22"/>
          <w:szCs w:val="24"/>
        </w:rPr>
      </w:pPr>
      <w:r w:rsidRPr="002341AF">
        <w:rPr>
          <w:rFonts w:ascii="Palatino Linotype" w:eastAsia="Palatino Linotype" w:hAnsi="Palatino Linotype" w:cs="Palatino Linotype"/>
          <w:i/>
          <w:color w:val="000000"/>
          <w:sz w:val="22"/>
          <w:szCs w:val="24"/>
        </w:rPr>
        <w:t>…</w:t>
      </w:r>
    </w:p>
    <w:p w14:paraId="7A81EEB4" w14:textId="77777777" w:rsidR="0032354F" w:rsidRPr="002341AF" w:rsidRDefault="0032354F" w:rsidP="0032354F">
      <w:pPr>
        <w:pBdr>
          <w:top w:val="nil"/>
          <w:left w:val="nil"/>
          <w:bottom w:val="nil"/>
          <w:right w:val="nil"/>
          <w:between w:val="nil"/>
        </w:pBdr>
        <w:spacing w:before="120" w:after="120"/>
        <w:ind w:left="993" w:right="902"/>
        <w:contextualSpacing/>
        <w:jc w:val="both"/>
        <w:rPr>
          <w:rFonts w:ascii="Palatino Linotype" w:hAnsi="Palatino Linotype"/>
          <w:color w:val="000000"/>
          <w:sz w:val="22"/>
          <w:szCs w:val="24"/>
        </w:rPr>
      </w:pPr>
      <w:r w:rsidRPr="002341AF">
        <w:rPr>
          <w:rFonts w:ascii="Palatino Linotype" w:eastAsia="Palatino Linotype" w:hAnsi="Palatino Linotype" w:cs="Palatino Linotype"/>
          <w:i/>
          <w:color w:val="000000"/>
          <w:sz w:val="22"/>
          <w:szCs w:val="24"/>
        </w:rPr>
        <w:t>VIII. Aprobar, modificar o revocar la clasificación de la información;</w:t>
      </w:r>
    </w:p>
    <w:p w14:paraId="65AF5644" w14:textId="77777777" w:rsidR="0032354F" w:rsidRPr="002341AF" w:rsidRDefault="0032354F" w:rsidP="0032354F">
      <w:pPr>
        <w:pBdr>
          <w:top w:val="nil"/>
          <w:left w:val="nil"/>
          <w:bottom w:val="nil"/>
          <w:right w:val="nil"/>
          <w:between w:val="nil"/>
        </w:pBdr>
        <w:spacing w:before="120" w:after="120"/>
        <w:ind w:left="851" w:right="902"/>
        <w:contextualSpacing/>
        <w:jc w:val="both"/>
        <w:rPr>
          <w:rFonts w:ascii="Palatino Linotype" w:hAnsi="Palatino Linotype"/>
          <w:color w:val="000000"/>
          <w:sz w:val="22"/>
          <w:szCs w:val="24"/>
        </w:rPr>
      </w:pPr>
      <w:r w:rsidRPr="002341AF">
        <w:rPr>
          <w:rFonts w:ascii="Palatino Linotype" w:eastAsia="Palatino Linotype" w:hAnsi="Palatino Linotype" w:cs="Palatino Linotype"/>
          <w:i/>
          <w:color w:val="000000"/>
          <w:sz w:val="22"/>
          <w:szCs w:val="24"/>
        </w:rPr>
        <w:lastRenderedPageBreak/>
        <w:t>…</w:t>
      </w:r>
    </w:p>
    <w:p w14:paraId="128D57AE" w14:textId="77777777" w:rsidR="0032354F" w:rsidRPr="002341AF" w:rsidRDefault="0032354F" w:rsidP="0032354F">
      <w:pPr>
        <w:pBdr>
          <w:top w:val="nil"/>
          <w:left w:val="nil"/>
          <w:bottom w:val="nil"/>
          <w:right w:val="nil"/>
          <w:between w:val="nil"/>
        </w:pBdr>
        <w:spacing w:before="120" w:after="120"/>
        <w:ind w:left="851" w:right="902"/>
        <w:contextualSpacing/>
        <w:jc w:val="both"/>
        <w:rPr>
          <w:rFonts w:ascii="Palatino Linotype" w:hAnsi="Palatino Linotype"/>
          <w:color w:val="000000"/>
          <w:sz w:val="22"/>
          <w:szCs w:val="24"/>
        </w:rPr>
      </w:pPr>
      <w:r w:rsidRPr="002341AF">
        <w:rPr>
          <w:rFonts w:ascii="Palatino Linotype" w:eastAsia="Palatino Linotype" w:hAnsi="Palatino Linotype" w:cs="Palatino Linotype"/>
          <w:b/>
          <w:i/>
          <w:color w:val="000000"/>
          <w:sz w:val="22"/>
          <w:szCs w:val="24"/>
        </w:rPr>
        <w:t>Artículo 132</w:t>
      </w:r>
      <w:r w:rsidRPr="002341AF">
        <w:rPr>
          <w:rFonts w:ascii="Palatino Linotype" w:eastAsia="Palatino Linotype" w:hAnsi="Palatino Linotype" w:cs="Palatino Linotype"/>
          <w:i/>
          <w:color w:val="000000"/>
          <w:sz w:val="22"/>
          <w:szCs w:val="24"/>
        </w:rPr>
        <w:t>. La clasificación de la información se llevará a cabo en el momento en que:</w:t>
      </w:r>
    </w:p>
    <w:p w14:paraId="5369740B" w14:textId="77777777" w:rsidR="0032354F" w:rsidRPr="002341AF" w:rsidRDefault="0032354F" w:rsidP="0032354F">
      <w:pPr>
        <w:pBdr>
          <w:top w:val="nil"/>
          <w:left w:val="nil"/>
          <w:bottom w:val="nil"/>
          <w:right w:val="nil"/>
          <w:between w:val="nil"/>
        </w:pBdr>
        <w:spacing w:before="120" w:after="120"/>
        <w:ind w:left="993" w:right="902"/>
        <w:contextualSpacing/>
        <w:jc w:val="both"/>
        <w:rPr>
          <w:rFonts w:ascii="Palatino Linotype" w:hAnsi="Palatino Linotype"/>
          <w:color w:val="000000"/>
          <w:sz w:val="22"/>
          <w:szCs w:val="24"/>
        </w:rPr>
      </w:pPr>
      <w:r w:rsidRPr="002341AF">
        <w:rPr>
          <w:rFonts w:ascii="Palatino Linotype" w:eastAsia="Palatino Linotype" w:hAnsi="Palatino Linotype" w:cs="Palatino Linotype"/>
          <w:i/>
          <w:color w:val="000000"/>
          <w:sz w:val="22"/>
          <w:szCs w:val="24"/>
        </w:rPr>
        <w:t>I. Se reciba una solicitud de acceso a la información;</w:t>
      </w:r>
    </w:p>
    <w:p w14:paraId="0F95AEEE" w14:textId="77777777" w:rsidR="0032354F" w:rsidRPr="002341AF" w:rsidRDefault="0032354F" w:rsidP="0032354F">
      <w:pPr>
        <w:pBdr>
          <w:top w:val="nil"/>
          <w:left w:val="nil"/>
          <w:bottom w:val="nil"/>
          <w:right w:val="nil"/>
          <w:between w:val="nil"/>
        </w:pBdr>
        <w:spacing w:before="120" w:after="120"/>
        <w:ind w:left="993" w:right="902"/>
        <w:contextualSpacing/>
        <w:jc w:val="both"/>
        <w:rPr>
          <w:rFonts w:ascii="Palatino Linotype" w:hAnsi="Palatino Linotype"/>
          <w:color w:val="000000"/>
          <w:sz w:val="22"/>
          <w:szCs w:val="24"/>
        </w:rPr>
      </w:pPr>
      <w:r w:rsidRPr="002341AF">
        <w:rPr>
          <w:rFonts w:ascii="Palatino Linotype" w:eastAsia="Palatino Linotype" w:hAnsi="Palatino Linotype" w:cs="Palatino Linotype"/>
          <w:i/>
          <w:color w:val="000000"/>
          <w:sz w:val="22"/>
          <w:szCs w:val="24"/>
        </w:rPr>
        <w:t>II. Se determine mediante resolución de autoridad competente;...”</w:t>
      </w:r>
    </w:p>
    <w:p w14:paraId="7C648745" w14:textId="77777777" w:rsidR="0032354F" w:rsidRPr="002341AF" w:rsidRDefault="0032354F" w:rsidP="0032354F">
      <w:pPr>
        <w:pBdr>
          <w:top w:val="nil"/>
          <w:left w:val="nil"/>
          <w:bottom w:val="nil"/>
          <w:right w:val="nil"/>
          <w:between w:val="nil"/>
        </w:pBdr>
        <w:spacing w:before="120" w:after="120"/>
        <w:ind w:left="851" w:right="902"/>
        <w:contextualSpacing/>
        <w:jc w:val="both"/>
        <w:rPr>
          <w:rFonts w:ascii="Palatino Linotype" w:hAnsi="Palatino Linotype"/>
          <w:color w:val="000000"/>
          <w:sz w:val="22"/>
          <w:szCs w:val="24"/>
        </w:rPr>
      </w:pPr>
      <w:r w:rsidRPr="002341AF">
        <w:rPr>
          <w:rFonts w:ascii="Palatino Linotype" w:eastAsia="Palatino Linotype" w:hAnsi="Palatino Linotype" w:cs="Palatino Linotype"/>
          <w:i/>
          <w:color w:val="000000"/>
          <w:sz w:val="22"/>
          <w:szCs w:val="24"/>
        </w:rPr>
        <w:t>“</w:t>
      </w:r>
      <w:r w:rsidRPr="002341AF">
        <w:rPr>
          <w:rFonts w:ascii="Palatino Linotype" w:eastAsia="Palatino Linotype" w:hAnsi="Palatino Linotype" w:cs="Palatino Linotype"/>
          <w:b/>
          <w:i/>
          <w:color w:val="000000"/>
          <w:sz w:val="22"/>
          <w:szCs w:val="24"/>
        </w:rPr>
        <w:t>Cuarto</w:t>
      </w:r>
      <w:r w:rsidRPr="002341AF">
        <w:rPr>
          <w:rFonts w:ascii="Palatino Linotype" w:eastAsia="Palatino Linotype" w:hAnsi="Palatino Linotype" w:cs="Palatino Linotype"/>
          <w:i/>
          <w:color w:val="000000"/>
          <w:sz w:val="22"/>
          <w:szCs w:val="24"/>
        </w:rPr>
        <w:t xml:space="preserve">. </w:t>
      </w:r>
      <w:r w:rsidRPr="002341AF">
        <w:rPr>
          <w:rFonts w:ascii="Palatino Linotype" w:eastAsia="Palatino Linotype" w:hAnsi="Palatino Linotype" w:cs="Palatino Linotype"/>
          <w:b/>
          <w:i/>
          <w:color w:val="000000"/>
          <w:sz w:val="22"/>
          <w:szCs w:val="24"/>
        </w:rPr>
        <w:t>Para clasificar la información como reservada o confidencial</w:t>
      </w:r>
      <w:r w:rsidRPr="002341AF">
        <w:rPr>
          <w:rFonts w:ascii="Palatino Linotype" w:eastAsia="Palatino Linotype" w:hAnsi="Palatino Linotype" w:cs="Palatino Linotype"/>
          <w:i/>
          <w:color w:val="000000"/>
          <w:sz w:val="22"/>
          <w:szCs w:val="24"/>
        </w:rPr>
        <w:t xml:space="preserve">, de manera total o parcial, el titular del área del </w:t>
      </w:r>
      <w:r w:rsidRPr="002341AF">
        <w:rPr>
          <w:rFonts w:ascii="Palatino Linotype" w:eastAsia="Palatino Linotype" w:hAnsi="Palatino Linotype" w:cs="Palatino Linotype"/>
          <w:b/>
          <w:i/>
          <w:color w:val="000000"/>
          <w:sz w:val="22"/>
          <w:szCs w:val="24"/>
        </w:rPr>
        <w:t>sujeto obligado deberá atender lo dispuesto por el Título Sexto de la Ley General</w:t>
      </w:r>
      <w:r w:rsidRPr="002341AF">
        <w:rPr>
          <w:rFonts w:ascii="Palatino Linotype" w:eastAsia="Palatino Linotype" w:hAnsi="Palatino Linotype" w:cs="Palatino Linotype"/>
          <w:i/>
          <w:color w:val="000000"/>
          <w:sz w:val="22"/>
          <w:szCs w:val="24"/>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7A665B7" w14:textId="77777777" w:rsidR="0032354F" w:rsidRPr="002341AF" w:rsidRDefault="0032354F" w:rsidP="0032354F">
      <w:pPr>
        <w:pBdr>
          <w:top w:val="nil"/>
          <w:left w:val="nil"/>
          <w:bottom w:val="nil"/>
          <w:right w:val="nil"/>
          <w:between w:val="nil"/>
        </w:pBdr>
        <w:spacing w:before="120" w:after="120"/>
        <w:ind w:left="851" w:right="902"/>
        <w:contextualSpacing/>
        <w:jc w:val="both"/>
        <w:rPr>
          <w:rFonts w:ascii="Palatino Linotype" w:hAnsi="Palatino Linotype"/>
          <w:color w:val="000000"/>
          <w:sz w:val="22"/>
          <w:szCs w:val="24"/>
        </w:rPr>
      </w:pPr>
      <w:r w:rsidRPr="002341AF">
        <w:rPr>
          <w:rFonts w:ascii="Palatino Linotype" w:eastAsia="Palatino Linotype" w:hAnsi="Palatino Linotype" w:cs="Palatino Linotype"/>
          <w:i/>
          <w:color w:val="000000"/>
          <w:sz w:val="22"/>
          <w:szCs w:val="24"/>
        </w:rPr>
        <w:t>Los sujetos obligados deberán aplicar, de manera estricta, las excepciones al derecho de acceso a la información y sólo podrán invocarlas cuando acrediten su procedencia.</w:t>
      </w:r>
    </w:p>
    <w:p w14:paraId="0598FCDE" w14:textId="77777777" w:rsidR="0032354F" w:rsidRPr="002341AF" w:rsidRDefault="0032354F" w:rsidP="0032354F">
      <w:pPr>
        <w:pBdr>
          <w:top w:val="nil"/>
          <w:left w:val="nil"/>
          <w:bottom w:val="nil"/>
          <w:right w:val="nil"/>
          <w:between w:val="nil"/>
        </w:pBdr>
        <w:spacing w:before="120" w:after="120"/>
        <w:ind w:left="851" w:right="902"/>
        <w:contextualSpacing/>
        <w:jc w:val="both"/>
        <w:rPr>
          <w:rFonts w:ascii="Palatino Linotype" w:hAnsi="Palatino Linotype"/>
          <w:color w:val="000000"/>
          <w:sz w:val="22"/>
          <w:szCs w:val="24"/>
        </w:rPr>
      </w:pPr>
      <w:r w:rsidRPr="002341AF">
        <w:rPr>
          <w:rFonts w:ascii="Palatino Linotype" w:eastAsia="Palatino Linotype" w:hAnsi="Palatino Linotype" w:cs="Palatino Linotype"/>
          <w:b/>
          <w:i/>
          <w:color w:val="000000"/>
          <w:sz w:val="22"/>
          <w:szCs w:val="24"/>
        </w:rPr>
        <w:t>Quinto.</w:t>
      </w:r>
      <w:r w:rsidRPr="002341AF">
        <w:rPr>
          <w:rFonts w:ascii="Palatino Linotype" w:eastAsia="Palatino Linotype" w:hAnsi="Palatino Linotype" w:cs="Palatino Linotype"/>
          <w:i/>
          <w:color w:val="000000"/>
          <w:sz w:val="22"/>
          <w:szCs w:val="24"/>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w:t>
      </w:r>
      <w:r w:rsidRPr="002341AF">
        <w:rPr>
          <w:rFonts w:ascii="Palatino Linotype" w:eastAsia="Palatino Linotype" w:hAnsi="Palatino Linotype" w:cs="Palatino Linotype"/>
          <w:b/>
          <w:i/>
          <w:color w:val="000000"/>
          <w:sz w:val="22"/>
          <w:szCs w:val="24"/>
        </w:rPr>
        <w:t>eberán fundar y motivar debidamente la clasificación de la información ante una solicitud de acceso</w:t>
      </w:r>
      <w:r w:rsidRPr="002341AF">
        <w:rPr>
          <w:rFonts w:ascii="Palatino Linotype" w:eastAsia="Palatino Linotype" w:hAnsi="Palatino Linotype" w:cs="Palatino Linotype"/>
          <w:i/>
          <w:color w:val="000000"/>
          <w:sz w:val="22"/>
          <w:szCs w:val="24"/>
        </w:rPr>
        <w:t xml:space="preserve"> o al momento en que generen versiones públicas para dar cumplimiento a las obligaciones de transparencia, observando lo dispuesto en la Ley General y las demás disposiciones aplicables en la materia.</w:t>
      </w:r>
    </w:p>
    <w:p w14:paraId="59298CE4" w14:textId="77777777" w:rsidR="0032354F" w:rsidRPr="002341AF" w:rsidRDefault="0032354F" w:rsidP="0032354F">
      <w:pPr>
        <w:pBdr>
          <w:top w:val="nil"/>
          <w:left w:val="nil"/>
          <w:bottom w:val="nil"/>
          <w:right w:val="nil"/>
          <w:between w:val="nil"/>
        </w:pBdr>
        <w:spacing w:before="120" w:after="120"/>
        <w:ind w:left="851" w:right="902"/>
        <w:contextualSpacing/>
        <w:jc w:val="both"/>
        <w:rPr>
          <w:rFonts w:ascii="Palatino Linotype" w:hAnsi="Palatino Linotype"/>
          <w:color w:val="000000"/>
          <w:sz w:val="22"/>
          <w:szCs w:val="24"/>
        </w:rPr>
      </w:pPr>
      <w:r w:rsidRPr="002341AF">
        <w:rPr>
          <w:rFonts w:ascii="Palatino Linotype" w:eastAsia="Palatino Linotype" w:hAnsi="Palatino Linotype" w:cs="Palatino Linotype"/>
          <w:b/>
          <w:i/>
          <w:color w:val="000000"/>
          <w:sz w:val="22"/>
          <w:szCs w:val="24"/>
        </w:rPr>
        <w:t>Sexto.</w:t>
      </w:r>
      <w:r w:rsidRPr="002341AF">
        <w:rPr>
          <w:rFonts w:ascii="Palatino Linotype" w:eastAsia="Palatino Linotype" w:hAnsi="Palatino Linotype" w:cs="Palatino Linotype"/>
          <w:i/>
          <w:color w:val="000000"/>
          <w:sz w:val="22"/>
          <w:szCs w:val="24"/>
        </w:rPr>
        <w:t xml:space="preserve"> Los sujetos obligados </w:t>
      </w:r>
      <w:r w:rsidRPr="002341AF">
        <w:rPr>
          <w:rFonts w:ascii="Palatino Linotype" w:eastAsia="Palatino Linotype" w:hAnsi="Palatino Linotype" w:cs="Palatino Linotype"/>
          <w:b/>
          <w:i/>
          <w:color w:val="000000"/>
          <w:sz w:val="22"/>
          <w:szCs w:val="24"/>
        </w:rPr>
        <w:t>no podrán emitir acuerdos de carácter general ni particular que clasifiquen documentos o expedientes como reservados</w:t>
      </w:r>
      <w:r w:rsidRPr="002341AF">
        <w:rPr>
          <w:rFonts w:ascii="Palatino Linotype" w:eastAsia="Palatino Linotype" w:hAnsi="Palatino Linotype" w:cs="Palatino Linotype"/>
          <w:i/>
          <w:color w:val="000000"/>
          <w:sz w:val="22"/>
          <w:szCs w:val="24"/>
        </w:rPr>
        <w:t>, ni clasificar documentos antes de que se genere la información o cuando éstos no obren en sus archivos.</w:t>
      </w:r>
    </w:p>
    <w:p w14:paraId="2A0EE22B" w14:textId="77777777" w:rsidR="0032354F" w:rsidRPr="002341AF" w:rsidRDefault="0032354F" w:rsidP="0032354F">
      <w:pPr>
        <w:pBdr>
          <w:top w:val="nil"/>
          <w:left w:val="nil"/>
          <w:bottom w:val="nil"/>
          <w:right w:val="nil"/>
          <w:between w:val="nil"/>
        </w:pBdr>
        <w:spacing w:before="120" w:after="120"/>
        <w:ind w:left="851" w:right="902"/>
        <w:contextualSpacing/>
        <w:jc w:val="both"/>
        <w:rPr>
          <w:rFonts w:ascii="Palatino Linotype" w:hAnsi="Palatino Linotype"/>
          <w:color w:val="000000"/>
          <w:sz w:val="22"/>
          <w:szCs w:val="24"/>
        </w:rPr>
      </w:pPr>
      <w:r w:rsidRPr="002341AF">
        <w:rPr>
          <w:rFonts w:ascii="Palatino Linotype" w:eastAsia="Palatino Linotype" w:hAnsi="Palatino Linotype" w:cs="Palatino Linotype"/>
          <w:b/>
          <w:i/>
          <w:color w:val="000000"/>
          <w:sz w:val="22"/>
          <w:szCs w:val="24"/>
        </w:rPr>
        <w:t>La clasificación de información se realizará conforme a un análisis caso por caso, mediante la aplicación de la prueba de daño y de interés público.</w:t>
      </w:r>
    </w:p>
    <w:p w14:paraId="18074F36" w14:textId="77777777" w:rsidR="0032354F" w:rsidRPr="002341AF" w:rsidRDefault="0032354F" w:rsidP="0032354F">
      <w:pPr>
        <w:pBdr>
          <w:top w:val="nil"/>
          <w:left w:val="nil"/>
          <w:bottom w:val="nil"/>
          <w:right w:val="nil"/>
          <w:between w:val="nil"/>
        </w:pBdr>
        <w:spacing w:before="120" w:after="120"/>
        <w:ind w:left="851" w:right="902"/>
        <w:contextualSpacing/>
        <w:jc w:val="both"/>
        <w:rPr>
          <w:rFonts w:ascii="Palatino Linotype" w:hAnsi="Palatino Linotype"/>
          <w:color w:val="000000"/>
          <w:sz w:val="22"/>
          <w:szCs w:val="24"/>
        </w:rPr>
      </w:pPr>
      <w:r w:rsidRPr="002341AF">
        <w:rPr>
          <w:rFonts w:ascii="Palatino Linotype" w:eastAsia="Palatino Linotype" w:hAnsi="Palatino Linotype" w:cs="Palatino Linotype"/>
          <w:b/>
          <w:i/>
          <w:color w:val="000000"/>
          <w:sz w:val="22"/>
          <w:szCs w:val="24"/>
        </w:rPr>
        <w:t>Séptimo.</w:t>
      </w:r>
      <w:r w:rsidRPr="002341AF">
        <w:rPr>
          <w:rFonts w:ascii="Palatino Linotype" w:eastAsia="Palatino Linotype" w:hAnsi="Palatino Linotype" w:cs="Palatino Linotype"/>
          <w:i/>
          <w:color w:val="000000"/>
          <w:sz w:val="22"/>
          <w:szCs w:val="24"/>
        </w:rPr>
        <w:t xml:space="preserve"> La clasificación de la información se llevará a cabo en el momento en que:</w:t>
      </w:r>
    </w:p>
    <w:p w14:paraId="6B7677F2" w14:textId="77777777" w:rsidR="0032354F" w:rsidRPr="002341AF" w:rsidRDefault="0032354F" w:rsidP="0032354F">
      <w:pPr>
        <w:pBdr>
          <w:top w:val="nil"/>
          <w:left w:val="nil"/>
          <w:bottom w:val="nil"/>
          <w:right w:val="nil"/>
          <w:between w:val="nil"/>
        </w:pBdr>
        <w:spacing w:before="120" w:after="120"/>
        <w:ind w:left="993" w:right="902"/>
        <w:contextualSpacing/>
        <w:jc w:val="both"/>
        <w:rPr>
          <w:rFonts w:ascii="Palatino Linotype" w:hAnsi="Palatino Linotype"/>
          <w:color w:val="000000"/>
          <w:sz w:val="22"/>
          <w:szCs w:val="24"/>
        </w:rPr>
      </w:pPr>
      <w:r w:rsidRPr="002341AF">
        <w:rPr>
          <w:rFonts w:ascii="Palatino Linotype" w:eastAsia="Palatino Linotype" w:hAnsi="Palatino Linotype" w:cs="Palatino Linotype"/>
          <w:b/>
          <w:i/>
          <w:color w:val="000000"/>
          <w:sz w:val="22"/>
          <w:szCs w:val="24"/>
        </w:rPr>
        <w:t>I.</w:t>
      </w:r>
      <w:r w:rsidRPr="002341AF">
        <w:rPr>
          <w:rFonts w:ascii="Palatino Linotype" w:eastAsia="Palatino Linotype" w:hAnsi="Palatino Linotype" w:cs="Palatino Linotype"/>
          <w:i/>
          <w:color w:val="000000"/>
          <w:sz w:val="22"/>
          <w:szCs w:val="24"/>
        </w:rPr>
        <w:t xml:space="preserve"> Se reciba una solicitud de acceso a la información;</w:t>
      </w:r>
    </w:p>
    <w:p w14:paraId="3AE47AFF" w14:textId="77777777" w:rsidR="0032354F" w:rsidRPr="002341AF" w:rsidRDefault="0032354F" w:rsidP="0032354F">
      <w:pPr>
        <w:pBdr>
          <w:top w:val="nil"/>
          <w:left w:val="nil"/>
          <w:bottom w:val="nil"/>
          <w:right w:val="nil"/>
          <w:between w:val="nil"/>
        </w:pBdr>
        <w:spacing w:before="120" w:after="120"/>
        <w:ind w:left="993" w:right="902"/>
        <w:contextualSpacing/>
        <w:jc w:val="both"/>
        <w:rPr>
          <w:rFonts w:ascii="Palatino Linotype" w:hAnsi="Palatino Linotype"/>
          <w:color w:val="000000"/>
          <w:sz w:val="22"/>
          <w:szCs w:val="24"/>
        </w:rPr>
      </w:pPr>
      <w:r w:rsidRPr="002341AF">
        <w:rPr>
          <w:rFonts w:ascii="Palatino Linotype" w:eastAsia="Palatino Linotype" w:hAnsi="Palatino Linotype" w:cs="Palatino Linotype"/>
          <w:b/>
          <w:i/>
          <w:color w:val="000000"/>
          <w:sz w:val="22"/>
          <w:szCs w:val="24"/>
        </w:rPr>
        <w:t>II.</w:t>
      </w:r>
      <w:r w:rsidRPr="002341AF">
        <w:rPr>
          <w:rFonts w:ascii="Palatino Linotype" w:eastAsia="Palatino Linotype" w:hAnsi="Palatino Linotype" w:cs="Palatino Linotype"/>
          <w:i/>
          <w:color w:val="000000"/>
          <w:sz w:val="22"/>
          <w:szCs w:val="24"/>
        </w:rPr>
        <w:t xml:space="preserve"> Se determine mediante resolución de autoridad competente, o</w:t>
      </w:r>
    </w:p>
    <w:p w14:paraId="6A4F5AAE" w14:textId="77777777" w:rsidR="0032354F" w:rsidRPr="002341AF" w:rsidRDefault="0032354F" w:rsidP="0032354F">
      <w:pPr>
        <w:pBdr>
          <w:top w:val="nil"/>
          <w:left w:val="nil"/>
          <w:bottom w:val="nil"/>
          <w:right w:val="nil"/>
          <w:between w:val="nil"/>
        </w:pBdr>
        <w:spacing w:before="120" w:after="120"/>
        <w:ind w:left="993" w:right="902"/>
        <w:contextualSpacing/>
        <w:jc w:val="both"/>
        <w:rPr>
          <w:rFonts w:ascii="Palatino Linotype" w:hAnsi="Palatino Linotype"/>
          <w:color w:val="000000"/>
          <w:sz w:val="22"/>
          <w:szCs w:val="24"/>
        </w:rPr>
      </w:pPr>
      <w:r w:rsidRPr="002341AF">
        <w:rPr>
          <w:rFonts w:ascii="Palatino Linotype" w:eastAsia="Palatino Linotype" w:hAnsi="Palatino Linotype" w:cs="Palatino Linotype"/>
          <w:b/>
          <w:i/>
          <w:color w:val="000000"/>
          <w:sz w:val="22"/>
          <w:szCs w:val="24"/>
        </w:rPr>
        <w:lastRenderedPageBreak/>
        <w:t>III.</w:t>
      </w:r>
      <w:r w:rsidRPr="002341AF">
        <w:rPr>
          <w:rFonts w:ascii="Palatino Linotype" w:eastAsia="Palatino Linotype" w:hAnsi="Palatino Linotype" w:cs="Palatino Linotype"/>
          <w:i/>
          <w:color w:val="000000"/>
          <w:sz w:val="22"/>
          <w:szCs w:val="24"/>
        </w:rPr>
        <w:t xml:space="preserve"> Se generen versiones públicas para dar cumplimiento a las obligaciones de transparencia previstas en la Ley General, la Ley Federal y las correspondientes de las entidades federativas.</w:t>
      </w:r>
    </w:p>
    <w:p w14:paraId="0156C172" w14:textId="77777777" w:rsidR="0032354F" w:rsidRPr="002341AF" w:rsidRDefault="0032354F" w:rsidP="0032354F">
      <w:pPr>
        <w:pBdr>
          <w:top w:val="nil"/>
          <w:left w:val="nil"/>
          <w:bottom w:val="nil"/>
          <w:right w:val="nil"/>
          <w:between w:val="nil"/>
        </w:pBdr>
        <w:spacing w:before="120" w:after="120"/>
        <w:ind w:left="851" w:right="902"/>
        <w:contextualSpacing/>
        <w:jc w:val="both"/>
        <w:rPr>
          <w:rFonts w:ascii="Palatino Linotype" w:hAnsi="Palatino Linotype"/>
          <w:color w:val="000000"/>
          <w:sz w:val="22"/>
          <w:szCs w:val="24"/>
        </w:rPr>
      </w:pPr>
      <w:r w:rsidRPr="002341AF">
        <w:rPr>
          <w:rFonts w:ascii="Palatino Linotype" w:eastAsia="Palatino Linotype" w:hAnsi="Palatino Linotype" w:cs="Palatino Linotype"/>
          <w:b/>
          <w:i/>
          <w:color w:val="000000"/>
          <w:sz w:val="22"/>
          <w:szCs w:val="24"/>
        </w:rPr>
        <w:t>Los titulares de las áreas deberán revisar la clasificación al momento de la recepción de una solicitud de acceso a la información, para verificar si encuadra en una causal de reserva o de confidencialidad.</w:t>
      </w:r>
    </w:p>
    <w:p w14:paraId="7847EC08" w14:textId="77777777" w:rsidR="0032354F" w:rsidRPr="002341AF" w:rsidRDefault="0032354F" w:rsidP="0032354F">
      <w:pPr>
        <w:pBdr>
          <w:top w:val="nil"/>
          <w:left w:val="nil"/>
          <w:bottom w:val="nil"/>
          <w:right w:val="nil"/>
          <w:between w:val="nil"/>
        </w:pBdr>
        <w:spacing w:before="120" w:after="120"/>
        <w:ind w:left="851" w:right="902"/>
        <w:contextualSpacing/>
        <w:jc w:val="both"/>
        <w:rPr>
          <w:rFonts w:ascii="Palatino Linotype" w:hAnsi="Palatino Linotype"/>
          <w:color w:val="000000"/>
          <w:sz w:val="22"/>
          <w:szCs w:val="24"/>
        </w:rPr>
      </w:pPr>
      <w:r w:rsidRPr="002341AF">
        <w:rPr>
          <w:rFonts w:ascii="Palatino Linotype" w:eastAsia="Palatino Linotype" w:hAnsi="Palatino Linotype" w:cs="Palatino Linotype"/>
          <w:b/>
          <w:i/>
          <w:color w:val="000000"/>
          <w:sz w:val="22"/>
          <w:szCs w:val="24"/>
        </w:rPr>
        <w:t>Octavo.</w:t>
      </w:r>
      <w:r w:rsidRPr="002341AF">
        <w:rPr>
          <w:rFonts w:ascii="Palatino Linotype" w:eastAsia="Palatino Linotype" w:hAnsi="Palatino Linotype" w:cs="Palatino Linotype"/>
          <w:i/>
          <w:color w:val="000000"/>
          <w:sz w:val="22"/>
          <w:szCs w:val="24"/>
        </w:rPr>
        <w:t xml:space="preserve"> </w:t>
      </w:r>
      <w:r w:rsidRPr="002341AF">
        <w:rPr>
          <w:rFonts w:ascii="Palatino Linotype" w:eastAsia="Palatino Linotype" w:hAnsi="Palatino Linotype" w:cs="Palatino Linotype"/>
          <w:b/>
          <w:i/>
          <w:color w:val="000000"/>
          <w:sz w:val="22"/>
          <w:szCs w:val="24"/>
        </w:rPr>
        <w:t>Para fundar la clasificación de la información se debe señalar el artículo, fracción, inciso, párrafo o numeral de la ley o tratado internacional suscrito por el Estado mexicano que expresamente le otorga el carácter de reservada o confidencial.</w:t>
      </w:r>
    </w:p>
    <w:p w14:paraId="7A36E2E5" w14:textId="77777777" w:rsidR="0032354F" w:rsidRPr="002341AF" w:rsidRDefault="0032354F" w:rsidP="0032354F">
      <w:pPr>
        <w:pBdr>
          <w:top w:val="nil"/>
          <w:left w:val="nil"/>
          <w:bottom w:val="nil"/>
          <w:right w:val="nil"/>
          <w:between w:val="nil"/>
        </w:pBdr>
        <w:spacing w:before="120" w:after="120"/>
        <w:ind w:left="851" w:right="902"/>
        <w:contextualSpacing/>
        <w:jc w:val="both"/>
        <w:rPr>
          <w:rFonts w:ascii="Palatino Linotype" w:hAnsi="Palatino Linotype"/>
          <w:color w:val="000000"/>
          <w:sz w:val="22"/>
          <w:szCs w:val="24"/>
        </w:rPr>
      </w:pPr>
      <w:r w:rsidRPr="002341AF">
        <w:rPr>
          <w:rFonts w:ascii="Palatino Linotype" w:eastAsia="Palatino Linotype" w:hAnsi="Palatino Linotype" w:cs="Palatino Linotype"/>
          <w:b/>
          <w:i/>
          <w:color w:val="000000"/>
          <w:sz w:val="22"/>
          <w:szCs w:val="24"/>
        </w:rPr>
        <w:t>Para motivar la clasificación se deberán señalar las razones o circunstancias especiales que lo llevaron a concluir que el caso particular se ajusta al supuesto previsto por la norma legal invocada como fundamento.</w:t>
      </w:r>
    </w:p>
    <w:p w14:paraId="26AB5777" w14:textId="77777777" w:rsidR="0032354F" w:rsidRPr="002341AF" w:rsidRDefault="0032354F" w:rsidP="0032354F">
      <w:pPr>
        <w:pBdr>
          <w:top w:val="nil"/>
          <w:left w:val="nil"/>
          <w:bottom w:val="nil"/>
          <w:right w:val="nil"/>
          <w:between w:val="nil"/>
        </w:pBdr>
        <w:spacing w:before="120" w:after="120"/>
        <w:ind w:left="851" w:right="902"/>
        <w:contextualSpacing/>
        <w:jc w:val="both"/>
        <w:rPr>
          <w:rFonts w:ascii="Palatino Linotype" w:hAnsi="Palatino Linotype"/>
          <w:color w:val="000000"/>
          <w:sz w:val="22"/>
          <w:szCs w:val="24"/>
        </w:rPr>
      </w:pPr>
      <w:r w:rsidRPr="002341AF">
        <w:rPr>
          <w:rFonts w:ascii="Palatino Linotype" w:eastAsia="Palatino Linotype" w:hAnsi="Palatino Linotype" w:cs="Palatino Linotype"/>
          <w:i/>
          <w:color w:val="000000"/>
          <w:sz w:val="22"/>
          <w:szCs w:val="24"/>
        </w:rPr>
        <w:t>En caso de referirse a información reservada, la motivación de la clasificación también deberá comprender las circunstancias que justifican el establecimiento de determinado plazo de reserva.</w:t>
      </w:r>
    </w:p>
    <w:p w14:paraId="164735D7" w14:textId="77777777" w:rsidR="0032354F" w:rsidRPr="002341AF" w:rsidRDefault="0032354F" w:rsidP="0032354F">
      <w:pPr>
        <w:pBdr>
          <w:top w:val="nil"/>
          <w:left w:val="nil"/>
          <w:bottom w:val="nil"/>
          <w:right w:val="nil"/>
          <w:between w:val="nil"/>
        </w:pBdr>
        <w:spacing w:before="120" w:after="120"/>
        <w:ind w:left="851" w:right="902"/>
        <w:contextualSpacing/>
        <w:jc w:val="both"/>
        <w:rPr>
          <w:rFonts w:ascii="Palatino Linotype" w:hAnsi="Palatino Linotype"/>
          <w:color w:val="000000"/>
          <w:sz w:val="22"/>
          <w:szCs w:val="24"/>
        </w:rPr>
      </w:pPr>
      <w:r w:rsidRPr="002341AF">
        <w:rPr>
          <w:rFonts w:ascii="Palatino Linotype" w:eastAsia="Palatino Linotype" w:hAnsi="Palatino Linotype" w:cs="Palatino Linotype"/>
          <w:i/>
          <w:color w:val="000000"/>
          <w:sz w:val="22"/>
          <w:szCs w:val="24"/>
        </w:rPr>
        <w:t>Tratándose de información clasificada como confidencial respecto de la cual se haya determinado su conservación permanente por tener valor histórico, ésta conservará tal carácter de conformidad con la normativa aplicable en materia de archivos.</w:t>
      </w:r>
    </w:p>
    <w:p w14:paraId="44E94921" w14:textId="77777777" w:rsidR="0032354F" w:rsidRPr="002341AF" w:rsidRDefault="0032354F" w:rsidP="0032354F">
      <w:pPr>
        <w:pBdr>
          <w:top w:val="nil"/>
          <w:left w:val="nil"/>
          <w:bottom w:val="nil"/>
          <w:right w:val="nil"/>
          <w:between w:val="nil"/>
        </w:pBdr>
        <w:spacing w:before="120" w:after="120"/>
        <w:ind w:left="851" w:right="902"/>
        <w:contextualSpacing/>
        <w:jc w:val="both"/>
        <w:rPr>
          <w:rFonts w:ascii="Palatino Linotype" w:hAnsi="Palatino Linotype"/>
          <w:color w:val="000000"/>
          <w:sz w:val="22"/>
          <w:szCs w:val="24"/>
        </w:rPr>
      </w:pPr>
      <w:r w:rsidRPr="002341AF">
        <w:rPr>
          <w:rFonts w:ascii="Palatino Linotype" w:eastAsia="Palatino Linotype" w:hAnsi="Palatino Linotype" w:cs="Palatino Linotype"/>
          <w:i/>
          <w:color w:val="000000"/>
          <w:sz w:val="22"/>
          <w:szCs w:val="24"/>
        </w:rPr>
        <w:t>Los documentos contenidos en los archivos históricos y los identificados como históricos confidenciales no serán susceptibles de clasificación como reservados.</w:t>
      </w:r>
    </w:p>
    <w:p w14:paraId="44A75087" w14:textId="77777777" w:rsidR="0032354F" w:rsidRPr="002341AF" w:rsidRDefault="0032354F" w:rsidP="0032354F">
      <w:pPr>
        <w:pBdr>
          <w:top w:val="nil"/>
          <w:left w:val="nil"/>
          <w:bottom w:val="nil"/>
          <w:right w:val="nil"/>
          <w:between w:val="nil"/>
        </w:pBdr>
        <w:spacing w:before="120" w:after="120"/>
        <w:ind w:left="851" w:right="902"/>
        <w:contextualSpacing/>
        <w:jc w:val="both"/>
        <w:rPr>
          <w:rFonts w:ascii="Palatino Linotype" w:hAnsi="Palatino Linotype"/>
          <w:color w:val="000000"/>
          <w:sz w:val="22"/>
          <w:szCs w:val="24"/>
        </w:rPr>
      </w:pPr>
      <w:r w:rsidRPr="002341AF">
        <w:rPr>
          <w:rFonts w:ascii="Palatino Linotype" w:eastAsia="Palatino Linotype" w:hAnsi="Palatino Linotype" w:cs="Palatino Linotype"/>
          <w:b/>
          <w:i/>
          <w:color w:val="000000"/>
          <w:sz w:val="22"/>
          <w:szCs w:val="24"/>
        </w:rPr>
        <w:t>Noveno.</w:t>
      </w:r>
      <w:r w:rsidRPr="002341AF">
        <w:rPr>
          <w:rFonts w:ascii="Palatino Linotype" w:eastAsia="Palatino Linotype" w:hAnsi="Palatino Linotype" w:cs="Palatino Linotype"/>
          <w:i/>
          <w:color w:val="000000"/>
          <w:sz w:val="22"/>
          <w:szCs w:val="24"/>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1C92734" w14:textId="77777777" w:rsidR="0032354F" w:rsidRPr="002341AF" w:rsidRDefault="0032354F" w:rsidP="0032354F">
      <w:pPr>
        <w:pBdr>
          <w:top w:val="nil"/>
          <w:left w:val="nil"/>
          <w:bottom w:val="nil"/>
          <w:right w:val="nil"/>
          <w:between w:val="nil"/>
        </w:pBdr>
        <w:spacing w:before="120" w:after="120"/>
        <w:ind w:left="851" w:right="902"/>
        <w:contextualSpacing/>
        <w:jc w:val="both"/>
        <w:rPr>
          <w:rFonts w:ascii="Palatino Linotype" w:hAnsi="Palatino Linotype"/>
          <w:color w:val="000000"/>
          <w:sz w:val="22"/>
          <w:szCs w:val="24"/>
        </w:rPr>
      </w:pPr>
      <w:r w:rsidRPr="002341AF">
        <w:rPr>
          <w:rFonts w:ascii="Palatino Linotype" w:eastAsia="Palatino Linotype" w:hAnsi="Palatino Linotype" w:cs="Palatino Linotype"/>
          <w:b/>
          <w:i/>
          <w:color w:val="000000"/>
          <w:sz w:val="22"/>
          <w:szCs w:val="24"/>
        </w:rPr>
        <w:t>Décimo.</w:t>
      </w:r>
      <w:r w:rsidRPr="002341AF">
        <w:rPr>
          <w:rFonts w:ascii="Palatino Linotype" w:eastAsia="Palatino Linotype" w:hAnsi="Palatino Linotype" w:cs="Palatino Linotype"/>
          <w:i/>
          <w:color w:val="000000"/>
          <w:sz w:val="22"/>
          <w:szCs w:val="24"/>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CF1DFC3" w14:textId="77777777" w:rsidR="0032354F" w:rsidRPr="002341AF" w:rsidRDefault="0032354F" w:rsidP="0032354F">
      <w:pPr>
        <w:pBdr>
          <w:top w:val="nil"/>
          <w:left w:val="nil"/>
          <w:bottom w:val="nil"/>
          <w:right w:val="nil"/>
          <w:between w:val="nil"/>
        </w:pBdr>
        <w:spacing w:before="120" w:after="120"/>
        <w:ind w:left="851" w:right="902"/>
        <w:contextualSpacing/>
        <w:jc w:val="both"/>
        <w:rPr>
          <w:rFonts w:ascii="Palatino Linotype" w:hAnsi="Palatino Linotype"/>
          <w:color w:val="000000"/>
          <w:sz w:val="22"/>
          <w:szCs w:val="24"/>
        </w:rPr>
      </w:pPr>
      <w:r w:rsidRPr="002341AF">
        <w:rPr>
          <w:rFonts w:ascii="Palatino Linotype" w:eastAsia="Palatino Linotype" w:hAnsi="Palatino Linotype" w:cs="Palatino Linotype"/>
          <w:i/>
          <w:color w:val="000000"/>
          <w:sz w:val="22"/>
          <w:szCs w:val="24"/>
        </w:rPr>
        <w:lastRenderedPageBreak/>
        <w:t>En ausencia de los titulares de las áreas, la información será clasificada o desclasificada por la persona que lo supla, en términos de la normativa que rija la actuación del sujeto obligado.</w:t>
      </w:r>
    </w:p>
    <w:p w14:paraId="66222EED" w14:textId="71584D1D" w:rsidR="0032354F" w:rsidRPr="002341AF" w:rsidRDefault="0032354F" w:rsidP="0032354F">
      <w:pPr>
        <w:pBdr>
          <w:top w:val="nil"/>
          <w:left w:val="nil"/>
          <w:bottom w:val="nil"/>
          <w:right w:val="nil"/>
          <w:between w:val="nil"/>
        </w:pBdr>
        <w:spacing w:before="120" w:after="120"/>
        <w:ind w:left="851" w:right="902"/>
        <w:contextualSpacing/>
        <w:jc w:val="both"/>
        <w:rPr>
          <w:rFonts w:ascii="Palatino Linotype" w:eastAsia="Palatino Linotype" w:hAnsi="Palatino Linotype" w:cs="Palatino Linotype"/>
          <w:i/>
          <w:color w:val="000000"/>
          <w:sz w:val="22"/>
          <w:szCs w:val="24"/>
        </w:rPr>
      </w:pPr>
      <w:r w:rsidRPr="002341AF">
        <w:rPr>
          <w:rFonts w:ascii="Palatino Linotype" w:eastAsia="Palatino Linotype" w:hAnsi="Palatino Linotype" w:cs="Palatino Linotype"/>
          <w:b/>
          <w:i/>
          <w:color w:val="000000"/>
          <w:sz w:val="22"/>
          <w:szCs w:val="24"/>
        </w:rPr>
        <w:t>Décimo primero</w:t>
      </w:r>
      <w:r w:rsidRPr="002341AF">
        <w:rPr>
          <w:rFonts w:ascii="Palatino Linotype" w:eastAsia="Palatino Linotype" w:hAnsi="Palatino Linotype" w:cs="Palatino Linotype"/>
          <w:i/>
          <w:color w:val="000000"/>
          <w:sz w:val="22"/>
          <w:szCs w:val="24"/>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3933A6F" w14:textId="77777777" w:rsidR="00273077" w:rsidRPr="002341AF" w:rsidRDefault="00273077" w:rsidP="0032354F">
      <w:pPr>
        <w:pBdr>
          <w:top w:val="nil"/>
          <w:left w:val="nil"/>
          <w:bottom w:val="nil"/>
          <w:right w:val="nil"/>
          <w:between w:val="nil"/>
        </w:pBdr>
        <w:spacing w:before="120" w:after="120"/>
        <w:ind w:left="851" w:right="902"/>
        <w:contextualSpacing/>
        <w:jc w:val="both"/>
        <w:rPr>
          <w:rFonts w:ascii="Palatino Linotype" w:hAnsi="Palatino Linotype"/>
          <w:color w:val="000000"/>
          <w:sz w:val="22"/>
          <w:szCs w:val="24"/>
        </w:rPr>
      </w:pPr>
    </w:p>
    <w:p w14:paraId="486F3A4D" w14:textId="77777777" w:rsidR="0032354F" w:rsidRPr="002341AF" w:rsidRDefault="0032354F" w:rsidP="0032354F">
      <w:pPr>
        <w:pBdr>
          <w:top w:val="nil"/>
          <w:left w:val="nil"/>
          <w:bottom w:val="nil"/>
          <w:right w:val="nil"/>
          <w:between w:val="nil"/>
        </w:pBdr>
        <w:spacing w:before="280" w:after="280" w:line="360" w:lineRule="auto"/>
        <w:ind w:right="51"/>
        <w:jc w:val="both"/>
        <w:rPr>
          <w:rFonts w:ascii="Palatino Linotype" w:hAnsi="Palatino Linotype"/>
          <w:color w:val="000000"/>
          <w:sz w:val="24"/>
          <w:szCs w:val="24"/>
        </w:rPr>
      </w:pPr>
      <w:r w:rsidRPr="002341AF">
        <w:rPr>
          <w:rFonts w:ascii="Palatino Linotype" w:eastAsia="Palatino Linotype" w:hAnsi="Palatino Linotype" w:cs="Palatino Linotype"/>
          <w:color w:val="000000"/>
          <w:sz w:val="24"/>
          <w:szCs w:val="24"/>
        </w:rPr>
        <w:t xml:space="preserve">En esta tesitura es de precisar que la clasificación de la información no se da por el simple mandato de la Ley, sino que es necesario que el </w:t>
      </w:r>
      <w:r w:rsidRPr="002341AF">
        <w:rPr>
          <w:rFonts w:ascii="Palatino Linotype" w:eastAsia="Palatino Linotype" w:hAnsi="Palatino Linotype" w:cs="Palatino Linotype"/>
          <w:b/>
          <w:color w:val="000000"/>
          <w:sz w:val="24"/>
          <w:szCs w:val="24"/>
        </w:rPr>
        <w:t>SUJETO OBLIGADO,</w:t>
      </w:r>
      <w:r w:rsidRPr="002341AF">
        <w:rPr>
          <w:rFonts w:ascii="Palatino Linotype" w:eastAsia="Palatino Linotype" w:hAnsi="Palatino Linotype" w:cs="Palatino Linotype"/>
          <w:color w:val="000000"/>
          <w:sz w:val="24"/>
          <w:szCs w:val="24"/>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2341AF">
        <w:rPr>
          <w:rFonts w:ascii="Palatino Linotype" w:eastAsia="Palatino Linotype" w:hAnsi="Palatino Linotype" w:cs="Palatino Linotype"/>
          <w:b/>
          <w:color w:val="000000"/>
          <w:sz w:val="24"/>
          <w:szCs w:val="24"/>
        </w:rPr>
        <w:t>SUJETO OBLIGADO</w:t>
      </w:r>
      <w:r w:rsidRPr="002341AF">
        <w:rPr>
          <w:rFonts w:ascii="Palatino Linotype" w:eastAsia="Palatino Linotype" w:hAnsi="Palatino Linotype" w:cs="Palatino Linotype"/>
          <w:color w:val="000000"/>
          <w:sz w:val="24"/>
          <w:szCs w:val="24"/>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como se desprende de los artículos 59 fracción V, 53 fracción X, y 49 fracciones II y VIII de la Ley de Transparencia y Acceso a la Información Pública del Estado de México y Municipios.</w:t>
      </w:r>
    </w:p>
    <w:p w14:paraId="6A9CC5E7" w14:textId="16235089" w:rsidR="00D41818" w:rsidRPr="002341AF" w:rsidRDefault="0032354F" w:rsidP="00273077">
      <w:pPr>
        <w:pStyle w:val="Prrafodelista"/>
        <w:numPr>
          <w:ilvl w:val="0"/>
          <w:numId w:val="2"/>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b/>
          <w:sz w:val="24"/>
        </w:rPr>
      </w:pPr>
      <w:r w:rsidRPr="002341AF">
        <w:rPr>
          <w:rFonts w:ascii="Palatino Linotype" w:eastAsia="Palatino Linotype" w:hAnsi="Palatino Linotype" w:cs="Palatino Linotype"/>
          <w:color w:val="000000"/>
          <w:sz w:val="24"/>
        </w:rPr>
        <w:t xml:space="preserve">Derivado de lo expuesto, a efectos de tener por atendido el derecho de acceso a la información </w:t>
      </w:r>
      <w:r w:rsidR="00273077" w:rsidRPr="002341AF">
        <w:rPr>
          <w:rFonts w:ascii="Palatino Linotype" w:eastAsia="Palatino Linotype" w:hAnsi="Palatino Linotype" w:cs="Palatino Linotype"/>
          <w:color w:val="000000"/>
          <w:sz w:val="24"/>
        </w:rPr>
        <w:t>del</w:t>
      </w:r>
      <w:r w:rsidRPr="002341AF">
        <w:rPr>
          <w:rFonts w:ascii="Palatino Linotype" w:eastAsia="Palatino Linotype" w:hAnsi="Palatino Linotype" w:cs="Palatino Linotype"/>
          <w:b/>
          <w:color w:val="000000"/>
          <w:sz w:val="24"/>
        </w:rPr>
        <w:t xml:space="preserve"> RECURRENTE</w:t>
      </w:r>
      <w:r w:rsidRPr="002341AF">
        <w:rPr>
          <w:rFonts w:ascii="Palatino Linotype" w:eastAsia="Palatino Linotype" w:hAnsi="Palatino Linotype" w:cs="Palatino Linotype"/>
          <w:color w:val="000000"/>
          <w:sz w:val="24"/>
        </w:rPr>
        <w:t xml:space="preserve">, se estima procedente </w:t>
      </w:r>
      <w:r w:rsidR="00273077" w:rsidRPr="002341AF">
        <w:rPr>
          <w:rFonts w:ascii="Palatino Linotype" w:eastAsia="Palatino Linotype" w:hAnsi="Palatino Linotype" w:cs="Palatino Linotype"/>
          <w:color w:val="000000"/>
          <w:sz w:val="24"/>
        </w:rPr>
        <w:t>revocar</w:t>
      </w:r>
      <w:r w:rsidRPr="002341AF">
        <w:rPr>
          <w:rFonts w:ascii="Palatino Linotype" w:eastAsia="Palatino Linotype" w:hAnsi="Palatino Linotype" w:cs="Palatino Linotype"/>
          <w:color w:val="000000"/>
          <w:sz w:val="24"/>
        </w:rPr>
        <w:t xml:space="preserve"> la respuesta del </w:t>
      </w:r>
      <w:r w:rsidRPr="002341AF">
        <w:rPr>
          <w:rFonts w:ascii="Palatino Linotype" w:eastAsia="Palatino Linotype" w:hAnsi="Palatino Linotype" w:cs="Palatino Linotype"/>
          <w:b/>
          <w:color w:val="000000"/>
          <w:sz w:val="24"/>
        </w:rPr>
        <w:t>SUJETO OBLIGADO</w:t>
      </w:r>
      <w:r w:rsidRPr="002341AF">
        <w:rPr>
          <w:rFonts w:ascii="Palatino Linotype" w:eastAsia="Palatino Linotype" w:hAnsi="Palatino Linotype" w:cs="Palatino Linotype"/>
          <w:color w:val="000000"/>
          <w:sz w:val="24"/>
        </w:rPr>
        <w:t xml:space="preserve"> ordenando, la búsqueda exhaustiva </w:t>
      </w:r>
      <w:r w:rsidR="00273077" w:rsidRPr="002341AF">
        <w:rPr>
          <w:rFonts w:ascii="Palatino Linotype" w:eastAsia="Palatino Linotype" w:hAnsi="Palatino Linotype" w:cs="Palatino Linotype"/>
          <w:color w:val="000000"/>
          <w:sz w:val="24"/>
        </w:rPr>
        <w:t xml:space="preserve">y razonable </w:t>
      </w:r>
      <w:r w:rsidRPr="002341AF">
        <w:rPr>
          <w:rFonts w:ascii="Palatino Linotype" w:eastAsia="Palatino Linotype" w:hAnsi="Palatino Linotype" w:cs="Palatino Linotype"/>
          <w:color w:val="000000"/>
          <w:sz w:val="24"/>
        </w:rPr>
        <w:t xml:space="preserve">de la </w:t>
      </w:r>
      <w:r w:rsidRPr="002341AF">
        <w:rPr>
          <w:rFonts w:ascii="Palatino Linotype" w:eastAsia="Palatino Linotype" w:hAnsi="Palatino Linotype" w:cs="Palatino Linotype"/>
          <w:color w:val="000000"/>
          <w:sz w:val="24"/>
        </w:rPr>
        <w:lastRenderedPageBreak/>
        <w:t xml:space="preserve">información en los archivos de la Contraloría Interna, y en caso de que existiera, la emisión de un acuerdo mediante el cual el Comité de Transparencia apruebe la clasificación del pronunciamiento respecto </w:t>
      </w:r>
      <w:r w:rsidRPr="002341AF">
        <w:rPr>
          <w:rFonts w:ascii="Palatino Linotype" w:eastAsia="Palatino Linotype" w:hAnsi="Palatino Linotype" w:cs="Palatino Linotype"/>
          <w:b/>
          <w:color w:val="000000"/>
          <w:sz w:val="24"/>
        </w:rPr>
        <w:t>al</w:t>
      </w:r>
      <w:r w:rsidRPr="002341AF">
        <w:rPr>
          <w:rFonts w:ascii="Palatino Linotype" w:hAnsi="Palatino Linotype"/>
          <w:b/>
          <w:color w:val="000000"/>
          <w:sz w:val="24"/>
        </w:rPr>
        <w:t xml:space="preserve"> </w:t>
      </w:r>
      <w:r w:rsidRPr="002341AF">
        <w:rPr>
          <w:rFonts w:ascii="Palatino Linotype" w:eastAsia="Palatino Linotype" w:hAnsi="Palatino Linotype" w:cs="Palatino Linotype"/>
          <w:b/>
          <w:color w:val="000000"/>
          <w:sz w:val="24"/>
        </w:rPr>
        <w:t xml:space="preserve">expediente </w:t>
      </w:r>
      <w:r w:rsidR="00273077" w:rsidRPr="002341AF">
        <w:rPr>
          <w:rFonts w:ascii="Palatino Linotype" w:eastAsia="Palatino Linotype" w:hAnsi="Palatino Linotype" w:cs="Palatino Linotype"/>
          <w:b/>
          <w:color w:val="000000"/>
          <w:sz w:val="24"/>
        </w:rPr>
        <w:t>de investigaciones</w:t>
      </w:r>
      <w:r w:rsidRPr="002341AF">
        <w:rPr>
          <w:rFonts w:ascii="Palatino Linotype" w:eastAsia="Palatino Linotype" w:hAnsi="Palatino Linotype" w:cs="Palatino Linotype"/>
          <w:b/>
          <w:color w:val="000000"/>
          <w:sz w:val="24"/>
        </w:rPr>
        <w:t xml:space="preserve"> en contra de </w:t>
      </w:r>
      <w:r w:rsidR="00273077" w:rsidRPr="002341AF">
        <w:rPr>
          <w:rFonts w:ascii="Palatino Linotype" w:eastAsia="Palatino Linotype" w:hAnsi="Palatino Linotype" w:cs="Palatino Linotype"/>
          <w:b/>
          <w:color w:val="000000"/>
          <w:sz w:val="24"/>
        </w:rPr>
        <w:t>la Servidora Pública referida en la solicitud de información</w:t>
      </w:r>
      <w:r w:rsidRPr="002341AF">
        <w:rPr>
          <w:rFonts w:ascii="Palatino Linotype" w:eastAsia="Palatino Linotype" w:hAnsi="Palatino Linotype" w:cs="Palatino Linotype"/>
          <w:color w:val="000000"/>
          <w:sz w:val="24"/>
        </w:rPr>
        <w:t xml:space="preserve"> </w:t>
      </w:r>
      <w:r w:rsidR="00273077" w:rsidRPr="002341AF">
        <w:rPr>
          <w:rFonts w:ascii="Palatino Linotype" w:eastAsia="Palatino Linotype" w:hAnsi="Palatino Linotype" w:cs="Palatino Linotype"/>
          <w:color w:val="000000"/>
          <w:sz w:val="24"/>
        </w:rPr>
        <w:t>vigentes al tres de mayo</w:t>
      </w:r>
      <w:r w:rsidRPr="002341AF">
        <w:rPr>
          <w:rFonts w:ascii="Palatino Linotype" w:eastAsia="Palatino Linotype" w:hAnsi="Palatino Linotype" w:cs="Palatino Linotype"/>
          <w:color w:val="000000"/>
          <w:sz w:val="24"/>
        </w:rPr>
        <w:t xml:space="preserve"> </w:t>
      </w:r>
      <w:r w:rsidR="00273077" w:rsidRPr="002341AF">
        <w:rPr>
          <w:rFonts w:ascii="Palatino Linotype" w:eastAsia="Palatino Linotype" w:hAnsi="Palatino Linotype" w:cs="Palatino Linotype"/>
          <w:color w:val="000000"/>
          <w:sz w:val="24"/>
        </w:rPr>
        <w:t>de dos mil veintitrés</w:t>
      </w:r>
      <w:r w:rsidRPr="002341AF">
        <w:rPr>
          <w:rFonts w:ascii="Palatino Linotype" w:eastAsia="Palatino Linotype" w:hAnsi="Palatino Linotype" w:cs="Palatino Linotype"/>
          <w:color w:val="000000"/>
          <w:sz w:val="24"/>
        </w:rPr>
        <w:t>; como información confidencial y/o reservada, para lo cual debe cumplir con las formalidades establecidas en los artículos 49 fracción VIII, 129 y 132 fracciones I y II de la Ley de Transparencia y Acceso a la Información Pública del Estado de México y Municipios, así como los numerales Cuarto al Décimo Primero de los Lineamientos Generales en materia de Clasificación y Desclasificación de la Información, así como para la elaboración de Versiones Públicas, citados con antelación, así como las observaciones apuntadas en el c</w:t>
      </w:r>
      <w:r w:rsidR="00273077" w:rsidRPr="002341AF">
        <w:rPr>
          <w:rFonts w:ascii="Palatino Linotype" w:eastAsia="Palatino Linotype" w:hAnsi="Palatino Linotype" w:cs="Palatino Linotype"/>
          <w:color w:val="000000"/>
          <w:sz w:val="24"/>
        </w:rPr>
        <w:t>uerpo de la presente resolución.</w:t>
      </w:r>
    </w:p>
    <w:p w14:paraId="63D55116" w14:textId="77777777" w:rsidR="00273077" w:rsidRPr="002341AF" w:rsidRDefault="00273077" w:rsidP="00273077">
      <w:pPr>
        <w:pStyle w:val="Prrafodelista"/>
        <w:pBdr>
          <w:top w:val="nil"/>
          <w:left w:val="nil"/>
          <w:bottom w:val="nil"/>
          <w:right w:val="nil"/>
          <w:between w:val="nil"/>
        </w:pBdr>
        <w:tabs>
          <w:tab w:val="left" w:pos="426"/>
        </w:tabs>
        <w:spacing w:line="360" w:lineRule="auto"/>
        <w:ind w:left="0" w:right="49"/>
        <w:jc w:val="both"/>
        <w:rPr>
          <w:rFonts w:ascii="Palatino Linotype" w:eastAsia="Palatino Linotype" w:hAnsi="Palatino Linotype" w:cs="Palatino Linotype"/>
          <w:b/>
          <w:sz w:val="24"/>
        </w:rPr>
      </w:pPr>
    </w:p>
    <w:p w14:paraId="1B61162C" w14:textId="77777777" w:rsidR="00D41818" w:rsidRPr="002341AF" w:rsidRDefault="00D41818" w:rsidP="00D41818">
      <w:pPr>
        <w:pStyle w:val="Ttulo2"/>
        <w:rPr>
          <w:rFonts w:ascii="Palatino Linotype" w:hAnsi="Palatino Linotype" w:cs="Tahoma"/>
          <w:b/>
          <w:iCs/>
          <w:color w:val="auto"/>
          <w:sz w:val="24"/>
          <w:szCs w:val="24"/>
        </w:rPr>
      </w:pPr>
      <w:r w:rsidRPr="002341AF">
        <w:rPr>
          <w:rFonts w:ascii="Palatino Linotype" w:hAnsi="Palatino Linotype" w:cs="Tahoma"/>
          <w:b/>
          <w:iCs/>
          <w:color w:val="auto"/>
          <w:sz w:val="24"/>
          <w:szCs w:val="24"/>
        </w:rPr>
        <w:t>QUINTO. De la versión pública.</w:t>
      </w:r>
    </w:p>
    <w:p w14:paraId="769C54FF" w14:textId="77777777" w:rsidR="00D41818" w:rsidRPr="002341AF" w:rsidRDefault="00D41818" w:rsidP="00D41818">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6675B19F" w14:textId="77777777" w:rsidR="00D41818" w:rsidRPr="002341AF" w:rsidRDefault="00D41818" w:rsidP="00D41818">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sz w:val="24"/>
        </w:rPr>
      </w:pPr>
      <w:r w:rsidRPr="002341AF">
        <w:rPr>
          <w:rFonts w:ascii="Palatino Linotype" w:hAnsi="Palatino Linotype"/>
          <w:color w:val="000000" w:themeColor="text1"/>
          <w:sz w:val="24"/>
        </w:rPr>
        <w:t xml:space="preserve">Debe </w:t>
      </w:r>
      <w:r w:rsidRPr="002341AF">
        <w:rPr>
          <w:rFonts w:ascii="Palatino Linotype" w:hAnsi="Palatino Linotype" w:cs="Arial"/>
          <w:color w:val="000000"/>
          <w:sz w:val="24"/>
        </w:rPr>
        <w:t>destacarse que, debido a la naturaleza de la información solicitada</w:t>
      </w:r>
      <w:r w:rsidRPr="002341AF">
        <w:rPr>
          <w:rFonts w:ascii="Palatino Linotype" w:hAnsi="Palatino Linotype" w:cs="Arial"/>
          <w:b/>
          <w:color w:val="000000"/>
          <w:sz w:val="24"/>
        </w:rPr>
        <w:t xml:space="preserve">, </w:t>
      </w:r>
      <w:r w:rsidRPr="002341AF">
        <w:rPr>
          <w:rFonts w:ascii="Palatino Linotype" w:hAnsi="Palatino Linotype" w:cs="Arial"/>
          <w:color w:val="000000"/>
          <w:sz w:val="24"/>
        </w:rPr>
        <w:t xml:space="preserve">eventualmente pudiera obrar datos personales susceptibles de protegerse, el </w:t>
      </w:r>
      <w:r w:rsidRPr="002341AF">
        <w:rPr>
          <w:rFonts w:ascii="Palatino Linotype" w:hAnsi="Palatino Linotype" w:cs="Arial"/>
          <w:b/>
          <w:bCs/>
          <w:color w:val="000000"/>
          <w:sz w:val="24"/>
        </w:rPr>
        <w:t xml:space="preserve">SUJETO OBLIGADO </w:t>
      </w:r>
      <w:r w:rsidRPr="002341AF">
        <w:rPr>
          <w:rFonts w:ascii="Palatino Linotype" w:hAnsi="Palatino Linotype" w:cs="Arial"/>
          <w:color w:val="000000"/>
          <w:sz w:val="24"/>
        </w:rPr>
        <w:t>deberá de hacer la adecuada versión pública, protegiendo los datos que no son susceptibles de ser proporcionados.</w:t>
      </w:r>
    </w:p>
    <w:p w14:paraId="4C2C0BAF" w14:textId="77777777" w:rsidR="00D41818" w:rsidRPr="002341AF" w:rsidRDefault="00D41818" w:rsidP="00D41818">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50C91A21" w14:textId="51394294" w:rsidR="00D41818" w:rsidRPr="002341AF" w:rsidRDefault="00D41818" w:rsidP="00D41818">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sz w:val="24"/>
        </w:rPr>
      </w:pPr>
      <w:r w:rsidRPr="002341AF">
        <w:rPr>
          <w:rFonts w:ascii="Palatino Linotype" w:hAnsi="Palatino Linotype"/>
          <w:color w:val="000000" w:themeColor="text1"/>
          <w:sz w:val="24"/>
        </w:rPr>
        <w:lastRenderedPageBreak/>
        <w:t xml:space="preserve">No </w:t>
      </w:r>
      <w:r w:rsidRPr="002341AF">
        <w:rPr>
          <w:rFonts w:ascii="Palatino Linotype" w:hAnsi="Palatino Linotype" w:cs="Arial"/>
          <w:color w:val="000000"/>
          <w:sz w:val="24"/>
        </w:rPr>
        <w:t>pasa desapercibido para este Órgano Garante que los Sujetos Obligados</w:t>
      </w:r>
      <w:r w:rsidRPr="002341AF">
        <w:rPr>
          <w:rFonts w:ascii="Palatino Linotype" w:hAnsi="Palatino Linotype" w:cs="Arial"/>
          <w:b/>
          <w:bCs/>
          <w:color w:val="000000"/>
          <w:sz w:val="24"/>
        </w:rPr>
        <w:t xml:space="preserve"> </w:t>
      </w:r>
      <w:r w:rsidRPr="002341AF">
        <w:rPr>
          <w:rFonts w:ascii="Palatino Linotype" w:hAnsi="Palatino Linotype" w:cs="Arial"/>
          <w:color w:val="000000"/>
          <w:sz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4DFC50DC" w14:textId="77777777" w:rsidR="00D41818" w:rsidRPr="002341AF" w:rsidRDefault="00D41818" w:rsidP="00D41818">
      <w:pPr>
        <w:pStyle w:val="Prrafodelista"/>
        <w:tabs>
          <w:tab w:val="left" w:pos="426"/>
        </w:tabs>
        <w:spacing w:before="240" w:after="240" w:line="360" w:lineRule="auto"/>
        <w:ind w:left="0" w:right="51"/>
        <w:jc w:val="both"/>
        <w:rPr>
          <w:rFonts w:ascii="Palatino Linotype" w:hAnsi="Palatino Linotype"/>
          <w:color w:val="000000" w:themeColor="text1"/>
        </w:rPr>
      </w:pPr>
    </w:p>
    <w:tbl>
      <w:tblPr>
        <w:tblStyle w:val="Tablanormal1"/>
        <w:tblW w:w="0" w:type="auto"/>
        <w:tblLook w:val="04A0" w:firstRow="1" w:lastRow="0" w:firstColumn="1" w:lastColumn="0" w:noHBand="0" w:noVBand="1"/>
      </w:tblPr>
      <w:tblGrid>
        <w:gridCol w:w="1838"/>
        <w:gridCol w:w="6990"/>
      </w:tblGrid>
      <w:tr w:rsidR="00D41818" w:rsidRPr="002341AF" w14:paraId="45F8CCF6" w14:textId="77777777" w:rsidTr="005B18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3B6DED6" w14:textId="77777777" w:rsidR="00D41818" w:rsidRPr="002341AF" w:rsidRDefault="00D41818" w:rsidP="005B1855">
            <w:pPr>
              <w:spacing w:line="360" w:lineRule="auto"/>
              <w:rPr>
                <w:rFonts w:ascii="Palatino Linotype" w:hAnsi="Palatino Linotype"/>
                <w:bCs w:val="0"/>
              </w:rPr>
            </w:pPr>
            <w:r w:rsidRPr="002341AF">
              <w:rPr>
                <w:rFonts w:ascii="Palatino Linotype" w:hAnsi="Palatino Linotype" w:cstheme="majorBidi"/>
                <w:bCs w:val="0"/>
              </w:rPr>
              <w:t>a) Requisitos previos.</w:t>
            </w:r>
          </w:p>
        </w:tc>
        <w:tc>
          <w:tcPr>
            <w:tcW w:w="6990" w:type="dxa"/>
            <w:hideMark/>
          </w:tcPr>
          <w:p w14:paraId="798FAC8D" w14:textId="77777777" w:rsidR="00D41818" w:rsidRPr="002341AF" w:rsidRDefault="00D41818" w:rsidP="005B185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2341AF">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17DBA43F" w14:textId="77777777" w:rsidR="00D41818" w:rsidRPr="002341AF" w:rsidRDefault="00D41818" w:rsidP="005B185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2341AF">
              <w:rPr>
                <w:rFonts w:ascii="Palatino Linotype" w:hAnsi="Palatino Linotype" w:cs="Arial"/>
                <w:b w:val="0"/>
                <w:bCs w:val="0"/>
                <w:color w:val="000000"/>
              </w:rPr>
              <w:t>Al hacerlo tienen que precisar de qué información se trata, señalando el supuesto de clasificación (confidencialidad o reserva).</w:t>
            </w:r>
          </w:p>
          <w:p w14:paraId="6038C4A6" w14:textId="77777777" w:rsidR="00D41818" w:rsidRPr="002341AF" w:rsidRDefault="00D41818" w:rsidP="005B185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2341AF">
              <w:rPr>
                <w:rFonts w:ascii="Palatino Linotype" w:hAnsi="Palatino Linotype" w:cs="Arial"/>
                <w:b w:val="0"/>
                <w:bCs w:val="0"/>
                <w:color w:val="000000"/>
              </w:rPr>
              <w:t>Además, se debe señalar el procedimiento, de los tres que establecen los artículos 132 y 106 de la Ley Estatal y General, respectivamente.</w:t>
            </w:r>
          </w:p>
          <w:p w14:paraId="7CDD043F" w14:textId="77777777" w:rsidR="00D41818" w:rsidRPr="002341AF" w:rsidRDefault="00D41818" w:rsidP="005B1855">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2341AF">
              <w:rPr>
                <w:rFonts w:ascii="Palatino Linotype" w:hAnsi="Palatino Linotype" w:cs="Arial"/>
                <w:b w:val="0"/>
                <w:bCs w:val="0"/>
                <w:color w:val="000000"/>
              </w:rPr>
              <w:t xml:space="preserve">El último de estos requisitos previos consiste en que no se pueden emitir acuerdos de carácter general ni particular, esto es, </w:t>
            </w:r>
            <w:r w:rsidRPr="002341AF">
              <w:rPr>
                <w:rFonts w:ascii="Palatino Linotype" w:hAnsi="Palatino Linotype" w:cs="Arial"/>
                <w:b w:val="0"/>
                <w:bCs w:val="0"/>
                <w:color w:val="000000"/>
                <w:u w:val="single"/>
              </w:rPr>
              <w:t>no se puede hacer un acuerdo para clasificar de manera general todos los documentos de un expediente o área, sin</w:t>
            </w:r>
            <w:r w:rsidRPr="002341AF">
              <w:rPr>
                <w:rFonts w:ascii="Palatino Linotype" w:hAnsi="Palatino Linotype" w:cs="Arial"/>
                <w:b w:val="0"/>
                <w:bCs w:val="0"/>
                <w:color w:val="000000"/>
              </w:rPr>
              <w:t xml:space="preserve"> individualizar su análisis y tampoco se puede hacer un acuerdo por cada dato que se vaya a </w:t>
            </w:r>
            <w:r w:rsidRPr="002341AF">
              <w:rPr>
                <w:rFonts w:ascii="Palatino Linotype" w:hAnsi="Palatino Linotype" w:cs="Arial"/>
                <w:b w:val="0"/>
                <w:bCs w:val="0"/>
                <w:color w:val="000000"/>
              </w:rPr>
              <w:lastRenderedPageBreak/>
              <w:t>clasificar dentro de un documento con diez datos, por ejemplo, susceptibles de ser clasificados.</w:t>
            </w:r>
          </w:p>
        </w:tc>
      </w:tr>
      <w:tr w:rsidR="00D41818" w:rsidRPr="002341AF" w14:paraId="6FA79ECA" w14:textId="77777777" w:rsidTr="005B1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74DBDEBE" w14:textId="77777777" w:rsidR="00D41818" w:rsidRPr="002341AF" w:rsidRDefault="00D41818" w:rsidP="005B1855">
            <w:pPr>
              <w:spacing w:line="360" w:lineRule="auto"/>
              <w:rPr>
                <w:rFonts w:ascii="Palatino Linotype" w:hAnsi="Palatino Linotype"/>
                <w:bCs w:val="0"/>
              </w:rPr>
            </w:pPr>
            <w:r w:rsidRPr="002341AF">
              <w:rPr>
                <w:rFonts w:ascii="Palatino Linotype" w:hAnsi="Palatino Linotype" w:cstheme="majorBidi"/>
                <w:bCs w:val="0"/>
              </w:rPr>
              <w:lastRenderedPageBreak/>
              <w:t>b) Supuestos de clasificación.</w:t>
            </w:r>
          </w:p>
        </w:tc>
        <w:tc>
          <w:tcPr>
            <w:tcW w:w="6990" w:type="dxa"/>
            <w:hideMark/>
          </w:tcPr>
          <w:p w14:paraId="31FD1603" w14:textId="77777777" w:rsidR="00D41818" w:rsidRPr="002341AF" w:rsidRDefault="00D41818" w:rsidP="005B185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341AF">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554235A6" w14:textId="77777777" w:rsidR="00D41818" w:rsidRPr="002341AF" w:rsidRDefault="00D41818" w:rsidP="005B185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341AF">
              <w:rPr>
                <w:rFonts w:ascii="Palatino Linotype"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81102DC" w14:textId="77777777" w:rsidR="00D41818" w:rsidRPr="002341AF" w:rsidRDefault="00D41818" w:rsidP="005B1855">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2341AF">
              <w:rPr>
                <w:rFonts w:ascii="Palatino Linotype" w:hAnsi="Palatino Linotype" w:cs="Arial"/>
                <w:color w:val="000000"/>
              </w:rPr>
              <w:t xml:space="preserve">El </w:t>
            </w:r>
            <w:r w:rsidRPr="002341AF">
              <w:rPr>
                <w:rFonts w:ascii="Palatino Linotype" w:hAnsi="Palatino Linotype" w:cs="Arial"/>
                <w:b/>
                <w:color w:val="000000"/>
              </w:rPr>
              <w:t>Sujeto Obligado</w:t>
            </w:r>
            <w:r w:rsidRPr="002341AF">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D41818" w:rsidRPr="002341AF" w14:paraId="1D1BEEC5" w14:textId="77777777" w:rsidTr="005B1855">
        <w:tc>
          <w:tcPr>
            <w:cnfStyle w:val="001000000000" w:firstRow="0" w:lastRow="0" w:firstColumn="1" w:lastColumn="0" w:oddVBand="0" w:evenVBand="0" w:oddHBand="0" w:evenHBand="0" w:firstRowFirstColumn="0" w:firstRowLastColumn="0" w:lastRowFirstColumn="0" w:lastRowLastColumn="0"/>
            <w:tcW w:w="1838" w:type="dxa"/>
            <w:hideMark/>
          </w:tcPr>
          <w:p w14:paraId="0C83A8AB" w14:textId="77777777" w:rsidR="00D41818" w:rsidRPr="002341AF" w:rsidRDefault="00D41818" w:rsidP="005B1855">
            <w:pPr>
              <w:spacing w:line="360" w:lineRule="auto"/>
              <w:rPr>
                <w:rFonts w:ascii="Palatino Linotype" w:hAnsi="Palatino Linotype"/>
                <w:bCs w:val="0"/>
              </w:rPr>
            </w:pPr>
            <w:r w:rsidRPr="002341AF">
              <w:rPr>
                <w:rFonts w:ascii="Palatino Linotype" w:hAnsi="Palatino Linotype" w:cstheme="majorBidi"/>
                <w:bCs w:val="0"/>
              </w:rPr>
              <w:t>c) Formalidades para emitir el acuerdo de clasificación.</w:t>
            </w:r>
          </w:p>
        </w:tc>
        <w:tc>
          <w:tcPr>
            <w:tcW w:w="6990" w:type="dxa"/>
            <w:hideMark/>
          </w:tcPr>
          <w:p w14:paraId="31EA5035" w14:textId="77777777" w:rsidR="00D41818" w:rsidRPr="002341AF" w:rsidRDefault="00D41818" w:rsidP="005B185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2341AF">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0513E1EA" w14:textId="77777777" w:rsidR="00D41818" w:rsidRPr="002341AF" w:rsidRDefault="00D41818" w:rsidP="005B185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2341AF">
              <w:rPr>
                <w:rFonts w:ascii="Palatino Linotype" w:hAnsi="Palatino Linotype" w:cs="Arial"/>
                <w:color w:val="000000"/>
              </w:rPr>
              <w:lastRenderedPageBreak/>
              <w:t xml:space="preserve">Es necesario que </w:t>
            </w:r>
            <w:r w:rsidRPr="002341AF">
              <w:rPr>
                <w:rFonts w:ascii="Palatino Linotype" w:hAnsi="Palatino Linotype" w:cs="Arial"/>
                <w:b/>
                <w:color w:val="000000"/>
                <w:u w:val="single"/>
              </w:rPr>
              <w:t>el acto reúna con los requisitos elementales</w:t>
            </w:r>
            <w:r w:rsidRPr="002341AF">
              <w:rPr>
                <w:rFonts w:ascii="Palatino Linotype" w:hAnsi="Palatino Linotype" w:cs="Arial"/>
                <w:color w:val="000000"/>
              </w:rPr>
              <w:t>, entre ellos, que la autoridad que va a emitir el acto de autoridad sea la legalmente facultada para ello.</w:t>
            </w:r>
          </w:p>
          <w:p w14:paraId="66CE8D9F" w14:textId="77777777" w:rsidR="00D41818" w:rsidRPr="002341AF" w:rsidRDefault="00D41818" w:rsidP="005B1855">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2341AF">
              <w:rPr>
                <w:rFonts w:ascii="Palatino Linotype"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D41818" w:rsidRPr="002341AF" w14:paraId="79FB3F52" w14:textId="77777777" w:rsidTr="005B1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3A3C585" w14:textId="77777777" w:rsidR="00D41818" w:rsidRPr="002341AF" w:rsidRDefault="00D41818" w:rsidP="005B1855">
            <w:pPr>
              <w:spacing w:line="360" w:lineRule="auto"/>
              <w:rPr>
                <w:rFonts w:ascii="Palatino Linotype" w:hAnsi="Palatino Linotype"/>
                <w:b w:val="0"/>
              </w:rPr>
            </w:pPr>
          </w:p>
          <w:p w14:paraId="4CDD63DF" w14:textId="77777777" w:rsidR="00D41818" w:rsidRPr="002341AF" w:rsidRDefault="00D41818" w:rsidP="005B1855">
            <w:pPr>
              <w:spacing w:line="360" w:lineRule="auto"/>
              <w:jc w:val="both"/>
              <w:rPr>
                <w:rFonts w:ascii="Palatino Linotype" w:hAnsi="Palatino Linotype"/>
                <w:bCs w:val="0"/>
              </w:rPr>
            </w:pPr>
            <w:r w:rsidRPr="002341AF">
              <w:rPr>
                <w:rFonts w:ascii="Palatino Linotype" w:hAnsi="Palatino Linotype" w:cs="Arial"/>
                <w:bCs w:val="0"/>
                <w:color w:val="000000"/>
              </w:rPr>
              <w:t xml:space="preserve">d) Requisitos de fondo del acuerdo de clasificación. </w:t>
            </w:r>
          </w:p>
        </w:tc>
        <w:tc>
          <w:tcPr>
            <w:tcW w:w="6990" w:type="dxa"/>
            <w:hideMark/>
          </w:tcPr>
          <w:p w14:paraId="644D32B5" w14:textId="77777777" w:rsidR="00D41818" w:rsidRPr="002341AF" w:rsidRDefault="00D41818" w:rsidP="005B185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341AF">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2341AF">
              <w:rPr>
                <w:rFonts w:ascii="Palatino Linotype" w:hAnsi="Palatino Linotype" w:cs="Arial"/>
                <w:b/>
                <w:color w:val="000000"/>
              </w:rPr>
              <w:t>Sujetos Obligados</w:t>
            </w:r>
            <w:r w:rsidRPr="002341AF">
              <w:rPr>
                <w:rFonts w:ascii="Palatino Linotype" w:hAnsi="Palatino Linotype" w:cs="Arial"/>
                <w:color w:val="000000"/>
              </w:rPr>
              <w:t xml:space="preserve">, por lo que deberán fundar y motivar debidamente la clasificación. </w:t>
            </w:r>
          </w:p>
          <w:p w14:paraId="009F3BA6" w14:textId="77777777" w:rsidR="00D41818" w:rsidRPr="002341AF" w:rsidRDefault="00D41818" w:rsidP="005B185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341AF">
              <w:rPr>
                <w:rFonts w:ascii="Palatino Linotype" w:hAnsi="Palatino Linotype" w:cs="Arial"/>
                <w:color w:val="000000"/>
              </w:rPr>
              <w:t xml:space="preserve">De lo anterior, se desprende que para una correcta </w:t>
            </w:r>
            <w:r w:rsidRPr="002341AF">
              <w:rPr>
                <w:rFonts w:ascii="Palatino Linotype" w:hAnsi="Palatino Linotype" w:cs="Arial"/>
                <w:b/>
                <w:color w:val="000000"/>
              </w:rPr>
              <w:t>clasificación total o parcial</w:t>
            </w:r>
            <w:r w:rsidRPr="002341AF">
              <w:rPr>
                <w:rFonts w:ascii="Palatino Linotype" w:hAnsi="Palatino Linotype" w:cs="Arial"/>
                <w:color w:val="000000"/>
              </w:rPr>
              <w:t xml:space="preserve">, esto es determinar los datos que se suprimen en las versiones públicas, es necesario fundar y motivar, de manera correcta, la clasificación; considerando que todo acto que la autoridad </w:t>
            </w:r>
            <w:r w:rsidRPr="002341AF">
              <w:rPr>
                <w:rFonts w:ascii="Palatino Linotype" w:hAnsi="Palatino Linotype" w:cs="Arial"/>
                <w:color w:val="000000"/>
              </w:rPr>
              <w:lastRenderedPageBreak/>
              <w:t>pronuncie en el ejercicio de sus atribuciones, debe expresar los fundamentos legales que le dieron origen y las razones por las que se deben aplicar al caso concreto.</w:t>
            </w:r>
          </w:p>
          <w:p w14:paraId="77C00660" w14:textId="77777777" w:rsidR="00D41818" w:rsidRPr="002341AF" w:rsidRDefault="00D41818" w:rsidP="005B185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341AF">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CC17E20" w14:textId="77777777" w:rsidR="00D41818" w:rsidRPr="002341AF" w:rsidRDefault="00D41818" w:rsidP="005B185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341AF">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14:paraId="46104A32" w14:textId="77777777" w:rsidR="00D41818" w:rsidRPr="002341AF" w:rsidRDefault="00D41818" w:rsidP="005B185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341AF">
              <w:rPr>
                <w:rFonts w:ascii="Palatino Linotype" w:hAnsi="Palatino Linotype" w:cs="Arial"/>
                <w:color w:val="000000"/>
              </w:rPr>
              <w:t xml:space="preserve">Ahora bien, </w:t>
            </w:r>
            <w:r w:rsidRPr="002341AF">
              <w:rPr>
                <w:rFonts w:ascii="Palatino Linotype" w:hAnsi="Palatino Linotype" w:cs="Arial"/>
                <w:b/>
                <w:color w:val="000000"/>
                <w:u w:val="single"/>
              </w:rPr>
              <w:t>para cada caso además de fundar y motivar</w:t>
            </w:r>
            <w:r w:rsidRPr="002341AF">
              <w:rPr>
                <w:rFonts w:ascii="Palatino Linotype" w:hAnsi="Palatino Linotype" w:cs="Arial"/>
                <w:color w:val="000000"/>
              </w:rPr>
              <w:t xml:space="preserve">, se debe identificar con claridad que datos contenidos en las documentales que son susceptibles de suprimirse, por ejemplo; </w:t>
            </w:r>
            <w:r w:rsidRPr="002341AF">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D41818" w:rsidRPr="002341AF" w14:paraId="0EE0427E" w14:textId="77777777" w:rsidTr="005B1855">
        <w:tc>
          <w:tcPr>
            <w:cnfStyle w:val="001000000000" w:firstRow="0" w:lastRow="0" w:firstColumn="1" w:lastColumn="0" w:oddVBand="0" w:evenVBand="0" w:oddHBand="0" w:evenHBand="0" w:firstRowFirstColumn="0" w:firstRowLastColumn="0" w:lastRowFirstColumn="0" w:lastRowLastColumn="0"/>
            <w:tcW w:w="1838" w:type="dxa"/>
          </w:tcPr>
          <w:p w14:paraId="36B920DB" w14:textId="77777777" w:rsidR="00D41818" w:rsidRPr="002341AF" w:rsidRDefault="00D41818" w:rsidP="005B1855">
            <w:pPr>
              <w:spacing w:line="360" w:lineRule="auto"/>
              <w:ind w:right="49"/>
              <w:jc w:val="both"/>
              <w:rPr>
                <w:rFonts w:ascii="Palatino Linotype" w:hAnsi="Palatino Linotype" w:cs="Arial"/>
                <w:bCs w:val="0"/>
              </w:rPr>
            </w:pPr>
            <w:r w:rsidRPr="002341AF">
              <w:rPr>
                <w:rFonts w:ascii="Palatino Linotype" w:eastAsia="MS Gothic" w:hAnsi="Palatino Linotype" w:cs="Times New Roman"/>
                <w:b w:val="0"/>
              </w:rPr>
              <w:lastRenderedPageBreak/>
              <w:t>e</w:t>
            </w:r>
            <w:r w:rsidRPr="002341AF">
              <w:rPr>
                <w:rFonts w:ascii="Palatino Linotype" w:eastAsia="MS Gothic" w:hAnsi="Palatino Linotype" w:cs="Times New Roman"/>
                <w:bCs w:val="0"/>
              </w:rPr>
              <w:t xml:space="preserve">) Condiciones especiales de la </w:t>
            </w:r>
            <w:r w:rsidRPr="002341AF">
              <w:rPr>
                <w:rFonts w:ascii="Palatino Linotype" w:eastAsia="MS Gothic" w:hAnsi="Palatino Linotype" w:cs="Times New Roman"/>
                <w:bCs w:val="0"/>
              </w:rPr>
              <w:lastRenderedPageBreak/>
              <w:t xml:space="preserve">clasificación de la información como confidencial. </w:t>
            </w:r>
          </w:p>
        </w:tc>
        <w:tc>
          <w:tcPr>
            <w:tcW w:w="6990" w:type="dxa"/>
            <w:hideMark/>
          </w:tcPr>
          <w:p w14:paraId="772E32F8" w14:textId="77777777" w:rsidR="00D41818" w:rsidRPr="002341AF" w:rsidRDefault="00D41818" w:rsidP="005B185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2341AF">
              <w:rPr>
                <w:rFonts w:ascii="Palatino Linotype" w:hAnsi="Palatino Linotype" w:cs="Arial"/>
                <w:color w:val="000000"/>
              </w:rPr>
              <w:lastRenderedPageBreak/>
              <w:t xml:space="preserve">Los artículos 148 y 120 de la Ley Estatal y de la Ley General, respectivamente, establecen que aun tratándose de datos personales, </w:t>
            </w:r>
            <w:r w:rsidRPr="002341AF">
              <w:rPr>
                <w:rFonts w:ascii="Palatino Linotype" w:hAnsi="Palatino Linotype" w:cs="Arial"/>
                <w:color w:val="000000"/>
              </w:rPr>
              <w:lastRenderedPageBreak/>
              <w:t xml:space="preserve">se podrán proporcionar, incluso sin solicitar el consentimiento de su titular. </w:t>
            </w:r>
          </w:p>
          <w:p w14:paraId="426643E3" w14:textId="77777777" w:rsidR="00D41818" w:rsidRPr="002341AF" w:rsidRDefault="00D41818" w:rsidP="005B185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2341AF">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847359A" w14:textId="77777777" w:rsidR="00D41818" w:rsidRPr="002341AF" w:rsidRDefault="00D41818" w:rsidP="005B1855">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2341AF">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4C63A4AE" w14:textId="77777777" w:rsidR="00D41818" w:rsidRPr="002341AF" w:rsidRDefault="00D41818" w:rsidP="00D41818">
      <w:pPr>
        <w:pStyle w:val="Prrafodelista"/>
        <w:tabs>
          <w:tab w:val="left" w:pos="426"/>
        </w:tabs>
        <w:spacing w:before="240" w:after="240" w:line="360" w:lineRule="auto"/>
        <w:ind w:left="0" w:right="51"/>
        <w:jc w:val="both"/>
        <w:rPr>
          <w:rFonts w:ascii="Palatino Linotype" w:hAnsi="Palatino Linotype"/>
          <w:color w:val="000000" w:themeColor="text1"/>
        </w:rPr>
      </w:pPr>
    </w:p>
    <w:p w14:paraId="25B176F0" w14:textId="77777777" w:rsidR="00D41818" w:rsidRPr="002341AF" w:rsidRDefault="00D41818" w:rsidP="00D41818">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sidRPr="002341AF">
        <w:rPr>
          <w:rFonts w:ascii="Palatino Linotype" w:hAnsi="Palatino Linotype"/>
          <w:color w:val="000000" w:themeColor="text1"/>
        </w:rPr>
        <w:t xml:space="preserve">De ser el caso que el </w:t>
      </w:r>
      <w:r w:rsidRPr="002341AF">
        <w:rPr>
          <w:rFonts w:ascii="Palatino Linotype" w:hAnsi="Palatino Linotype" w:cs="Arial"/>
          <w:lang w:eastAsia="en-US"/>
        </w:rPr>
        <w:t>servidor público incumpla con estas formalidades, y entregue la información sin proteger los datos personales, atentará directamente con lo que estipulan las disposiciones legales establecidas, asimismo que si entrega un documento testado sin el debido Acuerdo de Clasificación.</w:t>
      </w:r>
    </w:p>
    <w:p w14:paraId="242C92DB" w14:textId="77777777" w:rsidR="00D41818" w:rsidRPr="002341AF" w:rsidRDefault="00D41818" w:rsidP="00D41818">
      <w:pPr>
        <w:pStyle w:val="Prrafodelista"/>
        <w:tabs>
          <w:tab w:val="left" w:pos="426"/>
        </w:tabs>
        <w:spacing w:before="240" w:after="240" w:line="360" w:lineRule="auto"/>
        <w:ind w:left="0" w:right="51"/>
        <w:jc w:val="both"/>
        <w:rPr>
          <w:rFonts w:ascii="Palatino Linotype" w:hAnsi="Palatino Linotype"/>
          <w:color w:val="000000" w:themeColor="text1"/>
        </w:rPr>
      </w:pPr>
    </w:p>
    <w:p w14:paraId="5D0AA1D7" w14:textId="77777777" w:rsidR="00D41818" w:rsidRPr="002341AF" w:rsidRDefault="00D41818" w:rsidP="00D41818">
      <w:pPr>
        <w:pStyle w:val="Prrafodelista"/>
        <w:tabs>
          <w:tab w:val="left" w:pos="426"/>
        </w:tabs>
        <w:spacing w:before="240" w:after="240" w:line="360" w:lineRule="auto"/>
        <w:ind w:left="0" w:right="51"/>
        <w:jc w:val="both"/>
        <w:outlineLvl w:val="1"/>
        <w:rPr>
          <w:rFonts w:ascii="Palatino Linotype" w:hAnsi="Palatino Linotype" w:cs="Arial"/>
          <w:b/>
          <w:bCs/>
          <w:lang w:eastAsia="es-MX"/>
        </w:rPr>
      </w:pPr>
      <w:r w:rsidRPr="002341AF">
        <w:rPr>
          <w:rFonts w:ascii="Palatino Linotype" w:hAnsi="Palatino Linotype" w:cs="Arial"/>
          <w:b/>
          <w:bCs/>
          <w:lang w:eastAsia="es-MX"/>
        </w:rPr>
        <w:t>SEXTO. Decisión.</w:t>
      </w:r>
    </w:p>
    <w:p w14:paraId="7BEF9D7A" w14:textId="77777777" w:rsidR="00D41818" w:rsidRPr="002341AF" w:rsidRDefault="00D41818" w:rsidP="00D41818">
      <w:pPr>
        <w:pStyle w:val="Prrafodelista"/>
        <w:tabs>
          <w:tab w:val="left" w:pos="426"/>
        </w:tabs>
        <w:spacing w:before="240" w:after="240" w:line="360" w:lineRule="auto"/>
        <w:ind w:left="0" w:right="51"/>
        <w:jc w:val="both"/>
        <w:rPr>
          <w:rFonts w:ascii="Palatino Linotype" w:hAnsi="Palatino Linotype"/>
          <w:color w:val="000000" w:themeColor="text1"/>
        </w:rPr>
      </w:pPr>
    </w:p>
    <w:p w14:paraId="79C730DD" w14:textId="77777777" w:rsidR="00D41818" w:rsidRPr="002341AF" w:rsidRDefault="00D41818" w:rsidP="00D41818">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sidRPr="002341AF">
        <w:rPr>
          <w:rFonts w:ascii="Palatino Linotype" w:hAnsi="Palatino Linotype" w:cs="Arial"/>
          <w:lang w:eastAsia="es-MX"/>
        </w:rPr>
        <w:lastRenderedPageBreak/>
        <w:t xml:space="preserve">Luego </w:t>
      </w:r>
      <w:r w:rsidRPr="002341AF">
        <w:rPr>
          <w:rFonts w:ascii="Palatino Linotype" w:hAnsi="Palatino Linotype"/>
          <w:color w:val="000000" w:themeColor="text1"/>
        </w:rPr>
        <w:t xml:space="preserve">de analizar la respuesta proporcionada por el </w:t>
      </w:r>
      <w:r w:rsidRPr="002341AF">
        <w:rPr>
          <w:rFonts w:ascii="Palatino Linotype" w:hAnsi="Palatino Linotype"/>
          <w:b/>
          <w:color w:val="000000" w:themeColor="text1"/>
        </w:rPr>
        <w:t>SUJETO OBLIGADO</w:t>
      </w:r>
      <w:r w:rsidRPr="002341AF">
        <w:rPr>
          <w:rFonts w:ascii="Palatino Linotype" w:hAnsi="Palatino Linotype"/>
          <w:color w:val="000000" w:themeColor="text1"/>
        </w:rPr>
        <w:t xml:space="preserve">, se estableció que éste no había atendido el derecho de acceso a la información ejercido por el </w:t>
      </w:r>
      <w:r w:rsidRPr="002341AF">
        <w:rPr>
          <w:rFonts w:ascii="Palatino Linotype" w:hAnsi="Palatino Linotype"/>
          <w:b/>
          <w:color w:val="000000" w:themeColor="text1"/>
        </w:rPr>
        <w:t>RECURRENTE</w:t>
      </w:r>
      <w:r w:rsidRPr="002341AF">
        <w:rPr>
          <w:rFonts w:ascii="Palatino Linotype" w:hAnsi="Palatino Linotype"/>
          <w:color w:val="000000" w:themeColor="text1"/>
        </w:rPr>
        <w:t>, pues no entregó la información solicitada.</w:t>
      </w:r>
    </w:p>
    <w:p w14:paraId="4FD59B66" w14:textId="77777777" w:rsidR="00D41818" w:rsidRPr="002341AF" w:rsidRDefault="00D41818" w:rsidP="00D41818">
      <w:pPr>
        <w:pStyle w:val="Prrafodelista"/>
        <w:tabs>
          <w:tab w:val="left" w:pos="426"/>
        </w:tabs>
        <w:spacing w:before="240" w:after="240" w:line="360" w:lineRule="auto"/>
        <w:ind w:left="0" w:right="51"/>
        <w:jc w:val="both"/>
        <w:rPr>
          <w:rFonts w:ascii="Palatino Linotype" w:hAnsi="Palatino Linotype"/>
          <w:color w:val="000000" w:themeColor="text1"/>
        </w:rPr>
      </w:pPr>
    </w:p>
    <w:p w14:paraId="5F08761C" w14:textId="77777777" w:rsidR="003F3997" w:rsidRPr="002341AF" w:rsidRDefault="00D41818" w:rsidP="003F3997">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sidRPr="002341AF">
        <w:rPr>
          <w:rFonts w:ascii="Palatino Linotype" w:eastAsia="MS Mincho" w:hAnsi="Palatino Linotype" w:cstheme="majorBidi"/>
          <w:lang w:val="es-ES"/>
        </w:rPr>
        <w:t xml:space="preserve">Por lo tanto, en consecuencia y en mérito de lo expuesto en líneas anteriores, resultan fundadas las razones o motivos de inconformidad hechos valer por el </w:t>
      </w:r>
      <w:r w:rsidRPr="002341AF">
        <w:rPr>
          <w:rFonts w:ascii="Palatino Linotype" w:eastAsia="MS Mincho" w:hAnsi="Palatino Linotype" w:cstheme="majorBidi"/>
          <w:b/>
          <w:lang w:val="es-ES"/>
        </w:rPr>
        <w:t>RECURRENTE</w:t>
      </w:r>
      <w:r w:rsidRPr="002341AF">
        <w:rPr>
          <w:rFonts w:ascii="Palatino Linotype" w:eastAsia="MS Mincho" w:hAnsi="Palatino Linotype" w:cstheme="majorBidi"/>
          <w:lang w:val="es-ES"/>
        </w:rPr>
        <w:t xml:space="preserve"> dentro de los recursos de revisión </w:t>
      </w:r>
      <w:r w:rsidRPr="002341AF">
        <w:rPr>
          <w:rFonts w:ascii="Palatino Linotype" w:hAnsi="Palatino Linotype"/>
          <w:b/>
          <w:szCs w:val="22"/>
        </w:rPr>
        <w:t>02838/INFOEM/IP/RR/2023</w:t>
      </w:r>
      <w:r w:rsidRPr="002341AF">
        <w:rPr>
          <w:rFonts w:ascii="Palatino Linotype" w:hAnsi="Palatino Linotype"/>
          <w:szCs w:val="22"/>
        </w:rPr>
        <w:t xml:space="preserve">, </w:t>
      </w:r>
      <w:r w:rsidRPr="002341AF">
        <w:rPr>
          <w:rFonts w:ascii="Palatino Linotype" w:hAnsi="Palatino Linotype"/>
          <w:b/>
          <w:szCs w:val="22"/>
        </w:rPr>
        <w:t>02839/INFOEM/IP/RR/2023</w:t>
      </w:r>
      <w:r w:rsidRPr="002341AF">
        <w:rPr>
          <w:rFonts w:ascii="Palatino Linotype" w:hAnsi="Palatino Linotype"/>
          <w:szCs w:val="22"/>
        </w:rPr>
        <w:t xml:space="preserve">, </w:t>
      </w:r>
      <w:r w:rsidRPr="002341AF">
        <w:rPr>
          <w:rFonts w:ascii="Palatino Linotype" w:hAnsi="Palatino Linotype"/>
          <w:b/>
          <w:szCs w:val="22"/>
        </w:rPr>
        <w:t>02840/INFOEM/IP/RR/2023</w:t>
      </w:r>
      <w:r w:rsidRPr="002341AF">
        <w:rPr>
          <w:rFonts w:ascii="Palatino Linotype" w:hAnsi="Palatino Linotype"/>
          <w:szCs w:val="22"/>
        </w:rPr>
        <w:t xml:space="preserve">, </w:t>
      </w:r>
      <w:r w:rsidRPr="002341AF">
        <w:rPr>
          <w:rFonts w:ascii="Palatino Linotype" w:hAnsi="Palatino Linotype"/>
          <w:b/>
          <w:szCs w:val="22"/>
        </w:rPr>
        <w:t>02841/INFOEM/IP/RR/2023</w:t>
      </w:r>
      <w:r w:rsidRPr="002341AF">
        <w:rPr>
          <w:rFonts w:ascii="Palatino Linotype" w:hAnsi="Palatino Linotype"/>
          <w:szCs w:val="22"/>
        </w:rPr>
        <w:t xml:space="preserve"> y </w:t>
      </w:r>
      <w:r w:rsidRPr="002341AF">
        <w:rPr>
          <w:rFonts w:ascii="Palatino Linotype" w:hAnsi="Palatino Linotype"/>
          <w:b/>
          <w:szCs w:val="22"/>
        </w:rPr>
        <w:t>02842/INFOEM/IP/RR/2023 acumulados</w:t>
      </w:r>
      <w:r w:rsidRPr="002341AF">
        <w:rPr>
          <w:rFonts w:ascii="Palatino Linotype" w:eastAsia="MS Mincho" w:hAnsi="Palatino Linotype" w:cstheme="majorBidi"/>
          <w:lang w:val="es-ES"/>
        </w:rPr>
        <w:t xml:space="preserve">; por ello, y con fundamento en la fracción III del numeral 186 de la Ley de Transparencia y Acceso a la Información Pública del Estado de México y Municipios, se </w:t>
      </w:r>
      <w:r w:rsidRPr="002341AF">
        <w:rPr>
          <w:rFonts w:ascii="Palatino Linotype" w:eastAsia="MS Mincho" w:hAnsi="Palatino Linotype" w:cstheme="majorBidi"/>
          <w:b/>
          <w:lang w:val="es-ES"/>
        </w:rPr>
        <w:t>REVOCAN</w:t>
      </w:r>
      <w:r w:rsidRPr="002341AF">
        <w:rPr>
          <w:rFonts w:ascii="Palatino Linotype" w:eastAsia="MS Mincho" w:hAnsi="Palatino Linotype" w:cstheme="majorBidi"/>
          <w:lang w:val="es-ES"/>
        </w:rPr>
        <w:t xml:space="preserve"> las respuestas a las solicitudes de información.</w:t>
      </w:r>
    </w:p>
    <w:p w14:paraId="1FC2C139" w14:textId="77777777" w:rsidR="003F3997" w:rsidRPr="002341AF" w:rsidRDefault="003F3997" w:rsidP="003F3997">
      <w:pPr>
        <w:pStyle w:val="Prrafodelista"/>
        <w:tabs>
          <w:tab w:val="left" w:pos="426"/>
        </w:tabs>
        <w:spacing w:before="240" w:after="240" w:line="360" w:lineRule="auto"/>
        <w:ind w:left="0" w:right="51"/>
        <w:jc w:val="both"/>
        <w:rPr>
          <w:rFonts w:ascii="Palatino Linotype" w:hAnsi="Palatino Linotype"/>
          <w:color w:val="000000" w:themeColor="text1"/>
        </w:rPr>
      </w:pPr>
    </w:p>
    <w:p w14:paraId="2D046025" w14:textId="20C6E73D" w:rsidR="005059CD" w:rsidRPr="002341AF" w:rsidRDefault="00BD223D" w:rsidP="003F3997">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sidRPr="002341AF">
        <w:rPr>
          <w:rFonts w:ascii="Palatino Linotype" w:eastAsia="MS Mincho" w:hAnsi="Palatino Linotype" w:cs="Arial"/>
          <w:sz w:val="24"/>
        </w:rPr>
        <w:t xml:space="preserve">Por </w:t>
      </w:r>
      <w:r w:rsidRPr="002341AF">
        <w:rPr>
          <w:rFonts w:ascii="Palatino Linotype" w:eastAsia="Calibri" w:hAnsi="Palatino Linotype" w:cs="Arial"/>
          <w:color w:val="000000" w:themeColor="text1"/>
          <w:sz w:val="24"/>
          <w:lang w:val="es-ES"/>
        </w:rPr>
        <w:t xml:space="preserve">lo anteriormente expuesto y fundado, este </w:t>
      </w:r>
      <w:r w:rsidRPr="002341AF">
        <w:rPr>
          <w:rFonts w:ascii="Palatino Linotype" w:eastAsia="Calibri" w:hAnsi="Palatino Linotype" w:cs="Arial"/>
          <w:b/>
          <w:color w:val="000000" w:themeColor="text1"/>
          <w:sz w:val="24"/>
          <w:lang w:val="es-ES"/>
        </w:rPr>
        <w:t>ÓRGANO GARANTE</w:t>
      </w:r>
      <w:r w:rsidRPr="002341AF">
        <w:rPr>
          <w:rFonts w:ascii="Palatino Linotype" w:eastAsia="Calibri" w:hAnsi="Palatino Linotype" w:cs="Arial"/>
          <w:color w:val="000000" w:themeColor="text1"/>
          <w:sz w:val="24"/>
          <w:lang w:val="es-ES"/>
        </w:rPr>
        <w:t xml:space="preserve"> emite los siguientes:</w:t>
      </w:r>
    </w:p>
    <w:p w14:paraId="1A35126A" w14:textId="77777777" w:rsidR="00BD223D" w:rsidRPr="002341AF" w:rsidRDefault="00BD223D" w:rsidP="00BD223D">
      <w:pPr>
        <w:spacing w:line="360" w:lineRule="auto"/>
        <w:ind w:right="34"/>
        <w:contextualSpacing/>
        <w:jc w:val="both"/>
        <w:rPr>
          <w:rFonts w:ascii="Palatino Linotype" w:eastAsia="MS Mincho" w:hAnsi="Palatino Linotype" w:cs="Arial"/>
          <w:sz w:val="24"/>
          <w:szCs w:val="24"/>
        </w:rPr>
      </w:pPr>
    </w:p>
    <w:p w14:paraId="15F72B0A" w14:textId="00F52CFC" w:rsidR="005000AA" w:rsidRPr="002341AF" w:rsidRDefault="005000AA" w:rsidP="00DB2180">
      <w:pPr>
        <w:pStyle w:val="Ttulo1"/>
        <w:jc w:val="center"/>
        <w:rPr>
          <w:rFonts w:ascii="Palatino Linotype" w:hAnsi="Palatino Linotype"/>
          <w:b/>
          <w:color w:val="auto"/>
          <w:sz w:val="24"/>
          <w:szCs w:val="24"/>
        </w:rPr>
      </w:pPr>
      <w:bookmarkStart w:id="13" w:name="_Toc4061692"/>
      <w:bookmarkStart w:id="14" w:name="_Toc486525261"/>
      <w:bookmarkStart w:id="15" w:name="_Toc445745148"/>
      <w:bookmarkStart w:id="16" w:name="_Toc447699324"/>
      <w:bookmarkStart w:id="17" w:name="_Toc87549684"/>
      <w:bookmarkEnd w:id="9"/>
      <w:r w:rsidRPr="002341AF">
        <w:rPr>
          <w:rFonts w:ascii="Palatino Linotype" w:hAnsi="Palatino Linotype"/>
          <w:b/>
          <w:color w:val="auto"/>
          <w:sz w:val="24"/>
          <w:szCs w:val="24"/>
        </w:rPr>
        <w:t>R E S O L U T I V O S</w:t>
      </w:r>
      <w:bookmarkEnd w:id="13"/>
      <w:bookmarkEnd w:id="14"/>
      <w:bookmarkEnd w:id="15"/>
      <w:bookmarkEnd w:id="16"/>
      <w:bookmarkEnd w:id="17"/>
    </w:p>
    <w:p w14:paraId="463AEB82" w14:textId="77777777" w:rsidR="005000AA" w:rsidRPr="002341AF" w:rsidRDefault="005000AA" w:rsidP="005000AA">
      <w:pPr>
        <w:keepNext/>
        <w:keepLines/>
        <w:spacing w:line="360" w:lineRule="auto"/>
        <w:jc w:val="center"/>
        <w:outlineLvl w:val="0"/>
        <w:rPr>
          <w:rFonts w:ascii="Palatino Linotype" w:hAnsi="Palatino Linotype" w:cstheme="majorBidi"/>
          <w:b/>
          <w:bCs/>
          <w:sz w:val="24"/>
          <w:szCs w:val="24"/>
        </w:rPr>
      </w:pPr>
    </w:p>
    <w:p w14:paraId="689E4CC4" w14:textId="4D0854EC" w:rsidR="003F3997" w:rsidRPr="002341AF" w:rsidRDefault="003F3997" w:rsidP="003F3997">
      <w:pPr>
        <w:spacing w:line="360" w:lineRule="auto"/>
        <w:jc w:val="both"/>
        <w:rPr>
          <w:rFonts w:ascii="Palatino Linotype" w:hAnsi="Palatino Linotype"/>
          <w:sz w:val="24"/>
          <w:szCs w:val="24"/>
        </w:rPr>
      </w:pPr>
      <w:r w:rsidRPr="002341AF">
        <w:rPr>
          <w:rFonts w:ascii="Palatino Linotype" w:hAnsi="Palatino Linotype" w:cs="Arial"/>
          <w:b/>
          <w:sz w:val="24"/>
          <w:szCs w:val="24"/>
        </w:rPr>
        <w:t xml:space="preserve">PRIMERO. </w:t>
      </w:r>
      <w:r w:rsidRPr="002341AF">
        <w:rPr>
          <w:rFonts w:ascii="Palatino Linotype" w:hAnsi="Palatino Linotype" w:cs="Arial"/>
          <w:sz w:val="24"/>
          <w:szCs w:val="24"/>
        </w:rPr>
        <w:t>Resultan fundadas las</w:t>
      </w:r>
      <w:r w:rsidRPr="002341AF">
        <w:rPr>
          <w:rFonts w:ascii="Palatino Linotype" w:hAnsi="Palatino Linotype" w:cs="Arial"/>
          <w:b/>
          <w:sz w:val="24"/>
          <w:szCs w:val="24"/>
        </w:rPr>
        <w:t xml:space="preserve"> </w:t>
      </w:r>
      <w:r w:rsidRPr="002341AF">
        <w:rPr>
          <w:rFonts w:ascii="Palatino Linotype" w:hAnsi="Palatino Linotype" w:cs="Arial"/>
          <w:sz w:val="24"/>
          <w:szCs w:val="24"/>
          <w:lang w:val="es-ES"/>
        </w:rPr>
        <w:t xml:space="preserve">razones o motivos de inconformidad hechos valer </w:t>
      </w:r>
      <w:r w:rsidRPr="002341AF">
        <w:rPr>
          <w:rFonts w:ascii="Palatino Linotype" w:eastAsia="Calibri" w:hAnsi="Palatino Linotype" w:cs="Arial"/>
          <w:sz w:val="24"/>
          <w:szCs w:val="24"/>
          <w:lang w:val="es-ES"/>
        </w:rPr>
        <w:t xml:space="preserve">en los recursos de revisión </w:t>
      </w:r>
      <w:r w:rsidRPr="002341AF">
        <w:rPr>
          <w:rFonts w:ascii="Palatino Linotype" w:hAnsi="Palatino Linotype"/>
          <w:b/>
          <w:sz w:val="22"/>
          <w:szCs w:val="22"/>
        </w:rPr>
        <w:t>02838/INFOEM/IP/RR/2023</w:t>
      </w:r>
      <w:r w:rsidRPr="002341AF">
        <w:rPr>
          <w:rFonts w:ascii="Palatino Linotype" w:hAnsi="Palatino Linotype"/>
          <w:sz w:val="22"/>
          <w:szCs w:val="22"/>
        </w:rPr>
        <w:t xml:space="preserve">, </w:t>
      </w:r>
      <w:r w:rsidRPr="002341AF">
        <w:rPr>
          <w:rFonts w:ascii="Palatino Linotype" w:hAnsi="Palatino Linotype"/>
          <w:b/>
          <w:sz w:val="22"/>
          <w:szCs w:val="22"/>
        </w:rPr>
        <w:t>02839/INFOEM/IP/RR/2023</w:t>
      </w:r>
      <w:r w:rsidRPr="002341AF">
        <w:rPr>
          <w:rFonts w:ascii="Palatino Linotype" w:hAnsi="Palatino Linotype"/>
          <w:sz w:val="22"/>
          <w:szCs w:val="22"/>
        </w:rPr>
        <w:t xml:space="preserve">, </w:t>
      </w:r>
      <w:r w:rsidRPr="002341AF">
        <w:rPr>
          <w:rFonts w:ascii="Palatino Linotype" w:hAnsi="Palatino Linotype"/>
          <w:b/>
          <w:sz w:val="22"/>
          <w:szCs w:val="22"/>
        </w:rPr>
        <w:t>02840/INFOEM/IP/RR/2023</w:t>
      </w:r>
      <w:r w:rsidRPr="002341AF">
        <w:rPr>
          <w:rFonts w:ascii="Palatino Linotype" w:hAnsi="Palatino Linotype"/>
          <w:sz w:val="22"/>
          <w:szCs w:val="22"/>
        </w:rPr>
        <w:t xml:space="preserve">, </w:t>
      </w:r>
      <w:r w:rsidRPr="002341AF">
        <w:rPr>
          <w:rFonts w:ascii="Palatino Linotype" w:hAnsi="Palatino Linotype"/>
          <w:b/>
          <w:sz w:val="22"/>
          <w:szCs w:val="22"/>
        </w:rPr>
        <w:t>02841/INFOEM/IP/RR/2023</w:t>
      </w:r>
      <w:r w:rsidRPr="002341AF">
        <w:rPr>
          <w:rFonts w:ascii="Palatino Linotype" w:hAnsi="Palatino Linotype"/>
          <w:sz w:val="22"/>
          <w:szCs w:val="22"/>
        </w:rPr>
        <w:t xml:space="preserve"> y </w:t>
      </w:r>
      <w:r w:rsidRPr="002341AF">
        <w:rPr>
          <w:rFonts w:ascii="Palatino Linotype" w:hAnsi="Palatino Linotype"/>
          <w:b/>
          <w:sz w:val="22"/>
          <w:szCs w:val="22"/>
        </w:rPr>
        <w:t xml:space="preserve">02842/INFOEM/IP/RR/2023 </w:t>
      </w:r>
      <w:r w:rsidRPr="002341AF">
        <w:rPr>
          <w:rFonts w:ascii="Palatino Linotype" w:hAnsi="Palatino Linotype"/>
          <w:b/>
          <w:sz w:val="22"/>
          <w:szCs w:val="22"/>
        </w:rPr>
        <w:lastRenderedPageBreak/>
        <w:t>acumulados</w:t>
      </w:r>
      <w:r w:rsidRPr="002341AF">
        <w:rPr>
          <w:rFonts w:ascii="Palatino Linotype" w:hAnsi="Palatino Linotype"/>
          <w:sz w:val="22"/>
          <w:szCs w:val="22"/>
        </w:rPr>
        <w:t xml:space="preserve"> </w:t>
      </w:r>
      <w:r w:rsidRPr="002341AF">
        <w:rPr>
          <w:rFonts w:ascii="Palatino Linotype" w:hAnsi="Palatino Linotype"/>
          <w:sz w:val="24"/>
          <w:szCs w:val="24"/>
        </w:rPr>
        <w:t>en términos de los</w:t>
      </w:r>
      <w:r w:rsidR="00BA2F78" w:rsidRPr="002341AF">
        <w:rPr>
          <w:rFonts w:ascii="Palatino Linotype" w:hAnsi="Palatino Linotype"/>
          <w:b/>
          <w:bCs/>
          <w:sz w:val="24"/>
          <w:szCs w:val="24"/>
        </w:rPr>
        <w:t xml:space="preserve"> c</w:t>
      </w:r>
      <w:r w:rsidRPr="002341AF">
        <w:rPr>
          <w:rFonts w:ascii="Palatino Linotype" w:hAnsi="Palatino Linotype"/>
          <w:b/>
          <w:bCs/>
          <w:sz w:val="24"/>
          <w:szCs w:val="24"/>
        </w:rPr>
        <w:t>onsiderandos</w:t>
      </w:r>
      <w:r w:rsidRPr="002341AF">
        <w:rPr>
          <w:rFonts w:ascii="Palatino Linotype" w:hAnsi="Palatino Linotype"/>
          <w:sz w:val="24"/>
          <w:szCs w:val="24"/>
        </w:rPr>
        <w:t xml:space="preserve"> </w:t>
      </w:r>
      <w:r w:rsidRPr="002341AF">
        <w:rPr>
          <w:rFonts w:ascii="Palatino Linotype" w:hAnsi="Palatino Linotype"/>
          <w:b/>
          <w:sz w:val="24"/>
          <w:szCs w:val="24"/>
        </w:rPr>
        <w:t>CUARTO</w:t>
      </w:r>
      <w:r w:rsidRPr="002341AF">
        <w:rPr>
          <w:rFonts w:ascii="Palatino Linotype" w:hAnsi="Palatino Linotype"/>
          <w:sz w:val="24"/>
          <w:szCs w:val="24"/>
        </w:rPr>
        <w:t xml:space="preserve"> y </w:t>
      </w:r>
      <w:r w:rsidRPr="002341AF">
        <w:rPr>
          <w:rFonts w:ascii="Palatino Linotype" w:hAnsi="Palatino Linotype"/>
          <w:b/>
          <w:sz w:val="24"/>
          <w:szCs w:val="24"/>
        </w:rPr>
        <w:t>QUINTO</w:t>
      </w:r>
      <w:r w:rsidRPr="002341AF">
        <w:rPr>
          <w:rFonts w:ascii="Palatino Linotype" w:hAnsi="Palatino Linotype"/>
          <w:sz w:val="24"/>
          <w:szCs w:val="24"/>
        </w:rPr>
        <w:t xml:space="preserve"> de la presente resolución.</w:t>
      </w:r>
    </w:p>
    <w:p w14:paraId="1BF3ED52" w14:textId="77777777" w:rsidR="003F3997" w:rsidRPr="002341AF" w:rsidRDefault="003F3997" w:rsidP="003F3997">
      <w:pPr>
        <w:spacing w:line="360" w:lineRule="auto"/>
        <w:contextualSpacing/>
        <w:jc w:val="both"/>
        <w:rPr>
          <w:rFonts w:ascii="Palatino Linotype" w:eastAsia="Calibri" w:hAnsi="Palatino Linotype" w:cs="Arial"/>
          <w:b/>
          <w:bCs/>
          <w:sz w:val="24"/>
          <w:szCs w:val="24"/>
          <w:lang w:val="es-ES"/>
        </w:rPr>
      </w:pPr>
    </w:p>
    <w:p w14:paraId="77E42EC3" w14:textId="79777FC6" w:rsidR="003F3997" w:rsidRPr="002341AF" w:rsidRDefault="003F3997" w:rsidP="003F3997">
      <w:pPr>
        <w:spacing w:line="360" w:lineRule="auto"/>
        <w:contextualSpacing/>
        <w:jc w:val="both"/>
        <w:rPr>
          <w:rFonts w:ascii="Palatino Linotype" w:hAnsi="Palatino Linotype" w:cs="Arial"/>
          <w:color w:val="000000"/>
          <w:sz w:val="24"/>
          <w:szCs w:val="24"/>
        </w:rPr>
      </w:pPr>
      <w:r w:rsidRPr="002341AF">
        <w:rPr>
          <w:rFonts w:ascii="Palatino Linotype" w:eastAsia="Calibri" w:hAnsi="Palatino Linotype" w:cs="Arial"/>
          <w:b/>
          <w:bCs/>
          <w:sz w:val="24"/>
          <w:szCs w:val="24"/>
          <w:lang w:val="es-ES"/>
        </w:rPr>
        <w:t xml:space="preserve">SEGUNDO. </w:t>
      </w:r>
      <w:r w:rsidRPr="002341AF">
        <w:rPr>
          <w:rFonts w:ascii="Palatino Linotype" w:eastAsia="Calibri" w:hAnsi="Palatino Linotype" w:cs="Arial"/>
          <w:sz w:val="24"/>
          <w:szCs w:val="24"/>
          <w:lang w:val="es-ES"/>
        </w:rPr>
        <w:t xml:space="preserve">Se </w:t>
      </w:r>
      <w:r w:rsidRPr="002341AF">
        <w:rPr>
          <w:rFonts w:ascii="Palatino Linotype" w:eastAsia="Calibri" w:hAnsi="Palatino Linotype" w:cs="Arial"/>
          <w:b/>
          <w:sz w:val="24"/>
          <w:szCs w:val="24"/>
          <w:lang w:val="es-ES"/>
        </w:rPr>
        <w:t>REVOCAN</w:t>
      </w:r>
      <w:r w:rsidRPr="002341AF">
        <w:rPr>
          <w:rFonts w:ascii="Palatino Linotype" w:eastAsia="Calibri" w:hAnsi="Palatino Linotype" w:cs="Arial"/>
          <w:sz w:val="24"/>
          <w:szCs w:val="24"/>
          <w:lang w:val="es-ES"/>
        </w:rPr>
        <w:t xml:space="preserve"> las respuestas emitidas por el </w:t>
      </w:r>
      <w:r w:rsidRPr="002341AF">
        <w:rPr>
          <w:rFonts w:ascii="Palatino Linotype" w:eastAsia="Calibri" w:hAnsi="Palatino Linotype" w:cs="Tahoma"/>
          <w:b/>
          <w:sz w:val="24"/>
          <w:szCs w:val="24"/>
          <w:lang w:eastAsia="en-US"/>
        </w:rPr>
        <w:t>Consejo Mexiquense de Ciencia y Tecnología</w:t>
      </w:r>
      <w:r w:rsidRPr="002341AF">
        <w:rPr>
          <w:rFonts w:ascii="Palatino Linotype" w:eastAsia="Calibri" w:hAnsi="Palatino Linotype" w:cs="Arial"/>
          <w:bCs/>
          <w:sz w:val="24"/>
          <w:szCs w:val="24"/>
        </w:rPr>
        <w:t xml:space="preserve"> </w:t>
      </w:r>
      <w:r w:rsidRPr="002341AF">
        <w:rPr>
          <w:rFonts w:ascii="Palatino Linotype" w:eastAsia="Calibri" w:hAnsi="Palatino Linotype" w:cs="Arial"/>
          <w:sz w:val="24"/>
          <w:szCs w:val="24"/>
        </w:rPr>
        <w:t xml:space="preserve">y se </w:t>
      </w:r>
      <w:r w:rsidRPr="002341AF">
        <w:rPr>
          <w:rFonts w:ascii="Palatino Linotype" w:eastAsia="Calibri" w:hAnsi="Palatino Linotype" w:cs="Arial"/>
          <w:b/>
          <w:sz w:val="24"/>
          <w:szCs w:val="24"/>
        </w:rPr>
        <w:t>ORDENA</w:t>
      </w:r>
      <w:r w:rsidRPr="002341AF">
        <w:rPr>
          <w:rFonts w:ascii="Palatino Linotype" w:eastAsia="Calibri" w:hAnsi="Palatino Linotype" w:cs="Arial"/>
          <w:b/>
          <w:sz w:val="24"/>
          <w:szCs w:val="24"/>
          <w:lang w:val="es-ES"/>
        </w:rPr>
        <w:t xml:space="preserve"> </w:t>
      </w:r>
      <w:r w:rsidRPr="002341AF">
        <w:rPr>
          <w:rFonts w:ascii="Palatino Linotype" w:eastAsia="Calibri" w:hAnsi="Palatino Linotype" w:cs="Arial"/>
          <w:sz w:val="24"/>
          <w:szCs w:val="24"/>
          <w:lang w:val="es-ES"/>
        </w:rPr>
        <w:t xml:space="preserve">entregar, </w:t>
      </w:r>
      <w:bookmarkStart w:id="18" w:name="_Toc460947013"/>
      <w:r w:rsidRPr="002341AF">
        <w:rPr>
          <w:rFonts w:ascii="Palatino Linotype" w:eastAsia="Calibri" w:hAnsi="Palatino Linotype" w:cs="Arial"/>
          <w:sz w:val="24"/>
          <w:szCs w:val="24"/>
          <w:lang w:val="es-ES"/>
        </w:rPr>
        <w:t xml:space="preserve">vía Sistema de Acceso a la Información Pública Mexiquense </w:t>
      </w:r>
      <w:r w:rsidRPr="002341AF">
        <w:rPr>
          <w:rFonts w:ascii="Palatino Linotype" w:eastAsia="Calibri" w:hAnsi="Palatino Linotype" w:cs="Arial"/>
          <w:b/>
          <w:bCs/>
          <w:sz w:val="24"/>
          <w:szCs w:val="24"/>
          <w:lang w:val="es-ES"/>
        </w:rPr>
        <w:t>(SAIMEX)</w:t>
      </w:r>
      <w:r w:rsidRPr="002341AF">
        <w:rPr>
          <w:rFonts w:ascii="Palatino Linotype" w:hAnsi="Palatino Linotype" w:cs="Arial"/>
          <w:b/>
          <w:bCs/>
          <w:color w:val="000000"/>
          <w:sz w:val="24"/>
          <w:szCs w:val="24"/>
        </w:rPr>
        <w:t xml:space="preserve">, </w:t>
      </w:r>
      <w:r w:rsidR="001C44CD" w:rsidRPr="002341AF">
        <w:rPr>
          <w:rFonts w:ascii="Palatino Linotype" w:hAnsi="Palatino Linotype" w:cs="Arial"/>
          <w:color w:val="000000"/>
          <w:sz w:val="24"/>
          <w:szCs w:val="24"/>
        </w:rPr>
        <w:t>previa búsqueda exhaustiva y razonable,</w:t>
      </w:r>
      <w:r w:rsidRPr="002341AF">
        <w:rPr>
          <w:rFonts w:ascii="Palatino Linotype" w:hAnsi="Palatino Linotype" w:cs="Arial"/>
          <w:color w:val="000000"/>
          <w:sz w:val="24"/>
          <w:szCs w:val="24"/>
        </w:rPr>
        <w:t xml:space="preserve"> en versión pública de ser procedente, los documentos donde conste la siguiente información</w:t>
      </w:r>
      <w:r w:rsidR="002C1E37" w:rsidRPr="002341AF">
        <w:rPr>
          <w:rFonts w:ascii="Palatino Linotype" w:hAnsi="Palatino Linotype" w:cs="Arial"/>
          <w:color w:val="000000"/>
          <w:sz w:val="24"/>
          <w:szCs w:val="24"/>
        </w:rPr>
        <w:t>:</w:t>
      </w:r>
    </w:p>
    <w:p w14:paraId="32A6BEEA" w14:textId="39E2ECD9" w:rsidR="003F3997" w:rsidRPr="002341AF" w:rsidRDefault="003F3997" w:rsidP="001C44CD">
      <w:pPr>
        <w:spacing w:after="240" w:line="360" w:lineRule="auto"/>
        <w:ind w:right="567"/>
        <w:jc w:val="both"/>
        <w:rPr>
          <w:rFonts w:ascii="Palatino Linotype" w:hAnsi="Palatino Linotype"/>
          <w:b/>
          <w:bCs/>
          <w:color w:val="000000"/>
          <w:sz w:val="22"/>
          <w:szCs w:val="22"/>
        </w:rPr>
      </w:pPr>
    </w:p>
    <w:p w14:paraId="63241AE0" w14:textId="77777777" w:rsidR="001F3C89" w:rsidRPr="002341AF" w:rsidRDefault="001F3C89" w:rsidP="002C1E37">
      <w:pPr>
        <w:tabs>
          <w:tab w:val="left" w:pos="8505"/>
        </w:tabs>
        <w:spacing w:line="360" w:lineRule="auto"/>
        <w:ind w:left="567" w:right="539"/>
        <w:jc w:val="both"/>
        <w:rPr>
          <w:rFonts w:ascii="Palatino Linotype" w:eastAsia="Palatino Linotype" w:hAnsi="Palatino Linotype" w:cs="Palatino Linotype"/>
          <w:b/>
          <w:color w:val="000000"/>
          <w:sz w:val="22"/>
          <w:szCs w:val="22"/>
        </w:rPr>
      </w:pPr>
      <w:r w:rsidRPr="002341AF">
        <w:rPr>
          <w:rFonts w:ascii="Palatino Linotype" w:eastAsia="Palatino Linotype" w:hAnsi="Palatino Linotype" w:cs="Palatino Linotype"/>
          <w:b/>
          <w:color w:val="000000"/>
          <w:sz w:val="22"/>
          <w:szCs w:val="22"/>
        </w:rPr>
        <w:t>A) de los expedientes en trámite:</w:t>
      </w:r>
    </w:p>
    <w:p w14:paraId="7B28011A" w14:textId="77777777" w:rsidR="001F3C89" w:rsidRPr="002341AF" w:rsidRDefault="001F3C89" w:rsidP="002C1E37">
      <w:pPr>
        <w:tabs>
          <w:tab w:val="left" w:pos="8505"/>
        </w:tabs>
        <w:spacing w:line="360" w:lineRule="auto"/>
        <w:ind w:left="567" w:right="539"/>
        <w:jc w:val="both"/>
        <w:rPr>
          <w:rFonts w:ascii="Palatino Linotype" w:eastAsia="Palatino Linotype" w:hAnsi="Palatino Linotype" w:cs="Palatino Linotype"/>
          <w:color w:val="000000"/>
          <w:sz w:val="22"/>
          <w:szCs w:val="22"/>
        </w:rPr>
      </w:pPr>
    </w:p>
    <w:p w14:paraId="48BF3AB4" w14:textId="615AA472" w:rsidR="001F3C89" w:rsidRPr="002341AF" w:rsidRDefault="001F3C89" w:rsidP="002C1E37">
      <w:pPr>
        <w:tabs>
          <w:tab w:val="left" w:pos="8505"/>
        </w:tabs>
        <w:spacing w:line="360" w:lineRule="auto"/>
        <w:ind w:left="567" w:right="539"/>
        <w:jc w:val="both"/>
        <w:rPr>
          <w:rFonts w:ascii="Palatino Linotype" w:eastAsia="Palatino Linotype" w:hAnsi="Palatino Linotype" w:cs="Palatino Linotype"/>
          <w:color w:val="000000"/>
          <w:sz w:val="22"/>
          <w:szCs w:val="22"/>
          <w:u w:val="single"/>
        </w:rPr>
      </w:pPr>
      <w:r w:rsidRPr="002341AF">
        <w:rPr>
          <w:rFonts w:ascii="Palatino Linotype" w:eastAsia="Palatino Linotype" w:hAnsi="Palatino Linotype" w:cs="Palatino Linotype"/>
          <w:b/>
          <w:color w:val="000000"/>
          <w:sz w:val="22"/>
          <w:szCs w:val="22"/>
        </w:rPr>
        <w:t>1.</w:t>
      </w:r>
      <w:r w:rsidR="002C1E37" w:rsidRPr="002341AF">
        <w:rPr>
          <w:rFonts w:ascii="Palatino Linotype" w:eastAsia="Palatino Linotype" w:hAnsi="Palatino Linotype" w:cs="Palatino Linotype"/>
          <w:b/>
          <w:color w:val="000000"/>
          <w:sz w:val="22"/>
          <w:szCs w:val="22"/>
        </w:rPr>
        <w:t xml:space="preserve"> </w:t>
      </w:r>
      <w:r w:rsidRPr="002341AF">
        <w:rPr>
          <w:rFonts w:ascii="Palatino Linotype" w:eastAsia="Palatino Linotype" w:hAnsi="Palatino Linotype" w:cs="Palatino Linotype"/>
          <w:color w:val="000000"/>
          <w:sz w:val="22"/>
          <w:szCs w:val="22"/>
        </w:rPr>
        <w:t xml:space="preserve">Acuerdo emitido por el Comité de Transparencia, en el que </w:t>
      </w:r>
      <w:r w:rsidRPr="002341AF">
        <w:rPr>
          <w:rFonts w:ascii="Palatino Linotype" w:eastAsia="Palatino Linotype" w:hAnsi="Palatino Linotype" w:cs="Palatino Linotype"/>
          <w:b/>
          <w:color w:val="000000"/>
          <w:sz w:val="22"/>
          <w:szCs w:val="22"/>
        </w:rPr>
        <w:t>clasifique como reservado</w:t>
      </w:r>
      <w:r w:rsidRPr="002341AF">
        <w:rPr>
          <w:rFonts w:ascii="Palatino Linotype" w:eastAsia="Palatino Linotype" w:hAnsi="Palatino Linotype" w:cs="Palatino Linotype"/>
          <w:color w:val="000000"/>
          <w:sz w:val="22"/>
          <w:szCs w:val="22"/>
        </w:rPr>
        <w:t xml:space="preserve"> el pronunciamiento en sentido afirmativo o negativo respecto de si </w:t>
      </w:r>
      <w:r w:rsidR="002C1E37" w:rsidRPr="002341AF">
        <w:rPr>
          <w:rFonts w:ascii="Palatino Linotype" w:eastAsia="Palatino Linotype" w:hAnsi="Palatino Linotype" w:cs="Palatino Linotype"/>
          <w:color w:val="000000"/>
          <w:sz w:val="22"/>
          <w:szCs w:val="22"/>
        </w:rPr>
        <w:t xml:space="preserve">la Servidora Pública señalada </w:t>
      </w:r>
      <w:r w:rsidRPr="002341AF">
        <w:rPr>
          <w:rFonts w:ascii="Palatino Linotype" w:eastAsia="Palatino Linotype" w:hAnsi="Palatino Linotype" w:cs="Palatino Linotype"/>
          <w:color w:val="000000"/>
          <w:sz w:val="22"/>
          <w:szCs w:val="22"/>
        </w:rPr>
        <w:t xml:space="preserve">en la solicitud, cuentan con procedimientos administrativos por faltas graves y no graves derivados de una queja o denuncia; </w:t>
      </w:r>
      <w:r w:rsidRPr="002341AF">
        <w:rPr>
          <w:rFonts w:ascii="Palatino Linotype" w:eastAsia="Palatino Linotype" w:hAnsi="Palatino Linotype" w:cs="Palatino Linotype"/>
          <w:color w:val="000000"/>
          <w:sz w:val="22"/>
          <w:szCs w:val="22"/>
          <w:u w:val="single"/>
        </w:rPr>
        <w:t>salvo que el acto se relacione con actos de corrupción o violaciones graves a derechos humanos; deberá entregar en versión pública los documentos en donde conste el nombre, motivo y estatus</w:t>
      </w:r>
      <w:r w:rsidR="002C1E37" w:rsidRPr="002341AF">
        <w:rPr>
          <w:rFonts w:ascii="Palatino Linotype" w:eastAsia="Palatino Linotype" w:hAnsi="Palatino Linotype" w:cs="Palatino Linotype"/>
          <w:color w:val="000000"/>
          <w:sz w:val="22"/>
          <w:szCs w:val="22"/>
        </w:rPr>
        <w:t>, al tres de mayo de dos mil veintitrés.</w:t>
      </w:r>
    </w:p>
    <w:p w14:paraId="6B3BF9C2" w14:textId="77777777" w:rsidR="001F3C89" w:rsidRPr="002341AF" w:rsidRDefault="001F3C89" w:rsidP="002C1E37">
      <w:pPr>
        <w:tabs>
          <w:tab w:val="left" w:pos="8505"/>
        </w:tabs>
        <w:spacing w:line="360" w:lineRule="auto"/>
        <w:ind w:left="567" w:right="539"/>
        <w:jc w:val="both"/>
        <w:rPr>
          <w:rFonts w:ascii="Palatino Linotype" w:eastAsia="Palatino Linotype" w:hAnsi="Palatino Linotype" w:cs="Palatino Linotype"/>
          <w:color w:val="000000"/>
          <w:sz w:val="22"/>
          <w:szCs w:val="22"/>
        </w:rPr>
      </w:pPr>
    </w:p>
    <w:p w14:paraId="76E976AB" w14:textId="77777777" w:rsidR="001F3C89" w:rsidRPr="002341AF" w:rsidRDefault="001F3C89" w:rsidP="002C1E37">
      <w:pPr>
        <w:tabs>
          <w:tab w:val="left" w:pos="8505"/>
        </w:tabs>
        <w:spacing w:line="360" w:lineRule="auto"/>
        <w:ind w:left="567" w:right="539"/>
        <w:jc w:val="both"/>
        <w:rPr>
          <w:rFonts w:ascii="Palatino Linotype" w:eastAsia="Palatino Linotype" w:hAnsi="Palatino Linotype" w:cs="Palatino Linotype"/>
          <w:b/>
          <w:color w:val="000000"/>
          <w:sz w:val="22"/>
          <w:szCs w:val="22"/>
        </w:rPr>
      </w:pPr>
      <w:r w:rsidRPr="002341AF">
        <w:rPr>
          <w:rFonts w:ascii="Palatino Linotype" w:eastAsia="Palatino Linotype" w:hAnsi="Palatino Linotype" w:cs="Palatino Linotype"/>
          <w:b/>
          <w:color w:val="000000"/>
          <w:sz w:val="22"/>
          <w:szCs w:val="22"/>
        </w:rPr>
        <w:t>B) De los expedientes concluidos:</w:t>
      </w:r>
    </w:p>
    <w:p w14:paraId="757A6D3D" w14:textId="77777777" w:rsidR="001F3C89" w:rsidRPr="002341AF" w:rsidRDefault="001F3C89" w:rsidP="002C1E37">
      <w:pPr>
        <w:tabs>
          <w:tab w:val="left" w:pos="8505"/>
        </w:tabs>
        <w:spacing w:line="360" w:lineRule="auto"/>
        <w:ind w:left="567" w:right="539"/>
        <w:jc w:val="both"/>
        <w:rPr>
          <w:rFonts w:ascii="Palatino Linotype" w:eastAsia="Palatino Linotype" w:hAnsi="Palatino Linotype" w:cs="Palatino Linotype"/>
          <w:color w:val="000000"/>
          <w:sz w:val="22"/>
          <w:szCs w:val="22"/>
        </w:rPr>
      </w:pPr>
    </w:p>
    <w:p w14:paraId="74BDA562" w14:textId="5EF3FB16" w:rsidR="001F3C89" w:rsidRPr="002341AF" w:rsidRDefault="002C1E37" w:rsidP="002C1E37">
      <w:pPr>
        <w:spacing w:line="360" w:lineRule="auto"/>
        <w:ind w:left="567" w:right="539"/>
        <w:jc w:val="both"/>
        <w:rPr>
          <w:rFonts w:ascii="Palatino Linotype" w:eastAsia="Palatino Linotype" w:hAnsi="Palatino Linotype" w:cs="Palatino Linotype"/>
          <w:color w:val="000000"/>
          <w:sz w:val="22"/>
          <w:szCs w:val="22"/>
        </w:rPr>
      </w:pPr>
      <w:r w:rsidRPr="002341AF">
        <w:rPr>
          <w:rFonts w:ascii="Palatino Linotype" w:eastAsia="Palatino Linotype" w:hAnsi="Palatino Linotype" w:cs="Palatino Linotype"/>
          <w:color w:val="000000"/>
          <w:sz w:val="22"/>
          <w:szCs w:val="22"/>
        </w:rPr>
        <w:lastRenderedPageBreak/>
        <w:t xml:space="preserve">2. </w:t>
      </w:r>
      <w:r w:rsidR="001F3C89" w:rsidRPr="002341AF">
        <w:rPr>
          <w:rFonts w:ascii="Palatino Linotype" w:eastAsia="Palatino Linotype" w:hAnsi="Palatino Linotype" w:cs="Palatino Linotype"/>
          <w:color w:val="000000"/>
          <w:sz w:val="22"/>
          <w:szCs w:val="22"/>
        </w:rPr>
        <w:t xml:space="preserve">Acuerdo emitido por el Comité de Transparencia, en el que </w:t>
      </w:r>
      <w:r w:rsidR="001F3C89" w:rsidRPr="002341AF">
        <w:rPr>
          <w:rFonts w:ascii="Palatino Linotype" w:eastAsia="Palatino Linotype" w:hAnsi="Palatino Linotype" w:cs="Palatino Linotype"/>
          <w:b/>
          <w:color w:val="000000"/>
          <w:sz w:val="22"/>
          <w:szCs w:val="22"/>
        </w:rPr>
        <w:t>clasifique como confidencial</w:t>
      </w:r>
      <w:r w:rsidR="001F3C89" w:rsidRPr="002341AF">
        <w:rPr>
          <w:rFonts w:ascii="Palatino Linotype" w:eastAsia="Palatino Linotype" w:hAnsi="Palatino Linotype" w:cs="Palatino Linotype"/>
          <w:color w:val="000000"/>
          <w:sz w:val="22"/>
          <w:szCs w:val="22"/>
        </w:rPr>
        <w:t xml:space="preserve"> el pronunciamiento en sentido afirmati</w:t>
      </w:r>
      <w:r w:rsidRPr="002341AF">
        <w:rPr>
          <w:rFonts w:ascii="Palatino Linotype" w:eastAsia="Palatino Linotype" w:hAnsi="Palatino Linotype" w:cs="Palatino Linotype"/>
          <w:color w:val="000000"/>
          <w:sz w:val="22"/>
          <w:szCs w:val="22"/>
        </w:rPr>
        <w:t>vo o negativo respecto de si la Servidora Pública señalada</w:t>
      </w:r>
      <w:r w:rsidR="001F3C89" w:rsidRPr="002341AF">
        <w:rPr>
          <w:rFonts w:ascii="Palatino Linotype" w:eastAsia="Palatino Linotype" w:hAnsi="Palatino Linotype" w:cs="Palatino Linotype"/>
          <w:color w:val="000000"/>
          <w:sz w:val="22"/>
          <w:szCs w:val="22"/>
        </w:rPr>
        <w:t xml:space="preserve"> en la solicitud, cuentan con procedimientos administrativos por faltas no graves, derivados de una queja o denuncia, sin importar si fue absolutorio o condenatorio, así como de procedimientos administrativos graves absolutorios.</w:t>
      </w:r>
    </w:p>
    <w:p w14:paraId="2A7E93EB" w14:textId="6DEA29D3" w:rsidR="001F3C89" w:rsidRPr="002341AF" w:rsidRDefault="001F3C89" w:rsidP="002C1E37">
      <w:pPr>
        <w:tabs>
          <w:tab w:val="left" w:pos="3420"/>
        </w:tabs>
        <w:spacing w:line="360" w:lineRule="auto"/>
        <w:ind w:left="567" w:right="539"/>
        <w:jc w:val="both"/>
        <w:rPr>
          <w:rFonts w:ascii="Palatino Linotype" w:eastAsia="Palatino Linotype" w:hAnsi="Palatino Linotype" w:cs="Palatino Linotype"/>
          <w:color w:val="000000"/>
          <w:sz w:val="22"/>
          <w:szCs w:val="22"/>
        </w:rPr>
      </w:pPr>
    </w:p>
    <w:p w14:paraId="6355E208" w14:textId="01EFFEC4" w:rsidR="003838C0" w:rsidRPr="002341AF" w:rsidRDefault="002C1E37" w:rsidP="002C1E37">
      <w:pPr>
        <w:spacing w:line="360" w:lineRule="auto"/>
        <w:ind w:left="567" w:right="539"/>
        <w:jc w:val="both"/>
        <w:rPr>
          <w:rFonts w:ascii="Palatino Linotype" w:eastAsia="Palatino Linotype" w:hAnsi="Palatino Linotype" w:cs="Palatino Linotype"/>
          <w:color w:val="000000"/>
          <w:sz w:val="22"/>
          <w:szCs w:val="22"/>
        </w:rPr>
      </w:pPr>
      <w:r w:rsidRPr="002341AF">
        <w:rPr>
          <w:rFonts w:ascii="Palatino Linotype" w:eastAsia="Palatino Linotype" w:hAnsi="Palatino Linotype" w:cs="Palatino Linotype"/>
          <w:color w:val="000000"/>
          <w:sz w:val="22"/>
          <w:szCs w:val="22"/>
        </w:rPr>
        <w:t xml:space="preserve">3. </w:t>
      </w:r>
      <w:r w:rsidR="001F3C89" w:rsidRPr="002341AF">
        <w:rPr>
          <w:rFonts w:ascii="Palatino Linotype" w:eastAsia="Palatino Linotype" w:hAnsi="Palatino Linotype" w:cs="Palatino Linotype"/>
          <w:color w:val="000000"/>
          <w:sz w:val="22"/>
          <w:szCs w:val="22"/>
        </w:rPr>
        <w:t>Para el caso de que cuente con expedientes</w:t>
      </w:r>
      <w:r w:rsidRPr="002341AF">
        <w:rPr>
          <w:rFonts w:ascii="Palatino Linotype" w:eastAsia="Palatino Linotype" w:hAnsi="Palatino Linotype" w:cs="Palatino Linotype"/>
          <w:color w:val="000000"/>
          <w:sz w:val="22"/>
          <w:szCs w:val="22"/>
        </w:rPr>
        <w:t xml:space="preserve"> de investigaciones</w:t>
      </w:r>
      <w:r w:rsidR="001F3C89" w:rsidRPr="002341AF">
        <w:rPr>
          <w:rFonts w:ascii="Palatino Linotype" w:eastAsia="Palatino Linotype" w:hAnsi="Palatino Linotype" w:cs="Palatino Linotype"/>
          <w:color w:val="000000"/>
          <w:sz w:val="22"/>
          <w:szCs w:val="22"/>
        </w:rPr>
        <w:t xml:space="preserve"> de quejas o denuncias </w:t>
      </w:r>
      <w:r w:rsidR="00CD3F83" w:rsidRPr="002341AF">
        <w:rPr>
          <w:rFonts w:ascii="Palatino Linotype" w:eastAsia="Palatino Linotype" w:hAnsi="Palatino Linotype" w:cs="Palatino Linotype"/>
          <w:color w:val="000000"/>
          <w:sz w:val="22"/>
          <w:szCs w:val="22"/>
        </w:rPr>
        <w:t>concluidas</w:t>
      </w:r>
      <w:r w:rsidR="001F3C89" w:rsidRPr="002341AF">
        <w:rPr>
          <w:rFonts w:ascii="Palatino Linotype" w:eastAsia="Palatino Linotype" w:hAnsi="Palatino Linotype" w:cs="Palatino Linotype"/>
          <w:color w:val="000000"/>
          <w:sz w:val="22"/>
          <w:szCs w:val="22"/>
        </w:rPr>
        <w:t xml:space="preserve"> por faltas administrativas graves con resolución condenatoria, </w:t>
      </w:r>
      <w:r w:rsidRPr="002341AF">
        <w:rPr>
          <w:rFonts w:ascii="Palatino Linotype" w:eastAsia="Palatino Linotype" w:hAnsi="Palatino Linotype" w:cs="Palatino Linotype"/>
          <w:color w:val="000000"/>
          <w:sz w:val="22"/>
          <w:szCs w:val="22"/>
        </w:rPr>
        <w:t>de la Servidora Pública</w:t>
      </w:r>
      <w:r w:rsidR="001F3C89" w:rsidRPr="002341AF">
        <w:rPr>
          <w:rFonts w:ascii="Palatino Linotype" w:eastAsia="Palatino Linotype" w:hAnsi="Palatino Linotype" w:cs="Palatino Linotype"/>
          <w:color w:val="000000"/>
          <w:sz w:val="22"/>
          <w:szCs w:val="22"/>
        </w:rPr>
        <w:t xml:space="preserve"> </w:t>
      </w:r>
      <w:r w:rsidRPr="002341AF">
        <w:rPr>
          <w:rFonts w:ascii="Palatino Linotype" w:eastAsia="Palatino Linotype" w:hAnsi="Palatino Linotype" w:cs="Palatino Linotype"/>
          <w:color w:val="000000"/>
          <w:sz w:val="22"/>
          <w:szCs w:val="22"/>
        </w:rPr>
        <w:t xml:space="preserve">señalada </w:t>
      </w:r>
      <w:r w:rsidR="001F3C89" w:rsidRPr="002341AF">
        <w:rPr>
          <w:rFonts w:ascii="Palatino Linotype" w:eastAsia="Palatino Linotype" w:hAnsi="Palatino Linotype" w:cs="Palatino Linotype"/>
          <w:color w:val="000000"/>
          <w:sz w:val="22"/>
          <w:szCs w:val="22"/>
        </w:rPr>
        <w:t>en la solicitud</w:t>
      </w:r>
      <w:r w:rsidR="001F3C89" w:rsidRPr="002341AF">
        <w:rPr>
          <w:rFonts w:ascii="Palatino Linotype" w:hAnsi="Palatino Linotype"/>
          <w:sz w:val="22"/>
          <w:szCs w:val="22"/>
        </w:rPr>
        <w:t>,</w:t>
      </w:r>
      <w:r w:rsidR="001F3C89" w:rsidRPr="002341AF">
        <w:rPr>
          <w:rFonts w:ascii="Palatino Linotype" w:eastAsia="Palatino Linotype" w:hAnsi="Palatino Linotype" w:cs="Palatino Linotype"/>
          <w:color w:val="000000"/>
          <w:sz w:val="22"/>
          <w:szCs w:val="22"/>
        </w:rPr>
        <w:t xml:space="preserve"> deberá entregar en versión pública los documentos en donde conste el nombre, motivo y estatus.</w:t>
      </w:r>
    </w:p>
    <w:p w14:paraId="0A9BBE39" w14:textId="77777777" w:rsidR="001C44CD" w:rsidRPr="002341AF" w:rsidRDefault="001C44CD" w:rsidP="001C44CD">
      <w:pPr>
        <w:spacing w:after="240"/>
        <w:ind w:right="567"/>
        <w:jc w:val="both"/>
        <w:rPr>
          <w:rFonts w:ascii="Palatino Linotype" w:hAnsi="Palatino Linotype"/>
          <w:b/>
          <w:bCs/>
          <w:color w:val="000000"/>
        </w:rPr>
      </w:pPr>
    </w:p>
    <w:p w14:paraId="16E83E46" w14:textId="77777777" w:rsidR="003F3997" w:rsidRPr="002341AF" w:rsidRDefault="003F3997" w:rsidP="002C1E37">
      <w:pPr>
        <w:tabs>
          <w:tab w:val="left" w:pos="993"/>
        </w:tabs>
        <w:spacing w:line="360" w:lineRule="auto"/>
        <w:jc w:val="both"/>
        <w:rPr>
          <w:rFonts w:ascii="Palatino Linotype" w:eastAsia="Calibri" w:hAnsi="Palatino Linotype" w:cs="Arial"/>
          <w:sz w:val="24"/>
          <w:szCs w:val="24"/>
        </w:rPr>
      </w:pPr>
      <w:r w:rsidRPr="002341AF">
        <w:rPr>
          <w:rFonts w:ascii="Palatino Linotype" w:hAnsi="Palatino Linotype"/>
          <w:color w:val="000000"/>
          <w:sz w:val="24"/>
          <w:szCs w:val="24"/>
        </w:rPr>
        <w:t xml:space="preserve">Para </w:t>
      </w:r>
      <w:r w:rsidRPr="002341AF">
        <w:rPr>
          <w:rFonts w:ascii="Palatino Linotype" w:eastAsia="Calibri" w:hAnsi="Palatino Linotype" w:cs="Arial"/>
          <w:sz w:val="24"/>
          <w:szCs w:val="24"/>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2341AF">
        <w:rPr>
          <w:rFonts w:ascii="Palatino Linotype" w:eastAsia="Calibri" w:hAnsi="Palatino Linotype" w:cs="Arial"/>
          <w:b/>
          <w:sz w:val="24"/>
          <w:szCs w:val="24"/>
        </w:rPr>
        <w:t>RECURRENTE</w:t>
      </w:r>
      <w:r w:rsidRPr="002341AF">
        <w:rPr>
          <w:rFonts w:ascii="Palatino Linotype" w:eastAsia="Calibri" w:hAnsi="Palatino Linotype" w:cs="Arial"/>
          <w:sz w:val="24"/>
          <w:szCs w:val="24"/>
        </w:rPr>
        <w:t>.</w:t>
      </w:r>
    </w:p>
    <w:p w14:paraId="593623DD" w14:textId="77777777" w:rsidR="001F3C89" w:rsidRPr="002341AF" w:rsidRDefault="001F3C89" w:rsidP="002C1E37">
      <w:pPr>
        <w:tabs>
          <w:tab w:val="left" w:pos="993"/>
        </w:tabs>
        <w:spacing w:line="360" w:lineRule="auto"/>
        <w:jc w:val="both"/>
        <w:rPr>
          <w:rFonts w:ascii="Palatino Linotype" w:eastAsia="Calibri" w:hAnsi="Palatino Linotype" w:cs="Arial"/>
          <w:sz w:val="24"/>
          <w:szCs w:val="24"/>
        </w:rPr>
      </w:pPr>
    </w:p>
    <w:p w14:paraId="0D0AACF4" w14:textId="098C3B23" w:rsidR="001F3C89" w:rsidRPr="002341AF" w:rsidRDefault="001F3C89" w:rsidP="002C1E37">
      <w:pPr>
        <w:pBdr>
          <w:top w:val="nil"/>
          <w:left w:val="nil"/>
          <w:bottom w:val="nil"/>
          <w:right w:val="nil"/>
          <w:between w:val="nil"/>
        </w:pBdr>
        <w:spacing w:line="360" w:lineRule="auto"/>
        <w:ind w:right="51"/>
        <w:jc w:val="both"/>
        <w:rPr>
          <w:rFonts w:ascii="Palatino Linotype" w:eastAsia="Palatino Linotype" w:hAnsi="Palatino Linotype" w:cs="Palatino Linotype"/>
          <w:color w:val="000000"/>
          <w:sz w:val="24"/>
          <w:szCs w:val="24"/>
        </w:rPr>
      </w:pPr>
      <w:r w:rsidRPr="002341AF">
        <w:rPr>
          <w:rFonts w:ascii="Palatino Linotype" w:eastAsia="Palatino Linotype" w:hAnsi="Palatino Linotype" w:cs="Palatino Linotype"/>
          <w:color w:val="000000"/>
          <w:sz w:val="24"/>
          <w:szCs w:val="24"/>
        </w:rPr>
        <w:t xml:space="preserve">En el supuesto de que la Servidora Pública referida en la solicitud de información, no cuente con procedimientos administrativos derivados de investigaciones, bastará con que así lo haga del conocimiento del </w:t>
      </w:r>
      <w:r w:rsidRPr="002341AF">
        <w:rPr>
          <w:rFonts w:ascii="Palatino Linotype" w:eastAsia="Palatino Linotype" w:hAnsi="Palatino Linotype" w:cs="Palatino Linotype"/>
          <w:b/>
          <w:color w:val="000000"/>
          <w:sz w:val="24"/>
          <w:szCs w:val="24"/>
        </w:rPr>
        <w:t xml:space="preserve">Recurrente en términos del segundo párrafo </w:t>
      </w:r>
      <w:r w:rsidRPr="002341AF">
        <w:rPr>
          <w:rFonts w:ascii="Palatino Linotype" w:eastAsia="Palatino Linotype" w:hAnsi="Palatino Linotype" w:cs="Palatino Linotype"/>
          <w:b/>
          <w:color w:val="000000"/>
          <w:sz w:val="24"/>
          <w:szCs w:val="24"/>
        </w:rPr>
        <w:lastRenderedPageBreak/>
        <w:t>del artículo 19 de la Ley en la materia</w:t>
      </w:r>
      <w:r w:rsidRPr="002341AF">
        <w:rPr>
          <w:rFonts w:ascii="Palatino Linotype" w:eastAsia="Palatino Linotype" w:hAnsi="Palatino Linotype" w:cs="Palatino Linotype"/>
          <w:color w:val="000000"/>
          <w:sz w:val="24"/>
          <w:szCs w:val="24"/>
        </w:rPr>
        <w:t>, para tener por colmado el requerimiento de información.</w:t>
      </w:r>
    </w:p>
    <w:p w14:paraId="66A9C836" w14:textId="77777777" w:rsidR="003F3997" w:rsidRPr="002341AF" w:rsidRDefault="003F3997" w:rsidP="003F3997">
      <w:pPr>
        <w:tabs>
          <w:tab w:val="left" w:pos="993"/>
        </w:tabs>
        <w:spacing w:line="360" w:lineRule="auto"/>
        <w:jc w:val="both"/>
        <w:rPr>
          <w:rFonts w:ascii="Palatino Linotype" w:eastAsia="Calibri" w:hAnsi="Palatino Linotype" w:cs="Arial"/>
          <w:sz w:val="24"/>
          <w:szCs w:val="24"/>
        </w:rPr>
      </w:pPr>
    </w:p>
    <w:p w14:paraId="1A72B615" w14:textId="77777777" w:rsidR="003F3997" w:rsidRPr="002341AF" w:rsidRDefault="003F3997" w:rsidP="003F3997">
      <w:pPr>
        <w:spacing w:line="360" w:lineRule="auto"/>
        <w:jc w:val="both"/>
        <w:rPr>
          <w:rFonts w:ascii="Palatino Linotype" w:eastAsia="MS Mincho" w:hAnsi="Palatino Linotype"/>
          <w:color w:val="000000"/>
          <w:sz w:val="24"/>
          <w:szCs w:val="24"/>
        </w:rPr>
      </w:pPr>
      <w:r w:rsidRPr="002341AF">
        <w:rPr>
          <w:rFonts w:ascii="Palatino Linotype" w:eastAsia="MS Mincho" w:hAnsi="Palatino Linotype"/>
          <w:b/>
          <w:color w:val="000000"/>
          <w:sz w:val="24"/>
          <w:szCs w:val="24"/>
        </w:rPr>
        <w:t>TERCERO.</w:t>
      </w:r>
      <w:r w:rsidRPr="002341AF">
        <w:rPr>
          <w:rFonts w:ascii="Palatino Linotype" w:eastAsia="MS Mincho" w:hAnsi="Palatino Linotype"/>
          <w:color w:val="000000"/>
          <w:sz w:val="24"/>
          <w:szCs w:val="24"/>
        </w:rPr>
        <w:t xml:space="preserve"> Notifíquese a la </w:t>
      </w:r>
      <w:r w:rsidRPr="002341AF">
        <w:rPr>
          <w:rFonts w:ascii="Palatino Linotype" w:hAnsi="Palatino Linotype" w:cs="Arial"/>
          <w:color w:val="222222"/>
          <w:sz w:val="24"/>
          <w:szCs w:val="24"/>
          <w:lang w:val="es-ES_tradnl" w:eastAsia="es-MX"/>
        </w:rPr>
        <w:t xml:space="preserve">Titular de la Unidad de Transparencia del </w:t>
      </w:r>
      <w:r w:rsidRPr="002341AF">
        <w:rPr>
          <w:rFonts w:ascii="Palatino Linotype" w:hAnsi="Palatino Linotype" w:cs="Arial"/>
          <w:b/>
          <w:bCs/>
          <w:color w:val="222222"/>
          <w:sz w:val="24"/>
          <w:szCs w:val="24"/>
          <w:lang w:val="es-ES_tradnl" w:eastAsia="es-MX"/>
        </w:rPr>
        <w:t>SUJETO OBLIGADO</w:t>
      </w:r>
      <w:r w:rsidRPr="002341AF">
        <w:rPr>
          <w:rFonts w:ascii="Palatino Linotype" w:hAnsi="Palatino Linotype" w:cs="Arial"/>
          <w:color w:val="222222"/>
          <w:sz w:val="24"/>
          <w:szCs w:val="24"/>
          <w:lang w:val="es-ES_tradnl" w:eastAsia="es-MX"/>
        </w:rPr>
        <w:t xml:space="preserve">, para que conforme al artículo 186, último párrafo, 189, segundo párrafo y 194 de la Ley de Transparencia y Acceso a la Información Pública del Estado de México y Municipios, dé cumplimiento a lo </w:t>
      </w:r>
      <w:r w:rsidRPr="002341AF">
        <w:rPr>
          <w:rFonts w:ascii="Palatino Linotype" w:hAnsi="Palatino Linotype" w:cs="Arial"/>
          <w:b/>
          <w:color w:val="222222"/>
          <w:sz w:val="24"/>
          <w:szCs w:val="24"/>
          <w:lang w:val="es-ES_tradnl" w:eastAsia="es-MX"/>
        </w:rPr>
        <w:t>ordenado dentro del plazo de diez días hábiles,</w:t>
      </w:r>
      <w:r w:rsidRPr="002341AF">
        <w:rPr>
          <w:rFonts w:ascii="Palatino Linotype" w:hAnsi="Palatino Linotype" w:cs="Arial"/>
          <w:color w:val="222222"/>
          <w:sz w:val="24"/>
          <w:szCs w:val="24"/>
          <w:lang w:val="es-ES_tradnl"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y el título noveno, capítulo primero de la referida Ley de Transparencia</w:t>
      </w:r>
      <w:r w:rsidRPr="002341AF">
        <w:rPr>
          <w:rFonts w:ascii="Palatino Linotype" w:eastAsia="MS Mincho" w:hAnsi="Palatino Linotype"/>
          <w:color w:val="000000"/>
          <w:sz w:val="24"/>
          <w:szCs w:val="24"/>
        </w:rPr>
        <w:t>.</w:t>
      </w:r>
    </w:p>
    <w:p w14:paraId="3DBFFDC6" w14:textId="77777777" w:rsidR="003F3997" w:rsidRPr="002341AF" w:rsidRDefault="003F3997" w:rsidP="003F3997">
      <w:pPr>
        <w:spacing w:line="360" w:lineRule="auto"/>
        <w:jc w:val="both"/>
        <w:rPr>
          <w:rFonts w:ascii="Palatino Linotype" w:eastAsia="MS Mincho" w:hAnsi="Palatino Linotype"/>
          <w:color w:val="000000"/>
          <w:sz w:val="24"/>
          <w:szCs w:val="24"/>
        </w:rPr>
      </w:pPr>
    </w:p>
    <w:p w14:paraId="09776CF9" w14:textId="77777777" w:rsidR="003F3997" w:rsidRPr="002341AF" w:rsidRDefault="003F3997" w:rsidP="003F3997">
      <w:pPr>
        <w:spacing w:line="360" w:lineRule="auto"/>
        <w:jc w:val="both"/>
        <w:rPr>
          <w:rFonts w:ascii="Palatino Linotype" w:eastAsia="MS Mincho" w:hAnsi="Palatino Linotype"/>
          <w:color w:val="000000"/>
          <w:sz w:val="24"/>
          <w:szCs w:val="24"/>
        </w:rPr>
      </w:pPr>
      <w:r w:rsidRPr="002341AF">
        <w:rPr>
          <w:rFonts w:ascii="Palatino Linotype" w:eastAsia="MS Mincho" w:hAnsi="Palatino Linotype"/>
          <w:b/>
          <w:bCs/>
          <w:color w:val="000000"/>
          <w:sz w:val="24"/>
          <w:szCs w:val="24"/>
        </w:rPr>
        <w:t>CUARTO.</w:t>
      </w:r>
      <w:r w:rsidRPr="002341AF">
        <w:rPr>
          <w:rFonts w:ascii="Palatino Linotype" w:eastAsia="MS Mincho" w:hAnsi="Palatino Linotype"/>
          <w:color w:val="000000"/>
          <w:sz w:val="24"/>
          <w:szCs w:val="24"/>
        </w:rPr>
        <w:t xml:space="preserve"> De </w:t>
      </w:r>
      <w:r w:rsidRPr="002341AF">
        <w:rPr>
          <w:rFonts w:ascii="Palatino Linotype" w:eastAsia="MS Mincho" w:hAnsi="Palatino Linotype"/>
          <w:bCs/>
          <w:color w:val="000000"/>
          <w:sz w:val="24"/>
          <w:szCs w:val="24"/>
        </w:rPr>
        <w:t xml:space="preserve">conformidad con el artículo 198 de la Ley de Transparencia y Acceso a la Información Pública del Estado de México y Municipios, de considerarlo procedente, el </w:t>
      </w:r>
      <w:r w:rsidRPr="002341AF">
        <w:rPr>
          <w:rFonts w:ascii="Palatino Linotype" w:eastAsia="MS Mincho" w:hAnsi="Palatino Linotype"/>
          <w:b/>
          <w:color w:val="000000"/>
          <w:sz w:val="24"/>
          <w:szCs w:val="24"/>
        </w:rPr>
        <w:t>SUJETO OBLIGADO,</w:t>
      </w:r>
      <w:r w:rsidRPr="002341AF">
        <w:rPr>
          <w:rFonts w:ascii="Palatino Linotype" w:eastAsia="MS Mincho" w:hAnsi="Palatino Linotype"/>
          <w:bCs/>
          <w:color w:val="000000"/>
          <w:sz w:val="24"/>
          <w:szCs w:val="24"/>
        </w:rPr>
        <w:t xml:space="preserve"> de manera fundada y motivada, podrá solicitar una ampliación de plazo para el cumplimiento de la presente resolución.</w:t>
      </w:r>
    </w:p>
    <w:p w14:paraId="459C5058" w14:textId="77777777" w:rsidR="003F3997" w:rsidRPr="002341AF" w:rsidRDefault="003F3997" w:rsidP="003F3997">
      <w:pPr>
        <w:spacing w:line="360" w:lineRule="auto"/>
        <w:jc w:val="both"/>
        <w:rPr>
          <w:rFonts w:ascii="Palatino Linotype" w:eastAsia="MS Mincho" w:hAnsi="Palatino Linotype"/>
          <w:color w:val="000000"/>
          <w:sz w:val="24"/>
          <w:szCs w:val="24"/>
        </w:rPr>
      </w:pPr>
    </w:p>
    <w:p w14:paraId="18C3092D" w14:textId="77777777" w:rsidR="003F3997" w:rsidRPr="002341AF" w:rsidRDefault="003F3997" w:rsidP="003F3997">
      <w:pPr>
        <w:spacing w:line="360" w:lineRule="auto"/>
        <w:jc w:val="both"/>
        <w:rPr>
          <w:rFonts w:ascii="Palatino Linotype" w:eastAsia="MS Mincho" w:hAnsi="Palatino Linotype"/>
          <w:color w:val="000000"/>
          <w:sz w:val="24"/>
          <w:szCs w:val="24"/>
        </w:rPr>
      </w:pPr>
      <w:r w:rsidRPr="002341AF">
        <w:rPr>
          <w:rFonts w:ascii="Palatino Linotype" w:eastAsia="MS Mincho" w:hAnsi="Palatino Linotype"/>
          <w:b/>
          <w:color w:val="000000"/>
          <w:sz w:val="24"/>
          <w:szCs w:val="24"/>
        </w:rPr>
        <w:t xml:space="preserve">QUINTO. </w:t>
      </w:r>
      <w:r w:rsidRPr="002341AF">
        <w:rPr>
          <w:rFonts w:ascii="Palatino Linotype" w:eastAsia="MS Mincho" w:hAnsi="Palatino Linotype"/>
          <w:color w:val="000000"/>
          <w:sz w:val="24"/>
          <w:szCs w:val="24"/>
        </w:rPr>
        <w:t xml:space="preserve">Notifíquese al </w:t>
      </w:r>
      <w:r w:rsidRPr="002341AF">
        <w:rPr>
          <w:rFonts w:ascii="Palatino Linotype" w:eastAsia="MS Mincho" w:hAnsi="Palatino Linotype"/>
          <w:b/>
          <w:bCs/>
          <w:color w:val="000000"/>
          <w:sz w:val="24"/>
          <w:szCs w:val="24"/>
        </w:rPr>
        <w:t>RECURRENTE</w:t>
      </w:r>
      <w:r w:rsidRPr="002341AF">
        <w:rPr>
          <w:rFonts w:ascii="Palatino Linotype" w:eastAsia="MS Mincho" w:hAnsi="Palatino Linotype"/>
          <w:color w:val="000000"/>
          <w:sz w:val="24"/>
          <w:szCs w:val="24"/>
        </w:rPr>
        <w:t xml:space="preserve"> la presente resolución vía Sistema de Acceso a la Información Mexiquense </w:t>
      </w:r>
      <w:r w:rsidRPr="002341AF">
        <w:rPr>
          <w:rFonts w:ascii="Palatino Linotype" w:eastAsia="MS Mincho" w:hAnsi="Palatino Linotype"/>
          <w:b/>
          <w:bCs/>
          <w:color w:val="000000"/>
          <w:sz w:val="24"/>
          <w:szCs w:val="24"/>
        </w:rPr>
        <w:t>(SAIMEX).</w:t>
      </w:r>
    </w:p>
    <w:p w14:paraId="0D43C896" w14:textId="77777777" w:rsidR="003F3997" w:rsidRPr="002341AF" w:rsidRDefault="003F3997" w:rsidP="003F3997">
      <w:pPr>
        <w:spacing w:line="360" w:lineRule="auto"/>
        <w:jc w:val="both"/>
        <w:rPr>
          <w:rFonts w:ascii="Palatino Linotype" w:hAnsi="Palatino Linotype"/>
          <w:b/>
          <w:sz w:val="24"/>
          <w:szCs w:val="24"/>
        </w:rPr>
      </w:pPr>
    </w:p>
    <w:p w14:paraId="6E72BF23" w14:textId="74A6DDD2" w:rsidR="00C91637" w:rsidRPr="002341AF" w:rsidRDefault="003F3997" w:rsidP="001C44CD">
      <w:pPr>
        <w:spacing w:line="360" w:lineRule="auto"/>
        <w:jc w:val="both"/>
        <w:rPr>
          <w:rFonts w:ascii="Palatino Linotype" w:eastAsia="MS Mincho" w:hAnsi="Palatino Linotype"/>
          <w:color w:val="000000"/>
          <w:sz w:val="24"/>
          <w:szCs w:val="24"/>
        </w:rPr>
      </w:pPr>
      <w:r w:rsidRPr="002341AF">
        <w:rPr>
          <w:rFonts w:ascii="Palatino Linotype" w:eastAsia="MS Mincho" w:hAnsi="Palatino Linotype"/>
          <w:b/>
          <w:sz w:val="24"/>
          <w:szCs w:val="24"/>
        </w:rPr>
        <w:lastRenderedPageBreak/>
        <w:t>SEXTO</w:t>
      </w:r>
      <w:r w:rsidRPr="002341AF">
        <w:rPr>
          <w:rFonts w:ascii="Palatino Linotype" w:eastAsia="MS Mincho" w:hAnsi="Palatino Linotype"/>
          <w:b/>
          <w:color w:val="000000"/>
          <w:sz w:val="24"/>
          <w:szCs w:val="24"/>
        </w:rPr>
        <w:t xml:space="preserve">. </w:t>
      </w:r>
      <w:r w:rsidRPr="002341AF">
        <w:rPr>
          <w:rFonts w:ascii="Palatino Linotype" w:eastAsia="MS Mincho" w:hAnsi="Palatino Linotype"/>
          <w:color w:val="000000"/>
          <w:sz w:val="24"/>
          <w:szCs w:val="24"/>
        </w:rPr>
        <w:t xml:space="preserve">Se </w:t>
      </w:r>
      <w:bookmarkEnd w:id="18"/>
      <w:r w:rsidRPr="002341AF">
        <w:rPr>
          <w:rFonts w:ascii="Palatino Linotype" w:eastAsia="MS Mincho" w:hAnsi="Palatino Linotype"/>
          <w:color w:val="000000" w:themeColor="text1"/>
          <w:sz w:val="24"/>
          <w:szCs w:val="24"/>
        </w:rPr>
        <w:t>hace del conocimiento del</w:t>
      </w:r>
      <w:r w:rsidRPr="002341AF">
        <w:rPr>
          <w:rFonts w:ascii="Palatino Linotype" w:eastAsia="MS Mincho" w:hAnsi="Palatino Linotype"/>
          <w:b/>
          <w:color w:val="000000" w:themeColor="text1"/>
          <w:sz w:val="24"/>
          <w:szCs w:val="24"/>
        </w:rPr>
        <w:t xml:space="preserve"> RECURRENTE </w:t>
      </w:r>
      <w:r w:rsidRPr="002341AF">
        <w:rPr>
          <w:rFonts w:ascii="Palatino Linotype" w:eastAsia="MS Mincho" w:hAnsi="Palatino Linotype"/>
          <w:color w:val="000000" w:themeColor="text1"/>
          <w:sz w:val="24"/>
          <w:szCs w:val="24"/>
        </w:rPr>
        <w:t xml:space="preserve">que, </w:t>
      </w:r>
      <w:r w:rsidRPr="002341AF">
        <w:rPr>
          <w:rFonts w:ascii="Palatino Linotype" w:eastAsia="MS Mincho" w:hAnsi="Palatino Linotype"/>
          <w:color w:val="000000"/>
          <w:sz w:val="24"/>
          <w:szCs w:val="24"/>
          <w:lang w:val="es-ES"/>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Pr="002341AF">
        <w:rPr>
          <w:rFonts w:ascii="Palatino Linotype" w:eastAsia="MS Mincho" w:hAnsi="Palatino Linotype"/>
          <w:bCs/>
          <w:color w:val="000000"/>
          <w:sz w:val="24"/>
          <w:szCs w:val="24"/>
          <w:lang w:val="es-ES"/>
        </w:rPr>
        <w:t>vía juicio de amparo</w:t>
      </w:r>
      <w:r w:rsidRPr="002341AF">
        <w:rPr>
          <w:rFonts w:ascii="Palatino Linotype" w:eastAsia="MS Mincho" w:hAnsi="Palatino Linotype"/>
          <w:color w:val="000000"/>
          <w:sz w:val="24"/>
          <w:szCs w:val="24"/>
          <w:lang w:val="es-ES"/>
        </w:rPr>
        <w:t xml:space="preserve"> en los términos de las leyes aplicables</w:t>
      </w:r>
      <w:r w:rsidRPr="002341AF">
        <w:rPr>
          <w:rFonts w:ascii="Palatino Linotype" w:eastAsia="MS Mincho" w:hAnsi="Palatino Linotype"/>
          <w:color w:val="000000" w:themeColor="text1"/>
          <w:sz w:val="24"/>
          <w:szCs w:val="24"/>
        </w:rPr>
        <w:t>.</w:t>
      </w:r>
    </w:p>
    <w:p w14:paraId="7430479C" w14:textId="40FB2BE7" w:rsidR="00BA2F78" w:rsidRPr="00BA2F78" w:rsidRDefault="00BA2F78" w:rsidP="00BA2F78">
      <w:pPr>
        <w:spacing w:before="240" w:after="240" w:line="360" w:lineRule="auto"/>
        <w:ind w:firstLine="1"/>
        <w:jc w:val="both"/>
        <w:rPr>
          <w:rFonts w:ascii="Palatino Linotype" w:hAnsi="Palatino Linotype"/>
          <w:smallCaps/>
        </w:rPr>
      </w:pPr>
      <w:bookmarkStart w:id="19" w:name="_Hlk129792997"/>
      <w:r w:rsidRPr="002341AF">
        <w:rPr>
          <w:rStyle w:val="Referenciasutil"/>
          <w:rFonts w:ascii="Palatino Linotype" w:hAnsi="Palatino Linotype"/>
          <w:color w:val="auto"/>
          <w:sz w:val="24"/>
        </w:rPr>
        <w:t>ASÍ LO APROBÓ POR UNANIMIDAD DE VOTOS, EL PLENO DEL INSTITUTO DE TRANSPARENCIA, ACCESO A LA INFORMACIÓN PÚBLICA Y PROTECCIÓN DE DATOS PERSONALES DEL ESTADO DE MÉXICO Y MUNICIPIOS, CONFORMADO POR LOS COMISIONADOS JOSÉ MARTÍNEZ VILCHIS; MARÍA DEL ROSARIO MEJÍA AYALA</w:t>
      </w:r>
      <w:r w:rsidR="00656491" w:rsidRPr="002341AF">
        <w:rPr>
          <w:rStyle w:val="Referenciasutil"/>
          <w:rFonts w:ascii="Palatino Linotype" w:hAnsi="Palatino Linotype"/>
          <w:color w:val="auto"/>
          <w:sz w:val="24"/>
        </w:rPr>
        <w:t>, EMITIENDO VOTO PARTICULAR</w:t>
      </w:r>
      <w:r w:rsidRPr="002341AF">
        <w:rPr>
          <w:rStyle w:val="Referenciasutil"/>
          <w:rFonts w:ascii="Palatino Linotype" w:hAnsi="Palatino Linotype"/>
          <w:color w:val="auto"/>
          <w:sz w:val="24"/>
        </w:rPr>
        <w:t>; SHARON CRISTINA MORALES MARTÍNEZ; LUIS GUSTAVO PARRA NORIEGA</w:t>
      </w:r>
      <w:r w:rsidR="00656491" w:rsidRPr="002341AF">
        <w:rPr>
          <w:rStyle w:val="Referenciasutil"/>
          <w:rFonts w:ascii="Palatino Linotype" w:hAnsi="Palatino Linotype"/>
          <w:color w:val="auto"/>
          <w:sz w:val="24"/>
        </w:rPr>
        <w:t>, EMITIENDO VOTO PARTICULAR</w:t>
      </w:r>
      <w:r w:rsidRPr="002341AF">
        <w:rPr>
          <w:rStyle w:val="Referenciasutil"/>
          <w:rFonts w:ascii="Palatino Linotype" w:hAnsi="Palatino Linotype"/>
          <w:color w:val="auto"/>
          <w:sz w:val="24"/>
        </w:rPr>
        <w:t xml:space="preserve"> Y GUADALUPE RAMÍREZ PEÑA; EN LA VIGÉSIMA QUINTA SESIÓN ORDINARIA CELEBRADA EL </w:t>
      </w:r>
      <w:r w:rsidRPr="002341AF">
        <w:rPr>
          <w:rStyle w:val="Referenciasutil"/>
          <w:rFonts w:ascii="Palatino Linotype" w:hAnsi="Palatino Linotype"/>
          <w:color w:val="auto"/>
          <w:sz w:val="24"/>
          <w:szCs w:val="24"/>
        </w:rPr>
        <w:t>CINCO (05)</w:t>
      </w:r>
      <w:r w:rsidRPr="002341AF">
        <w:rPr>
          <w:rStyle w:val="Referenciasutil"/>
          <w:rFonts w:ascii="Palatino Linotype" w:hAnsi="Palatino Linotype"/>
          <w:color w:val="auto"/>
          <w:sz w:val="24"/>
        </w:rPr>
        <w:t xml:space="preserve"> DE JULIO DE DOS MIL VEINTITRÉS, ANTE EL SECRETARIO TÉCNICO DEL PLENO ALEXIS TAPIA RAMÍREZ.</w:t>
      </w:r>
      <w:bookmarkStart w:id="20" w:name="_GoBack"/>
      <w:bookmarkEnd w:id="20"/>
      <w:r w:rsidRPr="00BA2F78">
        <w:rPr>
          <w:rStyle w:val="Referenciasutil"/>
          <w:rFonts w:ascii="Palatino Linotype" w:hAnsi="Palatino Linotype"/>
          <w:color w:val="auto"/>
          <w:sz w:val="24"/>
        </w:rPr>
        <w:t xml:space="preserve"> </w:t>
      </w:r>
      <w:bookmarkEnd w:id="19"/>
    </w:p>
    <w:p w14:paraId="6D10D57F" w14:textId="77777777" w:rsidR="005000AA" w:rsidRPr="00030C87" w:rsidRDefault="005000AA" w:rsidP="005000AA">
      <w:pPr>
        <w:spacing w:before="240" w:after="360" w:line="360" w:lineRule="auto"/>
        <w:jc w:val="both"/>
        <w:rPr>
          <w:rFonts w:ascii="Palatino Linotype" w:hAnsi="Palatino Linotype"/>
          <w:color w:val="222222"/>
          <w:sz w:val="24"/>
          <w:szCs w:val="24"/>
          <w:lang w:val="es-ES" w:eastAsia="es-MX"/>
        </w:rPr>
      </w:pPr>
    </w:p>
    <w:p w14:paraId="613D5394"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08BC2E9C"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3654C1FB"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6CA29392"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34043CA1"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2196B83E"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2E26EE81"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26988562"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sectPr w:rsidR="00DF54E4" w:rsidRPr="00030C87">
      <w:headerReference w:type="even" r:id="rId21"/>
      <w:headerReference w:type="default" r:id="rId22"/>
      <w:footerReference w:type="default" r:id="rId23"/>
      <w:headerReference w:type="first" r:id="rId24"/>
      <w:footerReference w:type="first" r:id="rId25"/>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EEA617" w14:textId="77777777" w:rsidR="00BA45DF" w:rsidRDefault="00BA45DF">
      <w:r>
        <w:separator/>
      </w:r>
    </w:p>
  </w:endnote>
  <w:endnote w:type="continuationSeparator" w:id="0">
    <w:p w14:paraId="047378AD" w14:textId="77777777" w:rsidR="00BA45DF" w:rsidRDefault="00BA4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BA2F78" w:rsidRDefault="00BA2F78">
            <w:pPr>
              <w:pStyle w:val="Piedepgina"/>
              <w:jc w:val="right"/>
            </w:pPr>
          </w:p>
          <w:p w14:paraId="1F7A191C" w14:textId="2A69F491" w:rsidR="00BA2F78" w:rsidRDefault="00BA2F7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341AF">
              <w:rPr>
                <w:b/>
                <w:bCs/>
                <w:noProof/>
              </w:rPr>
              <w:t>69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341AF">
              <w:rPr>
                <w:b/>
                <w:bCs/>
                <w:noProof/>
              </w:rPr>
              <w:t>88</w:t>
            </w:r>
            <w:r>
              <w:rPr>
                <w:b/>
                <w:bCs/>
                <w:sz w:val="24"/>
                <w:szCs w:val="24"/>
              </w:rPr>
              <w:fldChar w:fldCharType="end"/>
            </w:r>
          </w:p>
        </w:sdtContent>
      </w:sdt>
    </w:sdtContent>
  </w:sdt>
  <w:p w14:paraId="2A221972" w14:textId="77777777" w:rsidR="00BA2F78" w:rsidRDefault="00BA2F78">
    <w:pPr>
      <w:pStyle w:val="Piedepgina"/>
    </w:pPr>
  </w:p>
  <w:p w14:paraId="1D6FF208" w14:textId="77777777" w:rsidR="00BA2F78" w:rsidRDefault="00BA2F78"/>
  <w:p w14:paraId="70055CD7" w14:textId="77777777" w:rsidR="00BA2F78" w:rsidRDefault="00BA2F78"/>
  <w:p w14:paraId="5452645F" w14:textId="77777777" w:rsidR="00BA2F78" w:rsidRDefault="00BA2F7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598BCC50" w:rsidR="00BA2F78" w:rsidRDefault="00BA2F7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341A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341AF">
              <w:rPr>
                <w:b/>
                <w:bCs/>
                <w:noProof/>
              </w:rPr>
              <w:t>88</w:t>
            </w:r>
            <w:r>
              <w:rPr>
                <w:b/>
                <w:bCs/>
                <w:sz w:val="24"/>
                <w:szCs w:val="24"/>
              </w:rPr>
              <w:fldChar w:fldCharType="end"/>
            </w:r>
          </w:p>
        </w:sdtContent>
      </w:sdt>
    </w:sdtContent>
  </w:sdt>
  <w:p w14:paraId="2D12AEB2" w14:textId="77777777" w:rsidR="00BA2F78" w:rsidRDefault="00BA2F78">
    <w:pPr>
      <w:pStyle w:val="Piedepgina"/>
    </w:pPr>
  </w:p>
  <w:p w14:paraId="54227169" w14:textId="77777777" w:rsidR="00BA2F78" w:rsidRDefault="00BA2F78"/>
  <w:p w14:paraId="7DE40FB1" w14:textId="77777777" w:rsidR="00BA2F78" w:rsidRDefault="00BA2F78"/>
  <w:p w14:paraId="33755E87" w14:textId="77777777" w:rsidR="00BA2F78" w:rsidRDefault="00BA2F7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634E6C" w14:textId="77777777" w:rsidR="00BA45DF" w:rsidRDefault="00BA45DF">
      <w:r>
        <w:separator/>
      </w:r>
    </w:p>
  </w:footnote>
  <w:footnote w:type="continuationSeparator" w:id="0">
    <w:p w14:paraId="55C7DED4" w14:textId="77777777" w:rsidR="00BA45DF" w:rsidRDefault="00BA45DF">
      <w:r>
        <w:continuationSeparator/>
      </w:r>
    </w:p>
  </w:footnote>
  <w:footnote w:id="1">
    <w:p w14:paraId="7D872842" w14:textId="77777777" w:rsidR="00BA2F78" w:rsidRPr="00F75272" w:rsidRDefault="00BA2F78" w:rsidP="00043374">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03087310" w14:textId="77777777" w:rsidR="00BA2F78" w:rsidRDefault="00BA2F78" w:rsidP="00951FBB">
      <w:pPr>
        <w:pStyle w:val="Textonotapie"/>
        <w:jc w:val="both"/>
        <w:rPr>
          <w:lang w:val="es-ES"/>
        </w:rPr>
      </w:pPr>
      <w:r>
        <w:rPr>
          <w:rStyle w:val="Refdenotaalpie"/>
        </w:rPr>
        <w:footnoteRef/>
      </w:r>
      <w:r w:rsidRPr="00BE6EA7">
        <w:rPr>
          <w:lang w:val="es-ES"/>
        </w:rPr>
        <w:t>Artículo 179. El recurso de revisión es un medio de protección que la Ley otorga a los particulares, para hacer valer su derecho de acceso a la información pública, y procederá en contra de las siguientes causas:</w:t>
      </w:r>
    </w:p>
    <w:p w14:paraId="7632EA40" w14:textId="77777777" w:rsidR="00BA2F78" w:rsidRDefault="00BA2F78" w:rsidP="00951FBB">
      <w:pPr>
        <w:pStyle w:val="Textonotapie"/>
        <w:jc w:val="both"/>
        <w:rPr>
          <w:lang w:val="es-ES"/>
        </w:rPr>
      </w:pPr>
      <w:r>
        <w:rPr>
          <w:lang w:val="es-ES"/>
        </w:rPr>
        <w:t>(…)</w:t>
      </w:r>
    </w:p>
    <w:p w14:paraId="1A51975C" w14:textId="77777777" w:rsidR="00BA2F78" w:rsidRDefault="00BA2F78" w:rsidP="00951FBB">
      <w:pPr>
        <w:pStyle w:val="Textonotapie"/>
        <w:jc w:val="both"/>
      </w:pPr>
      <w:r w:rsidRPr="00450E50">
        <w:rPr>
          <w:lang w:val="es-ES"/>
        </w:rPr>
        <w:t>VI. La entrega de información que no corresponda con lo solicitado;</w:t>
      </w:r>
    </w:p>
    <w:p w14:paraId="47286370" w14:textId="77777777" w:rsidR="00BA2F78" w:rsidRDefault="00BA2F78" w:rsidP="00951FBB">
      <w:pPr>
        <w:pStyle w:val="Textonotapie"/>
        <w:jc w:val="both"/>
        <w:rPr>
          <w:lang w:val="es-ES"/>
        </w:rPr>
      </w:pPr>
      <w:r>
        <w:rPr>
          <w:lang w:val="es-ES"/>
        </w:rPr>
        <w:t xml:space="preserve"> (…)</w:t>
      </w:r>
    </w:p>
    <w:p w14:paraId="737B904F" w14:textId="77777777" w:rsidR="00BA2F78" w:rsidRDefault="00BA2F78" w:rsidP="00951FBB">
      <w:pPr>
        <w:pStyle w:val="Textonotapie"/>
        <w:jc w:val="both"/>
        <w:rPr>
          <w:lang w:val="es-ES"/>
        </w:rPr>
      </w:pPr>
      <w:r w:rsidRPr="00450E50">
        <w:rPr>
          <w:lang w:val="es-ES"/>
        </w:rPr>
        <w:t>XIII. La falta, deficiencia o insuficiencia de la fundamentación y/o motivación en la respuesta; y</w:t>
      </w:r>
    </w:p>
    <w:p w14:paraId="665C119F" w14:textId="77777777" w:rsidR="00BA2F78" w:rsidRPr="00BE6EA7" w:rsidRDefault="00BA2F78" w:rsidP="00951FBB">
      <w:pPr>
        <w:pStyle w:val="Textonotapie"/>
        <w:jc w:val="both"/>
        <w:rPr>
          <w:lang w:val="es-ES"/>
        </w:rPr>
      </w:pPr>
      <w:r>
        <w:rPr>
          <w:lang w:val="es-ES"/>
        </w:rPr>
        <w:t>(…)</w:t>
      </w:r>
    </w:p>
  </w:footnote>
  <w:footnote w:id="3">
    <w:p w14:paraId="596274C3" w14:textId="77777777" w:rsidR="00BA2F78" w:rsidRPr="009C43C2" w:rsidRDefault="00BA2F78" w:rsidP="005B056B">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4">
    <w:p w14:paraId="31263E79" w14:textId="77777777" w:rsidR="00BA2F78" w:rsidRPr="009C43C2" w:rsidRDefault="00BA2F78" w:rsidP="005B056B">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5">
    <w:p w14:paraId="2337756F" w14:textId="77777777" w:rsidR="00BA2F78" w:rsidRPr="009C43C2" w:rsidRDefault="00BA2F78" w:rsidP="005B056B">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6">
    <w:p w14:paraId="21A0F61F" w14:textId="77777777" w:rsidR="00BA2F78" w:rsidRDefault="00BA2F78" w:rsidP="005B056B">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7">
    <w:p w14:paraId="3E8E9601" w14:textId="77777777" w:rsidR="00BA2F78" w:rsidRDefault="00BA2F78" w:rsidP="00D41818">
      <w:pPr>
        <w:pStyle w:val="Textonotapie"/>
      </w:pPr>
      <w:r>
        <w:rPr>
          <w:rStyle w:val="Refdenotaalpie"/>
        </w:rPr>
        <w:footnoteRef/>
      </w:r>
      <w:r>
        <w:t xml:space="preserve"> Artículo 95 de la Ley de Responsabilidades Administrativas del Estado de México y Municipios.</w:t>
      </w:r>
    </w:p>
  </w:footnote>
  <w:footnote w:id="8">
    <w:p w14:paraId="7F1D76A2" w14:textId="77777777" w:rsidR="00BA2F78" w:rsidRDefault="00BA2F78" w:rsidP="00D41818">
      <w:pPr>
        <w:pStyle w:val="Textonotapie"/>
      </w:pPr>
      <w:r>
        <w:rPr>
          <w:rStyle w:val="Refdenotaalpie"/>
        </w:rPr>
        <w:footnoteRef/>
      </w:r>
      <w:r>
        <w:t xml:space="preserve"> Artículo 94, Ley de Responsabilidades Administrativas del Estado de México y Municipios.</w:t>
      </w:r>
    </w:p>
  </w:footnote>
  <w:footnote w:id="9">
    <w:p w14:paraId="285D0FA0" w14:textId="77777777" w:rsidR="00BA2F78" w:rsidRDefault="00BA2F78" w:rsidP="00D41818">
      <w:pPr>
        <w:pStyle w:val="Textonotapie"/>
      </w:pPr>
      <w:r>
        <w:rPr>
          <w:rStyle w:val="Refdenotaalpie"/>
        </w:rPr>
        <w:footnoteRef/>
      </w:r>
      <w:r>
        <w:t xml:space="preserve"> Artículo 96, Ley de Responsabilidades Administrativas del Estado de México y Municipios.</w:t>
      </w:r>
    </w:p>
  </w:footnote>
  <w:footnote w:id="10">
    <w:p w14:paraId="152D40D3" w14:textId="77777777" w:rsidR="00BA2F78" w:rsidRDefault="00BA2F78" w:rsidP="00D41818">
      <w:pPr>
        <w:pStyle w:val="Textonotapie"/>
      </w:pPr>
      <w:r>
        <w:rPr>
          <w:rStyle w:val="Refdenotaalpie"/>
        </w:rPr>
        <w:footnoteRef/>
      </w:r>
      <w:r>
        <w:t xml:space="preserve"> Artículos 99, Ídem.</w:t>
      </w:r>
    </w:p>
  </w:footnote>
  <w:footnote w:id="11">
    <w:p w14:paraId="041C8E03" w14:textId="77777777" w:rsidR="00BA2F78" w:rsidRDefault="00BA2F78" w:rsidP="00D41818">
      <w:pPr>
        <w:pStyle w:val="Textonotapie"/>
      </w:pPr>
      <w:r>
        <w:rPr>
          <w:rStyle w:val="Refdenotaalpie"/>
        </w:rPr>
        <w:footnoteRef/>
      </w:r>
      <w:r>
        <w:t xml:space="preserve"> Artículo 101, Ídem.</w:t>
      </w:r>
    </w:p>
  </w:footnote>
  <w:footnote w:id="12">
    <w:p w14:paraId="5680B4C6" w14:textId="77777777" w:rsidR="00BA2F78" w:rsidRDefault="00BA2F78" w:rsidP="00D41818">
      <w:pPr>
        <w:pStyle w:val="Textonotapie"/>
      </w:pPr>
      <w:r>
        <w:rPr>
          <w:rStyle w:val="Refdenotaalpie"/>
        </w:rPr>
        <w:footnoteRef/>
      </w:r>
      <w:r>
        <w:t xml:space="preserve"> Artículo 104 de la Ley de Responsabilidades Administrativas.</w:t>
      </w:r>
    </w:p>
  </w:footnote>
  <w:footnote w:id="13">
    <w:p w14:paraId="22A3E5CD" w14:textId="77777777" w:rsidR="00BA2F78" w:rsidRDefault="00BA2F78" w:rsidP="00D41818">
      <w:pPr>
        <w:pStyle w:val="Textonotapie"/>
      </w:pPr>
      <w:r>
        <w:rPr>
          <w:rStyle w:val="Refdenotaalpie"/>
        </w:rPr>
        <w:footnoteRef/>
      </w:r>
      <w:r>
        <w:t xml:space="preserve"> Ídem.</w:t>
      </w:r>
    </w:p>
  </w:footnote>
  <w:footnote w:id="14">
    <w:p w14:paraId="04B3A319" w14:textId="77777777" w:rsidR="00BA2F78" w:rsidRDefault="00BA2F78" w:rsidP="00D41818">
      <w:pPr>
        <w:pStyle w:val="Textonotapie"/>
      </w:pPr>
      <w:r>
        <w:rPr>
          <w:rStyle w:val="Refdenotaalpie"/>
        </w:rPr>
        <w:footnoteRef/>
      </w:r>
      <w:r>
        <w:t xml:space="preserve"> Ídem.</w:t>
      </w:r>
    </w:p>
  </w:footnote>
  <w:footnote w:id="15">
    <w:p w14:paraId="7A849D57" w14:textId="77777777" w:rsidR="00BA2F78" w:rsidRDefault="00BA2F78" w:rsidP="00D41818">
      <w:pPr>
        <w:pStyle w:val="Textonotapie"/>
      </w:pPr>
      <w:r>
        <w:rPr>
          <w:rStyle w:val="Refdenotaalpie"/>
        </w:rPr>
        <w:footnoteRef/>
      </w:r>
      <w:r>
        <w:t xml:space="preserve"> Artículo 116 de la Ley de Responsabilidades Administrativas.</w:t>
      </w:r>
    </w:p>
  </w:footnote>
  <w:footnote w:id="16">
    <w:p w14:paraId="4C9519B3" w14:textId="77777777" w:rsidR="00BA2F78" w:rsidRDefault="00BA2F78" w:rsidP="00D41818">
      <w:pPr>
        <w:pStyle w:val="Textonotapie"/>
      </w:pPr>
      <w:r>
        <w:rPr>
          <w:rStyle w:val="Refdenotaalpie"/>
        </w:rPr>
        <w:footnoteRef/>
      </w:r>
      <w:r>
        <w:t xml:space="preserve"> </w:t>
      </w:r>
      <w:proofErr w:type="spellStart"/>
      <w:r>
        <w:t>Articulo</w:t>
      </w:r>
      <w:proofErr w:type="spellEnd"/>
      <w:r>
        <w:t xml:space="preserve"> 119, Ley de Responsabilidades Administrativas del Estado de México y Municipios.</w:t>
      </w:r>
    </w:p>
  </w:footnote>
  <w:footnote w:id="17">
    <w:p w14:paraId="0F07D50D" w14:textId="77777777" w:rsidR="00BA2F78" w:rsidRDefault="00BA2F78" w:rsidP="00D41818">
      <w:pPr>
        <w:pStyle w:val="Textonotapie"/>
      </w:pPr>
      <w:r>
        <w:rPr>
          <w:rStyle w:val="Refdenotaalpie"/>
        </w:rPr>
        <w:footnoteRef/>
      </w:r>
      <w:r>
        <w:t xml:space="preserve"> </w:t>
      </w:r>
      <w:r>
        <w:rPr>
          <w:b/>
          <w:bCs/>
        </w:rPr>
        <w:t>Artículo 140.-</w:t>
      </w:r>
      <w:r>
        <w:t xml:space="preserve"> Para los efectos de esta Ley, se considera información reservada, la clasificada como tal, de manera temporal, mediante acuerdo fundado y motivado, por los sujetos obligados cuando:</w:t>
      </w:r>
    </w:p>
    <w:p w14:paraId="3A851237" w14:textId="77777777" w:rsidR="00BA2F78" w:rsidRDefault="00BA2F78" w:rsidP="00D41818">
      <w:pPr>
        <w:pStyle w:val="Textonotapie"/>
      </w:pPr>
      <w:r>
        <w:t>(…)</w:t>
      </w:r>
    </w:p>
    <w:p w14:paraId="1E188E31" w14:textId="77777777" w:rsidR="00BA2F78" w:rsidRDefault="00BA2F78" w:rsidP="00D41818">
      <w:pPr>
        <w:pStyle w:val="Textonotapie"/>
      </w:pPr>
      <w:r w:rsidRPr="003078D9">
        <w:rPr>
          <w:b/>
          <w:bCs/>
        </w:rPr>
        <w:t>IV.</w:t>
      </w:r>
      <w:r>
        <w:t xml:space="preserve"> Ponga en riesgo la vida, la seguridad o la salud de cualquier persona, o cause perjuicio a las actividades de fiscalización, verificación, inspección y comprobación del cumplimiento de las Leyes, de prevención del delito, procuración y administración de justicia, de readaptación social y de la recaudación de contribuciones;</w:t>
      </w:r>
    </w:p>
    <w:p w14:paraId="2F13A8D8" w14:textId="77777777" w:rsidR="00BA2F78" w:rsidRDefault="00BA2F78" w:rsidP="00D41818">
      <w:pPr>
        <w:pStyle w:val="Textonotapie"/>
      </w:pPr>
      <w:r>
        <w:t>(…)</w:t>
      </w:r>
    </w:p>
    <w:p w14:paraId="20414568" w14:textId="77777777" w:rsidR="00BA2F78" w:rsidRPr="003078D9" w:rsidRDefault="00BA2F78" w:rsidP="00D41818">
      <w:pPr>
        <w:pStyle w:val="Textonotapie"/>
      </w:pPr>
      <w:r w:rsidRPr="003078D9">
        <w:rPr>
          <w:b/>
          <w:bCs/>
        </w:rPr>
        <w:t>VII.</w:t>
      </w:r>
      <w:r w:rsidRPr="003078D9">
        <w:t xml:space="preserve"> El daño que pueda producirse con la publicación de la información sea mayor que el interés público de conocer la información de referencia</w:t>
      </w:r>
      <w:r>
        <w: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BA2F78" w:rsidRDefault="00BA45DF">
    <w:pPr>
      <w:pStyle w:val="Encabezado"/>
    </w:pPr>
    <w:r>
      <w:rPr>
        <w:noProof/>
        <w:lang w:eastAsia="es-MX"/>
      </w:rPr>
      <w:pict w14:anchorId="451DD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1" type="#_x0000_t75" alt="" style="position:absolute;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aguaINFOEM"/>
          <w10:wrap anchorx="margin" anchory="margin"/>
        </v:shape>
      </w:pict>
    </w:r>
  </w:p>
  <w:p w14:paraId="133C4830" w14:textId="77777777" w:rsidR="00BA2F78" w:rsidRDefault="00BA2F78"/>
  <w:p w14:paraId="77B719CE" w14:textId="77777777" w:rsidR="00BA2F78" w:rsidRDefault="00BA2F78"/>
  <w:p w14:paraId="50A3AAAA" w14:textId="77777777" w:rsidR="00BA2F78" w:rsidRDefault="00BA2F7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BA2F78" w14:paraId="6255E3A4" w14:textId="77777777" w:rsidTr="00814079">
      <w:trPr>
        <w:trHeight w:val="1435"/>
      </w:trPr>
      <w:tc>
        <w:tcPr>
          <w:tcW w:w="1843" w:type="dxa"/>
          <w:shd w:val="clear" w:color="auto" w:fill="auto"/>
        </w:tcPr>
        <w:p w14:paraId="3E05202F" w14:textId="4A7C9DF8" w:rsidR="00BA2F78" w:rsidRDefault="00BA2F78">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BA2F78" w:rsidRDefault="00BA2F78"/>
        <w:tbl>
          <w:tblPr>
            <w:tblStyle w:val="Tablaconcuadrcula"/>
            <w:tblW w:w="5528"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2977"/>
          </w:tblGrid>
          <w:tr w:rsidR="00BA2F78" w14:paraId="727F90BF" w14:textId="77777777" w:rsidTr="007441D8">
            <w:trPr>
              <w:trHeight w:val="338"/>
            </w:trPr>
            <w:tc>
              <w:tcPr>
                <w:tcW w:w="2551" w:type="dxa"/>
              </w:tcPr>
              <w:p w14:paraId="23087CD5" w14:textId="77777777" w:rsidR="00BA2F78" w:rsidRDefault="00BA2F78">
                <w:pPr>
                  <w:tabs>
                    <w:tab w:val="right" w:pos="8838"/>
                  </w:tabs>
                  <w:ind w:right="-105"/>
                  <w:rPr>
                    <w:rFonts w:ascii="Palatino Linotype" w:eastAsia="Calibri" w:hAnsi="Palatino Linotype" w:cs="Tahoma"/>
                    <w:b/>
                    <w:sz w:val="22"/>
                    <w:szCs w:val="22"/>
                    <w:lang w:eastAsia="en-US"/>
                  </w:rPr>
                </w:pPr>
              </w:p>
              <w:p w14:paraId="410A3741" w14:textId="535C9D39" w:rsidR="00BA2F78" w:rsidRDefault="00BA2F78">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2977" w:type="dxa"/>
              </w:tcPr>
              <w:p w14:paraId="67E34D7D" w14:textId="77777777" w:rsidR="00BA2F78" w:rsidRDefault="00BA2F78" w:rsidP="00427B6E">
                <w:pPr>
                  <w:tabs>
                    <w:tab w:val="right" w:pos="8838"/>
                  </w:tabs>
                  <w:ind w:right="-105" w:hanging="101"/>
                  <w:jc w:val="both"/>
                  <w:rPr>
                    <w:rFonts w:ascii="Palatino Linotype" w:eastAsia="Calibri" w:hAnsi="Palatino Linotype" w:cs="Tahoma"/>
                    <w:bCs/>
                    <w:sz w:val="22"/>
                    <w:szCs w:val="22"/>
                    <w:lang w:eastAsia="en-US"/>
                  </w:rPr>
                </w:pPr>
              </w:p>
              <w:p w14:paraId="3FF69A05" w14:textId="6DB501BF" w:rsidR="00BA2F78" w:rsidRDefault="00BA2F78" w:rsidP="00A87524">
                <w:pPr>
                  <w:tabs>
                    <w:tab w:val="right" w:pos="8838"/>
                  </w:tabs>
                  <w:ind w:right="-105" w:hanging="101"/>
                  <w:jc w:val="both"/>
                  <w:rPr>
                    <w:rFonts w:ascii="Palatino Linotype" w:eastAsia="Calibri" w:hAnsi="Palatino Linotype" w:cs="Tahoma"/>
                    <w:bCs/>
                    <w:sz w:val="22"/>
                    <w:szCs w:val="22"/>
                    <w:lang w:eastAsia="en-US"/>
                  </w:rPr>
                </w:pPr>
                <w:r w:rsidRPr="002B2042">
                  <w:rPr>
                    <w:rFonts w:ascii="Palatino Linotype" w:eastAsia="Calibri" w:hAnsi="Palatino Linotype" w:cs="Tahoma"/>
                    <w:sz w:val="22"/>
                    <w:lang w:eastAsia="en-US"/>
                  </w:rPr>
                  <w:t>0</w:t>
                </w:r>
                <w:r>
                  <w:rPr>
                    <w:rFonts w:ascii="Palatino Linotype" w:eastAsia="Calibri" w:hAnsi="Palatino Linotype" w:cs="Tahoma"/>
                    <w:sz w:val="22"/>
                    <w:lang w:eastAsia="en-US"/>
                  </w:rPr>
                  <w:t>2838</w:t>
                </w:r>
                <w:r w:rsidRPr="002B2042">
                  <w:rPr>
                    <w:rFonts w:ascii="Palatino Linotype" w:eastAsia="Calibri" w:hAnsi="Palatino Linotype" w:cs="Tahoma"/>
                    <w:sz w:val="22"/>
                    <w:lang w:eastAsia="en-US"/>
                  </w:rPr>
                  <w:t>/INFOEM/IP/RR/202</w:t>
                </w:r>
                <w:r>
                  <w:rPr>
                    <w:rFonts w:ascii="Palatino Linotype" w:eastAsia="Calibri" w:hAnsi="Palatino Linotype" w:cs="Tahoma"/>
                    <w:sz w:val="22"/>
                    <w:lang w:eastAsia="en-US"/>
                  </w:rPr>
                  <w:t>3 y Acumulados.</w:t>
                </w:r>
              </w:p>
            </w:tc>
          </w:tr>
          <w:tr w:rsidR="00BA2F78" w14:paraId="1389436A" w14:textId="128385F2" w:rsidTr="007441D8">
            <w:trPr>
              <w:trHeight w:val="283"/>
            </w:trPr>
            <w:tc>
              <w:tcPr>
                <w:tcW w:w="2551" w:type="dxa"/>
              </w:tcPr>
              <w:p w14:paraId="22E0F4E9" w14:textId="77777777" w:rsidR="00BA2F78" w:rsidRDefault="00BA2F78">
                <w:pPr>
                  <w:tabs>
                    <w:tab w:val="right" w:pos="8838"/>
                  </w:tabs>
                  <w:ind w:right="-105"/>
                  <w:rPr>
                    <w:rFonts w:ascii="Palatino Linotype" w:eastAsia="Calibri" w:hAnsi="Palatino Linotype" w:cs="Tahoma"/>
                    <w:b/>
                    <w:sz w:val="22"/>
                    <w:szCs w:val="22"/>
                    <w:lang w:eastAsia="en-US"/>
                  </w:rPr>
                </w:pPr>
                <w:bookmarkStart w:id="21" w:name="_Hlk33010189"/>
                <w:r>
                  <w:rPr>
                    <w:rFonts w:ascii="Palatino Linotype" w:eastAsia="Calibri" w:hAnsi="Palatino Linotype" w:cs="Tahoma"/>
                    <w:b/>
                    <w:sz w:val="22"/>
                    <w:szCs w:val="22"/>
                    <w:lang w:eastAsia="en-US"/>
                  </w:rPr>
                  <w:t>Sujeto Obligado:</w:t>
                </w:r>
              </w:p>
            </w:tc>
            <w:tc>
              <w:tcPr>
                <w:tcW w:w="2977" w:type="dxa"/>
              </w:tcPr>
              <w:p w14:paraId="2B205C7F" w14:textId="41A6919F" w:rsidR="00BA2F78" w:rsidRPr="005C5A57" w:rsidRDefault="00BA2F78" w:rsidP="007451C1">
                <w:pPr>
                  <w:tabs>
                    <w:tab w:val="left" w:pos="2834"/>
                    <w:tab w:val="right" w:pos="8838"/>
                  </w:tabs>
                  <w:ind w:left="-113" w:right="-107"/>
                  <w:jc w:val="both"/>
                  <w:rPr>
                    <w:rFonts w:ascii="Palatino Linotype" w:eastAsia="Calibri" w:hAnsi="Palatino Linotype" w:cs="Tahoma"/>
                    <w:sz w:val="22"/>
                    <w:szCs w:val="22"/>
                    <w:lang w:eastAsia="en-US"/>
                  </w:rPr>
                </w:pPr>
                <w:r>
                  <w:rPr>
                    <w:rFonts w:ascii="Palatino Linotype" w:eastAsia="Calibri" w:hAnsi="Palatino Linotype" w:cs="Tahoma"/>
                    <w:bCs/>
                    <w:sz w:val="22"/>
                    <w:szCs w:val="24"/>
                    <w:lang w:eastAsia="en-US"/>
                  </w:rPr>
                  <w:t>Consejo Mexiquense de Ciencia y Tecnología</w:t>
                </w:r>
              </w:p>
            </w:tc>
          </w:tr>
          <w:bookmarkEnd w:id="21"/>
          <w:tr w:rsidR="00BA2F78" w14:paraId="28CCE4E5" w14:textId="77777777" w:rsidTr="007441D8">
            <w:trPr>
              <w:trHeight w:val="283"/>
            </w:trPr>
            <w:tc>
              <w:tcPr>
                <w:tcW w:w="2551" w:type="dxa"/>
              </w:tcPr>
              <w:p w14:paraId="13EBF3BB" w14:textId="6E4ECE4B" w:rsidR="00BA2F78" w:rsidRDefault="00BA2F78">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2977" w:type="dxa"/>
              </w:tcPr>
              <w:p w14:paraId="5DF20594" w14:textId="1A6CDEA4" w:rsidR="00BA2F78" w:rsidRDefault="00BA2F78" w:rsidP="00187E51">
                <w:pPr>
                  <w:tabs>
                    <w:tab w:val="right" w:pos="8838"/>
                  </w:tabs>
                  <w:ind w:left="-113"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María del Rosario Mejía Ayala</w:t>
                </w:r>
              </w:p>
            </w:tc>
          </w:tr>
        </w:tbl>
        <w:p w14:paraId="5775EEC5" w14:textId="77777777" w:rsidR="00BA2F78" w:rsidRDefault="00BA2F78">
          <w:pPr>
            <w:tabs>
              <w:tab w:val="right" w:pos="8838"/>
            </w:tabs>
            <w:ind w:left="-28"/>
            <w:jc w:val="both"/>
            <w:rPr>
              <w:rFonts w:ascii="Arial" w:eastAsia="Calibri" w:hAnsi="Arial" w:cs="Arial"/>
              <w:b/>
              <w:sz w:val="22"/>
              <w:szCs w:val="22"/>
              <w:lang w:eastAsia="en-US"/>
            </w:rPr>
          </w:pPr>
        </w:p>
      </w:tc>
    </w:tr>
  </w:tbl>
  <w:p w14:paraId="07EF2D29" w14:textId="1620A8B4" w:rsidR="00BA2F78" w:rsidRDefault="00BA45DF" w:rsidP="00814079">
    <w:pPr>
      <w:pStyle w:val="Encabezado"/>
      <w:rPr>
        <w:sz w:val="14"/>
      </w:rPr>
    </w:pPr>
    <w:r>
      <w:rPr>
        <w:noProof/>
        <w:sz w:val="14"/>
        <w:lang w:eastAsia="es-MX"/>
      </w:rPr>
      <w:pict w14:anchorId="216B9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0" type="#_x0000_t75" alt="" style="position:absolute;margin-left:-104.3pt;margin-top:-133.1pt;width:663.5pt;height:12in;z-index:-251656192;mso-wrap-edited:f;mso-width-percent:0;mso-height-percent:0;mso-position-horizontal-relative:margin;mso-position-vertical-relative:margin;mso-width-percent:0;mso-height-percent:0" o:allowincell="f">
          <v:imagedata r:id="rId1" o:title="marcaaguaINFOEM"/>
          <w10:wrap anchorx="margin" anchory="margin"/>
        </v:shape>
      </w:pict>
    </w:r>
  </w:p>
  <w:p w14:paraId="0AE465A1" w14:textId="77777777" w:rsidR="00BA2F78" w:rsidRDefault="00BA2F78"/>
  <w:p w14:paraId="104386EF" w14:textId="77777777" w:rsidR="00BA2F78" w:rsidRDefault="00BA2F78"/>
  <w:p w14:paraId="60A3E393" w14:textId="77777777" w:rsidR="00BA2F78" w:rsidRDefault="00BA2F7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BA2F78" w14:paraId="61517A1D" w14:textId="77777777" w:rsidTr="003A6126">
      <w:trPr>
        <w:trHeight w:val="1435"/>
      </w:trPr>
      <w:tc>
        <w:tcPr>
          <w:tcW w:w="1560" w:type="dxa"/>
          <w:shd w:val="clear" w:color="auto" w:fill="auto"/>
        </w:tcPr>
        <w:p w14:paraId="4B74E846" w14:textId="1E0D62B9" w:rsidR="00BA2F78" w:rsidRDefault="00BA2F78">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8930"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3084"/>
            <w:gridCol w:w="3402"/>
          </w:tblGrid>
          <w:tr w:rsidR="00BA2F78" w14:paraId="7F59E1EF" w14:textId="77777777" w:rsidTr="007441D8">
            <w:trPr>
              <w:trHeight w:val="144"/>
            </w:trPr>
            <w:tc>
              <w:tcPr>
                <w:tcW w:w="2444" w:type="dxa"/>
              </w:tcPr>
              <w:p w14:paraId="5EFF942E" w14:textId="77777777" w:rsidR="00BA2F78" w:rsidRDefault="00BA2F78" w:rsidP="000D485D">
                <w:pPr>
                  <w:tabs>
                    <w:tab w:val="right" w:pos="8838"/>
                  </w:tabs>
                  <w:ind w:left="-74" w:right="-105"/>
                  <w:rPr>
                    <w:rFonts w:ascii="Palatino Linotype" w:eastAsia="Calibri" w:hAnsi="Palatino Linotype" w:cs="Tahoma"/>
                    <w:b/>
                    <w:sz w:val="22"/>
                    <w:szCs w:val="22"/>
                    <w:lang w:eastAsia="en-US"/>
                  </w:rPr>
                </w:pPr>
                <w:bookmarkStart w:id="22" w:name="_Hlk12526980"/>
                <w:r>
                  <w:rPr>
                    <w:rFonts w:ascii="Palatino Linotype" w:eastAsia="Calibri" w:hAnsi="Palatino Linotype" w:cs="Tahoma"/>
                    <w:b/>
                    <w:sz w:val="22"/>
                    <w:szCs w:val="22"/>
                    <w:lang w:eastAsia="en-US"/>
                  </w:rPr>
                  <w:t>Recurso de Revisión:</w:t>
                </w:r>
              </w:p>
            </w:tc>
            <w:tc>
              <w:tcPr>
                <w:tcW w:w="3084" w:type="dxa"/>
              </w:tcPr>
              <w:p w14:paraId="0DE47EE2" w14:textId="47BE4E61" w:rsidR="00BA2F78" w:rsidRPr="002B2042" w:rsidRDefault="00BA2F78" w:rsidP="00A87524">
                <w:pPr>
                  <w:tabs>
                    <w:tab w:val="right" w:pos="8838"/>
                  </w:tabs>
                  <w:ind w:left="-3" w:right="-105"/>
                  <w:jc w:val="both"/>
                  <w:rPr>
                    <w:rFonts w:ascii="Palatino Linotype" w:eastAsia="Calibri" w:hAnsi="Palatino Linotype" w:cs="Tahoma"/>
                    <w:sz w:val="22"/>
                    <w:szCs w:val="22"/>
                    <w:lang w:eastAsia="en-US"/>
                  </w:rPr>
                </w:pPr>
                <w:r w:rsidRPr="002B2042">
                  <w:rPr>
                    <w:rFonts w:ascii="Palatino Linotype" w:eastAsia="Calibri" w:hAnsi="Palatino Linotype" w:cs="Tahoma"/>
                    <w:sz w:val="22"/>
                    <w:lang w:eastAsia="en-US"/>
                  </w:rPr>
                  <w:t>0</w:t>
                </w:r>
                <w:r>
                  <w:rPr>
                    <w:rFonts w:ascii="Palatino Linotype" w:eastAsia="Calibri" w:hAnsi="Palatino Linotype" w:cs="Tahoma"/>
                    <w:sz w:val="22"/>
                    <w:lang w:eastAsia="en-US"/>
                  </w:rPr>
                  <w:t>2838</w:t>
                </w:r>
                <w:r w:rsidRPr="002B2042">
                  <w:rPr>
                    <w:rFonts w:ascii="Palatino Linotype" w:eastAsia="Calibri" w:hAnsi="Palatino Linotype" w:cs="Tahoma"/>
                    <w:sz w:val="22"/>
                    <w:lang w:eastAsia="en-US"/>
                  </w:rPr>
                  <w:t>/INFOEM/IP/RR/202</w:t>
                </w:r>
                <w:r>
                  <w:rPr>
                    <w:rFonts w:ascii="Palatino Linotype" w:eastAsia="Calibri" w:hAnsi="Palatino Linotype" w:cs="Tahoma"/>
                    <w:sz w:val="22"/>
                    <w:lang w:eastAsia="en-US"/>
                  </w:rPr>
                  <w:t>3 y Acumulados.</w:t>
                </w:r>
              </w:p>
            </w:tc>
            <w:tc>
              <w:tcPr>
                <w:tcW w:w="3402" w:type="dxa"/>
              </w:tcPr>
              <w:p w14:paraId="11E4533C" w14:textId="3B21362A" w:rsidR="00BA2F78" w:rsidRDefault="00BA2F78">
                <w:pPr>
                  <w:tabs>
                    <w:tab w:val="right" w:pos="8838"/>
                  </w:tabs>
                  <w:ind w:left="-74" w:right="-105"/>
                  <w:jc w:val="both"/>
                  <w:rPr>
                    <w:rFonts w:ascii="Palatino Linotype" w:eastAsia="Calibri" w:hAnsi="Palatino Linotype" w:cs="Tahoma"/>
                    <w:bCs/>
                    <w:sz w:val="22"/>
                    <w:szCs w:val="22"/>
                    <w:lang w:eastAsia="en-US"/>
                  </w:rPr>
                </w:pPr>
              </w:p>
            </w:tc>
          </w:tr>
          <w:tr w:rsidR="00BA2F78" w14:paraId="3FC4FA7D" w14:textId="77777777" w:rsidTr="007441D8">
            <w:trPr>
              <w:trHeight w:val="144"/>
            </w:trPr>
            <w:tc>
              <w:tcPr>
                <w:tcW w:w="2444" w:type="dxa"/>
              </w:tcPr>
              <w:p w14:paraId="363D966B" w14:textId="77777777" w:rsidR="00BA2F78" w:rsidRDefault="00BA2F78" w:rsidP="000D485D">
                <w:pPr>
                  <w:tabs>
                    <w:tab w:val="right" w:pos="8838"/>
                  </w:tabs>
                  <w:ind w:left="-74" w:right="-105"/>
                  <w:rPr>
                    <w:rFonts w:ascii="Palatino Linotype" w:eastAsia="Calibri" w:hAnsi="Palatino Linotype" w:cs="Tahoma"/>
                    <w:b/>
                    <w:sz w:val="22"/>
                    <w:szCs w:val="22"/>
                    <w:lang w:eastAsia="en-US"/>
                  </w:rPr>
                </w:pPr>
                <w:bookmarkStart w:id="23" w:name="_Hlk10641523"/>
                <w:bookmarkEnd w:id="22"/>
                <w:r>
                  <w:rPr>
                    <w:rFonts w:ascii="Palatino Linotype" w:eastAsia="Calibri" w:hAnsi="Palatino Linotype" w:cs="Tahoma"/>
                    <w:b/>
                    <w:sz w:val="22"/>
                    <w:szCs w:val="22"/>
                    <w:lang w:eastAsia="en-US"/>
                  </w:rPr>
                  <w:t>Recurrente:</w:t>
                </w:r>
              </w:p>
            </w:tc>
            <w:tc>
              <w:tcPr>
                <w:tcW w:w="3084" w:type="dxa"/>
              </w:tcPr>
              <w:p w14:paraId="73C065CD" w14:textId="626DB155" w:rsidR="00BA2F78" w:rsidRPr="000A7E5D" w:rsidRDefault="00BA2F78" w:rsidP="00A36BE2">
                <w:pPr>
                  <w:tabs>
                    <w:tab w:val="left" w:pos="3122"/>
                    <w:tab w:val="right" w:pos="8838"/>
                  </w:tabs>
                  <w:ind w:right="1457"/>
                  <w:jc w:val="both"/>
                  <w:rPr>
                    <w:rFonts w:ascii="Palatino Linotype" w:eastAsia="Calibri" w:hAnsi="Palatino Linotype" w:cs="Tahoma"/>
                    <w:sz w:val="22"/>
                    <w:szCs w:val="22"/>
                    <w:lang w:eastAsia="en-US"/>
                  </w:rPr>
                </w:pPr>
              </w:p>
            </w:tc>
            <w:tc>
              <w:tcPr>
                <w:tcW w:w="3402" w:type="dxa"/>
              </w:tcPr>
              <w:p w14:paraId="370E6EFF" w14:textId="3B7EABB6" w:rsidR="00BA2F78" w:rsidRDefault="00BA2F78" w:rsidP="003037E1">
                <w:pPr>
                  <w:tabs>
                    <w:tab w:val="left" w:pos="3122"/>
                    <w:tab w:val="right" w:pos="8838"/>
                  </w:tabs>
                  <w:ind w:right="-105"/>
                  <w:jc w:val="both"/>
                  <w:rPr>
                    <w:rFonts w:ascii="Palatino Linotype" w:eastAsia="Calibri" w:hAnsi="Palatino Linotype" w:cs="Tahoma"/>
                    <w:sz w:val="22"/>
                    <w:szCs w:val="22"/>
                    <w:lang w:eastAsia="en-US"/>
                  </w:rPr>
                </w:pPr>
              </w:p>
            </w:tc>
          </w:tr>
          <w:bookmarkEnd w:id="23"/>
          <w:tr w:rsidR="00BA2F78" w14:paraId="4D832A43" w14:textId="77777777" w:rsidTr="007441D8">
            <w:trPr>
              <w:trHeight w:val="283"/>
            </w:trPr>
            <w:tc>
              <w:tcPr>
                <w:tcW w:w="2444" w:type="dxa"/>
              </w:tcPr>
              <w:p w14:paraId="02CA5CB0" w14:textId="77777777" w:rsidR="00BA2F78" w:rsidRDefault="00BA2F78"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3084" w:type="dxa"/>
              </w:tcPr>
              <w:p w14:paraId="28528629" w14:textId="0CA2F713" w:rsidR="00BA2F78" w:rsidRPr="00396CF5" w:rsidRDefault="00BA2F78" w:rsidP="007451C1">
                <w:pPr>
                  <w:tabs>
                    <w:tab w:val="left" w:pos="2834"/>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bCs/>
                    <w:sz w:val="22"/>
                    <w:szCs w:val="24"/>
                    <w:lang w:eastAsia="en-US"/>
                  </w:rPr>
                  <w:t>Consejo Mexiquense de Ciencia y Tecnología</w:t>
                </w:r>
              </w:p>
            </w:tc>
            <w:tc>
              <w:tcPr>
                <w:tcW w:w="3402" w:type="dxa"/>
              </w:tcPr>
              <w:p w14:paraId="00F18B8C" w14:textId="77777777" w:rsidR="00BA2F78" w:rsidRDefault="00BA2F78">
                <w:pPr>
                  <w:tabs>
                    <w:tab w:val="left" w:pos="2834"/>
                    <w:tab w:val="right" w:pos="8838"/>
                  </w:tabs>
                  <w:ind w:left="-74" w:right="-105"/>
                  <w:jc w:val="both"/>
                  <w:rPr>
                    <w:rFonts w:ascii="Palatino Linotype" w:eastAsia="Calibri" w:hAnsi="Palatino Linotype" w:cs="Tahoma"/>
                    <w:sz w:val="22"/>
                    <w:szCs w:val="22"/>
                    <w:lang w:eastAsia="en-US"/>
                  </w:rPr>
                </w:pPr>
              </w:p>
            </w:tc>
          </w:tr>
          <w:tr w:rsidR="00BA2F78" w14:paraId="7BC74D7A" w14:textId="77777777" w:rsidTr="007441D8">
            <w:trPr>
              <w:trHeight w:val="283"/>
            </w:trPr>
            <w:tc>
              <w:tcPr>
                <w:tcW w:w="2444" w:type="dxa"/>
              </w:tcPr>
              <w:p w14:paraId="3BF93338" w14:textId="01E84F2D" w:rsidR="00BA2F78" w:rsidRDefault="00BA2F78"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3084" w:type="dxa"/>
              </w:tcPr>
              <w:p w14:paraId="3589422E" w14:textId="64278750" w:rsidR="00BA2F78" w:rsidRPr="003037E1" w:rsidRDefault="00BA2F78" w:rsidP="003037E1">
                <w:pPr>
                  <w:tabs>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María del Rosario Mejía Ayala</w:t>
                </w:r>
              </w:p>
            </w:tc>
            <w:tc>
              <w:tcPr>
                <w:tcW w:w="3402" w:type="dxa"/>
              </w:tcPr>
              <w:p w14:paraId="6DBCB70D" w14:textId="77777777" w:rsidR="00BA2F78" w:rsidRDefault="00BA2F78">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BA2F78" w:rsidRDefault="00BA2F78">
          <w:pPr>
            <w:tabs>
              <w:tab w:val="right" w:pos="8838"/>
            </w:tabs>
            <w:ind w:left="-28"/>
            <w:jc w:val="both"/>
            <w:rPr>
              <w:rFonts w:ascii="Arial" w:eastAsia="Calibri" w:hAnsi="Arial" w:cs="Arial"/>
              <w:b/>
              <w:sz w:val="22"/>
              <w:szCs w:val="22"/>
              <w:lang w:eastAsia="en-US"/>
            </w:rPr>
          </w:pPr>
        </w:p>
      </w:tc>
    </w:tr>
  </w:tbl>
  <w:p w14:paraId="5F654A99" w14:textId="6CB7D4AE" w:rsidR="00BA2F78" w:rsidRDefault="00BA45DF" w:rsidP="003A6126">
    <w:pPr>
      <w:pStyle w:val="Encabezado"/>
      <w:tabs>
        <w:tab w:val="clear" w:pos="4419"/>
        <w:tab w:val="clear" w:pos="8838"/>
        <w:tab w:val="center" w:pos="4522"/>
      </w:tabs>
    </w:pPr>
    <w:r>
      <w:rPr>
        <w:noProof/>
        <w:sz w:val="14"/>
        <w:szCs w:val="22"/>
        <w:lang w:eastAsia="es-MX"/>
      </w:rPr>
      <w:pict w14:anchorId="18301B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alt="" style="position:absolute;margin-left:-75.8pt;margin-top:-134.3pt;width:663.5pt;height:12in;z-index:-251658240;mso-wrap-edited:f;mso-width-percent:0;mso-height-percent:0;mso-position-horizontal-relative:margin;mso-position-vertical-relative:margin;mso-width-percent:0;mso-height-percent:0" o:allowincell="f">
          <v:imagedata r:id="rId1" o:title="marcaaguaINFOEM"/>
          <w10:wrap anchorx="margin" anchory="margin"/>
        </v:shape>
      </w:pict>
    </w:r>
  </w:p>
  <w:p w14:paraId="673BC59D" w14:textId="77777777" w:rsidR="00BA2F78" w:rsidRDefault="00BA2F78"/>
  <w:p w14:paraId="69AC6122" w14:textId="77777777" w:rsidR="00BA2F78" w:rsidRDefault="00BA2F7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008061F2"/>
    <w:multiLevelType w:val="hybridMultilevel"/>
    <w:tmpl w:val="BD807ED4"/>
    <w:lvl w:ilvl="0" w:tplc="080A000B">
      <w:start w:val="1"/>
      <w:numFmt w:val="bullet"/>
      <w:lvlText w:val=""/>
      <w:lvlJc w:val="left"/>
      <w:pPr>
        <w:ind w:left="1353" w:hanging="360"/>
      </w:pPr>
      <w:rPr>
        <w:rFonts w:ascii="Wingdings" w:hAnsi="Wingdings"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2">
    <w:nsid w:val="05704FFF"/>
    <w:multiLevelType w:val="hybridMultilevel"/>
    <w:tmpl w:val="5A2824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05F77AEE"/>
    <w:multiLevelType w:val="hybridMultilevel"/>
    <w:tmpl w:val="C456A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A835C6"/>
    <w:multiLevelType w:val="hybridMultilevel"/>
    <w:tmpl w:val="20DE5914"/>
    <w:lvl w:ilvl="0" w:tplc="FFFFFFFF">
      <w:start w:val="1"/>
      <w:numFmt w:val="decimal"/>
      <w:lvlText w:val="%1."/>
      <w:lvlJc w:val="left"/>
      <w:pPr>
        <w:ind w:left="0" w:firstLine="0"/>
      </w:pPr>
      <w:rPr>
        <w:rFonts w:ascii="Palatino Linotype" w:hAnsi="Palatino Linotype" w:hint="default"/>
        <w:b/>
        <w:i w:val="0"/>
        <w:sz w:val="24"/>
      </w:rPr>
    </w:lvl>
    <w:lvl w:ilvl="1" w:tplc="C1B24CA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11A4428"/>
    <w:multiLevelType w:val="hybridMultilevel"/>
    <w:tmpl w:val="597EA79A"/>
    <w:lvl w:ilvl="0" w:tplc="FFFFFFFF">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strike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48B2D45"/>
    <w:multiLevelType w:val="hybridMultilevel"/>
    <w:tmpl w:val="CBCABB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8DF38C8"/>
    <w:multiLevelType w:val="hybridMultilevel"/>
    <w:tmpl w:val="44E43794"/>
    <w:lvl w:ilvl="0" w:tplc="FFFFFFFF">
      <w:start w:val="1"/>
      <w:numFmt w:val="decimal"/>
      <w:lvlText w:val="%1."/>
      <w:lvlJc w:val="left"/>
      <w:pPr>
        <w:ind w:left="0" w:firstLine="0"/>
      </w:pPr>
      <w:rPr>
        <w:rFonts w:ascii="Palatino Linotype" w:hAnsi="Palatino Linotype" w:hint="default"/>
        <w:b/>
        <w:i w:val="0"/>
        <w:sz w:val="24"/>
      </w:rPr>
    </w:lvl>
    <w:lvl w:ilvl="1" w:tplc="90D49D8E">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D927D1D"/>
    <w:multiLevelType w:val="hybridMultilevel"/>
    <w:tmpl w:val="50682128"/>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nsid w:val="31C219C0"/>
    <w:multiLevelType w:val="hybridMultilevel"/>
    <w:tmpl w:val="1B0AD8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nsid w:val="32E70614"/>
    <w:multiLevelType w:val="hybridMultilevel"/>
    <w:tmpl w:val="632284BE"/>
    <w:lvl w:ilvl="0" w:tplc="FFFFFFFF">
      <w:start w:val="1"/>
      <w:numFmt w:val="decimal"/>
      <w:lvlText w:val="%1."/>
      <w:lvlJc w:val="left"/>
      <w:pPr>
        <w:ind w:left="0" w:firstLine="0"/>
      </w:pPr>
      <w:rPr>
        <w:rFonts w:ascii="Palatino Linotype" w:hAnsi="Palatino Linotype" w:hint="default"/>
        <w:b/>
        <w:i w:val="0"/>
        <w:sz w:val="24"/>
      </w:rPr>
    </w:lvl>
    <w:lvl w:ilvl="1" w:tplc="EFD66592">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34317490"/>
    <w:multiLevelType w:val="hybridMultilevel"/>
    <w:tmpl w:val="FD30DC42"/>
    <w:lvl w:ilvl="0" w:tplc="92BE0B36">
      <w:start w:val="1"/>
      <w:numFmt w:val="decimal"/>
      <w:lvlText w:val="%1."/>
      <w:lvlJc w:val="left"/>
      <w:pPr>
        <w:ind w:left="36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nsid w:val="3ABF673D"/>
    <w:multiLevelType w:val="hybridMultilevel"/>
    <w:tmpl w:val="FD3CA6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C914F67"/>
    <w:multiLevelType w:val="hybridMultilevel"/>
    <w:tmpl w:val="B1CEE3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E9B7EF7"/>
    <w:multiLevelType w:val="hybridMultilevel"/>
    <w:tmpl w:val="3B3E247E"/>
    <w:lvl w:ilvl="0" w:tplc="FFFFFFFF">
      <w:start w:val="1"/>
      <w:numFmt w:val="decimal"/>
      <w:lvlText w:val="%1."/>
      <w:lvlJc w:val="left"/>
      <w:pPr>
        <w:ind w:left="0" w:firstLine="0"/>
      </w:pPr>
      <w:rPr>
        <w:rFonts w:ascii="Palatino Linotype" w:hAnsi="Palatino Linotype" w:hint="default"/>
        <w:b/>
        <w:i w:val="0"/>
        <w:sz w:val="24"/>
      </w:rPr>
    </w:lvl>
    <w:lvl w:ilvl="1" w:tplc="413ACCD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48AD49D1"/>
    <w:multiLevelType w:val="hybridMultilevel"/>
    <w:tmpl w:val="F8103B92"/>
    <w:lvl w:ilvl="0" w:tplc="FFFFFFFF">
      <w:start w:val="1"/>
      <w:numFmt w:val="decimal"/>
      <w:lvlText w:val="%1."/>
      <w:lvlJc w:val="left"/>
      <w:pPr>
        <w:ind w:left="0" w:firstLine="0"/>
      </w:pPr>
      <w:rPr>
        <w:rFonts w:ascii="Palatino Linotype" w:hAnsi="Palatino Linotype" w:hint="default"/>
        <w:b/>
        <w:i w:val="0"/>
        <w:sz w:val="24"/>
      </w:rPr>
    </w:lvl>
    <w:lvl w:ilvl="1" w:tplc="C69033A8">
      <w:start w:val="1"/>
      <w:numFmt w:val="lowerLetter"/>
      <w:lvlText w:val="%2)"/>
      <w:lvlJc w:val="lef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4A4802E3"/>
    <w:multiLevelType w:val="hybridMultilevel"/>
    <w:tmpl w:val="14FC8D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60827B9"/>
    <w:multiLevelType w:val="hybridMultilevel"/>
    <w:tmpl w:val="28164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680400F"/>
    <w:multiLevelType w:val="multilevel"/>
    <w:tmpl w:val="64B26050"/>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59486E21"/>
    <w:multiLevelType w:val="hybridMultilevel"/>
    <w:tmpl w:val="1B1AFA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2F5206A"/>
    <w:multiLevelType w:val="hybridMultilevel"/>
    <w:tmpl w:val="D602A546"/>
    <w:lvl w:ilvl="0" w:tplc="C64A8D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8D61FF8"/>
    <w:multiLevelType w:val="hybridMultilevel"/>
    <w:tmpl w:val="EDD245A0"/>
    <w:lvl w:ilvl="0" w:tplc="FFFFFFFF">
      <w:start w:val="1"/>
      <w:numFmt w:val="decimal"/>
      <w:lvlText w:val="%1."/>
      <w:lvlJc w:val="left"/>
      <w:pPr>
        <w:ind w:left="0" w:firstLine="0"/>
      </w:pPr>
      <w:rPr>
        <w:rFonts w:ascii="Palatino Linotype" w:hAnsi="Palatino Linotype" w:hint="default"/>
        <w:b/>
        <w:i w:val="0"/>
        <w:sz w:val="24"/>
      </w:rPr>
    </w:lvl>
    <w:lvl w:ilvl="1" w:tplc="57CC911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6B1374AA"/>
    <w:multiLevelType w:val="hybridMultilevel"/>
    <w:tmpl w:val="1B1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718B399B"/>
    <w:multiLevelType w:val="hybridMultilevel"/>
    <w:tmpl w:val="8F7E4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43204EE"/>
    <w:multiLevelType w:val="hybridMultilevel"/>
    <w:tmpl w:val="E476079C"/>
    <w:lvl w:ilvl="0" w:tplc="AAE0F64C">
      <w:start w:val="1"/>
      <w:numFmt w:val="decimal"/>
      <w:lvlText w:val="%1."/>
      <w:lvlJc w:val="left"/>
      <w:pPr>
        <w:ind w:left="261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0"/>
  </w:num>
  <w:num w:numId="2">
    <w:abstractNumId w:val="13"/>
  </w:num>
  <w:num w:numId="3">
    <w:abstractNumId w:val="13"/>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1"/>
  </w:num>
  <w:num w:numId="6">
    <w:abstractNumId w:val="1"/>
  </w:num>
  <w:num w:numId="7">
    <w:abstractNumId w:val="2"/>
  </w:num>
  <w:num w:numId="8">
    <w:abstractNumId w:val="22"/>
  </w:num>
  <w:num w:numId="9">
    <w:abstractNumId w:val="25"/>
  </w:num>
  <w:num w:numId="10">
    <w:abstractNumId w:val="20"/>
  </w:num>
  <w:num w:numId="11">
    <w:abstractNumId w:val="3"/>
  </w:num>
  <w:num w:numId="12">
    <w:abstractNumId w:val="27"/>
  </w:num>
  <w:num w:numId="13">
    <w:abstractNumId w:val="9"/>
  </w:num>
  <w:num w:numId="14">
    <w:abstractNumId w:val="29"/>
  </w:num>
  <w:num w:numId="15">
    <w:abstractNumId w:val="23"/>
  </w:num>
  <w:num w:numId="16">
    <w:abstractNumId w:val="15"/>
  </w:num>
  <w:num w:numId="17">
    <w:abstractNumId w:val="17"/>
  </w:num>
  <w:num w:numId="18">
    <w:abstractNumId w:val="4"/>
  </w:num>
  <w:num w:numId="19">
    <w:abstractNumId w:val="8"/>
  </w:num>
  <w:num w:numId="20">
    <w:abstractNumId w:val="26"/>
  </w:num>
  <w:num w:numId="21">
    <w:abstractNumId w:val="12"/>
  </w:num>
  <w:num w:numId="22">
    <w:abstractNumId w:val="24"/>
  </w:num>
  <w:num w:numId="23">
    <w:abstractNumId w:val="16"/>
  </w:num>
  <w:num w:numId="24">
    <w:abstractNumId w:val="28"/>
  </w:num>
  <w:num w:numId="25">
    <w:abstractNumId w:val="10"/>
  </w:num>
  <w:num w:numId="26">
    <w:abstractNumId w:val="19"/>
  </w:num>
  <w:num w:numId="27">
    <w:abstractNumId w:val="14"/>
  </w:num>
  <w:num w:numId="28">
    <w:abstractNumId w:val="18"/>
  </w:num>
  <w:num w:numId="29">
    <w:abstractNumId w:val="5"/>
  </w:num>
  <w:num w:numId="30">
    <w:abstractNumId w:val="7"/>
  </w:num>
  <w:num w:numId="31">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6AA"/>
    <w:rsid w:val="00001EA7"/>
    <w:rsid w:val="00002485"/>
    <w:rsid w:val="000027EB"/>
    <w:rsid w:val="00002B33"/>
    <w:rsid w:val="0000485A"/>
    <w:rsid w:val="000048DD"/>
    <w:rsid w:val="00006543"/>
    <w:rsid w:val="00006EB8"/>
    <w:rsid w:val="000077E8"/>
    <w:rsid w:val="00010B0D"/>
    <w:rsid w:val="00012CD0"/>
    <w:rsid w:val="00013A19"/>
    <w:rsid w:val="00013DD9"/>
    <w:rsid w:val="000143FA"/>
    <w:rsid w:val="00014465"/>
    <w:rsid w:val="000159F0"/>
    <w:rsid w:val="00015A4E"/>
    <w:rsid w:val="00017348"/>
    <w:rsid w:val="00017858"/>
    <w:rsid w:val="00017D26"/>
    <w:rsid w:val="00020818"/>
    <w:rsid w:val="00020CAE"/>
    <w:rsid w:val="00020CF1"/>
    <w:rsid w:val="000212E5"/>
    <w:rsid w:val="000217A4"/>
    <w:rsid w:val="00021C64"/>
    <w:rsid w:val="00022835"/>
    <w:rsid w:val="00023C98"/>
    <w:rsid w:val="00024052"/>
    <w:rsid w:val="000241C5"/>
    <w:rsid w:val="00024D74"/>
    <w:rsid w:val="00025941"/>
    <w:rsid w:val="00025F1B"/>
    <w:rsid w:val="00025F5D"/>
    <w:rsid w:val="00030C87"/>
    <w:rsid w:val="000313A7"/>
    <w:rsid w:val="000321C5"/>
    <w:rsid w:val="0003260C"/>
    <w:rsid w:val="00032F5B"/>
    <w:rsid w:val="00033079"/>
    <w:rsid w:val="00033881"/>
    <w:rsid w:val="00033BCA"/>
    <w:rsid w:val="00033BE7"/>
    <w:rsid w:val="00034777"/>
    <w:rsid w:val="00034E9D"/>
    <w:rsid w:val="00035F9E"/>
    <w:rsid w:val="0003659E"/>
    <w:rsid w:val="000373BC"/>
    <w:rsid w:val="000378BC"/>
    <w:rsid w:val="00037B34"/>
    <w:rsid w:val="00037F4B"/>
    <w:rsid w:val="0004017A"/>
    <w:rsid w:val="00041201"/>
    <w:rsid w:val="000415F1"/>
    <w:rsid w:val="00043374"/>
    <w:rsid w:val="00043C4B"/>
    <w:rsid w:val="000441A1"/>
    <w:rsid w:val="000441C4"/>
    <w:rsid w:val="000446B3"/>
    <w:rsid w:val="0004646B"/>
    <w:rsid w:val="00050224"/>
    <w:rsid w:val="000527B4"/>
    <w:rsid w:val="000528E6"/>
    <w:rsid w:val="00052EB7"/>
    <w:rsid w:val="00053EEF"/>
    <w:rsid w:val="000542F8"/>
    <w:rsid w:val="0005574A"/>
    <w:rsid w:val="00057250"/>
    <w:rsid w:val="00057E50"/>
    <w:rsid w:val="0006017B"/>
    <w:rsid w:val="00060323"/>
    <w:rsid w:val="000605D1"/>
    <w:rsid w:val="00060855"/>
    <w:rsid w:val="00061502"/>
    <w:rsid w:val="000620E1"/>
    <w:rsid w:val="00062CA2"/>
    <w:rsid w:val="00064855"/>
    <w:rsid w:val="00064EC4"/>
    <w:rsid w:val="00065B48"/>
    <w:rsid w:val="00066328"/>
    <w:rsid w:val="000663F6"/>
    <w:rsid w:val="00066AD8"/>
    <w:rsid w:val="000677C5"/>
    <w:rsid w:val="0007134D"/>
    <w:rsid w:val="00071A4A"/>
    <w:rsid w:val="00071F02"/>
    <w:rsid w:val="00072BFF"/>
    <w:rsid w:val="000741E2"/>
    <w:rsid w:val="000758B2"/>
    <w:rsid w:val="0007605E"/>
    <w:rsid w:val="0008033A"/>
    <w:rsid w:val="000813B0"/>
    <w:rsid w:val="0008148B"/>
    <w:rsid w:val="00082026"/>
    <w:rsid w:val="000827E1"/>
    <w:rsid w:val="00082B18"/>
    <w:rsid w:val="00084E6C"/>
    <w:rsid w:val="00085010"/>
    <w:rsid w:val="00085304"/>
    <w:rsid w:val="00085D14"/>
    <w:rsid w:val="000904E7"/>
    <w:rsid w:val="0009197A"/>
    <w:rsid w:val="00092475"/>
    <w:rsid w:val="00092518"/>
    <w:rsid w:val="00095E71"/>
    <w:rsid w:val="00097211"/>
    <w:rsid w:val="0009748A"/>
    <w:rsid w:val="000A0518"/>
    <w:rsid w:val="000A0861"/>
    <w:rsid w:val="000A0C91"/>
    <w:rsid w:val="000A2009"/>
    <w:rsid w:val="000A20A4"/>
    <w:rsid w:val="000A2577"/>
    <w:rsid w:val="000A2DB6"/>
    <w:rsid w:val="000A4AC7"/>
    <w:rsid w:val="000A5058"/>
    <w:rsid w:val="000A5C6A"/>
    <w:rsid w:val="000A60ED"/>
    <w:rsid w:val="000A7211"/>
    <w:rsid w:val="000A77A3"/>
    <w:rsid w:val="000A7E5D"/>
    <w:rsid w:val="000B12E2"/>
    <w:rsid w:val="000B1D37"/>
    <w:rsid w:val="000B2C93"/>
    <w:rsid w:val="000B36DD"/>
    <w:rsid w:val="000B5711"/>
    <w:rsid w:val="000B6020"/>
    <w:rsid w:val="000B6107"/>
    <w:rsid w:val="000B7F48"/>
    <w:rsid w:val="000C1986"/>
    <w:rsid w:val="000C2283"/>
    <w:rsid w:val="000C2347"/>
    <w:rsid w:val="000C27CA"/>
    <w:rsid w:val="000C2D70"/>
    <w:rsid w:val="000C36A4"/>
    <w:rsid w:val="000C469B"/>
    <w:rsid w:val="000C59CB"/>
    <w:rsid w:val="000D0B08"/>
    <w:rsid w:val="000D1A29"/>
    <w:rsid w:val="000D1DDF"/>
    <w:rsid w:val="000D2A27"/>
    <w:rsid w:val="000D485D"/>
    <w:rsid w:val="000D5156"/>
    <w:rsid w:val="000D5383"/>
    <w:rsid w:val="000D60B0"/>
    <w:rsid w:val="000D62EF"/>
    <w:rsid w:val="000D686E"/>
    <w:rsid w:val="000D68C7"/>
    <w:rsid w:val="000D6CF8"/>
    <w:rsid w:val="000D77A7"/>
    <w:rsid w:val="000E008A"/>
    <w:rsid w:val="000E0BEA"/>
    <w:rsid w:val="000E36AB"/>
    <w:rsid w:val="000E3BE8"/>
    <w:rsid w:val="000E5550"/>
    <w:rsid w:val="000E6FEE"/>
    <w:rsid w:val="000E7AB1"/>
    <w:rsid w:val="000E7E4F"/>
    <w:rsid w:val="000F0A30"/>
    <w:rsid w:val="000F0C82"/>
    <w:rsid w:val="000F178F"/>
    <w:rsid w:val="000F24C8"/>
    <w:rsid w:val="000F2580"/>
    <w:rsid w:val="000F2EBF"/>
    <w:rsid w:val="000F3DA0"/>
    <w:rsid w:val="000F4183"/>
    <w:rsid w:val="000F4876"/>
    <w:rsid w:val="000F555D"/>
    <w:rsid w:val="000F58ED"/>
    <w:rsid w:val="000F5E32"/>
    <w:rsid w:val="000F60AE"/>
    <w:rsid w:val="000F6834"/>
    <w:rsid w:val="000F6966"/>
    <w:rsid w:val="000F76AB"/>
    <w:rsid w:val="000F7A45"/>
    <w:rsid w:val="000F7FD8"/>
    <w:rsid w:val="00100BAC"/>
    <w:rsid w:val="001011E4"/>
    <w:rsid w:val="001017B7"/>
    <w:rsid w:val="00101865"/>
    <w:rsid w:val="001024F2"/>
    <w:rsid w:val="001028A2"/>
    <w:rsid w:val="001034C6"/>
    <w:rsid w:val="001036BF"/>
    <w:rsid w:val="0010415F"/>
    <w:rsid w:val="001049B0"/>
    <w:rsid w:val="00104ADB"/>
    <w:rsid w:val="001057BC"/>
    <w:rsid w:val="001058B8"/>
    <w:rsid w:val="0010687C"/>
    <w:rsid w:val="00106FD4"/>
    <w:rsid w:val="00107D2F"/>
    <w:rsid w:val="00107EB6"/>
    <w:rsid w:val="001112C9"/>
    <w:rsid w:val="001133D5"/>
    <w:rsid w:val="001139FD"/>
    <w:rsid w:val="00114068"/>
    <w:rsid w:val="00114BD2"/>
    <w:rsid w:val="001150E9"/>
    <w:rsid w:val="001166C8"/>
    <w:rsid w:val="00116F92"/>
    <w:rsid w:val="001171BD"/>
    <w:rsid w:val="00117E18"/>
    <w:rsid w:val="001221B8"/>
    <w:rsid w:val="0012305A"/>
    <w:rsid w:val="001237D5"/>
    <w:rsid w:val="00127757"/>
    <w:rsid w:val="001279BF"/>
    <w:rsid w:val="00127E43"/>
    <w:rsid w:val="00127FF6"/>
    <w:rsid w:val="001301F3"/>
    <w:rsid w:val="001313F8"/>
    <w:rsid w:val="00132573"/>
    <w:rsid w:val="00132A80"/>
    <w:rsid w:val="00132F95"/>
    <w:rsid w:val="00132FE8"/>
    <w:rsid w:val="00134409"/>
    <w:rsid w:val="0013647C"/>
    <w:rsid w:val="00137147"/>
    <w:rsid w:val="0013791C"/>
    <w:rsid w:val="00137AE3"/>
    <w:rsid w:val="00137B8F"/>
    <w:rsid w:val="00141895"/>
    <w:rsid w:val="0014307A"/>
    <w:rsid w:val="00143189"/>
    <w:rsid w:val="001432BD"/>
    <w:rsid w:val="00144747"/>
    <w:rsid w:val="00144D0B"/>
    <w:rsid w:val="00145B37"/>
    <w:rsid w:val="00146558"/>
    <w:rsid w:val="00147566"/>
    <w:rsid w:val="00147666"/>
    <w:rsid w:val="00147887"/>
    <w:rsid w:val="00147955"/>
    <w:rsid w:val="00147A67"/>
    <w:rsid w:val="001500C2"/>
    <w:rsid w:val="00150E21"/>
    <w:rsid w:val="00151053"/>
    <w:rsid w:val="001519CC"/>
    <w:rsid w:val="00151DCA"/>
    <w:rsid w:val="00151FBB"/>
    <w:rsid w:val="00153143"/>
    <w:rsid w:val="0015381E"/>
    <w:rsid w:val="00155F96"/>
    <w:rsid w:val="001561CB"/>
    <w:rsid w:val="00156408"/>
    <w:rsid w:val="00156A6B"/>
    <w:rsid w:val="00156BFA"/>
    <w:rsid w:val="001605E6"/>
    <w:rsid w:val="00160677"/>
    <w:rsid w:val="00161C05"/>
    <w:rsid w:val="00161DF9"/>
    <w:rsid w:val="00162383"/>
    <w:rsid w:val="00162CCE"/>
    <w:rsid w:val="0016457B"/>
    <w:rsid w:val="00165221"/>
    <w:rsid w:val="00165253"/>
    <w:rsid w:val="00165891"/>
    <w:rsid w:val="00166286"/>
    <w:rsid w:val="001679B4"/>
    <w:rsid w:val="00170545"/>
    <w:rsid w:val="00171ADD"/>
    <w:rsid w:val="00172D4F"/>
    <w:rsid w:val="00174363"/>
    <w:rsid w:val="0017459B"/>
    <w:rsid w:val="00174A74"/>
    <w:rsid w:val="00175428"/>
    <w:rsid w:val="00175BB6"/>
    <w:rsid w:val="00175CEB"/>
    <w:rsid w:val="00176367"/>
    <w:rsid w:val="00176773"/>
    <w:rsid w:val="00176E8E"/>
    <w:rsid w:val="00177944"/>
    <w:rsid w:val="00180118"/>
    <w:rsid w:val="001807FF"/>
    <w:rsid w:val="0018081B"/>
    <w:rsid w:val="00182D6C"/>
    <w:rsid w:val="00182DCE"/>
    <w:rsid w:val="00182F0F"/>
    <w:rsid w:val="00183D24"/>
    <w:rsid w:val="00184C8A"/>
    <w:rsid w:val="001851A6"/>
    <w:rsid w:val="001875A7"/>
    <w:rsid w:val="001879E1"/>
    <w:rsid w:val="00187E51"/>
    <w:rsid w:val="0019070D"/>
    <w:rsid w:val="0019151D"/>
    <w:rsid w:val="00192AE6"/>
    <w:rsid w:val="0019361B"/>
    <w:rsid w:val="0019375E"/>
    <w:rsid w:val="0019389B"/>
    <w:rsid w:val="00194CDF"/>
    <w:rsid w:val="00194FF3"/>
    <w:rsid w:val="00195BA5"/>
    <w:rsid w:val="00196522"/>
    <w:rsid w:val="001A0C96"/>
    <w:rsid w:val="001A1B94"/>
    <w:rsid w:val="001A22F5"/>
    <w:rsid w:val="001A32CB"/>
    <w:rsid w:val="001A3EA6"/>
    <w:rsid w:val="001A3EE2"/>
    <w:rsid w:val="001A4B83"/>
    <w:rsid w:val="001A7FD2"/>
    <w:rsid w:val="001B0041"/>
    <w:rsid w:val="001B01AD"/>
    <w:rsid w:val="001B107D"/>
    <w:rsid w:val="001B1108"/>
    <w:rsid w:val="001B1E95"/>
    <w:rsid w:val="001B20A8"/>
    <w:rsid w:val="001B2CD9"/>
    <w:rsid w:val="001B38FF"/>
    <w:rsid w:val="001B39C2"/>
    <w:rsid w:val="001B62A0"/>
    <w:rsid w:val="001B7973"/>
    <w:rsid w:val="001C066E"/>
    <w:rsid w:val="001C17B0"/>
    <w:rsid w:val="001C2357"/>
    <w:rsid w:val="001C282F"/>
    <w:rsid w:val="001C2D8D"/>
    <w:rsid w:val="001C2F9F"/>
    <w:rsid w:val="001C3087"/>
    <w:rsid w:val="001C44CD"/>
    <w:rsid w:val="001C62E6"/>
    <w:rsid w:val="001C6A89"/>
    <w:rsid w:val="001C7F97"/>
    <w:rsid w:val="001D0086"/>
    <w:rsid w:val="001D0094"/>
    <w:rsid w:val="001D00D6"/>
    <w:rsid w:val="001D10E0"/>
    <w:rsid w:val="001D230D"/>
    <w:rsid w:val="001D2311"/>
    <w:rsid w:val="001D43DB"/>
    <w:rsid w:val="001D4965"/>
    <w:rsid w:val="001D4A5C"/>
    <w:rsid w:val="001D51A3"/>
    <w:rsid w:val="001D67AC"/>
    <w:rsid w:val="001D6F55"/>
    <w:rsid w:val="001D7012"/>
    <w:rsid w:val="001D7BD2"/>
    <w:rsid w:val="001E0C62"/>
    <w:rsid w:val="001E1AF6"/>
    <w:rsid w:val="001E2A4D"/>
    <w:rsid w:val="001E53C2"/>
    <w:rsid w:val="001E57C1"/>
    <w:rsid w:val="001E6927"/>
    <w:rsid w:val="001E6FC5"/>
    <w:rsid w:val="001F0E9C"/>
    <w:rsid w:val="001F0EB8"/>
    <w:rsid w:val="001F1540"/>
    <w:rsid w:val="001F176D"/>
    <w:rsid w:val="001F2768"/>
    <w:rsid w:val="001F2DB2"/>
    <w:rsid w:val="001F2FF9"/>
    <w:rsid w:val="001F3C89"/>
    <w:rsid w:val="001F3D1A"/>
    <w:rsid w:val="001F4A67"/>
    <w:rsid w:val="001F652C"/>
    <w:rsid w:val="001F67A1"/>
    <w:rsid w:val="001F7690"/>
    <w:rsid w:val="001F78D9"/>
    <w:rsid w:val="0020044B"/>
    <w:rsid w:val="00201349"/>
    <w:rsid w:val="00202766"/>
    <w:rsid w:val="00202DB8"/>
    <w:rsid w:val="00204265"/>
    <w:rsid w:val="00204364"/>
    <w:rsid w:val="00205934"/>
    <w:rsid w:val="00205F0B"/>
    <w:rsid w:val="002060B4"/>
    <w:rsid w:val="0020681A"/>
    <w:rsid w:val="00206E74"/>
    <w:rsid w:val="00207736"/>
    <w:rsid w:val="00207CD6"/>
    <w:rsid w:val="00210A50"/>
    <w:rsid w:val="002122CB"/>
    <w:rsid w:val="00212460"/>
    <w:rsid w:val="002127CA"/>
    <w:rsid w:val="002127E0"/>
    <w:rsid w:val="00213D51"/>
    <w:rsid w:val="002140E9"/>
    <w:rsid w:val="0021453D"/>
    <w:rsid w:val="0021599D"/>
    <w:rsid w:val="00215D0D"/>
    <w:rsid w:val="00215E41"/>
    <w:rsid w:val="0021730F"/>
    <w:rsid w:val="00217551"/>
    <w:rsid w:val="00217AEF"/>
    <w:rsid w:val="00217ED8"/>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3CFE"/>
    <w:rsid w:val="002341AF"/>
    <w:rsid w:val="002348E4"/>
    <w:rsid w:val="00236863"/>
    <w:rsid w:val="00236B3F"/>
    <w:rsid w:val="00237C1F"/>
    <w:rsid w:val="00237D0D"/>
    <w:rsid w:val="00241116"/>
    <w:rsid w:val="002417D7"/>
    <w:rsid w:val="00242711"/>
    <w:rsid w:val="00242C30"/>
    <w:rsid w:val="002432D8"/>
    <w:rsid w:val="002433A4"/>
    <w:rsid w:val="002435DC"/>
    <w:rsid w:val="0024366B"/>
    <w:rsid w:val="00243EAA"/>
    <w:rsid w:val="00246501"/>
    <w:rsid w:val="002475C7"/>
    <w:rsid w:val="00247B17"/>
    <w:rsid w:val="00250389"/>
    <w:rsid w:val="00251439"/>
    <w:rsid w:val="00251FF7"/>
    <w:rsid w:val="00252669"/>
    <w:rsid w:val="002529DA"/>
    <w:rsid w:val="00254209"/>
    <w:rsid w:val="00254288"/>
    <w:rsid w:val="0025469C"/>
    <w:rsid w:val="00254BE7"/>
    <w:rsid w:val="0025667F"/>
    <w:rsid w:val="00256ED9"/>
    <w:rsid w:val="002579CE"/>
    <w:rsid w:val="00260492"/>
    <w:rsid w:val="00260FEC"/>
    <w:rsid w:val="002610D3"/>
    <w:rsid w:val="002613A0"/>
    <w:rsid w:val="00261B61"/>
    <w:rsid w:val="00261DD6"/>
    <w:rsid w:val="00262A50"/>
    <w:rsid w:val="002657E2"/>
    <w:rsid w:val="00267FAA"/>
    <w:rsid w:val="00271D68"/>
    <w:rsid w:val="00271E0B"/>
    <w:rsid w:val="002727CC"/>
    <w:rsid w:val="00273077"/>
    <w:rsid w:val="00273679"/>
    <w:rsid w:val="00275CC4"/>
    <w:rsid w:val="002767EE"/>
    <w:rsid w:val="00281A35"/>
    <w:rsid w:val="00281AD9"/>
    <w:rsid w:val="00281DA5"/>
    <w:rsid w:val="00282956"/>
    <w:rsid w:val="00283568"/>
    <w:rsid w:val="00284486"/>
    <w:rsid w:val="00285118"/>
    <w:rsid w:val="00285644"/>
    <w:rsid w:val="0028581E"/>
    <w:rsid w:val="00286CFD"/>
    <w:rsid w:val="00287034"/>
    <w:rsid w:val="0028757D"/>
    <w:rsid w:val="00287DB9"/>
    <w:rsid w:val="00291497"/>
    <w:rsid w:val="00291D61"/>
    <w:rsid w:val="0029209D"/>
    <w:rsid w:val="00293491"/>
    <w:rsid w:val="002934DF"/>
    <w:rsid w:val="00294301"/>
    <w:rsid w:val="00295D6A"/>
    <w:rsid w:val="00295F53"/>
    <w:rsid w:val="00296AE5"/>
    <w:rsid w:val="00296D46"/>
    <w:rsid w:val="00297D7D"/>
    <w:rsid w:val="002A0FB8"/>
    <w:rsid w:val="002A19D4"/>
    <w:rsid w:val="002A1B97"/>
    <w:rsid w:val="002A1FC1"/>
    <w:rsid w:val="002A3A25"/>
    <w:rsid w:val="002A42EA"/>
    <w:rsid w:val="002A4AE4"/>
    <w:rsid w:val="002A5191"/>
    <w:rsid w:val="002A57D2"/>
    <w:rsid w:val="002A6193"/>
    <w:rsid w:val="002A66CD"/>
    <w:rsid w:val="002A7BD4"/>
    <w:rsid w:val="002A7F32"/>
    <w:rsid w:val="002B1648"/>
    <w:rsid w:val="002B2042"/>
    <w:rsid w:val="002B20A1"/>
    <w:rsid w:val="002B226E"/>
    <w:rsid w:val="002B3E72"/>
    <w:rsid w:val="002B41E5"/>
    <w:rsid w:val="002B46D4"/>
    <w:rsid w:val="002B531B"/>
    <w:rsid w:val="002B54CF"/>
    <w:rsid w:val="002B592B"/>
    <w:rsid w:val="002B61C0"/>
    <w:rsid w:val="002B6533"/>
    <w:rsid w:val="002B68BD"/>
    <w:rsid w:val="002C02B9"/>
    <w:rsid w:val="002C0440"/>
    <w:rsid w:val="002C06E4"/>
    <w:rsid w:val="002C0DC2"/>
    <w:rsid w:val="002C1E37"/>
    <w:rsid w:val="002C255D"/>
    <w:rsid w:val="002C2EA7"/>
    <w:rsid w:val="002C33B4"/>
    <w:rsid w:val="002C4046"/>
    <w:rsid w:val="002C458A"/>
    <w:rsid w:val="002C51B6"/>
    <w:rsid w:val="002C711A"/>
    <w:rsid w:val="002D15E8"/>
    <w:rsid w:val="002D1819"/>
    <w:rsid w:val="002D1BE4"/>
    <w:rsid w:val="002D1D6C"/>
    <w:rsid w:val="002D4AE8"/>
    <w:rsid w:val="002D7463"/>
    <w:rsid w:val="002E1C06"/>
    <w:rsid w:val="002E1E21"/>
    <w:rsid w:val="002E2418"/>
    <w:rsid w:val="002E4F9B"/>
    <w:rsid w:val="002E5015"/>
    <w:rsid w:val="002E55B9"/>
    <w:rsid w:val="002E5C3A"/>
    <w:rsid w:val="002E647A"/>
    <w:rsid w:val="002E6AD8"/>
    <w:rsid w:val="002E6BF7"/>
    <w:rsid w:val="002E78B1"/>
    <w:rsid w:val="002E7ACF"/>
    <w:rsid w:val="002F02B9"/>
    <w:rsid w:val="002F0C1A"/>
    <w:rsid w:val="002F0CE9"/>
    <w:rsid w:val="002F0FC5"/>
    <w:rsid w:val="002F3BD0"/>
    <w:rsid w:val="002F3DBF"/>
    <w:rsid w:val="002F58D8"/>
    <w:rsid w:val="002F5FCB"/>
    <w:rsid w:val="002F69C1"/>
    <w:rsid w:val="002F6F44"/>
    <w:rsid w:val="002F77DA"/>
    <w:rsid w:val="0030032A"/>
    <w:rsid w:val="003005D5"/>
    <w:rsid w:val="003007B1"/>
    <w:rsid w:val="00300A0B"/>
    <w:rsid w:val="003014A1"/>
    <w:rsid w:val="00301F46"/>
    <w:rsid w:val="003026E8"/>
    <w:rsid w:val="003037E1"/>
    <w:rsid w:val="00303CAD"/>
    <w:rsid w:val="00303CD6"/>
    <w:rsid w:val="00303E71"/>
    <w:rsid w:val="00304172"/>
    <w:rsid w:val="00304E7C"/>
    <w:rsid w:val="00306418"/>
    <w:rsid w:val="003074B3"/>
    <w:rsid w:val="003100F3"/>
    <w:rsid w:val="003107D9"/>
    <w:rsid w:val="00310B76"/>
    <w:rsid w:val="00310C11"/>
    <w:rsid w:val="00310FA6"/>
    <w:rsid w:val="00311D8B"/>
    <w:rsid w:val="00312456"/>
    <w:rsid w:val="00315604"/>
    <w:rsid w:val="00315651"/>
    <w:rsid w:val="00316600"/>
    <w:rsid w:val="0031664C"/>
    <w:rsid w:val="00316EEE"/>
    <w:rsid w:val="003172EC"/>
    <w:rsid w:val="00320F16"/>
    <w:rsid w:val="0032170B"/>
    <w:rsid w:val="00321C43"/>
    <w:rsid w:val="003221F7"/>
    <w:rsid w:val="003225B5"/>
    <w:rsid w:val="00322AF7"/>
    <w:rsid w:val="00322F72"/>
    <w:rsid w:val="00323325"/>
    <w:rsid w:val="0032354F"/>
    <w:rsid w:val="00323F56"/>
    <w:rsid w:val="00324372"/>
    <w:rsid w:val="003243B0"/>
    <w:rsid w:val="00325EC0"/>
    <w:rsid w:val="0032692F"/>
    <w:rsid w:val="00326A39"/>
    <w:rsid w:val="00330729"/>
    <w:rsid w:val="00330DA7"/>
    <w:rsid w:val="00332F55"/>
    <w:rsid w:val="00333116"/>
    <w:rsid w:val="003340EC"/>
    <w:rsid w:val="003345D8"/>
    <w:rsid w:val="00334F60"/>
    <w:rsid w:val="003350FF"/>
    <w:rsid w:val="0033581B"/>
    <w:rsid w:val="00335E24"/>
    <w:rsid w:val="003374B1"/>
    <w:rsid w:val="0034057C"/>
    <w:rsid w:val="003407FA"/>
    <w:rsid w:val="00340D51"/>
    <w:rsid w:val="00341DA8"/>
    <w:rsid w:val="00342BF2"/>
    <w:rsid w:val="00343417"/>
    <w:rsid w:val="00345880"/>
    <w:rsid w:val="00346926"/>
    <w:rsid w:val="003472DE"/>
    <w:rsid w:val="00350142"/>
    <w:rsid w:val="00350D3D"/>
    <w:rsid w:val="003514F4"/>
    <w:rsid w:val="00352BAE"/>
    <w:rsid w:val="003535F4"/>
    <w:rsid w:val="00353724"/>
    <w:rsid w:val="00353B6D"/>
    <w:rsid w:val="00354920"/>
    <w:rsid w:val="00355DC6"/>
    <w:rsid w:val="003565AB"/>
    <w:rsid w:val="00357700"/>
    <w:rsid w:val="003604D7"/>
    <w:rsid w:val="00360D94"/>
    <w:rsid w:val="00361176"/>
    <w:rsid w:val="0036164E"/>
    <w:rsid w:val="0036194F"/>
    <w:rsid w:val="003627C6"/>
    <w:rsid w:val="0036351E"/>
    <w:rsid w:val="00363615"/>
    <w:rsid w:val="00364521"/>
    <w:rsid w:val="00365026"/>
    <w:rsid w:val="0036506C"/>
    <w:rsid w:val="00366353"/>
    <w:rsid w:val="00367F82"/>
    <w:rsid w:val="00370CB0"/>
    <w:rsid w:val="003717CF"/>
    <w:rsid w:val="00372798"/>
    <w:rsid w:val="00372803"/>
    <w:rsid w:val="00373387"/>
    <w:rsid w:val="003749EC"/>
    <w:rsid w:val="003756AF"/>
    <w:rsid w:val="00375815"/>
    <w:rsid w:val="003758FD"/>
    <w:rsid w:val="00375E9B"/>
    <w:rsid w:val="00377383"/>
    <w:rsid w:val="003778BD"/>
    <w:rsid w:val="00380441"/>
    <w:rsid w:val="00380BDB"/>
    <w:rsid w:val="003811BA"/>
    <w:rsid w:val="00381431"/>
    <w:rsid w:val="00381447"/>
    <w:rsid w:val="00382696"/>
    <w:rsid w:val="00382E61"/>
    <w:rsid w:val="0038358D"/>
    <w:rsid w:val="003838C0"/>
    <w:rsid w:val="00383D33"/>
    <w:rsid w:val="0038438A"/>
    <w:rsid w:val="003864D2"/>
    <w:rsid w:val="00390249"/>
    <w:rsid w:val="00390BF8"/>
    <w:rsid w:val="00390D40"/>
    <w:rsid w:val="0039109D"/>
    <w:rsid w:val="00392877"/>
    <w:rsid w:val="00392E12"/>
    <w:rsid w:val="0039353B"/>
    <w:rsid w:val="003942BA"/>
    <w:rsid w:val="00394B72"/>
    <w:rsid w:val="00394C37"/>
    <w:rsid w:val="00394D7E"/>
    <w:rsid w:val="003956E9"/>
    <w:rsid w:val="00395809"/>
    <w:rsid w:val="00395EB4"/>
    <w:rsid w:val="003963CA"/>
    <w:rsid w:val="003965EC"/>
    <w:rsid w:val="00396BA0"/>
    <w:rsid w:val="00396CF5"/>
    <w:rsid w:val="00397543"/>
    <w:rsid w:val="00397BC9"/>
    <w:rsid w:val="003A0927"/>
    <w:rsid w:val="003A0E17"/>
    <w:rsid w:val="003A0EBA"/>
    <w:rsid w:val="003A16DB"/>
    <w:rsid w:val="003A24F5"/>
    <w:rsid w:val="003A349F"/>
    <w:rsid w:val="003A357E"/>
    <w:rsid w:val="003A461D"/>
    <w:rsid w:val="003A6126"/>
    <w:rsid w:val="003A6663"/>
    <w:rsid w:val="003A6E62"/>
    <w:rsid w:val="003A6E68"/>
    <w:rsid w:val="003A78B5"/>
    <w:rsid w:val="003A7B37"/>
    <w:rsid w:val="003A7BE8"/>
    <w:rsid w:val="003A7C85"/>
    <w:rsid w:val="003A7FBE"/>
    <w:rsid w:val="003B0074"/>
    <w:rsid w:val="003B0B01"/>
    <w:rsid w:val="003B0D09"/>
    <w:rsid w:val="003B0EDD"/>
    <w:rsid w:val="003B1454"/>
    <w:rsid w:val="003B14CB"/>
    <w:rsid w:val="003B165A"/>
    <w:rsid w:val="003B1A7B"/>
    <w:rsid w:val="003B2140"/>
    <w:rsid w:val="003B5897"/>
    <w:rsid w:val="003B5AD4"/>
    <w:rsid w:val="003B5D41"/>
    <w:rsid w:val="003B6BEF"/>
    <w:rsid w:val="003B794E"/>
    <w:rsid w:val="003C0AFA"/>
    <w:rsid w:val="003C1B21"/>
    <w:rsid w:val="003C28B8"/>
    <w:rsid w:val="003C497F"/>
    <w:rsid w:val="003C52A2"/>
    <w:rsid w:val="003C5327"/>
    <w:rsid w:val="003C5753"/>
    <w:rsid w:val="003C5C01"/>
    <w:rsid w:val="003C6934"/>
    <w:rsid w:val="003C798E"/>
    <w:rsid w:val="003C7ACC"/>
    <w:rsid w:val="003C7FD0"/>
    <w:rsid w:val="003D0268"/>
    <w:rsid w:val="003D118A"/>
    <w:rsid w:val="003D1A43"/>
    <w:rsid w:val="003D1A64"/>
    <w:rsid w:val="003D1BFF"/>
    <w:rsid w:val="003D5FF4"/>
    <w:rsid w:val="003D624F"/>
    <w:rsid w:val="003D75E8"/>
    <w:rsid w:val="003D778F"/>
    <w:rsid w:val="003E1166"/>
    <w:rsid w:val="003E31E5"/>
    <w:rsid w:val="003E32ED"/>
    <w:rsid w:val="003E3A39"/>
    <w:rsid w:val="003E47E0"/>
    <w:rsid w:val="003E58C9"/>
    <w:rsid w:val="003E5AD4"/>
    <w:rsid w:val="003E6100"/>
    <w:rsid w:val="003E61DD"/>
    <w:rsid w:val="003E655E"/>
    <w:rsid w:val="003E68B5"/>
    <w:rsid w:val="003E7C65"/>
    <w:rsid w:val="003F0DFC"/>
    <w:rsid w:val="003F164F"/>
    <w:rsid w:val="003F1A16"/>
    <w:rsid w:val="003F3997"/>
    <w:rsid w:val="003F5558"/>
    <w:rsid w:val="003F5B65"/>
    <w:rsid w:val="003F650B"/>
    <w:rsid w:val="003F7D12"/>
    <w:rsid w:val="003F7E89"/>
    <w:rsid w:val="004004E9"/>
    <w:rsid w:val="004005A1"/>
    <w:rsid w:val="0040101B"/>
    <w:rsid w:val="004011BD"/>
    <w:rsid w:val="0040185F"/>
    <w:rsid w:val="00401E7C"/>
    <w:rsid w:val="004030F5"/>
    <w:rsid w:val="004052C5"/>
    <w:rsid w:val="004059FB"/>
    <w:rsid w:val="00406B9B"/>
    <w:rsid w:val="00407715"/>
    <w:rsid w:val="00407A93"/>
    <w:rsid w:val="004100AA"/>
    <w:rsid w:val="00410CD2"/>
    <w:rsid w:val="00412203"/>
    <w:rsid w:val="004134C9"/>
    <w:rsid w:val="00413D17"/>
    <w:rsid w:val="00414814"/>
    <w:rsid w:val="00414F9B"/>
    <w:rsid w:val="004153E3"/>
    <w:rsid w:val="00415D63"/>
    <w:rsid w:val="00416D4C"/>
    <w:rsid w:val="00417C10"/>
    <w:rsid w:val="00417DE3"/>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30482"/>
    <w:rsid w:val="0043142A"/>
    <w:rsid w:val="00431C6D"/>
    <w:rsid w:val="00431CE3"/>
    <w:rsid w:val="004321C5"/>
    <w:rsid w:val="004324CF"/>
    <w:rsid w:val="0043257A"/>
    <w:rsid w:val="00432FB6"/>
    <w:rsid w:val="00433645"/>
    <w:rsid w:val="004339FC"/>
    <w:rsid w:val="00433B88"/>
    <w:rsid w:val="00434202"/>
    <w:rsid w:val="004344E2"/>
    <w:rsid w:val="00435661"/>
    <w:rsid w:val="004356F7"/>
    <w:rsid w:val="00436FD3"/>
    <w:rsid w:val="00437789"/>
    <w:rsid w:val="004406CF"/>
    <w:rsid w:val="00441804"/>
    <w:rsid w:val="004435B4"/>
    <w:rsid w:val="00443A63"/>
    <w:rsid w:val="004448B0"/>
    <w:rsid w:val="00444B20"/>
    <w:rsid w:val="0044550A"/>
    <w:rsid w:val="00447CC0"/>
    <w:rsid w:val="00447F7D"/>
    <w:rsid w:val="00451065"/>
    <w:rsid w:val="0045504F"/>
    <w:rsid w:val="00456223"/>
    <w:rsid w:val="00460032"/>
    <w:rsid w:val="0046048A"/>
    <w:rsid w:val="00460BA0"/>
    <w:rsid w:val="00463AE9"/>
    <w:rsid w:val="00463D81"/>
    <w:rsid w:val="004641EB"/>
    <w:rsid w:val="00465C75"/>
    <w:rsid w:val="00466346"/>
    <w:rsid w:val="00466604"/>
    <w:rsid w:val="004702B0"/>
    <w:rsid w:val="00472003"/>
    <w:rsid w:val="0047317B"/>
    <w:rsid w:val="004751D6"/>
    <w:rsid w:val="00475E6B"/>
    <w:rsid w:val="00476BA1"/>
    <w:rsid w:val="00476E2C"/>
    <w:rsid w:val="004777D3"/>
    <w:rsid w:val="00477DBA"/>
    <w:rsid w:val="00477E20"/>
    <w:rsid w:val="00480707"/>
    <w:rsid w:val="00480938"/>
    <w:rsid w:val="00480BB8"/>
    <w:rsid w:val="00481D51"/>
    <w:rsid w:val="00483482"/>
    <w:rsid w:val="00483936"/>
    <w:rsid w:val="00483AAE"/>
    <w:rsid w:val="0048519E"/>
    <w:rsid w:val="004851D5"/>
    <w:rsid w:val="00485C4A"/>
    <w:rsid w:val="00485E3E"/>
    <w:rsid w:val="00485EC7"/>
    <w:rsid w:val="004860BD"/>
    <w:rsid w:val="0048742F"/>
    <w:rsid w:val="00487430"/>
    <w:rsid w:val="00490CC6"/>
    <w:rsid w:val="00492B02"/>
    <w:rsid w:val="00492B6A"/>
    <w:rsid w:val="00495DAC"/>
    <w:rsid w:val="00496768"/>
    <w:rsid w:val="00497C24"/>
    <w:rsid w:val="004A071D"/>
    <w:rsid w:val="004A0A7B"/>
    <w:rsid w:val="004A0BB0"/>
    <w:rsid w:val="004A1646"/>
    <w:rsid w:val="004A260B"/>
    <w:rsid w:val="004A26CD"/>
    <w:rsid w:val="004A2C97"/>
    <w:rsid w:val="004A300B"/>
    <w:rsid w:val="004A3584"/>
    <w:rsid w:val="004A466C"/>
    <w:rsid w:val="004A5121"/>
    <w:rsid w:val="004A577A"/>
    <w:rsid w:val="004A5780"/>
    <w:rsid w:val="004A61D0"/>
    <w:rsid w:val="004A6ECB"/>
    <w:rsid w:val="004A76C5"/>
    <w:rsid w:val="004A7990"/>
    <w:rsid w:val="004B1796"/>
    <w:rsid w:val="004B1CC2"/>
    <w:rsid w:val="004B1DF4"/>
    <w:rsid w:val="004B372C"/>
    <w:rsid w:val="004B591D"/>
    <w:rsid w:val="004B6078"/>
    <w:rsid w:val="004B63BD"/>
    <w:rsid w:val="004B7387"/>
    <w:rsid w:val="004B7542"/>
    <w:rsid w:val="004B769A"/>
    <w:rsid w:val="004B7DB2"/>
    <w:rsid w:val="004C14AC"/>
    <w:rsid w:val="004C201C"/>
    <w:rsid w:val="004C3224"/>
    <w:rsid w:val="004C36E5"/>
    <w:rsid w:val="004C4ACC"/>
    <w:rsid w:val="004C6B28"/>
    <w:rsid w:val="004C6F68"/>
    <w:rsid w:val="004C74C3"/>
    <w:rsid w:val="004C7AA9"/>
    <w:rsid w:val="004C7E83"/>
    <w:rsid w:val="004C7F28"/>
    <w:rsid w:val="004D0A3B"/>
    <w:rsid w:val="004D1C06"/>
    <w:rsid w:val="004D2B43"/>
    <w:rsid w:val="004D2D1A"/>
    <w:rsid w:val="004D2F08"/>
    <w:rsid w:val="004D452E"/>
    <w:rsid w:val="004D45DF"/>
    <w:rsid w:val="004D583C"/>
    <w:rsid w:val="004D5DB3"/>
    <w:rsid w:val="004D6BFF"/>
    <w:rsid w:val="004D7B0B"/>
    <w:rsid w:val="004E1DCE"/>
    <w:rsid w:val="004E2126"/>
    <w:rsid w:val="004E24D9"/>
    <w:rsid w:val="004E345F"/>
    <w:rsid w:val="004E3BBA"/>
    <w:rsid w:val="004E401B"/>
    <w:rsid w:val="004E41C7"/>
    <w:rsid w:val="004E4274"/>
    <w:rsid w:val="004E4726"/>
    <w:rsid w:val="004E59B8"/>
    <w:rsid w:val="004E5EAD"/>
    <w:rsid w:val="004E6A3B"/>
    <w:rsid w:val="004E7DB7"/>
    <w:rsid w:val="004F1A6A"/>
    <w:rsid w:val="004F1E2D"/>
    <w:rsid w:val="004F2D88"/>
    <w:rsid w:val="004F3D21"/>
    <w:rsid w:val="004F44D0"/>
    <w:rsid w:val="004F583D"/>
    <w:rsid w:val="004F60EF"/>
    <w:rsid w:val="004F66B6"/>
    <w:rsid w:val="004F7B6E"/>
    <w:rsid w:val="005000AA"/>
    <w:rsid w:val="005034EE"/>
    <w:rsid w:val="005059CD"/>
    <w:rsid w:val="00506429"/>
    <w:rsid w:val="00506E71"/>
    <w:rsid w:val="005070C3"/>
    <w:rsid w:val="00507A11"/>
    <w:rsid w:val="00507C00"/>
    <w:rsid w:val="0051276F"/>
    <w:rsid w:val="00512D06"/>
    <w:rsid w:val="005130AC"/>
    <w:rsid w:val="005130CC"/>
    <w:rsid w:val="0051676E"/>
    <w:rsid w:val="005178F8"/>
    <w:rsid w:val="00520212"/>
    <w:rsid w:val="005220BE"/>
    <w:rsid w:val="00522CC8"/>
    <w:rsid w:val="005244D0"/>
    <w:rsid w:val="005248FB"/>
    <w:rsid w:val="00526575"/>
    <w:rsid w:val="00531DFA"/>
    <w:rsid w:val="00532546"/>
    <w:rsid w:val="00532842"/>
    <w:rsid w:val="005334E8"/>
    <w:rsid w:val="00533B79"/>
    <w:rsid w:val="00533FD4"/>
    <w:rsid w:val="00534258"/>
    <w:rsid w:val="00534815"/>
    <w:rsid w:val="00535F37"/>
    <w:rsid w:val="00536006"/>
    <w:rsid w:val="005370F3"/>
    <w:rsid w:val="005411EA"/>
    <w:rsid w:val="00541AD6"/>
    <w:rsid w:val="005421AC"/>
    <w:rsid w:val="00542B5F"/>
    <w:rsid w:val="00542D5F"/>
    <w:rsid w:val="005435DE"/>
    <w:rsid w:val="00543AD3"/>
    <w:rsid w:val="005441AD"/>
    <w:rsid w:val="00544916"/>
    <w:rsid w:val="00544C28"/>
    <w:rsid w:val="005452AA"/>
    <w:rsid w:val="0054589F"/>
    <w:rsid w:val="00546769"/>
    <w:rsid w:val="00546998"/>
    <w:rsid w:val="00546BAE"/>
    <w:rsid w:val="00546C4E"/>
    <w:rsid w:val="00547C2B"/>
    <w:rsid w:val="005502D2"/>
    <w:rsid w:val="00550C2F"/>
    <w:rsid w:val="005525C5"/>
    <w:rsid w:val="00552623"/>
    <w:rsid w:val="00552EBD"/>
    <w:rsid w:val="00553108"/>
    <w:rsid w:val="00553827"/>
    <w:rsid w:val="00553943"/>
    <w:rsid w:val="00553988"/>
    <w:rsid w:val="00554A04"/>
    <w:rsid w:val="00554B85"/>
    <w:rsid w:val="00555F71"/>
    <w:rsid w:val="005601B9"/>
    <w:rsid w:val="00561938"/>
    <w:rsid w:val="00563BEB"/>
    <w:rsid w:val="00566849"/>
    <w:rsid w:val="00566F49"/>
    <w:rsid w:val="00570981"/>
    <w:rsid w:val="00571CE1"/>
    <w:rsid w:val="00571D56"/>
    <w:rsid w:val="0057318B"/>
    <w:rsid w:val="005740F6"/>
    <w:rsid w:val="005743D2"/>
    <w:rsid w:val="00575905"/>
    <w:rsid w:val="00577102"/>
    <w:rsid w:val="005774D1"/>
    <w:rsid w:val="005802BD"/>
    <w:rsid w:val="00580BBC"/>
    <w:rsid w:val="00581A10"/>
    <w:rsid w:val="00581ABD"/>
    <w:rsid w:val="00583D42"/>
    <w:rsid w:val="00584F84"/>
    <w:rsid w:val="0058655A"/>
    <w:rsid w:val="00586586"/>
    <w:rsid w:val="00586C18"/>
    <w:rsid w:val="00586FA8"/>
    <w:rsid w:val="00587A4C"/>
    <w:rsid w:val="00587F23"/>
    <w:rsid w:val="0059068D"/>
    <w:rsid w:val="00591E3A"/>
    <w:rsid w:val="00592397"/>
    <w:rsid w:val="00592977"/>
    <w:rsid w:val="00593673"/>
    <w:rsid w:val="00593CB4"/>
    <w:rsid w:val="00593E68"/>
    <w:rsid w:val="00594652"/>
    <w:rsid w:val="005948CA"/>
    <w:rsid w:val="0059552A"/>
    <w:rsid w:val="00597B3C"/>
    <w:rsid w:val="005A0362"/>
    <w:rsid w:val="005A11E2"/>
    <w:rsid w:val="005A184C"/>
    <w:rsid w:val="005A237B"/>
    <w:rsid w:val="005A474A"/>
    <w:rsid w:val="005A52AC"/>
    <w:rsid w:val="005A5EB9"/>
    <w:rsid w:val="005A5F83"/>
    <w:rsid w:val="005A62BE"/>
    <w:rsid w:val="005A7188"/>
    <w:rsid w:val="005B0028"/>
    <w:rsid w:val="005B056B"/>
    <w:rsid w:val="005B08E6"/>
    <w:rsid w:val="005B0D7C"/>
    <w:rsid w:val="005B0E86"/>
    <w:rsid w:val="005B1855"/>
    <w:rsid w:val="005B1914"/>
    <w:rsid w:val="005B1ADD"/>
    <w:rsid w:val="005B2307"/>
    <w:rsid w:val="005B290B"/>
    <w:rsid w:val="005B3306"/>
    <w:rsid w:val="005B34BE"/>
    <w:rsid w:val="005B39F2"/>
    <w:rsid w:val="005B5CB1"/>
    <w:rsid w:val="005B5CC4"/>
    <w:rsid w:val="005B6585"/>
    <w:rsid w:val="005B6854"/>
    <w:rsid w:val="005B7D18"/>
    <w:rsid w:val="005B7EA6"/>
    <w:rsid w:val="005C1824"/>
    <w:rsid w:val="005C1943"/>
    <w:rsid w:val="005C2452"/>
    <w:rsid w:val="005C2FFD"/>
    <w:rsid w:val="005C37A0"/>
    <w:rsid w:val="005C3851"/>
    <w:rsid w:val="005C4034"/>
    <w:rsid w:val="005C483A"/>
    <w:rsid w:val="005C5A57"/>
    <w:rsid w:val="005C5FED"/>
    <w:rsid w:val="005C651C"/>
    <w:rsid w:val="005C656A"/>
    <w:rsid w:val="005C7FA3"/>
    <w:rsid w:val="005D09C1"/>
    <w:rsid w:val="005D120B"/>
    <w:rsid w:val="005D1427"/>
    <w:rsid w:val="005D2178"/>
    <w:rsid w:val="005D22D3"/>
    <w:rsid w:val="005D2411"/>
    <w:rsid w:val="005D457F"/>
    <w:rsid w:val="005D49C8"/>
    <w:rsid w:val="005D5607"/>
    <w:rsid w:val="005D5DA0"/>
    <w:rsid w:val="005D602C"/>
    <w:rsid w:val="005D63F4"/>
    <w:rsid w:val="005D6A2B"/>
    <w:rsid w:val="005D6AD9"/>
    <w:rsid w:val="005D72F9"/>
    <w:rsid w:val="005D7A98"/>
    <w:rsid w:val="005E1EE5"/>
    <w:rsid w:val="005E37E9"/>
    <w:rsid w:val="005E4B8C"/>
    <w:rsid w:val="005E50A8"/>
    <w:rsid w:val="005E512C"/>
    <w:rsid w:val="005E750A"/>
    <w:rsid w:val="005F001D"/>
    <w:rsid w:val="005F03DB"/>
    <w:rsid w:val="005F268F"/>
    <w:rsid w:val="005F2C8A"/>
    <w:rsid w:val="005F3B37"/>
    <w:rsid w:val="005F48F1"/>
    <w:rsid w:val="005F605D"/>
    <w:rsid w:val="005F6158"/>
    <w:rsid w:val="005F71AB"/>
    <w:rsid w:val="005F761F"/>
    <w:rsid w:val="0060008D"/>
    <w:rsid w:val="0060077A"/>
    <w:rsid w:val="00601011"/>
    <w:rsid w:val="00601DEF"/>
    <w:rsid w:val="00601E59"/>
    <w:rsid w:val="00602CC0"/>
    <w:rsid w:val="006034C1"/>
    <w:rsid w:val="00603A46"/>
    <w:rsid w:val="00604E52"/>
    <w:rsid w:val="00606194"/>
    <w:rsid w:val="006072D7"/>
    <w:rsid w:val="0061115C"/>
    <w:rsid w:val="00611550"/>
    <w:rsid w:val="00611A49"/>
    <w:rsid w:val="006126E4"/>
    <w:rsid w:val="00613017"/>
    <w:rsid w:val="00613A54"/>
    <w:rsid w:val="00614EBF"/>
    <w:rsid w:val="00615C0E"/>
    <w:rsid w:val="00616189"/>
    <w:rsid w:val="00616297"/>
    <w:rsid w:val="006170EF"/>
    <w:rsid w:val="006172A0"/>
    <w:rsid w:val="006174B6"/>
    <w:rsid w:val="00617E7B"/>
    <w:rsid w:val="0062078C"/>
    <w:rsid w:val="00620868"/>
    <w:rsid w:val="00620C3E"/>
    <w:rsid w:val="00620E8F"/>
    <w:rsid w:val="00621760"/>
    <w:rsid w:val="006217BB"/>
    <w:rsid w:val="00623CC7"/>
    <w:rsid w:val="0062404F"/>
    <w:rsid w:val="00624AAD"/>
    <w:rsid w:val="00625BD5"/>
    <w:rsid w:val="00625C0E"/>
    <w:rsid w:val="00625DFB"/>
    <w:rsid w:val="006277B7"/>
    <w:rsid w:val="00627A01"/>
    <w:rsid w:val="00630438"/>
    <w:rsid w:val="006318F7"/>
    <w:rsid w:val="00632139"/>
    <w:rsid w:val="006325E4"/>
    <w:rsid w:val="00633E0D"/>
    <w:rsid w:val="006342A2"/>
    <w:rsid w:val="00634D1A"/>
    <w:rsid w:val="00637179"/>
    <w:rsid w:val="00637D3A"/>
    <w:rsid w:val="006407AA"/>
    <w:rsid w:val="00640BD8"/>
    <w:rsid w:val="00640EF8"/>
    <w:rsid w:val="00641804"/>
    <w:rsid w:val="006418ED"/>
    <w:rsid w:val="00641C5F"/>
    <w:rsid w:val="00642A9E"/>
    <w:rsid w:val="00642B13"/>
    <w:rsid w:val="006431FF"/>
    <w:rsid w:val="0064345F"/>
    <w:rsid w:val="00643C2B"/>
    <w:rsid w:val="00645F7D"/>
    <w:rsid w:val="00646100"/>
    <w:rsid w:val="006476CA"/>
    <w:rsid w:val="006544EC"/>
    <w:rsid w:val="00654855"/>
    <w:rsid w:val="00654967"/>
    <w:rsid w:val="006552AE"/>
    <w:rsid w:val="00655773"/>
    <w:rsid w:val="00656364"/>
    <w:rsid w:val="006563CA"/>
    <w:rsid w:val="00656491"/>
    <w:rsid w:val="0065686E"/>
    <w:rsid w:val="00656A7B"/>
    <w:rsid w:val="006578FC"/>
    <w:rsid w:val="00657AAB"/>
    <w:rsid w:val="006608AB"/>
    <w:rsid w:val="0066143F"/>
    <w:rsid w:val="006620DA"/>
    <w:rsid w:val="00662C42"/>
    <w:rsid w:val="0066370E"/>
    <w:rsid w:val="00664587"/>
    <w:rsid w:val="00666BD7"/>
    <w:rsid w:val="00666F25"/>
    <w:rsid w:val="00667C1C"/>
    <w:rsid w:val="0067001F"/>
    <w:rsid w:val="00670A43"/>
    <w:rsid w:val="00671495"/>
    <w:rsid w:val="006725FC"/>
    <w:rsid w:val="0067273A"/>
    <w:rsid w:val="00673510"/>
    <w:rsid w:val="00673A41"/>
    <w:rsid w:val="00673B95"/>
    <w:rsid w:val="00673DD4"/>
    <w:rsid w:val="00674AEB"/>
    <w:rsid w:val="0067655A"/>
    <w:rsid w:val="0067785F"/>
    <w:rsid w:val="006811F2"/>
    <w:rsid w:val="00681785"/>
    <w:rsid w:val="006828D8"/>
    <w:rsid w:val="00682AD1"/>
    <w:rsid w:val="0068455C"/>
    <w:rsid w:val="00684887"/>
    <w:rsid w:val="006850CE"/>
    <w:rsid w:val="006867FA"/>
    <w:rsid w:val="00687C4D"/>
    <w:rsid w:val="00691804"/>
    <w:rsid w:val="00691B69"/>
    <w:rsid w:val="00692778"/>
    <w:rsid w:val="00692F47"/>
    <w:rsid w:val="00693AAD"/>
    <w:rsid w:val="00693BD3"/>
    <w:rsid w:val="00693C8E"/>
    <w:rsid w:val="006969BA"/>
    <w:rsid w:val="00696C0F"/>
    <w:rsid w:val="00697FF1"/>
    <w:rsid w:val="006A026A"/>
    <w:rsid w:val="006A0425"/>
    <w:rsid w:val="006A1D62"/>
    <w:rsid w:val="006A2CD8"/>
    <w:rsid w:val="006A4B87"/>
    <w:rsid w:val="006A4EAE"/>
    <w:rsid w:val="006A56C3"/>
    <w:rsid w:val="006A59BC"/>
    <w:rsid w:val="006A5A3A"/>
    <w:rsid w:val="006A6B88"/>
    <w:rsid w:val="006A6D7F"/>
    <w:rsid w:val="006A7A69"/>
    <w:rsid w:val="006B0298"/>
    <w:rsid w:val="006B0E83"/>
    <w:rsid w:val="006B2A0C"/>
    <w:rsid w:val="006B490F"/>
    <w:rsid w:val="006B49BC"/>
    <w:rsid w:val="006B4CDA"/>
    <w:rsid w:val="006B5493"/>
    <w:rsid w:val="006B580F"/>
    <w:rsid w:val="006B72E4"/>
    <w:rsid w:val="006B7584"/>
    <w:rsid w:val="006B77E2"/>
    <w:rsid w:val="006C10C0"/>
    <w:rsid w:val="006C1136"/>
    <w:rsid w:val="006C1B1D"/>
    <w:rsid w:val="006C32BB"/>
    <w:rsid w:val="006C3747"/>
    <w:rsid w:val="006C3DED"/>
    <w:rsid w:val="006C41A8"/>
    <w:rsid w:val="006C6AD3"/>
    <w:rsid w:val="006C7015"/>
    <w:rsid w:val="006C7760"/>
    <w:rsid w:val="006C7776"/>
    <w:rsid w:val="006C79C0"/>
    <w:rsid w:val="006C7EEA"/>
    <w:rsid w:val="006D052F"/>
    <w:rsid w:val="006D07CA"/>
    <w:rsid w:val="006D174B"/>
    <w:rsid w:val="006D1DEB"/>
    <w:rsid w:val="006D1F0C"/>
    <w:rsid w:val="006D233A"/>
    <w:rsid w:val="006D3356"/>
    <w:rsid w:val="006D3563"/>
    <w:rsid w:val="006D522C"/>
    <w:rsid w:val="006D56AA"/>
    <w:rsid w:val="006D6D9B"/>
    <w:rsid w:val="006D7795"/>
    <w:rsid w:val="006D7ACB"/>
    <w:rsid w:val="006E00EF"/>
    <w:rsid w:val="006E06BB"/>
    <w:rsid w:val="006E190A"/>
    <w:rsid w:val="006E1A7A"/>
    <w:rsid w:val="006E4632"/>
    <w:rsid w:val="006E4723"/>
    <w:rsid w:val="006E477D"/>
    <w:rsid w:val="006E5844"/>
    <w:rsid w:val="006E695D"/>
    <w:rsid w:val="006E716F"/>
    <w:rsid w:val="006E7D89"/>
    <w:rsid w:val="006E7DA9"/>
    <w:rsid w:val="006E7DEE"/>
    <w:rsid w:val="006F01E7"/>
    <w:rsid w:val="006F07D9"/>
    <w:rsid w:val="006F13AA"/>
    <w:rsid w:val="006F1F3A"/>
    <w:rsid w:val="006F20CD"/>
    <w:rsid w:val="006F3C5E"/>
    <w:rsid w:val="006F70DE"/>
    <w:rsid w:val="006F7115"/>
    <w:rsid w:val="006F785E"/>
    <w:rsid w:val="006F7EB8"/>
    <w:rsid w:val="007003A9"/>
    <w:rsid w:val="0070094A"/>
    <w:rsid w:val="00700AA4"/>
    <w:rsid w:val="00702DD7"/>
    <w:rsid w:val="007047D3"/>
    <w:rsid w:val="00705663"/>
    <w:rsid w:val="00705C40"/>
    <w:rsid w:val="007102EC"/>
    <w:rsid w:val="00710757"/>
    <w:rsid w:val="0071087E"/>
    <w:rsid w:val="00710E1B"/>
    <w:rsid w:val="00711898"/>
    <w:rsid w:val="00713EBF"/>
    <w:rsid w:val="00714066"/>
    <w:rsid w:val="007147C2"/>
    <w:rsid w:val="00715B8D"/>
    <w:rsid w:val="00716894"/>
    <w:rsid w:val="007169A8"/>
    <w:rsid w:val="00717A74"/>
    <w:rsid w:val="00720311"/>
    <w:rsid w:val="00721648"/>
    <w:rsid w:val="007218DF"/>
    <w:rsid w:val="00721EB8"/>
    <w:rsid w:val="007229A1"/>
    <w:rsid w:val="00722F18"/>
    <w:rsid w:val="0072347B"/>
    <w:rsid w:val="007235AA"/>
    <w:rsid w:val="00725AEB"/>
    <w:rsid w:val="00725B49"/>
    <w:rsid w:val="00725E35"/>
    <w:rsid w:val="00730151"/>
    <w:rsid w:val="00730D35"/>
    <w:rsid w:val="00732289"/>
    <w:rsid w:val="00732BBB"/>
    <w:rsid w:val="00734267"/>
    <w:rsid w:val="007343FD"/>
    <w:rsid w:val="0073449B"/>
    <w:rsid w:val="0073473F"/>
    <w:rsid w:val="007347F3"/>
    <w:rsid w:val="00734C8F"/>
    <w:rsid w:val="00735915"/>
    <w:rsid w:val="00735C21"/>
    <w:rsid w:val="0073614A"/>
    <w:rsid w:val="00736158"/>
    <w:rsid w:val="007365D5"/>
    <w:rsid w:val="00736E5B"/>
    <w:rsid w:val="00736FF2"/>
    <w:rsid w:val="00736FF9"/>
    <w:rsid w:val="007372A8"/>
    <w:rsid w:val="00740927"/>
    <w:rsid w:val="00740C8C"/>
    <w:rsid w:val="00740E16"/>
    <w:rsid w:val="00741048"/>
    <w:rsid w:val="00741683"/>
    <w:rsid w:val="00741AC4"/>
    <w:rsid w:val="007421DC"/>
    <w:rsid w:val="00742CA5"/>
    <w:rsid w:val="007441D8"/>
    <w:rsid w:val="00744DE1"/>
    <w:rsid w:val="007451C1"/>
    <w:rsid w:val="007460D7"/>
    <w:rsid w:val="00750566"/>
    <w:rsid w:val="007513F0"/>
    <w:rsid w:val="007515BC"/>
    <w:rsid w:val="00752606"/>
    <w:rsid w:val="0075402E"/>
    <w:rsid w:val="00756B83"/>
    <w:rsid w:val="00756D3D"/>
    <w:rsid w:val="007573B2"/>
    <w:rsid w:val="007574BB"/>
    <w:rsid w:val="0075764C"/>
    <w:rsid w:val="00757897"/>
    <w:rsid w:val="007616E5"/>
    <w:rsid w:val="0076204C"/>
    <w:rsid w:val="00762198"/>
    <w:rsid w:val="00762D65"/>
    <w:rsid w:val="00763CE8"/>
    <w:rsid w:val="00765E5E"/>
    <w:rsid w:val="007705F9"/>
    <w:rsid w:val="00770792"/>
    <w:rsid w:val="007709DD"/>
    <w:rsid w:val="007737B5"/>
    <w:rsid w:val="00774BF5"/>
    <w:rsid w:val="00774FFE"/>
    <w:rsid w:val="00775638"/>
    <w:rsid w:val="00775677"/>
    <w:rsid w:val="0077599A"/>
    <w:rsid w:val="00776811"/>
    <w:rsid w:val="0077724D"/>
    <w:rsid w:val="00777353"/>
    <w:rsid w:val="00780CD6"/>
    <w:rsid w:val="00781A64"/>
    <w:rsid w:val="00782EA4"/>
    <w:rsid w:val="00782F1B"/>
    <w:rsid w:val="00785461"/>
    <w:rsid w:val="00785985"/>
    <w:rsid w:val="00786FF3"/>
    <w:rsid w:val="007876CF"/>
    <w:rsid w:val="00787B77"/>
    <w:rsid w:val="00791665"/>
    <w:rsid w:val="00792298"/>
    <w:rsid w:val="00792BE5"/>
    <w:rsid w:val="00793090"/>
    <w:rsid w:val="00795BA7"/>
    <w:rsid w:val="00796C9B"/>
    <w:rsid w:val="00796F2A"/>
    <w:rsid w:val="0079788B"/>
    <w:rsid w:val="007A0176"/>
    <w:rsid w:val="007A0314"/>
    <w:rsid w:val="007A0390"/>
    <w:rsid w:val="007A0F2A"/>
    <w:rsid w:val="007A2F67"/>
    <w:rsid w:val="007A323F"/>
    <w:rsid w:val="007A3918"/>
    <w:rsid w:val="007A5398"/>
    <w:rsid w:val="007A5713"/>
    <w:rsid w:val="007A5B6E"/>
    <w:rsid w:val="007A5D0E"/>
    <w:rsid w:val="007A5D9B"/>
    <w:rsid w:val="007A5E69"/>
    <w:rsid w:val="007A75DF"/>
    <w:rsid w:val="007B0CD9"/>
    <w:rsid w:val="007B0E33"/>
    <w:rsid w:val="007B0E89"/>
    <w:rsid w:val="007B1272"/>
    <w:rsid w:val="007B1F14"/>
    <w:rsid w:val="007B2C38"/>
    <w:rsid w:val="007B2E54"/>
    <w:rsid w:val="007B56A8"/>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C7FFD"/>
    <w:rsid w:val="007D03A1"/>
    <w:rsid w:val="007D1E16"/>
    <w:rsid w:val="007D2A5D"/>
    <w:rsid w:val="007D2F75"/>
    <w:rsid w:val="007D3839"/>
    <w:rsid w:val="007D3967"/>
    <w:rsid w:val="007D3DAA"/>
    <w:rsid w:val="007D5424"/>
    <w:rsid w:val="007D710E"/>
    <w:rsid w:val="007D7952"/>
    <w:rsid w:val="007D7E3A"/>
    <w:rsid w:val="007E1177"/>
    <w:rsid w:val="007E1CCA"/>
    <w:rsid w:val="007E21DA"/>
    <w:rsid w:val="007E22E7"/>
    <w:rsid w:val="007E2893"/>
    <w:rsid w:val="007E3507"/>
    <w:rsid w:val="007E4078"/>
    <w:rsid w:val="007E4232"/>
    <w:rsid w:val="007E5C74"/>
    <w:rsid w:val="007E5F16"/>
    <w:rsid w:val="007E69BB"/>
    <w:rsid w:val="007E6AB8"/>
    <w:rsid w:val="007E6B23"/>
    <w:rsid w:val="007E7E96"/>
    <w:rsid w:val="007F0DF4"/>
    <w:rsid w:val="007F2109"/>
    <w:rsid w:val="007F21C5"/>
    <w:rsid w:val="007F2562"/>
    <w:rsid w:val="007F26EE"/>
    <w:rsid w:val="007F324F"/>
    <w:rsid w:val="007F366D"/>
    <w:rsid w:val="007F3849"/>
    <w:rsid w:val="007F3EF1"/>
    <w:rsid w:val="007F5179"/>
    <w:rsid w:val="007F56C5"/>
    <w:rsid w:val="007F7004"/>
    <w:rsid w:val="0080056E"/>
    <w:rsid w:val="00801457"/>
    <w:rsid w:val="00801BCE"/>
    <w:rsid w:val="00801E7D"/>
    <w:rsid w:val="00802515"/>
    <w:rsid w:val="00803BFF"/>
    <w:rsid w:val="008051F8"/>
    <w:rsid w:val="008057BD"/>
    <w:rsid w:val="00805BE2"/>
    <w:rsid w:val="00806A8E"/>
    <w:rsid w:val="00806ABD"/>
    <w:rsid w:val="00807232"/>
    <w:rsid w:val="008079E5"/>
    <w:rsid w:val="00810F06"/>
    <w:rsid w:val="0081144C"/>
    <w:rsid w:val="008115EE"/>
    <w:rsid w:val="0081283F"/>
    <w:rsid w:val="00812C0C"/>
    <w:rsid w:val="00813194"/>
    <w:rsid w:val="00813257"/>
    <w:rsid w:val="0081347B"/>
    <w:rsid w:val="008139F1"/>
    <w:rsid w:val="00814079"/>
    <w:rsid w:val="0081480A"/>
    <w:rsid w:val="00814EAD"/>
    <w:rsid w:val="008169C5"/>
    <w:rsid w:val="00817774"/>
    <w:rsid w:val="008202EB"/>
    <w:rsid w:val="008205C0"/>
    <w:rsid w:val="00820F86"/>
    <w:rsid w:val="008233F6"/>
    <w:rsid w:val="00824238"/>
    <w:rsid w:val="008242C5"/>
    <w:rsid w:val="00824600"/>
    <w:rsid w:val="0082664E"/>
    <w:rsid w:val="00827AEB"/>
    <w:rsid w:val="00827F88"/>
    <w:rsid w:val="008315CE"/>
    <w:rsid w:val="008336A5"/>
    <w:rsid w:val="00833DE9"/>
    <w:rsid w:val="00835474"/>
    <w:rsid w:val="00836DF1"/>
    <w:rsid w:val="008373C0"/>
    <w:rsid w:val="0084105A"/>
    <w:rsid w:val="0084145F"/>
    <w:rsid w:val="00841DA2"/>
    <w:rsid w:val="00843890"/>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98D"/>
    <w:rsid w:val="00855DD6"/>
    <w:rsid w:val="00856919"/>
    <w:rsid w:val="00857E1C"/>
    <w:rsid w:val="00857FF2"/>
    <w:rsid w:val="00860941"/>
    <w:rsid w:val="00860B59"/>
    <w:rsid w:val="0086155C"/>
    <w:rsid w:val="00861AD3"/>
    <w:rsid w:val="00862771"/>
    <w:rsid w:val="008633B1"/>
    <w:rsid w:val="00863A1C"/>
    <w:rsid w:val="0086682F"/>
    <w:rsid w:val="008675BF"/>
    <w:rsid w:val="00867687"/>
    <w:rsid w:val="008704DF"/>
    <w:rsid w:val="00870B07"/>
    <w:rsid w:val="00871738"/>
    <w:rsid w:val="00871E32"/>
    <w:rsid w:val="008721EF"/>
    <w:rsid w:val="00872370"/>
    <w:rsid w:val="0087247B"/>
    <w:rsid w:val="0087268B"/>
    <w:rsid w:val="00874175"/>
    <w:rsid w:val="00874748"/>
    <w:rsid w:val="00874894"/>
    <w:rsid w:val="00876017"/>
    <w:rsid w:val="00876F54"/>
    <w:rsid w:val="00877292"/>
    <w:rsid w:val="0087754A"/>
    <w:rsid w:val="0087766C"/>
    <w:rsid w:val="00880552"/>
    <w:rsid w:val="00880C7E"/>
    <w:rsid w:val="008839DA"/>
    <w:rsid w:val="00884EE8"/>
    <w:rsid w:val="00885168"/>
    <w:rsid w:val="0089048E"/>
    <w:rsid w:val="0089173B"/>
    <w:rsid w:val="00891E76"/>
    <w:rsid w:val="0089220F"/>
    <w:rsid w:val="008924C1"/>
    <w:rsid w:val="008935AA"/>
    <w:rsid w:val="0089384F"/>
    <w:rsid w:val="00894E66"/>
    <w:rsid w:val="008951CA"/>
    <w:rsid w:val="008963F0"/>
    <w:rsid w:val="00896BD5"/>
    <w:rsid w:val="00897444"/>
    <w:rsid w:val="008978CF"/>
    <w:rsid w:val="008A03A5"/>
    <w:rsid w:val="008A0DF3"/>
    <w:rsid w:val="008A12E2"/>
    <w:rsid w:val="008A1919"/>
    <w:rsid w:val="008A1B76"/>
    <w:rsid w:val="008A2519"/>
    <w:rsid w:val="008A282C"/>
    <w:rsid w:val="008A3765"/>
    <w:rsid w:val="008A4138"/>
    <w:rsid w:val="008A44D6"/>
    <w:rsid w:val="008A4DB1"/>
    <w:rsid w:val="008A5D96"/>
    <w:rsid w:val="008A6E96"/>
    <w:rsid w:val="008A7BB5"/>
    <w:rsid w:val="008B0922"/>
    <w:rsid w:val="008B1DF8"/>
    <w:rsid w:val="008B2357"/>
    <w:rsid w:val="008B4826"/>
    <w:rsid w:val="008B4FFA"/>
    <w:rsid w:val="008B5AB3"/>
    <w:rsid w:val="008B5CCB"/>
    <w:rsid w:val="008B666C"/>
    <w:rsid w:val="008B6765"/>
    <w:rsid w:val="008B6848"/>
    <w:rsid w:val="008B7265"/>
    <w:rsid w:val="008C2BBC"/>
    <w:rsid w:val="008C2FA1"/>
    <w:rsid w:val="008C3245"/>
    <w:rsid w:val="008C37E5"/>
    <w:rsid w:val="008C3F59"/>
    <w:rsid w:val="008C57C2"/>
    <w:rsid w:val="008C58DF"/>
    <w:rsid w:val="008D0090"/>
    <w:rsid w:val="008D1369"/>
    <w:rsid w:val="008D189A"/>
    <w:rsid w:val="008D2C4C"/>
    <w:rsid w:val="008D36ED"/>
    <w:rsid w:val="008D41B3"/>
    <w:rsid w:val="008D60EF"/>
    <w:rsid w:val="008D7AB7"/>
    <w:rsid w:val="008D7C6E"/>
    <w:rsid w:val="008D7E0D"/>
    <w:rsid w:val="008D7EDB"/>
    <w:rsid w:val="008E019E"/>
    <w:rsid w:val="008E0927"/>
    <w:rsid w:val="008E1829"/>
    <w:rsid w:val="008E1A61"/>
    <w:rsid w:val="008E2327"/>
    <w:rsid w:val="008E2D66"/>
    <w:rsid w:val="008E35D2"/>
    <w:rsid w:val="008E3CA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D"/>
    <w:rsid w:val="008F23E5"/>
    <w:rsid w:val="008F35BB"/>
    <w:rsid w:val="008F4298"/>
    <w:rsid w:val="008F46C2"/>
    <w:rsid w:val="008F5209"/>
    <w:rsid w:val="008F6F29"/>
    <w:rsid w:val="008F7068"/>
    <w:rsid w:val="00900CBA"/>
    <w:rsid w:val="009021B9"/>
    <w:rsid w:val="00902912"/>
    <w:rsid w:val="00902D00"/>
    <w:rsid w:val="0090360E"/>
    <w:rsid w:val="00903D37"/>
    <w:rsid w:val="0090553A"/>
    <w:rsid w:val="00906F91"/>
    <w:rsid w:val="009079D1"/>
    <w:rsid w:val="0091055D"/>
    <w:rsid w:val="00911958"/>
    <w:rsid w:val="00912F1D"/>
    <w:rsid w:val="009141C6"/>
    <w:rsid w:val="0091468B"/>
    <w:rsid w:val="00914C61"/>
    <w:rsid w:val="009157D9"/>
    <w:rsid w:val="00916923"/>
    <w:rsid w:val="00917B3F"/>
    <w:rsid w:val="00917D6F"/>
    <w:rsid w:val="0092007F"/>
    <w:rsid w:val="0092073B"/>
    <w:rsid w:val="00920E85"/>
    <w:rsid w:val="00921B1A"/>
    <w:rsid w:val="00921B7F"/>
    <w:rsid w:val="00921DDA"/>
    <w:rsid w:val="00921EBC"/>
    <w:rsid w:val="00922DE1"/>
    <w:rsid w:val="00923A73"/>
    <w:rsid w:val="0092411C"/>
    <w:rsid w:val="00925941"/>
    <w:rsid w:val="0092600D"/>
    <w:rsid w:val="009264D6"/>
    <w:rsid w:val="009276AD"/>
    <w:rsid w:val="00930345"/>
    <w:rsid w:val="0093039D"/>
    <w:rsid w:val="00931E4F"/>
    <w:rsid w:val="0093364D"/>
    <w:rsid w:val="009337E6"/>
    <w:rsid w:val="0093395C"/>
    <w:rsid w:val="009340E4"/>
    <w:rsid w:val="0093429F"/>
    <w:rsid w:val="009347EC"/>
    <w:rsid w:val="00935ED9"/>
    <w:rsid w:val="00936574"/>
    <w:rsid w:val="00937EC5"/>
    <w:rsid w:val="00937EE1"/>
    <w:rsid w:val="00940C2D"/>
    <w:rsid w:val="00943BCE"/>
    <w:rsid w:val="00945DBE"/>
    <w:rsid w:val="009508A0"/>
    <w:rsid w:val="00951FBB"/>
    <w:rsid w:val="00953EDC"/>
    <w:rsid w:val="00953FF0"/>
    <w:rsid w:val="00954950"/>
    <w:rsid w:val="009566A5"/>
    <w:rsid w:val="00960346"/>
    <w:rsid w:val="009617D3"/>
    <w:rsid w:val="009629BE"/>
    <w:rsid w:val="00962C63"/>
    <w:rsid w:val="00964061"/>
    <w:rsid w:val="0096463B"/>
    <w:rsid w:val="00967869"/>
    <w:rsid w:val="0096796E"/>
    <w:rsid w:val="00967DA5"/>
    <w:rsid w:val="00971A46"/>
    <w:rsid w:val="00971BF7"/>
    <w:rsid w:val="00971F24"/>
    <w:rsid w:val="00971F54"/>
    <w:rsid w:val="009725C5"/>
    <w:rsid w:val="00972AEA"/>
    <w:rsid w:val="00972B4E"/>
    <w:rsid w:val="00973F40"/>
    <w:rsid w:val="00976F59"/>
    <w:rsid w:val="00977299"/>
    <w:rsid w:val="0097736F"/>
    <w:rsid w:val="00977520"/>
    <w:rsid w:val="0098056C"/>
    <w:rsid w:val="00980900"/>
    <w:rsid w:val="009823AF"/>
    <w:rsid w:val="009831DB"/>
    <w:rsid w:val="00983D6A"/>
    <w:rsid w:val="00983EDC"/>
    <w:rsid w:val="00983EED"/>
    <w:rsid w:val="009849EF"/>
    <w:rsid w:val="009850C9"/>
    <w:rsid w:val="00986909"/>
    <w:rsid w:val="00986DB7"/>
    <w:rsid w:val="009870A5"/>
    <w:rsid w:val="00987252"/>
    <w:rsid w:val="00987465"/>
    <w:rsid w:val="00987917"/>
    <w:rsid w:val="00990B6C"/>
    <w:rsid w:val="00990C3A"/>
    <w:rsid w:val="00991FA0"/>
    <w:rsid w:val="009934CF"/>
    <w:rsid w:val="00994396"/>
    <w:rsid w:val="00994FB1"/>
    <w:rsid w:val="0099730E"/>
    <w:rsid w:val="009A0031"/>
    <w:rsid w:val="009A0D75"/>
    <w:rsid w:val="009A2459"/>
    <w:rsid w:val="009A306D"/>
    <w:rsid w:val="009A323E"/>
    <w:rsid w:val="009A33E6"/>
    <w:rsid w:val="009A347A"/>
    <w:rsid w:val="009A3F45"/>
    <w:rsid w:val="009A49EB"/>
    <w:rsid w:val="009A54B4"/>
    <w:rsid w:val="009A620E"/>
    <w:rsid w:val="009A6606"/>
    <w:rsid w:val="009A6658"/>
    <w:rsid w:val="009B1289"/>
    <w:rsid w:val="009B33A1"/>
    <w:rsid w:val="009B3DF9"/>
    <w:rsid w:val="009B610E"/>
    <w:rsid w:val="009B6452"/>
    <w:rsid w:val="009B662C"/>
    <w:rsid w:val="009B6A6F"/>
    <w:rsid w:val="009C031C"/>
    <w:rsid w:val="009C0B58"/>
    <w:rsid w:val="009C0CAA"/>
    <w:rsid w:val="009C1AFE"/>
    <w:rsid w:val="009C295D"/>
    <w:rsid w:val="009C3E33"/>
    <w:rsid w:val="009C447D"/>
    <w:rsid w:val="009C5F24"/>
    <w:rsid w:val="009C7B35"/>
    <w:rsid w:val="009D00D2"/>
    <w:rsid w:val="009D047D"/>
    <w:rsid w:val="009D048B"/>
    <w:rsid w:val="009D1B5C"/>
    <w:rsid w:val="009D1B5D"/>
    <w:rsid w:val="009D22C8"/>
    <w:rsid w:val="009D36A4"/>
    <w:rsid w:val="009D43FE"/>
    <w:rsid w:val="009D4856"/>
    <w:rsid w:val="009D4A04"/>
    <w:rsid w:val="009D5C33"/>
    <w:rsid w:val="009D6197"/>
    <w:rsid w:val="009D6634"/>
    <w:rsid w:val="009D69C6"/>
    <w:rsid w:val="009D6F70"/>
    <w:rsid w:val="009E10E1"/>
    <w:rsid w:val="009E110C"/>
    <w:rsid w:val="009E20AB"/>
    <w:rsid w:val="009E49AA"/>
    <w:rsid w:val="009E5419"/>
    <w:rsid w:val="009E5A6E"/>
    <w:rsid w:val="009E613C"/>
    <w:rsid w:val="009E70E7"/>
    <w:rsid w:val="009F074A"/>
    <w:rsid w:val="009F2492"/>
    <w:rsid w:val="009F25A8"/>
    <w:rsid w:val="009F3A6A"/>
    <w:rsid w:val="009F3E8C"/>
    <w:rsid w:val="009F46DC"/>
    <w:rsid w:val="009F4C58"/>
    <w:rsid w:val="009F58BE"/>
    <w:rsid w:val="009F65AF"/>
    <w:rsid w:val="00A01666"/>
    <w:rsid w:val="00A01C00"/>
    <w:rsid w:val="00A02488"/>
    <w:rsid w:val="00A025B1"/>
    <w:rsid w:val="00A03A1B"/>
    <w:rsid w:val="00A05E6F"/>
    <w:rsid w:val="00A06A67"/>
    <w:rsid w:val="00A06CC5"/>
    <w:rsid w:val="00A07EDA"/>
    <w:rsid w:val="00A07F30"/>
    <w:rsid w:val="00A07F71"/>
    <w:rsid w:val="00A10699"/>
    <w:rsid w:val="00A11CAD"/>
    <w:rsid w:val="00A131FA"/>
    <w:rsid w:val="00A13224"/>
    <w:rsid w:val="00A15DB7"/>
    <w:rsid w:val="00A1620D"/>
    <w:rsid w:val="00A16AC0"/>
    <w:rsid w:val="00A16DC1"/>
    <w:rsid w:val="00A1738B"/>
    <w:rsid w:val="00A2035C"/>
    <w:rsid w:val="00A2054B"/>
    <w:rsid w:val="00A228D6"/>
    <w:rsid w:val="00A22D45"/>
    <w:rsid w:val="00A23D31"/>
    <w:rsid w:val="00A24C9B"/>
    <w:rsid w:val="00A24F33"/>
    <w:rsid w:val="00A25083"/>
    <w:rsid w:val="00A26ECD"/>
    <w:rsid w:val="00A275DE"/>
    <w:rsid w:val="00A27D2B"/>
    <w:rsid w:val="00A30176"/>
    <w:rsid w:val="00A301A7"/>
    <w:rsid w:val="00A30545"/>
    <w:rsid w:val="00A30C34"/>
    <w:rsid w:val="00A30FD3"/>
    <w:rsid w:val="00A32266"/>
    <w:rsid w:val="00A33434"/>
    <w:rsid w:val="00A34223"/>
    <w:rsid w:val="00A344F1"/>
    <w:rsid w:val="00A349AA"/>
    <w:rsid w:val="00A34F11"/>
    <w:rsid w:val="00A35E2F"/>
    <w:rsid w:val="00A36013"/>
    <w:rsid w:val="00A36977"/>
    <w:rsid w:val="00A36BE2"/>
    <w:rsid w:val="00A37891"/>
    <w:rsid w:val="00A37A88"/>
    <w:rsid w:val="00A400AE"/>
    <w:rsid w:val="00A40503"/>
    <w:rsid w:val="00A40A51"/>
    <w:rsid w:val="00A40F3B"/>
    <w:rsid w:val="00A415BA"/>
    <w:rsid w:val="00A437EC"/>
    <w:rsid w:val="00A43816"/>
    <w:rsid w:val="00A43CD2"/>
    <w:rsid w:val="00A4594F"/>
    <w:rsid w:val="00A47054"/>
    <w:rsid w:val="00A47916"/>
    <w:rsid w:val="00A47B0A"/>
    <w:rsid w:val="00A5088B"/>
    <w:rsid w:val="00A526EE"/>
    <w:rsid w:val="00A536DA"/>
    <w:rsid w:val="00A53E11"/>
    <w:rsid w:val="00A5406C"/>
    <w:rsid w:val="00A54720"/>
    <w:rsid w:val="00A54801"/>
    <w:rsid w:val="00A55271"/>
    <w:rsid w:val="00A5596D"/>
    <w:rsid w:val="00A56F39"/>
    <w:rsid w:val="00A571CD"/>
    <w:rsid w:val="00A57C3D"/>
    <w:rsid w:val="00A60A2E"/>
    <w:rsid w:val="00A619E8"/>
    <w:rsid w:val="00A64F18"/>
    <w:rsid w:val="00A65FFD"/>
    <w:rsid w:val="00A66808"/>
    <w:rsid w:val="00A6697B"/>
    <w:rsid w:val="00A67022"/>
    <w:rsid w:val="00A67F68"/>
    <w:rsid w:val="00A71340"/>
    <w:rsid w:val="00A719AA"/>
    <w:rsid w:val="00A72DB1"/>
    <w:rsid w:val="00A73DE3"/>
    <w:rsid w:val="00A74C2D"/>
    <w:rsid w:val="00A74D33"/>
    <w:rsid w:val="00A7564A"/>
    <w:rsid w:val="00A75BBA"/>
    <w:rsid w:val="00A76B34"/>
    <w:rsid w:val="00A8015B"/>
    <w:rsid w:val="00A83487"/>
    <w:rsid w:val="00A84A8E"/>
    <w:rsid w:val="00A84E9E"/>
    <w:rsid w:val="00A852AC"/>
    <w:rsid w:val="00A854FF"/>
    <w:rsid w:val="00A86DF4"/>
    <w:rsid w:val="00A86E30"/>
    <w:rsid w:val="00A87035"/>
    <w:rsid w:val="00A871C4"/>
    <w:rsid w:val="00A8745D"/>
    <w:rsid w:val="00A87524"/>
    <w:rsid w:val="00A90573"/>
    <w:rsid w:val="00A908DA"/>
    <w:rsid w:val="00A90B7A"/>
    <w:rsid w:val="00A90F9B"/>
    <w:rsid w:val="00A918FA"/>
    <w:rsid w:val="00A92694"/>
    <w:rsid w:val="00A93072"/>
    <w:rsid w:val="00A94965"/>
    <w:rsid w:val="00A9629C"/>
    <w:rsid w:val="00A96514"/>
    <w:rsid w:val="00A966F6"/>
    <w:rsid w:val="00A96E80"/>
    <w:rsid w:val="00A97448"/>
    <w:rsid w:val="00AA04D2"/>
    <w:rsid w:val="00AA18DB"/>
    <w:rsid w:val="00AA2289"/>
    <w:rsid w:val="00AA2AFF"/>
    <w:rsid w:val="00AA2E00"/>
    <w:rsid w:val="00AA35D5"/>
    <w:rsid w:val="00AA417B"/>
    <w:rsid w:val="00AA533F"/>
    <w:rsid w:val="00AA58C8"/>
    <w:rsid w:val="00AA5A86"/>
    <w:rsid w:val="00AA6CCD"/>
    <w:rsid w:val="00AA7F48"/>
    <w:rsid w:val="00AB0073"/>
    <w:rsid w:val="00AB010D"/>
    <w:rsid w:val="00AB0749"/>
    <w:rsid w:val="00AB273B"/>
    <w:rsid w:val="00AB51B1"/>
    <w:rsid w:val="00AB5239"/>
    <w:rsid w:val="00AB61AD"/>
    <w:rsid w:val="00AB75E2"/>
    <w:rsid w:val="00AB7659"/>
    <w:rsid w:val="00AB76D8"/>
    <w:rsid w:val="00AB76F6"/>
    <w:rsid w:val="00AB7A1A"/>
    <w:rsid w:val="00AB7ABB"/>
    <w:rsid w:val="00AB7E6A"/>
    <w:rsid w:val="00AC1B50"/>
    <w:rsid w:val="00AC1B61"/>
    <w:rsid w:val="00AC2C6E"/>
    <w:rsid w:val="00AC3DB7"/>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D7C5E"/>
    <w:rsid w:val="00AE0B4B"/>
    <w:rsid w:val="00AE0CDB"/>
    <w:rsid w:val="00AE3BE3"/>
    <w:rsid w:val="00AE47BF"/>
    <w:rsid w:val="00AE489D"/>
    <w:rsid w:val="00AE4BD1"/>
    <w:rsid w:val="00AE552E"/>
    <w:rsid w:val="00AF08DA"/>
    <w:rsid w:val="00AF0A77"/>
    <w:rsid w:val="00AF19F2"/>
    <w:rsid w:val="00AF28C8"/>
    <w:rsid w:val="00AF3B03"/>
    <w:rsid w:val="00AF3DDB"/>
    <w:rsid w:val="00AF4C29"/>
    <w:rsid w:val="00AF51A8"/>
    <w:rsid w:val="00AF6432"/>
    <w:rsid w:val="00AF6D3D"/>
    <w:rsid w:val="00AF6DED"/>
    <w:rsid w:val="00AF7502"/>
    <w:rsid w:val="00AF79BD"/>
    <w:rsid w:val="00AF7DB8"/>
    <w:rsid w:val="00B007F7"/>
    <w:rsid w:val="00B01191"/>
    <w:rsid w:val="00B01BB6"/>
    <w:rsid w:val="00B03392"/>
    <w:rsid w:val="00B04CD6"/>
    <w:rsid w:val="00B06882"/>
    <w:rsid w:val="00B077ED"/>
    <w:rsid w:val="00B07F12"/>
    <w:rsid w:val="00B07FE3"/>
    <w:rsid w:val="00B103D7"/>
    <w:rsid w:val="00B10BAE"/>
    <w:rsid w:val="00B116CC"/>
    <w:rsid w:val="00B1369F"/>
    <w:rsid w:val="00B14154"/>
    <w:rsid w:val="00B1415B"/>
    <w:rsid w:val="00B15278"/>
    <w:rsid w:val="00B15525"/>
    <w:rsid w:val="00B16975"/>
    <w:rsid w:val="00B200CA"/>
    <w:rsid w:val="00B222A2"/>
    <w:rsid w:val="00B234EC"/>
    <w:rsid w:val="00B235FB"/>
    <w:rsid w:val="00B2564D"/>
    <w:rsid w:val="00B26C66"/>
    <w:rsid w:val="00B274AE"/>
    <w:rsid w:val="00B274BF"/>
    <w:rsid w:val="00B27BE1"/>
    <w:rsid w:val="00B31222"/>
    <w:rsid w:val="00B318C9"/>
    <w:rsid w:val="00B31FDB"/>
    <w:rsid w:val="00B330C9"/>
    <w:rsid w:val="00B33258"/>
    <w:rsid w:val="00B37DE4"/>
    <w:rsid w:val="00B40EE4"/>
    <w:rsid w:val="00B4114B"/>
    <w:rsid w:val="00B41DF3"/>
    <w:rsid w:val="00B42006"/>
    <w:rsid w:val="00B4291A"/>
    <w:rsid w:val="00B42C7F"/>
    <w:rsid w:val="00B42E81"/>
    <w:rsid w:val="00B4329D"/>
    <w:rsid w:val="00B44FF5"/>
    <w:rsid w:val="00B45BEE"/>
    <w:rsid w:val="00B46F7A"/>
    <w:rsid w:val="00B5076A"/>
    <w:rsid w:val="00B520F9"/>
    <w:rsid w:val="00B52812"/>
    <w:rsid w:val="00B5495A"/>
    <w:rsid w:val="00B54A9C"/>
    <w:rsid w:val="00B568D8"/>
    <w:rsid w:val="00B56994"/>
    <w:rsid w:val="00B56F24"/>
    <w:rsid w:val="00B577A3"/>
    <w:rsid w:val="00B5785F"/>
    <w:rsid w:val="00B60C10"/>
    <w:rsid w:val="00B6144B"/>
    <w:rsid w:val="00B6170F"/>
    <w:rsid w:val="00B61AA8"/>
    <w:rsid w:val="00B63BE6"/>
    <w:rsid w:val="00B643AF"/>
    <w:rsid w:val="00B64641"/>
    <w:rsid w:val="00B647DE"/>
    <w:rsid w:val="00B65BCE"/>
    <w:rsid w:val="00B7262F"/>
    <w:rsid w:val="00B727C5"/>
    <w:rsid w:val="00B73267"/>
    <w:rsid w:val="00B7364D"/>
    <w:rsid w:val="00B73FD4"/>
    <w:rsid w:val="00B74FC5"/>
    <w:rsid w:val="00B750FC"/>
    <w:rsid w:val="00B75A6C"/>
    <w:rsid w:val="00B7795B"/>
    <w:rsid w:val="00B779F7"/>
    <w:rsid w:val="00B80C3D"/>
    <w:rsid w:val="00B80E90"/>
    <w:rsid w:val="00B82F2D"/>
    <w:rsid w:val="00B83E2A"/>
    <w:rsid w:val="00B83E38"/>
    <w:rsid w:val="00B8408A"/>
    <w:rsid w:val="00B84F85"/>
    <w:rsid w:val="00B85DF3"/>
    <w:rsid w:val="00B86C19"/>
    <w:rsid w:val="00B87167"/>
    <w:rsid w:val="00B90737"/>
    <w:rsid w:val="00B9113E"/>
    <w:rsid w:val="00B91CE1"/>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F60"/>
    <w:rsid w:val="00B97BD4"/>
    <w:rsid w:val="00BA0D0B"/>
    <w:rsid w:val="00BA0D3C"/>
    <w:rsid w:val="00BA1099"/>
    <w:rsid w:val="00BA10DC"/>
    <w:rsid w:val="00BA1732"/>
    <w:rsid w:val="00BA1FB0"/>
    <w:rsid w:val="00BA206A"/>
    <w:rsid w:val="00BA2F78"/>
    <w:rsid w:val="00BA45DF"/>
    <w:rsid w:val="00BA4CE5"/>
    <w:rsid w:val="00BA688A"/>
    <w:rsid w:val="00BB18B8"/>
    <w:rsid w:val="00BB1B3C"/>
    <w:rsid w:val="00BB375D"/>
    <w:rsid w:val="00BB391B"/>
    <w:rsid w:val="00BB3A74"/>
    <w:rsid w:val="00BB3D85"/>
    <w:rsid w:val="00BB40A3"/>
    <w:rsid w:val="00BB49A0"/>
    <w:rsid w:val="00BB515F"/>
    <w:rsid w:val="00BB532B"/>
    <w:rsid w:val="00BB545D"/>
    <w:rsid w:val="00BC0924"/>
    <w:rsid w:val="00BC1FA5"/>
    <w:rsid w:val="00BC2592"/>
    <w:rsid w:val="00BC2C0C"/>
    <w:rsid w:val="00BC3C5F"/>
    <w:rsid w:val="00BC4DAC"/>
    <w:rsid w:val="00BC6FDD"/>
    <w:rsid w:val="00BC732A"/>
    <w:rsid w:val="00BC758B"/>
    <w:rsid w:val="00BD223D"/>
    <w:rsid w:val="00BD2EAC"/>
    <w:rsid w:val="00BD4059"/>
    <w:rsid w:val="00BD455F"/>
    <w:rsid w:val="00BD4617"/>
    <w:rsid w:val="00BD4BB3"/>
    <w:rsid w:val="00BD782A"/>
    <w:rsid w:val="00BD798E"/>
    <w:rsid w:val="00BE17C6"/>
    <w:rsid w:val="00BE183F"/>
    <w:rsid w:val="00BE1BCD"/>
    <w:rsid w:val="00BE2BD3"/>
    <w:rsid w:val="00BE47E2"/>
    <w:rsid w:val="00BE4843"/>
    <w:rsid w:val="00BE4865"/>
    <w:rsid w:val="00BE5595"/>
    <w:rsid w:val="00BE5735"/>
    <w:rsid w:val="00BE69BF"/>
    <w:rsid w:val="00BE6C99"/>
    <w:rsid w:val="00BE6E79"/>
    <w:rsid w:val="00BE725A"/>
    <w:rsid w:val="00BE73C1"/>
    <w:rsid w:val="00BE7430"/>
    <w:rsid w:val="00BE7B48"/>
    <w:rsid w:val="00BE7C6B"/>
    <w:rsid w:val="00BF03EB"/>
    <w:rsid w:val="00BF1B9F"/>
    <w:rsid w:val="00BF28E7"/>
    <w:rsid w:val="00BF3381"/>
    <w:rsid w:val="00BF3AEA"/>
    <w:rsid w:val="00BF45F2"/>
    <w:rsid w:val="00BF475C"/>
    <w:rsid w:val="00BF48AB"/>
    <w:rsid w:val="00BF5322"/>
    <w:rsid w:val="00BF667D"/>
    <w:rsid w:val="00BF75D9"/>
    <w:rsid w:val="00BF799D"/>
    <w:rsid w:val="00C004B6"/>
    <w:rsid w:val="00C01579"/>
    <w:rsid w:val="00C03922"/>
    <w:rsid w:val="00C03AA9"/>
    <w:rsid w:val="00C06AEE"/>
    <w:rsid w:val="00C0735B"/>
    <w:rsid w:val="00C076CE"/>
    <w:rsid w:val="00C10FCF"/>
    <w:rsid w:val="00C12810"/>
    <w:rsid w:val="00C145CF"/>
    <w:rsid w:val="00C14B76"/>
    <w:rsid w:val="00C14EE1"/>
    <w:rsid w:val="00C1588B"/>
    <w:rsid w:val="00C15903"/>
    <w:rsid w:val="00C16B4B"/>
    <w:rsid w:val="00C16D1C"/>
    <w:rsid w:val="00C16E51"/>
    <w:rsid w:val="00C17427"/>
    <w:rsid w:val="00C20A16"/>
    <w:rsid w:val="00C20C00"/>
    <w:rsid w:val="00C210FD"/>
    <w:rsid w:val="00C21A0D"/>
    <w:rsid w:val="00C22183"/>
    <w:rsid w:val="00C22901"/>
    <w:rsid w:val="00C25238"/>
    <w:rsid w:val="00C26B6F"/>
    <w:rsid w:val="00C2734F"/>
    <w:rsid w:val="00C305F2"/>
    <w:rsid w:val="00C31AF4"/>
    <w:rsid w:val="00C32A89"/>
    <w:rsid w:val="00C3345C"/>
    <w:rsid w:val="00C3426A"/>
    <w:rsid w:val="00C36A0F"/>
    <w:rsid w:val="00C36BB3"/>
    <w:rsid w:val="00C40653"/>
    <w:rsid w:val="00C407E5"/>
    <w:rsid w:val="00C41F64"/>
    <w:rsid w:val="00C42DAC"/>
    <w:rsid w:val="00C4342B"/>
    <w:rsid w:val="00C436E3"/>
    <w:rsid w:val="00C443B2"/>
    <w:rsid w:val="00C44666"/>
    <w:rsid w:val="00C44A1F"/>
    <w:rsid w:val="00C459A9"/>
    <w:rsid w:val="00C4752A"/>
    <w:rsid w:val="00C477E7"/>
    <w:rsid w:val="00C502A5"/>
    <w:rsid w:val="00C521F7"/>
    <w:rsid w:val="00C53008"/>
    <w:rsid w:val="00C5413A"/>
    <w:rsid w:val="00C54600"/>
    <w:rsid w:val="00C5509C"/>
    <w:rsid w:val="00C55151"/>
    <w:rsid w:val="00C5575D"/>
    <w:rsid w:val="00C558FF"/>
    <w:rsid w:val="00C560FA"/>
    <w:rsid w:val="00C56772"/>
    <w:rsid w:val="00C57C74"/>
    <w:rsid w:val="00C57FF9"/>
    <w:rsid w:val="00C60B87"/>
    <w:rsid w:val="00C6187E"/>
    <w:rsid w:val="00C61D80"/>
    <w:rsid w:val="00C62178"/>
    <w:rsid w:val="00C62694"/>
    <w:rsid w:val="00C64434"/>
    <w:rsid w:val="00C64A51"/>
    <w:rsid w:val="00C64B27"/>
    <w:rsid w:val="00C65C4D"/>
    <w:rsid w:val="00C65FED"/>
    <w:rsid w:val="00C6600C"/>
    <w:rsid w:val="00C66EEB"/>
    <w:rsid w:val="00C67AC2"/>
    <w:rsid w:val="00C700DA"/>
    <w:rsid w:val="00C7063C"/>
    <w:rsid w:val="00C714C9"/>
    <w:rsid w:val="00C71F4C"/>
    <w:rsid w:val="00C73C57"/>
    <w:rsid w:val="00C746D9"/>
    <w:rsid w:val="00C74D12"/>
    <w:rsid w:val="00C74D43"/>
    <w:rsid w:val="00C75CA7"/>
    <w:rsid w:val="00C7683D"/>
    <w:rsid w:val="00C772A0"/>
    <w:rsid w:val="00C80751"/>
    <w:rsid w:val="00C80BC9"/>
    <w:rsid w:val="00C81EB6"/>
    <w:rsid w:val="00C8257A"/>
    <w:rsid w:val="00C83CDA"/>
    <w:rsid w:val="00C83F2A"/>
    <w:rsid w:val="00C8485E"/>
    <w:rsid w:val="00C84D57"/>
    <w:rsid w:val="00C84FD3"/>
    <w:rsid w:val="00C860A8"/>
    <w:rsid w:val="00C86432"/>
    <w:rsid w:val="00C86478"/>
    <w:rsid w:val="00C86FC6"/>
    <w:rsid w:val="00C901BB"/>
    <w:rsid w:val="00C9024D"/>
    <w:rsid w:val="00C90CD3"/>
    <w:rsid w:val="00C9116A"/>
    <w:rsid w:val="00C91637"/>
    <w:rsid w:val="00C92552"/>
    <w:rsid w:val="00C92C27"/>
    <w:rsid w:val="00C939E8"/>
    <w:rsid w:val="00C93F1B"/>
    <w:rsid w:val="00C94EF0"/>
    <w:rsid w:val="00C95093"/>
    <w:rsid w:val="00C95AB0"/>
    <w:rsid w:val="00C96DFE"/>
    <w:rsid w:val="00C9709F"/>
    <w:rsid w:val="00C976D1"/>
    <w:rsid w:val="00C97851"/>
    <w:rsid w:val="00CA123D"/>
    <w:rsid w:val="00CA2DFC"/>
    <w:rsid w:val="00CA308F"/>
    <w:rsid w:val="00CA3902"/>
    <w:rsid w:val="00CA5708"/>
    <w:rsid w:val="00CA69DB"/>
    <w:rsid w:val="00CA6F0D"/>
    <w:rsid w:val="00CA71D4"/>
    <w:rsid w:val="00CA7CCC"/>
    <w:rsid w:val="00CA7D7D"/>
    <w:rsid w:val="00CB1A0D"/>
    <w:rsid w:val="00CB5D29"/>
    <w:rsid w:val="00CB675A"/>
    <w:rsid w:val="00CB6EC8"/>
    <w:rsid w:val="00CB782B"/>
    <w:rsid w:val="00CC082B"/>
    <w:rsid w:val="00CC0E77"/>
    <w:rsid w:val="00CC2092"/>
    <w:rsid w:val="00CC285C"/>
    <w:rsid w:val="00CC29E8"/>
    <w:rsid w:val="00CC327E"/>
    <w:rsid w:val="00CC34C5"/>
    <w:rsid w:val="00CC4C0B"/>
    <w:rsid w:val="00CC5595"/>
    <w:rsid w:val="00CC5E76"/>
    <w:rsid w:val="00CC6730"/>
    <w:rsid w:val="00CC69E7"/>
    <w:rsid w:val="00CC6C08"/>
    <w:rsid w:val="00CC7D3E"/>
    <w:rsid w:val="00CD0214"/>
    <w:rsid w:val="00CD049D"/>
    <w:rsid w:val="00CD1770"/>
    <w:rsid w:val="00CD3A5D"/>
    <w:rsid w:val="00CD3F83"/>
    <w:rsid w:val="00CD51ED"/>
    <w:rsid w:val="00CD5FD4"/>
    <w:rsid w:val="00CD6A36"/>
    <w:rsid w:val="00CD724D"/>
    <w:rsid w:val="00CE0A60"/>
    <w:rsid w:val="00CE0DCE"/>
    <w:rsid w:val="00CE1B6A"/>
    <w:rsid w:val="00CE1BC9"/>
    <w:rsid w:val="00CE321D"/>
    <w:rsid w:val="00CE33C1"/>
    <w:rsid w:val="00CE4DD6"/>
    <w:rsid w:val="00CE597A"/>
    <w:rsid w:val="00CE6763"/>
    <w:rsid w:val="00CE7442"/>
    <w:rsid w:val="00CE76FF"/>
    <w:rsid w:val="00CF1CF7"/>
    <w:rsid w:val="00CF2954"/>
    <w:rsid w:val="00CF3BFD"/>
    <w:rsid w:val="00CF3C35"/>
    <w:rsid w:val="00CF4012"/>
    <w:rsid w:val="00CF43D5"/>
    <w:rsid w:val="00CF474E"/>
    <w:rsid w:val="00CF5EC7"/>
    <w:rsid w:val="00CF76A8"/>
    <w:rsid w:val="00CF7D0F"/>
    <w:rsid w:val="00D01349"/>
    <w:rsid w:val="00D01836"/>
    <w:rsid w:val="00D01F75"/>
    <w:rsid w:val="00D02BC6"/>
    <w:rsid w:val="00D02CFC"/>
    <w:rsid w:val="00D0310D"/>
    <w:rsid w:val="00D03A15"/>
    <w:rsid w:val="00D04099"/>
    <w:rsid w:val="00D041C8"/>
    <w:rsid w:val="00D047A7"/>
    <w:rsid w:val="00D051FE"/>
    <w:rsid w:val="00D05803"/>
    <w:rsid w:val="00D05C7C"/>
    <w:rsid w:val="00D05CA7"/>
    <w:rsid w:val="00D06906"/>
    <w:rsid w:val="00D07742"/>
    <w:rsid w:val="00D10A0F"/>
    <w:rsid w:val="00D10F9D"/>
    <w:rsid w:val="00D1202D"/>
    <w:rsid w:val="00D1276A"/>
    <w:rsid w:val="00D12F29"/>
    <w:rsid w:val="00D131D5"/>
    <w:rsid w:val="00D14DB7"/>
    <w:rsid w:val="00D14F18"/>
    <w:rsid w:val="00D15ED5"/>
    <w:rsid w:val="00D15F1A"/>
    <w:rsid w:val="00D16656"/>
    <w:rsid w:val="00D172C9"/>
    <w:rsid w:val="00D200AB"/>
    <w:rsid w:val="00D2039D"/>
    <w:rsid w:val="00D20B81"/>
    <w:rsid w:val="00D22AD2"/>
    <w:rsid w:val="00D23ACA"/>
    <w:rsid w:val="00D244BD"/>
    <w:rsid w:val="00D2465A"/>
    <w:rsid w:val="00D24EFC"/>
    <w:rsid w:val="00D24F48"/>
    <w:rsid w:val="00D26C9C"/>
    <w:rsid w:val="00D30834"/>
    <w:rsid w:val="00D31521"/>
    <w:rsid w:val="00D31CD5"/>
    <w:rsid w:val="00D31DC6"/>
    <w:rsid w:val="00D32B96"/>
    <w:rsid w:val="00D32E24"/>
    <w:rsid w:val="00D3354D"/>
    <w:rsid w:val="00D340C6"/>
    <w:rsid w:val="00D34402"/>
    <w:rsid w:val="00D348F7"/>
    <w:rsid w:val="00D35065"/>
    <w:rsid w:val="00D3564E"/>
    <w:rsid w:val="00D36EF4"/>
    <w:rsid w:val="00D371D0"/>
    <w:rsid w:val="00D403A3"/>
    <w:rsid w:val="00D4062A"/>
    <w:rsid w:val="00D407D3"/>
    <w:rsid w:val="00D40BC3"/>
    <w:rsid w:val="00D41818"/>
    <w:rsid w:val="00D41A35"/>
    <w:rsid w:val="00D42F2E"/>
    <w:rsid w:val="00D431F4"/>
    <w:rsid w:val="00D434EC"/>
    <w:rsid w:val="00D43E69"/>
    <w:rsid w:val="00D44E9D"/>
    <w:rsid w:val="00D454A6"/>
    <w:rsid w:val="00D466D0"/>
    <w:rsid w:val="00D472A7"/>
    <w:rsid w:val="00D51515"/>
    <w:rsid w:val="00D53731"/>
    <w:rsid w:val="00D538C7"/>
    <w:rsid w:val="00D54BD5"/>
    <w:rsid w:val="00D575F0"/>
    <w:rsid w:val="00D575F1"/>
    <w:rsid w:val="00D57A95"/>
    <w:rsid w:val="00D603BA"/>
    <w:rsid w:val="00D60578"/>
    <w:rsid w:val="00D61A0E"/>
    <w:rsid w:val="00D62B63"/>
    <w:rsid w:val="00D634BD"/>
    <w:rsid w:val="00D63FD4"/>
    <w:rsid w:val="00D64F30"/>
    <w:rsid w:val="00D71685"/>
    <w:rsid w:val="00D71CF9"/>
    <w:rsid w:val="00D72264"/>
    <w:rsid w:val="00D731A8"/>
    <w:rsid w:val="00D73603"/>
    <w:rsid w:val="00D74DC2"/>
    <w:rsid w:val="00D7675E"/>
    <w:rsid w:val="00D768D8"/>
    <w:rsid w:val="00D80080"/>
    <w:rsid w:val="00D809E2"/>
    <w:rsid w:val="00D80F9D"/>
    <w:rsid w:val="00D80FFB"/>
    <w:rsid w:val="00D8189D"/>
    <w:rsid w:val="00D81BAE"/>
    <w:rsid w:val="00D8237E"/>
    <w:rsid w:val="00D83774"/>
    <w:rsid w:val="00D848E9"/>
    <w:rsid w:val="00D84B17"/>
    <w:rsid w:val="00D8507D"/>
    <w:rsid w:val="00D86735"/>
    <w:rsid w:val="00D8718E"/>
    <w:rsid w:val="00D871FB"/>
    <w:rsid w:val="00D87AA2"/>
    <w:rsid w:val="00D90C9D"/>
    <w:rsid w:val="00D90E57"/>
    <w:rsid w:val="00D91910"/>
    <w:rsid w:val="00D91AA8"/>
    <w:rsid w:val="00D944A6"/>
    <w:rsid w:val="00D949A3"/>
    <w:rsid w:val="00D954CD"/>
    <w:rsid w:val="00D95B5F"/>
    <w:rsid w:val="00D96FC3"/>
    <w:rsid w:val="00DA0839"/>
    <w:rsid w:val="00DA0FE1"/>
    <w:rsid w:val="00DA12C3"/>
    <w:rsid w:val="00DA196A"/>
    <w:rsid w:val="00DA22B5"/>
    <w:rsid w:val="00DA267B"/>
    <w:rsid w:val="00DA420D"/>
    <w:rsid w:val="00DA495D"/>
    <w:rsid w:val="00DA4F15"/>
    <w:rsid w:val="00DA5512"/>
    <w:rsid w:val="00DA57BE"/>
    <w:rsid w:val="00DA5DCA"/>
    <w:rsid w:val="00DA7095"/>
    <w:rsid w:val="00DA70B4"/>
    <w:rsid w:val="00DA7BA0"/>
    <w:rsid w:val="00DB2180"/>
    <w:rsid w:val="00DB42F5"/>
    <w:rsid w:val="00DB469A"/>
    <w:rsid w:val="00DB4B8A"/>
    <w:rsid w:val="00DB52C3"/>
    <w:rsid w:val="00DB5454"/>
    <w:rsid w:val="00DB5DA3"/>
    <w:rsid w:val="00DB7E5F"/>
    <w:rsid w:val="00DC10B0"/>
    <w:rsid w:val="00DC1246"/>
    <w:rsid w:val="00DC1594"/>
    <w:rsid w:val="00DC2884"/>
    <w:rsid w:val="00DC2B02"/>
    <w:rsid w:val="00DC4770"/>
    <w:rsid w:val="00DC4BCD"/>
    <w:rsid w:val="00DC6770"/>
    <w:rsid w:val="00DC68D6"/>
    <w:rsid w:val="00DC770A"/>
    <w:rsid w:val="00DC7ECE"/>
    <w:rsid w:val="00DD086D"/>
    <w:rsid w:val="00DD0FEA"/>
    <w:rsid w:val="00DD1107"/>
    <w:rsid w:val="00DD11AC"/>
    <w:rsid w:val="00DD178F"/>
    <w:rsid w:val="00DD1A82"/>
    <w:rsid w:val="00DD1FE4"/>
    <w:rsid w:val="00DD2332"/>
    <w:rsid w:val="00DD2E71"/>
    <w:rsid w:val="00DD30C6"/>
    <w:rsid w:val="00DD5221"/>
    <w:rsid w:val="00DD7DC3"/>
    <w:rsid w:val="00DE0808"/>
    <w:rsid w:val="00DE1C03"/>
    <w:rsid w:val="00DE2065"/>
    <w:rsid w:val="00DE2966"/>
    <w:rsid w:val="00DE3A0C"/>
    <w:rsid w:val="00DE3AF1"/>
    <w:rsid w:val="00DE40E0"/>
    <w:rsid w:val="00DE4107"/>
    <w:rsid w:val="00DE4F8D"/>
    <w:rsid w:val="00DE70AE"/>
    <w:rsid w:val="00DE7D92"/>
    <w:rsid w:val="00DF0353"/>
    <w:rsid w:val="00DF04ED"/>
    <w:rsid w:val="00DF06B6"/>
    <w:rsid w:val="00DF0B5E"/>
    <w:rsid w:val="00DF0ED5"/>
    <w:rsid w:val="00DF140A"/>
    <w:rsid w:val="00DF18E0"/>
    <w:rsid w:val="00DF39C6"/>
    <w:rsid w:val="00DF54E4"/>
    <w:rsid w:val="00DF6537"/>
    <w:rsid w:val="00DF6A00"/>
    <w:rsid w:val="00DF6F8B"/>
    <w:rsid w:val="00DF72D9"/>
    <w:rsid w:val="00DF7526"/>
    <w:rsid w:val="00DF7C06"/>
    <w:rsid w:val="00DF7DF3"/>
    <w:rsid w:val="00DF7EC8"/>
    <w:rsid w:val="00E00EC3"/>
    <w:rsid w:val="00E028ED"/>
    <w:rsid w:val="00E02901"/>
    <w:rsid w:val="00E02A5D"/>
    <w:rsid w:val="00E0499F"/>
    <w:rsid w:val="00E04AA7"/>
    <w:rsid w:val="00E0682E"/>
    <w:rsid w:val="00E06E31"/>
    <w:rsid w:val="00E079D7"/>
    <w:rsid w:val="00E104F6"/>
    <w:rsid w:val="00E10748"/>
    <w:rsid w:val="00E109BD"/>
    <w:rsid w:val="00E11282"/>
    <w:rsid w:val="00E123CC"/>
    <w:rsid w:val="00E12ED3"/>
    <w:rsid w:val="00E12F57"/>
    <w:rsid w:val="00E14282"/>
    <w:rsid w:val="00E155D8"/>
    <w:rsid w:val="00E156F2"/>
    <w:rsid w:val="00E17436"/>
    <w:rsid w:val="00E17728"/>
    <w:rsid w:val="00E17D55"/>
    <w:rsid w:val="00E17FA7"/>
    <w:rsid w:val="00E208B2"/>
    <w:rsid w:val="00E2250E"/>
    <w:rsid w:val="00E22FE4"/>
    <w:rsid w:val="00E24BF5"/>
    <w:rsid w:val="00E25494"/>
    <w:rsid w:val="00E256C4"/>
    <w:rsid w:val="00E25982"/>
    <w:rsid w:val="00E2674B"/>
    <w:rsid w:val="00E272DC"/>
    <w:rsid w:val="00E27DDF"/>
    <w:rsid w:val="00E27E01"/>
    <w:rsid w:val="00E30469"/>
    <w:rsid w:val="00E30A90"/>
    <w:rsid w:val="00E32C71"/>
    <w:rsid w:val="00E32DBA"/>
    <w:rsid w:val="00E34B25"/>
    <w:rsid w:val="00E3553C"/>
    <w:rsid w:val="00E35655"/>
    <w:rsid w:val="00E401D4"/>
    <w:rsid w:val="00E40B85"/>
    <w:rsid w:val="00E4236F"/>
    <w:rsid w:val="00E433BE"/>
    <w:rsid w:val="00E43469"/>
    <w:rsid w:val="00E4369C"/>
    <w:rsid w:val="00E43A0F"/>
    <w:rsid w:val="00E445DA"/>
    <w:rsid w:val="00E45379"/>
    <w:rsid w:val="00E465CB"/>
    <w:rsid w:val="00E47C0D"/>
    <w:rsid w:val="00E47C49"/>
    <w:rsid w:val="00E47D4C"/>
    <w:rsid w:val="00E50B22"/>
    <w:rsid w:val="00E51263"/>
    <w:rsid w:val="00E51E18"/>
    <w:rsid w:val="00E5287B"/>
    <w:rsid w:val="00E52F9B"/>
    <w:rsid w:val="00E533BD"/>
    <w:rsid w:val="00E53706"/>
    <w:rsid w:val="00E54D03"/>
    <w:rsid w:val="00E5585A"/>
    <w:rsid w:val="00E56FE1"/>
    <w:rsid w:val="00E57CE2"/>
    <w:rsid w:val="00E6096D"/>
    <w:rsid w:val="00E60E5A"/>
    <w:rsid w:val="00E617BD"/>
    <w:rsid w:val="00E61CA8"/>
    <w:rsid w:val="00E61E05"/>
    <w:rsid w:val="00E64BD9"/>
    <w:rsid w:val="00E6519C"/>
    <w:rsid w:val="00E65B7C"/>
    <w:rsid w:val="00E660AA"/>
    <w:rsid w:val="00E661F3"/>
    <w:rsid w:val="00E67E50"/>
    <w:rsid w:val="00E705B4"/>
    <w:rsid w:val="00E71C8B"/>
    <w:rsid w:val="00E7233D"/>
    <w:rsid w:val="00E72967"/>
    <w:rsid w:val="00E75472"/>
    <w:rsid w:val="00E75AF7"/>
    <w:rsid w:val="00E773B4"/>
    <w:rsid w:val="00E77E5E"/>
    <w:rsid w:val="00E80DA7"/>
    <w:rsid w:val="00E8155D"/>
    <w:rsid w:val="00E816C6"/>
    <w:rsid w:val="00E82615"/>
    <w:rsid w:val="00E84132"/>
    <w:rsid w:val="00E84A66"/>
    <w:rsid w:val="00E84AD7"/>
    <w:rsid w:val="00E85CC0"/>
    <w:rsid w:val="00E861B4"/>
    <w:rsid w:val="00E905B8"/>
    <w:rsid w:val="00E90627"/>
    <w:rsid w:val="00E9193D"/>
    <w:rsid w:val="00E958AD"/>
    <w:rsid w:val="00E96E1A"/>
    <w:rsid w:val="00EA0E04"/>
    <w:rsid w:val="00EA1A98"/>
    <w:rsid w:val="00EA200D"/>
    <w:rsid w:val="00EA216F"/>
    <w:rsid w:val="00EA220D"/>
    <w:rsid w:val="00EA2F71"/>
    <w:rsid w:val="00EA3156"/>
    <w:rsid w:val="00EA34A1"/>
    <w:rsid w:val="00EA40A2"/>
    <w:rsid w:val="00EA498C"/>
    <w:rsid w:val="00EA4CD5"/>
    <w:rsid w:val="00EA5D2C"/>
    <w:rsid w:val="00EA5D8E"/>
    <w:rsid w:val="00EA5D9F"/>
    <w:rsid w:val="00EA7E07"/>
    <w:rsid w:val="00EB07CF"/>
    <w:rsid w:val="00EB0D0E"/>
    <w:rsid w:val="00EB1363"/>
    <w:rsid w:val="00EB266C"/>
    <w:rsid w:val="00EB3337"/>
    <w:rsid w:val="00EB36EC"/>
    <w:rsid w:val="00EB3B88"/>
    <w:rsid w:val="00EB3BB1"/>
    <w:rsid w:val="00EB4A02"/>
    <w:rsid w:val="00EB7B79"/>
    <w:rsid w:val="00EC0928"/>
    <w:rsid w:val="00EC0C14"/>
    <w:rsid w:val="00EC2B42"/>
    <w:rsid w:val="00EC385E"/>
    <w:rsid w:val="00EC3B8F"/>
    <w:rsid w:val="00EC5CA0"/>
    <w:rsid w:val="00EC7372"/>
    <w:rsid w:val="00ED00D7"/>
    <w:rsid w:val="00ED0ADC"/>
    <w:rsid w:val="00ED107F"/>
    <w:rsid w:val="00ED19D1"/>
    <w:rsid w:val="00ED1A47"/>
    <w:rsid w:val="00ED2AC0"/>
    <w:rsid w:val="00ED30E8"/>
    <w:rsid w:val="00ED36D0"/>
    <w:rsid w:val="00ED3B69"/>
    <w:rsid w:val="00ED3CF9"/>
    <w:rsid w:val="00ED3ECA"/>
    <w:rsid w:val="00ED3F39"/>
    <w:rsid w:val="00ED4492"/>
    <w:rsid w:val="00ED63AE"/>
    <w:rsid w:val="00ED646D"/>
    <w:rsid w:val="00ED6CD1"/>
    <w:rsid w:val="00ED6EE7"/>
    <w:rsid w:val="00ED76D1"/>
    <w:rsid w:val="00ED7A42"/>
    <w:rsid w:val="00ED7EEC"/>
    <w:rsid w:val="00EE0395"/>
    <w:rsid w:val="00EE1D80"/>
    <w:rsid w:val="00EE1EE0"/>
    <w:rsid w:val="00EE2BFB"/>
    <w:rsid w:val="00EE2EEA"/>
    <w:rsid w:val="00EE5F2E"/>
    <w:rsid w:val="00EF07AB"/>
    <w:rsid w:val="00EF16DB"/>
    <w:rsid w:val="00EF1F54"/>
    <w:rsid w:val="00EF2C2D"/>
    <w:rsid w:val="00EF4537"/>
    <w:rsid w:val="00EF4A64"/>
    <w:rsid w:val="00EF4D52"/>
    <w:rsid w:val="00EF54EA"/>
    <w:rsid w:val="00F016F0"/>
    <w:rsid w:val="00F02171"/>
    <w:rsid w:val="00F0260C"/>
    <w:rsid w:val="00F03228"/>
    <w:rsid w:val="00F033EF"/>
    <w:rsid w:val="00F04076"/>
    <w:rsid w:val="00F04B15"/>
    <w:rsid w:val="00F0528B"/>
    <w:rsid w:val="00F061A6"/>
    <w:rsid w:val="00F06B3A"/>
    <w:rsid w:val="00F0710C"/>
    <w:rsid w:val="00F07A3A"/>
    <w:rsid w:val="00F07A69"/>
    <w:rsid w:val="00F07C58"/>
    <w:rsid w:val="00F11AB3"/>
    <w:rsid w:val="00F11E70"/>
    <w:rsid w:val="00F1286E"/>
    <w:rsid w:val="00F12B32"/>
    <w:rsid w:val="00F14017"/>
    <w:rsid w:val="00F14D17"/>
    <w:rsid w:val="00F1608F"/>
    <w:rsid w:val="00F1684C"/>
    <w:rsid w:val="00F16DC0"/>
    <w:rsid w:val="00F16EA7"/>
    <w:rsid w:val="00F20633"/>
    <w:rsid w:val="00F21A93"/>
    <w:rsid w:val="00F21DD6"/>
    <w:rsid w:val="00F225C9"/>
    <w:rsid w:val="00F24372"/>
    <w:rsid w:val="00F249E5"/>
    <w:rsid w:val="00F24CE9"/>
    <w:rsid w:val="00F251E7"/>
    <w:rsid w:val="00F25CFE"/>
    <w:rsid w:val="00F26CC2"/>
    <w:rsid w:val="00F302FE"/>
    <w:rsid w:val="00F31CC8"/>
    <w:rsid w:val="00F321B1"/>
    <w:rsid w:val="00F33758"/>
    <w:rsid w:val="00F346C1"/>
    <w:rsid w:val="00F35243"/>
    <w:rsid w:val="00F36E9F"/>
    <w:rsid w:val="00F41B19"/>
    <w:rsid w:val="00F41BBB"/>
    <w:rsid w:val="00F41BDB"/>
    <w:rsid w:val="00F425D5"/>
    <w:rsid w:val="00F42AB5"/>
    <w:rsid w:val="00F42F01"/>
    <w:rsid w:val="00F43915"/>
    <w:rsid w:val="00F43E6E"/>
    <w:rsid w:val="00F43EBF"/>
    <w:rsid w:val="00F44423"/>
    <w:rsid w:val="00F454F8"/>
    <w:rsid w:val="00F4653F"/>
    <w:rsid w:val="00F466DE"/>
    <w:rsid w:val="00F50BE6"/>
    <w:rsid w:val="00F51236"/>
    <w:rsid w:val="00F51438"/>
    <w:rsid w:val="00F516D0"/>
    <w:rsid w:val="00F51CBF"/>
    <w:rsid w:val="00F533AB"/>
    <w:rsid w:val="00F5374C"/>
    <w:rsid w:val="00F541B8"/>
    <w:rsid w:val="00F55329"/>
    <w:rsid w:val="00F55D63"/>
    <w:rsid w:val="00F56368"/>
    <w:rsid w:val="00F56B6D"/>
    <w:rsid w:val="00F56CC2"/>
    <w:rsid w:val="00F57689"/>
    <w:rsid w:val="00F57CD4"/>
    <w:rsid w:val="00F60105"/>
    <w:rsid w:val="00F60B07"/>
    <w:rsid w:val="00F60BC0"/>
    <w:rsid w:val="00F615A8"/>
    <w:rsid w:val="00F61B7F"/>
    <w:rsid w:val="00F62370"/>
    <w:rsid w:val="00F62750"/>
    <w:rsid w:val="00F628D3"/>
    <w:rsid w:val="00F62EF2"/>
    <w:rsid w:val="00F636DA"/>
    <w:rsid w:val="00F638C3"/>
    <w:rsid w:val="00F645B3"/>
    <w:rsid w:val="00F6497E"/>
    <w:rsid w:val="00F65227"/>
    <w:rsid w:val="00F65512"/>
    <w:rsid w:val="00F66B06"/>
    <w:rsid w:val="00F671D1"/>
    <w:rsid w:val="00F677E2"/>
    <w:rsid w:val="00F67B74"/>
    <w:rsid w:val="00F70830"/>
    <w:rsid w:val="00F70C89"/>
    <w:rsid w:val="00F70FBD"/>
    <w:rsid w:val="00F71320"/>
    <w:rsid w:val="00F714A9"/>
    <w:rsid w:val="00F717E6"/>
    <w:rsid w:val="00F73751"/>
    <w:rsid w:val="00F73DC5"/>
    <w:rsid w:val="00F75EAD"/>
    <w:rsid w:val="00F76073"/>
    <w:rsid w:val="00F76E51"/>
    <w:rsid w:val="00F77154"/>
    <w:rsid w:val="00F772D5"/>
    <w:rsid w:val="00F779B0"/>
    <w:rsid w:val="00F77E2E"/>
    <w:rsid w:val="00F80243"/>
    <w:rsid w:val="00F80F33"/>
    <w:rsid w:val="00F84001"/>
    <w:rsid w:val="00F846D6"/>
    <w:rsid w:val="00F86059"/>
    <w:rsid w:val="00F86997"/>
    <w:rsid w:val="00F86C20"/>
    <w:rsid w:val="00F871D7"/>
    <w:rsid w:val="00F9173A"/>
    <w:rsid w:val="00F91800"/>
    <w:rsid w:val="00F93469"/>
    <w:rsid w:val="00F93AF9"/>
    <w:rsid w:val="00F942BD"/>
    <w:rsid w:val="00F94E99"/>
    <w:rsid w:val="00F9540C"/>
    <w:rsid w:val="00F960D5"/>
    <w:rsid w:val="00F9650A"/>
    <w:rsid w:val="00F967C7"/>
    <w:rsid w:val="00FA0437"/>
    <w:rsid w:val="00FA1166"/>
    <w:rsid w:val="00FA1A3E"/>
    <w:rsid w:val="00FA206B"/>
    <w:rsid w:val="00FA233F"/>
    <w:rsid w:val="00FA247E"/>
    <w:rsid w:val="00FA2E05"/>
    <w:rsid w:val="00FA30E8"/>
    <w:rsid w:val="00FA3DF0"/>
    <w:rsid w:val="00FA7547"/>
    <w:rsid w:val="00FA7D57"/>
    <w:rsid w:val="00FB0008"/>
    <w:rsid w:val="00FB029E"/>
    <w:rsid w:val="00FB05EB"/>
    <w:rsid w:val="00FB071C"/>
    <w:rsid w:val="00FB1030"/>
    <w:rsid w:val="00FB1ACE"/>
    <w:rsid w:val="00FB1B08"/>
    <w:rsid w:val="00FB2A36"/>
    <w:rsid w:val="00FB3EA0"/>
    <w:rsid w:val="00FB55F4"/>
    <w:rsid w:val="00FB58D8"/>
    <w:rsid w:val="00FB5C1A"/>
    <w:rsid w:val="00FB5E6F"/>
    <w:rsid w:val="00FB677F"/>
    <w:rsid w:val="00FB7115"/>
    <w:rsid w:val="00FB7140"/>
    <w:rsid w:val="00FC0B63"/>
    <w:rsid w:val="00FC12ED"/>
    <w:rsid w:val="00FC1748"/>
    <w:rsid w:val="00FC1EEB"/>
    <w:rsid w:val="00FC2209"/>
    <w:rsid w:val="00FC4367"/>
    <w:rsid w:val="00FC6F8C"/>
    <w:rsid w:val="00FC7531"/>
    <w:rsid w:val="00FC7EAA"/>
    <w:rsid w:val="00FD05F2"/>
    <w:rsid w:val="00FD3C34"/>
    <w:rsid w:val="00FD49A2"/>
    <w:rsid w:val="00FD4FA5"/>
    <w:rsid w:val="00FD5166"/>
    <w:rsid w:val="00FD6CDE"/>
    <w:rsid w:val="00FD758C"/>
    <w:rsid w:val="00FE19D5"/>
    <w:rsid w:val="00FE3D58"/>
    <w:rsid w:val="00FE62DC"/>
    <w:rsid w:val="00FE731D"/>
    <w:rsid w:val="00FF05B9"/>
    <w:rsid w:val="00FF0EB1"/>
    <w:rsid w:val="00FF30DE"/>
    <w:rsid w:val="00FF456A"/>
    <w:rsid w:val="00FF46FD"/>
    <w:rsid w:val="00FF6204"/>
    <w:rsid w:val="00FF634D"/>
    <w:rsid w:val="00FF6CD6"/>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A6048244-DB7A-4924-BD1D-0929A02D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character" w:customStyle="1" w:styleId="medium">
    <w:name w:val="medium"/>
    <w:basedOn w:val="Fuentedeprrafopredeter"/>
    <w:rsid w:val="00E04AA7"/>
  </w:style>
  <w:style w:type="paragraph" w:styleId="Textosinformato">
    <w:name w:val="Plain Text"/>
    <w:basedOn w:val="Normal"/>
    <w:link w:val="TextosinformatoCar"/>
    <w:rsid w:val="0032354F"/>
    <w:rPr>
      <w:rFonts w:ascii="Courier New" w:hAnsi="Courier New"/>
      <w:lang w:val="es-ES" w:eastAsia="es-MX"/>
    </w:rPr>
  </w:style>
  <w:style w:type="character" w:customStyle="1" w:styleId="TextosinformatoCar">
    <w:name w:val="Texto sin formato Car"/>
    <w:basedOn w:val="Fuentedeprrafopredeter"/>
    <w:link w:val="Textosinformato"/>
    <w:rsid w:val="0032354F"/>
    <w:rPr>
      <w:rFonts w:ascii="Courier New" w:eastAsia="Times New Roman" w:hAnsi="Courier New"/>
      <w:lang w:val="es-ES"/>
    </w:rPr>
  </w:style>
  <w:style w:type="paragraph" w:styleId="Listaconvietas3">
    <w:name w:val="List Bullet 3"/>
    <w:basedOn w:val="Normal"/>
    <w:uiPriority w:val="99"/>
    <w:unhideWhenUsed/>
    <w:rsid w:val="0032354F"/>
    <w:pPr>
      <w:numPr>
        <w:numId w:val="31"/>
      </w:numPr>
      <w:contextualSpacing/>
    </w:pPr>
    <w:rPr>
      <w:sz w:val="24"/>
      <w:szCs w:val="24"/>
      <w:lang w:val="es-ES" w:eastAsia="es-MX"/>
    </w:rPr>
  </w:style>
  <w:style w:type="character" w:styleId="Referenciasutil">
    <w:name w:val="Subtle Reference"/>
    <w:basedOn w:val="Fuentedeprrafopredeter"/>
    <w:uiPriority w:val="31"/>
    <w:qFormat/>
    <w:rsid w:val="00BA2F78"/>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39017932">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62727166">
      <w:bodyDiv w:val="1"/>
      <w:marLeft w:val="0"/>
      <w:marRight w:val="0"/>
      <w:marTop w:val="0"/>
      <w:marBottom w:val="0"/>
      <w:divBdr>
        <w:top w:val="none" w:sz="0" w:space="0" w:color="auto"/>
        <w:left w:val="none" w:sz="0" w:space="0" w:color="auto"/>
        <w:bottom w:val="none" w:sz="0" w:space="0" w:color="auto"/>
        <w:right w:val="none" w:sz="0" w:space="0" w:color="auto"/>
      </w:divBdr>
    </w:div>
    <w:div w:id="69037247">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95175533">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15999151">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29639936">
      <w:bodyDiv w:val="1"/>
      <w:marLeft w:val="0"/>
      <w:marRight w:val="0"/>
      <w:marTop w:val="0"/>
      <w:marBottom w:val="0"/>
      <w:divBdr>
        <w:top w:val="none" w:sz="0" w:space="0" w:color="auto"/>
        <w:left w:val="none" w:sz="0" w:space="0" w:color="auto"/>
        <w:bottom w:val="none" w:sz="0" w:space="0" w:color="auto"/>
        <w:right w:val="none" w:sz="0" w:space="0" w:color="auto"/>
      </w:divBdr>
    </w:div>
    <w:div w:id="131295755">
      <w:bodyDiv w:val="1"/>
      <w:marLeft w:val="0"/>
      <w:marRight w:val="0"/>
      <w:marTop w:val="0"/>
      <w:marBottom w:val="0"/>
      <w:divBdr>
        <w:top w:val="none" w:sz="0" w:space="0" w:color="auto"/>
        <w:left w:val="none" w:sz="0" w:space="0" w:color="auto"/>
        <w:bottom w:val="none" w:sz="0" w:space="0" w:color="auto"/>
        <w:right w:val="none" w:sz="0" w:space="0" w:color="auto"/>
      </w:divBdr>
    </w:div>
    <w:div w:id="139737937">
      <w:bodyDiv w:val="1"/>
      <w:marLeft w:val="0"/>
      <w:marRight w:val="0"/>
      <w:marTop w:val="0"/>
      <w:marBottom w:val="0"/>
      <w:divBdr>
        <w:top w:val="none" w:sz="0" w:space="0" w:color="auto"/>
        <w:left w:val="none" w:sz="0" w:space="0" w:color="auto"/>
        <w:bottom w:val="none" w:sz="0" w:space="0" w:color="auto"/>
        <w:right w:val="none" w:sz="0" w:space="0" w:color="auto"/>
      </w:divBdr>
    </w:div>
    <w:div w:id="144779992">
      <w:bodyDiv w:val="1"/>
      <w:marLeft w:val="0"/>
      <w:marRight w:val="0"/>
      <w:marTop w:val="0"/>
      <w:marBottom w:val="0"/>
      <w:divBdr>
        <w:top w:val="none" w:sz="0" w:space="0" w:color="auto"/>
        <w:left w:val="none" w:sz="0" w:space="0" w:color="auto"/>
        <w:bottom w:val="none" w:sz="0" w:space="0" w:color="auto"/>
        <w:right w:val="none" w:sz="0" w:space="0" w:color="auto"/>
      </w:divBdr>
    </w:div>
    <w:div w:id="157549671">
      <w:bodyDiv w:val="1"/>
      <w:marLeft w:val="0"/>
      <w:marRight w:val="0"/>
      <w:marTop w:val="0"/>
      <w:marBottom w:val="0"/>
      <w:divBdr>
        <w:top w:val="none" w:sz="0" w:space="0" w:color="auto"/>
        <w:left w:val="none" w:sz="0" w:space="0" w:color="auto"/>
        <w:bottom w:val="none" w:sz="0" w:space="0" w:color="auto"/>
        <w:right w:val="none" w:sz="0" w:space="0" w:color="auto"/>
      </w:divBdr>
    </w:div>
    <w:div w:id="173812781">
      <w:bodyDiv w:val="1"/>
      <w:marLeft w:val="0"/>
      <w:marRight w:val="0"/>
      <w:marTop w:val="0"/>
      <w:marBottom w:val="0"/>
      <w:divBdr>
        <w:top w:val="none" w:sz="0" w:space="0" w:color="auto"/>
        <w:left w:val="none" w:sz="0" w:space="0" w:color="auto"/>
        <w:bottom w:val="none" w:sz="0" w:space="0" w:color="auto"/>
        <w:right w:val="none" w:sz="0" w:space="0" w:color="auto"/>
      </w:divBdr>
    </w:div>
    <w:div w:id="177276154">
      <w:bodyDiv w:val="1"/>
      <w:marLeft w:val="0"/>
      <w:marRight w:val="0"/>
      <w:marTop w:val="0"/>
      <w:marBottom w:val="0"/>
      <w:divBdr>
        <w:top w:val="none" w:sz="0" w:space="0" w:color="auto"/>
        <w:left w:val="none" w:sz="0" w:space="0" w:color="auto"/>
        <w:bottom w:val="none" w:sz="0" w:space="0" w:color="auto"/>
        <w:right w:val="none" w:sz="0" w:space="0" w:color="auto"/>
      </w:divBdr>
    </w:div>
    <w:div w:id="190075990">
      <w:bodyDiv w:val="1"/>
      <w:marLeft w:val="0"/>
      <w:marRight w:val="0"/>
      <w:marTop w:val="0"/>
      <w:marBottom w:val="0"/>
      <w:divBdr>
        <w:top w:val="none" w:sz="0" w:space="0" w:color="auto"/>
        <w:left w:val="none" w:sz="0" w:space="0" w:color="auto"/>
        <w:bottom w:val="none" w:sz="0" w:space="0" w:color="auto"/>
        <w:right w:val="none" w:sz="0" w:space="0" w:color="auto"/>
      </w:divBdr>
    </w:div>
    <w:div w:id="190654307">
      <w:bodyDiv w:val="1"/>
      <w:marLeft w:val="0"/>
      <w:marRight w:val="0"/>
      <w:marTop w:val="0"/>
      <w:marBottom w:val="0"/>
      <w:divBdr>
        <w:top w:val="none" w:sz="0" w:space="0" w:color="auto"/>
        <w:left w:val="none" w:sz="0" w:space="0" w:color="auto"/>
        <w:bottom w:val="none" w:sz="0" w:space="0" w:color="auto"/>
        <w:right w:val="none" w:sz="0" w:space="0" w:color="auto"/>
      </w:divBdr>
    </w:div>
    <w:div w:id="190919084">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02249434">
      <w:bodyDiv w:val="1"/>
      <w:marLeft w:val="0"/>
      <w:marRight w:val="0"/>
      <w:marTop w:val="0"/>
      <w:marBottom w:val="0"/>
      <w:divBdr>
        <w:top w:val="none" w:sz="0" w:space="0" w:color="auto"/>
        <w:left w:val="none" w:sz="0" w:space="0" w:color="auto"/>
        <w:bottom w:val="none" w:sz="0" w:space="0" w:color="auto"/>
        <w:right w:val="none" w:sz="0" w:space="0" w:color="auto"/>
      </w:divBdr>
    </w:div>
    <w:div w:id="207449975">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38636194">
      <w:bodyDiv w:val="1"/>
      <w:marLeft w:val="0"/>
      <w:marRight w:val="0"/>
      <w:marTop w:val="0"/>
      <w:marBottom w:val="0"/>
      <w:divBdr>
        <w:top w:val="none" w:sz="0" w:space="0" w:color="auto"/>
        <w:left w:val="none" w:sz="0" w:space="0" w:color="auto"/>
        <w:bottom w:val="none" w:sz="0" w:space="0" w:color="auto"/>
        <w:right w:val="none" w:sz="0" w:space="0" w:color="auto"/>
      </w:divBdr>
    </w:div>
    <w:div w:id="247541361">
      <w:bodyDiv w:val="1"/>
      <w:marLeft w:val="0"/>
      <w:marRight w:val="0"/>
      <w:marTop w:val="0"/>
      <w:marBottom w:val="0"/>
      <w:divBdr>
        <w:top w:val="none" w:sz="0" w:space="0" w:color="auto"/>
        <w:left w:val="none" w:sz="0" w:space="0" w:color="auto"/>
        <w:bottom w:val="none" w:sz="0" w:space="0" w:color="auto"/>
        <w:right w:val="none" w:sz="0" w:space="0" w:color="auto"/>
      </w:divBdr>
    </w:div>
    <w:div w:id="247737561">
      <w:bodyDiv w:val="1"/>
      <w:marLeft w:val="0"/>
      <w:marRight w:val="0"/>
      <w:marTop w:val="0"/>
      <w:marBottom w:val="0"/>
      <w:divBdr>
        <w:top w:val="none" w:sz="0" w:space="0" w:color="auto"/>
        <w:left w:val="none" w:sz="0" w:space="0" w:color="auto"/>
        <w:bottom w:val="none" w:sz="0" w:space="0" w:color="auto"/>
        <w:right w:val="none" w:sz="0" w:space="0" w:color="auto"/>
      </w:divBdr>
    </w:div>
    <w:div w:id="258100924">
      <w:bodyDiv w:val="1"/>
      <w:marLeft w:val="0"/>
      <w:marRight w:val="0"/>
      <w:marTop w:val="0"/>
      <w:marBottom w:val="0"/>
      <w:divBdr>
        <w:top w:val="none" w:sz="0" w:space="0" w:color="auto"/>
        <w:left w:val="none" w:sz="0" w:space="0" w:color="auto"/>
        <w:bottom w:val="none" w:sz="0" w:space="0" w:color="auto"/>
        <w:right w:val="none" w:sz="0" w:space="0" w:color="auto"/>
      </w:divBdr>
    </w:div>
    <w:div w:id="269777761">
      <w:bodyDiv w:val="1"/>
      <w:marLeft w:val="0"/>
      <w:marRight w:val="0"/>
      <w:marTop w:val="0"/>
      <w:marBottom w:val="0"/>
      <w:divBdr>
        <w:top w:val="none" w:sz="0" w:space="0" w:color="auto"/>
        <w:left w:val="none" w:sz="0" w:space="0" w:color="auto"/>
        <w:bottom w:val="none" w:sz="0" w:space="0" w:color="auto"/>
        <w:right w:val="none" w:sz="0" w:space="0" w:color="auto"/>
      </w:divBdr>
    </w:div>
    <w:div w:id="271281598">
      <w:bodyDiv w:val="1"/>
      <w:marLeft w:val="0"/>
      <w:marRight w:val="0"/>
      <w:marTop w:val="0"/>
      <w:marBottom w:val="0"/>
      <w:divBdr>
        <w:top w:val="none" w:sz="0" w:space="0" w:color="auto"/>
        <w:left w:val="none" w:sz="0" w:space="0" w:color="auto"/>
        <w:bottom w:val="none" w:sz="0" w:space="0" w:color="auto"/>
        <w:right w:val="none" w:sz="0" w:space="0" w:color="auto"/>
      </w:divBdr>
    </w:div>
    <w:div w:id="281964772">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08245836">
      <w:bodyDiv w:val="1"/>
      <w:marLeft w:val="0"/>
      <w:marRight w:val="0"/>
      <w:marTop w:val="0"/>
      <w:marBottom w:val="0"/>
      <w:divBdr>
        <w:top w:val="none" w:sz="0" w:space="0" w:color="auto"/>
        <w:left w:val="none" w:sz="0" w:space="0" w:color="auto"/>
        <w:bottom w:val="none" w:sz="0" w:space="0" w:color="auto"/>
        <w:right w:val="none" w:sz="0" w:space="0" w:color="auto"/>
      </w:divBdr>
    </w:div>
    <w:div w:id="310211995">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349378182">
      <w:bodyDiv w:val="1"/>
      <w:marLeft w:val="0"/>
      <w:marRight w:val="0"/>
      <w:marTop w:val="0"/>
      <w:marBottom w:val="0"/>
      <w:divBdr>
        <w:top w:val="none" w:sz="0" w:space="0" w:color="auto"/>
        <w:left w:val="none" w:sz="0" w:space="0" w:color="auto"/>
        <w:bottom w:val="none" w:sz="0" w:space="0" w:color="auto"/>
        <w:right w:val="none" w:sz="0" w:space="0" w:color="auto"/>
      </w:divBdr>
    </w:div>
    <w:div w:id="369844929">
      <w:bodyDiv w:val="1"/>
      <w:marLeft w:val="0"/>
      <w:marRight w:val="0"/>
      <w:marTop w:val="0"/>
      <w:marBottom w:val="0"/>
      <w:divBdr>
        <w:top w:val="none" w:sz="0" w:space="0" w:color="auto"/>
        <w:left w:val="none" w:sz="0" w:space="0" w:color="auto"/>
        <w:bottom w:val="none" w:sz="0" w:space="0" w:color="auto"/>
        <w:right w:val="none" w:sz="0" w:space="0" w:color="auto"/>
      </w:divBdr>
    </w:div>
    <w:div w:id="376055543">
      <w:bodyDiv w:val="1"/>
      <w:marLeft w:val="0"/>
      <w:marRight w:val="0"/>
      <w:marTop w:val="0"/>
      <w:marBottom w:val="0"/>
      <w:divBdr>
        <w:top w:val="none" w:sz="0" w:space="0" w:color="auto"/>
        <w:left w:val="none" w:sz="0" w:space="0" w:color="auto"/>
        <w:bottom w:val="none" w:sz="0" w:space="0" w:color="auto"/>
        <w:right w:val="none" w:sz="0" w:space="0" w:color="auto"/>
      </w:divBdr>
    </w:div>
    <w:div w:id="387000353">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25810479">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72256329">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04323226">
      <w:bodyDiv w:val="1"/>
      <w:marLeft w:val="0"/>
      <w:marRight w:val="0"/>
      <w:marTop w:val="0"/>
      <w:marBottom w:val="0"/>
      <w:divBdr>
        <w:top w:val="none" w:sz="0" w:space="0" w:color="auto"/>
        <w:left w:val="none" w:sz="0" w:space="0" w:color="auto"/>
        <w:bottom w:val="none" w:sz="0" w:space="0" w:color="auto"/>
        <w:right w:val="none" w:sz="0" w:space="0" w:color="auto"/>
      </w:divBdr>
    </w:div>
    <w:div w:id="518082209">
      <w:bodyDiv w:val="1"/>
      <w:marLeft w:val="0"/>
      <w:marRight w:val="0"/>
      <w:marTop w:val="0"/>
      <w:marBottom w:val="0"/>
      <w:divBdr>
        <w:top w:val="none" w:sz="0" w:space="0" w:color="auto"/>
        <w:left w:val="none" w:sz="0" w:space="0" w:color="auto"/>
        <w:bottom w:val="none" w:sz="0" w:space="0" w:color="auto"/>
        <w:right w:val="none" w:sz="0" w:space="0" w:color="auto"/>
      </w:divBdr>
    </w:div>
    <w:div w:id="532351346">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164580">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089458">
      <w:bodyDiv w:val="1"/>
      <w:marLeft w:val="0"/>
      <w:marRight w:val="0"/>
      <w:marTop w:val="0"/>
      <w:marBottom w:val="0"/>
      <w:divBdr>
        <w:top w:val="none" w:sz="0" w:space="0" w:color="auto"/>
        <w:left w:val="none" w:sz="0" w:space="0" w:color="auto"/>
        <w:bottom w:val="none" w:sz="0" w:space="0" w:color="auto"/>
        <w:right w:val="none" w:sz="0" w:space="0" w:color="auto"/>
      </w:divBdr>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10432743">
      <w:bodyDiv w:val="1"/>
      <w:marLeft w:val="0"/>
      <w:marRight w:val="0"/>
      <w:marTop w:val="0"/>
      <w:marBottom w:val="0"/>
      <w:divBdr>
        <w:top w:val="none" w:sz="0" w:space="0" w:color="auto"/>
        <w:left w:val="none" w:sz="0" w:space="0" w:color="auto"/>
        <w:bottom w:val="none" w:sz="0" w:space="0" w:color="auto"/>
        <w:right w:val="none" w:sz="0" w:space="0" w:color="auto"/>
      </w:divBdr>
    </w:div>
    <w:div w:id="631523462">
      <w:bodyDiv w:val="1"/>
      <w:marLeft w:val="0"/>
      <w:marRight w:val="0"/>
      <w:marTop w:val="0"/>
      <w:marBottom w:val="0"/>
      <w:divBdr>
        <w:top w:val="none" w:sz="0" w:space="0" w:color="auto"/>
        <w:left w:val="none" w:sz="0" w:space="0" w:color="auto"/>
        <w:bottom w:val="none" w:sz="0" w:space="0" w:color="auto"/>
        <w:right w:val="none" w:sz="0" w:space="0" w:color="auto"/>
      </w:divBdr>
    </w:div>
    <w:div w:id="633175003">
      <w:bodyDiv w:val="1"/>
      <w:marLeft w:val="0"/>
      <w:marRight w:val="0"/>
      <w:marTop w:val="0"/>
      <w:marBottom w:val="0"/>
      <w:divBdr>
        <w:top w:val="none" w:sz="0" w:space="0" w:color="auto"/>
        <w:left w:val="none" w:sz="0" w:space="0" w:color="auto"/>
        <w:bottom w:val="none" w:sz="0" w:space="0" w:color="auto"/>
        <w:right w:val="none" w:sz="0" w:space="0" w:color="auto"/>
      </w:divBdr>
    </w:div>
    <w:div w:id="639193226">
      <w:bodyDiv w:val="1"/>
      <w:marLeft w:val="0"/>
      <w:marRight w:val="0"/>
      <w:marTop w:val="0"/>
      <w:marBottom w:val="0"/>
      <w:divBdr>
        <w:top w:val="none" w:sz="0" w:space="0" w:color="auto"/>
        <w:left w:val="none" w:sz="0" w:space="0" w:color="auto"/>
        <w:bottom w:val="none" w:sz="0" w:space="0" w:color="auto"/>
        <w:right w:val="none" w:sz="0" w:space="0" w:color="auto"/>
      </w:divBdr>
    </w:div>
    <w:div w:id="664629813">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19207465">
      <w:bodyDiv w:val="1"/>
      <w:marLeft w:val="0"/>
      <w:marRight w:val="0"/>
      <w:marTop w:val="0"/>
      <w:marBottom w:val="0"/>
      <w:divBdr>
        <w:top w:val="none" w:sz="0" w:space="0" w:color="auto"/>
        <w:left w:val="none" w:sz="0" w:space="0" w:color="auto"/>
        <w:bottom w:val="none" w:sz="0" w:space="0" w:color="auto"/>
        <w:right w:val="none" w:sz="0" w:space="0" w:color="auto"/>
      </w:divBdr>
      <w:divsChild>
        <w:div w:id="471336215">
          <w:marLeft w:val="0"/>
          <w:marRight w:val="0"/>
          <w:marTop w:val="0"/>
          <w:marBottom w:val="101"/>
          <w:divBdr>
            <w:top w:val="none" w:sz="0" w:space="0" w:color="auto"/>
            <w:left w:val="none" w:sz="0" w:space="0" w:color="auto"/>
            <w:bottom w:val="none" w:sz="0" w:space="0" w:color="auto"/>
            <w:right w:val="none" w:sz="0" w:space="0" w:color="auto"/>
          </w:divBdr>
        </w:div>
        <w:div w:id="1136795023">
          <w:marLeft w:val="0"/>
          <w:marRight w:val="0"/>
          <w:marTop w:val="0"/>
          <w:marBottom w:val="101"/>
          <w:divBdr>
            <w:top w:val="none" w:sz="0" w:space="0" w:color="auto"/>
            <w:left w:val="none" w:sz="0" w:space="0" w:color="auto"/>
            <w:bottom w:val="none" w:sz="0" w:space="0" w:color="auto"/>
            <w:right w:val="none" w:sz="0" w:space="0" w:color="auto"/>
          </w:divBdr>
        </w:div>
        <w:div w:id="206570758">
          <w:marLeft w:val="864"/>
          <w:marRight w:val="0"/>
          <w:marTop w:val="0"/>
          <w:marBottom w:val="101"/>
          <w:divBdr>
            <w:top w:val="none" w:sz="0" w:space="0" w:color="auto"/>
            <w:left w:val="none" w:sz="0" w:space="0" w:color="auto"/>
            <w:bottom w:val="none" w:sz="0" w:space="0" w:color="auto"/>
            <w:right w:val="none" w:sz="0" w:space="0" w:color="auto"/>
          </w:divBdr>
        </w:div>
        <w:div w:id="913852647">
          <w:marLeft w:val="864"/>
          <w:marRight w:val="0"/>
          <w:marTop w:val="0"/>
          <w:marBottom w:val="101"/>
          <w:divBdr>
            <w:top w:val="none" w:sz="0" w:space="0" w:color="auto"/>
            <w:left w:val="none" w:sz="0" w:space="0" w:color="auto"/>
            <w:bottom w:val="none" w:sz="0" w:space="0" w:color="auto"/>
            <w:right w:val="none" w:sz="0" w:space="0" w:color="auto"/>
          </w:divBdr>
        </w:div>
        <w:div w:id="1932616041">
          <w:marLeft w:val="864"/>
          <w:marRight w:val="0"/>
          <w:marTop w:val="0"/>
          <w:marBottom w:val="101"/>
          <w:divBdr>
            <w:top w:val="none" w:sz="0" w:space="0" w:color="auto"/>
            <w:left w:val="none" w:sz="0" w:space="0" w:color="auto"/>
            <w:bottom w:val="none" w:sz="0" w:space="0" w:color="auto"/>
            <w:right w:val="none" w:sz="0" w:space="0" w:color="auto"/>
          </w:divBdr>
        </w:div>
        <w:div w:id="300157043">
          <w:marLeft w:val="864"/>
          <w:marRight w:val="0"/>
          <w:marTop w:val="0"/>
          <w:marBottom w:val="101"/>
          <w:divBdr>
            <w:top w:val="none" w:sz="0" w:space="0" w:color="auto"/>
            <w:left w:val="none" w:sz="0" w:space="0" w:color="auto"/>
            <w:bottom w:val="none" w:sz="0" w:space="0" w:color="auto"/>
            <w:right w:val="none" w:sz="0" w:space="0" w:color="auto"/>
          </w:divBdr>
        </w:div>
      </w:divsChild>
    </w:div>
    <w:div w:id="733623360">
      <w:bodyDiv w:val="1"/>
      <w:marLeft w:val="0"/>
      <w:marRight w:val="0"/>
      <w:marTop w:val="0"/>
      <w:marBottom w:val="0"/>
      <w:divBdr>
        <w:top w:val="none" w:sz="0" w:space="0" w:color="auto"/>
        <w:left w:val="none" w:sz="0" w:space="0" w:color="auto"/>
        <w:bottom w:val="none" w:sz="0" w:space="0" w:color="auto"/>
        <w:right w:val="none" w:sz="0" w:space="0" w:color="auto"/>
      </w:divBdr>
    </w:div>
    <w:div w:id="740102458">
      <w:bodyDiv w:val="1"/>
      <w:marLeft w:val="0"/>
      <w:marRight w:val="0"/>
      <w:marTop w:val="0"/>
      <w:marBottom w:val="0"/>
      <w:divBdr>
        <w:top w:val="none" w:sz="0" w:space="0" w:color="auto"/>
        <w:left w:val="none" w:sz="0" w:space="0" w:color="auto"/>
        <w:bottom w:val="none" w:sz="0" w:space="0" w:color="auto"/>
        <w:right w:val="none" w:sz="0" w:space="0" w:color="auto"/>
      </w:divBdr>
    </w:div>
    <w:div w:id="759957181">
      <w:bodyDiv w:val="1"/>
      <w:marLeft w:val="0"/>
      <w:marRight w:val="0"/>
      <w:marTop w:val="0"/>
      <w:marBottom w:val="0"/>
      <w:divBdr>
        <w:top w:val="none" w:sz="0" w:space="0" w:color="auto"/>
        <w:left w:val="none" w:sz="0" w:space="0" w:color="auto"/>
        <w:bottom w:val="none" w:sz="0" w:space="0" w:color="auto"/>
        <w:right w:val="none" w:sz="0" w:space="0" w:color="auto"/>
      </w:divBdr>
    </w:div>
    <w:div w:id="763961113">
      <w:bodyDiv w:val="1"/>
      <w:marLeft w:val="0"/>
      <w:marRight w:val="0"/>
      <w:marTop w:val="0"/>
      <w:marBottom w:val="0"/>
      <w:divBdr>
        <w:top w:val="none" w:sz="0" w:space="0" w:color="auto"/>
        <w:left w:val="none" w:sz="0" w:space="0" w:color="auto"/>
        <w:bottom w:val="none" w:sz="0" w:space="0" w:color="auto"/>
        <w:right w:val="none" w:sz="0" w:space="0" w:color="auto"/>
      </w:divBdr>
    </w:div>
    <w:div w:id="765031404">
      <w:bodyDiv w:val="1"/>
      <w:marLeft w:val="0"/>
      <w:marRight w:val="0"/>
      <w:marTop w:val="0"/>
      <w:marBottom w:val="0"/>
      <w:divBdr>
        <w:top w:val="none" w:sz="0" w:space="0" w:color="auto"/>
        <w:left w:val="none" w:sz="0" w:space="0" w:color="auto"/>
        <w:bottom w:val="none" w:sz="0" w:space="0" w:color="auto"/>
        <w:right w:val="none" w:sz="0" w:space="0" w:color="auto"/>
      </w:divBdr>
    </w:div>
    <w:div w:id="775101071">
      <w:bodyDiv w:val="1"/>
      <w:marLeft w:val="0"/>
      <w:marRight w:val="0"/>
      <w:marTop w:val="0"/>
      <w:marBottom w:val="0"/>
      <w:divBdr>
        <w:top w:val="none" w:sz="0" w:space="0" w:color="auto"/>
        <w:left w:val="none" w:sz="0" w:space="0" w:color="auto"/>
        <w:bottom w:val="none" w:sz="0" w:space="0" w:color="auto"/>
        <w:right w:val="none" w:sz="0" w:space="0" w:color="auto"/>
      </w:divBdr>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2057773598">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1006520419">
          <w:marLeft w:val="0"/>
          <w:marRight w:val="0"/>
          <w:marTop w:val="0"/>
          <w:marBottom w:val="82"/>
          <w:divBdr>
            <w:top w:val="none" w:sz="0" w:space="0" w:color="auto"/>
            <w:left w:val="none" w:sz="0" w:space="0" w:color="auto"/>
            <w:bottom w:val="none" w:sz="0" w:space="0" w:color="auto"/>
            <w:right w:val="none" w:sz="0" w:space="0" w:color="auto"/>
          </w:divBdr>
        </w:div>
      </w:divsChild>
    </w:div>
    <w:div w:id="793475896">
      <w:bodyDiv w:val="1"/>
      <w:marLeft w:val="0"/>
      <w:marRight w:val="0"/>
      <w:marTop w:val="0"/>
      <w:marBottom w:val="0"/>
      <w:divBdr>
        <w:top w:val="none" w:sz="0" w:space="0" w:color="auto"/>
        <w:left w:val="none" w:sz="0" w:space="0" w:color="auto"/>
        <w:bottom w:val="none" w:sz="0" w:space="0" w:color="auto"/>
        <w:right w:val="none" w:sz="0" w:space="0" w:color="auto"/>
      </w:divBdr>
    </w:div>
    <w:div w:id="805857505">
      <w:bodyDiv w:val="1"/>
      <w:marLeft w:val="0"/>
      <w:marRight w:val="0"/>
      <w:marTop w:val="0"/>
      <w:marBottom w:val="0"/>
      <w:divBdr>
        <w:top w:val="none" w:sz="0" w:space="0" w:color="auto"/>
        <w:left w:val="none" w:sz="0" w:space="0" w:color="auto"/>
        <w:bottom w:val="none" w:sz="0" w:space="0" w:color="auto"/>
        <w:right w:val="none" w:sz="0" w:space="0" w:color="auto"/>
      </w:divBdr>
    </w:div>
    <w:div w:id="821695453">
      <w:bodyDiv w:val="1"/>
      <w:marLeft w:val="0"/>
      <w:marRight w:val="0"/>
      <w:marTop w:val="0"/>
      <w:marBottom w:val="0"/>
      <w:divBdr>
        <w:top w:val="none" w:sz="0" w:space="0" w:color="auto"/>
        <w:left w:val="none" w:sz="0" w:space="0" w:color="auto"/>
        <w:bottom w:val="none" w:sz="0" w:space="0" w:color="auto"/>
        <w:right w:val="none" w:sz="0" w:space="0" w:color="auto"/>
      </w:divBdr>
    </w:div>
    <w:div w:id="822813506">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846791831">
      <w:bodyDiv w:val="1"/>
      <w:marLeft w:val="0"/>
      <w:marRight w:val="0"/>
      <w:marTop w:val="0"/>
      <w:marBottom w:val="0"/>
      <w:divBdr>
        <w:top w:val="none" w:sz="0" w:space="0" w:color="auto"/>
        <w:left w:val="none" w:sz="0" w:space="0" w:color="auto"/>
        <w:bottom w:val="none" w:sz="0" w:space="0" w:color="auto"/>
        <w:right w:val="none" w:sz="0" w:space="0" w:color="auto"/>
      </w:divBdr>
    </w:div>
    <w:div w:id="882256641">
      <w:bodyDiv w:val="1"/>
      <w:marLeft w:val="0"/>
      <w:marRight w:val="0"/>
      <w:marTop w:val="0"/>
      <w:marBottom w:val="0"/>
      <w:divBdr>
        <w:top w:val="none" w:sz="0" w:space="0" w:color="auto"/>
        <w:left w:val="none" w:sz="0" w:space="0" w:color="auto"/>
        <w:bottom w:val="none" w:sz="0" w:space="0" w:color="auto"/>
        <w:right w:val="none" w:sz="0" w:space="0" w:color="auto"/>
      </w:divBdr>
    </w:div>
    <w:div w:id="891038541">
      <w:bodyDiv w:val="1"/>
      <w:marLeft w:val="0"/>
      <w:marRight w:val="0"/>
      <w:marTop w:val="0"/>
      <w:marBottom w:val="0"/>
      <w:divBdr>
        <w:top w:val="none" w:sz="0" w:space="0" w:color="auto"/>
        <w:left w:val="none" w:sz="0" w:space="0" w:color="auto"/>
        <w:bottom w:val="none" w:sz="0" w:space="0" w:color="auto"/>
        <w:right w:val="none" w:sz="0" w:space="0" w:color="auto"/>
      </w:divBdr>
    </w:div>
    <w:div w:id="898132658">
      <w:bodyDiv w:val="1"/>
      <w:marLeft w:val="0"/>
      <w:marRight w:val="0"/>
      <w:marTop w:val="0"/>
      <w:marBottom w:val="0"/>
      <w:divBdr>
        <w:top w:val="none" w:sz="0" w:space="0" w:color="auto"/>
        <w:left w:val="none" w:sz="0" w:space="0" w:color="auto"/>
        <w:bottom w:val="none" w:sz="0" w:space="0" w:color="auto"/>
        <w:right w:val="none" w:sz="0" w:space="0" w:color="auto"/>
      </w:divBdr>
    </w:div>
    <w:div w:id="967665999">
      <w:bodyDiv w:val="1"/>
      <w:marLeft w:val="0"/>
      <w:marRight w:val="0"/>
      <w:marTop w:val="0"/>
      <w:marBottom w:val="0"/>
      <w:divBdr>
        <w:top w:val="none" w:sz="0" w:space="0" w:color="auto"/>
        <w:left w:val="none" w:sz="0" w:space="0" w:color="auto"/>
        <w:bottom w:val="none" w:sz="0" w:space="0" w:color="auto"/>
        <w:right w:val="none" w:sz="0" w:space="0" w:color="auto"/>
      </w:divBdr>
    </w:div>
    <w:div w:id="971718265">
      <w:bodyDiv w:val="1"/>
      <w:marLeft w:val="0"/>
      <w:marRight w:val="0"/>
      <w:marTop w:val="0"/>
      <w:marBottom w:val="0"/>
      <w:divBdr>
        <w:top w:val="none" w:sz="0" w:space="0" w:color="auto"/>
        <w:left w:val="none" w:sz="0" w:space="0" w:color="auto"/>
        <w:bottom w:val="none" w:sz="0" w:space="0" w:color="auto"/>
        <w:right w:val="none" w:sz="0" w:space="0" w:color="auto"/>
      </w:divBdr>
    </w:div>
    <w:div w:id="995570247">
      <w:bodyDiv w:val="1"/>
      <w:marLeft w:val="0"/>
      <w:marRight w:val="0"/>
      <w:marTop w:val="0"/>
      <w:marBottom w:val="0"/>
      <w:divBdr>
        <w:top w:val="none" w:sz="0" w:space="0" w:color="auto"/>
        <w:left w:val="none" w:sz="0" w:space="0" w:color="auto"/>
        <w:bottom w:val="none" w:sz="0" w:space="0" w:color="auto"/>
        <w:right w:val="none" w:sz="0" w:space="0" w:color="auto"/>
      </w:divBdr>
    </w:div>
    <w:div w:id="1006178008">
      <w:bodyDiv w:val="1"/>
      <w:marLeft w:val="0"/>
      <w:marRight w:val="0"/>
      <w:marTop w:val="0"/>
      <w:marBottom w:val="0"/>
      <w:divBdr>
        <w:top w:val="none" w:sz="0" w:space="0" w:color="auto"/>
        <w:left w:val="none" w:sz="0" w:space="0" w:color="auto"/>
        <w:bottom w:val="none" w:sz="0" w:space="0" w:color="auto"/>
        <w:right w:val="none" w:sz="0" w:space="0" w:color="auto"/>
      </w:divBdr>
    </w:div>
    <w:div w:id="1033966617">
      <w:bodyDiv w:val="1"/>
      <w:marLeft w:val="0"/>
      <w:marRight w:val="0"/>
      <w:marTop w:val="0"/>
      <w:marBottom w:val="0"/>
      <w:divBdr>
        <w:top w:val="none" w:sz="0" w:space="0" w:color="auto"/>
        <w:left w:val="none" w:sz="0" w:space="0" w:color="auto"/>
        <w:bottom w:val="none" w:sz="0" w:space="0" w:color="auto"/>
        <w:right w:val="none" w:sz="0" w:space="0" w:color="auto"/>
      </w:divBdr>
    </w:div>
    <w:div w:id="1041395086">
      <w:bodyDiv w:val="1"/>
      <w:marLeft w:val="0"/>
      <w:marRight w:val="0"/>
      <w:marTop w:val="0"/>
      <w:marBottom w:val="0"/>
      <w:divBdr>
        <w:top w:val="none" w:sz="0" w:space="0" w:color="auto"/>
        <w:left w:val="none" w:sz="0" w:space="0" w:color="auto"/>
        <w:bottom w:val="none" w:sz="0" w:space="0" w:color="auto"/>
        <w:right w:val="none" w:sz="0" w:space="0" w:color="auto"/>
      </w:divBdr>
    </w:div>
    <w:div w:id="1051079652">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064066917">
      <w:bodyDiv w:val="1"/>
      <w:marLeft w:val="0"/>
      <w:marRight w:val="0"/>
      <w:marTop w:val="0"/>
      <w:marBottom w:val="0"/>
      <w:divBdr>
        <w:top w:val="none" w:sz="0" w:space="0" w:color="auto"/>
        <w:left w:val="none" w:sz="0" w:space="0" w:color="auto"/>
        <w:bottom w:val="none" w:sz="0" w:space="0" w:color="auto"/>
        <w:right w:val="none" w:sz="0" w:space="0" w:color="auto"/>
      </w:divBdr>
    </w:div>
    <w:div w:id="1066298772">
      <w:bodyDiv w:val="1"/>
      <w:marLeft w:val="0"/>
      <w:marRight w:val="0"/>
      <w:marTop w:val="0"/>
      <w:marBottom w:val="0"/>
      <w:divBdr>
        <w:top w:val="none" w:sz="0" w:space="0" w:color="auto"/>
        <w:left w:val="none" w:sz="0" w:space="0" w:color="auto"/>
        <w:bottom w:val="none" w:sz="0" w:space="0" w:color="auto"/>
        <w:right w:val="none" w:sz="0" w:space="0" w:color="auto"/>
      </w:divBdr>
    </w:div>
    <w:div w:id="1100681983">
      <w:bodyDiv w:val="1"/>
      <w:marLeft w:val="0"/>
      <w:marRight w:val="0"/>
      <w:marTop w:val="0"/>
      <w:marBottom w:val="0"/>
      <w:divBdr>
        <w:top w:val="none" w:sz="0" w:space="0" w:color="auto"/>
        <w:left w:val="none" w:sz="0" w:space="0" w:color="auto"/>
        <w:bottom w:val="none" w:sz="0" w:space="0" w:color="auto"/>
        <w:right w:val="none" w:sz="0" w:space="0" w:color="auto"/>
      </w:divBdr>
    </w:div>
    <w:div w:id="1103839501">
      <w:bodyDiv w:val="1"/>
      <w:marLeft w:val="0"/>
      <w:marRight w:val="0"/>
      <w:marTop w:val="0"/>
      <w:marBottom w:val="0"/>
      <w:divBdr>
        <w:top w:val="none" w:sz="0" w:space="0" w:color="auto"/>
        <w:left w:val="none" w:sz="0" w:space="0" w:color="auto"/>
        <w:bottom w:val="none" w:sz="0" w:space="0" w:color="auto"/>
        <w:right w:val="none" w:sz="0" w:space="0" w:color="auto"/>
      </w:divBdr>
    </w:div>
    <w:div w:id="1105492631">
      <w:bodyDiv w:val="1"/>
      <w:marLeft w:val="0"/>
      <w:marRight w:val="0"/>
      <w:marTop w:val="0"/>
      <w:marBottom w:val="0"/>
      <w:divBdr>
        <w:top w:val="none" w:sz="0" w:space="0" w:color="auto"/>
        <w:left w:val="none" w:sz="0" w:space="0" w:color="auto"/>
        <w:bottom w:val="none" w:sz="0" w:space="0" w:color="auto"/>
        <w:right w:val="none" w:sz="0" w:space="0" w:color="auto"/>
      </w:divBdr>
    </w:div>
    <w:div w:id="1108695413">
      <w:bodyDiv w:val="1"/>
      <w:marLeft w:val="0"/>
      <w:marRight w:val="0"/>
      <w:marTop w:val="0"/>
      <w:marBottom w:val="0"/>
      <w:divBdr>
        <w:top w:val="none" w:sz="0" w:space="0" w:color="auto"/>
        <w:left w:val="none" w:sz="0" w:space="0" w:color="auto"/>
        <w:bottom w:val="none" w:sz="0" w:space="0" w:color="auto"/>
        <w:right w:val="none" w:sz="0" w:space="0" w:color="auto"/>
      </w:divBdr>
    </w:div>
    <w:div w:id="1113750838">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27508920">
      <w:bodyDiv w:val="1"/>
      <w:marLeft w:val="0"/>
      <w:marRight w:val="0"/>
      <w:marTop w:val="0"/>
      <w:marBottom w:val="0"/>
      <w:divBdr>
        <w:top w:val="none" w:sz="0" w:space="0" w:color="auto"/>
        <w:left w:val="none" w:sz="0" w:space="0" w:color="auto"/>
        <w:bottom w:val="none" w:sz="0" w:space="0" w:color="auto"/>
        <w:right w:val="none" w:sz="0" w:space="0" w:color="auto"/>
      </w:divBdr>
    </w:div>
    <w:div w:id="1130855729">
      <w:bodyDiv w:val="1"/>
      <w:marLeft w:val="0"/>
      <w:marRight w:val="0"/>
      <w:marTop w:val="0"/>
      <w:marBottom w:val="0"/>
      <w:divBdr>
        <w:top w:val="none" w:sz="0" w:space="0" w:color="auto"/>
        <w:left w:val="none" w:sz="0" w:space="0" w:color="auto"/>
        <w:bottom w:val="none" w:sz="0" w:space="0" w:color="auto"/>
        <w:right w:val="none" w:sz="0" w:space="0" w:color="auto"/>
      </w:divBdr>
    </w:div>
    <w:div w:id="1149857459">
      <w:bodyDiv w:val="1"/>
      <w:marLeft w:val="0"/>
      <w:marRight w:val="0"/>
      <w:marTop w:val="0"/>
      <w:marBottom w:val="0"/>
      <w:divBdr>
        <w:top w:val="none" w:sz="0" w:space="0" w:color="auto"/>
        <w:left w:val="none" w:sz="0" w:space="0" w:color="auto"/>
        <w:bottom w:val="none" w:sz="0" w:space="0" w:color="auto"/>
        <w:right w:val="none" w:sz="0" w:space="0" w:color="auto"/>
      </w:divBdr>
    </w:div>
    <w:div w:id="1172600720">
      <w:bodyDiv w:val="1"/>
      <w:marLeft w:val="0"/>
      <w:marRight w:val="0"/>
      <w:marTop w:val="0"/>
      <w:marBottom w:val="0"/>
      <w:divBdr>
        <w:top w:val="none" w:sz="0" w:space="0" w:color="auto"/>
        <w:left w:val="none" w:sz="0" w:space="0" w:color="auto"/>
        <w:bottom w:val="none" w:sz="0" w:space="0" w:color="auto"/>
        <w:right w:val="none" w:sz="0" w:space="0" w:color="auto"/>
      </w:divBdr>
    </w:div>
    <w:div w:id="118174590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196428752">
      <w:bodyDiv w:val="1"/>
      <w:marLeft w:val="0"/>
      <w:marRight w:val="0"/>
      <w:marTop w:val="0"/>
      <w:marBottom w:val="0"/>
      <w:divBdr>
        <w:top w:val="none" w:sz="0" w:space="0" w:color="auto"/>
        <w:left w:val="none" w:sz="0" w:space="0" w:color="auto"/>
        <w:bottom w:val="none" w:sz="0" w:space="0" w:color="auto"/>
        <w:right w:val="none" w:sz="0" w:space="0" w:color="auto"/>
      </w:divBdr>
    </w:div>
    <w:div w:id="1204559646">
      <w:bodyDiv w:val="1"/>
      <w:marLeft w:val="0"/>
      <w:marRight w:val="0"/>
      <w:marTop w:val="0"/>
      <w:marBottom w:val="0"/>
      <w:divBdr>
        <w:top w:val="none" w:sz="0" w:space="0" w:color="auto"/>
        <w:left w:val="none" w:sz="0" w:space="0" w:color="auto"/>
        <w:bottom w:val="none" w:sz="0" w:space="0" w:color="auto"/>
        <w:right w:val="none" w:sz="0" w:space="0" w:color="auto"/>
      </w:divBdr>
    </w:div>
    <w:div w:id="1230186640">
      <w:bodyDiv w:val="1"/>
      <w:marLeft w:val="0"/>
      <w:marRight w:val="0"/>
      <w:marTop w:val="0"/>
      <w:marBottom w:val="0"/>
      <w:divBdr>
        <w:top w:val="none" w:sz="0" w:space="0" w:color="auto"/>
        <w:left w:val="none" w:sz="0" w:space="0" w:color="auto"/>
        <w:bottom w:val="none" w:sz="0" w:space="0" w:color="auto"/>
        <w:right w:val="none" w:sz="0" w:space="0" w:color="auto"/>
      </w:divBdr>
    </w:div>
    <w:div w:id="1232079861">
      <w:bodyDiv w:val="1"/>
      <w:marLeft w:val="0"/>
      <w:marRight w:val="0"/>
      <w:marTop w:val="0"/>
      <w:marBottom w:val="0"/>
      <w:divBdr>
        <w:top w:val="none" w:sz="0" w:space="0" w:color="auto"/>
        <w:left w:val="none" w:sz="0" w:space="0" w:color="auto"/>
        <w:bottom w:val="none" w:sz="0" w:space="0" w:color="auto"/>
        <w:right w:val="none" w:sz="0" w:space="0" w:color="auto"/>
      </w:divBdr>
    </w:div>
    <w:div w:id="1236352625">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75363284">
      <w:bodyDiv w:val="1"/>
      <w:marLeft w:val="0"/>
      <w:marRight w:val="0"/>
      <w:marTop w:val="0"/>
      <w:marBottom w:val="0"/>
      <w:divBdr>
        <w:top w:val="none" w:sz="0" w:space="0" w:color="auto"/>
        <w:left w:val="none" w:sz="0" w:space="0" w:color="auto"/>
        <w:bottom w:val="none" w:sz="0" w:space="0" w:color="auto"/>
        <w:right w:val="none" w:sz="0" w:space="0" w:color="auto"/>
      </w:divBdr>
    </w:div>
    <w:div w:id="1278217174">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295597826">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49991246">
      <w:bodyDiv w:val="1"/>
      <w:marLeft w:val="0"/>
      <w:marRight w:val="0"/>
      <w:marTop w:val="0"/>
      <w:marBottom w:val="0"/>
      <w:divBdr>
        <w:top w:val="none" w:sz="0" w:space="0" w:color="auto"/>
        <w:left w:val="none" w:sz="0" w:space="0" w:color="auto"/>
        <w:bottom w:val="none" w:sz="0" w:space="0" w:color="auto"/>
        <w:right w:val="none" w:sz="0" w:space="0" w:color="auto"/>
      </w:divBdr>
    </w:div>
    <w:div w:id="1358315837">
      <w:bodyDiv w:val="1"/>
      <w:marLeft w:val="0"/>
      <w:marRight w:val="0"/>
      <w:marTop w:val="0"/>
      <w:marBottom w:val="0"/>
      <w:divBdr>
        <w:top w:val="none" w:sz="0" w:space="0" w:color="auto"/>
        <w:left w:val="none" w:sz="0" w:space="0" w:color="auto"/>
        <w:bottom w:val="none" w:sz="0" w:space="0" w:color="auto"/>
        <w:right w:val="none" w:sz="0" w:space="0" w:color="auto"/>
      </w:divBdr>
    </w:div>
    <w:div w:id="1365205606">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386638943">
      <w:bodyDiv w:val="1"/>
      <w:marLeft w:val="0"/>
      <w:marRight w:val="0"/>
      <w:marTop w:val="0"/>
      <w:marBottom w:val="0"/>
      <w:divBdr>
        <w:top w:val="none" w:sz="0" w:space="0" w:color="auto"/>
        <w:left w:val="none" w:sz="0" w:space="0" w:color="auto"/>
        <w:bottom w:val="none" w:sz="0" w:space="0" w:color="auto"/>
        <w:right w:val="none" w:sz="0" w:space="0" w:color="auto"/>
      </w:divBdr>
    </w:div>
    <w:div w:id="1390113905">
      <w:bodyDiv w:val="1"/>
      <w:marLeft w:val="0"/>
      <w:marRight w:val="0"/>
      <w:marTop w:val="0"/>
      <w:marBottom w:val="0"/>
      <w:divBdr>
        <w:top w:val="none" w:sz="0" w:space="0" w:color="auto"/>
        <w:left w:val="none" w:sz="0" w:space="0" w:color="auto"/>
        <w:bottom w:val="none" w:sz="0" w:space="0" w:color="auto"/>
        <w:right w:val="none" w:sz="0" w:space="0" w:color="auto"/>
      </w:divBdr>
    </w:div>
    <w:div w:id="1397778221">
      <w:bodyDiv w:val="1"/>
      <w:marLeft w:val="0"/>
      <w:marRight w:val="0"/>
      <w:marTop w:val="0"/>
      <w:marBottom w:val="0"/>
      <w:divBdr>
        <w:top w:val="none" w:sz="0" w:space="0" w:color="auto"/>
        <w:left w:val="none" w:sz="0" w:space="0" w:color="auto"/>
        <w:bottom w:val="none" w:sz="0" w:space="0" w:color="auto"/>
        <w:right w:val="none" w:sz="0" w:space="0" w:color="auto"/>
      </w:divBdr>
    </w:div>
    <w:div w:id="1399093868">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41608862">
      <w:bodyDiv w:val="1"/>
      <w:marLeft w:val="0"/>
      <w:marRight w:val="0"/>
      <w:marTop w:val="0"/>
      <w:marBottom w:val="0"/>
      <w:divBdr>
        <w:top w:val="none" w:sz="0" w:space="0" w:color="auto"/>
        <w:left w:val="none" w:sz="0" w:space="0" w:color="auto"/>
        <w:bottom w:val="none" w:sz="0" w:space="0" w:color="auto"/>
        <w:right w:val="none" w:sz="0" w:space="0" w:color="auto"/>
      </w:divBdr>
    </w:div>
    <w:div w:id="1451128548">
      <w:bodyDiv w:val="1"/>
      <w:marLeft w:val="0"/>
      <w:marRight w:val="0"/>
      <w:marTop w:val="0"/>
      <w:marBottom w:val="0"/>
      <w:divBdr>
        <w:top w:val="none" w:sz="0" w:space="0" w:color="auto"/>
        <w:left w:val="none" w:sz="0" w:space="0" w:color="auto"/>
        <w:bottom w:val="none" w:sz="0" w:space="0" w:color="auto"/>
        <w:right w:val="none" w:sz="0" w:space="0" w:color="auto"/>
      </w:divBdr>
    </w:div>
    <w:div w:id="1462961040">
      <w:bodyDiv w:val="1"/>
      <w:marLeft w:val="0"/>
      <w:marRight w:val="0"/>
      <w:marTop w:val="0"/>
      <w:marBottom w:val="0"/>
      <w:divBdr>
        <w:top w:val="none" w:sz="0" w:space="0" w:color="auto"/>
        <w:left w:val="none" w:sz="0" w:space="0" w:color="auto"/>
        <w:bottom w:val="none" w:sz="0" w:space="0" w:color="auto"/>
        <w:right w:val="none" w:sz="0" w:space="0" w:color="auto"/>
      </w:divBdr>
    </w:div>
    <w:div w:id="1471633634">
      <w:bodyDiv w:val="1"/>
      <w:marLeft w:val="0"/>
      <w:marRight w:val="0"/>
      <w:marTop w:val="0"/>
      <w:marBottom w:val="0"/>
      <w:divBdr>
        <w:top w:val="none" w:sz="0" w:space="0" w:color="auto"/>
        <w:left w:val="none" w:sz="0" w:space="0" w:color="auto"/>
        <w:bottom w:val="none" w:sz="0" w:space="0" w:color="auto"/>
        <w:right w:val="none" w:sz="0" w:space="0" w:color="auto"/>
      </w:divBdr>
    </w:div>
    <w:div w:id="1483305739">
      <w:bodyDiv w:val="1"/>
      <w:marLeft w:val="0"/>
      <w:marRight w:val="0"/>
      <w:marTop w:val="0"/>
      <w:marBottom w:val="0"/>
      <w:divBdr>
        <w:top w:val="none" w:sz="0" w:space="0" w:color="auto"/>
        <w:left w:val="none" w:sz="0" w:space="0" w:color="auto"/>
        <w:bottom w:val="none" w:sz="0" w:space="0" w:color="auto"/>
        <w:right w:val="none" w:sz="0" w:space="0" w:color="auto"/>
      </w:divBdr>
    </w:div>
    <w:div w:id="1490902426">
      <w:bodyDiv w:val="1"/>
      <w:marLeft w:val="0"/>
      <w:marRight w:val="0"/>
      <w:marTop w:val="0"/>
      <w:marBottom w:val="0"/>
      <w:divBdr>
        <w:top w:val="none" w:sz="0" w:space="0" w:color="auto"/>
        <w:left w:val="none" w:sz="0" w:space="0" w:color="auto"/>
        <w:bottom w:val="none" w:sz="0" w:space="0" w:color="auto"/>
        <w:right w:val="none" w:sz="0" w:space="0" w:color="auto"/>
      </w:divBdr>
    </w:div>
    <w:div w:id="1491293753">
      <w:bodyDiv w:val="1"/>
      <w:marLeft w:val="0"/>
      <w:marRight w:val="0"/>
      <w:marTop w:val="0"/>
      <w:marBottom w:val="0"/>
      <w:divBdr>
        <w:top w:val="none" w:sz="0" w:space="0" w:color="auto"/>
        <w:left w:val="none" w:sz="0" w:space="0" w:color="auto"/>
        <w:bottom w:val="none" w:sz="0" w:space="0" w:color="auto"/>
        <w:right w:val="none" w:sz="0" w:space="0" w:color="auto"/>
      </w:divBdr>
    </w:div>
    <w:div w:id="1491867372">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25826027">
      <w:bodyDiv w:val="1"/>
      <w:marLeft w:val="0"/>
      <w:marRight w:val="0"/>
      <w:marTop w:val="0"/>
      <w:marBottom w:val="0"/>
      <w:divBdr>
        <w:top w:val="none" w:sz="0" w:space="0" w:color="auto"/>
        <w:left w:val="none" w:sz="0" w:space="0" w:color="auto"/>
        <w:bottom w:val="none" w:sz="0" w:space="0" w:color="auto"/>
        <w:right w:val="none" w:sz="0" w:space="0" w:color="auto"/>
      </w:divBdr>
    </w:div>
    <w:div w:id="1530145323">
      <w:bodyDiv w:val="1"/>
      <w:marLeft w:val="0"/>
      <w:marRight w:val="0"/>
      <w:marTop w:val="0"/>
      <w:marBottom w:val="0"/>
      <w:divBdr>
        <w:top w:val="none" w:sz="0" w:space="0" w:color="auto"/>
        <w:left w:val="none" w:sz="0" w:space="0" w:color="auto"/>
        <w:bottom w:val="none" w:sz="0" w:space="0" w:color="auto"/>
        <w:right w:val="none" w:sz="0" w:space="0" w:color="auto"/>
      </w:divBdr>
    </w:div>
    <w:div w:id="1544051412">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545942265">
      <w:bodyDiv w:val="1"/>
      <w:marLeft w:val="0"/>
      <w:marRight w:val="0"/>
      <w:marTop w:val="0"/>
      <w:marBottom w:val="0"/>
      <w:divBdr>
        <w:top w:val="none" w:sz="0" w:space="0" w:color="auto"/>
        <w:left w:val="none" w:sz="0" w:space="0" w:color="auto"/>
        <w:bottom w:val="none" w:sz="0" w:space="0" w:color="auto"/>
        <w:right w:val="none" w:sz="0" w:space="0" w:color="auto"/>
      </w:divBdr>
    </w:div>
    <w:div w:id="1552040631">
      <w:bodyDiv w:val="1"/>
      <w:marLeft w:val="0"/>
      <w:marRight w:val="0"/>
      <w:marTop w:val="0"/>
      <w:marBottom w:val="0"/>
      <w:divBdr>
        <w:top w:val="none" w:sz="0" w:space="0" w:color="auto"/>
        <w:left w:val="none" w:sz="0" w:space="0" w:color="auto"/>
        <w:bottom w:val="none" w:sz="0" w:space="0" w:color="auto"/>
        <w:right w:val="none" w:sz="0" w:space="0" w:color="auto"/>
      </w:divBdr>
    </w:div>
    <w:div w:id="1558513674">
      <w:bodyDiv w:val="1"/>
      <w:marLeft w:val="0"/>
      <w:marRight w:val="0"/>
      <w:marTop w:val="0"/>
      <w:marBottom w:val="0"/>
      <w:divBdr>
        <w:top w:val="none" w:sz="0" w:space="0" w:color="auto"/>
        <w:left w:val="none" w:sz="0" w:space="0" w:color="auto"/>
        <w:bottom w:val="none" w:sz="0" w:space="0" w:color="auto"/>
        <w:right w:val="none" w:sz="0" w:space="0" w:color="auto"/>
      </w:divBdr>
    </w:div>
    <w:div w:id="1575235150">
      <w:bodyDiv w:val="1"/>
      <w:marLeft w:val="0"/>
      <w:marRight w:val="0"/>
      <w:marTop w:val="0"/>
      <w:marBottom w:val="0"/>
      <w:divBdr>
        <w:top w:val="none" w:sz="0" w:space="0" w:color="auto"/>
        <w:left w:val="none" w:sz="0" w:space="0" w:color="auto"/>
        <w:bottom w:val="none" w:sz="0" w:space="0" w:color="auto"/>
        <w:right w:val="none" w:sz="0" w:space="0" w:color="auto"/>
      </w:divBdr>
    </w:div>
    <w:div w:id="1580401747">
      <w:bodyDiv w:val="1"/>
      <w:marLeft w:val="0"/>
      <w:marRight w:val="0"/>
      <w:marTop w:val="0"/>
      <w:marBottom w:val="0"/>
      <w:divBdr>
        <w:top w:val="none" w:sz="0" w:space="0" w:color="auto"/>
        <w:left w:val="none" w:sz="0" w:space="0" w:color="auto"/>
        <w:bottom w:val="none" w:sz="0" w:space="0" w:color="auto"/>
        <w:right w:val="none" w:sz="0" w:space="0" w:color="auto"/>
      </w:divBdr>
    </w:div>
    <w:div w:id="1596403438">
      <w:bodyDiv w:val="1"/>
      <w:marLeft w:val="0"/>
      <w:marRight w:val="0"/>
      <w:marTop w:val="0"/>
      <w:marBottom w:val="0"/>
      <w:divBdr>
        <w:top w:val="none" w:sz="0" w:space="0" w:color="auto"/>
        <w:left w:val="none" w:sz="0" w:space="0" w:color="auto"/>
        <w:bottom w:val="none" w:sz="0" w:space="0" w:color="auto"/>
        <w:right w:val="none" w:sz="0" w:space="0" w:color="auto"/>
      </w:divBdr>
    </w:div>
    <w:div w:id="1597860267">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07272135">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646281505">
      <w:bodyDiv w:val="1"/>
      <w:marLeft w:val="0"/>
      <w:marRight w:val="0"/>
      <w:marTop w:val="0"/>
      <w:marBottom w:val="0"/>
      <w:divBdr>
        <w:top w:val="none" w:sz="0" w:space="0" w:color="auto"/>
        <w:left w:val="none" w:sz="0" w:space="0" w:color="auto"/>
        <w:bottom w:val="none" w:sz="0" w:space="0" w:color="auto"/>
        <w:right w:val="none" w:sz="0" w:space="0" w:color="auto"/>
      </w:divBdr>
    </w:div>
    <w:div w:id="1661881022">
      <w:bodyDiv w:val="1"/>
      <w:marLeft w:val="0"/>
      <w:marRight w:val="0"/>
      <w:marTop w:val="0"/>
      <w:marBottom w:val="0"/>
      <w:divBdr>
        <w:top w:val="none" w:sz="0" w:space="0" w:color="auto"/>
        <w:left w:val="none" w:sz="0" w:space="0" w:color="auto"/>
        <w:bottom w:val="none" w:sz="0" w:space="0" w:color="auto"/>
        <w:right w:val="none" w:sz="0" w:space="0" w:color="auto"/>
      </w:divBdr>
    </w:div>
    <w:div w:id="1664091182">
      <w:bodyDiv w:val="1"/>
      <w:marLeft w:val="0"/>
      <w:marRight w:val="0"/>
      <w:marTop w:val="0"/>
      <w:marBottom w:val="0"/>
      <w:divBdr>
        <w:top w:val="none" w:sz="0" w:space="0" w:color="auto"/>
        <w:left w:val="none" w:sz="0" w:space="0" w:color="auto"/>
        <w:bottom w:val="none" w:sz="0" w:space="0" w:color="auto"/>
        <w:right w:val="none" w:sz="0" w:space="0" w:color="auto"/>
      </w:divBdr>
    </w:div>
    <w:div w:id="1681929754">
      <w:bodyDiv w:val="1"/>
      <w:marLeft w:val="0"/>
      <w:marRight w:val="0"/>
      <w:marTop w:val="0"/>
      <w:marBottom w:val="0"/>
      <w:divBdr>
        <w:top w:val="none" w:sz="0" w:space="0" w:color="auto"/>
        <w:left w:val="none" w:sz="0" w:space="0" w:color="auto"/>
        <w:bottom w:val="none" w:sz="0" w:space="0" w:color="auto"/>
        <w:right w:val="none" w:sz="0" w:space="0" w:color="auto"/>
      </w:divBdr>
    </w:div>
    <w:div w:id="1693845462">
      <w:bodyDiv w:val="1"/>
      <w:marLeft w:val="0"/>
      <w:marRight w:val="0"/>
      <w:marTop w:val="0"/>
      <w:marBottom w:val="0"/>
      <w:divBdr>
        <w:top w:val="none" w:sz="0" w:space="0" w:color="auto"/>
        <w:left w:val="none" w:sz="0" w:space="0" w:color="auto"/>
        <w:bottom w:val="none" w:sz="0" w:space="0" w:color="auto"/>
        <w:right w:val="none" w:sz="0" w:space="0" w:color="auto"/>
      </w:divBdr>
    </w:div>
    <w:div w:id="1707676001">
      <w:bodyDiv w:val="1"/>
      <w:marLeft w:val="0"/>
      <w:marRight w:val="0"/>
      <w:marTop w:val="0"/>
      <w:marBottom w:val="0"/>
      <w:divBdr>
        <w:top w:val="none" w:sz="0" w:space="0" w:color="auto"/>
        <w:left w:val="none" w:sz="0" w:space="0" w:color="auto"/>
        <w:bottom w:val="none" w:sz="0" w:space="0" w:color="auto"/>
        <w:right w:val="none" w:sz="0" w:space="0" w:color="auto"/>
      </w:divBdr>
    </w:div>
    <w:div w:id="1710034656">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45686692">
      <w:bodyDiv w:val="1"/>
      <w:marLeft w:val="0"/>
      <w:marRight w:val="0"/>
      <w:marTop w:val="0"/>
      <w:marBottom w:val="0"/>
      <w:divBdr>
        <w:top w:val="none" w:sz="0" w:space="0" w:color="auto"/>
        <w:left w:val="none" w:sz="0" w:space="0" w:color="auto"/>
        <w:bottom w:val="none" w:sz="0" w:space="0" w:color="auto"/>
        <w:right w:val="none" w:sz="0" w:space="0" w:color="auto"/>
      </w:divBdr>
    </w:div>
    <w:div w:id="1750998212">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2555358">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776516693">
      <w:bodyDiv w:val="1"/>
      <w:marLeft w:val="0"/>
      <w:marRight w:val="0"/>
      <w:marTop w:val="0"/>
      <w:marBottom w:val="0"/>
      <w:divBdr>
        <w:top w:val="none" w:sz="0" w:space="0" w:color="auto"/>
        <w:left w:val="none" w:sz="0" w:space="0" w:color="auto"/>
        <w:bottom w:val="none" w:sz="0" w:space="0" w:color="auto"/>
        <w:right w:val="none" w:sz="0" w:space="0" w:color="auto"/>
      </w:divBdr>
    </w:div>
    <w:div w:id="1804694842">
      <w:bodyDiv w:val="1"/>
      <w:marLeft w:val="0"/>
      <w:marRight w:val="0"/>
      <w:marTop w:val="0"/>
      <w:marBottom w:val="0"/>
      <w:divBdr>
        <w:top w:val="none" w:sz="0" w:space="0" w:color="auto"/>
        <w:left w:val="none" w:sz="0" w:space="0" w:color="auto"/>
        <w:bottom w:val="none" w:sz="0" w:space="0" w:color="auto"/>
        <w:right w:val="none" w:sz="0" w:space="0" w:color="auto"/>
      </w:divBdr>
    </w:div>
    <w:div w:id="1811433288">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826895626">
      <w:bodyDiv w:val="1"/>
      <w:marLeft w:val="0"/>
      <w:marRight w:val="0"/>
      <w:marTop w:val="0"/>
      <w:marBottom w:val="0"/>
      <w:divBdr>
        <w:top w:val="none" w:sz="0" w:space="0" w:color="auto"/>
        <w:left w:val="none" w:sz="0" w:space="0" w:color="auto"/>
        <w:bottom w:val="none" w:sz="0" w:space="0" w:color="auto"/>
        <w:right w:val="none" w:sz="0" w:space="0" w:color="auto"/>
      </w:divBdr>
    </w:div>
    <w:div w:id="1835992791">
      <w:bodyDiv w:val="1"/>
      <w:marLeft w:val="0"/>
      <w:marRight w:val="0"/>
      <w:marTop w:val="0"/>
      <w:marBottom w:val="0"/>
      <w:divBdr>
        <w:top w:val="none" w:sz="0" w:space="0" w:color="auto"/>
        <w:left w:val="none" w:sz="0" w:space="0" w:color="auto"/>
        <w:bottom w:val="none" w:sz="0" w:space="0" w:color="auto"/>
        <w:right w:val="none" w:sz="0" w:space="0" w:color="auto"/>
      </w:divBdr>
    </w:div>
    <w:div w:id="1856377809">
      <w:bodyDiv w:val="1"/>
      <w:marLeft w:val="0"/>
      <w:marRight w:val="0"/>
      <w:marTop w:val="0"/>
      <w:marBottom w:val="0"/>
      <w:divBdr>
        <w:top w:val="none" w:sz="0" w:space="0" w:color="auto"/>
        <w:left w:val="none" w:sz="0" w:space="0" w:color="auto"/>
        <w:bottom w:val="none" w:sz="0" w:space="0" w:color="auto"/>
        <w:right w:val="none" w:sz="0" w:space="0" w:color="auto"/>
      </w:divBdr>
    </w:div>
    <w:div w:id="1856923885">
      <w:bodyDiv w:val="1"/>
      <w:marLeft w:val="0"/>
      <w:marRight w:val="0"/>
      <w:marTop w:val="0"/>
      <w:marBottom w:val="0"/>
      <w:divBdr>
        <w:top w:val="none" w:sz="0" w:space="0" w:color="auto"/>
        <w:left w:val="none" w:sz="0" w:space="0" w:color="auto"/>
        <w:bottom w:val="none" w:sz="0" w:space="0" w:color="auto"/>
        <w:right w:val="none" w:sz="0" w:space="0" w:color="auto"/>
      </w:divBdr>
    </w:div>
    <w:div w:id="1861164541">
      <w:bodyDiv w:val="1"/>
      <w:marLeft w:val="0"/>
      <w:marRight w:val="0"/>
      <w:marTop w:val="0"/>
      <w:marBottom w:val="0"/>
      <w:divBdr>
        <w:top w:val="none" w:sz="0" w:space="0" w:color="auto"/>
        <w:left w:val="none" w:sz="0" w:space="0" w:color="auto"/>
        <w:bottom w:val="none" w:sz="0" w:space="0" w:color="auto"/>
        <w:right w:val="none" w:sz="0" w:space="0" w:color="auto"/>
      </w:divBdr>
    </w:div>
    <w:div w:id="1861578163">
      <w:bodyDiv w:val="1"/>
      <w:marLeft w:val="0"/>
      <w:marRight w:val="0"/>
      <w:marTop w:val="0"/>
      <w:marBottom w:val="0"/>
      <w:divBdr>
        <w:top w:val="none" w:sz="0" w:space="0" w:color="auto"/>
        <w:left w:val="none" w:sz="0" w:space="0" w:color="auto"/>
        <w:bottom w:val="none" w:sz="0" w:space="0" w:color="auto"/>
        <w:right w:val="none" w:sz="0" w:space="0" w:color="auto"/>
      </w:divBdr>
    </w:div>
    <w:div w:id="1908756446">
      <w:bodyDiv w:val="1"/>
      <w:marLeft w:val="0"/>
      <w:marRight w:val="0"/>
      <w:marTop w:val="0"/>
      <w:marBottom w:val="0"/>
      <w:divBdr>
        <w:top w:val="none" w:sz="0" w:space="0" w:color="auto"/>
        <w:left w:val="none" w:sz="0" w:space="0" w:color="auto"/>
        <w:bottom w:val="none" w:sz="0" w:space="0" w:color="auto"/>
        <w:right w:val="none" w:sz="0" w:space="0" w:color="auto"/>
      </w:divBdr>
    </w:div>
    <w:div w:id="1910075770">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27760989">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1935435357">
      <w:bodyDiv w:val="1"/>
      <w:marLeft w:val="0"/>
      <w:marRight w:val="0"/>
      <w:marTop w:val="0"/>
      <w:marBottom w:val="0"/>
      <w:divBdr>
        <w:top w:val="none" w:sz="0" w:space="0" w:color="auto"/>
        <w:left w:val="none" w:sz="0" w:space="0" w:color="auto"/>
        <w:bottom w:val="none" w:sz="0" w:space="0" w:color="auto"/>
        <w:right w:val="none" w:sz="0" w:space="0" w:color="auto"/>
      </w:divBdr>
    </w:div>
    <w:div w:id="1947692327">
      <w:bodyDiv w:val="1"/>
      <w:marLeft w:val="0"/>
      <w:marRight w:val="0"/>
      <w:marTop w:val="0"/>
      <w:marBottom w:val="0"/>
      <w:divBdr>
        <w:top w:val="none" w:sz="0" w:space="0" w:color="auto"/>
        <w:left w:val="none" w:sz="0" w:space="0" w:color="auto"/>
        <w:bottom w:val="none" w:sz="0" w:space="0" w:color="auto"/>
        <w:right w:val="none" w:sz="0" w:space="0" w:color="auto"/>
      </w:divBdr>
    </w:div>
    <w:div w:id="1956061800">
      <w:bodyDiv w:val="1"/>
      <w:marLeft w:val="0"/>
      <w:marRight w:val="0"/>
      <w:marTop w:val="0"/>
      <w:marBottom w:val="0"/>
      <w:divBdr>
        <w:top w:val="none" w:sz="0" w:space="0" w:color="auto"/>
        <w:left w:val="none" w:sz="0" w:space="0" w:color="auto"/>
        <w:bottom w:val="none" w:sz="0" w:space="0" w:color="auto"/>
        <w:right w:val="none" w:sz="0" w:space="0" w:color="auto"/>
      </w:divBdr>
    </w:div>
    <w:div w:id="1961565658">
      <w:bodyDiv w:val="1"/>
      <w:marLeft w:val="0"/>
      <w:marRight w:val="0"/>
      <w:marTop w:val="0"/>
      <w:marBottom w:val="0"/>
      <w:divBdr>
        <w:top w:val="none" w:sz="0" w:space="0" w:color="auto"/>
        <w:left w:val="none" w:sz="0" w:space="0" w:color="auto"/>
        <w:bottom w:val="none" w:sz="0" w:space="0" w:color="auto"/>
        <w:right w:val="none" w:sz="0" w:space="0" w:color="auto"/>
      </w:divBdr>
    </w:div>
    <w:div w:id="1968970854">
      <w:bodyDiv w:val="1"/>
      <w:marLeft w:val="0"/>
      <w:marRight w:val="0"/>
      <w:marTop w:val="0"/>
      <w:marBottom w:val="0"/>
      <w:divBdr>
        <w:top w:val="none" w:sz="0" w:space="0" w:color="auto"/>
        <w:left w:val="none" w:sz="0" w:space="0" w:color="auto"/>
        <w:bottom w:val="none" w:sz="0" w:space="0" w:color="auto"/>
        <w:right w:val="none" w:sz="0" w:space="0" w:color="auto"/>
      </w:divBdr>
    </w:div>
    <w:div w:id="1988435493">
      <w:bodyDiv w:val="1"/>
      <w:marLeft w:val="0"/>
      <w:marRight w:val="0"/>
      <w:marTop w:val="0"/>
      <w:marBottom w:val="0"/>
      <w:divBdr>
        <w:top w:val="none" w:sz="0" w:space="0" w:color="auto"/>
        <w:left w:val="none" w:sz="0" w:space="0" w:color="auto"/>
        <w:bottom w:val="none" w:sz="0" w:space="0" w:color="auto"/>
        <w:right w:val="none" w:sz="0" w:space="0" w:color="auto"/>
      </w:divBdr>
    </w:div>
    <w:div w:id="1991714911">
      <w:bodyDiv w:val="1"/>
      <w:marLeft w:val="0"/>
      <w:marRight w:val="0"/>
      <w:marTop w:val="0"/>
      <w:marBottom w:val="0"/>
      <w:divBdr>
        <w:top w:val="none" w:sz="0" w:space="0" w:color="auto"/>
        <w:left w:val="none" w:sz="0" w:space="0" w:color="auto"/>
        <w:bottom w:val="none" w:sz="0" w:space="0" w:color="auto"/>
        <w:right w:val="none" w:sz="0" w:space="0" w:color="auto"/>
      </w:divBdr>
    </w:div>
    <w:div w:id="2038919612">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068799551">
      <w:bodyDiv w:val="1"/>
      <w:marLeft w:val="0"/>
      <w:marRight w:val="0"/>
      <w:marTop w:val="0"/>
      <w:marBottom w:val="0"/>
      <w:divBdr>
        <w:top w:val="none" w:sz="0" w:space="0" w:color="auto"/>
        <w:left w:val="none" w:sz="0" w:space="0" w:color="auto"/>
        <w:bottom w:val="none" w:sz="0" w:space="0" w:color="auto"/>
        <w:right w:val="none" w:sz="0" w:space="0" w:color="auto"/>
      </w:divBdr>
    </w:div>
    <w:div w:id="2079280638">
      <w:bodyDiv w:val="1"/>
      <w:marLeft w:val="0"/>
      <w:marRight w:val="0"/>
      <w:marTop w:val="0"/>
      <w:marBottom w:val="0"/>
      <w:divBdr>
        <w:top w:val="none" w:sz="0" w:space="0" w:color="auto"/>
        <w:left w:val="none" w:sz="0" w:space="0" w:color="auto"/>
        <w:bottom w:val="none" w:sz="0" w:space="0" w:color="auto"/>
        <w:right w:val="none" w:sz="0" w:space="0" w:color="auto"/>
      </w:divBdr>
    </w:div>
    <w:div w:id="2094007621">
      <w:bodyDiv w:val="1"/>
      <w:marLeft w:val="0"/>
      <w:marRight w:val="0"/>
      <w:marTop w:val="0"/>
      <w:marBottom w:val="0"/>
      <w:divBdr>
        <w:top w:val="none" w:sz="0" w:space="0" w:color="auto"/>
        <w:left w:val="none" w:sz="0" w:space="0" w:color="auto"/>
        <w:bottom w:val="none" w:sz="0" w:space="0" w:color="auto"/>
        <w:right w:val="none" w:sz="0" w:space="0" w:color="auto"/>
      </w:divBdr>
    </w:div>
    <w:div w:id="2102792571">
      <w:bodyDiv w:val="1"/>
      <w:marLeft w:val="0"/>
      <w:marRight w:val="0"/>
      <w:marTop w:val="0"/>
      <w:marBottom w:val="0"/>
      <w:divBdr>
        <w:top w:val="none" w:sz="0" w:space="0" w:color="auto"/>
        <w:left w:val="none" w:sz="0" w:space="0" w:color="auto"/>
        <w:bottom w:val="none" w:sz="0" w:space="0" w:color="auto"/>
        <w:right w:val="none" w:sz="0" w:space="0" w:color="auto"/>
      </w:divBdr>
    </w:div>
    <w:div w:id="2115125011">
      <w:bodyDiv w:val="1"/>
      <w:marLeft w:val="0"/>
      <w:marRight w:val="0"/>
      <w:marTop w:val="0"/>
      <w:marBottom w:val="0"/>
      <w:divBdr>
        <w:top w:val="none" w:sz="0" w:space="0" w:color="auto"/>
        <w:left w:val="none" w:sz="0" w:space="0" w:color="auto"/>
        <w:bottom w:val="none" w:sz="0" w:space="0" w:color="auto"/>
        <w:right w:val="none" w:sz="0" w:space="0" w:color="auto"/>
      </w:divBdr>
    </w:div>
    <w:div w:id="2135902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aimex.org.mx/saimex/solicitud/downloadAttach/1778350.page"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saimex.org.mx/saimex/solicitud/downloadAttach/1778313.page" TargetMode="Externa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imex.org.mx/saimex/solicitud/downloadAttach/1778313.page"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hyperlink" Target="https://saimex.org.mx/saimex/solicitud/downloadAttach/1778313.page"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https://saimex.org.mx/saimex/solicitud/downloadAttach/1778313.page" TargetMode="External"/><Relationship Id="rId14" Type="http://schemas.openxmlformats.org/officeDocument/2006/relationships/image" Target="media/image1.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7132BD-49B3-475B-AD5E-6819B593D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88</Pages>
  <Words>18454</Words>
  <Characters>101502</Characters>
  <Application>Microsoft Office Word</Application>
  <DocSecurity>0</DocSecurity>
  <Lines>845</Lines>
  <Paragraphs>239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119717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Usuario</cp:lastModifiedBy>
  <cp:revision>6</cp:revision>
  <cp:lastPrinted>2021-08-18T17:12:00Z</cp:lastPrinted>
  <dcterms:created xsi:type="dcterms:W3CDTF">2023-07-04T20:03:00Z</dcterms:created>
  <dcterms:modified xsi:type="dcterms:W3CDTF">2023-07-06T18:13:00Z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