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D09B2" w14:textId="77777777" w:rsidR="002248A0" w:rsidRDefault="002248A0" w:rsidP="00663A37">
      <w:pPr>
        <w:pBdr>
          <w:top w:val="nil"/>
          <w:left w:val="nil"/>
          <w:bottom w:val="nil"/>
          <w:right w:val="nil"/>
          <w:between w:val="nil"/>
        </w:pBdr>
        <w:contextualSpacing/>
        <w:rPr>
          <w:rFonts w:eastAsia="Palatino Linotype" w:cs="Palatino Linotype"/>
          <w:color w:val="000000"/>
          <w:szCs w:val="24"/>
          <w:lang w:val="es-ES_tradnl"/>
        </w:rPr>
      </w:pPr>
    </w:p>
    <w:p w14:paraId="336074EC" w14:textId="561A2373"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Resolución del Pleno del Instituto de Transparencia, Acceso a la Información Pública y Protección de Datos Personales del Estado de México y Municipios, con domicilio en Metepec, Estado de </w:t>
      </w:r>
      <w:r w:rsidR="00C57E04" w:rsidRPr="00C82353">
        <w:rPr>
          <w:rFonts w:eastAsia="Palatino Linotype" w:cs="Palatino Linotype"/>
          <w:color w:val="000000"/>
          <w:szCs w:val="24"/>
          <w:lang w:val="es-ES_tradnl"/>
        </w:rPr>
        <w:t>México, a</w:t>
      </w:r>
      <w:r w:rsidR="00F44A59">
        <w:rPr>
          <w:rFonts w:eastAsia="Palatino Linotype" w:cs="Palatino Linotype"/>
          <w:color w:val="000000"/>
          <w:szCs w:val="24"/>
          <w:lang w:val="es-ES_tradnl"/>
        </w:rPr>
        <w:t xml:space="preserve"> </w:t>
      </w:r>
      <w:r w:rsidR="00CD1D5D">
        <w:rPr>
          <w:rFonts w:eastAsia="Palatino Linotype" w:cs="Palatino Linotype"/>
          <w:color w:val="000000"/>
          <w:szCs w:val="24"/>
          <w:lang w:val="es-ES_tradnl"/>
        </w:rPr>
        <w:t>dieci</w:t>
      </w:r>
      <w:r w:rsidR="00F467A8">
        <w:rPr>
          <w:rFonts w:eastAsia="Palatino Linotype" w:cs="Palatino Linotype"/>
          <w:color w:val="000000"/>
          <w:szCs w:val="24"/>
          <w:lang w:val="es-ES_tradnl"/>
        </w:rPr>
        <w:t>ocho</w:t>
      </w:r>
      <w:r w:rsidR="00CD1D5D">
        <w:rPr>
          <w:rFonts w:eastAsia="Palatino Linotype" w:cs="Palatino Linotype"/>
          <w:color w:val="000000"/>
          <w:szCs w:val="24"/>
          <w:lang w:val="es-ES_tradnl"/>
        </w:rPr>
        <w:t xml:space="preserve"> de enero</w:t>
      </w:r>
      <w:r w:rsidR="00F44A59">
        <w:rPr>
          <w:rFonts w:eastAsia="Palatino Linotype" w:cs="Palatino Linotype"/>
          <w:color w:val="000000"/>
          <w:szCs w:val="24"/>
          <w:lang w:val="es-ES_tradnl"/>
        </w:rPr>
        <w:t xml:space="preserve"> </w:t>
      </w:r>
      <w:r w:rsidR="005762A7" w:rsidRPr="00C82353">
        <w:rPr>
          <w:rFonts w:eastAsia="Palatino Linotype" w:cs="Palatino Linotype"/>
          <w:color w:val="000000"/>
          <w:szCs w:val="24"/>
          <w:lang w:val="es-ES_tradnl"/>
        </w:rPr>
        <w:t>de dos mil veinti</w:t>
      </w:r>
      <w:r w:rsidR="00CD1D5D">
        <w:rPr>
          <w:rFonts w:eastAsia="Palatino Linotype" w:cs="Palatino Linotype"/>
          <w:color w:val="000000"/>
          <w:szCs w:val="24"/>
          <w:lang w:val="es-ES_tradnl"/>
        </w:rPr>
        <w:t>trés</w:t>
      </w:r>
      <w:r w:rsidRPr="00C82353">
        <w:rPr>
          <w:rFonts w:eastAsia="Palatino Linotype" w:cs="Palatino Linotype"/>
          <w:color w:val="000000"/>
          <w:szCs w:val="24"/>
          <w:lang w:val="es-ES_tradnl"/>
        </w:rPr>
        <w:t>.</w:t>
      </w:r>
    </w:p>
    <w:p w14:paraId="16723FED"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73B03C96" w14:textId="314FA6F5" w:rsidR="00060BFB" w:rsidRPr="00060BFB" w:rsidRDefault="00060BFB" w:rsidP="00060BFB">
      <w:pPr>
        <w:pBdr>
          <w:top w:val="nil"/>
          <w:left w:val="nil"/>
          <w:bottom w:val="nil"/>
          <w:right w:val="nil"/>
          <w:between w:val="nil"/>
        </w:pBdr>
        <w:contextualSpacing/>
        <w:rPr>
          <w:rFonts w:eastAsia="Palatino Linotype" w:cs="Palatino Linotype"/>
          <w:color w:val="000000"/>
          <w:szCs w:val="24"/>
          <w:lang w:val="es-ES_tradnl"/>
        </w:rPr>
      </w:pPr>
      <w:r w:rsidRPr="00060BFB">
        <w:rPr>
          <w:rFonts w:eastAsia="Palatino Linotype" w:cs="Palatino Linotype"/>
          <w:b/>
          <w:color w:val="000000"/>
          <w:szCs w:val="24"/>
          <w:lang w:val="es-ES_tradnl"/>
        </w:rPr>
        <w:t>VISTO</w:t>
      </w:r>
      <w:r w:rsidRPr="00060BFB">
        <w:rPr>
          <w:rFonts w:eastAsia="Palatino Linotype" w:cs="Palatino Linotype"/>
          <w:color w:val="000000"/>
          <w:szCs w:val="24"/>
          <w:lang w:val="es-ES_tradnl"/>
        </w:rPr>
        <w:t xml:space="preserve"> el expediente electrónico formado con motivo del recurso de revisión número </w:t>
      </w:r>
      <w:r w:rsidR="002F1F0F">
        <w:rPr>
          <w:rFonts w:eastAsia="Palatino Linotype" w:cs="Palatino Linotype"/>
          <w:b/>
          <w:color w:val="000000"/>
          <w:szCs w:val="24"/>
          <w:lang w:val="es-ES_tradnl"/>
        </w:rPr>
        <w:t>1</w:t>
      </w:r>
      <w:r w:rsidR="00CD1D5D">
        <w:rPr>
          <w:rFonts w:eastAsia="Palatino Linotype" w:cs="Palatino Linotype"/>
          <w:b/>
          <w:color w:val="000000"/>
          <w:szCs w:val="24"/>
          <w:lang w:val="es-ES_tradnl"/>
        </w:rPr>
        <w:t>224</w:t>
      </w:r>
      <w:r w:rsidR="002F1F0F">
        <w:rPr>
          <w:rFonts w:eastAsia="Palatino Linotype" w:cs="Palatino Linotype"/>
          <w:b/>
          <w:color w:val="000000"/>
          <w:szCs w:val="24"/>
          <w:lang w:val="es-ES_tradnl"/>
        </w:rPr>
        <w:t>0</w:t>
      </w:r>
      <w:r w:rsidRPr="00060BFB">
        <w:rPr>
          <w:rFonts w:eastAsia="Palatino Linotype" w:cs="Palatino Linotype"/>
          <w:b/>
          <w:color w:val="000000"/>
          <w:szCs w:val="24"/>
          <w:lang w:val="es-ES_tradnl"/>
        </w:rPr>
        <w:t>/INFOEM/IP/RR/2022</w:t>
      </w:r>
      <w:r w:rsidRPr="00060BFB">
        <w:rPr>
          <w:rFonts w:eastAsia="Palatino Linotype" w:cs="Palatino Linotype"/>
          <w:color w:val="000000"/>
          <w:szCs w:val="24"/>
          <w:lang w:val="es-ES_tradnl"/>
        </w:rPr>
        <w:t xml:space="preserve">, interpuesto por </w:t>
      </w:r>
      <w:r w:rsidR="00DF4A62">
        <w:rPr>
          <w:rFonts w:eastAsia="Palatino Linotype" w:cs="Palatino Linotype"/>
          <w:b/>
          <w:bCs/>
          <w:color w:val="000000"/>
          <w:szCs w:val="24"/>
          <w:lang w:val="es-ES_tradnl"/>
        </w:rPr>
        <w:t>XXXXXXXXXXXXXXXX</w:t>
      </w:r>
      <w:r w:rsidRPr="00060BFB">
        <w:rPr>
          <w:rFonts w:eastAsia="Palatino Linotype" w:cs="Palatino Linotype"/>
          <w:color w:val="000000"/>
          <w:szCs w:val="24"/>
          <w:lang w:val="es-ES_tradnl"/>
        </w:rPr>
        <w:t xml:space="preserve">, en lo sucesivo el </w:t>
      </w:r>
      <w:r w:rsidRPr="00060BFB">
        <w:rPr>
          <w:rFonts w:eastAsia="Palatino Linotype" w:cs="Palatino Linotype"/>
          <w:b/>
          <w:color w:val="000000"/>
          <w:szCs w:val="24"/>
          <w:lang w:val="es-ES_tradnl"/>
        </w:rPr>
        <w:t>Recurrente</w:t>
      </w:r>
      <w:r w:rsidR="002C7A18">
        <w:rPr>
          <w:rFonts w:eastAsia="Palatino Linotype" w:cs="Palatino Linotype"/>
          <w:color w:val="000000"/>
          <w:szCs w:val="24"/>
          <w:lang w:val="es-ES_tradnl"/>
        </w:rPr>
        <w:t>,</w:t>
      </w:r>
      <w:r w:rsidR="00EB4E9E">
        <w:rPr>
          <w:rFonts w:eastAsia="Palatino Linotype" w:cs="Palatino Linotype"/>
          <w:color w:val="000000"/>
          <w:szCs w:val="24"/>
          <w:lang w:val="es-ES_tradnl"/>
        </w:rPr>
        <w:t xml:space="preserve"> en contra de la respuesta del</w:t>
      </w:r>
      <w:r w:rsidR="002C7A18">
        <w:rPr>
          <w:rFonts w:eastAsia="Palatino Linotype" w:cs="Palatino Linotype"/>
          <w:color w:val="000000"/>
          <w:szCs w:val="24"/>
          <w:lang w:val="es-ES_tradnl"/>
        </w:rPr>
        <w:t xml:space="preserve"> </w:t>
      </w:r>
      <w:r w:rsidR="00EB4E9E">
        <w:rPr>
          <w:rFonts w:eastAsia="Palatino Linotype" w:cs="Palatino Linotype"/>
          <w:b/>
          <w:color w:val="000000"/>
          <w:szCs w:val="24"/>
          <w:lang w:val="es-ES_tradnl"/>
        </w:rPr>
        <w:t>Ayuntamiento de M</w:t>
      </w:r>
      <w:r w:rsidR="002248A0">
        <w:rPr>
          <w:rFonts w:eastAsia="Palatino Linotype" w:cs="Palatino Linotype"/>
          <w:b/>
          <w:color w:val="000000"/>
          <w:szCs w:val="24"/>
          <w:lang w:val="es-ES_tradnl"/>
        </w:rPr>
        <w:t>alinalco</w:t>
      </w:r>
      <w:r w:rsidRPr="00060BFB">
        <w:rPr>
          <w:rFonts w:eastAsia="Palatino Linotype" w:cs="Palatino Linotype"/>
          <w:color w:val="000000"/>
          <w:szCs w:val="24"/>
          <w:lang w:val="es-ES_tradnl"/>
        </w:rPr>
        <w:t>, en lo subsecuente el</w:t>
      </w:r>
      <w:r w:rsidRPr="00060BFB">
        <w:rPr>
          <w:rFonts w:eastAsia="Palatino Linotype" w:cs="Palatino Linotype"/>
          <w:b/>
          <w:color w:val="000000"/>
          <w:szCs w:val="24"/>
          <w:lang w:val="es-ES_tradnl"/>
        </w:rPr>
        <w:t xml:space="preserve"> Sujeto Obligado, </w:t>
      </w:r>
      <w:r w:rsidRPr="00060BFB">
        <w:rPr>
          <w:rFonts w:eastAsia="Palatino Linotype" w:cs="Palatino Linotype"/>
          <w:color w:val="000000"/>
          <w:szCs w:val="24"/>
          <w:lang w:val="es-ES_tradnl"/>
        </w:rPr>
        <w:t>se procede a dictar la presente resolución.</w:t>
      </w:r>
    </w:p>
    <w:p w14:paraId="216858A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B1D42A7" w14:textId="77777777" w:rsidR="00663A37" w:rsidRPr="00C82353" w:rsidRDefault="00663A37" w:rsidP="00663A37">
      <w:pPr>
        <w:pBdr>
          <w:top w:val="nil"/>
          <w:left w:val="nil"/>
          <w:bottom w:val="nil"/>
          <w:right w:val="nil"/>
          <w:between w:val="nil"/>
        </w:pBdr>
        <w:contextualSpacing/>
        <w:jc w:val="center"/>
        <w:rPr>
          <w:rFonts w:eastAsia="Palatino Linotype" w:cs="Palatino Linotype"/>
          <w:b/>
          <w:color w:val="000000"/>
          <w:sz w:val="28"/>
          <w:szCs w:val="28"/>
          <w:lang w:val="es-ES_tradnl"/>
        </w:rPr>
      </w:pPr>
      <w:r w:rsidRPr="00C82353">
        <w:rPr>
          <w:rFonts w:eastAsia="Palatino Linotype" w:cs="Palatino Linotype"/>
          <w:b/>
          <w:color w:val="000000"/>
          <w:sz w:val="28"/>
          <w:szCs w:val="28"/>
          <w:lang w:val="es-ES_tradnl"/>
        </w:rPr>
        <w:t>A N T E C E D E N T E S</w:t>
      </w:r>
    </w:p>
    <w:p w14:paraId="6C92C78C" w14:textId="77777777" w:rsidR="00663A37" w:rsidRPr="00C82353" w:rsidRDefault="00663A37" w:rsidP="00663A37">
      <w:pPr>
        <w:pBdr>
          <w:top w:val="nil"/>
          <w:left w:val="nil"/>
          <w:bottom w:val="nil"/>
          <w:right w:val="nil"/>
          <w:between w:val="nil"/>
        </w:pBdr>
        <w:contextualSpacing/>
        <w:rPr>
          <w:rFonts w:eastAsia="Palatino Linotype" w:cs="Palatino Linotype"/>
          <w:b/>
          <w:color w:val="000000"/>
          <w:szCs w:val="24"/>
          <w:lang w:val="es-ES_tradnl"/>
        </w:rPr>
      </w:pPr>
    </w:p>
    <w:p w14:paraId="55FE3F9E"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6"/>
          <w:szCs w:val="26"/>
          <w:lang w:val="es-ES_tradnl"/>
        </w:rPr>
      </w:pPr>
      <w:r w:rsidRPr="00C82353">
        <w:rPr>
          <w:rFonts w:eastAsia="Palatino Linotype" w:cs="Palatino Linotype"/>
          <w:b/>
          <w:color w:val="000000"/>
          <w:sz w:val="26"/>
          <w:szCs w:val="26"/>
          <w:lang w:val="es-ES_tradnl"/>
        </w:rPr>
        <w:t>PRIMERO.</w:t>
      </w:r>
      <w:r w:rsidRPr="00C82353">
        <w:rPr>
          <w:rFonts w:eastAsia="Palatino Linotype" w:cs="Palatino Linotype"/>
          <w:color w:val="000000"/>
          <w:sz w:val="26"/>
          <w:szCs w:val="26"/>
          <w:lang w:val="es-ES_tradnl"/>
        </w:rPr>
        <w:t xml:space="preserve"> </w:t>
      </w:r>
      <w:r w:rsidRPr="00C82353">
        <w:rPr>
          <w:rFonts w:eastAsia="Palatino Linotype" w:cs="Palatino Linotype"/>
          <w:b/>
          <w:color w:val="000000"/>
          <w:sz w:val="26"/>
          <w:szCs w:val="26"/>
          <w:lang w:val="es-ES_tradnl"/>
        </w:rPr>
        <w:t>De la Solicitud de Información.</w:t>
      </w:r>
    </w:p>
    <w:p w14:paraId="15DB70AF" w14:textId="253C9097" w:rsidR="00663A37" w:rsidRPr="00C82353" w:rsidRDefault="00C57E04"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Con fecha </w:t>
      </w:r>
      <w:r w:rsidR="002248A0">
        <w:rPr>
          <w:rFonts w:eastAsia="Palatino Linotype" w:cs="Palatino Linotype"/>
          <w:color w:val="000000"/>
          <w:szCs w:val="24"/>
          <w:lang w:val="es-ES_tradnl"/>
        </w:rPr>
        <w:t>quince de junio</w:t>
      </w:r>
      <w:r w:rsidR="008B0517">
        <w:rPr>
          <w:rFonts w:eastAsia="Palatino Linotype" w:cs="Palatino Linotype"/>
          <w:color w:val="000000"/>
          <w:szCs w:val="24"/>
          <w:lang w:val="es-ES_tradnl"/>
        </w:rPr>
        <w:t xml:space="preserve"> </w:t>
      </w:r>
      <w:r w:rsidR="002B785F" w:rsidRPr="00C82353">
        <w:rPr>
          <w:rFonts w:eastAsia="Palatino Linotype" w:cs="Palatino Linotype"/>
          <w:color w:val="000000"/>
          <w:szCs w:val="24"/>
          <w:lang w:val="es-ES_tradnl"/>
        </w:rPr>
        <w:t>de dos mil veintidós</w:t>
      </w:r>
      <w:r w:rsidR="00663A37" w:rsidRPr="00C82353">
        <w:rPr>
          <w:rFonts w:eastAsia="Palatino Linotype" w:cs="Palatino Linotype"/>
          <w:color w:val="000000"/>
          <w:szCs w:val="24"/>
          <w:lang w:val="es-ES_tradnl"/>
        </w:rPr>
        <w:t xml:space="preserve">, </w:t>
      </w:r>
      <w:r w:rsidR="00A04BF9">
        <w:rPr>
          <w:rFonts w:eastAsia="Palatino Linotype" w:cs="Palatino Linotype"/>
          <w:color w:val="000000"/>
          <w:szCs w:val="24"/>
          <w:lang w:val="es-ES_tradnl"/>
        </w:rPr>
        <w:t>el</w:t>
      </w:r>
      <w:r w:rsidR="00663A37" w:rsidRPr="00C82353">
        <w:rPr>
          <w:rFonts w:eastAsia="Palatino Linotype" w:cs="Palatino Linotype"/>
          <w:color w:val="000000"/>
          <w:szCs w:val="24"/>
          <w:lang w:val="es-ES_tradnl"/>
        </w:rPr>
        <w:t xml:space="preserve"> Recurrente presentó solicitud de información pública </w:t>
      </w:r>
      <w:r w:rsidRPr="00C82353">
        <w:rPr>
          <w:rFonts w:eastAsia="Palatino Linotype" w:cs="Palatino Linotype"/>
          <w:color w:val="000000"/>
          <w:szCs w:val="24"/>
          <w:lang w:val="es-ES_tradnl"/>
        </w:rPr>
        <w:t>por medio del</w:t>
      </w:r>
      <w:r w:rsidR="00663A37" w:rsidRPr="00C82353">
        <w:rPr>
          <w:rFonts w:eastAsia="Palatino Linotype" w:cs="Palatino Linotype"/>
          <w:color w:val="000000"/>
          <w:szCs w:val="24"/>
          <w:lang w:val="es-ES_tradnl"/>
        </w:rPr>
        <w:t xml:space="preserve"> Sistema de Acceso a la I</w:t>
      </w:r>
      <w:r w:rsidR="00A04BF9">
        <w:rPr>
          <w:rFonts w:eastAsia="Palatino Linotype" w:cs="Palatino Linotype"/>
          <w:color w:val="000000"/>
          <w:szCs w:val="24"/>
          <w:lang w:val="es-ES_tradnl"/>
        </w:rPr>
        <w:t>nformación Mexiquense (SAIMEX),</w:t>
      </w:r>
      <w:r w:rsidRPr="00C82353">
        <w:rPr>
          <w:rFonts w:eastAsia="Palatino Linotype" w:cs="Palatino Linotype"/>
          <w:color w:val="000000"/>
          <w:szCs w:val="24"/>
          <w:lang w:val="es-ES_tradnl"/>
        </w:rPr>
        <w:t xml:space="preserve"> registrada </w:t>
      </w:r>
      <w:r w:rsidR="00663A37" w:rsidRPr="00C82353">
        <w:rPr>
          <w:rFonts w:eastAsia="Palatino Linotype" w:cs="Palatino Linotype"/>
          <w:color w:val="000000"/>
          <w:szCs w:val="24"/>
          <w:lang w:val="es-ES_tradnl"/>
        </w:rPr>
        <w:t>con el número de expediente</w:t>
      </w:r>
      <w:r w:rsidR="00663A37" w:rsidRPr="00C82353">
        <w:rPr>
          <w:rFonts w:eastAsia="Palatino Linotype" w:cs="Palatino Linotype"/>
          <w:b/>
          <w:color w:val="000000"/>
          <w:szCs w:val="24"/>
          <w:lang w:val="es-ES_tradnl"/>
        </w:rPr>
        <w:t xml:space="preserve"> </w:t>
      </w:r>
      <w:r w:rsidR="002248A0" w:rsidRPr="002248A0">
        <w:rPr>
          <w:rFonts w:eastAsia="Palatino Linotype" w:cs="Palatino Linotype"/>
          <w:b/>
          <w:bCs/>
          <w:color w:val="000000"/>
          <w:szCs w:val="24"/>
        </w:rPr>
        <w:t>00212/MALINAL/IP/2022</w:t>
      </w:r>
      <w:r w:rsidR="00663A37" w:rsidRPr="00C82353">
        <w:rPr>
          <w:rFonts w:eastAsia="Palatino Linotype" w:cs="Palatino Linotype"/>
          <w:color w:val="000000"/>
          <w:szCs w:val="24"/>
          <w:lang w:val="es-ES_tradnl"/>
        </w:rPr>
        <w:t>,</w:t>
      </w:r>
      <w:r w:rsidR="00663A37" w:rsidRPr="00C82353">
        <w:rPr>
          <w:rFonts w:eastAsia="Palatino Linotype" w:cs="Palatino Linotype"/>
          <w:b/>
          <w:color w:val="000000"/>
          <w:szCs w:val="24"/>
          <w:lang w:val="es-ES_tradnl"/>
        </w:rPr>
        <w:t xml:space="preserve"> </w:t>
      </w:r>
      <w:r w:rsidR="00663A37" w:rsidRPr="00C82353">
        <w:rPr>
          <w:rFonts w:eastAsia="Palatino Linotype" w:cs="Palatino Linotype"/>
          <w:color w:val="000000"/>
          <w:szCs w:val="24"/>
          <w:lang w:val="es-ES_tradnl"/>
        </w:rPr>
        <w:t>mediante la cual solicitó información en el tenor siguiente:</w:t>
      </w:r>
    </w:p>
    <w:p w14:paraId="1E7EACB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2C39D63" w14:textId="786197B4" w:rsidR="008B0517" w:rsidRDefault="00663A37" w:rsidP="00E365C6">
      <w:pPr>
        <w:pStyle w:val="Sinespaciado"/>
        <w:rPr>
          <w:rFonts w:eastAsia="Palatino Linotype"/>
          <w:lang w:val="es-ES_tradnl"/>
        </w:rPr>
      </w:pPr>
      <w:r w:rsidRPr="00C82353">
        <w:rPr>
          <w:rFonts w:eastAsia="Palatino Linotype"/>
          <w:lang w:val="es-ES_tradnl"/>
        </w:rPr>
        <w:t>“</w:t>
      </w:r>
      <w:r w:rsidR="002248A0" w:rsidRPr="002248A0">
        <w:rPr>
          <w:rFonts w:eastAsia="Palatino Linotype"/>
          <w:lang w:val="es-ES_tradnl"/>
        </w:rPr>
        <w:t>Solicito el programa de obra 2021, su calendario, comunidad beneficiaria, el costo estimado de las obras y los avances en esta materia de enero a mayo de 2022.</w:t>
      </w:r>
      <w:r w:rsidR="008B0517">
        <w:rPr>
          <w:rFonts w:eastAsia="Palatino Linotype"/>
          <w:lang w:val="es-ES_tradnl"/>
        </w:rPr>
        <w:t>” (Sic)</w:t>
      </w:r>
    </w:p>
    <w:p w14:paraId="41CBE38E" w14:textId="77777777" w:rsidR="008B0517" w:rsidRDefault="008B0517" w:rsidP="008B0517">
      <w:pPr>
        <w:rPr>
          <w:lang w:val="es-ES_tradnl"/>
        </w:rPr>
      </w:pPr>
    </w:p>
    <w:p w14:paraId="185CEF63" w14:textId="2579840E" w:rsidR="00663A37" w:rsidRPr="00C82353" w:rsidRDefault="00663A37" w:rsidP="008B0517">
      <w:pPr>
        <w:rPr>
          <w:szCs w:val="24"/>
          <w:lang w:val="es-ES_tradnl"/>
        </w:rPr>
      </w:pPr>
      <w:r w:rsidRPr="00C82353">
        <w:rPr>
          <w:szCs w:val="24"/>
          <w:lang w:val="es-ES_tradnl"/>
        </w:rPr>
        <w:t xml:space="preserve">Modalidad de entrega: </w:t>
      </w:r>
      <w:r w:rsidR="00C57E04" w:rsidRPr="00C82353">
        <w:rPr>
          <w:b/>
          <w:szCs w:val="24"/>
          <w:lang w:val="es-ES_tradnl"/>
        </w:rPr>
        <w:t>A través del SAIMEX</w:t>
      </w:r>
    </w:p>
    <w:p w14:paraId="4058552C" w14:textId="5D381D49" w:rsidR="00663A37" w:rsidRDefault="00663A37" w:rsidP="008B0517">
      <w:pPr>
        <w:rPr>
          <w:szCs w:val="24"/>
          <w:lang w:val="es-ES_tradnl"/>
        </w:rPr>
      </w:pPr>
    </w:p>
    <w:p w14:paraId="4CC861AB" w14:textId="77777777" w:rsidR="002248A0" w:rsidRDefault="002248A0" w:rsidP="008B0517">
      <w:pPr>
        <w:rPr>
          <w:szCs w:val="24"/>
          <w:lang w:val="es-ES_tradnl"/>
        </w:rPr>
      </w:pPr>
    </w:p>
    <w:p w14:paraId="17C85945" w14:textId="1EF94E28" w:rsidR="00663A37" w:rsidRPr="00C82353" w:rsidRDefault="005B6775" w:rsidP="002248A0">
      <w:pPr>
        <w:rPr>
          <w:rFonts w:eastAsia="Palatino Linotype" w:cs="Palatino Linotype"/>
          <w:b/>
          <w:color w:val="000000"/>
          <w:sz w:val="26"/>
          <w:szCs w:val="26"/>
          <w:lang w:val="es-ES_tradnl"/>
        </w:rPr>
      </w:pPr>
      <w:r>
        <w:rPr>
          <w:b/>
          <w:sz w:val="26"/>
          <w:szCs w:val="26"/>
          <w:lang w:val="es-ES_tradnl"/>
        </w:rPr>
        <w:lastRenderedPageBreak/>
        <w:t xml:space="preserve">SEGUNDO. </w:t>
      </w:r>
      <w:r w:rsidR="00663A37" w:rsidRPr="00C82353">
        <w:rPr>
          <w:rFonts w:eastAsia="Palatino Linotype" w:cs="Palatino Linotype"/>
          <w:b/>
          <w:color w:val="000000"/>
          <w:sz w:val="26"/>
          <w:szCs w:val="26"/>
          <w:lang w:val="es-ES_tradnl"/>
        </w:rPr>
        <w:t>De la respuesta del Sujeto Obligado.</w:t>
      </w:r>
    </w:p>
    <w:p w14:paraId="7C156F33" w14:textId="5653B621"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De las constancias que obran en el expediente electrónico, se observa que el día </w:t>
      </w:r>
      <w:r w:rsidR="002248A0">
        <w:rPr>
          <w:rFonts w:eastAsia="Palatino Linotype" w:cs="Palatino Linotype"/>
          <w:color w:val="000000"/>
          <w:szCs w:val="24"/>
          <w:lang w:val="es-ES_tradnl"/>
        </w:rPr>
        <w:t>veinticuatro de junio</w:t>
      </w:r>
      <w:r w:rsidR="005B6775">
        <w:rPr>
          <w:rFonts w:eastAsia="Palatino Linotype" w:cs="Palatino Linotype"/>
          <w:color w:val="000000"/>
          <w:szCs w:val="24"/>
          <w:lang w:val="es-ES_tradnl"/>
        </w:rPr>
        <w:t xml:space="preserve"> </w:t>
      </w:r>
      <w:r w:rsidR="00703191" w:rsidRPr="00C82353">
        <w:rPr>
          <w:rFonts w:eastAsia="Palatino Linotype" w:cs="Palatino Linotype"/>
          <w:color w:val="000000"/>
          <w:szCs w:val="24"/>
          <w:lang w:val="es-ES_tradnl"/>
        </w:rPr>
        <w:t>de dos mil veintidós</w:t>
      </w:r>
      <w:r w:rsidRPr="00C82353">
        <w:rPr>
          <w:rFonts w:eastAsia="Palatino Linotype" w:cs="Palatino Linotype"/>
          <w:color w:val="000000"/>
          <w:szCs w:val="24"/>
          <w:lang w:val="es-ES_tradnl"/>
        </w:rPr>
        <w:t>, el Sujeto Obligado dio respuesta a la solicitud de información, manifestando lo siguiente:</w:t>
      </w:r>
    </w:p>
    <w:p w14:paraId="5D57EE23"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410B94E" w14:textId="2A7B0DC2" w:rsidR="002248A0" w:rsidRDefault="00663A37" w:rsidP="002248A0">
      <w:pPr>
        <w:pStyle w:val="Sinespaciado"/>
        <w:rPr>
          <w:rFonts w:eastAsia="Palatino Linotype"/>
          <w:lang w:val="es-ES_tradnl"/>
        </w:rPr>
      </w:pPr>
      <w:r w:rsidRPr="00C82353">
        <w:rPr>
          <w:rFonts w:eastAsia="Palatino Linotype"/>
          <w:lang w:val="es-ES_tradnl"/>
        </w:rPr>
        <w:t>“</w:t>
      </w:r>
      <w:r w:rsidR="002248A0" w:rsidRPr="002248A0">
        <w:rPr>
          <w:rFonts w:eastAsia="Palatino Linotype"/>
          <w:lang w:val="es-ES_tradnl"/>
        </w:rPr>
        <w:t>SE ANEXA INFORMACION PROPORCIONADA POR SERVIDOR PUBLICO HABILITADO</w:t>
      </w:r>
    </w:p>
    <w:p w14:paraId="4DCBA35E" w14:textId="77777777" w:rsidR="002248A0" w:rsidRPr="002248A0" w:rsidRDefault="002248A0" w:rsidP="002248A0">
      <w:pPr>
        <w:pStyle w:val="Sinespaciado"/>
        <w:rPr>
          <w:rFonts w:eastAsia="Palatino Linotype"/>
          <w:lang w:val="es-ES_tradnl"/>
        </w:rPr>
      </w:pPr>
    </w:p>
    <w:p w14:paraId="10A18B67" w14:textId="77777777" w:rsidR="002248A0" w:rsidRPr="002248A0" w:rsidRDefault="002248A0" w:rsidP="002248A0">
      <w:pPr>
        <w:pStyle w:val="Sinespaciado"/>
        <w:rPr>
          <w:rFonts w:eastAsia="Palatino Linotype"/>
          <w:lang w:val="es-ES_tradnl"/>
        </w:rPr>
      </w:pPr>
      <w:r w:rsidRPr="002248A0">
        <w:rPr>
          <w:rFonts w:eastAsia="Palatino Linotype"/>
          <w:lang w:val="es-ES_tradnl"/>
        </w:rPr>
        <w:t>ATENTAMENTE</w:t>
      </w:r>
    </w:p>
    <w:p w14:paraId="38DF58A5" w14:textId="206DAC63" w:rsidR="00663A37" w:rsidRPr="00C82353" w:rsidRDefault="002248A0" w:rsidP="002248A0">
      <w:pPr>
        <w:pStyle w:val="Sinespaciado"/>
        <w:rPr>
          <w:rFonts w:eastAsia="Palatino Linotype"/>
          <w:lang w:val="es-ES_tradnl"/>
        </w:rPr>
      </w:pPr>
      <w:r w:rsidRPr="002248A0">
        <w:rPr>
          <w:rFonts w:eastAsia="Palatino Linotype"/>
          <w:lang w:val="es-ES_tradnl"/>
        </w:rPr>
        <w:t>LIC. ARACELI BERNAL BALDOMAR</w:t>
      </w:r>
      <w:r w:rsidR="00663A37" w:rsidRPr="00C82353">
        <w:rPr>
          <w:rFonts w:eastAsia="Palatino Linotype"/>
          <w:lang w:val="es-ES_tradnl"/>
        </w:rPr>
        <w:t>” (Sic)</w:t>
      </w:r>
    </w:p>
    <w:p w14:paraId="02DC551A" w14:textId="77777777" w:rsidR="007B0472" w:rsidRDefault="007B0472" w:rsidP="00663A37">
      <w:pPr>
        <w:pBdr>
          <w:top w:val="nil"/>
          <w:left w:val="nil"/>
          <w:bottom w:val="nil"/>
          <w:right w:val="nil"/>
          <w:between w:val="nil"/>
        </w:pBdr>
        <w:contextualSpacing/>
        <w:rPr>
          <w:rFonts w:eastAsia="Palatino Linotype" w:cs="Palatino Linotype"/>
          <w:color w:val="000000"/>
          <w:szCs w:val="24"/>
          <w:lang w:val="es-ES_tradnl"/>
        </w:rPr>
      </w:pPr>
    </w:p>
    <w:p w14:paraId="0D0638B3" w14:textId="7AC12A9D" w:rsidR="005B6775" w:rsidRPr="009F0935" w:rsidRDefault="009F0935" w:rsidP="00663A37">
      <w:pPr>
        <w:pBdr>
          <w:top w:val="nil"/>
          <w:left w:val="nil"/>
          <w:bottom w:val="nil"/>
          <w:right w:val="nil"/>
          <w:between w:val="nil"/>
        </w:pBdr>
        <w:contextualSpacing/>
        <w:rPr>
          <w:rFonts w:eastAsia="Palatino Linotype" w:cs="Palatino Linotype"/>
          <w:color w:val="000000"/>
          <w:szCs w:val="24"/>
          <w:lang w:val="es-ES_tradnl"/>
        </w:rPr>
      </w:pPr>
      <w:r>
        <w:rPr>
          <w:rFonts w:eastAsia="Palatino Linotype" w:cs="Palatino Linotype"/>
          <w:color w:val="000000"/>
          <w:szCs w:val="24"/>
          <w:lang w:val="es-ES_tradnl"/>
        </w:rPr>
        <w:t xml:space="preserve">El Sujeto Obligado adjuntó a su respuesta </w:t>
      </w:r>
      <w:r w:rsidR="002248A0">
        <w:rPr>
          <w:rFonts w:eastAsia="Palatino Linotype" w:cs="Palatino Linotype"/>
          <w:color w:val="000000"/>
          <w:szCs w:val="24"/>
          <w:lang w:val="es-ES_tradnl"/>
        </w:rPr>
        <w:t>el</w:t>
      </w:r>
      <w:r>
        <w:rPr>
          <w:rFonts w:eastAsia="Palatino Linotype" w:cs="Palatino Linotype"/>
          <w:color w:val="000000"/>
          <w:szCs w:val="24"/>
          <w:lang w:val="es-ES_tradnl"/>
        </w:rPr>
        <w:t xml:space="preserve"> documento denominado </w:t>
      </w:r>
      <w:r>
        <w:rPr>
          <w:rFonts w:eastAsia="Palatino Linotype" w:cs="Palatino Linotype"/>
          <w:b/>
          <w:color w:val="000000"/>
          <w:szCs w:val="24"/>
          <w:lang w:val="es-ES_tradnl"/>
        </w:rPr>
        <w:t>“</w:t>
      </w:r>
      <w:r w:rsidR="002248A0">
        <w:rPr>
          <w:rFonts w:eastAsia="Palatino Linotype" w:cs="Palatino Linotype"/>
          <w:b/>
          <w:color w:val="000000"/>
          <w:szCs w:val="24"/>
          <w:lang w:val="es-ES_tradnl"/>
        </w:rPr>
        <w:t>00212MALINALIP2022</w:t>
      </w:r>
      <w:r>
        <w:rPr>
          <w:rFonts w:eastAsia="Palatino Linotype" w:cs="Palatino Linotype"/>
          <w:b/>
          <w:color w:val="000000"/>
          <w:szCs w:val="24"/>
          <w:lang w:val="es-ES_tradnl"/>
        </w:rPr>
        <w:t>.pdf”</w:t>
      </w:r>
      <w:r>
        <w:rPr>
          <w:rFonts w:eastAsia="Palatino Linotype" w:cs="Palatino Linotype"/>
          <w:color w:val="000000"/>
          <w:szCs w:val="24"/>
          <w:lang w:val="es-ES_tradnl"/>
        </w:rPr>
        <w:t>, los cuales no se reproducen por ser del conocimiento de las partes; no obstante, se hará mérito de su contenido durante el estudio respectivo.</w:t>
      </w:r>
    </w:p>
    <w:p w14:paraId="42B9EA7E" w14:textId="77777777" w:rsidR="005B6775" w:rsidRPr="00C82353" w:rsidRDefault="005B6775" w:rsidP="00663A37">
      <w:pPr>
        <w:pBdr>
          <w:top w:val="nil"/>
          <w:left w:val="nil"/>
          <w:bottom w:val="nil"/>
          <w:right w:val="nil"/>
          <w:between w:val="nil"/>
        </w:pBdr>
        <w:contextualSpacing/>
        <w:rPr>
          <w:rFonts w:eastAsia="Palatino Linotype" w:cs="Palatino Linotype"/>
          <w:color w:val="000000"/>
          <w:szCs w:val="24"/>
          <w:lang w:val="es-ES_tradnl"/>
        </w:rPr>
      </w:pPr>
    </w:p>
    <w:p w14:paraId="7415B339" w14:textId="6DB74C8F" w:rsidR="00663A37" w:rsidRPr="00C82353" w:rsidRDefault="004A1567" w:rsidP="067BB009">
      <w:pPr>
        <w:pBdr>
          <w:top w:val="nil"/>
          <w:left w:val="nil"/>
          <w:bottom w:val="nil"/>
          <w:right w:val="nil"/>
          <w:between w:val="nil"/>
        </w:pBdr>
        <w:contextualSpacing/>
        <w:rPr>
          <w:rFonts w:eastAsia="Palatino Linotype" w:cs="Palatino Linotype"/>
          <w:b/>
          <w:bCs/>
          <w:color w:val="000000"/>
          <w:sz w:val="26"/>
          <w:szCs w:val="26"/>
          <w:lang w:val="es-ES"/>
        </w:rPr>
      </w:pPr>
      <w:r>
        <w:rPr>
          <w:rFonts w:eastAsia="Palatino Linotype" w:cs="Palatino Linotype"/>
          <w:b/>
          <w:bCs/>
          <w:color w:val="000000" w:themeColor="text1"/>
          <w:sz w:val="26"/>
          <w:szCs w:val="26"/>
          <w:lang w:val="es-ES"/>
        </w:rPr>
        <w:t>TERCERO</w:t>
      </w:r>
      <w:r w:rsidR="067BB009" w:rsidRPr="067BB009">
        <w:rPr>
          <w:rFonts w:eastAsia="Palatino Linotype" w:cs="Palatino Linotype"/>
          <w:b/>
          <w:bCs/>
          <w:color w:val="000000" w:themeColor="text1"/>
          <w:sz w:val="26"/>
          <w:szCs w:val="26"/>
          <w:lang w:val="es-ES"/>
        </w:rPr>
        <w:t>. Del recurso de revisión.</w:t>
      </w:r>
    </w:p>
    <w:p w14:paraId="7F8982C5" w14:textId="1CD7E4BB"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Inconforme con la respuesta </w:t>
      </w:r>
      <w:r w:rsidR="007363B4">
        <w:rPr>
          <w:rFonts w:eastAsia="Palatino Linotype" w:cs="Palatino Linotype"/>
          <w:color w:val="000000"/>
          <w:szCs w:val="24"/>
          <w:lang w:val="es-ES_tradnl"/>
        </w:rPr>
        <w:t>emitida por el Sujeto Obligado, el</w:t>
      </w:r>
      <w:r w:rsidRPr="00C82353">
        <w:rPr>
          <w:rFonts w:eastAsia="Palatino Linotype" w:cs="Palatino Linotype"/>
          <w:color w:val="000000"/>
          <w:szCs w:val="24"/>
          <w:lang w:val="es-ES_tradnl"/>
        </w:rPr>
        <w:t xml:space="preserve"> Recurrente interpuso el presente recurso de re</w:t>
      </w:r>
      <w:r w:rsidR="006377A9" w:rsidRPr="00C82353">
        <w:rPr>
          <w:rFonts w:eastAsia="Palatino Linotype" w:cs="Palatino Linotype"/>
          <w:color w:val="000000"/>
          <w:szCs w:val="24"/>
          <w:lang w:val="es-ES_tradnl"/>
        </w:rPr>
        <w:t xml:space="preserve">visión el día </w:t>
      </w:r>
      <w:r w:rsidR="004A1567">
        <w:rPr>
          <w:rFonts w:eastAsia="Palatino Linotype" w:cs="Palatino Linotype"/>
          <w:color w:val="000000"/>
          <w:szCs w:val="24"/>
          <w:lang w:val="es-ES_tradnl"/>
        </w:rPr>
        <w:t>veintiocho de junio</w:t>
      </w:r>
      <w:r w:rsidR="00E96F04" w:rsidRPr="00C82353">
        <w:rPr>
          <w:rFonts w:eastAsia="Palatino Linotype" w:cs="Palatino Linotype"/>
          <w:color w:val="000000"/>
          <w:szCs w:val="24"/>
          <w:lang w:val="es-ES_tradnl"/>
        </w:rPr>
        <w:t xml:space="preserve"> de dos mil veintidós</w:t>
      </w:r>
      <w:r w:rsidRPr="00C82353">
        <w:rPr>
          <w:rFonts w:eastAsia="Palatino Linotype" w:cs="Palatino Linotype"/>
          <w:color w:val="000000"/>
          <w:szCs w:val="24"/>
          <w:lang w:val="es-ES_tradnl"/>
        </w:rPr>
        <w:t xml:space="preserve">, el cual se registró con el expediente número </w:t>
      </w:r>
      <w:r w:rsidR="00852791">
        <w:rPr>
          <w:rFonts w:eastAsia="Palatino Linotype" w:cs="Palatino Linotype"/>
          <w:b/>
          <w:color w:val="000000"/>
          <w:szCs w:val="24"/>
          <w:lang w:val="es-ES_tradnl"/>
        </w:rPr>
        <w:t>1</w:t>
      </w:r>
      <w:r w:rsidR="004A1567">
        <w:rPr>
          <w:rFonts w:eastAsia="Palatino Linotype" w:cs="Palatino Linotype"/>
          <w:b/>
          <w:color w:val="000000"/>
          <w:szCs w:val="24"/>
          <w:lang w:val="es-ES_tradnl"/>
        </w:rPr>
        <w:t>224</w:t>
      </w:r>
      <w:r w:rsidR="009F0935">
        <w:rPr>
          <w:rFonts w:eastAsia="Palatino Linotype" w:cs="Palatino Linotype"/>
          <w:b/>
          <w:color w:val="000000"/>
          <w:szCs w:val="24"/>
          <w:lang w:val="es-ES_tradnl"/>
        </w:rPr>
        <w:t>0</w:t>
      </w:r>
      <w:r w:rsidR="004A1567">
        <w:rPr>
          <w:rFonts w:eastAsia="Palatino Linotype" w:cs="Palatino Linotype"/>
          <w:b/>
          <w:color w:val="000000"/>
          <w:szCs w:val="24"/>
          <w:lang w:val="es-ES_tradnl"/>
        </w:rPr>
        <w:t>/</w:t>
      </w:r>
      <w:r w:rsidRPr="00C82353">
        <w:rPr>
          <w:rFonts w:eastAsia="Palatino Linotype" w:cs="Palatino Linotype"/>
          <w:b/>
          <w:color w:val="000000"/>
          <w:szCs w:val="24"/>
          <w:lang w:val="es-ES_tradnl"/>
        </w:rPr>
        <w:t>INFOEM/IP/RR/202</w:t>
      </w:r>
      <w:r w:rsidR="00E96F04" w:rsidRPr="00C82353">
        <w:rPr>
          <w:rFonts w:eastAsia="Palatino Linotype" w:cs="Palatino Linotype"/>
          <w:b/>
          <w:color w:val="000000"/>
          <w:szCs w:val="24"/>
          <w:lang w:val="es-ES_tradnl"/>
        </w:rPr>
        <w:t>2</w:t>
      </w:r>
      <w:r w:rsidRPr="00C82353">
        <w:rPr>
          <w:rFonts w:eastAsia="Palatino Linotype" w:cs="Palatino Linotype"/>
          <w:color w:val="000000"/>
          <w:szCs w:val="24"/>
          <w:lang w:val="es-ES_tradnl"/>
        </w:rPr>
        <w:t xml:space="preserve">, en el cual </w:t>
      </w:r>
      <w:r w:rsidR="007363B4">
        <w:rPr>
          <w:rFonts w:eastAsia="Palatino Linotype" w:cs="Palatino Linotype"/>
          <w:color w:val="000000"/>
          <w:szCs w:val="24"/>
          <w:lang w:val="es-ES_tradnl"/>
        </w:rPr>
        <w:t>el</w:t>
      </w:r>
      <w:r w:rsidRPr="00C82353">
        <w:rPr>
          <w:rFonts w:eastAsia="Palatino Linotype" w:cs="Palatino Linotype"/>
          <w:color w:val="000000"/>
          <w:szCs w:val="24"/>
          <w:lang w:val="es-ES_tradnl"/>
        </w:rPr>
        <w:t xml:space="preserve"> particular manifestó lo siguiente:</w:t>
      </w:r>
    </w:p>
    <w:p w14:paraId="596AC384" w14:textId="77777777" w:rsidR="00663A37" w:rsidRPr="00A214AF"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60A11473" w14:textId="77777777" w:rsidR="004A1567" w:rsidRDefault="00663A37" w:rsidP="00D71E0E">
      <w:pPr>
        <w:spacing w:before="240"/>
        <w:contextualSpacing/>
        <w:rPr>
          <w:rFonts w:eastAsia="Palatino Linotype" w:cs="Palatino Linotype"/>
          <w:i/>
          <w:szCs w:val="24"/>
          <w:lang w:val="es-ES_tradnl"/>
        </w:rPr>
      </w:pPr>
      <w:r w:rsidRPr="00A214AF">
        <w:rPr>
          <w:rFonts w:eastAsia="Palatino Linotype" w:cs="Palatino Linotype"/>
          <w:b/>
          <w:szCs w:val="24"/>
          <w:lang w:val="es-ES_tradnl"/>
        </w:rPr>
        <w:t>Acto Impugnado:</w:t>
      </w:r>
      <w:r w:rsidR="00247C4A" w:rsidRPr="00A214AF">
        <w:rPr>
          <w:rFonts w:eastAsia="Palatino Linotype" w:cs="Palatino Linotype"/>
          <w:i/>
          <w:szCs w:val="24"/>
          <w:lang w:val="es-ES_tradnl"/>
        </w:rPr>
        <w:t xml:space="preserve"> </w:t>
      </w:r>
    </w:p>
    <w:p w14:paraId="6FDB73D8" w14:textId="47A3F52F" w:rsidR="00663A37" w:rsidRPr="00C82353" w:rsidRDefault="004A1567" w:rsidP="004A1567">
      <w:pPr>
        <w:pStyle w:val="Sinespaciado"/>
        <w:rPr>
          <w:rFonts w:eastAsia="Palatino Linotype"/>
          <w:b/>
          <w:lang w:val="es-ES_tradnl"/>
        </w:rPr>
      </w:pPr>
      <w:r>
        <w:rPr>
          <w:lang w:val="es-ES_tradnl"/>
        </w:rPr>
        <w:t>‘</w:t>
      </w:r>
      <w:r w:rsidRPr="004A1567">
        <w:rPr>
          <w:rFonts w:eastAsia="Palatino Linotype"/>
          <w:lang w:val="es-ES_tradnl"/>
        </w:rPr>
        <w:t>La solicitud pidió a la letra "Solicito el programa de obra 2021, su calendario, comunidad beneficiaria, el costo estimado de las obras y los avances en esta materia de enero a mayo de 2022"</w:t>
      </w:r>
      <w:r>
        <w:rPr>
          <w:lang w:val="es-ES_tradnl"/>
        </w:rPr>
        <w:t>.’</w:t>
      </w:r>
      <w:r w:rsidR="00663A37" w:rsidRPr="00D71E0E">
        <w:rPr>
          <w:rFonts w:eastAsia="Palatino Linotype"/>
          <w:lang w:val="es-ES_tradnl"/>
        </w:rPr>
        <w:t>(Sic)</w:t>
      </w:r>
    </w:p>
    <w:p w14:paraId="50F81DF4" w14:textId="77777777" w:rsidR="00663A37" w:rsidRPr="00A214AF" w:rsidRDefault="00663A37" w:rsidP="004A1567">
      <w:pPr>
        <w:rPr>
          <w:lang w:val="es-ES_tradnl"/>
        </w:rPr>
      </w:pPr>
    </w:p>
    <w:p w14:paraId="2FB83104" w14:textId="77777777" w:rsidR="004A1567" w:rsidRDefault="00663A37" w:rsidP="00D71E0E">
      <w:pPr>
        <w:tabs>
          <w:tab w:val="right" w:pos="9354"/>
        </w:tabs>
        <w:spacing w:before="240"/>
        <w:contextualSpacing/>
        <w:rPr>
          <w:rFonts w:eastAsia="Palatino Linotype" w:cs="Palatino Linotype"/>
          <w:szCs w:val="24"/>
          <w:lang w:val="es-ES_tradnl"/>
        </w:rPr>
      </w:pPr>
      <w:r w:rsidRPr="00A214AF">
        <w:rPr>
          <w:rFonts w:eastAsia="Palatino Linotype" w:cs="Palatino Linotype"/>
          <w:b/>
          <w:szCs w:val="24"/>
          <w:lang w:val="es-ES_tradnl"/>
        </w:rPr>
        <w:lastRenderedPageBreak/>
        <w:t>Razones o Motivos de Inconformidad</w:t>
      </w:r>
      <w:r w:rsidRPr="00A214AF">
        <w:rPr>
          <w:rFonts w:eastAsia="Palatino Linotype" w:cs="Palatino Linotype"/>
          <w:szCs w:val="24"/>
          <w:lang w:val="es-ES_tradnl"/>
        </w:rPr>
        <w:t xml:space="preserve">: </w:t>
      </w:r>
    </w:p>
    <w:p w14:paraId="59A1F67A" w14:textId="71F3F56C" w:rsidR="00663A37" w:rsidRPr="00C82353" w:rsidRDefault="00663A37" w:rsidP="004A1567">
      <w:pPr>
        <w:pStyle w:val="Sinespaciado"/>
        <w:rPr>
          <w:rFonts w:eastAsia="Palatino Linotype"/>
          <w:lang w:val="es-ES_tradnl"/>
        </w:rPr>
      </w:pPr>
      <w:r w:rsidRPr="00D71E0E">
        <w:rPr>
          <w:rFonts w:eastAsia="Palatino Linotype"/>
          <w:lang w:val="es-ES_tradnl"/>
        </w:rPr>
        <w:t>“</w:t>
      </w:r>
      <w:r w:rsidR="004A1567" w:rsidRPr="004A1567">
        <w:rPr>
          <w:rFonts w:eastAsia="Palatino Linotype"/>
          <w:lang w:val="es-ES_tradnl"/>
        </w:rPr>
        <w:t xml:space="preserve">El ente obligado no entregó ningún tipo de información de acuerdo con la solicitud realizada, ya que sólo hizo referencia a un hipervínculo a www.ipomex.org.mx relativo a la fracción </w:t>
      </w:r>
      <w:proofErr w:type="spellStart"/>
      <w:r w:rsidR="004A1567" w:rsidRPr="004A1567">
        <w:rPr>
          <w:rFonts w:eastAsia="Palatino Linotype"/>
          <w:lang w:val="es-ES_tradnl"/>
        </w:rPr>
        <w:t>XXIXa</w:t>
      </w:r>
      <w:proofErr w:type="spellEnd"/>
      <w:r w:rsidR="004A1567" w:rsidRPr="004A1567">
        <w:rPr>
          <w:rFonts w:eastAsia="Palatino Linotype"/>
          <w:lang w:val="es-ES_tradnl"/>
        </w:rPr>
        <w:t xml:space="preserve"> en la que no se encuentra información actualizada al año 2022 de las licitaciones, tal y como se le solicitó con toda claridad.. En los hechos el ente obligado elude su responsabilidad de garantizar el acceso a la información y omite rendir cuentas del uso de los recursos públicos. Es de señalar que esta conducta es reiterada en este ayuntamiento, por lo que pido al órgano garante considere turnar esta situación al ámbito de vigilancia para que inicien los procedimientos de verificación y, en su caso de responsabilidades respectivos.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D71E0E">
        <w:rPr>
          <w:rFonts w:eastAsia="Palatino Linotype"/>
          <w:lang w:val="es-ES_tradnl"/>
        </w:rPr>
        <w:t>” (Sic)</w:t>
      </w:r>
    </w:p>
    <w:p w14:paraId="1A3AF587" w14:textId="4D289E83" w:rsidR="000A7CE8" w:rsidRPr="00C82353" w:rsidRDefault="000A7CE8" w:rsidP="00663A37">
      <w:pPr>
        <w:pBdr>
          <w:top w:val="nil"/>
          <w:left w:val="nil"/>
          <w:bottom w:val="nil"/>
          <w:right w:val="nil"/>
          <w:between w:val="nil"/>
        </w:pBdr>
        <w:contextualSpacing/>
        <w:rPr>
          <w:rFonts w:eastAsia="Palatino Linotype" w:cs="Palatino Linotype"/>
          <w:bCs/>
          <w:color w:val="000000"/>
          <w:szCs w:val="24"/>
          <w:lang w:val="es-ES_tradnl"/>
        </w:rPr>
      </w:pPr>
    </w:p>
    <w:p w14:paraId="12DC9D1E" w14:textId="590DA139" w:rsidR="00663A37" w:rsidRPr="00C82353" w:rsidRDefault="004A1567" w:rsidP="00663A37">
      <w:pPr>
        <w:pBdr>
          <w:top w:val="nil"/>
          <w:left w:val="nil"/>
          <w:bottom w:val="nil"/>
          <w:right w:val="nil"/>
          <w:between w:val="nil"/>
        </w:pBdr>
        <w:contextualSpacing/>
        <w:rPr>
          <w:rFonts w:eastAsia="Palatino Linotype" w:cs="Palatino Linotype"/>
          <w:b/>
          <w:color w:val="000000"/>
          <w:sz w:val="26"/>
          <w:szCs w:val="26"/>
          <w:lang w:val="es-ES_tradnl"/>
        </w:rPr>
      </w:pPr>
      <w:r>
        <w:rPr>
          <w:rFonts w:eastAsia="Palatino Linotype" w:cs="Palatino Linotype"/>
          <w:b/>
          <w:color w:val="000000"/>
          <w:sz w:val="26"/>
          <w:szCs w:val="26"/>
          <w:lang w:val="es-ES_tradnl"/>
        </w:rPr>
        <w:t>CUARTO</w:t>
      </w:r>
      <w:r w:rsidR="00663A37" w:rsidRPr="00C82353">
        <w:rPr>
          <w:rFonts w:eastAsia="Palatino Linotype" w:cs="Palatino Linotype"/>
          <w:b/>
          <w:color w:val="000000"/>
          <w:sz w:val="26"/>
          <w:szCs w:val="26"/>
          <w:lang w:val="es-ES_tradnl"/>
        </w:rPr>
        <w:t>. Del turno y admisión del recurso de revisión.</w:t>
      </w:r>
    </w:p>
    <w:p w14:paraId="348439E0" w14:textId="671F8039"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Medio de impugnación que le fue turnado al </w:t>
      </w:r>
      <w:r w:rsidRPr="00C82353">
        <w:rPr>
          <w:rFonts w:eastAsia="Palatino Linotype" w:cs="Palatino Linotype"/>
          <w:b/>
          <w:color w:val="000000"/>
          <w:szCs w:val="24"/>
          <w:lang w:val="es-ES_tradnl"/>
        </w:rPr>
        <w:t xml:space="preserve">Comisionado </w:t>
      </w:r>
      <w:r w:rsidR="00374E6D">
        <w:rPr>
          <w:rFonts w:eastAsia="Palatino Linotype" w:cs="Palatino Linotype"/>
          <w:b/>
          <w:color w:val="000000"/>
          <w:szCs w:val="24"/>
          <w:lang w:val="es-ES_tradnl"/>
        </w:rPr>
        <w:t xml:space="preserve">Presidente </w:t>
      </w:r>
      <w:r w:rsidRPr="00C82353">
        <w:rPr>
          <w:rFonts w:eastAsia="Palatino Linotype" w:cs="Palatino Linotype"/>
          <w:b/>
          <w:color w:val="000000"/>
          <w:szCs w:val="24"/>
          <w:lang w:val="es-ES_tradnl"/>
        </w:rPr>
        <w:t>José Martínez Vilchis</w:t>
      </w:r>
      <w:r w:rsidRPr="00C82353">
        <w:rPr>
          <w:rFonts w:eastAsia="Palatino Linotype" w:cs="Palatino Linotype"/>
          <w:color w:val="000000"/>
          <w:szCs w:val="24"/>
          <w:lang w:val="es-ES_tradnl"/>
        </w:rPr>
        <w:t>, por medio del sistema electrónico en términos del numeral 185 fracción I de la Ley de Transparencia y Acceso a la información Pública del Estado de México y Municipios, del cual recayó acuerdo de admisió</w:t>
      </w:r>
      <w:r w:rsidR="006377A9" w:rsidRPr="00C82353">
        <w:rPr>
          <w:rFonts w:eastAsia="Palatino Linotype" w:cs="Palatino Linotype"/>
          <w:color w:val="000000"/>
          <w:szCs w:val="24"/>
          <w:lang w:val="es-ES_tradnl"/>
        </w:rPr>
        <w:t xml:space="preserve">n en fecha </w:t>
      </w:r>
      <w:r w:rsidR="009F0935">
        <w:rPr>
          <w:rFonts w:eastAsia="Palatino Linotype" w:cs="Palatino Linotype"/>
          <w:color w:val="000000"/>
          <w:szCs w:val="24"/>
          <w:lang w:val="es-ES_tradnl"/>
        </w:rPr>
        <w:t>c</w:t>
      </w:r>
      <w:r w:rsidR="004A1567">
        <w:rPr>
          <w:rFonts w:eastAsia="Palatino Linotype" w:cs="Palatino Linotype"/>
          <w:color w:val="000000"/>
          <w:szCs w:val="24"/>
          <w:lang w:val="es-ES_tradnl"/>
        </w:rPr>
        <w:t>uatro de julio</w:t>
      </w:r>
      <w:r w:rsidR="00EC1ED1">
        <w:rPr>
          <w:rFonts w:eastAsia="Palatino Linotype" w:cs="Palatino Linotype"/>
          <w:color w:val="000000"/>
          <w:szCs w:val="24"/>
          <w:lang w:val="es-ES_tradnl"/>
        </w:rPr>
        <w:t xml:space="preserve"> </w:t>
      </w:r>
      <w:r w:rsidR="00EF271A" w:rsidRPr="00C82353">
        <w:rPr>
          <w:rFonts w:eastAsia="Palatino Linotype" w:cs="Palatino Linotype"/>
          <w:color w:val="000000"/>
          <w:szCs w:val="24"/>
          <w:lang w:val="es-ES_tradnl"/>
        </w:rPr>
        <w:t>de dos mil veintidós</w:t>
      </w:r>
      <w:r w:rsidRPr="00C82353">
        <w:rPr>
          <w:rFonts w:eastAsia="Palatino Linotype" w:cs="Palatino Linotype"/>
          <w:color w:val="000000"/>
          <w:szCs w:val="24"/>
          <w:lang w:val="es-ES_tradnl"/>
        </w:rPr>
        <w:t xml:space="preserve">, </w:t>
      </w:r>
      <w:r w:rsidRPr="00C82353">
        <w:rPr>
          <w:rFonts w:eastAsia="Palatino Linotype" w:cs="Palatino Linotype"/>
          <w:szCs w:val="24"/>
          <w:lang w:val="es-ES_tradnl"/>
        </w:rPr>
        <w:t>otorgándose</w:t>
      </w:r>
      <w:r w:rsidRPr="00C82353">
        <w:rPr>
          <w:rFonts w:eastAsia="Palatino Linotype" w:cs="Palatino Linotype"/>
          <w:color w:val="000000"/>
          <w:szCs w:val="24"/>
          <w:lang w:val="es-ES_tradnl"/>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409CC570" w14:textId="44B2CCFE" w:rsidR="00663A37" w:rsidRPr="00C82353" w:rsidRDefault="004A1567" w:rsidP="067BB009">
      <w:pPr>
        <w:pBdr>
          <w:top w:val="nil"/>
          <w:left w:val="nil"/>
          <w:bottom w:val="nil"/>
          <w:right w:val="nil"/>
          <w:between w:val="nil"/>
        </w:pBdr>
        <w:contextualSpacing/>
        <w:rPr>
          <w:rFonts w:eastAsia="Palatino Linotype" w:cs="Palatino Linotype"/>
          <w:b/>
          <w:bCs/>
          <w:color w:val="000000"/>
          <w:sz w:val="26"/>
          <w:szCs w:val="26"/>
          <w:lang w:val="es-ES"/>
        </w:rPr>
      </w:pPr>
      <w:r>
        <w:rPr>
          <w:rFonts w:eastAsia="Palatino Linotype" w:cs="Palatino Linotype"/>
          <w:b/>
          <w:bCs/>
          <w:color w:val="000000" w:themeColor="text1"/>
          <w:sz w:val="26"/>
          <w:szCs w:val="26"/>
          <w:lang w:val="es-ES"/>
        </w:rPr>
        <w:t>QUINTO</w:t>
      </w:r>
      <w:r w:rsidR="067BB009" w:rsidRPr="067BB009">
        <w:rPr>
          <w:rFonts w:eastAsia="Palatino Linotype" w:cs="Palatino Linotype"/>
          <w:b/>
          <w:bCs/>
          <w:color w:val="000000" w:themeColor="text1"/>
          <w:sz w:val="26"/>
          <w:szCs w:val="26"/>
          <w:lang w:val="es-ES"/>
        </w:rPr>
        <w:t>. De la etapa de instrucción.</w:t>
      </w:r>
    </w:p>
    <w:p w14:paraId="4B9B94B1" w14:textId="1E1043F0" w:rsidR="00663A37" w:rsidRPr="00C82353" w:rsidRDefault="00A214AF" w:rsidP="00663A37">
      <w:pPr>
        <w:pBdr>
          <w:top w:val="nil"/>
          <w:left w:val="nil"/>
          <w:bottom w:val="nil"/>
          <w:right w:val="nil"/>
          <w:between w:val="nil"/>
        </w:pBdr>
        <w:contextualSpacing/>
        <w:rPr>
          <w:rFonts w:eastAsia="Palatino Linotype" w:cs="Palatino Linotype"/>
          <w:color w:val="000000"/>
          <w:szCs w:val="24"/>
          <w:lang w:val="es-ES_tradnl"/>
        </w:rPr>
      </w:pPr>
      <w:r w:rsidRPr="00A214AF">
        <w:rPr>
          <w:rFonts w:eastAsia="Palatino Linotype" w:cs="Palatino Linotype"/>
          <w:color w:val="000000"/>
          <w:szCs w:val="24"/>
          <w:lang w:val="es-ES_tradnl"/>
        </w:rPr>
        <w:t>Una vez abierta la etapa de instrucción, se observa que el Suj</w:t>
      </w:r>
      <w:r w:rsidR="00930001">
        <w:rPr>
          <w:rFonts w:eastAsia="Palatino Linotype" w:cs="Palatino Linotype"/>
          <w:color w:val="000000"/>
          <w:szCs w:val="24"/>
          <w:lang w:val="es-ES_tradnl"/>
        </w:rPr>
        <w:t>eto Obligado omitió rendir el Informe Justificado correspondiente</w:t>
      </w:r>
      <w:r w:rsidRPr="00A214AF">
        <w:rPr>
          <w:rFonts w:eastAsia="Palatino Linotype" w:cs="Palatino Linotype"/>
          <w:color w:val="000000"/>
          <w:szCs w:val="24"/>
          <w:lang w:val="es-ES_tradnl"/>
        </w:rPr>
        <w:t>. Por su parte, el Recurrente no presentó manifestaciones, rindió alegatos ni presentó pruebas que a su derecho convinieran.</w:t>
      </w:r>
    </w:p>
    <w:p w14:paraId="63CC605B" w14:textId="77777777" w:rsidR="00247C4A" w:rsidRPr="00C82353" w:rsidRDefault="00247C4A" w:rsidP="00663A37">
      <w:pPr>
        <w:pBdr>
          <w:top w:val="nil"/>
          <w:left w:val="nil"/>
          <w:bottom w:val="nil"/>
          <w:right w:val="nil"/>
          <w:between w:val="nil"/>
        </w:pBdr>
        <w:contextualSpacing/>
        <w:rPr>
          <w:rFonts w:eastAsia="Palatino Linotype" w:cs="Palatino Linotype"/>
          <w:color w:val="000000"/>
          <w:szCs w:val="24"/>
          <w:lang w:val="es-ES_tradnl"/>
        </w:rPr>
      </w:pPr>
    </w:p>
    <w:p w14:paraId="2AA432C1" w14:textId="23375B2D" w:rsidR="00663A37" w:rsidRPr="00C82353" w:rsidRDefault="004A1567" w:rsidP="00663A37">
      <w:pPr>
        <w:pBdr>
          <w:top w:val="nil"/>
          <w:left w:val="nil"/>
          <w:bottom w:val="nil"/>
          <w:right w:val="nil"/>
          <w:between w:val="nil"/>
        </w:pBdr>
        <w:contextualSpacing/>
        <w:rPr>
          <w:rFonts w:eastAsia="Palatino Linotype" w:cs="Palatino Linotype"/>
          <w:b/>
          <w:color w:val="000000"/>
          <w:sz w:val="26"/>
          <w:szCs w:val="26"/>
          <w:lang w:val="es-ES_tradnl"/>
        </w:rPr>
      </w:pPr>
      <w:r>
        <w:rPr>
          <w:rFonts w:eastAsia="Palatino Linotype" w:cs="Palatino Linotype"/>
          <w:b/>
          <w:color w:val="000000"/>
          <w:sz w:val="26"/>
          <w:szCs w:val="26"/>
          <w:lang w:val="es-ES_tradnl"/>
        </w:rPr>
        <w:lastRenderedPageBreak/>
        <w:t>SEXTO</w:t>
      </w:r>
      <w:r w:rsidR="00663A37" w:rsidRPr="00C82353">
        <w:rPr>
          <w:rFonts w:eastAsia="Palatino Linotype" w:cs="Palatino Linotype"/>
          <w:b/>
          <w:color w:val="000000"/>
          <w:sz w:val="26"/>
          <w:szCs w:val="26"/>
          <w:lang w:val="es-ES_tradnl"/>
        </w:rPr>
        <w:t>. Del cierre de instrucción.</w:t>
      </w:r>
    </w:p>
    <w:p w14:paraId="6E2F1FC8" w14:textId="2DD69F0E" w:rsidR="001A0CCD" w:rsidRDefault="00663A37" w:rsidP="001A0CCD">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Así, una vez transcurrido el término legal, se decretó el cierre</w:t>
      </w:r>
      <w:r w:rsidR="006377A9" w:rsidRPr="00C82353">
        <w:rPr>
          <w:rFonts w:eastAsia="Palatino Linotype" w:cs="Palatino Linotype"/>
          <w:color w:val="000000"/>
          <w:szCs w:val="24"/>
          <w:lang w:val="es-ES_tradnl"/>
        </w:rPr>
        <w:t xml:space="preserve"> de instrucción en fecha </w:t>
      </w:r>
      <w:r w:rsidR="004A1567">
        <w:rPr>
          <w:rFonts w:eastAsia="Palatino Linotype" w:cs="Palatino Linotype"/>
          <w:color w:val="000000"/>
          <w:szCs w:val="24"/>
          <w:lang w:val="es-ES_tradnl"/>
        </w:rPr>
        <w:t>catorce de julio</w:t>
      </w:r>
      <w:r w:rsidR="00D71E0E">
        <w:rPr>
          <w:rFonts w:eastAsia="Palatino Linotype" w:cs="Palatino Linotype"/>
          <w:color w:val="000000"/>
          <w:szCs w:val="24"/>
          <w:lang w:val="es-ES_tradnl"/>
        </w:rPr>
        <w:t xml:space="preserve"> </w:t>
      </w:r>
      <w:r w:rsidR="00EF6457" w:rsidRPr="00C82353">
        <w:rPr>
          <w:rFonts w:eastAsia="Palatino Linotype" w:cs="Palatino Linotype"/>
          <w:color w:val="000000"/>
          <w:szCs w:val="24"/>
          <w:lang w:val="es-ES_tradnl"/>
        </w:rPr>
        <w:t>de dos mil veintidós</w:t>
      </w:r>
      <w:r w:rsidRPr="00C82353">
        <w:rPr>
          <w:rFonts w:eastAsia="Palatino Linotype" w:cs="Palatino Linotype"/>
          <w:color w:val="000000"/>
          <w:szCs w:val="24"/>
          <w:lang w:val="es-ES_tradnl"/>
        </w:rPr>
        <w:t xml:space="preserve">, en términos del artículo 185 </w:t>
      </w:r>
      <w:r w:rsidR="00137ED6">
        <w:rPr>
          <w:rFonts w:eastAsia="Palatino Linotype" w:cs="Palatino Linotype"/>
          <w:color w:val="000000"/>
          <w:szCs w:val="24"/>
          <w:lang w:val="es-ES_tradnl"/>
        </w:rPr>
        <w:t>f</w:t>
      </w:r>
      <w:r w:rsidRPr="00C82353">
        <w:rPr>
          <w:rFonts w:eastAsia="Palatino Linotype" w:cs="Palatino Linotype"/>
          <w:color w:val="000000"/>
          <w:szCs w:val="24"/>
          <w:lang w:val="es-ES_tradnl"/>
        </w:rPr>
        <w:t>racción VI de la Ley de Transparencia y Acceso a la Información Pública del Estado de México y Municipios, iniciando el término legal para dictar resolución definitiva del asunto.</w:t>
      </w:r>
    </w:p>
    <w:p w14:paraId="678FB352" w14:textId="77777777" w:rsidR="001A3270" w:rsidRDefault="001A3270" w:rsidP="001A0CCD">
      <w:pPr>
        <w:pBdr>
          <w:top w:val="nil"/>
          <w:left w:val="nil"/>
          <w:bottom w:val="nil"/>
          <w:right w:val="nil"/>
          <w:between w:val="nil"/>
        </w:pBdr>
        <w:contextualSpacing/>
        <w:rPr>
          <w:rFonts w:eastAsia="Palatino Linotype" w:cs="Palatino Linotype"/>
          <w:color w:val="000000"/>
          <w:szCs w:val="24"/>
          <w:lang w:val="es-ES_tradnl"/>
        </w:rPr>
      </w:pPr>
    </w:p>
    <w:p w14:paraId="25617268" w14:textId="4982974E" w:rsidR="001A3270" w:rsidRPr="00213AD2" w:rsidRDefault="004A1567" w:rsidP="001A3270">
      <w:pPr>
        <w:rPr>
          <w:rFonts w:eastAsiaTheme="minorHAnsi" w:cstheme="minorBidi"/>
          <w:b/>
          <w:sz w:val="26"/>
          <w:szCs w:val="26"/>
          <w:lang w:eastAsia="en-US"/>
        </w:rPr>
      </w:pPr>
      <w:r>
        <w:rPr>
          <w:rFonts w:eastAsiaTheme="minorHAnsi" w:cstheme="minorBidi"/>
          <w:b/>
          <w:sz w:val="26"/>
          <w:szCs w:val="26"/>
          <w:lang w:eastAsia="en-US"/>
        </w:rPr>
        <w:t>SÉPTIMO</w:t>
      </w:r>
      <w:r w:rsidR="001A3270" w:rsidRPr="00213AD2">
        <w:rPr>
          <w:rFonts w:eastAsiaTheme="minorHAnsi" w:cstheme="minorBidi"/>
          <w:b/>
          <w:sz w:val="26"/>
          <w:szCs w:val="26"/>
          <w:lang w:eastAsia="en-US"/>
        </w:rPr>
        <w:t>. De la ampliación del término para resolver.</w:t>
      </w:r>
    </w:p>
    <w:p w14:paraId="266ED7C0" w14:textId="69BE0224" w:rsidR="001A3270" w:rsidRDefault="001A3270" w:rsidP="001A3270">
      <w:pPr>
        <w:rPr>
          <w:rFonts w:eastAsiaTheme="minorHAnsi" w:cstheme="minorBidi"/>
          <w:szCs w:val="24"/>
          <w:lang w:eastAsia="en-US"/>
        </w:rPr>
      </w:pPr>
      <w:r w:rsidRPr="00213AD2">
        <w:rPr>
          <w:rFonts w:eastAsiaTheme="minorHAnsi" w:cstheme="minorBidi"/>
          <w:szCs w:val="24"/>
          <w:lang w:eastAsia="en-US"/>
        </w:rPr>
        <w:t xml:space="preserve">En fecha </w:t>
      </w:r>
      <w:r w:rsidR="00D71E0E">
        <w:rPr>
          <w:rFonts w:eastAsiaTheme="minorHAnsi" w:cstheme="minorBidi"/>
          <w:szCs w:val="24"/>
          <w:lang w:eastAsia="en-US"/>
        </w:rPr>
        <w:t>veinti</w:t>
      </w:r>
      <w:r w:rsidR="004A1567">
        <w:rPr>
          <w:rFonts w:eastAsiaTheme="minorHAnsi" w:cstheme="minorBidi"/>
          <w:szCs w:val="24"/>
          <w:lang w:eastAsia="en-US"/>
        </w:rPr>
        <w:t>nueve de agosto</w:t>
      </w:r>
      <w:r>
        <w:rPr>
          <w:rFonts w:eastAsiaTheme="minorHAnsi" w:cstheme="minorBidi"/>
          <w:szCs w:val="24"/>
          <w:lang w:eastAsia="en-US"/>
        </w:rPr>
        <w:t xml:space="preserve"> de dos mil vein</w:t>
      </w:r>
      <w:r w:rsidR="00EC1ED1">
        <w:rPr>
          <w:rFonts w:eastAsiaTheme="minorHAnsi" w:cstheme="minorBidi"/>
          <w:szCs w:val="24"/>
          <w:lang w:eastAsia="en-US"/>
        </w:rPr>
        <w:t>tidós</w:t>
      </w:r>
      <w:r w:rsidRPr="00213AD2">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w:t>
      </w:r>
      <w:r>
        <w:rPr>
          <w:rFonts w:eastAsiaTheme="minorHAnsi" w:cstheme="minorBidi"/>
          <w:szCs w:val="24"/>
          <w:lang w:eastAsia="en-US"/>
        </w:rPr>
        <w:t>n plazo de quince días hábiles.</w:t>
      </w:r>
    </w:p>
    <w:p w14:paraId="63357F87" w14:textId="166A3E67" w:rsidR="00616C63" w:rsidRDefault="00616C63" w:rsidP="001A3270">
      <w:pPr>
        <w:rPr>
          <w:rFonts w:eastAsiaTheme="minorHAnsi" w:cstheme="minorBidi"/>
          <w:szCs w:val="24"/>
          <w:lang w:eastAsia="en-US"/>
        </w:rPr>
      </w:pPr>
    </w:p>
    <w:p w14:paraId="6498D8E8"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 xml:space="preserve">Este organismo garante no pasa por alto justificar, </w:t>
      </w:r>
      <w:r w:rsidRPr="000B3DD1">
        <w:rPr>
          <w:rFonts w:eastAsiaTheme="minorHAnsi" w:cstheme="minorBidi"/>
          <w:bCs/>
          <w:szCs w:val="24"/>
          <w:lang w:eastAsia="en-US"/>
        </w:rPr>
        <w:t xml:space="preserve">que el plazo para emitir resolución en el presente asunto </w:t>
      </w:r>
      <w:r w:rsidRPr="000B3DD1">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C63896" w14:textId="3074967E" w:rsidR="000B3DD1" w:rsidRPr="000B3DD1" w:rsidRDefault="000B3DD1" w:rsidP="000B3DD1">
      <w:pPr>
        <w:rPr>
          <w:rFonts w:eastAsiaTheme="minorHAnsi" w:cstheme="minorBidi"/>
          <w:szCs w:val="24"/>
          <w:lang w:eastAsia="en-US"/>
        </w:rPr>
      </w:pPr>
    </w:p>
    <w:p w14:paraId="0D75B972"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0B3DD1">
        <w:rPr>
          <w:rFonts w:eastAsiaTheme="minorHAnsi" w:cstheme="minorBidi"/>
          <w:bCs/>
          <w:szCs w:val="24"/>
          <w:lang w:eastAsia="en-US"/>
        </w:rPr>
        <w:t>el plazo para emitir resolución</w:t>
      </w:r>
      <w:r w:rsidRPr="000B3DD1">
        <w:rPr>
          <w:rFonts w:eastAsiaTheme="minorHAnsi" w:cstheme="minorBidi"/>
          <w:szCs w:val="24"/>
          <w:lang w:eastAsia="en-US"/>
        </w:rPr>
        <w:t xml:space="preserve"> se encuentra justificado en los elementos para medir su razonabilidad de </w:t>
      </w:r>
      <w:r w:rsidRPr="000B3DD1">
        <w:rPr>
          <w:rFonts w:eastAsiaTheme="minorHAnsi" w:cstheme="minorBidi"/>
          <w:szCs w:val="24"/>
          <w:lang w:eastAsia="en-US"/>
        </w:rPr>
        <w:lastRenderedPageBreak/>
        <w:t>asuntos conforme a los parámetros establecidos por diversos órganos jurisdiccionales federales, aplicables también en procedimientos análogos, como el que nos ocupa.</w:t>
      </w:r>
    </w:p>
    <w:p w14:paraId="785813EA" w14:textId="580AC6AC" w:rsidR="000B3DD1" w:rsidRPr="000B3DD1" w:rsidRDefault="000B3DD1" w:rsidP="000B3DD1">
      <w:pPr>
        <w:rPr>
          <w:rFonts w:eastAsiaTheme="minorHAnsi" w:cstheme="minorBidi"/>
          <w:szCs w:val="24"/>
          <w:lang w:eastAsia="en-US"/>
        </w:rPr>
      </w:pPr>
    </w:p>
    <w:p w14:paraId="6600FF7A"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55D4BE" w14:textId="3C63B45A" w:rsidR="000B3DD1" w:rsidRPr="000B3DD1" w:rsidRDefault="000B3DD1" w:rsidP="000B3DD1">
      <w:pPr>
        <w:rPr>
          <w:rFonts w:eastAsiaTheme="minorHAnsi" w:cstheme="minorBidi"/>
          <w:szCs w:val="24"/>
          <w:lang w:eastAsia="en-US"/>
        </w:rPr>
      </w:pPr>
    </w:p>
    <w:p w14:paraId="2ACF6CAB"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288A852" w14:textId="7F21526A" w:rsidR="000B3DD1" w:rsidRPr="000B3DD1" w:rsidRDefault="000B3DD1" w:rsidP="000B3DD1">
      <w:pPr>
        <w:rPr>
          <w:rFonts w:eastAsiaTheme="minorHAnsi" w:cstheme="minorBidi"/>
          <w:szCs w:val="24"/>
          <w:lang w:eastAsia="en-US"/>
        </w:rPr>
      </w:pPr>
    </w:p>
    <w:p w14:paraId="7FAE4793" w14:textId="4032C43C" w:rsidR="000B3DD1" w:rsidRDefault="000B3DD1" w:rsidP="000B3DD1">
      <w:pPr>
        <w:rPr>
          <w:rFonts w:eastAsiaTheme="minorHAnsi" w:cstheme="minorBidi"/>
          <w:szCs w:val="24"/>
          <w:lang w:eastAsia="en-US"/>
        </w:rPr>
      </w:pPr>
      <w:r w:rsidRPr="000B3DD1">
        <w:rPr>
          <w:rFonts w:eastAsiaTheme="minorHAnsi" w:cstheme="minorBidi"/>
          <w:szCs w:val="24"/>
          <w:lang w:eastAsia="en-US"/>
        </w:rPr>
        <w:t>Por ello, excepcionalmente, si un asunto es resuelto con posterioridad a los plazos señalados por la norma debe analizarse la razonabilidad del tiempo necesario para su resolución, atentos a los siguientes criterios:</w:t>
      </w:r>
    </w:p>
    <w:p w14:paraId="769EFC33" w14:textId="77777777" w:rsidR="00054CC5" w:rsidRPr="00054CC5" w:rsidRDefault="00054CC5" w:rsidP="00054CC5">
      <w:pPr>
        <w:rPr>
          <w:rFonts w:eastAsiaTheme="minorHAnsi" w:cstheme="minorBidi"/>
          <w:szCs w:val="24"/>
          <w:lang w:eastAsia="en-US"/>
        </w:rPr>
      </w:pPr>
    </w:p>
    <w:p w14:paraId="0A81F494" w14:textId="2FEEF6BB" w:rsidR="000B3DD1" w:rsidRPr="00054CC5" w:rsidRDefault="000B3DD1" w:rsidP="00054CC5">
      <w:pPr>
        <w:pStyle w:val="Prrafodelista"/>
        <w:numPr>
          <w:ilvl w:val="0"/>
          <w:numId w:val="24"/>
        </w:numPr>
        <w:rPr>
          <w:rFonts w:eastAsiaTheme="minorHAnsi" w:cstheme="minorBidi"/>
          <w:lang w:eastAsia="en-US"/>
        </w:rPr>
      </w:pPr>
      <w:r w:rsidRPr="00054CC5">
        <w:rPr>
          <w:rFonts w:eastAsiaTheme="minorHAnsi" w:cstheme="minorBidi"/>
          <w:lang w:eastAsia="en-US"/>
        </w:rPr>
        <w:t>Complejidad del asunto: La complejidad de la prueba, la pluralidad de sujetos procesales, el tiempo transcurrido, las características y contexto del recurso.</w:t>
      </w:r>
    </w:p>
    <w:p w14:paraId="36909940" w14:textId="3B446717" w:rsidR="000B3DD1" w:rsidRPr="00054CC5" w:rsidRDefault="000B3DD1" w:rsidP="00054CC5">
      <w:pPr>
        <w:pStyle w:val="Prrafodelista"/>
        <w:numPr>
          <w:ilvl w:val="0"/>
          <w:numId w:val="24"/>
        </w:numPr>
        <w:rPr>
          <w:rFonts w:eastAsiaTheme="minorHAnsi" w:cstheme="minorBidi"/>
          <w:lang w:eastAsia="en-US"/>
        </w:rPr>
      </w:pPr>
      <w:r w:rsidRPr="00054CC5">
        <w:rPr>
          <w:rFonts w:eastAsiaTheme="minorHAnsi" w:cstheme="minorBidi"/>
          <w:lang w:eastAsia="en-US"/>
        </w:rPr>
        <w:t>Actividad Procesal del interesado: Acciones u omisiones del interesado.</w:t>
      </w:r>
    </w:p>
    <w:p w14:paraId="6453EAAA" w14:textId="5A3C2D39" w:rsidR="000B3DD1" w:rsidRPr="00054CC5" w:rsidRDefault="000B3DD1" w:rsidP="00054CC5">
      <w:pPr>
        <w:pStyle w:val="Prrafodelista"/>
        <w:numPr>
          <w:ilvl w:val="0"/>
          <w:numId w:val="24"/>
        </w:numPr>
        <w:rPr>
          <w:rFonts w:eastAsiaTheme="minorHAnsi" w:cstheme="minorBidi"/>
          <w:lang w:eastAsia="en-US"/>
        </w:rPr>
      </w:pPr>
      <w:r w:rsidRPr="00054CC5">
        <w:rPr>
          <w:rFonts w:eastAsiaTheme="minorHAnsi" w:cstheme="minorBidi"/>
          <w:lang w:eastAsia="en-US"/>
        </w:rPr>
        <w:t>Conducta de la Autoridad: Las Acciones u omisiones realizadas en el procedimiento. Así como si la autoridad actuó con la debida diligencia.</w:t>
      </w:r>
    </w:p>
    <w:p w14:paraId="025E615D" w14:textId="7C504403" w:rsidR="000B3DD1" w:rsidRPr="00054CC5" w:rsidRDefault="000B3DD1" w:rsidP="00054CC5">
      <w:pPr>
        <w:pStyle w:val="Prrafodelista"/>
        <w:numPr>
          <w:ilvl w:val="0"/>
          <w:numId w:val="24"/>
        </w:numPr>
        <w:rPr>
          <w:rFonts w:eastAsiaTheme="minorHAnsi" w:cstheme="minorBidi"/>
          <w:lang w:eastAsia="en-US"/>
        </w:rPr>
      </w:pPr>
      <w:r w:rsidRPr="00054CC5">
        <w:rPr>
          <w:rFonts w:eastAsiaTheme="minorHAnsi" w:cstheme="minorBidi"/>
          <w:lang w:eastAsia="en-US"/>
        </w:rPr>
        <w:lastRenderedPageBreak/>
        <w:t>La afectación generada en la situación jurídica de la persona involucrada en el proceso: Violación a sus derechos humanos.</w:t>
      </w:r>
    </w:p>
    <w:p w14:paraId="79C9EBF2" w14:textId="77777777" w:rsidR="000B3DD1" w:rsidRPr="00054CC5" w:rsidRDefault="000B3DD1" w:rsidP="00054CC5">
      <w:pPr>
        <w:rPr>
          <w:rFonts w:eastAsiaTheme="minorHAnsi" w:cstheme="minorBidi"/>
          <w:szCs w:val="24"/>
          <w:lang w:eastAsia="en-US"/>
        </w:rPr>
      </w:pPr>
    </w:p>
    <w:p w14:paraId="526DA7D7" w14:textId="2C9CE33C"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CCB680" w14:textId="6554BE9C" w:rsidR="000B3DD1" w:rsidRPr="000B3DD1" w:rsidRDefault="000B3DD1" w:rsidP="000B3DD1">
      <w:pPr>
        <w:rPr>
          <w:rFonts w:eastAsiaTheme="minorHAnsi" w:cstheme="minorBidi"/>
          <w:szCs w:val="24"/>
          <w:lang w:eastAsia="en-US"/>
        </w:rPr>
      </w:pPr>
    </w:p>
    <w:p w14:paraId="6F822CB5"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FF9FE48" w14:textId="64748665" w:rsidR="000B3DD1" w:rsidRPr="000B3DD1" w:rsidRDefault="000B3DD1" w:rsidP="000B3DD1">
      <w:pPr>
        <w:rPr>
          <w:rFonts w:eastAsiaTheme="minorHAnsi" w:cstheme="minorBidi"/>
          <w:szCs w:val="24"/>
          <w:lang w:eastAsia="en-US"/>
        </w:rPr>
      </w:pPr>
    </w:p>
    <w:p w14:paraId="471368DA" w14:textId="78B8C63C"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0B3DD1">
        <w:rPr>
          <w:rFonts w:eastAsiaTheme="minorHAnsi" w:cstheme="minorBidi"/>
          <w:szCs w:val="24"/>
          <w:lang w:eastAsia="en-US"/>
        </w:rPr>
        <w:lastRenderedPageBreak/>
        <w:t>la tramitación de los recursos dentro de los términos legales previamente establecidos por la Ley, por tratarse de causas de fuerza mayor.Al respecto, también son de considerar los criterios sostenidos por el Cuarto Tribunal Colegiado en Materia Administrativa del Primer Circuito, cuyos rubros y datos de identificación son los siguientes:</w:t>
      </w:r>
    </w:p>
    <w:p w14:paraId="4EAA48D6" w14:textId="39DD2F4E" w:rsidR="000B3DD1" w:rsidRPr="000B3DD1" w:rsidRDefault="000B3DD1" w:rsidP="000B3DD1">
      <w:pPr>
        <w:rPr>
          <w:rFonts w:eastAsiaTheme="minorHAnsi" w:cstheme="minorBidi"/>
          <w:szCs w:val="24"/>
          <w:lang w:eastAsia="en-US"/>
        </w:rPr>
      </w:pPr>
    </w:p>
    <w:p w14:paraId="75B92B2E" w14:textId="4A33A210"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5BBA8410" w14:textId="756CA7F6" w:rsidR="000B3DD1" w:rsidRPr="000B3DD1" w:rsidRDefault="000B3DD1" w:rsidP="000B3DD1">
      <w:pPr>
        <w:rPr>
          <w:rFonts w:eastAsiaTheme="minorHAnsi" w:cstheme="minorBidi"/>
          <w:szCs w:val="24"/>
          <w:lang w:eastAsia="en-US"/>
        </w:rPr>
      </w:pPr>
    </w:p>
    <w:p w14:paraId="1D693980" w14:textId="77777777" w:rsidR="000B3DD1" w:rsidRPr="000B3DD1" w:rsidRDefault="000B3DD1" w:rsidP="000B3DD1">
      <w:pPr>
        <w:rPr>
          <w:rFonts w:eastAsiaTheme="minorHAnsi" w:cstheme="minorBidi"/>
          <w:szCs w:val="24"/>
          <w:lang w:eastAsia="en-US"/>
        </w:rPr>
      </w:pPr>
      <w:r w:rsidRPr="000B3DD1">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8CF9540" w14:textId="77777777" w:rsidR="000B3DD1" w:rsidRPr="000B3DD1" w:rsidRDefault="000B3DD1" w:rsidP="000B3DD1">
      <w:pPr>
        <w:rPr>
          <w:rFonts w:eastAsiaTheme="minorHAnsi" w:cstheme="minorBidi"/>
          <w:szCs w:val="24"/>
          <w:lang w:eastAsia="en-US"/>
        </w:rPr>
      </w:pPr>
    </w:p>
    <w:p w14:paraId="532642EB" w14:textId="4B1FA139" w:rsidR="00616C63" w:rsidRDefault="000B3DD1" w:rsidP="000B3DD1">
      <w:pPr>
        <w:rPr>
          <w:rFonts w:eastAsiaTheme="minorHAnsi" w:cstheme="minorBidi"/>
          <w:bCs/>
          <w:szCs w:val="24"/>
          <w:lang w:eastAsia="en-US"/>
        </w:rPr>
      </w:pPr>
      <w:r w:rsidRPr="000B3DD1">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1778E046" w14:textId="77777777" w:rsidR="000B3DD1" w:rsidRPr="00616C63" w:rsidRDefault="000B3DD1" w:rsidP="000B3DD1">
      <w:pPr>
        <w:rPr>
          <w:rFonts w:eastAsiaTheme="minorHAnsi" w:cstheme="minorBidi"/>
          <w:szCs w:val="24"/>
          <w:lang w:eastAsia="en-US"/>
        </w:rPr>
      </w:pPr>
    </w:p>
    <w:p w14:paraId="646B27D7" w14:textId="77777777" w:rsidR="00663A37" w:rsidRPr="00C82353" w:rsidRDefault="00663A37" w:rsidP="001A0CCD">
      <w:pPr>
        <w:pBdr>
          <w:top w:val="nil"/>
          <w:left w:val="nil"/>
          <w:bottom w:val="nil"/>
          <w:right w:val="nil"/>
          <w:between w:val="nil"/>
        </w:pBdr>
        <w:contextualSpacing/>
        <w:jc w:val="center"/>
        <w:rPr>
          <w:rFonts w:eastAsia="Palatino Linotype" w:cs="Palatino Linotype"/>
          <w:b/>
          <w:color w:val="000000"/>
          <w:sz w:val="28"/>
          <w:szCs w:val="28"/>
          <w:lang w:val="es-ES_tradnl"/>
        </w:rPr>
      </w:pPr>
      <w:r w:rsidRPr="00C82353">
        <w:rPr>
          <w:rFonts w:eastAsia="Palatino Linotype" w:cs="Palatino Linotype"/>
          <w:b/>
          <w:color w:val="000000"/>
          <w:sz w:val="28"/>
          <w:szCs w:val="28"/>
          <w:lang w:val="es-ES_tradnl"/>
        </w:rPr>
        <w:t>C O N S I D E R A N D O</w:t>
      </w:r>
    </w:p>
    <w:p w14:paraId="7DE4590A"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C38D117" w14:textId="77777777" w:rsidR="00663A37" w:rsidRPr="00C82353"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C82353">
        <w:rPr>
          <w:rFonts w:eastAsia="Palatino Linotype" w:cs="Palatino Linotype"/>
          <w:b/>
          <w:color w:val="000000"/>
          <w:sz w:val="26"/>
          <w:szCs w:val="26"/>
          <w:lang w:val="es-ES_tradnl"/>
        </w:rPr>
        <w:t>PRIMERO. De la competencia.</w:t>
      </w:r>
    </w:p>
    <w:p w14:paraId="6ABA2DF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Este Instituto de Transparencia, Acceso a la Información Pública y Protección de Datos Personales del Estado de México, es competente para conocer y resolver el presente </w:t>
      </w:r>
      <w:r w:rsidRPr="00C82353">
        <w:rPr>
          <w:rFonts w:eastAsia="Palatino Linotype" w:cs="Palatino Linotype"/>
          <w:color w:val="000000"/>
          <w:szCs w:val="24"/>
          <w:lang w:val="es-ES_tradnl"/>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7515389" w14:textId="77777777" w:rsidR="00663A37" w:rsidRPr="00C82353"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C82353">
        <w:rPr>
          <w:rFonts w:eastAsia="Palatino Linotype" w:cs="Palatino Linotype"/>
          <w:b/>
          <w:color w:val="000000"/>
          <w:sz w:val="26"/>
          <w:szCs w:val="26"/>
          <w:lang w:val="es-ES_tradnl"/>
        </w:rPr>
        <w:t xml:space="preserve">SEGUNDO. Sobre los alcances del recurso de revisión. </w:t>
      </w:r>
    </w:p>
    <w:p w14:paraId="75FE6B29" w14:textId="77777777" w:rsidR="00663A37"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EC553E" w14:textId="77777777" w:rsidR="000F2972" w:rsidRDefault="000F2972" w:rsidP="00663A37">
      <w:pPr>
        <w:pBdr>
          <w:top w:val="nil"/>
          <w:left w:val="nil"/>
          <w:bottom w:val="nil"/>
          <w:right w:val="nil"/>
          <w:between w:val="nil"/>
        </w:pBdr>
        <w:contextualSpacing/>
        <w:rPr>
          <w:rFonts w:eastAsia="Palatino Linotype" w:cs="Palatino Linotype"/>
          <w:color w:val="000000"/>
          <w:szCs w:val="24"/>
          <w:lang w:val="es-ES_tradnl"/>
        </w:rPr>
      </w:pPr>
    </w:p>
    <w:p w14:paraId="21BEBF59" w14:textId="77777777" w:rsidR="006674F7" w:rsidRPr="006674F7" w:rsidRDefault="006674F7" w:rsidP="006674F7">
      <w:pPr>
        <w:pBdr>
          <w:top w:val="nil"/>
          <w:left w:val="nil"/>
          <w:bottom w:val="nil"/>
          <w:right w:val="nil"/>
          <w:between w:val="nil"/>
        </w:pBdr>
        <w:rPr>
          <w:rFonts w:eastAsia="Palatino Linotype" w:cs="Palatino Linotype"/>
          <w:b/>
          <w:color w:val="000000"/>
          <w:sz w:val="26"/>
          <w:szCs w:val="26"/>
          <w:lang w:val="es-ES_tradnl"/>
        </w:rPr>
      </w:pPr>
      <w:r w:rsidRPr="006674F7">
        <w:rPr>
          <w:rFonts w:eastAsia="Palatino Linotype" w:cs="Palatino Linotype"/>
          <w:b/>
          <w:color w:val="000000"/>
          <w:sz w:val="26"/>
          <w:szCs w:val="26"/>
          <w:lang w:val="es-ES_tradnl"/>
        </w:rPr>
        <w:t>TERCERO. Cuestiones de previo y especial pronunciamiento.</w:t>
      </w:r>
    </w:p>
    <w:p w14:paraId="2DBF90C6" w14:textId="77777777" w:rsidR="006674F7" w:rsidRPr="006674F7" w:rsidRDefault="006674F7" w:rsidP="006674F7">
      <w:pPr>
        <w:rPr>
          <w:rFonts w:eastAsia="Palatino Linotype" w:cs="Palatino Linotype"/>
          <w:szCs w:val="24"/>
          <w:lang w:val="es-ES_tradnl"/>
        </w:rPr>
      </w:pPr>
      <w:r w:rsidRPr="006674F7">
        <w:rPr>
          <w:rFonts w:eastAsia="Palatino Linotype" w:cs="Palatino Linotype"/>
          <w:szCs w:val="24"/>
          <w:lang w:val="es-ES_tradnl"/>
        </w:rPr>
        <w:t>El recurso de revisión en estudio contiene los elementos normativos de validez exigidos en la Ley de Transparencia y Acceso a la Información Pública del Estado de México y Municipios, establecidos en el artículo 180 que enuncia:</w:t>
      </w:r>
    </w:p>
    <w:p w14:paraId="2921D4CC" w14:textId="77777777" w:rsidR="006674F7" w:rsidRPr="006674F7" w:rsidRDefault="006674F7" w:rsidP="006674F7">
      <w:pPr>
        <w:rPr>
          <w:rFonts w:eastAsia="Palatino Linotype" w:cs="Palatino Linotype"/>
          <w:szCs w:val="24"/>
          <w:lang w:val="es-ES_tradnl"/>
        </w:rPr>
      </w:pPr>
    </w:p>
    <w:p w14:paraId="11ED59EC"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 xml:space="preserve">Artículo 180. </w:t>
      </w:r>
      <w:r w:rsidRPr="006674F7">
        <w:rPr>
          <w:rFonts w:eastAsia="Palatino Linotype" w:cs="Palatino Linotype"/>
          <w:i/>
          <w:sz w:val="22"/>
          <w:lang w:val="es-ES_tradnl"/>
        </w:rPr>
        <w:t>El recurso de revisión contendrá:</w:t>
      </w:r>
    </w:p>
    <w:p w14:paraId="599F74F8"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I. El sujeto obligado ante la cual se presentó la solicitud;</w:t>
      </w:r>
    </w:p>
    <w:p w14:paraId="55573DD0"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II. El nombre del solicitante que recurre</w:t>
      </w:r>
      <w:r w:rsidRPr="006674F7">
        <w:rPr>
          <w:rFonts w:eastAsia="Palatino Linotype" w:cs="Palatino Linotype"/>
          <w:i/>
          <w:sz w:val="22"/>
          <w:lang w:val="es-ES_tradnl"/>
        </w:rPr>
        <w:t xml:space="preserve"> o de su representante y, en su caso, del tercero interesado, así como la dirección o medio que señale para recibir notificaciones;</w:t>
      </w:r>
    </w:p>
    <w:p w14:paraId="0EEB27BC"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III. El número de folio de respuesta de la solicitud de acceso;</w:t>
      </w:r>
    </w:p>
    <w:p w14:paraId="6E602299"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IV. La fecha en que fue notificada la respuesta al solicitante o tuvo conocimiento del acto reclamado, o de presentación de la solicitud, en caso de falta de respuesta;</w:t>
      </w:r>
    </w:p>
    <w:p w14:paraId="791C3679"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V. El acto que se recurre;</w:t>
      </w:r>
    </w:p>
    <w:p w14:paraId="4A62B991"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VI. Las razones o motivos de inconformidad;</w:t>
      </w:r>
    </w:p>
    <w:p w14:paraId="4875C206"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VII. La copia de la respuesta que se impugna y, en su caso, de la notificación correspondiente, en el caso de respuesta de la solicitud; y</w:t>
      </w:r>
    </w:p>
    <w:p w14:paraId="68A12B8E"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VIII. Firma del recurrente, en su caso, cuando se presente por escrito, requisito sin el cual se dará trámite al recurso.</w:t>
      </w:r>
    </w:p>
    <w:p w14:paraId="0A10DC74" w14:textId="77777777" w:rsidR="006674F7" w:rsidRPr="006674F7" w:rsidRDefault="006674F7" w:rsidP="006674F7">
      <w:pPr>
        <w:spacing w:line="240" w:lineRule="auto"/>
        <w:ind w:left="567" w:right="567"/>
        <w:rPr>
          <w:rFonts w:eastAsia="Palatino Linotype" w:cs="Palatino Linotype"/>
          <w:i/>
          <w:sz w:val="22"/>
          <w:lang w:val="es-ES_tradnl"/>
        </w:rPr>
      </w:pPr>
    </w:p>
    <w:p w14:paraId="43E5F6E7"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Adicionalmente, se podrán anexar las pruebas y demás elementos que considere procedentes someter a juicio del Instituto.</w:t>
      </w:r>
    </w:p>
    <w:p w14:paraId="683DCE90" w14:textId="77777777" w:rsidR="006674F7" w:rsidRPr="006674F7" w:rsidRDefault="006674F7" w:rsidP="006674F7">
      <w:pPr>
        <w:spacing w:line="240" w:lineRule="auto"/>
        <w:ind w:left="567" w:right="567"/>
        <w:rPr>
          <w:rFonts w:eastAsia="Palatino Linotype" w:cs="Palatino Linotype"/>
          <w:i/>
          <w:sz w:val="22"/>
          <w:lang w:val="es-ES_tradnl"/>
        </w:rPr>
      </w:pPr>
    </w:p>
    <w:p w14:paraId="262A5191"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En ningún caso será necesario que el particular ratifique el recurso de revisión interpuesto.</w:t>
      </w:r>
    </w:p>
    <w:p w14:paraId="4087E6B1" w14:textId="77777777" w:rsidR="006674F7" w:rsidRPr="006674F7" w:rsidRDefault="006674F7" w:rsidP="006674F7">
      <w:pPr>
        <w:spacing w:line="240" w:lineRule="auto"/>
        <w:ind w:left="567" w:right="567"/>
        <w:rPr>
          <w:rFonts w:eastAsia="Palatino Linotype" w:cs="Palatino Linotype"/>
          <w:i/>
          <w:sz w:val="22"/>
          <w:lang w:val="es-ES_tradnl"/>
        </w:rPr>
      </w:pPr>
    </w:p>
    <w:p w14:paraId="38A9E4ED"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En caso de que el recurso se interponga de manera electrónica no será indispensable que contengan los requisitos establecidos en las fracciones II</w:t>
      </w:r>
      <w:r w:rsidRPr="006674F7">
        <w:rPr>
          <w:rFonts w:eastAsia="Palatino Linotype" w:cs="Palatino Linotype"/>
          <w:i/>
          <w:sz w:val="22"/>
          <w:lang w:val="es-ES_tradnl"/>
        </w:rPr>
        <w:t>, IV, VII y VIII.</w:t>
      </w:r>
    </w:p>
    <w:p w14:paraId="68C01CA8" w14:textId="77777777" w:rsidR="006674F7" w:rsidRPr="006674F7" w:rsidRDefault="006674F7" w:rsidP="006674F7">
      <w:pPr>
        <w:rPr>
          <w:rFonts w:eastAsia="Palatino Linotype" w:cs="Palatino Linotype"/>
          <w:b/>
          <w:i/>
          <w:szCs w:val="24"/>
          <w:lang w:val="es-ES_tradnl"/>
        </w:rPr>
      </w:pPr>
    </w:p>
    <w:p w14:paraId="2D183A97" w14:textId="6279600D" w:rsidR="006674F7" w:rsidRPr="006674F7" w:rsidRDefault="006674F7" w:rsidP="006674F7">
      <w:pPr>
        <w:rPr>
          <w:rFonts w:eastAsia="Palatino Linotype" w:cs="Palatino Linotype"/>
          <w:szCs w:val="24"/>
          <w:lang w:val="es-ES_tradnl"/>
        </w:rPr>
      </w:pPr>
      <w:r w:rsidRPr="006674F7">
        <w:rPr>
          <w:rFonts w:eastAsia="Palatino Linotype" w:cs="Palatino Linotype"/>
          <w:szCs w:val="24"/>
          <w:lang w:val="es-ES_tradnl"/>
        </w:rPr>
        <w:t>Cabe señalar que el hoy Recurrente</w:t>
      </w:r>
      <w:r>
        <w:rPr>
          <w:rFonts w:eastAsia="Palatino Linotype" w:cs="Palatino Linotype"/>
          <w:szCs w:val="24"/>
          <w:lang w:val="es-ES_tradnl"/>
        </w:rPr>
        <w:t xml:space="preserve"> se identificó como </w:t>
      </w:r>
      <w:r w:rsidRPr="006674F7">
        <w:rPr>
          <w:rFonts w:eastAsia="Palatino Linotype" w:cs="Palatino Linotype"/>
          <w:b/>
          <w:szCs w:val="24"/>
          <w:lang w:val="es-ES_tradnl"/>
        </w:rPr>
        <w:t>“</w:t>
      </w:r>
      <w:r w:rsidR="00DF4A62">
        <w:rPr>
          <w:rFonts w:eastAsia="Palatino Linotype" w:cs="Palatino Linotype"/>
          <w:b/>
          <w:szCs w:val="24"/>
          <w:lang w:val="es-ES_tradnl"/>
        </w:rPr>
        <w:t>XXXXXXXXXXXX</w:t>
      </w:r>
      <w:r w:rsidRPr="006674F7">
        <w:rPr>
          <w:rFonts w:eastAsia="Palatino Linotype" w:cs="Palatino Linotype"/>
          <w:b/>
          <w:szCs w:val="24"/>
          <w:lang w:val="es-ES_tradnl"/>
        </w:rPr>
        <w:t>”.</w:t>
      </w:r>
      <w:r w:rsidRPr="006674F7">
        <w:rPr>
          <w:rFonts w:eastAsia="Palatino Linotype" w:cs="Palatino Linotype"/>
          <w:szCs w:val="24"/>
          <w:lang w:val="es-ES_tradnl"/>
        </w:rPr>
        <w:t xml:space="preserve"> No obstante, presentar solicitudes anónimas, con el nombre incompleto o </w:t>
      </w:r>
      <w:r>
        <w:rPr>
          <w:rFonts w:eastAsia="Palatino Linotype" w:cs="Palatino Linotype"/>
          <w:szCs w:val="24"/>
          <w:lang w:val="es-ES_tradnl"/>
        </w:rPr>
        <w:t>con un seudónimo no es</w:t>
      </w:r>
      <w:r w:rsidRPr="006674F7">
        <w:rPr>
          <w:rFonts w:eastAsia="Palatino Linotype" w:cs="Palatino Linotype"/>
          <w:szCs w:val="24"/>
          <w:lang w:val="es-ES_tradnl"/>
        </w:rPr>
        <w:t xml:space="preserve">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58C795E" w14:textId="77777777" w:rsidR="006674F7" w:rsidRPr="006674F7" w:rsidRDefault="006674F7" w:rsidP="006674F7">
      <w:pPr>
        <w:rPr>
          <w:rFonts w:eastAsia="Palatino Linotype" w:cs="Palatino Linotype"/>
          <w:szCs w:val="24"/>
          <w:lang w:val="es-ES_tradnl"/>
        </w:rPr>
      </w:pPr>
    </w:p>
    <w:p w14:paraId="4918BBB4"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Artículo 155.</w:t>
      </w:r>
      <w:r w:rsidRPr="006674F7">
        <w:rPr>
          <w:rFonts w:eastAsia="Palatino Linotype" w:cs="Palatino Linotype"/>
          <w:i/>
          <w:sz w:val="22"/>
          <w:lang w:val="es-ES_tradnl"/>
        </w:rPr>
        <w:t xml:space="preserve"> (…)</w:t>
      </w:r>
    </w:p>
    <w:p w14:paraId="54E5B6D7" w14:textId="77777777" w:rsidR="006674F7" w:rsidRPr="006674F7" w:rsidRDefault="006674F7" w:rsidP="006674F7">
      <w:pPr>
        <w:spacing w:line="240" w:lineRule="auto"/>
        <w:ind w:left="567" w:right="567"/>
        <w:rPr>
          <w:rFonts w:eastAsia="Palatino Linotype" w:cs="Palatino Linotype"/>
          <w:i/>
          <w:sz w:val="22"/>
          <w:lang w:val="es-ES_tradnl"/>
        </w:rPr>
      </w:pPr>
    </w:p>
    <w:p w14:paraId="0BA436C4"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35D5BCD1"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63B97FEE" w14:textId="77777777" w:rsidR="006674F7" w:rsidRPr="006674F7" w:rsidRDefault="006674F7" w:rsidP="006674F7">
      <w:pPr>
        <w:rPr>
          <w:rFonts w:eastAsia="Palatino Linotype" w:cs="Palatino Linotype"/>
          <w:szCs w:val="24"/>
          <w:lang w:val="es-ES_tradnl"/>
        </w:rPr>
      </w:pPr>
    </w:p>
    <w:p w14:paraId="5E6DBDC7" w14:textId="77777777" w:rsidR="006674F7" w:rsidRPr="006674F7" w:rsidRDefault="006674F7" w:rsidP="006674F7">
      <w:pPr>
        <w:rPr>
          <w:rFonts w:eastAsia="Palatino Linotype" w:cs="Palatino Linotype"/>
          <w:szCs w:val="24"/>
          <w:lang w:val="es-ES_tradnl"/>
        </w:rPr>
      </w:pPr>
      <w:r w:rsidRPr="006674F7">
        <w:rPr>
          <w:rFonts w:eastAsia="Palatino Linotype" w:cs="Palatino Linotype"/>
          <w:szCs w:val="24"/>
          <w:lang w:val="es-ES_tradnl"/>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165FD9" w14:textId="77777777" w:rsidR="006674F7" w:rsidRPr="006674F7" w:rsidRDefault="006674F7" w:rsidP="006674F7">
      <w:pPr>
        <w:rPr>
          <w:rFonts w:eastAsia="Palatino Linotype" w:cs="Palatino Linotype"/>
          <w:szCs w:val="24"/>
          <w:lang w:val="es-ES_tradnl"/>
        </w:rPr>
      </w:pPr>
    </w:p>
    <w:p w14:paraId="7C67D887" w14:textId="77777777" w:rsidR="006674F7" w:rsidRPr="006674F7" w:rsidRDefault="006674F7" w:rsidP="006674F7">
      <w:pPr>
        <w:spacing w:line="240" w:lineRule="auto"/>
        <w:ind w:left="567" w:right="567"/>
        <w:jc w:val="center"/>
        <w:rPr>
          <w:rFonts w:eastAsia="Palatino Linotype" w:cs="Palatino Linotype"/>
          <w:b/>
          <w:i/>
          <w:sz w:val="22"/>
          <w:u w:val="single"/>
          <w:lang w:val="es-ES_tradnl"/>
        </w:rPr>
      </w:pPr>
      <w:r w:rsidRPr="006674F7">
        <w:rPr>
          <w:rFonts w:eastAsia="Palatino Linotype" w:cs="Palatino Linotype"/>
          <w:b/>
          <w:i/>
          <w:sz w:val="22"/>
          <w:u w:val="single"/>
          <w:lang w:val="es-ES_tradnl"/>
        </w:rPr>
        <w:t>Constitución Política de los Estados Unidos Mexicanos</w:t>
      </w:r>
    </w:p>
    <w:p w14:paraId="36EAA4EF"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Artículo 6</w:t>
      </w:r>
      <w:r w:rsidRPr="006674F7">
        <w:rPr>
          <w:rFonts w:eastAsia="Palatino Linotype" w:cs="Palatino Linotype"/>
          <w:i/>
          <w:sz w:val="22"/>
          <w:lang w:val="es-ES_tradnl"/>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C64242"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6AE8CB38"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 xml:space="preserve">Para efectos de lo dispuesto en el presente artículo se observará lo siguiente: </w:t>
      </w:r>
    </w:p>
    <w:p w14:paraId="7FC91D19"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A. Para el ejercicio del derecho de acceso a la información, la Federación, los Estados y el Distrito Federal, en el ámbito de sus respectivas competencias, se regirán por los siguientes principios y bases:</w:t>
      </w:r>
    </w:p>
    <w:p w14:paraId="616E4EBA"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5FCF1F25"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 xml:space="preserve">III. Toda persona, sin necesidad de acreditar interés alguno o justificar su utilización, tendrá acceso gratuito a la información pública, a sus datos personales o a la rectificación de éstos. </w:t>
      </w:r>
    </w:p>
    <w:p w14:paraId="27EAA5A9"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IV. Se establecerán mecanismos de acceso a la información y procedimientos de revisión expeditos que se sustanciarán ante los organismos autónomos especializados e imparciales que establece esta Constitución.</w:t>
      </w:r>
    </w:p>
    <w:p w14:paraId="6FE2085A" w14:textId="77777777" w:rsidR="006674F7" w:rsidRPr="006674F7" w:rsidRDefault="006674F7" w:rsidP="006674F7">
      <w:pPr>
        <w:spacing w:line="240" w:lineRule="auto"/>
        <w:ind w:left="567" w:right="567"/>
        <w:rPr>
          <w:rFonts w:eastAsia="Palatino Linotype" w:cs="Palatino Linotype"/>
          <w:i/>
          <w:sz w:val="22"/>
          <w:lang w:val="es-ES_tradnl"/>
        </w:rPr>
      </w:pPr>
    </w:p>
    <w:p w14:paraId="4D675B3B" w14:textId="77777777" w:rsidR="006674F7" w:rsidRPr="006674F7" w:rsidRDefault="006674F7" w:rsidP="006674F7">
      <w:pPr>
        <w:spacing w:line="240" w:lineRule="auto"/>
        <w:ind w:left="567" w:right="567"/>
        <w:jc w:val="center"/>
        <w:rPr>
          <w:rFonts w:eastAsia="Palatino Linotype" w:cs="Palatino Linotype"/>
          <w:b/>
          <w:i/>
          <w:sz w:val="22"/>
          <w:u w:val="single"/>
          <w:lang w:val="es-ES_tradnl"/>
        </w:rPr>
      </w:pPr>
      <w:r w:rsidRPr="006674F7">
        <w:rPr>
          <w:rFonts w:eastAsia="Palatino Linotype" w:cs="Palatino Linotype"/>
          <w:b/>
          <w:i/>
          <w:sz w:val="22"/>
          <w:u w:val="single"/>
          <w:lang w:val="es-ES_tradnl"/>
        </w:rPr>
        <w:t>Constitución Política del Estado Libre y Soberano de México</w:t>
      </w:r>
    </w:p>
    <w:p w14:paraId="1123CE10"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Artículo 5</w:t>
      </w:r>
      <w:r w:rsidRPr="006674F7">
        <w:rPr>
          <w:rFonts w:eastAsia="Palatino Linotype" w:cs="Palatino Linotype"/>
          <w:i/>
          <w:sz w:val="22"/>
          <w:lang w:val="es-ES_tradnl"/>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w:t>
      </w:r>
      <w:r w:rsidRPr="006674F7">
        <w:rPr>
          <w:rFonts w:eastAsia="Palatino Linotype" w:cs="Palatino Linotype"/>
          <w:i/>
          <w:sz w:val="22"/>
          <w:lang w:val="es-ES_tradnl"/>
        </w:rPr>
        <w:lastRenderedPageBreak/>
        <w:t>podrán restringirse ni suspenderse salvo en los casos y bajo las condiciones que la Constitución Política de los Estados Unidos Mexicanos establece.</w:t>
      </w:r>
    </w:p>
    <w:p w14:paraId="25A4F74F"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44B04DB8"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Toda persona en el Estado de México, tiene derecho al libre acceso a la información plural y oportuna, así como a buscar recibir y difundir información e ideas de toda índole por cualquier medio de expresión.</w:t>
      </w:r>
    </w:p>
    <w:p w14:paraId="3AA25247"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003B3DBF"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 xml:space="preserve">El derecho a la información será garantizado por el Estado. La ley establecerá las previsiones que permitan asegurar la protección, el respeto y la difusión de este derecho. </w:t>
      </w:r>
    </w:p>
    <w:p w14:paraId="7BBC7497" w14:textId="77777777" w:rsidR="006674F7" w:rsidRPr="006674F7" w:rsidRDefault="006674F7" w:rsidP="006674F7">
      <w:pPr>
        <w:spacing w:line="240" w:lineRule="auto"/>
        <w:ind w:left="567" w:right="567"/>
        <w:rPr>
          <w:rFonts w:eastAsia="Palatino Linotype" w:cs="Palatino Linotype"/>
          <w:i/>
          <w:sz w:val="22"/>
          <w:lang w:val="es-ES_tradnl"/>
        </w:rPr>
      </w:pPr>
    </w:p>
    <w:p w14:paraId="07D1CB82"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78E577" w14:textId="77777777" w:rsidR="006674F7" w:rsidRPr="006674F7" w:rsidRDefault="006674F7" w:rsidP="006674F7">
      <w:pPr>
        <w:spacing w:line="240" w:lineRule="auto"/>
        <w:ind w:left="567" w:right="567"/>
        <w:rPr>
          <w:rFonts w:eastAsia="Palatino Linotype" w:cs="Palatino Linotype"/>
          <w:i/>
          <w:sz w:val="22"/>
          <w:lang w:val="es-ES_tradnl"/>
        </w:rPr>
      </w:pPr>
    </w:p>
    <w:p w14:paraId="3707B24A"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Este derecho se regirá por los principios y bases siguientes:</w:t>
      </w:r>
    </w:p>
    <w:p w14:paraId="3D4F933B"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30D009D0"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III.</w:t>
      </w:r>
      <w:r w:rsidRPr="006674F7">
        <w:rPr>
          <w:rFonts w:eastAsia="Palatino Linotype" w:cs="Palatino Linotype"/>
          <w:i/>
          <w:sz w:val="22"/>
          <w:lang w:val="es-ES_tradnl"/>
        </w:rPr>
        <w:t xml:space="preserve"> Toda persona, sin necesidad de acreditar interés alguno o justificar su utilización, tendrá acceso gratuito a la información pública, a sus datos personales o a la rectificación de éstos;</w:t>
      </w:r>
    </w:p>
    <w:p w14:paraId="38154010"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IV.</w:t>
      </w:r>
      <w:r w:rsidRPr="006674F7">
        <w:rPr>
          <w:rFonts w:eastAsia="Palatino Linotype" w:cs="Palatino Linotype"/>
          <w:i/>
          <w:sz w:val="22"/>
          <w:lang w:val="es-ES_tradnl"/>
        </w:rPr>
        <w:t xml:space="preserve"> Se establecerán mecanismos de acceso a la información y procedimientos de revisión expeditos que se sustanciarán ante el organismo autónomo especializado e imparcial que establece esta Constitución.</w:t>
      </w:r>
    </w:p>
    <w:p w14:paraId="224774F0"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2A5DEDD6"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VIII.</w:t>
      </w:r>
      <w:r w:rsidRPr="006674F7">
        <w:rPr>
          <w:rFonts w:eastAsia="Palatino Linotype" w:cs="Palatino Linotype"/>
          <w:i/>
          <w:sz w:val="22"/>
          <w:lang w:val="es-ES_tradnl"/>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079EBA1"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w:t>
      </w:r>
    </w:p>
    <w:p w14:paraId="105164DF" w14:textId="77777777" w:rsidR="006674F7" w:rsidRPr="006674F7" w:rsidRDefault="006674F7" w:rsidP="006674F7">
      <w:pPr>
        <w:ind w:left="567" w:right="567"/>
        <w:rPr>
          <w:rFonts w:eastAsia="Palatino Linotype" w:cs="Palatino Linotype"/>
          <w:szCs w:val="24"/>
          <w:lang w:val="es-ES_tradnl"/>
        </w:rPr>
      </w:pPr>
    </w:p>
    <w:p w14:paraId="1D976959" w14:textId="77777777" w:rsidR="006674F7" w:rsidRPr="006674F7" w:rsidRDefault="006674F7" w:rsidP="006674F7">
      <w:pPr>
        <w:rPr>
          <w:rFonts w:eastAsia="Palatino Linotype" w:cs="Palatino Linotype"/>
          <w:szCs w:val="24"/>
          <w:lang w:val="es-ES_tradnl"/>
        </w:rPr>
      </w:pPr>
      <w:r w:rsidRPr="006674F7">
        <w:rPr>
          <w:rFonts w:eastAsia="Palatino Linotype" w:cs="Palatino Linotype"/>
          <w:szCs w:val="24"/>
          <w:lang w:val="es-ES_tradnl"/>
        </w:rPr>
        <w:t>Por otra parte, del contenido del artículo 1 de la Constitución Política de los Estados Unidos Mexicanos, se destaca lo siguiente:</w:t>
      </w:r>
    </w:p>
    <w:p w14:paraId="54B146DC" w14:textId="77777777" w:rsidR="006674F7" w:rsidRPr="006674F7" w:rsidRDefault="006674F7" w:rsidP="006674F7">
      <w:pPr>
        <w:spacing w:line="240" w:lineRule="auto"/>
        <w:ind w:left="567" w:right="567"/>
        <w:rPr>
          <w:rFonts w:eastAsia="Palatino Linotype" w:cs="Palatino Linotype"/>
          <w:szCs w:val="24"/>
          <w:lang w:val="es-ES_tradnl"/>
        </w:rPr>
      </w:pPr>
    </w:p>
    <w:p w14:paraId="2FF8435C"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b/>
          <w:i/>
          <w:sz w:val="22"/>
          <w:lang w:val="es-ES_tradnl"/>
        </w:rPr>
        <w:t>Artículo 1o</w:t>
      </w:r>
      <w:r w:rsidRPr="006674F7">
        <w:rPr>
          <w:rFonts w:eastAsia="Palatino Linotype" w:cs="Palatino Linotype"/>
          <w:i/>
          <w:sz w:val="22"/>
          <w:lang w:val="es-ES_tradnl"/>
        </w:rPr>
        <w:t xml:space="preserve">. En los Estados Unidos Mexicanos todas las personas gozarán de los derechos humanos reconocidos en esta Constitución y en los tratados internacionales de los que el </w:t>
      </w:r>
      <w:r w:rsidRPr="006674F7">
        <w:rPr>
          <w:rFonts w:eastAsia="Palatino Linotype" w:cs="Palatino Linotype"/>
          <w:i/>
          <w:sz w:val="22"/>
          <w:lang w:val="es-ES_tradnl"/>
        </w:rPr>
        <w:lastRenderedPageBreak/>
        <w:t>Estado Mexicano sea parte, así como de las garantías para su protección, cuyo ejercicio no podrá restringirse ni suspenderse, salvo en los casos y bajo las condiciones que esta Constitución establece.</w:t>
      </w:r>
    </w:p>
    <w:p w14:paraId="623CE74D" w14:textId="77777777" w:rsidR="006674F7" w:rsidRPr="006674F7" w:rsidRDefault="006674F7" w:rsidP="006674F7">
      <w:pPr>
        <w:spacing w:line="240" w:lineRule="auto"/>
        <w:ind w:left="567" w:right="567"/>
        <w:rPr>
          <w:rFonts w:eastAsia="Palatino Linotype" w:cs="Palatino Linotype"/>
          <w:i/>
          <w:sz w:val="22"/>
          <w:lang w:val="es-ES_tradnl"/>
        </w:rPr>
      </w:pPr>
    </w:p>
    <w:p w14:paraId="55826EBB"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Las normas relativas a los derechos humanos se interpretarán de conformidad con esta Constitución y con los tratados internacionales de la materia favoreciendo en todo tiempo a las personas la protección más amplia.</w:t>
      </w:r>
    </w:p>
    <w:p w14:paraId="07DEDC25" w14:textId="77777777" w:rsidR="006674F7" w:rsidRPr="006674F7" w:rsidRDefault="006674F7" w:rsidP="006674F7">
      <w:pPr>
        <w:spacing w:line="240" w:lineRule="auto"/>
        <w:ind w:left="567" w:right="567"/>
        <w:rPr>
          <w:rFonts w:eastAsia="Palatino Linotype" w:cs="Palatino Linotype"/>
          <w:i/>
          <w:sz w:val="22"/>
          <w:lang w:val="es-ES_tradnl"/>
        </w:rPr>
      </w:pPr>
    </w:p>
    <w:p w14:paraId="0BB0339D" w14:textId="77777777" w:rsidR="006674F7" w:rsidRPr="006674F7" w:rsidRDefault="006674F7" w:rsidP="006674F7">
      <w:pPr>
        <w:spacing w:line="240" w:lineRule="auto"/>
        <w:ind w:left="567" w:right="567"/>
        <w:rPr>
          <w:rFonts w:eastAsia="Palatino Linotype" w:cs="Palatino Linotype"/>
          <w:i/>
          <w:sz w:val="22"/>
          <w:lang w:val="es-ES_tradnl"/>
        </w:rPr>
      </w:pPr>
      <w:r w:rsidRPr="006674F7">
        <w:rPr>
          <w:rFonts w:eastAsia="Palatino Linotype" w:cs="Palatino Linotype"/>
          <w:i/>
          <w:sz w:val="22"/>
          <w:lang w:val="es-ES_tradnl"/>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1B8BC0C" w14:textId="77777777" w:rsidR="006674F7" w:rsidRPr="006674F7" w:rsidRDefault="006674F7" w:rsidP="006674F7">
      <w:pPr>
        <w:ind w:left="567" w:right="567"/>
        <w:rPr>
          <w:rFonts w:eastAsia="Palatino Linotype" w:cs="Palatino Linotype"/>
          <w:szCs w:val="24"/>
          <w:lang w:val="es-ES_tradnl"/>
        </w:rPr>
      </w:pPr>
    </w:p>
    <w:p w14:paraId="2712B9B4" w14:textId="77777777" w:rsidR="006674F7" w:rsidRPr="006674F7" w:rsidRDefault="006674F7" w:rsidP="006674F7">
      <w:pPr>
        <w:rPr>
          <w:rFonts w:eastAsia="Palatino Linotype" w:cs="Palatino Linotype"/>
          <w:szCs w:val="24"/>
          <w:lang w:val="es-ES_tradnl"/>
        </w:rPr>
      </w:pPr>
      <w:r w:rsidRPr="006674F7">
        <w:rPr>
          <w:rFonts w:eastAsia="Palatino Linotype" w:cs="Palatino Linotype"/>
          <w:szCs w:val="24"/>
          <w:lang w:val="es-ES_tradnl"/>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46B01B7" w14:textId="77777777" w:rsidR="006674F7" w:rsidRPr="006674F7" w:rsidRDefault="006674F7" w:rsidP="006674F7">
      <w:pPr>
        <w:rPr>
          <w:rFonts w:eastAsia="Palatino Linotype" w:cs="Palatino Linotype"/>
          <w:szCs w:val="24"/>
          <w:lang w:val="es-ES_tradnl"/>
        </w:rPr>
      </w:pPr>
    </w:p>
    <w:p w14:paraId="59C9ECCF" w14:textId="682D935C" w:rsidR="006674F7" w:rsidRDefault="006674F7" w:rsidP="006674F7">
      <w:pPr>
        <w:pBdr>
          <w:top w:val="nil"/>
          <w:left w:val="nil"/>
          <w:bottom w:val="nil"/>
          <w:right w:val="nil"/>
          <w:between w:val="nil"/>
        </w:pBdr>
        <w:contextualSpacing/>
        <w:rPr>
          <w:rFonts w:eastAsia="Palatino Linotype" w:cs="Palatino Linotype"/>
          <w:color w:val="000000"/>
          <w:szCs w:val="24"/>
          <w:lang w:val="es-ES_tradnl"/>
        </w:rPr>
      </w:pPr>
      <w:r w:rsidRPr="006674F7">
        <w:rPr>
          <w:rFonts w:eastAsia="Palatino Linotype" w:cs="Palatino Linotype"/>
          <w:color w:val="000000"/>
          <w:szCs w:val="24"/>
          <w:lang w:val="es-ES_tradnl"/>
        </w:rPr>
        <w:t>En conclusión, se cubrieron los requisitos de procedencia y procedibilidad, conforme a las constancias que obran en el expediente.</w:t>
      </w:r>
    </w:p>
    <w:p w14:paraId="328EB3D7" w14:textId="77777777" w:rsidR="006674F7" w:rsidRDefault="006674F7" w:rsidP="00663A37">
      <w:pPr>
        <w:pBdr>
          <w:top w:val="nil"/>
          <w:left w:val="nil"/>
          <w:bottom w:val="nil"/>
          <w:right w:val="nil"/>
          <w:between w:val="nil"/>
        </w:pBdr>
        <w:contextualSpacing/>
        <w:rPr>
          <w:rFonts w:eastAsia="Palatino Linotype" w:cs="Palatino Linotype"/>
          <w:color w:val="000000"/>
          <w:szCs w:val="24"/>
          <w:lang w:val="es-ES_tradnl"/>
        </w:rPr>
      </w:pPr>
    </w:p>
    <w:p w14:paraId="188B8B85" w14:textId="64C2780E" w:rsidR="00E1091C" w:rsidRPr="00C82353" w:rsidRDefault="006674F7" w:rsidP="00E1091C">
      <w:pPr>
        <w:rPr>
          <w:rFonts w:eastAsiaTheme="minorHAnsi" w:cstheme="minorBidi"/>
          <w:b/>
          <w:sz w:val="26"/>
          <w:szCs w:val="26"/>
          <w:lang w:val="es-ES_tradnl" w:eastAsia="en-US"/>
        </w:rPr>
      </w:pPr>
      <w:r>
        <w:rPr>
          <w:rFonts w:eastAsiaTheme="minorHAnsi" w:cstheme="minorBidi"/>
          <w:b/>
          <w:sz w:val="26"/>
          <w:szCs w:val="26"/>
          <w:lang w:val="es-ES_tradnl" w:eastAsia="en-US"/>
        </w:rPr>
        <w:t>CUARTO</w:t>
      </w:r>
      <w:r w:rsidR="00E1091C" w:rsidRPr="00C82353">
        <w:rPr>
          <w:rFonts w:eastAsiaTheme="minorHAnsi" w:cstheme="minorBidi"/>
          <w:b/>
          <w:sz w:val="26"/>
          <w:szCs w:val="26"/>
          <w:lang w:val="es-ES_tradnl" w:eastAsia="en-US"/>
        </w:rPr>
        <w:t xml:space="preserve">. De las causas de improcedencia. </w:t>
      </w:r>
    </w:p>
    <w:p w14:paraId="7A4309FB"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FD1870">
        <w:rPr>
          <w:rFonts w:eastAsia="Palatino Linotype" w:cs="Palatino Linotype"/>
          <w:color w:val="000000"/>
          <w:szCs w:val="24"/>
          <w:lang w:val="es-ES_tradnl"/>
        </w:rPr>
        <w:t xml:space="preserve">En el procedimiento de acceso a la información y de los medios de impugnación de la materia, se advierten diversos supuestos de procedibilidad que deben estudiarse con la </w:t>
      </w:r>
      <w:r w:rsidRPr="00FD1870">
        <w:rPr>
          <w:rFonts w:eastAsia="Palatino Linotype" w:cs="Palatino Linotype"/>
          <w:color w:val="000000"/>
          <w:szCs w:val="24"/>
          <w:lang w:val="es-ES_tradnl"/>
        </w:rPr>
        <w:lastRenderedPageBreak/>
        <w:t>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8E2CDB4"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p>
    <w:p w14:paraId="2FFA6568"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FD1870">
        <w:rPr>
          <w:rFonts w:eastAsia="Palatino Linotype" w:cs="Palatino Linotype"/>
          <w:color w:val="000000"/>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D1870">
        <w:rPr>
          <w:rFonts w:eastAsia="Palatino Linotype" w:cs="Palatino Linotype"/>
          <w:color w:val="000000"/>
          <w:szCs w:val="24"/>
          <w:vertAlign w:val="superscript"/>
          <w:lang w:val="es-ES_tradnl"/>
        </w:rPr>
        <w:footnoteReference w:id="1"/>
      </w:r>
      <w:r w:rsidRPr="00FD1870">
        <w:rPr>
          <w:rFonts w:eastAsia="Palatino Linotype" w:cs="Palatino Linotype"/>
          <w:color w:val="000000"/>
          <w:szCs w:val="24"/>
          <w:lang w:val="es-ES_tradnl"/>
        </w:rPr>
        <w:t xml:space="preserve">, la cual permite dilucidar alguna </w:t>
      </w:r>
      <w:r w:rsidRPr="00FD1870">
        <w:rPr>
          <w:rFonts w:eastAsia="Palatino Linotype" w:cs="Palatino Linotype"/>
          <w:color w:val="000000"/>
          <w:szCs w:val="24"/>
          <w:lang w:val="es-ES_tradnl"/>
        </w:rPr>
        <w:lastRenderedPageBreak/>
        <w:t>causal que impida el estudio y resolución, cuando una vez admitido el recurso de revisión se advierta una causa de improcedencia que permita sobreseerlo, sin estudiar el fondo del asunto.</w:t>
      </w:r>
    </w:p>
    <w:p w14:paraId="341119BA"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p>
    <w:p w14:paraId="0F14D156"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FD1870">
        <w:rPr>
          <w:rFonts w:eastAsia="Palatino Linotype" w:cs="Palatino Linotype"/>
          <w:color w:val="000000"/>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AF7EC6"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p>
    <w:p w14:paraId="639F440D" w14:textId="68D148F2" w:rsidR="00FD1870" w:rsidRPr="00FD1870" w:rsidRDefault="006674F7" w:rsidP="00FD1870">
      <w:pPr>
        <w:rPr>
          <w:b/>
          <w:bCs/>
          <w:sz w:val="26"/>
          <w:szCs w:val="26"/>
          <w:lang w:val="es-ES_tradnl"/>
        </w:rPr>
      </w:pPr>
      <w:r>
        <w:rPr>
          <w:b/>
          <w:bCs/>
          <w:sz w:val="26"/>
          <w:szCs w:val="26"/>
          <w:lang w:val="es-ES_tradnl"/>
        </w:rPr>
        <w:t>QUIN</w:t>
      </w:r>
      <w:r w:rsidR="00FD1870" w:rsidRPr="00FD1870">
        <w:rPr>
          <w:b/>
          <w:bCs/>
          <w:sz w:val="26"/>
          <w:szCs w:val="26"/>
          <w:lang w:val="es-ES_tradnl"/>
        </w:rPr>
        <w:t>TO. Estudio y resolución del asunto.</w:t>
      </w:r>
    </w:p>
    <w:p w14:paraId="7002838E" w14:textId="77777777" w:rsidR="00FD1870" w:rsidRPr="00FD1870"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FD1870">
        <w:rPr>
          <w:rFonts w:eastAsia="Palatino Linotype" w:cs="Palatino Linotype"/>
          <w:color w:val="000000"/>
          <w:szCs w:val="24"/>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77939D" w14:textId="77777777" w:rsidR="00C82353" w:rsidRPr="00C82353" w:rsidRDefault="00C82353" w:rsidP="00E1091C">
      <w:pPr>
        <w:rPr>
          <w:rFonts w:eastAsiaTheme="minorHAnsi" w:cstheme="minorBidi"/>
          <w:szCs w:val="24"/>
          <w:lang w:val="es-ES_tradnl" w:eastAsia="en-US"/>
        </w:rPr>
      </w:pPr>
    </w:p>
    <w:p w14:paraId="5656DCAB" w14:textId="47E88509" w:rsidR="00BC2C04" w:rsidRDefault="00EF7470" w:rsidP="007E1E0F">
      <w:pPr>
        <w:rPr>
          <w:rFonts w:eastAsiaTheme="minorHAnsi"/>
        </w:rPr>
      </w:pPr>
      <w:r w:rsidRPr="00C82353">
        <w:rPr>
          <w:rFonts w:eastAsiaTheme="minorHAnsi" w:cstheme="minorBidi"/>
          <w:szCs w:val="24"/>
          <w:lang w:val="es-ES_tradnl" w:eastAsia="en-US"/>
        </w:rPr>
        <w:t xml:space="preserve">En virtud de lo anterior, es conveniente recordar que </w:t>
      </w:r>
      <w:r w:rsidR="001A3270">
        <w:rPr>
          <w:rFonts w:eastAsiaTheme="minorHAnsi" w:cstheme="minorBidi"/>
          <w:szCs w:val="24"/>
          <w:lang w:val="es-ES_tradnl" w:eastAsia="en-US"/>
        </w:rPr>
        <w:t xml:space="preserve">el </w:t>
      </w:r>
      <w:r w:rsidR="00F23554">
        <w:rPr>
          <w:rFonts w:eastAsiaTheme="minorHAnsi" w:cstheme="minorBidi"/>
          <w:szCs w:val="24"/>
          <w:lang w:val="es-ES_tradnl" w:eastAsia="en-US"/>
        </w:rPr>
        <w:t>R</w:t>
      </w:r>
      <w:r w:rsidR="001A3270">
        <w:rPr>
          <w:rFonts w:eastAsiaTheme="minorHAnsi" w:cstheme="minorBidi"/>
          <w:szCs w:val="24"/>
          <w:lang w:val="es-ES_tradnl" w:eastAsia="en-US"/>
        </w:rPr>
        <w:t xml:space="preserve">ecurrente solicitó al Sujeto Obligado </w:t>
      </w:r>
      <w:r w:rsidR="007E1E0F">
        <w:rPr>
          <w:rFonts w:eastAsiaTheme="minorHAnsi" w:cstheme="minorBidi"/>
          <w:szCs w:val="24"/>
          <w:lang w:val="es-ES_tradnl" w:eastAsia="en-US"/>
        </w:rPr>
        <w:t>lo siguiente:</w:t>
      </w:r>
    </w:p>
    <w:p w14:paraId="5D5C77A4" w14:textId="3E4489CE" w:rsidR="00BC2C04" w:rsidRDefault="00BC2C04" w:rsidP="001A3270">
      <w:pPr>
        <w:rPr>
          <w:rFonts w:eastAsiaTheme="minorHAnsi" w:cstheme="minorBidi"/>
          <w:szCs w:val="24"/>
          <w:lang w:val="es-ES_tradnl" w:eastAsia="en-US"/>
        </w:rPr>
      </w:pPr>
    </w:p>
    <w:p w14:paraId="66676E03" w14:textId="1E0DCD49" w:rsidR="007E1E0F" w:rsidRDefault="007E1E0F" w:rsidP="007E1E0F">
      <w:pPr>
        <w:pStyle w:val="Prrafodelista"/>
        <w:numPr>
          <w:ilvl w:val="0"/>
          <w:numId w:val="34"/>
        </w:numPr>
        <w:rPr>
          <w:rFonts w:eastAsiaTheme="minorHAnsi" w:cstheme="minorBidi"/>
          <w:lang w:val="es-ES_tradnl" w:eastAsia="en-US"/>
        </w:rPr>
      </w:pPr>
      <w:r>
        <w:rPr>
          <w:rFonts w:eastAsiaTheme="minorHAnsi" w:cstheme="minorBidi"/>
          <w:lang w:val="es-ES_tradnl" w:eastAsia="en-US"/>
        </w:rPr>
        <w:lastRenderedPageBreak/>
        <w:t>El programa de obra de 2021, que contenga a) su calendario; b) comunidad beneficiaria, y c) costo estimado de las obras.</w:t>
      </w:r>
    </w:p>
    <w:p w14:paraId="12893098" w14:textId="2CC02730" w:rsidR="007E1E0F" w:rsidRPr="007E1E0F" w:rsidRDefault="007E1E0F" w:rsidP="007E1E0F">
      <w:pPr>
        <w:pStyle w:val="Prrafodelista"/>
        <w:numPr>
          <w:ilvl w:val="0"/>
          <w:numId w:val="34"/>
        </w:numPr>
        <w:rPr>
          <w:rFonts w:eastAsiaTheme="minorHAnsi" w:cstheme="minorBidi"/>
          <w:lang w:val="es-ES_tradnl" w:eastAsia="en-US"/>
        </w:rPr>
      </w:pPr>
      <w:r>
        <w:rPr>
          <w:rFonts w:eastAsiaTheme="minorHAnsi" w:cstheme="minorBidi"/>
          <w:lang w:val="es-ES_tradnl" w:eastAsia="en-US"/>
        </w:rPr>
        <w:t>Los avances en materia de obra pública de enero a mayo de 2022.</w:t>
      </w:r>
    </w:p>
    <w:p w14:paraId="357EE225" w14:textId="77777777" w:rsidR="007E1E0F" w:rsidRDefault="007E1E0F" w:rsidP="001A3270">
      <w:pPr>
        <w:rPr>
          <w:rFonts w:eastAsiaTheme="minorHAnsi" w:cstheme="minorBidi"/>
          <w:szCs w:val="24"/>
          <w:lang w:val="es-ES_tradnl" w:eastAsia="en-US"/>
        </w:rPr>
      </w:pPr>
    </w:p>
    <w:p w14:paraId="3DA73412" w14:textId="070A20F4" w:rsidR="00B05A97" w:rsidRDefault="00BA1582" w:rsidP="00BA1582">
      <w:pPr>
        <w:rPr>
          <w:rFonts w:eastAsia="Palatino Linotype" w:cs="Palatino Linotype"/>
          <w:color w:val="000000"/>
          <w:szCs w:val="24"/>
          <w:lang w:val="es-ES_tradnl"/>
        </w:rPr>
      </w:pPr>
      <w:r>
        <w:rPr>
          <w:rFonts w:eastAsiaTheme="minorHAnsi" w:cstheme="minorBidi"/>
          <w:szCs w:val="24"/>
          <w:lang w:val="es-ES_tradnl" w:eastAsia="en-US"/>
        </w:rPr>
        <w:t>A dicha solicitud, el Sujeto Obligado respondió mediante la entrega del siguiente documento:</w:t>
      </w:r>
    </w:p>
    <w:p w14:paraId="79392165" w14:textId="77777777" w:rsidR="001D0479" w:rsidRDefault="001D0479" w:rsidP="00EF2BAC">
      <w:pPr>
        <w:pBdr>
          <w:top w:val="nil"/>
          <w:left w:val="nil"/>
          <w:bottom w:val="nil"/>
          <w:right w:val="nil"/>
          <w:between w:val="nil"/>
        </w:pBdr>
        <w:contextualSpacing/>
        <w:rPr>
          <w:rFonts w:eastAsia="Palatino Linotype" w:cs="Palatino Linotype"/>
          <w:color w:val="000000"/>
          <w:szCs w:val="24"/>
          <w:lang w:val="es-ES_tradnl"/>
        </w:rPr>
      </w:pPr>
    </w:p>
    <w:p w14:paraId="1B102CED" w14:textId="3238EFE6" w:rsidR="001D0479" w:rsidRPr="00BA1582" w:rsidRDefault="00BA1582" w:rsidP="00BA1582">
      <w:pPr>
        <w:pStyle w:val="Prrafodelista"/>
        <w:numPr>
          <w:ilvl w:val="0"/>
          <w:numId w:val="36"/>
        </w:numPr>
        <w:pBdr>
          <w:top w:val="nil"/>
          <w:left w:val="nil"/>
          <w:bottom w:val="nil"/>
          <w:right w:val="nil"/>
          <w:between w:val="nil"/>
        </w:pBdr>
        <w:contextualSpacing/>
        <w:rPr>
          <w:rFonts w:eastAsia="Palatino Linotype" w:cs="Palatino Linotype"/>
          <w:color w:val="000000"/>
          <w:lang w:val="es-ES_tradnl"/>
        </w:rPr>
      </w:pPr>
      <w:r w:rsidRPr="00BA1582">
        <w:rPr>
          <w:rFonts w:eastAsia="Palatino Linotype" w:cs="Palatino Linotype"/>
          <w:b/>
          <w:bCs/>
          <w:color w:val="000000"/>
          <w:lang w:val="es-ES_tradnl"/>
        </w:rPr>
        <w:t>00212MALINALIP2022.pdf</w:t>
      </w:r>
      <w:r>
        <w:rPr>
          <w:rFonts w:eastAsia="Palatino Linotype" w:cs="Palatino Linotype"/>
          <w:color w:val="000000"/>
          <w:lang w:val="es-ES_tradnl"/>
        </w:rPr>
        <w:t xml:space="preserve">. Oficio número DOPYDU/085/23-06/2022 suscrito por el Director de Obras Públicas y Desarrollo Urbano, mediante el cual informó que el Programa Anual de Obra 2021 y sus soportes documentas se encuentran en el portal de transparencia, así como proporcionó el siguiente enlace al Recurrente: </w:t>
      </w:r>
      <w:hyperlink r:id="rId8" w:history="1">
        <w:r w:rsidR="007546FF" w:rsidRPr="00AA2C58">
          <w:rPr>
            <w:rStyle w:val="Hipervnculo"/>
            <w:rFonts w:eastAsia="Palatino Linotype" w:cs="Palatino Linotype"/>
            <w:lang w:val="es-ES_tradnl"/>
          </w:rPr>
          <w:t>https://www.ipomex.org.mx/ipo3/lgt/indice/malinalco/art_92_xxix_a/3.web</w:t>
        </w:r>
      </w:hyperlink>
      <w:r w:rsidR="007546FF">
        <w:rPr>
          <w:rFonts w:eastAsia="Palatino Linotype" w:cs="Palatino Linotype"/>
          <w:color w:val="000000"/>
          <w:lang w:val="es-ES_tradnl"/>
        </w:rPr>
        <w:t xml:space="preserve">. </w:t>
      </w:r>
    </w:p>
    <w:p w14:paraId="0018E765" w14:textId="77777777" w:rsidR="00BA1582" w:rsidRDefault="00BA1582" w:rsidP="00EF2BAC">
      <w:pPr>
        <w:pBdr>
          <w:top w:val="nil"/>
          <w:left w:val="nil"/>
          <w:bottom w:val="nil"/>
          <w:right w:val="nil"/>
          <w:between w:val="nil"/>
        </w:pBdr>
        <w:contextualSpacing/>
        <w:rPr>
          <w:rFonts w:eastAsia="Palatino Linotype" w:cs="Palatino Linotype"/>
          <w:color w:val="000000"/>
          <w:szCs w:val="24"/>
          <w:lang w:val="es-ES_tradnl"/>
        </w:rPr>
      </w:pPr>
    </w:p>
    <w:p w14:paraId="6419ECD9" w14:textId="1E08B939" w:rsidR="00663A37" w:rsidRPr="00012AFA"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C82353">
        <w:rPr>
          <w:rFonts w:eastAsia="Palatino Linotype" w:cs="Palatino Linotype"/>
          <w:color w:val="000000"/>
          <w:szCs w:val="24"/>
          <w:lang w:val="es-ES_tradnl"/>
        </w:rPr>
        <w:t xml:space="preserve">Ante la respuesta del Sujeto Obligado, </w:t>
      </w:r>
      <w:r w:rsidR="00B05A97">
        <w:rPr>
          <w:rFonts w:eastAsia="Palatino Linotype" w:cs="Palatino Linotype"/>
          <w:color w:val="000000"/>
          <w:szCs w:val="24"/>
          <w:lang w:val="es-ES_tradnl"/>
        </w:rPr>
        <w:t>el</w:t>
      </w:r>
      <w:r w:rsidRPr="00C82353">
        <w:rPr>
          <w:rFonts w:eastAsia="Palatino Linotype" w:cs="Palatino Linotype"/>
          <w:color w:val="000000"/>
          <w:szCs w:val="24"/>
          <w:lang w:val="es-ES_tradnl"/>
        </w:rPr>
        <w:t xml:space="preserve"> Recurrente consideró que su derecho de acceso a la i</w:t>
      </w:r>
      <w:r w:rsidR="00B05A97">
        <w:rPr>
          <w:rFonts w:eastAsia="Palatino Linotype" w:cs="Palatino Linotype"/>
          <w:color w:val="000000"/>
          <w:szCs w:val="24"/>
          <w:lang w:val="es-ES_tradnl"/>
        </w:rPr>
        <w:t xml:space="preserve">nformación </w:t>
      </w:r>
      <w:r w:rsidR="00297F2A">
        <w:rPr>
          <w:rFonts w:eastAsia="Palatino Linotype" w:cs="Palatino Linotype"/>
          <w:color w:val="000000"/>
          <w:szCs w:val="24"/>
          <w:lang w:val="es-ES_tradnl"/>
        </w:rPr>
        <w:t>había sido conculcado</w:t>
      </w:r>
      <w:r w:rsidR="00B05A97">
        <w:rPr>
          <w:rFonts w:eastAsia="Palatino Linotype" w:cs="Palatino Linotype"/>
          <w:color w:val="000000"/>
          <w:szCs w:val="24"/>
          <w:lang w:val="es-ES_tradnl"/>
        </w:rPr>
        <w:t>,</w:t>
      </w:r>
      <w:r w:rsidRPr="00C82353">
        <w:rPr>
          <w:rFonts w:eastAsia="Palatino Linotype" w:cs="Palatino Linotype"/>
          <w:color w:val="000000"/>
          <w:szCs w:val="24"/>
          <w:lang w:val="es-ES_tradnl"/>
        </w:rPr>
        <w:t xml:space="preserve"> por lo que interpuso el presente recurso de revisión</w:t>
      </w:r>
      <w:r w:rsidR="00297F2A">
        <w:rPr>
          <w:rFonts w:eastAsia="Palatino Linotype" w:cs="Palatino Linotype"/>
          <w:color w:val="000000"/>
          <w:szCs w:val="24"/>
          <w:lang w:val="es-ES_tradnl"/>
        </w:rPr>
        <w:t xml:space="preserve"> señalando como acto impugnado</w:t>
      </w:r>
      <w:r w:rsidR="00012AFA">
        <w:rPr>
          <w:rFonts w:eastAsia="Palatino Linotype" w:cs="Palatino Linotype"/>
          <w:color w:val="000000"/>
          <w:szCs w:val="24"/>
          <w:lang w:val="es-ES_tradnl"/>
        </w:rPr>
        <w:t xml:space="preserve"> </w:t>
      </w:r>
      <w:r w:rsidR="007546FF">
        <w:rPr>
          <w:rFonts w:eastAsia="Palatino Linotype" w:cs="Palatino Linotype"/>
          <w:color w:val="000000"/>
          <w:szCs w:val="24"/>
          <w:lang w:val="es-ES_tradnl"/>
        </w:rPr>
        <w:t>lo requerido en la solicitud de información; dando como</w:t>
      </w:r>
      <w:r w:rsidR="001642EE">
        <w:rPr>
          <w:rFonts w:eastAsia="Palatino Linotype" w:cs="Palatino Linotype"/>
          <w:color w:val="000000"/>
          <w:szCs w:val="24"/>
          <w:lang w:val="es-ES_tradnl"/>
        </w:rPr>
        <w:t xml:space="preserve"> razones y motivos de inconformidad </w:t>
      </w:r>
      <w:r w:rsidR="007546FF">
        <w:rPr>
          <w:rFonts w:eastAsia="Palatino Linotype" w:cs="Palatino Linotype"/>
          <w:color w:val="000000"/>
          <w:szCs w:val="24"/>
          <w:lang w:val="es-ES_tradnl"/>
        </w:rPr>
        <w:t xml:space="preserve">que el Sujeto Obligado no entregó ningún tipo de información de acuerdo con la solicitud realizada y sólo hizo referencia a un vínculo en el portal de Información Pública de Oficio Mexiquense (IPOMEX) relativo la fracción XXIX-a, en la que no se encuentra la información del año 2022 de las licitaciones; por lo que consideró que dicha autoridad eludió su responsabilidad de garantizar el acceso a la información y omitió rendir cuentas del uso de los recursos públicos y solicitó la revocación de la respuesta y que se le haga entrega de la </w:t>
      </w:r>
      <w:r w:rsidR="007546FF">
        <w:rPr>
          <w:rFonts w:eastAsia="Palatino Linotype" w:cs="Palatino Linotype"/>
          <w:color w:val="000000"/>
          <w:szCs w:val="24"/>
          <w:lang w:val="es-ES_tradnl"/>
        </w:rPr>
        <w:lastRenderedPageBreak/>
        <w:t>documentación solicitada en los términos y alcances descritos en la solicitud de información.</w:t>
      </w:r>
    </w:p>
    <w:p w14:paraId="7A4B79CE" w14:textId="77777777" w:rsidR="000E182A" w:rsidRDefault="000E182A" w:rsidP="00150D6A">
      <w:pPr>
        <w:rPr>
          <w:lang w:val="es-ES_tradnl"/>
        </w:rPr>
      </w:pPr>
    </w:p>
    <w:p w14:paraId="3BB3A3A9" w14:textId="1A0B3F92" w:rsidR="00012AFA" w:rsidRDefault="00012AFA" w:rsidP="00150D6A">
      <w:pPr>
        <w:rPr>
          <w:lang w:val="es-ES_tradnl"/>
        </w:rPr>
      </w:pPr>
      <w:r w:rsidRPr="00012AFA">
        <w:rPr>
          <w:lang w:val="es-ES_tradnl"/>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59A4C54" w14:textId="77777777" w:rsidR="00012AFA" w:rsidRDefault="00012AFA" w:rsidP="00150D6A">
      <w:pPr>
        <w:rPr>
          <w:lang w:val="es-ES_tradnl"/>
        </w:rPr>
      </w:pPr>
    </w:p>
    <w:p w14:paraId="7250C009"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r w:rsidRPr="00612B5A">
        <w:rPr>
          <w:rFonts w:eastAsia="Palatino Linotype" w:cs="Palatino Linotype"/>
          <w:color w:val="000000"/>
          <w:szCs w:val="24"/>
          <w:lang w:val="es-ES_tradnl"/>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1EE413B4"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2ED4B2BD"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r w:rsidRPr="00612B5A">
        <w:rPr>
          <w:rFonts w:eastAsia="Palatino Linotype" w:cs="Palatino Linotype"/>
          <w:color w:val="000000"/>
          <w:szCs w:val="24"/>
          <w:lang w:val="es-ES_tradnl"/>
        </w:rPr>
        <w:t>En este sentido, es pertinente enfatizar lo que, respecto al derecho de acceso a la información pública, refiere el artículo 6° de la Constitución Política de los Estados Unidos Mexicanos, que en su parte conducente señala:</w:t>
      </w:r>
    </w:p>
    <w:p w14:paraId="30D9C80A"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2DDBF722"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i/>
          <w:color w:val="000000"/>
          <w:sz w:val="22"/>
          <w:szCs w:val="24"/>
          <w:lang w:val="es-ES_tradnl"/>
        </w:rPr>
        <w:t>Artículo 6o.</w:t>
      </w:r>
      <w:r w:rsidRPr="00612B5A">
        <w:rPr>
          <w:rFonts w:eastAsia="Palatino Linotype" w:cs="Palatino Linotype"/>
          <w:i/>
          <w:color w:val="000000"/>
          <w:sz w:val="22"/>
          <w:szCs w:val="24"/>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12B5A">
        <w:rPr>
          <w:rFonts w:eastAsia="Palatino Linotype" w:cs="Palatino Linotype"/>
          <w:b/>
          <w:i/>
          <w:color w:val="000000"/>
          <w:sz w:val="22"/>
          <w:szCs w:val="24"/>
          <w:lang w:val="es-ES_tradnl"/>
        </w:rPr>
        <w:t>El derecho a la información será garantizado por el Estado.</w:t>
      </w:r>
      <w:r w:rsidRPr="00612B5A">
        <w:rPr>
          <w:rFonts w:eastAsia="Palatino Linotype" w:cs="Palatino Linotype"/>
          <w:i/>
          <w:color w:val="000000"/>
          <w:sz w:val="22"/>
          <w:szCs w:val="24"/>
          <w:lang w:val="es-ES_tradnl"/>
        </w:rPr>
        <w:t xml:space="preserve"> </w:t>
      </w:r>
    </w:p>
    <w:p w14:paraId="6AA4A279"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48F9F4F7"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lastRenderedPageBreak/>
        <w:t>Toda persona tiene derecho al libre acceso a información plural y oportuna, así como a buscar, recibir y difundir información e ideas de toda índole por cualquier medio de expresión.</w:t>
      </w:r>
    </w:p>
    <w:p w14:paraId="38378EFC"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46751890"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Para efectos de lo dispuesto en el presente artículo se observará lo siguiente:</w:t>
      </w:r>
    </w:p>
    <w:p w14:paraId="153C1CF0"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3E2EE7BF"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A. Para el ejercicio del derecho de acceso a la información, la Federación, los Estados y el Distrito Federal, en el ámbito de sus respectivas competencias, se regirán por los siguientes principios y bases:</w:t>
      </w:r>
    </w:p>
    <w:p w14:paraId="287D6BF2"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6EA2E96B"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i/>
          <w:color w:val="000000"/>
          <w:sz w:val="22"/>
          <w:szCs w:val="24"/>
          <w:lang w:val="es-ES_tradnl"/>
        </w:rPr>
        <w:t>I. Toda la información en posesión de</w:t>
      </w:r>
      <w:r w:rsidRPr="00612B5A">
        <w:rPr>
          <w:rFonts w:eastAsia="Palatino Linotype" w:cs="Palatino Linotype"/>
          <w:i/>
          <w:color w:val="000000"/>
          <w:sz w:val="22"/>
          <w:szCs w:val="24"/>
          <w:lang w:val="es-ES_tradnl"/>
        </w:rPr>
        <w:t xml:space="preserve"> </w:t>
      </w:r>
      <w:r w:rsidRPr="00612B5A">
        <w:rPr>
          <w:rFonts w:eastAsia="Palatino Linotype" w:cs="Palatino Linotype"/>
          <w:b/>
          <w:i/>
          <w:color w:val="000000"/>
          <w:sz w:val="22"/>
          <w:szCs w:val="24"/>
          <w:lang w:val="es-ES_tradnl"/>
        </w:rPr>
        <w:t>cualquier autoridad</w:t>
      </w:r>
      <w:r w:rsidRPr="00612B5A">
        <w:rPr>
          <w:rFonts w:eastAsia="Palatino Linotype" w:cs="Palatino Linotype"/>
          <w:i/>
          <w:color w:val="000000"/>
          <w:sz w:val="22"/>
          <w:szCs w:val="24"/>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12B5A">
        <w:rPr>
          <w:rFonts w:eastAsia="Palatino Linotype" w:cs="Palatino Linotype"/>
          <w:b/>
          <w:i/>
          <w:color w:val="000000"/>
          <w:sz w:val="22"/>
          <w:szCs w:val="24"/>
          <w:lang w:val="es-ES_tradnl"/>
        </w:rPr>
        <w:t>en el ámbito federal, estatal y municipal, es pública</w:t>
      </w:r>
      <w:r w:rsidRPr="00612B5A">
        <w:rPr>
          <w:rFonts w:eastAsia="Palatino Linotype" w:cs="Palatino Linotype"/>
          <w:i/>
          <w:color w:val="000000"/>
          <w:sz w:val="22"/>
          <w:szCs w:val="24"/>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612B5A">
        <w:rPr>
          <w:rFonts w:eastAsia="Palatino Linotype" w:cs="Palatino Linotype"/>
          <w:b/>
          <w:i/>
          <w:color w:val="000000"/>
          <w:sz w:val="22"/>
          <w:szCs w:val="24"/>
          <w:lang w:val="es-ES_tradnl"/>
        </w:rPr>
        <w:t>Los sujetos obligados deberán documentar todo acto que derive del ejercicio de sus facultades, competencias o funciones</w:t>
      </w:r>
      <w:r w:rsidRPr="00612B5A">
        <w:rPr>
          <w:rFonts w:eastAsia="Palatino Linotype" w:cs="Palatino Linotype"/>
          <w:i/>
          <w:color w:val="000000"/>
          <w:sz w:val="22"/>
          <w:szCs w:val="24"/>
          <w:lang w:val="es-ES_tradnl"/>
        </w:rPr>
        <w:t>, la ley determinará los supuestos específicos bajo los cuales procederá la declaración de inexistencia de la información.</w:t>
      </w:r>
    </w:p>
    <w:p w14:paraId="7AE1AB26"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II. La información que se refiere a la vida privada y los datos personales será protegida en los términos y con las excepciones que fijen las leyes.</w:t>
      </w:r>
    </w:p>
    <w:p w14:paraId="3E6FC59E"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III. Toda persona, sin necesidad de acreditar interés alguno o justificar su utilización, tendrá acceso gratuito a la información pública, a sus datos personales o a la rectificación de éstos.</w:t>
      </w:r>
    </w:p>
    <w:p w14:paraId="60FD1F21"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IV.   Se establecerán mecanismos de acceso a la información y procedimientos de revisión expeditos que se sustanciarán ante los organismos autónomos especializados e imparciales que establece esta Constitución.</w:t>
      </w:r>
    </w:p>
    <w:p w14:paraId="69A021EF"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i/>
          <w:color w:val="000000"/>
          <w:sz w:val="22"/>
          <w:szCs w:val="24"/>
          <w:lang w:val="es-ES_tradnl"/>
        </w:rPr>
        <w:t>V. Los sujetos obligados deberán preservar sus documentos en archivos administrativos actualizados y publicarán, a través de los medios electrónicos disponibles</w:t>
      </w:r>
      <w:r w:rsidRPr="00612B5A">
        <w:rPr>
          <w:rFonts w:eastAsia="Palatino Linotype" w:cs="Palatino Linotype"/>
          <w:i/>
          <w:color w:val="000000"/>
          <w:sz w:val="22"/>
          <w:szCs w:val="24"/>
          <w:lang w:val="es-ES_tradnl"/>
        </w:rPr>
        <w:t xml:space="preserve">, </w:t>
      </w:r>
      <w:r w:rsidRPr="00612B5A">
        <w:rPr>
          <w:rFonts w:eastAsia="Palatino Linotype" w:cs="Palatino Linotype"/>
          <w:b/>
          <w:i/>
          <w:color w:val="000000"/>
          <w:sz w:val="22"/>
          <w:szCs w:val="24"/>
          <w:lang w:val="es-ES_tradnl"/>
        </w:rPr>
        <w:t xml:space="preserve">la información completa y actualizada sobre el ejercicio de los recursos públicos </w:t>
      </w:r>
      <w:r w:rsidRPr="00612B5A">
        <w:rPr>
          <w:rFonts w:eastAsia="Palatino Linotype" w:cs="Palatino Linotype"/>
          <w:i/>
          <w:color w:val="000000"/>
          <w:sz w:val="22"/>
          <w:szCs w:val="24"/>
          <w:lang w:val="es-ES_tradnl"/>
        </w:rPr>
        <w:t>y los indicadores que permitan rendir cuenta del cumplimiento de sus objetivos y de los resultados obtenidos.</w:t>
      </w:r>
    </w:p>
    <w:p w14:paraId="3F42ABB6"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VI. Las leyes determinarán la manera en que los sujetos obligados deberán hacer pública la información relativa a los recursos públicos que entreguen a personas físicas o morales.</w:t>
      </w:r>
    </w:p>
    <w:p w14:paraId="7BC22F71"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VII. La inobservancia a las disposiciones en materia de acceso a la información pública será sancionada en los términos que dispongan las leyes.</w:t>
      </w:r>
    </w:p>
    <w:p w14:paraId="63A30972"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w:t>
      </w:r>
      <w:r w:rsidRPr="00612B5A">
        <w:rPr>
          <w:rFonts w:eastAsia="Palatino Linotype" w:cs="Palatino Linotype"/>
          <w:i/>
          <w:color w:val="000000"/>
          <w:sz w:val="22"/>
          <w:szCs w:val="24"/>
          <w:lang w:val="es-ES_tradnl"/>
        </w:rPr>
        <w:lastRenderedPageBreak/>
        <w:t>interna, responsable de garantizar el cumplimiento del derecho de acceso a la información pública y a la protección de datos personales en posesión de los sujetos obligados en los términos que establezca la ley.</w:t>
      </w:r>
    </w:p>
    <w:p w14:paraId="00AE3CF3"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w:t>
      </w:r>
    </w:p>
    <w:p w14:paraId="3764E449"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La ley establecerá aquella información que se considere reservada o confidencial.</w:t>
      </w:r>
    </w:p>
    <w:p w14:paraId="34968C3A"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0E8E6BDC"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r w:rsidRPr="00612B5A">
        <w:rPr>
          <w:rFonts w:eastAsia="Palatino Linotype" w:cs="Palatino Linotype"/>
          <w:color w:val="000000"/>
          <w:szCs w:val="24"/>
          <w:lang w:val="es-ES_tradnl"/>
        </w:rPr>
        <w:t>Por su parte, la Constitución Política del Estado Libre y Soberano de México, en su artículo 5°, dispone en su parte conducente, lo siguiente:</w:t>
      </w:r>
    </w:p>
    <w:p w14:paraId="08CC81C9"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289BAB9A"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bCs/>
          <w:i/>
          <w:color w:val="000000"/>
          <w:sz w:val="22"/>
          <w:szCs w:val="24"/>
          <w:lang w:val="es-ES_tradnl"/>
        </w:rPr>
        <w:t>Artículo 5.</w:t>
      </w:r>
      <w:r w:rsidRPr="00612B5A">
        <w:rPr>
          <w:rFonts w:eastAsia="Palatino Linotype" w:cs="Palatino Linotype"/>
          <w:i/>
          <w:color w:val="000000"/>
          <w:sz w:val="22"/>
          <w:szCs w:val="24"/>
          <w:lang w:val="es-ES_tradnl"/>
        </w:rPr>
        <w:t xml:space="preserve"> (…) </w:t>
      </w:r>
    </w:p>
    <w:p w14:paraId="7712F388"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 xml:space="preserve">El derecho a la información será garantizado por el Estado. La ley establecerá las previsiones que permitan asegurar la protección, el respeto y la difusión de este derecho. </w:t>
      </w:r>
    </w:p>
    <w:p w14:paraId="2D159847"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307F969D"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9C1CF11"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0B318457"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Este derecho se regirá por los principios y bases siguientes:</w:t>
      </w:r>
    </w:p>
    <w:p w14:paraId="05AEA3D3"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17CF7B32"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B5E0B8"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157AA520"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lastRenderedPageBreak/>
        <w:t>III. Toda persona, sin necesidad de acreditar interés alguno o justificar su utilización, tendrá acceso gratuito a la información pública, a sus datos personales o a la rectificación de éstos.</w:t>
      </w:r>
    </w:p>
    <w:p w14:paraId="1D1D6B88"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IV. Se establecerán mecanismos de acceso a la información y procedimientos de revisión expeditos que se sustanciarán ante el organismo autónomo especializado e imparcial que establece esta Constitución.</w:t>
      </w:r>
    </w:p>
    <w:p w14:paraId="0CB30F02"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C5387F5"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939FBD"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VII. La ley reglamentaria, determinará la manera en que los sujetos obligados deberán hacer pública la información relativa a los recursos públicos que entreguen a personas físicas o jurídicas colectivas.</w:t>
      </w:r>
    </w:p>
    <w:p w14:paraId="2963F86B"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7B3DE3C7"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En ese orden de ideas, la Ley de Transparencia y Acceso a la Información Pública del Estado de México y Municipios, prevé en su artículo 23, fracción IV, lo siguiente:</w:t>
      </w:r>
    </w:p>
    <w:p w14:paraId="1058515E" w14:textId="77777777" w:rsidR="00612B5A" w:rsidRPr="00612B5A" w:rsidRDefault="00612B5A" w:rsidP="00612B5A">
      <w:pPr>
        <w:rPr>
          <w:rFonts w:eastAsia="Palatino Linotype" w:cs="Palatino Linotype"/>
          <w:szCs w:val="24"/>
          <w:lang w:val="es-ES_tradnl"/>
        </w:rPr>
      </w:pPr>
    </w:p>
    <w:p w14:paraId="2736313B"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i/>
          <w:color w:val="000000"/>
          <w:sz w:val="22"/>
          <w:szCs w:val="24"/>
          <w:lang w:val="es-ES_tradnl"/>
        </w:rPr>
        <w:t>Artículo 23.</w:t>
      </w:r>
      <w:r w:rsidRPr="00612B5A">
        <w:rPr>
          <w:rFonts w:eastAsia="Palatino Linotype" w:cs="Palatino Linotype"/>
          <w:i/>
          <w:color w:val="000000"/>
          <w:sz w:val="22"/>
          <w:szCs w:val="24"/>
          <w:lang w:val="es-ES_tradnl"/>
        </w:rPr>
        <w:t xml:space="preserve"> Son sujetos obligados a transparentar y permitir el acceso a su información y proteger los datos personales que obren en su poder:</w:t>
      </w:r>
    </w:p>
    <w:p w14:paraId="650B731B"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w:t>
      </w:r>
    </w:p>
    <w:p w14:paraId="034BC860"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b/>
          <w:bCs/>
          <w:i/>
          <w:color w:val="000000"/>
          <w:sz w:val="22"/>
          <w:szCs w:val="24"/>
          <w:lang w:val="es-ES_tradnl"/>
        </w:rPr>
        <w:t>IV.</w:t>
      </w:r>
      <w:r w:rsidRPr="00612B5A">
        <w:rPr>
          <w:rFonts w:eastAsia="Palatino Linotype" w:cs="Palatino Linotype"/>
          <w:i/>
          <w:color w:val="000000"/>
          <w:sz w:val="22"/>
          <w:szCs w:val="24"/>
          <w:lang w:val="es-ES_tradnl"/>
        </w:rPr>
        <w:t xml:space="preserve"> Los ayuntamientos y las dependencias, organismos, órganos y entidades de la administración municipal;</w:t>
      </w:r>
    </w:p>
    <w:p w14:paraId="0D52BE21" w14:textId="77777777" w:rsidR="00612B5A" w:rsidRPr="00612B5A" w:rsidRDefault="00612B5A" w:rsidP="00612B5A">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612B5A">
        <w:rPr>
          <w:rFonts w:eastAsia="Palatino Linotype" w:cs="Palatino Linotype"/>
          <w:i/>
          <w:color w:val="000000"/>
          <w:sz w:val="22"/>
          <w:szCs w:val="24"/>
          <w:lang w:val="es-ES_tradnl"/>
        </w:rPr>
        <w:t>(…)</w:t>
      </w:r>
    </w:p>
    <w:p w14:paraId="3A54B4C2" w14:textId="77777777" w:rsidR="00612B5A" w:rsidRP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5EA74CDC" w14:textId="3E6F16B6" w:rsid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r w:rsidRPr="00612B5A">
        <w:rPr>
          <w:rFonts w:eastAsia="Palatino Linotype" w:cs="Palatino Linotype"/>
          <w:color w:val="000000"/>
          <w:szCs w:val="24"/>
          <w:lang w:val="es-ES_tradnl"/>
        </w:rPr>
        <w:t xml:space="preserve">Es así como, conforme a los preceptos legales citados, se desprende que el derecho de acceso a la información pública es un derecho individual que puede ser ejercido ante cualquier autoridad, entidad, órgano u organismo, tanto federales, como estatales, de la </w:t>
      </w:r>
      <w:r w:rsidRPr="00612B5A">
        <w:rPr>
          <w:rFonts w:eastAsia="Palatino Linotype" w:cs="Palatino Linotype"/>
          <w:color w:val="000000"/>
          <w:szCs w:val="24"/>
          <w:lang w:val="es-ES_tradnl"/>
        </w:rPr>
        <w:lastRenderedPageBreak/>
        <w:t>Ciudad de México, o Municipales, con el fin de que los particulares conozcan toda aquella información que es considerada como pública.</w:t>
      </w:r>
    </w:p>
    <w:p w14:paraId="46C719C3" w14:textId="5F3418EB" w:rsid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6CACC95C" w14:textId="6875E8CA" w:rsid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r>
        <w:rPr>
          <w:rFonts w:eastAsia="Palatino Linotype" w:cs="Palatino Linotype"/>
          <w:color w:val="000000"/>
          <w:szCs w:val="24"/>
          <w:lang w:val="es-ES_tradnl"/>
        </w:rPr>
        <w:t>Asimismo, se considera que, dada la respuesta del Sujeto Obligado, se actualiza la causal de procedencia del medio de impugnación prevista en el artículo 179 fracción VI de la Ley de Transparencia estatal, que a la letra dispone lo siguiente:</w:t>
      </w:r>
    </w:p>
    <w:p w14:paraId="0E708A4B" w14:textId="0E760ADC" w:rsid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618B4275" w14:textId="279F1213" w:rsidR="00612B5A" w:rsidRDefault="00612B5A" w:rsidP="00612B5A">
      <w:pPr>
        <w:pStyle w:val="Sinespaciado"/>
        <w:rPr>
          <w:rFonts w:eastAsia="Palatino Linotype"/>
          <w:lang w:val="es-ES_tradnl"/>
        </w:rPr>
      </w:pPr>
      <w:r w:rsidRPr="00612B5A">
        <w:rPr>
          <w:rFonts w:eastAsia="Palatino Linotype"/>
          <w:b/>
        </w:rPr>
        <w:t xml:space="preserve">Artículo 179. </w:t>
      </w:r>
      <w:r w:rsidRPr="00612B5A">
        <w:rPr>
          <w:rFonts w:eastAsia="Palatino Linotype"/>
        </w:rPr>
        <w:t>El recurso de revisión es un medio de protección que la Ley otorga a los particulares, para hacer valer su derecho de acceso a la información pública, y procederá en contra de las siguientes causas:</w:t>
      </w:r>
    </w:p>
    <w:p w14:paraId="7737B518" w14:textId="5D4FE99F" w:rsidR="00612B5A" w:rsidRDefault="00612B5A" w:rsidP="00612B5A">
      <w:pPr>
        <w:pStyle w:val="Sinespaciado"/>
        <w:rPr>
          <w:rFonts w:eastAsia="Palatino Linotype"/>
          <w:lang w:val="es-ES_tradnl"/>
        </w:rPr>
      </w:pPr>
    </w:p>
    <w:p w14:paraId="667E4D03" w14:textId="66B6EAF4" w:rsidR="00612B5A" w:rsidRPr="00612B5A" w:rsidRDefault="00612B5A" w:rsidP="00612B5A">
      <w:pPr>
        <w:pStyle w:val="Sinespaciado"/>
        <w:numPr>
          <w:ilvl w:val="0"/>
          <w:numId w:val="39"/>
        </w:numPr>
        <w:ind w:hanging="861"/>
        <w:rPr>
          <w:rFonts w:eastAsia="Palatino Linotype"/>
          <w:lang w:val="es-ES_tradnl"/>
        </w:rPr>
      </w:pPr>
      <w:r w:rsidRPr="00612B5A">
        <w:rPr>
          <w:rFonts w:eastAsia="Palatino Linotype"/>
          <w:lang w:val="es-ES_tradnl"/>
        </w:rPr>
        <w:t>La negativa a la información solicitada;</w:t>
      </w:r>
    </w:p>
    <w:p w14:paraId="17BD1A2E"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II.</w:t>
      </w:r>
      <w:r w:rsidRPr="00612B5A">
        <w:rPr>
          <w:rFonts w:eastAsia="Palatino Linotype"/>
          <w:lang w:val="es-ES_tradnl"/>
        </w:rPr>
        <w:tab/>
        <w:t>La clasificación de la información;</w:t>
      </w:r>
    </w:p>
    <w:p w14:paraId="033EF925"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III.</w:t>
      </w:r>
      <w:r w:rsidRPr="00612B5A">
        <w:rPr>
          <w:rFonts w:eastAsia="Palatino Linotype"/>
          <w:lang w:val="es-ES_tradnl"/>
        </w:rPr>
        <w:tab/>
        <w:t>La declaración de inexistencia de la información;</w:t>
      </w:r>
    </w:p>
    <w:p w14:paraId="7437737A"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IV.</w:t>
      </w:r>
      <w:r w:rsidRPr="00612B5A">
        <w:rPr>
          <w:rFonts w:eastAsia="Palatino Linotype"/>
          <w:lang w:val="es-ES_tradnl"/>
        </w:rPr>
        <w:tab/>
        <w:t>La declaración de incompetencia por el sujeto obligado;</w:t>
      </w:r>
    </w:p>
    <w:p w14:paraId="16BDF815"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V.</w:t>
      </w:r>
      <w:r w:rsidRPr="00612B5A">
        <w:rPr>
          <w:rFonts w:eastAsia="Palatino Linotype"/>
          <w:lang w:val="es-ES_tradnl"/>
        </w:rPr>
        <w:tab/>
        <w:t>La entrega de información incompleta;</w:t>
      </w:r>
    </w:p>
    <w:p w14:paraId="6E427F3A"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VI.</w:t>
      </w:r>
      <w:r w:rsidRPr="00612B5A">
        <w:rPr>
          <w:rFonts w:eastAsia="Palatino Linotype"/>
          <w:lang w:val="es-ES_tradnl"/>
        </w:rPr>
        <w:tab/>
      </w:r>
      <w:r w:rsidRPr="00612B5A">
        <w:rPr>
          <w:rFonts w:eastAsia="Palatino Linotype"/>
          <w:b/>
          <w:bCs/>
          <w:u w:val="single"/>
          <w:lang w:val="es-ES_tradnl"/>
        </w:rPr>
        <w:t>La entrega de información que no corresponda con lo solicitado</w:t>
      </w:r>
      <w:r w:rsidRPr="00612B5A">
        <w:rPr>
          <w:rFonts w:eastAsia="Palatino Linotype"/>
          <w:lang w:val="es-ES_tradnl"/>
        </w:rPr>
        <w:t>;</w:t>
      </w:r>
    </w:p>
    <w:p w14:paraId="13294AC5"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VII.</w:t>
      </w:r>
      <w:r w:rsidRPr="00612B5A">
        <w:rPr>
          <w:rFonts w:eastAsia="Palatino Linotype"/>
          <w:lang w:val="es-ES_tradnl"/>
        </w:rPr>
        <w:tab/>
        <w:t>La falta de respuesta a una solicitud de acceso a la información;</w:t>
      </w:r>
    </w:p>
    <w:p w14:paraId="7E9FBBDC"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VIII.</w:t>
      </w:r>
      <w:r w:rsidRPr="00612B5A">
        <w:rPr>
          <w:rFonts w:eastAsia="Palatino Linotype"/>
          <w:lang w:val="es-ES_tradnl"/>
        </w:rPr>
        <w:tab/>
        <w:t>La notificación, entrega o puesta a disposición de información en una modalidad o formato distinto al solicitado;</w:t>
      </w:r>
    </w:p>
    <w:p w14:paraId="27C90DEF"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IX.</w:t>
      </w:r>
      <w:r w:rsidRPr="00612B5A">
        <w:rPr>
          <w:rFonts w:eastAsia="Palatino Linotype"/>
          <w:lang w:val="es-ES_tradnl"/>
        </w:rPr>
        <w:tab/>
        <w:t>La entrega o puesta a disposición de información en un formato incomprensible y/o no accesible para el solicitante;</w:t>
      </w:r>
    </w:p>
    <w:p w14:paraId="0F319439"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X.</w:t>
      </w:r>
      <w:r w:rsidRPr="00612B5A">
        <w:rPr>
          <w:rFonts w:eastAsia="Palatino Linotype"/>
          <w:lang w:val="es-ES_tradnl"/>
        </w:rPr>
        <w:tab/>
        <w:t>Los costos o tiempos de entrega de la información;</w:t>
      </w:r>
    </w:p>
    <w:p w14:paraId="0F2D5FDC"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XI.</w:t>
      </w:r>
      <w:r w:rsidRPr="00612B5A">
        <w:rPr>
          <w:rFonts w:eastAsia="Palatino Linotype"/>
          <w:lang w:val="es-ES_tradnl"/>
        </w:rPr>
        <w:tab/>
        <w:t>La falta de trámite a una solicitud;</w:t>
      </w:r>
    </w:p>
    <w:p w14:paraId="0CB55248"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XII.</w:t>
      </w:r>
      <w:r w:rsidRPr="00612B5A">
        <w:rPr>
          <w:rFonts w:eastAsia="Palatino Linotype"/>
          <w:lang w:val="es-ES_tradnl"/>
        </w:rPr>
        <w:tab/>
        <w:t>La negativa a permitir la consulta directa de la información;</w:t>
      </w:r>
    </w:p>
    <w:p w14:paraId="76BB1128"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XIII.</w:t>
      </w:r>
      <w:r w:rsidRPr="00612B5A">
        <w:rPr>
          <w:rFonts w:eastAsia="Palatino Linotype"/>
          <w:lang w:val="es-ES_tradnl"/>
        </w:rPr>
        <w:tab/>
        <w:t>La falta, deficiencia o insuficiencia de la fundamentación y/o motivación en la respuesta; y</w:t>
      </w:r>
    </w:p>
    <w:p w14:paraId="44A9AEA2" w14:textId="77777777" w:rsidR="00612B5A" w:rsidRPr="00612B5A" w:rsidRDefault="00612B5A" w:rsidP="00612B5A">
      <w:pPr>
        <w:pStyle w:val="Sinespaciado"/>
        <w:rPr>
          <w:rFonts w:eastAsia="Palatino Linotype"/>
          <w:lang w:val="es-ES_tradnl"/>
        </w:rPr>
      </w:pPr>
      <w:r w:rsidRPr="00612B5A">
        <w:rPr>
          <w:rFonts w:eastAsia="Palatino Linotype"/>
          <w:b/>
          <w:bCs/>
          <w:lang w:val="es-ES_tradnl"/>
        </w:rPr>
        <w:t>XIV.</w:t>
      </w:r>
      <w:r w:rsidRPr="00612B5A">
        <w:rPr>
          <w:rFonts w:eastAsia="Palatino Linotype"/>
          <w:lang w:val="es-ES_tradnl"/>
        </w:rPr>
        <w:tab/>
        <w:t>La orientación a un trámite específico.</w:t>
      </w:r>
    </w:p>
    <w:p w14:paraId="3C9D4E3A" w14:textId="77777777" w:rsidR="00612B5A" w:rsidRPr="00612B5A" w:rsidRDefault="00612B5A" w:rsidP="00612B5A">
      <w:pPr>
        <w:pStyle w:val="Sinespaciado"/>
        <w:rPr>
          <w:rFonts w:eastAsia="Palatino Linotype"/>
          <w:lang w:val="es-ES_tradnl"/>
        </w:rPr>
      </w:pPr>
    </w:p>
    <w:p w14:paraId="5DC26B1A" w14:textId="79CED00C" w:rsidR="00612B5A" w:rsidRDefault="00612B5A" w:rsidP="00612B5A">
      <w:pPr>
        <w:pStyle w:val="Sinespaciado"/>
        <w:rPr>
          <w:rFonts w:eastAsia="Palatino Linotype"/>
          <w:lang w:val="es-ES_tradnl"/>
        </w:rPr>
      </w:pPr>
      <w:r w:rsidRPr="00612B5A">
        <w:rPr>
          <w:rFonts w:eastAsia="Palatino Linotype"/>
          <w:lang w:val="es-ES_tradnl"/>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D78E0A8" w14:textId="114F6201" w:rsidR="00612B5A" w:rsidRDefault="00612B5A" w:rsidP="00612B5A">
      <w:pPr>
        <w:pBdr>
          <w:top w:val="nil"/>
          <w:left w:val="nil"/>
          <w:bottom w:val="nil"/>
          <w:right w:val="nil"/>
          <w:between w:val="nil"/>
        </w:pBdr>
        <w:contextualSpacing/>
        <w:rPr>
          <w:rFonts w:eastAsia="Palatino Linotype" w:cs="Palatino Linotype"/>
          <w:color w:val="000000"/>
          <w:szCs w:val="24"/>
          <w:lang w:val="es-ES_tradnl"/>
        </w:rPr>
      </w:pPr>
    </w:p>
    <w:p w14:paraId="507C8150" w14:textId="431AFAE8"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lastRenderedPageBreak/>
        <w:t xml:space="preserve">En segundo término, es necesario resaltar que </w:t>
      </w:r>
      <w:r>
        <w:rPr>
          <w:rFonts w:eastAsia="Palatino Linotype" w:cs="Palatino Linotype"/>
          <w:szCs w:val="24"/>
          <w:lang w:val="es-ES_tradnl"/>
        </w:rPr>
        <w:t>el enlace proporcionado por el Sujeto Obligado</w:t>
      </w:r>
      <w:r w:rsidR="00066D23">
        <w:rPr>
          <w:rFonts w:eastAsia="Palatino Linotype" w:cs="Palatino Linotype"/>
          <w:szCs w:val="24"/>
          <w:lang w:val="es-ES_tradnl"/>
        </w:rPr>
        <w:t xml:space="preserve"> hace referencia a los resultados de procedimientos de licitación pública e invitación a cuando menos tres personas</w:t>
      </w:r>
      <w:r w:rsidR="007771D4">
        <w:rPr>
          <w:rFonts w:eastAsia="Palatino Linotype" w:cs="Palatino Linotype"/>
          <w:szCs w:val="24"/>
          <w:lang w:val="es-ES_tradnl"/>
        </w:rPr>
        <w:t xml:space="preserve"> durante el ejercicio fiscal 2021</w:t>
      </w:r>
      <w:r w:rsidR="00066D23">
        <w:rPr>
          <w:rFonts w:eastAsia="Palatino Linotype" w:cs="Palatino Linotype"/>
          <w:szCs w:val="24"/>
          <w:lang w:val="es-ES_tradnl"/>
        </w:rPr>
        <w:t>, como se puede advertir en la siguiente imagen:</w:t>
      </w:r>
    </w:p>
    <w:p w14:paraId="5379BA1F" w14:textId="7D186B79" w:rsidR="00612B5A" w:rsidRDefault="00612B5A" w:rsidP="00612B5A">
      <w:pPr>
        <w:rPr>
          <w:rFonts w:eastAsia="Palatino Linotype" w:cs="Palatino Linotype"/>
          <w:szCs w:val="24"/>
          <w:lang w:val="es-ES_tradnl"/>
        </w:rPr>
      </w:pPr>
    </w:p>
    <w:p w14:paraId="2CDFEEF4" w14:textId="60FC800E" w:rsidR="007771D4" w:rsidRDefault="007771D4" w:rsidP="007771D4">
      <w:pPr>
        <w:jc w:val="center"/>
        <w:rPr>
          <w:rFonts w:eastAsia="Palatino Linotype" w:cs="Palatino Linotype"/>
          <w:szCs w:val="24"/>
          <w:lang w:val="es-ES_tradnl"/>
        </w:rPr>
      </w:pPr>
      <w:r>
        <w:rPr>
          <w:rFonts w:eastAsia="Palatino Linotype" w:cs="Palatino Linotype"/>
          <w:noProof/>
          <w:szCs w:val="24"/>
        </w:rPr>
        <w:drawing>
          <wp:inline distT="0" distB="0" distL="0" distR="0" wp14:anchorId="51C99039" wp14:editId="2FA2CB1C">
            <wp:extent cx="5359400" cy="5420133"/>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555" cy="5460743"/>
                    </a:xfrm>
                    <a:prstGeom prst="rect">
                      <a:avLst/>
                    </a:prstGeom>
                  </pic:spPr>
                </pic:pic>
              </a:graphicData>
            </a:graphic>
          </wp:inline>
        </w:drawing>
      </w:r>
    </w:p>
    <w:p w14:paraId="705137A2" w14:textId="76D02820" w:rsidR="007771D4" w:rsidRDefault="007771D4" w:rsidP="00612B5A">
      <w:pPr>
        <w:rPr>
          <w:rFonts w:eastAsia="Palatino Linotype" w:cs="Palatino Linotype"/>
          <w:szCs w:val="24"/>
          <w:lang w:val="es-ES_tradnl"/>
        </w:rPr>
      </w:pPr>
    </w:p>
    <w:p w14:paraId="2AA05195" w14:textId="2F0D37C3" w:rsidR="007771D4" w:rsidRDefault="006356A8" w:rsidP="00612B5A">
      <w:pPr>
        <w:rPr>
          <w:rFonts w:eastAsia="Palatino Linotype" w:cs="Palatino Linotype"/>
          <w:szCs w:val="24"/>
          <w:lang w:val="es-ES_tradnl"/>
        </w:rPr>
      </w:pPr>
      <w:r>
        <w:rPr>
          <w:rFonts w:eastAsia="Palatino Linotype" w:cs="Palatino Linotype"/>
          <w:szCs w:val="24"/>
          <w:lang w:val="es-ES_tradnl"/>
        </w:rPr>
        <w:lastRenderedPageBreak/>
        <w:t xml:space="preserve">En esa tesitura, se tiene que la información que fue proporcionada por el Sujeto Obligado corresponde a la prevista en el artículo 92 fracción XXIX de la Ley de la materia, en el que se establece que los sujetos obligados deberán poner a disposición del público de manera permanente y actualizada la información de </w:t>
      </w:r>
      <w:r w:rsidR="008B0AD9">
        <w:rPr>
          <w:rFonts w:eastAsia="Palatino Linotype" w:cs="Palatino Linotype"/>
          <w:szCs w:val="24"/>
          <w:lang w:val="es-ES_tradnl"/>
        </w:rPr>
        <w:t>los procesos y resultados sobre procedimientos de adjudicación directa, invitación restringida y licitación de cualquier naturaleza, incluyendo la versión pública del expediente respectivo y de los contratos celebrados que deberán contener diversos rubros enunciados en dicha fracción.</w:t>
      </w:r>
    </w:p>
    <w:p w14:paraId="2920FFD2" w14:textId="7202D5CE" w:rsidR="008B0AD9" w:rsidRDefault="008B0AD9" w:rsidP="00612B5A">
      <w:pPr>
        <w:rPr>
          <w:rFonts w:eastAsia="Palatino Linotype" w:cs="Palatino Linotype"/>
          <w:szCs w:val="24"/>
          <w:lang w:val="es-ES_tradnl"/>
        </w:rPr>
      </w:pPr>
    </w:p>
    <w:p w14:paraId="71D13AB7" w14:textId="19E2EC87" w:rsidR="008B0AD9" w:rsidRPr="008B0AD9" w:rsidRDefault="008B0AD9" w:rsidP="00612B5A">
      <w:pPr>
        <w:rPr>
          <w:rFonts w:eastAsia="Palatino Linotype" w:cs="Palatino Linotype"/>
          <w:szCs w:val="24"/>
          <w:lang w:val="es-ES_tradnl"/>
        </w:rPr>
      </w:pPr>
      <w:r>
        <w:rPr>
          <w:rFonts w:eastAsia="Palatino Linotype" w:cs="Palatino Linotype"/>
          <w:szCs w:val="24"/>
          <w:lang w:val="es-ES_tradnl"/>
        </w:rPr>
        <w:t xml:space="preserve">Por tanto, toda vez que el Recurrente solicitó la información relativa a la obra pública y no de procedimientos de adquisición realizados por el Sujeto Obligado, se puede afirmar que la respuesta proporcionada </w:t>
      </w:r>
      <w:r>
        <w:rPr>
          <w:rFonts w:eastAsia="Palatino Linotype" w:cs="Palatino Linotype"/>
          <w:b/>
          <w:bCs/>
          <w:szCs w:val="24"/>
          <w:lang w:val="es-ES_tradnl"/>
        </w:rPr>
        <w:t>no colma la pretensión del particular</w:t>
      </w:r>
      <w:r>
        <w:rPr>
          <w:rFonts w:eastAsia="Palatino Linotype" w:cs="Palatino Linotype"/>
          <w:szCs w:val="24"/>
          <w:lang w:val="es-ES_tradnl"/>
        </w:rPr>
        <w:t>; por lo que es necesario verificar si el Sujeto Obligado cuenta con las atribuciones para generar, poseer o administrar los documentos idóneos para atender la solicitud de información.</w:t>
      </w:r>
    </w:p>
    <w:p w14:paraId="704ACF7C" w14:textId="0106BB5E" w:rsidR="006356A8" w:rsidRDefault="006356A8" w:rsidP="00612B5A">
      <w:pPr>
        <w:rPr>
          <w:rFonts w:eastAsia="Palatino Linotype" w:cs="Palatino Linotype"/>
          <w:szCs w:val="24"/>
          <w:lang w:val="es-ES_tradnl"/>
        </w:rPr>
      </w:pPr>
    </w:p>
    <w:p w14:paraId="7A4EA73D" w14:textId="0ADC6CBE" w:rsidR="006356A8" w:rsidRDefault="007E7EE0" w:rsidP="00612B5A">
      <w:pPr>
        <w:rPr>
          <w:rFonts w:eastAsia="Palatino Linotype" w:cs="Palatino Linotype"/>
          <w:szCs w:val="24"/>
          <w:lang w:val="es-ES_tradnl"/>
        </w:rPr>
      </w:pPr>
      <w:r>
        <w:rPr>
          <w:rFonts w:eastAsia="Palatino Linotype" w:cs="Palatino Linotype"/>
          <w:szCs w:val="24"/>
          <w:lang w:val="es-ES_tradnl"/>
        </w:rPr>
        <w:t>En ese tenor, se tiene que el tres de noviembre de dos mil veinte se publicó en el Periódico Oficial Gaceta del Gobierno el Manual para la Planeación, Programación y Presupuesto</w:t>
      </w:r>
      <w:r w:rsidR="00B350B2">
        <w:rPr>
          <w:rFonts w:eastAsia="Palatino Linotype" w:cs="Palatino Linotype"/>
          <w:szCs w:val="24"/>
          <w:lang w:val="es-ES_tradnl"/>
        </w:rPr>
        <w:t xml:space="preserve"> de Egresos Municipal para el Ejercicio Fiscal 2021. En dicho Manual se establece lo siguiente:</w:t>
      </w:r>
    </w:p>
    <w:p w14:paraId="6E88597A" w14:textId="52A7EF66" w:rsidR="007771D4" w:rsidRDefault="007771D4" w:rsidP="00612B5A">
      <w:pPr>
        <w:rPr>
          <w:rFonts w:eastAsia="Palatino Linotype" w:cs="Palatino Linotype"/>
          <w:szCs w:val="24"/>
          <w:lang w:val="es-ES_tradnl"/>
        </w:rPr>
      </w:pPr>
    </w:p>
    <w:p w14:paraId="3D424148" w14:textId="7536CA98" w:rsidR="00B350B2" w:rsidRPr="00B350B2" w:rsidRDefault="00B350B2" w:rsidP="00B350B2">
      <w:pPr>
        <w:pStyle w:val="Sinespaciado"/>
        <w:rPr>
          <w:rFonts w:eastAsia="Palatino Linotype"/>
          <w:b/>
          <w:bCs/>
          <w:lang w:val="es-ES_tradnl"/>
        </w:rPr>
      </w:pPr>
      <w:r w:rsidRPr="00B350B2">
        <w:rPr>
          <w:rFonts w:eastAsia="Palatino Linotype"/>
          <w:b/>
          <w:bCs/>
          <w:lang w:val="es-ES_tradnl"/>
        </w:rPr>
        <w:t>Capítulo 600 Inversión Pública:</w:t>
      </w:r>
    </w:p>
    <w:p w14:paraId="786D37C0" w14:textId="77777777" w:rsidR="00B350B2" w:rsidRDefault="00B350B2" w:rsidP="00B350B2">
      <w:pPr>
        <w:pStyle w:val="Sinespaciado"/>
        <w:rPr>
          <w:rFonts w:eastAsia="Palatino Linotype"/>
          <w:lang w:val="es-ES_tradnl"/>
        </w:rPr>
      </w:pPr>
    </w:p>
    <w:p w14:paraId="0F980FF9" w14:textId="52070FB8" w:rsidR="00B350B2" w:rsidRDefault="00B350B2" w:rsidP="00B350B2">
      <w:pPr>
        <w:pStyle w:val="Sinespaciado"/>
        <w:rPr>
          <w:rFonts w:eastAsia="Palatino Linotype"/>
          <w:lang w:val="es-ES_tradnl"/>
        </w:rPr>
      </w:pPr>
      <w:r w:rsidRPr="00B350B2">
        <w:rPr>
          <w:rFonts w:eastAsia="Palatino Linotype"/>
          <w:b/>
          <w:bCs/>
          <w:u w:val="single"/>
          <w:lang w:val="es-ES_tradnl"/>
        </w:rPr>
        <w:t>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w:t>
      </w:r>
      <w:r w:rsidRPr="00B350B2">
        <w:rPr>
          <w:rFonts w:eastAsia="Palatino Linotype"/>
          <w:lang w:val="es-ES_tradnl"/>
        </w:rPr>
        <w:t xml:space="preserve">. En el caso de que se presupueste </w:t>
      </w:r>
      <w:r w:rsidRPr="00B350B2">
        <w:rPr>
          <w:rFonts w:eastAsia="Palatino Linotype"/>
          <w:lang w:val="es-ES_tradnl"/>
        </w:rPr>
        <w:lastRenderedPageBreak/>
        <w:t>la ejecución de obras públicas mediante convenios con otros sectores públicos y privados, se deberá identificar el estimado de recursos que se aportarán por cada uno de los sectores.</w:t>
      </w:r>
    </w:p>
    <w:p w14:paraId="73F2F243" w14:textId="4A44EE2C" w:rsidR="00B350B2" w:rsidRDefault="00B350B2" w:rsidP="00B350B2">
      <w:pPr>
        <w:pStyle w:val="Sinespaciado"/>
        <w:rPr>
          <w:rFonts w:eastAsia="Palatino Linotype"/>
          <w:lang w:val="es-ES_tradnl"/>
        </w:rPr>
      </w:pPr>
    </w:p>
    <w:p w14:paraId="5171F54F" w14:textId="0884FE2C" w:rsidR="00B350B2" w:rsidRDefault="00B350B2" w:rsidP="00B350B2">
      <w:pPr>
        <w:pStyle w:val="Sinespaciado"/>
        <w:rPr>
          <w:rFonts w:eastAsia="Palatino Linotype"/>
          <w:lang w:val="es-ES_tradnl"/>
        </w:rPr>
      </w:pPr>
      <w:r w:rsidRPr="00B350B2">
        <w:rPr>
          <w:rFonts w:eastAsia="Palatino Linotype"/>
          <w:lang w:val="es-ES_tradnl"/>
        </w:rPr>
        <w:t>Los recursos de inversión que se autoricen se destinarán principalmente a:</w:t>
      </w:r>
    </w:p>
    <w:p w14:paraId="71178EAF" w14:textId="2FC9D253" w:rsidR="00B350B2" w:rsidRDefault="00B350B2" w:rsidP="00B350B2">
      <w:pPr>
        <w:pStyle w:val="Sinespaciado"/>
        <w:rPr>
          <w:rFonts w:eastAsia="Palatino Linotype"/>
          <w:lang w:val="es-ES_tradnl"/>
        </w:rPr>
      </w:pPr>
    </w:p>
    <w:p w14:paraId="6C9692A4" w14:textId="4464DEAD" w:rsidR="00B350B2" w:rsidRDefault="00B350B2" w:rsidP="00B350B2">
      <w:pPr>
        <w:pStyle w:val="Sinespaciado"/>
        <w:numPr>
          <w:ilvl w:val="0"/>
          <w:numId w:val="40"/>
        </w:numPr>
        <w:rPr>
          <w:rFonts w:eastAsia="Palatino Linotype"/>
          <w:lang w:val="es-ES_tradnl"/>
        </w:rPr>
      </w:pPr>
      <w:r w:rsidRPr="00B350B2">
        <w:rPr>
          <w:rFonts w:eastAsia="Palatino Linotype"/>
          <w:lang w:val="es-ES_tradnl"/>
        </w:rPr>
        <w:t>La terminación de las obras públicas en proceso;</w:t>
      </w:r>
    </w:p>
    <w:p w14:paraId="1B41A0A1" w14:textId="007DCD05" w:rsidR="00B350B2" w:rsidRDefault="00B350B2" w:rsidP="00B350B2">
      <w:pPr>
        <w:pStyle w:val="Sinespaciado"/>
        <w:numPr>
          <w:ilvl w:val="0"/>
          <w:numId w:val="40"/>
        </w:numPr>
        <w:rPr>
          <w:rFonts w:eastAsia="Palatino Linotype"/>
          <w:lang w:val="es-ES_tradnl"/>
        </w:rPr>
      </w:pPr>
      <w:r w:rsidRPr="00B350B2">
        <w:rPr>
          <w:rFonts w:eastAsia="Palatino Linotype"/>
          <w:lang w:val="es-ES_tradnl"/>
        </w:rPr>
        <w:t>La asignación de recursos a nuevos proyectos se fundamentará en criterios que garanticen el cumplimiento de las demandas de la sociedad establecidas en el Plan de Desarrollo Municipal, o bien, por nuevos requerimientos que apruebe el Ayuntamiento;</w:t>
      </w:r>
    </w:p>
    <w:p w14:paraId="2917F611" w14:textId="2314F777" w:rsidR="00B350B2" w:rsidRDefault="00B350B2" w:rsidP="00B350B2">
      <w:pPr>
        <w:pStyle w:val="Sinespaciado"/>
        <w:numPr>
          <w:ilvl w:val="0"/>
          <w:numId w:val="40"/>
        </w:numPr>
        <w:rPr>
          <w:rFonts w:eastAsia="Palatino Linotype"/>
          <w:lang w:val="es-ES_tradnl"/>
        </w:rPr>
      </w:pPr>
      <w:r w:rsidRPr="00B350B2">
        <w:rPr>
          <w:rFonts w:eastAsia="Palatino Linotype"/>
          <w:lang w:val="es-ES_tradnl"/>
        </w:rPr>
        <w:t>Los proyectos de obra pública deberán ser evaluados social y económicamente para identificar la relación costo-beneficio de los mismos y señalar posibles fuentes financieras de acuerdo a sus características, así como la justificación de su prioridad;</w:t>
      </w:r>
    </w:p>
    <w:p w14:paraId="21086076" w14:textId="59694A5C" w:rsidR="00B350B2" w:rsidRDefault="00B350B2" w:rsidP="00B350B2">
      <w:pPr>
        <w:pStyle w:val="Sinespaciado"/>
        <w:rPr>
          <w:rFonts w:eastAsia="Palatino Linotype"/>
          <w:lang w:val="es-ES_tradnl"/>
        </w:rPr>
      </w:pPr>
    </w:p>
    <w:p w14:paraId="37568DCE" w14:textId="3E625E28" w:rsidR="00B350B2" w:rsidRDefault="00B350B2" w:rsidP="00B350B2">
      <w:pPr>
        <w:pStyle w:val="Sinespaciado"/>
        <w:rPr>
          <w:rFonts w:eastAsia="Palatino Linotype"/>
          <w:lang w:val="es-ES_tradnl"/>
        </w:rPr>
      </w:pPr>
      <w:r w:rsidRPr="00B350B2">
        <w:rPr>
          <w:rFonts w:eastAsia="Palatino Linotype"/>
          <w:lang w:val="es-ES_tradnl"/>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35A2515C" w14:textId="2F18156F" w:rsidR="00B350B2" w:rsidRDefault="00B350B2" w:rsidP="00612B5A">
      <w:pPr>
        <w:rPr>
          <w:rFonts w:eastAsia="Palatino Linotype" w:cs="Palatino Linotype"/>
          <w:szCs w:val="24"/>
          <w:lang w:val="es-ES_tradnl"/>
        </w:rPr>
      </w:pPr>
    </w:p>
    <w:p w14:paraId="49FB0317" w14:textId="0F29D863" w:rsidR="00B350B2" w:rsidRPr="005C17F7" w:rsidRDefault="00B350B2" w:rsidP="00612B5A">
      <w:pPr>
        <w:rPr>
          <w:rFonts w:eastAsia="Palatino Linotype" w:cs="Palatino Linotype"/>
          <w:szCs w:val="24"/>
          <w:lang w:val="es-ES_tradnl"/>
        </w:rPr>
      </w:pPr>
      <w:r>
        <w:rPr>
          <w:rFonts w:eastAsia="Palatino Linotype" w:cs="Palatino Linotype"/>
          <w:szCs w:val="24"/>
          <w:lang w:val="es-ES_tradnl"/>
        </w:rPr>
        <w:t xml:space="preserve">Asimismo, se estipuló que para la presentación del Presupuesto de Egresos Municipal ante el Órgano Superior de Fiscalización del Estado de México (OSFEM), se deberá contar con diversa información </w:t>
      </w:r>
      <w:r w:rsidR="005C17F7">
        <w:rPr>
          <w:rFonts w:eastAsia="Palatino Linotype" w:cs="Palatino Linotype"/>
          <w:szCs w:val="24"/>
          <w:lang w:val="es-ES_tradnl"/>
        </w:rPr>
        <w:t xml:space="preserve">impresa, entre la que se encuentra el </w:t>
      </w:r>
      <w:r w:rsidR="005C17F7">
        <w:rPr>
          <w:rFonts w:eastAsia="Palatino Linotype" w:cs="Palatino Linotype"/>
          <w:b/>
          <w:bCs/>
          <w:szCs w:val="24"/>
          <w:lang w:val="es-ES_tradnl"/>
        </w:rPr>
        <w:t>Programa anual de obra (PbRM-07a)</w:t>
      </w:r>
      <w:r w:rsidR="005C17F7">
        <w:rPr>
          <w:rFonts w:eastAsia="Palatino Linotype" w:cs="Palatino Linotype"/>
          <w:szCs w:val="24"/>
          <w:lang w:val="es-ES_tradnl"/>
        </w:rPr>
        <w:t>, con el siguiente formato</w:t>
      </w:r>
    </w:p>
    <w:p w14:paraId="3F53D9C8" w14:textId="3D6953CE" w:rsidR="00B350B2" w:rsidRDefault="005C17F7" w:rsidP="005C17F7">
      <w:pPr>
        <w:jc w:val="center"/>
        <w:rPr>
          <w:rFonts w:eastAsia="Palatino Linotype" w:cs="Palatino Linotype"/>
          <w:szCs w:val="24"/>
          <w:lang w:val="es-ES_tradnl"/>
        </w:rPr>
      </w:pPr>
      <w:r>
        <w:rPr>
          <w:rFonts w:eastAsia="Palatino Linotype" w:cs="Palatino Linotype"/>
          <w:noProof/>
          <w:szCs w:val="24"/>
        </w:rPr>
        <w:drawing>
          <wp:inline distT="0" distB="0" distL="0" distR="0" wp14:anchorId="0CC0D710" wp14:editId="643CC12D">
            <wp:extent cx="3949700" cy="2342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1711" cy="2379407"/>
                    </a:xfrm>
                    <a:prstGeom prst="rect">
                      <a:avLst/>
                    </a:prstGeom>
                  </pic:spPr>
                </pic:pic>
              </a:graphicData>
            </a:graphic>
          </wp:inline>
        </w:drawing>
      </w:r>
    </w:p>
    <w:p w14:paraId="5AD37118" w14:textId="6E8BC1B7" w:rsidR="00B350B2" w:rsidRDefault="005C17F7" w:rsidP="00612B5A">
      <w:pPr>
        <w:rPr>
          <w:rFonts w:eastAsia="Palatino Linotype" w:cs="Palatino Linotype"/>
          <w:szCs w:val="24"/>
          <w:lang w:val="es-ES_tradnl"/>
        </w:rPr>
      </w:pPr>
      <w:r>
        <w:rPr>
          <w:rFonts w:eastAsia="Palatino Linotype" w:cs="Palatino Linotype"/>
          <w:szCs w:val="24"/>
          <w:lang w:val="es-ES_tradnl"/>
        </w:rPr>
        <w:lastRenderedPageBreak/>
        <w:t>Dicho formato deberá contener la información que se establece en el instructivo conforme a lo siguiente:</w:t>
      </w:r>
    </w:p>
    <w:p w14:paraId="029374B5" w14:textId="6DF0F488" w:rsidR="005C17F7" w:rsidRDefault="005C17F7" w:rsidP="00612B5A">
      <w:pPr>
        <w:rPr>
          <w:rFonts w:eastAsia="Palatino Linotype" w:cs="Palatino Linotype"/>
          <w:szCs w:val="24"/>
          <w:lang w:val="es-ES_tradnl"/>
        </w:rPr>
      </w:pPr>
    </w:p>
    <w:p w14:paraId="4FE1E8C3" w14:textId="69894072" w:rsidR="005C17F7" w:rsidRDefault="005C17F7" w:rsidP="005C17F7">
      <w:pPr>
        <w:jc w:val="center"/>
        <w:rPr>
          <w:rFonts w:eastAsia="Palatino Linotype" w:cs="Palatino Linotype"/>
          <w:szCs w:val="24"/>
          <w:lang w:val="es-ES_tradnl"/>
        </w:rPr>
      </w:pPr>
      <w:r>
        <w:rPr>
          <w:rFonts w:eastAsia="Palatino Linotype" w:cs="Palatino Linotype"/>
          <w:noProof/>
          <w:szCs w:val="24"/>
        </w:rPr>
        <w:drawing>
          <wp:inline distT="0" distB="0" distL="0" distR="0" wp14:anchorId="517A3519" wp14:editId="273649DA">
            <wp:extent cx="4914900" cy="63382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4939597" cy="6370095"/>
                    </a:xfrm>
                    <a:prstGeom prst="rect">
                      <a:avLst/>
                    </a:prstGeom>
                  </pic:spPr>
                </pic:pic>
              </a:graphicData>
            </a:graphic>
          </wp:inline>
        </w:drawing>
      </w:r>
    </w:p>
    <w:p w14:paraId="1B94F5D2" w14:textId="3CA73A67" w:rsidR="00B350B2" w:rsidRDefault="00B350B2" w:rsidP="00612B5A">
      <w:pPr>
        <w:rPr>
          <w:rFonts w:eastAsia="Palatino Linotype" w:cs="Palatino Linotype"/>
          <w:szCs w:val="24"/>
          <w:lang w:val="es-ES_tradnl"/>
        </w:rPr>
      </w:pPr>
    </w:p>
    <w:p w14:paraId="76785556" w14:textId="77304DC5" w:rsidR="00B350B2" w:rsidRDefault="005C17F7" w:rsidP="00612B5A">
      <w:pPr>
        <w:rPr>
          <w:rFonts w:eastAsia="Palatino Linotype" w:cs="Palatino Linotype"/>
          <w:szCs w:val="24"/>
          <w:lang w:val="es-ES_tradnl"/>
        </w:rPr>
      </w:pPr>
      <w:r>
        <w:rPr>
          <w:rFonts w:eastAsia="Palatino Linotype" w:cs="Palatino Linotype"/>
          <w:szCs w:val="24"/>
          <w:lang w:val="es-ES_tradnl"/>
        </w:rPr>
        <w:t>Como se puede observar, en el fo</w:t>
      </w:r>
      <w:r w:rsidR="00FA68F1">
        <w:rPr>
          <w:rFonts w:eastAsia="Palatino Linotype" w:cs="Palatino Linotype"/>
          <w:szCs w:val="24"/>
          <w:lang w:val="es-ES_tradnl"/>
        </w:rPr>
        <w:t xml:space="preserve">rmato </w:t>
      </w:r>
      <w:proofErr w:type="spellStart"/>
      <w:r w:rsidR="00FA68F1">
        <w:rPr>
          <w:rFonts w:eastAsia="Palatino Linotype" w:cs="Palatino Linotype"/>
          <w:szCs w:val="24"/>
          <w:lang w:val="es-ES_tradnl"/>
        </w:rPr>
        <w:t>PbRM</w:t>
      </w:r>
      <w:proofErr w:type="spellEnd"/>
      <w:r w:rsidR="00FA68F1">
        <w:rPr>
          <w:rFonts w:eastAsia="Palatino Linotype" w:cs="Palatino Linotype"/>
          <w:szCs w:val="24"/>
          <w:lang w:val="es-ES_tradnl"/>
        </w:rPr>
        <w:t xml:space="preserve"> 07a “Programa Anual de Obras”, las entidades fiscalizables deben colocar la información el periodo en el que se llevarán a cabo las obras a nivel proyecto de la Clasificación Funcional Programática Municipal vigente; la calendarización mensual (ene-dic), en las que se anotará de manera calendarizada el recurso que para la ejecución de la obra pública ejercerá, anotando dichos recursos en el mes o los meses en los que se pretenda llevar a cabo dicha obra; de la población beneficiada, que se refiere al número de habitantes de la comunidad, localidad o municipio que se vean beneficiados con la ejecución de la obra pública; y el presupuesto anual autorizado, en el que se anotará el recurso anual autorizado para la ejecución de la obra pública</w:t>
      </w:r>
      <w:r w:rsidR="008941D4">
        <w:rPr>
          <w:rFonts w:eastAsia="Palatino Linotype" w:cs="Palatino Linotype"/>
          <w:szCs w:val="24"/>
          <w:lang w:val="es-ES_tradnl"/>
        </w:rPr>
        <w:t xml:space="preserve">. Dichos rubros coinciden con la información requerida por el Recurrente en el punto 1 de la solicitud de información, por lo que se puede afirmar que dicho punto puede colmarse con la entrega del Programa Anual de Obra </w:t>
      </w:r>
      <w:r w:rsidR="004B0982">
        <w:rPr>
          <w:rFonts w:eastAsia="Palatino Linotype" w:cs="Palatino Linotype"/>
          <w:szCs w:val="24"/>
          <w:lang w:val="es-ES_tradnl"/>
        </w:rPr>
        <w:t>elaborado por el Sujeto Obligado para el ejercicio fiscal 2021.</w:t>
      </w:r>
    </w:p>
    <w:p w14:paraId="132473CB" w14:textId="787B004B" w:rsidR="004B0982" w:rsidRDefault="004B0982" w:rsidP="00612B5A">
      <w:pPr>
        <w:rPr>
          <w:rFonts w:eastAsia="Palatino Linotype" w:cs="Palatino Linotype"/>
          <w:szCs w:val="24"/>
          <w:lang w:val="es-ES_tradnl"/>
        </w:rPr>
      </w:pPr>
    </w:p>
    <w:p w14:paraId="21C73D60" w14:textId="2BB5E152" w:rsidR="004B0982" w:rsidRDefault="004B0982" w:rsidP="00612B5A">
      <w:pPr>
        <w:rPr>
          <w:rFonts w:eastAsia="Palatino Linotype" w:cs="Palatino Linotype"/>
          <w:szCs w:val="24"/>
          <w:lang w:val="es-ES_tradnl"/>
        </w:rPr>
      </w:pPr>
      <w:r>
        <w:rPr>
          <w:rFonts w:eastAsia="Palatino Linotype" w:cs="Palatino Linotype"/>
          <w:szCs w:val="24"/>
          <w:lang w:val="es-ES_tradnl"/>
        </w:rPr>
        <w:t>Ahora bien, se debe recordar que el particular también solicitó que se le entregaran los avances en materia de obra pública generados de enero a mayo del ejercicio 2022, por lo que se debe entender que no se solicitó el Programa Anual de Obras de ese ejercicio, sino lo avances de las obras referidas en el Programa correspondiente al ejercicio 2021. Esto conforme a la interpretación de lo expresado en la solicitud de información, por lo que es necesario verificar si el Sujeto Obligado genera algún documento que contenga dichos avances.</w:t>
      </w:r>
    </w:p>
    <w:p w14:paraId="7B91DA08" w14:textId="25665D8B" w:rsidR="004B0982" w:rsidRDefault="004B0982" w:rsidP="00612B5A">
      <w:pPr>
        <w:rPr>
          <w:rFonts w:eastAsia="Palatino Linotype" w:cs="Palatino Linotype"/>
          <w:szCs w:val="24"/>
          <w:lang w:val="es-ES_tradnl"/>
        </w:rPr>
      </w:pPr>
    </w:p>
    <w:p w14:paraId="631F620E" w14:textId="4F75106A" w:rsidR="004B0982" w:rsidRDefault="004B0982" w:rsidP="00612B5A">
      <w:pPr>
        <w:rPr>
          <w:rFonts w:eastAsia="Palatino Linotype" w:cs="Palatino Linotype"/>
          <w:szCs w:val="24"/>
          <w:lang w:val="es-ES_tradnl"/>
        </w:rPr>
      </w:pPr>
      <w:r>
        <w:rPr>
          <w:rFonts w:eastAsia="Palatino Linotype" w:cs="Palatino Linotype"/>
          <w:szCs w:val="24"/>
          <w:lang w:val="es-ES_tradnl"/>
        </w:rPr>
        <w:lastRenderedPageBreak/>
        <w:t xml:space="preserve">De tal forma que es necesario referir que en </w:t>
      </w:r>
      <w:r w:rsidR="00B543F7">
        <w:rPr>
          <w:rFonts w:eastAsia="Palatino Linotype" w:cs="Palatino Linotype"/>
          <w:szCs w:val="24"/>
          <w:lang w:val="es-ES_tradnl"/>
        </w:rPr>
        <w:t xml:space="preserve">la misma Gaceta del Gobierno referida con anterioridad, se </w:t>
      </w:r>
      <w:r w:rsidR="0078152F">
        <w:rPr>
          <w:rFonts w:eastAsia="Palatino Linotype" w:cs="Palatino Linotype"/>
          <w:szCs w:val="24"/>
          <w:lang w:val="es-ES_tradnl"/>
        </w:rPr>
        <w:t>publicó</w:t>
      </w:r>
      <w:r>
        <w:rPr>
          <w:rFonts w:eastAsia="Palatino Linotype" w:cs="Palatino Linotype"/>
          <w:szCs w:val="24"/>
          <w:lang w:val="es-ES_tradnl"/>
        </w:rPr>
        <w:t xml:space="preserve"> la Guía Metodológica para el Seguimiento y Evaluación del Plan de Desarrollo Municipal Vigente, es decir, al Plan de Desarrollo Municipal del ejercicio 2021.</w:t>
      </w:r>
    </w:p>
    <w:p w14:paraId="241F156F" w14:textId="57860689" w:rsidR="004B0982" w:rsidRDefault="004B0982" w:rsidP="00612B5A">
      <w:pPr>
        <w:rPr>
          <w:rFonts w:eastAsia="Palatino Linotype" w:cs="Palatino Linotype"/>
          <w:szCs w:val="24"/>
          <w:lang w:val="es-ES_tradnl"/>
        </w:rPr>
      </w:pPr>
    </w:p>
    <w:p w14:paraId="0B601D13" w14:textId="7CEC2D73" w:rsidR="00B543F7" w:rsidRDefault="004B0982" w:rsidP="00612B5A">
      <w:pPr>
        <w:rPr>
          <w:rFonts w:eastAsia="Palatino Linotype" w:cs="Palatino Linotype"/>
          <w:szCs w:val="24"/>
          <w:lang w:val="es-ES_tradnl"/>
        </w:rPr>
      </w:pPr>
      <w:r>
        <w:rPr>
          <w:rFonts w:eastAsia="Palatino Linotype" w:cs="Palatino Linotype"/>
          <w:szCs w:val="24"/>
          <w:lang w:val="es-ES_tradnl"/>
        </w:rPr>
        <w:t xml:space="preserve">En dicha Guía se señala que contiene un enfoque específico para llevar a cabo el seguimiento y evaluación del Plan de Desarrollo Municipal vigente en ese momento, sus programas y la aplicación de su presupuesto, y se contempló la implantación de instrumentos que ayudarán a la generación de información que permita evidencia el cumplimiento de objetivos </w:t>
      </w:r>
      <w:r w:rsidR="00B543F7">
        <w:rPr>
          <w:rFonts w:eastAsia="Palatino Linotype" w:cs="Palatino Linotype"/>
          <w:szCs w:val="24"/>
          <w:lang w:val="es-ES_tradnl"/>
        </w:rPr>
        <w:t>y el resultado del alcance de metas.</w:t>
      </w:r>
      <w:r w:rsidR="0078152F">
        <w:rPr>
          <w:rFonts w:eastAsia="Palatino Linotype" w:cs="Palatino Linotype"/>
          <w:szCs w:val="24"/>
          <w:lang w:val="es-ES_tradnl"/>
        </w:rPr>
        <w:t xml:space="preserve"> </w:t>
      </w:r>
      <w:r w:rsidR="00B543F7">
        <w:rPr>
          <w:rFonts w:eastAsia="Palatino Linotype" w:cs="Palatino Linotype"/>
          <w:szCs w:val="24"/>
          <w:lang w:val="es-ES_tradnl"/>
        </w:rPr>
        <w:t xml:space="preserve">Así, con relación a la obra pública, la Guía prevé la generación del formato </w:t>
      </w:r>
      <w:proofErr w:type="spellStart"/>
      <w:r w:rsidR="00B543F7">
        <w:rPr>
          <w:rFonts w:eastAsia="Palatino Linotype" w:cs="Palatino Linotype"/>
          <w:szCs w:val="24"/>
          <w:lang w:val="es-ES_tradnl"/>
        </w:rPr>
        <w:t>PbRM</w:t>
      </w:r>
      <w:proofErr w:type="spellEnd"/>
      <w:r w:rsidR="00B543F7">
        <w:rPr>
          <w:rFonts w:eastAsia="Palatino Linotype" w:cs="Palatino Linotype"/>
          <w:szCs w:val="24"/>
          <w:lang w:val="es-ES_tradnl"/>
        </w:rPr>
        <w:t xml:space="preserve"> 11 “Seguimiento trimestral del Programa Anual de Obras”, que contempla lo siguiente:</w:t>
      </w:r>
    </w:p>
    <w:p w14:paraId="18652898" w14:textId="7A7B02FF" w:rsidR="00B543F7" w:rsidRDefault="0078152F" w:rsidP="00B543F7">
      <w:pPr>
        <w:jc w:val="center"/>
        <w:rPr>
          <w:rFonts w:eastAsia="Palatino Linotype" w:cs="Palatino Linotype"/>
          <w:szCs w:val="24"/>
          <w:lang w:val="es-ES_tradnl"/>
        </w:rPr>
      </w:pPr>
      <w:r>
        <w:rPr>
          <w:rFonts w:eastAsia="Palatino Linotype" w:cs="Palatino Linotype"/>
          <w:noProof/>
          <w:szCs w:val="24"/>
        </w:rPr>
        <w:drawing>
          <wp:inline distT="0" distB="0" distL="0" distR="0" wp14:anchorId="5C2ED903" wp14:editId="304404DE">
            <wp:extent cx="5270229" cy="35687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5318594" cy="3601450"/>
                    </a:xfrm>
                    <a:prstGeom prst="rect">
                      <a:avLst/>
                    </a:prstGeom>
                  </pic:spPr>
                </pic:pic>
              </a:graphicData>
            </a:graphic>
          </wp:inline>
        </w:drawing>
      </w:r>
    </w:p>
    <w:p w14:paraId="687D1F72" w14:textId="77777777" w:rsidR="00B543F7" w:rsidRDefault="00B543F7" w:rsidP="00612B5A">
      <w:pPr>
        <w:rPr>
          <w:rFonts w:eastAsia="Palatino Linotype" w:cs="Palatino Linotype"/>
          <w:szCs w:val="24"/>
          <w:lang w:val="es-ES_tradnl"/>
        </w:rPr>
      </w:pPr>
    </w:p>
    <w:p w14:paraId="74796ED6" w14:textId="0F5F029C" w:rsidR="004B0982" w:rsidRDefault="00B543F7" w:rsidP="00612B5A">
      <w:pPr>
        <w:rPr>
          <w:rFonts w:eastAsia="Palatino Linotype" w:cs="Palatino Linotype"/>
          <w:szCs w:val="24"/>
          <w:lang w:val="es-ES_tradnl"/>
        </w:rPr>
      </w:pPr>
      <w:r>
        <w:rPr>
          <w:rFonts w:eastAsia="Palatino Linotype" w:cs="Palatino Linotype"/>
          <w:szCs w:val="24"/>
          <w:lang w:val="es-ES_tradnl"/>
        </w:rPr>
        <w:t>Dicho formato deberá llenarse conforme el siguiente instructivo:</w:t>
      </w:r>
    </w:p>
    <w:p w14:paraId="09112531" w14:textId="3C7B829A" w:rsidR="00B543F7" w:rsidRDefault="00B543F7" w:rsidP="00B543F7">
      <w:pPr>
        <w:jc w:val="center"/>
        <w:rPr>
          <w:rFonts w:eastAsia="Palatino Linotype" w:cs="Palatino Linotype"/>
          <w:szCs w:val="24"/>
          <w:lang w:val="es-ES_tradnl"/>
        </w:rPr>
      </w:pPr>
    </w:p>
    <w:p w14:paraId="543C7C56" w14:textId="0214D787" w:rsidR="004B0982" w:rsidRDefault="0078152F" w:rsidP="0078152F">
      <w:pPr>
        <w:jc w:val="center"/>
        <w:rPr>
          <w:rFonts w:eastAsia="Palatino Linotype" w:cs="Palatino Linotype"/>
          <w:szCs w:val="24"/>
          <w:lang w:val="es-ES_tradnl"/>
        </w:rPr>
      </w:pPr>
      <w:r>
        <w:rPr>
          <w:rFonts w:eastAsia="Palatino Linotype" w:cs="Palatino Linotype"/>
          <w:noProof/>
          <w:szCs w:val="24"/>
        </w:rPr>
        <w:drawing>
          <wp:inline distT="0" distB="0" distL="0" distR="0" wp14:anchorId="749CF6A2" wp14:editId="5B5E740D">
            <wp:extent cx="5054600" cy="63535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5097649" cy="6407645"/>
                    </a:xfrm>
                    <a:prstGeom prst="rect">
                      <a:avLst/>
                    </a:prstGeom>
                  </pic:spPr>
                </pic:pic>
              </a:graphicData>
            </a:graphic>
          </wp:inline>
        </w:drawing>
      </w:r>
    </w:p>
    <w:p w14:paraId="4D7AF5B9" w14:textId="51970F6E" w:rsidR="004B0982" w:rsidRDefault="004B0982" w:rsidP="00612B5A">
      <w:pPr>
        <w:rPr>
          <w:rFonts w:eastAsia="Palatino Linotype" w:cs="Palatino Linotype"/>
          <w:szCs w:val="24"/>
          <w:lang w:val="es-ES_tradnl"/>
        </w:rPr>
      </w:pPr>
    </w:p>
    <w:p w14:paraId="2B37E0B4" w14:textId="297E005B" w:rsidR="0078152F" w:rsidRDefault="0078152F" w:rsidP="00612B5A">
      <w:pPr>
        <w:rPr>
          <w:rFonts w:eastAsia="Palatino Linotype" w:cs="Palatino Linotype"/>
          <w:szCs w:val="24"/>
          <w:lang w:val="es-ES_tradnl"/>
        </w:rPr>
      </w:pPr>
      <w:r>
        <w:rPr>
          <w:rFonts w:eastAsia="Palatino Linotype" w:cs="Palatino Linotype"/>
          <w:szCs w:val="24"/>
          <w:lang w:val="es-ES_tradnl"/>
        </w:rPr>
        <w:t xml:space="preserve">Como puede advertirse, entre los rubros previstos en el </w:t>
      </w:r>
      <w:r w:rsidR="0053306F">
        <w:rPr>
          <w:rFonts w:eastAsia="Palatino Linotype" w:cs="Palatino Linotype"/>
          <w:szCs w:val="24"/>
          <w:lang w:val="es-ES_tradnl"/>
        </w:rPr>
        <w:t>formato se encuentran, entre otros, los relativos al periodo en el que se llevarán a cabo las obras a nivel proyecto de la Clasificación Funcional, la población beneficiada</w:t>
      </w:r>
      <w:r w:rsidR="001E199E">
        <w:rPr>
          <w:rFonts w:eastAsia="Palatino Linotype" w:cs="Palatino Linotype"/>
          <w:szCs w:val="24"/>
          <w:lang w:val="es-ES_tradnl"/>
        </w:rPr>
        <w:t xml:space="preserve">, el presupuesto anual autorizado y </w:t>
      </w:r>
      <w:r w:rsidR="001E199E">
        <w:rPr>
          <w:rFonts w:eastAsia="Palatino Linotype" w:cs="Palatino Linotype"/>
          <w:b/>
          <w:bCs/>
          <w:szCs w:val="24"/>
          <w:lang w:val="es-ES_tradnl"/>
        </w:rPr>
        <w:t>el avance porcentual y monto ejercido de la obra</w:t>
      </w:r>
      <w:r w:rsidR="001E199E">
        <w:rPr>
          <w:rFonts w:eastAsia="Palatino Linotype" w:cs="Palatino Linotype"/>
          <w:szCs w:val="24"/>
          <w:lang w:val="es-ES_tradnl"/>
        </w:rPr>
        <w:t>, en el que se debe reflejar el porcentaje de avance acumulado de la obra pública en el periodo trimestral que se emita el reporte, el monto ejercido que se haya erogado por concepto de la ejecución de la obra, que corresponderá al periodo trimestral respectivo y se reportará de manera acumulada.</w:t>
      </w:r>
    </w:p>
    <w:p w14:paraId="61E07D1F" w14:textId="7C2CF4D6" w:rsidR="001E199E" w:rsidRDefault="001E199E" w:rsidP="00612B5A">
      <w:pPr>
        <w:rPr>
          <w:rFonts w:eastAsia="Palatino Linotype" w:cs="Palatino Linotype"/>
          <w:szCs w:val="24"/>
          <w:lang w:val="es-ES_tradnl"/>
        </w:rPr>
      </w:pPr>
    </w:p>
    <w:p w14:paraId="63B9A921" w14:textId="142CEB9E" w:rsidR="001E199E" w:rsidRDefault="001E199E" w:rsidP="00612B5A">
      <w:pPr>
        <w:rPr>
          <w:rFonts w:eastAsia="Palatino Linotype" w:cs="Palatino Linotype"/>
          <w:szCs w:val="24"/>
          <w:lang w:val="es-ES_tradnl"/>
        </w:rPr>
      </w:pPr>
      <w:r>
        <w:rPr>
          <w:rFonts w:eastAsia="Palatino Linotype" w:cs="Palatino Linotype"/>
          <w:szCs w:val="24"/>
          <w:lang w:val="es-ES_tradnl"/>
        </w:rPr>
        <w:t>Por lo referido anteriormente, se puede concluir que el Sujeto Obligado contaba con la fuente obligación que lo constriñó a generar el Programa Anual de Obra para el ejercicio 2021 y los subsecuentes formatos de seguimiento trimestral del Programa Anual de Obras, documentos que de manera enunciativa mas no limitativa pueden colmar las pretensiones del Recurrente.</w:t>
      </w:r>
    </w:p>
    <w:p w14:paraId="1A57B5B0" w14:textId="31E1D7A3" w:rsidR="00111129" w:rsidRDefault="00111129" w:rsidP="00612B5A">
      <w:pPr>
        <w:rPr>
          <w:rFonts w:eastAsia="Palatino Linotype" w:cs="Palatino Linotype"/>
          <w:szCs w:val="24"/>
          <w:lang w:val="es-ES_tradnl"/>
        </w:rPr>
      </w:pPr>
    </w:p>
    <w:p w14:paraId="401A529E" w14:textId="5DC49556" w:rsidR="00111129" w:rsidRDefault="00111129" w:rsidP="00612B5A">
      <w:pPr>
        <w:rPr>
          <w:rFonts w:eastAsia="Palatino Linotype" w:cs="Palatino Linotype"/>
          <w:szCs w:val="24"/>
          <w:lang w:val="es-ES_tradnl"/>
        </w:rPr>
      </w:pPr>
      <w:r>
        <w:rPr>
          <w:rFonts w:eastAsia="Palatino Linotype" w:cs="Palatino Linotype"/>
          <w:szCs w:val="24"/>
          <w:lang w:val="es-ES_tradnl"/>
        </w:rPr>
        <w:t>No se omite señalar que el Recurrente solicitó el documento en el que consten los avances en materia de obra pública de enero a mayo del ejercicio 2022; no obstante, se tiene que el documento que muestra los avances en el Programa Anual de Obras se genera de manera trimestral y toda vez que la solicitud de información se presentó en fecha quince de junio de dos mil veintidós, resulta evidente que el Sujeto Obligado únicamente generó la información correspondiente al primer trimestre del ejercicio 2022; por tanto, bastará con que el Sujeto Obligado presente el documento en donde conste el avance en materia de obra pública relativo al primer trimestre del ejercicio 2022.</w:t>
      </w:r>
    </w:p>
    <w:p w14:paraId="493A60EB" w14:textId="5FA4E811" w:rsidR="001E199E" w:rsidRDefault="001E199E" w:rsidP="00612B5A">
      <w:pPr>
        <w:rPr>
          <w:rFonts w:eastAsia="Palatino Linotype" w:cs="Palatino Linotype"/>
          <w:szCs w:val="24"/>
          <w:lang w:val="es-ES_tradnl"/>
        </w:rPr>
      </w:pPr>
    </w:p>
    <w:p w14:paraId="5467C611" w14:textId="64FAF50B" w:rsidR="001E199E" w:rsidRDefault="001E199E" w:rsidP="00612B5A">
      <w:pPr>
        <w:rPr>
          <w:rFonts w:eastAsia="Palatino Linotype" w:cs="Palatino Linotype"/>
          <w:szCs w:val="24"/>
          <w:lang w:val="es-ES_tradnl"/>
        </w:rPr>
      </w:pPr>
      <w:r>
        <w:rPr>
          <w:rFonts w:eastAsia="Palatino Linotype" w:cs="Palatino Linotype"/>
          <w:szCs w:val="24"/>
          <w:lang w:val="es-ES_tradnl"/>
        </w:rPr>
        <w:t>Por tanto, es necesario hacer referencia a lo dispuesto por los artículos 4, 12 y 24 último párrafo de la Ley de Transparencia local, en los que se establece lo siguiente:</w:t>
      </w:r>
    </w:p>
    <w:p w14:paraId="0A9783FC" w14:textId="71AF1DFB" w:rsidR="001E199E" w:rsidRDefault="001E199E" w:rsidP="00612B5A">
      <w:pPr>
        <w:rPr>
          <w:rFonts w:eastAsia="Palatino Linotype" w:cs="Palatino Linotype"/>
          <w:szCs w:val="24"/>
          <w:lang w:val="es-ES_tradnl"/>
        </w:rPr>
      </w:pPr>
    </w:p>
    <w:p w14:paraId="2A672AD0" w14:textId="77777777" w:rsidR="001E199E" w:rsidRPr="001E199E" w:rsidRDefault="001E199E" w:rsidP="001E199E">
      <w:pPr>
        <w:pStyle w:val="Sinespaciado"/>
        <w:rPr>
          <w:rFonts w:eastAsia="Palatino Linotype"/>
        </w:rPr>
      </w:pPr>
      <w:r w:rsidRPr="001E199E">
        <w:rPr>
          <w:rFonts w:eastAsia="Palatino Linotype"/>
          <w:b/>
        </w:rPr>
        <w:t xml:space="preserve">Artículo 4. </w:t>
      </w:r>
      <w:r w:rsidRPr="001E199E">
        <w:rPr>
          <w:rFonts w:eastAsia="Palatino Linotype"/>
        </w:rPr>
        <w:t>El derecho humano de acceso a la información pública es la prerrogativa de las personas para buscar, difundir, investigar, recabar, recibir y solicitar información pública, sin necesidad de acreditar personalidad ni interés jurídico.</w:t>
      </w:r>
    </w:p>
    <w:p w14:paraId="52E22888" w14:textId="77777777" w:rsidR="001E199E" w:rsidRPr="001E199E" w:rsidRDefault="001E199E" w:rsidP="001E199E">
      <w:pPr>
        <w:pStyle w:val="Sinespaciado"/>
        <w:rPr>
          <w:rFonts w:eastAsia="Palatino Linotype"/>
        </w:rPr>
      </w:pPr>
    </w:p>
    <w:p w14:paraId="4939C15F" w14:textId="77777777" w:rsidR="001E199E" w:rsidRPr="001E199E" w:rsidRDefault="001E199E" w:rsidP="001E199E">
      <w:pPr>
        <w:pStyle w:val="Sinespaciado"/>
        <w:rPr>
          <w:rFonts w:eastAsia="Palatino Linotype"/>
        </w:rPr>
      </w:pPr>
      <w:r w:rsidRPr="001E199E">
        <w:rPr>
          <w:rFonts w:eastAsia="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BC3CCB" w14:textId="77777777" w:rsidR="001E199E" w:rsidRPr="001E199E" w:rsidRDefault="001E199E" w:rsidP="001E199E">
      <w:pPr>
        <w:pStyle w:val="Sinespaciado"/>
        <w:rPr>
          <w:rFonts w:eastAsia="Palatino Linotype"/>
        </w:rPr>
      </w:pPr>
    </w:p>
    <w:p w14:paraId="661E124E" w14:textId="05902CF7" w:rsidR="001E199E" w:rsidRDefault="001E199E" w:rsidP="001E199E">
      <w:pPr>
        <w:pStyle w:val="Sinespaciado"/>
        <w:rPr>
          <w:rFonts w:eastAsia="Palatino Linotype"/>
        </w:rPr>
      </w:pPr>
      <w:r w:rsidRPr="001E199E">
        <w:rPr>
          <w:rFonts w:eastAsia="Palatino Linotype"/>
        </w:rPr>
        <w:t>Los sujetos obligados deben poner en práctica, políticas y programas de acceso a la información que se apeguen a criterios de publicidad, veracidad, oportunidad, precisión y suficiencia en beneficio de los solicitantes.</w:t>
      </w:r>
    </w:p>
    <w:p w14:paraId="0719A26D" w14:textId="7D78E6E4" w:rsidR="001E199E" w:rsidRDefault="001E199E" w:rsidP="001E199E">
      <w:pPr>
        <w:pStyle w:val="Sinespaciado"/>
        <w:rPr>
          <w:rFonts w:eastAsia="Palatino Linotype"/>
        </w:rPr>
      </w:pPr>
    </w:p>
    <w:p w14:paraId="4DC5A438" w14:textId="77777777" w:rsidR="001E199E" w:rsidRPr="001E199E" w:rsidRDefault="001E199E" w:rsidP="001E199E">
      <w:pPr>
        <w:pStyle w:val="Sinespaciado"/>
        <w:rPr>
          <w:rFonts w:eastAsia="Palatino Linotype"/>
        </w:rPr>
      </w:pPr>
      <w:r w:rsidRPr="001E199E">
        <w:rPr>
          <w:rFonts w:eastAsia="Palatino Linotype"/>
          <w:b/>
        </w:rPr>
        <w:t xml:space="preserve">Artículo 12. </w:t>
      </w:r>
      <w:r w:rsidRPr="001E199E">
        <w:rPr>
          <w:rFonts w:eastAsia="Palatino Linotype"/>
        </w:rPr>
        <w:t>Quienes generen, recopilen, administren, manejen, procesen, archiven o conserven información pública serán responsables de la misma en los términos de las disposiciones jurídicas aplicables.</w:t>
      </w:r>
    </w:p>
    <w:p w14:paraId="3239CAD7" w14:textId="77777777" w:rsidR="001E199E" w:rsidRPr="001E199E" w:rsidRDefault="001E199E" w:rsidP="001E199E">
      <w:pPr>
        <w:pStyle w:val="Sinespaciado"/>
        <w:rPr>
          <w:rFonts w:eastAsia="Palatino Linotype"/>
        </w:rPr>
      </w:pPr>
    </w:p>
    <w:p w14:paraId="6E27736B" w14:textId="77777777" w:rsidR="001E199E" w:rsidRPr="001E199E" w:rsidRDefault="001E199E" w:rsidP="001E199E">
      <w:pPr>
        <w:pStyle w:val="Sinespaciado"/>
        <w:rPr>
          <w:rFonts w:eastAsia="Palatino Linotype"/>
        </w:rPr>
      </w:pPr>
      <w:r w:rsidRPr="001E199E">
        <w:rPr>
          <w:rFonts w:eastAsia="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3EBAFB" w14:textId="41AD6745" w:rsidR="001E199E" w:rsidRDefault="001E199E" w:rsidP="001E199E">
      <w:pPr>
        <w:pStyle w:val="Sinespaciado"/>
        <w:rPr>
          <w:rFonts w:eastAsia="Palatino Linotype"/>
        </w:rPr>
      </w:pPr>
    </w:p>
    <w:p w14:paraId="345FA07A" w14:textId="1BFC8BAF" w:rsidR="001E199E" w:rsidRPr="001E199E" w:rsidRDefault="001E199E" w:rsidP="001E199E">
      <w:pPr>
        <w:pStyle w:val="Sinespaciado"/>
        <w:rPr>
          <w:rFonts w:eastAsia="Palatino Linotype"/>
          <w:bCs/>
        </w:rPr>
      </w:pPr>
      <w:r w:rsidRPr="001E199E">
        <w:rPr>
          <w:rFonts w:eastAsia="Palatino Linotype"/>
          <w:b/>
        </w:rPr>
        <w:t>Artículo 24.</w:t>
      </w:r>
      <w:r>
        <w:rPr>
          <w:rFonts w:eastAsia="Palatino Linotype"/>
          <w:bCs/>
        </w:rPr>
        <w:t xml:space="preserve"> (…)</w:t>
      </w:r>
    </w:p>
    <w:p w14:paraId="3CC23FD2" w14:textId="0317210D" w:rsidR="001E199E" w:rsidRDefault="001E199E" w:rsidP="001E199E">
      <w:pPr>
        <w:pStyle w:val="Sinespaciado"/>
        <w:rPr>
          <w:rFonts w:eastAsia="Palatino Linotype"/>
          <w:lang w:val="es-ES_tradnl"/>
        </w:rPr>
      </w:pPr>
    </w:p>
    <w:p w14:paraId="295BA752" w14:textId="68E04C44" w:rsidR="001E199E" w:rsidRDefault="001E199E" w:rsidP="001E199E">
      <w:pPr>
        <w:pStyle w:val="Sinespaciado"/>
        <w:rPr>
          <w:rFonts w:eastAsia="Palatino Linotype"/>
          <w:lang w:val="es-ES_tradnl"/>
        </w:rPr>
      </w:pPr>
      <w:r w:rsidRPr="001E199E">
        <w:rPr>
          <w:rFonts w:eastAsia="Palatino Linotype"/>
        </w:rPr>
        <w:t>Los sujetos obligados solo proporcionarán la información pública que generen, administren o posean en el ejercicio de sus atribuciones.</w:t>
      </w:r>
    </w:p>
    <w:p w14:paraId="69722DE7" w14:textId="77777777" w:rsidR="001E199E" w:rsidRPr="001E199E" w:rsidRDefault="001E199E" w:rsidP="00612B5A">
      <w:pPr>
        <w:rPr>
          <w:rFonts w:eastAsia="Palatino Linotype" w:cs="Palatino Linotype"/>
          <w:szCs w:val="24"/>
          <w:lang w:val="es-ES_tradnl"/>
        </w:rPr>
      </w:pPr>
    </w:p>
    <w:p w14:paraId="640C98EC" w14:textId="609B2C16" w:rsidR="004B0982" w:rsidRDefault="00A513E1" w:rsidP="00612B5A">
      <w:pPr>
        <w:rPr>
          <w:rFonts w:eastAsia="Palatino Linotype" w:cs="Palatino Linotype"/>
          <w:szCs w:val="24"/>
          <w:lang w:val="es-ES_tradnl"/>
        </w:rPr>
      </w:pPr>
      <w:r>
        <w:rPr>
          <w:rFonts w:eastAsia="Palatino Linotype" w:cs="Palatino Linotype"/>
          <w:szCs w:val="24"/>
          <w:lang w:val="es-ES_tradnl"/>
        </w:rPr>
        <w:lastRenderedPageBreak/>
        <w:t>De la interpretación de los preceptos citados se desprende que toda la información que los sujetos obligados generen, posean o administren es considerada información pública, y que estos sólo proporcionaran la información que se les requiera y que obre en sus archivos; por ende, una vez que se demostró que el Sujeto Obligado genera los documentos en los que puede constar la información solicitada por el Recurrente, ésta es considerada información pública y deberá ser entregada al solicitante.</w:t>
      </w:r>
    </w:p>
    <w:p w14:paraId="3BF72A97" w14:textId="1429AEE9" w:rsidR="00A513E1" w:rsidRDefault="00A513E1" w:rsidP="00612B5A">
      <w:pPr>
        <w:rPr>
          <w:rFonts w:eastAsia="Palatino Linotype" w:cs="Palatino Linotype"/>
          <w:szCs w:val="24"/>
          <w:lang w:val="es-ES_tradnl"/>
        </w:rPr>
      </w:pPr>
    </w:p>
    <w:p w14:paraId="1E27E222" w14:textId="7B6551B7" w:rsidR="00A513E1" w:rsidRDefault="00A513E1" w:rsidP="00612B5A">
      <w:pPr>
        <w:rPr>
          <w:rFonts w:eastAsia="Palatino Linotype" w:cs="Palatino Linotype"/>
          <w:szCs w:val="24"/>
          <w:lang w:val="es-ES_tradnl"/>
        </w:rPr>
      </w:pPr>
      <w:r>
        <w:rPr>
          <w:rFonts w:eastAsia="Palatino Linotype" w:cs="Palatino Linotype"/>
          <w:szCs w:val="24"/>
          <w:lang w:val="es-ES_tradnl"/>
        </w:rPr>
        <w:t xml:space="preserve">Por último, si bien es cierto que en los formatos analizados durante el estudio no se </w:t>
      </w:r>
      <w:r w:rsidR="00111129">
        <w:rPr>
          <w:rFonts w:eastAsia="Palatino Linotype" w:cs="Palatino Linotype"/>
          <w:szCs w:val="24"/>
          <w:lang w:val="es-ES_tradnl"/>
        </w:rPr>
        <w:t>observa</w:t>
      </w:r>
      <w:r>
        <w:rPr>
          <w:rFonts w:eastAsia="Palatino Linotype" w:cs="Palatino Linotype"/>
          <w:szCs w:val="24"/>
          <w:lang w:val="es-ES_tradnl"/>
        </w:rPr>
        <w:t xml:space="preserve"> que se contenga información susceptible de ser clasificada</w:t>
      </w:r>
      <w:r w:rsidR="00111129">
        <w:rPr>
          <w:rFonts w:eastAsia="Palatino Linotype" w:cs="Palatino Linotype"/>
          <w:szCs w:val="24"/>
          <w:lang w:val="es-ES_tradnl"/>
        </w:rPr>
        <w:t>; en el supuesto de que el Sujeto Obligado advierta que existe información que debe ser protegida, deberá hacer entrega del documento en versión pública; de no ser así, es viable que se entreguen los documentos en su versión íntegra.</w:t>
      </w:r>
    </w:p>
    <w:p w14:paraId="0E374069" w14:textId="78AEB3BD" w:rsidR="00B350B2" w:rsidRDefault="00B350B2" w:rsidP="00612B5A">
      <w:pPr>
        <w:rPr>
          <w:rFonts w:eastAsia="Palatino Linotype" w:cs="Palatino Linotype"/>
          <w:szCs w:val="24"/>
          <w:lang w:val="es-ES_tradnl"/>
        </w:rPr>
      </w:pPr>
    </w:p>
    <w:p w14:paraId="7C8464E6" w14:textId="36A2874A" w:rsidR="00612B5A" w:rsidRPr="00612B5A" w:rsidRDefault="00612B5A" w:rsidP="00612B5A">
      <w:pPr>
        <w:contextualSpacing/>
        <w:rPr>
          <w:rFonts w:eastAsia="Palatino Linotype" w:cs="Palatino Linotype"/>
          <w:szCs w:val="24"/>
          <w:lang w:val="es-ES_tradnl"/>
        </w:rPr>
      </w:pPr>
      <w:r w:rsidRPr="00612B5A">
        <w:rPr>
          <w:rFonts w:eastAsia="Palatino Linotype" w:cs="Palatino Linotype"/>
          <w:szCs w:val="24"/>
          <w:lang w:val="es-ES_tradnl"/>
        </w:rPr>
        <w:t xml:space="preserve">En virtud de lo anterior, este Órgano Garante estima que los motivos de inconformidad del Recurrente devienen fundados, por lo que es procedente </w:t>
      </w:r>
      <w:r w:rsidR="00111129">
        <w:rPr>
          <w:rFonts w:eastAsia="Palatino Linotype" w:cs="Palatino Linotype"/>
          <w:szCs w:val="24"/>
          <w:lang w:val="es-ES_tradnl"/>
        </w:rPr>
        <w:t>revo</w:t>
      </w:r>
      <w:r w:rsidRPr="00612B5A">
        <w:rPr>
          <w:rFonts w:eastAsia="Palatino Linotype" w:cs="Palatino Linotype"/>
          <w:szCs w:val="24"/>
          <w:lang w:val="es-ES_tradnl"/>
        </w:rPr>
        <w:t>car la respuesta del Sujeto Obligado y ordenar la entrega de l</w:t>
      </w:r>
      <w:r w:rsidR="00111129">
        <w:rPr>
          <w:rFonts w:eastAsia="Palatino Linotype" w:cs="Palatino Linotype"/>
          <w:szCs w:val="24"/>
          <w:lang w:val="es-ES_tradnl"/>
        </w:rPr>
        <w:t>os documentos en donde conste el programa anual de obras del ejercicio 2021, así como los avances que se hayan realizado durante el primer trimestre del ejercicio 2022, en versión pública de ser procedente.</w:t>
      </w:r>
    </w:p>
    <w:p w14:paraId="7E1FB846" w14:textId="77777777" w:rsidR="00612B5A" w:rsidRPr="00612B5A" w:rsidRDefault="00612B5A" w:rsidP="00612B5A">
      <w:pPr>
        <w:rPr>
          <w:lang w:val="es-ES_tradnl"/>
        </w:rPr>
      </w:pPr>
    </w:p>
    <w:p w14:paraId="21ED44DA" w14:textId="77777777" w:rsidR="00612B5A" w:rsidRPr="00612B5A" w:rsidRDefault="00612B5A" w:rsidP="00612B5A">
      <w:pPr>
        <w:keepNext/>
        <w:keepLines/>
        <w:outlineLvl w:val="2"/>
        <w:rPr>
          <w:rFonts w:eastAsiaTheme="majorEastAsia" w:cstheme="majorBidi"/>
          <w:b/>
          <w:i/>
          <w:color w:val="000000" w:themeColor="text1"/>
          <w:sz w:val="25"/>
          <w:szCs w:val="25"/>
          <w:u w:val="single"/>
          <w:lang w:val="es-ES_tradnl"/>
        </w:rPr>
      </w:pPr>
      <w:r w:rsidRPr="00612B5A">
        <w:rPr>
          <w:rFonts w:eastAsiaTheme="majorEastAsia" w:cstheme="majorBidi"/>
          <w:b/>
          <w:i/>
          <w:color w:val="000000" w:themeColor="text1"/>
          <w:sz w:val="25"/>
          <w:szCs w:val="25"/>
          <w:u w:val="single"/>
          <w:lang w:val="es-ES_tradnl"/>
        </w:rPr>
        <w:t>DE LA VERSIÓN PÚBLICA.</w:t>
      </w:r>
    </w:p>
    <w:p w14:paraId="26771692"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 xml:space="preserve">En la elaboración de la versión pública se deberá considera lo dispuesto en los artículos 3 fracciones IX, XX, XXI y XLV, 91 y 132 fracciones II y III de la Ley de Transparencia y </w:t>
      </w:r>
      <w:r w:rsidRPr="00612B5A">
        <w:rPr>
          <w:rFonts w:eastAsia="Palatino Linotype" w:cs="Palatino Linotype"/>
          <w:szCs w:val="24"/>
          <w:lang w:val="es-ES_tradnl"/>
        </w:rPr>
        <w:lastRenderedPageBreak/>
        <w:t>Acceso a la Información Pública del Estado de México y Municipios que establecen lo siguiente:</w:t>
      </w:r>
    </w:p>
    <w:p w14:paraId="41A99B6E" w14:textId="77777777" w:rsidR="00612B5A" w:rsidRPr="00612B5A" w:rsidRDefault="00612B5A" w:rsidP="00612B5A">
      <w:pPr>
        <w:rPr>
          <w:rFonts w:eastAsia="Palatino Linotype" w:cs="Palatino Linotype"/>
          <w:szCs w:val="24"/>
          <w:lang w:val="es-ES_tradnl"/>
        </w:rPr>
      </w:pPr>
    </w:p>
    <w:p w14:paraId="22BCB43D"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Artículo 3.</w:t>
      </w:r>
      <w:r w:rsidRPr="00612B5A">
        <w:rPr>
          <w:rFonts w:eastAsia="Palatino Linotype" w:cs="Palatino Linotype"/>
          <w:i/>
          <w:sz w:val="22"/>
          <w:lang w:val="es-ES_tradnl"/>
        </w:rPr>
        <w:t xml:space="preserve"> Para los efectos de la presente Ley se entenderá por:</w:t>
      </w:r>
    </w:p>
    <w:p w14:paraId="3C5B4381"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w:t>
      </w:r>
    </w:p>
    <w:p w14:paraId="1439804F"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IX. Datos personales:</w:t>
      </w:r>
      <w:r w:rsidRPr="00612B5A">
        <w:rPr>
          <w:rFonts w:eastAsia="Palatino Linotype" w:cs="Palatino Linotype"/>
          <w:i/>
          <w:sz w:val="22"/>
          <w:lang w:val="es-ES_tradnl"/>
        </w:rPr>
        <w:t xml:space="preserve"> La información concerniente a una persona, identificada o identificable según lo dispuesto por la Ley de Protección de Datos Personales del Estado de México; </w:t>
      </w:r>
    </w:p>
    <w:p w14:paraId="7CFC255F"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XX.</w:t>
      </w:r>
      <w:r w:rsidRPr="00612B5A">
        <w:rPr>
          <w:rFonts w:eastAsia="Palatino Linotype" w:cs="Palatino Linotype"/>
          <w:i/>
          <w:sz w:val="22"/>
          <w:lang w:val="es-ES_tradnl"/>
        </w:rPr>
        <w:t xml:space="preserve"> </w:t>
      </w:r>
      <w:r w:rsidRPr="00612B5A">
        <w:rPr>
          <w:rFonts w:eastAsia="Palatino Linotype" w:cs="Palatino Linotype"/>
          <w:b/>
          <w:i/>
          <w:sz w:val="22"/>
          <w:lang w:val="es-ES_tradnl"/>
        </w:rPr>
        <w:t>Información clasificada:</w:t>
      </w:r>
      <w:r w:rsidRPr="00612B5A">
        <w:rPr>
          <w:rFonts w:eastAsia="Palatino Linotype" w:cs="Palatino Linotype"/>
          <w:i/>
          <w:sz w:val="22"/>
          <w:lang w:val="es-ES_tradnl"/>
        </w:rPr>
        <w:t xml:space="preserve"> Aquella considerada por la presente Ley como reservada o confidencial;</w:t>
      </w:r>
    </w:p>
    <w:p w14:paraId="7032A312"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XXI.</w:t>
      </w:r>
      <w:r w:rsidRPr="00612B5A">
        <w:rPr>
          <w:rFonts w:eastAsia="Palatino Linotype" w:cs="Palatino Linotype"/>
          <w:i/>
          <w:sz w:val="22"/>
          <w:lang w:val="es-ES_tradnl"/>
        </w:rPr>
        <w:t xml:space="preserve"> </w:t>
      </w:r>
      <w:r w:rsidRPr="00612B5A">
        <w:rPr>
          <w:rFonts w:eastAsia="Palatino Linotype" w:cs="Palatino Linotype"/>
          <w:b/>
          <w:i/>
          <w:sz w:val="22"/>
          <w:lang w:val="es-ES_tradnl"/>
        </w:rPr>
        <w:t>Información confidencial:</w:t>
      </w:r>
      <w:r w:rsidRPr="00612B5A">
        <w:rPr>
          <w:rFonts w:eastAsia="Palatino Linotype" w:cs="Palatino Linotype"/>
          <w:i/>
          <w:sz w:val="22"/>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A6E997"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w:t>
      </w:r>
    </w:p>
    <w:p w14:paraId="5B5C3007"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XLV.</w:t>
      </w:r>
      <w:r w:rsidRPr="00612B5A">
        <w:rPr>
          <w:rFonts w:eastAsia="Palatino Linotype" w:cs="Palatino Linotype"/>
          <w:i/>
          <w:sz w:val="22"/>
          <w:lang w:val="es-ES_tradnl"/>
        </w:rPr>
        <w:t xml:space="preserve"> </w:t>
      </w:r>
      <w:r w:rsidRPr="00612B5A">
        <w:rPr>
          <w:rFonts w:eastAsia="Palatino Linotype" w:cs="Palatino Linotype"/>
          <w:b/>
          <w:i/>
          <w:sz w:val="22"/>
          <w:lang w:val="es-ES_tradnl"/>
        </w:rPr>
        <w:t>Versión pública:</w:t>
      </w:r>
      <w:r w:rsidRPr="00612B5A">
        <w:rPr>
          <w:rFonts w:eastAsia="Palatino Linotype" w:cs="Palatino Linotype"/>
          <w:i/>
          <w:sz w:val="22"/>
          <w:lang w:val="es-ES_tradnl"/>
        </w:rPr>
        <w:t xml:space="preserve"> Documento en el que se elimine, suprime o borra la información clasificada como reservada o confidencial para permitir su acceso.</w:t>
      </w:r>
    </w:p>
    <w:p w14:paraId="7AAB6524"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w:t>
      </w:r>
    </w:p>
    <w:p w14:paraId="1C5405CC" w14:textId="77777777" w:rsidR="00612B5A" w:rsidRPr="00612B5A" w:rsidRDefault="00612B5A" w:rsidP="00612B5A">
      <w:pPr>
        <w:spacing w:line="259" w:lineRule="auto"/>
        <w:ind w:left="567" w:right="567"/>
        <w:rPr>
          <w:rFonts w:eastAsia="Palatino Linotype" w:cs="Palatino Linotype"/>
          <w:i/>
          <w:sz w:val="22"/>
          <w:lang w:val="es-ES_tradnl"/>
        </w:rPr>
      </w:pPr>
    </w:p>
    <w:p w14:paraId="5E6F365A"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 xml:space="preserve">Artículo 91. </w:t>
      </w:r>
      <w:r w:rsidRPr="00612B5A">
        <w:rPr>
          <w:rFonts w:eastAsia="Palatino Linotype" w:cs="Palatino Linotype"/>
          <w:i/>
          <w:sz w:val="22"/>
          <w:lang w:val="es-ES_tradnl"/>
        </w:rPr>
        <w:t>El acceso a la información pública será restringido excepcionalmente, cuando ésta sea clasificada como reservada o confidencial.</w:t>
      </w:r>
    </w:p>
    <w:p w14:paraId="6B851354" w14:textId="77777777" w:rsidR="00612B5A" w:rsidRPr="00612B5A" w:rsidRDefault="00612B5A" w:rsidP="00612B5A">
      <w:pPr>
        <w:spacing w:line="259" w:lineRule="auto"/>
        <w:ind w:left="567" w:right="567"/>
        <w:rPr>
          <w:rFonts w:eastAsia="Palatino Linotype" w:cs="Palatino Linotype"/>
          <w:i/>
          <w:sz w:val="22"/>
          <w:lang w:val="es-ES_tradnl"/>
        </w:rPr>
      </w:pPr>
    </w:p>
    <w:p w14:paraId="6B436849"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Artículo 132.</w:t>
      </w:r>
      <w:r w:rsidRPr="00612B5A">
        <w:rPr>
          <w:rFonts w:eastAsia="Palatino Linotype" w:cs="Palatino Linotype"/>
          <w:i/>
          <w:sz w:val="22"/>
          <w:lang w:val="es-ES_tradnl"/>
        </w:rPr>
        <w:t xml:space="preserve"> </w:t>
      </w:r>
      <w:r w:rsidRPr="00612B5A">
        <w:rPr>
          <w:rFonts w:eastAsia="Palatino Linotype" w:cs="Palatino Linotype"/>
          <w:i/>
          <w:sz w:val="22"/>
          <w:u w:val="single"/>
          <w:lang w:val="es-ES_tradnl"/>
        </w:rPr>
        <w:t>La clasificación de la información se llevará a cabo en el momento en que</w:t>
      </w:r>
      <w:r w:rsidRPr="00612B5A">
        <w:rPr>
          <w:rFonts w:eastAsia="Palatino Linotype" w:cs="Palatino Linotype"/>
          <w:i/>
          <w:sz w:val="22"/>
          <w:lang w:val="es-ES_tradnl"/>
        </w:rPr>
        <w:t>:</w:t>
      </w:r>
    </w:p>
    <w:p w14:paraId="1404B295"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I.</w:t>
      </w:r>
      <w:r w:rsidRPr="00612B5A">
        <w:rPr>
          <w:rFonts w:eastAsia="Palatino Linotype" w:cs="Palatino Linotype"/>
          <w:i/>
          <w:sz w:val="22"/>
          <w:lang w:val="es-ES_tradnl"/>
        </w:rPr>
        <w:t xml:space="preserve"> Se reciba una solicitud de acceso a la información;</w:t>
      </w:r>
    </w:p>
    <w:p w14:paraId="1343AD90"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II.</w:t>
      </w:r>
      <w:r w:rsidRPr="00612B5A">
        <w:rPr>
          <w:rFonts w:eastAsia="Palatino Linotype" w:cs="Palatino Linotype"/>
          <w:i/>
          <w:sz w:val="22"/>
          <w:lang w:val="es-ES_tradnl"/>
        </w:rPr>
        <w:t xml:space="preserve"> </w:t>
      </w:r>
      <w:r w:rsidRPr="00612B5A">
        <w:rPr>
          <w:rFonts w:eastAsia="Palatino Linotype" w:cs="Palatino Linotype"/>
          <w:i/>
          <w:sz w:val="22"/>
          <w:u w:val="single"/>
          <w:lang w:val="es-ES_tradnl"/>
        </w:rPr>
        <w:t>Se determine mediante resolución de autoridad competente; o</w:t>
      </w:r>
    </w:p>
    <w:p w14:paraId="26661FF7" w14:textId="77777777" w:rsidR="00612B5A" w:rsidRPr="00612B5A" w:rsidRDefault="00612B5A" w:rsidP="00612B5A">
      <w:pPr>
        <w:spacing w:line="259" w:lineRule="auto"/>
        <w:ind w:left="567" w:right="567"/>
        <w:rPr>
          <w:rFonts w:eastAsia="Palatino Linotype" w:cs="Palatino Linotype"/>
          <w:i/>
          <w:sz w:val="22"/>
          <w:u w:val="single"/>
          <w:lang w:val="es-ES_tradnl"/>
        </w:rPr>
      </w:pPr>
      <w:r w:rsidRPr="00612B5A">
        <w:rPr>
          <w:rFonts w:eastAsia="Palatino Linotype" w:cs="Palatino Linotype"/>
          <w:b/>
          <w:i/>
          <w:sz w:val="22"/>
          <w:lang w:val="es-ES_tradnl"/>
        </w:rPr>
        <w:t>III.</w:t>
      </w:r>
      <w:r w:rsidRPr="00612B5A">
        <w:rPr>
          <w:rFonts w:eastAsia="Palatino Linotype" w:cs="Palatino Linotype"/>
          <w:i/>
          <w:sz w:val="22"/>
          <w:lang w:val="es-ES_tradnl"/>
        </w:rPr>
        <w:t xml:space="preserve"> </w:t>
      </w:r>
      <w:r w:rsidRPr="00612B5A">
        <w:rPr>
          <w:rFonts w:eastAsia="Palatino Linotype" w:cs="Palatino Linotype"/>
          <w:i/>
          <w:sz w:val="22"/>
          <w:u w:val="single"/>
          <w:lang w:val="es-ES_tradnl"/>
        </w:rPr>
        <w:t>Se generen versiones públicas para dar cumplimiento a las obligaciones de transparencia previstas en esta Ley.</w:t>
      </w:r>
    </w:p>
    <w:p w14:paraId="36E5187A"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w:t>
      </w:r>
    </w:p>
    <w:p w14:paraId="0DE8E0AE" w14:textId="77777777" w:rsidR="00612B5A" w:rsidRPr="00612B5A" w:rsidRDefault="00612B5A" w:rsidP="00612B5A">
      <w:pPr>
        <w:rPr>
          <w:rFonts w:eastAsia="Palatino Linotype" w:cs="Palatino Linotype"/>
          <w:i/>
          <w:szCs w:val="24"/>
          <w:lang w:val="es-ES_tradnl"/>
        </w:rPr>
      </w:pPr>
    </w:p>
    <w:p w14:paraId="3A003D51" w14:textId="439E8EE1" w:rsidR="00612B5A" w:rsidRPr="00612B5A" w:rsidRDefault="00612B5A" w:rsidP="00612B5A">
      <w:pPr>
        <w:rPr>
          <w:rFonts w:eastAsia="Palatino Linotype" w:cs="Palatino Linotype"/>
          <w:lang w:val="es-ES_tradnl"/>
        </w:rPr>
      </w:pPr>
      <w:r w:rsidRPr="00612B5A">
        <w:rPr>
          <w:rFonts w:eastAsia="Palatino Linotype" w:cs="Palatino Linotype"/>
          <w:lang w:val="es-ES_tradn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612B5A">
        <w:rPr>
          <w:rFonts w:eastAsia="Palatino Linotype" w:cs="Palatino Linotype"/>
          <w:lang w:val="es-ES_tradnl"/>
        </w:rPr>
        <w:lastRenderedPageBreak/>
        <w:t>particulares</w:t>
      </w:r>
      <w:r w:rsidR="00111129">
        <w:rPr>
          <w:rFonts w:eastAsia="Palatino Linotype" w:cs="Palatino Linotype"/>
          <w:lang w:val="es-ES_tradnl"/>
        </w:rPr>
        <w:t xml:space="preserve"> o aquella considerada susceptible de ser clasificada ya sea confidencial o reservada, según su naturaleza.</w:t>
      </w:r>
    </w:p>
    <w:p w14:paraId="363D188E" w14:textId="77777777" w:rsidR="00612B5A" w:rsidRPr="00612B5A" w:rsidRDefault="00612B5A" w:rsidP="00612B5A">
      <w:pPr>
        <w:rPr>
          <w:rFonts w:eastAsia="Palatino Linotype" w:cs="Palatino Linotype"/>
          <w:lang w:val="es-ES_tradnl"/>
        </w:rPr>
      </w:pPr>
    </w:p>
    <w:p w14:paraId="09C2C5D3"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 xml:space="preserve">Por otro lado, los </w:t>
      </w:r>
      <w:r w:rsidRPr="00612B5A">
        <w:rPr>
          <w:rFonts w:eastAsia="Palatino Linotype" w:cs="Palatino Linotype"/>
          <w:i/>
          <w:szCs w:val="24"/>
          <w:lang w:val="es-ES_tradnl"/>
        </w:rPr>
        <w:t>Lineamientos Generales en Materia de Clasificación y Desclasificación de la Información, así como para la elaboración de Versiones Públicas</w:t>
      </w:r>
      <w:r w:rsidRPr="00612B5A">
        <w:rPr>
          <w:rFonts w:eastAsia="Palatino Linotype" w:cs="Palatino Linotype"/>
          <w:szCs w:val="24"/>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02BF3B1" w14:textId="77777777" w:rsidR="00612B5A" w:rsidRPr="00612B5A" w:rsidRDefault="00612B5A" w:rsidP="00612B5A">
      <w:pPr>
        <w:rPr>
          <w:rFonts w:eastAsia="Palatino Linotype" w:cs="Palatino Linotype"/>
          <w:szCs w:val="24"/>
          <w:lang w:val="es-ES_tradnl"/>
        </w:rPr>
      </w:pPr>
    </w:p>
    <w:p w14:paraId="01307E15"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Entorno a lo que aquí nos interesa, los Lineamientos Quincuagésimo sexto, Quincuagésimo séptimo y Quincuagésimo octavo, establecen lo siguiente:</w:t>
      </w:r>
    </w:p>
    <w:p w14:paraId="3C61A89F" w14:textId="77777777" w:rsidR="00612B5A" w:rsidRPr="00612B5A" w:rsidRDefault="00612B5A" w:rsidP="00612B5A">
      <w:pPr>
        <w:rPr>
          <w:rFonts w:eastAsia="Palatino Linotype" w:cs="Palatino Linotype"/>
          <w:sz w:val="22"/>
          <w:lang w:val="es-ES_tradnl"/>
        </w:rPr>
      </w:pPr>
    </w:p>
    <w:p w14:paraId="098EB010"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Quincuagésimo sexto.</w:t>
      </w:r>
      <w:r w:rsidRPr="00612B5A">
        <w:rPr>
          <w:rFonts w:eastAsia="Palatino Linotype" w:cs="Palatino Linotype"/>
          <w:i/>
          <w:sz w:val="22"/>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204FBA7" w14:textId="77777777" w:rsidR="00612B5A" w:rsidRPr="00612B5A" w:rsidRDefault="00612B5A" w:rsidP="00612B5A">
      <w:pPr>
        <w:spacing w:line="259" w:lineRule="auto"/>
        <w:ind w:left="567" w:right="567"/>
        <w:rPr>
          <w:rFonts w:eastAsia="Palatino Linotype" w:cs="Palatino Linotype"/>
          <w:i/>
          <w:sz w:val="22"/>
          <w:lang w:val="es-ES_tradnl"/>
        </w:rPr>
      </w:pPr>
    </w:p>
    <w:p w14:paraId="54370517"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Quincuagésimo séptimo.</w:t>
      </w:r>
      <w:r w:rsidRPr="00612B5A">
        <w:rPr>
          <w:rFonts w:eastAsia="Palatino Linotype" w:cs="Palatino Linotype"/>
          <w:i/>
          <w:sz w:val="22"/>
          <w:lang w:val="es-ES_tradnl"/>
        </w:rPr>
        <w:t xml:space="preserve"> Se considera, en principio, como información pública y no podrá omitirse de las versiones públicas la siguiente:</w:t>
      </w:r>
    </w:p>
    <w:p w14:paraId="5DCB31E0"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 xml:space="preserve"> </w:t>
      </w:r>
    </w:p>
    <w:p w14:paraId="57453524"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 xml:space="preserve">I. La relativa a las Obligaciones de Transparencia que contempla el Título V de la Ley General y las demás disposiciones legales aplicables; </w:t>
      </w:r>
    </w:p>
    <w:p w14:paraId="15148CF5"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 xml:space="preserve">II. El nombre de los servidores públicos en los documentos, y sus firmas autógrafas, cuando sean utilizados en el ejercicio de las facultades conferidas para el desempeño del servicio público, y </w:t>
      </w:r>
    </w:p>
    <w:p w14:paraId="5070558A"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08E745D" w14:textId="77777777" w:rsidR="00612B5A" w:rsidRPr="00612B5A" w:rsidRDefault="00612B5A" w:rsidP="00612B5A">
      <w:pPr>
        <w:spacing w:line="259" w:lineRule="auto"/>
        <w:ind w:left="567" w:right="567"/>
        <w:rPr>
          <w:rFonts w:eastAsia="Palatino Linotype" w:cs="Palatino Linotype"/>
          <w:i/>
          <w:sz w:val="22"/>
          <w:lang w:val="es-ES_tradnl"/>
        </w:rPr>
      </w:pPr>
    </w:p>
    <w:p w14:paraId="7412D678"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i/>
          <w:sz w:val="22"/>
          <w:lang w:val="es-ES_tradnl"/>
        </w:rPr>
        <w:t xml:space="preserve">Lo anterior, siempre y cuando no se acredite alguna causal de clasificación, prevista en las leyes o en los tratados internacionales suscritos por el Estado mexicano. </w:t>
      </w:r>
    </w:p>
    <w:p w14:paraId="11BAACC3" w14:textId="77777777" w:rsidR="00612B5A" w:rsidRPr="00612B5A" w:rsidRDefault="00612B5A" w:rsidP="00612B5A">
      <w:pPr>
        <w:spacing w:line="259" w:lineRule="auto"/>
        <w:ind w:left="567" w:right="567"/>
        <w:rPr>
          <w:rFonts w:eastAsia="Palatino Linotype" w:cs="Palatino Linotype"/>
          <w:i/>
          <w:sz w:val="22"/>
          <w:lang w:val="es-ES_tradnl"/>
        </w:rPr>
      </w:pPr>
    </w:p>
    <w:p w14:paraId="41827AE6" w14:textId="77777777" w:rsidR="00612B5A" w:rsidRPr="00612B5A" w:rsidRDefault="00612B5A" w:rsidP="00612B5A">
      <w:pPr>
        <w:spacing w:line="259" w:lineRule="auto"/>
        <w:ind w:left="567" w:right="567"/>
        <w:rPr>
          <w:rFonts w:eastAsia="Palatino Linotype" w:cs="Palatino Linotype"/>
          <w:i/>
          <w:sz w:val="22"/>
          <w:lang w:val="es-ES_tradnl"/>
        </w:rPr>
      </w:pPr>
      <w:r w:rsidRPr="00612B5A">
        <w:rPr>
          <w:rFonts w:eastAsia="Palatino Linotype" w:cs="Palatino Linotype"/>
          <w:b/>
          <w:i/>
          <w:sz w:val="22"/>
          <w:lang w:val="es-ES_tradnl"/>
        </w:rPr>
        <w:t>Quincuagésimo octavo.</w:t>
      </w:r>
      <w:r w:rsidRPr="00612B5A">
        <w:rPr>
          <w:rFonts w:eastAsia="Palatino Linotype" w:cs="Palatino Linotype"/>
          <w:i/>
          <w:sz w:val="22"/>
          <w:lang w:val="es-ES_tradnl"/>
        </w:rPr>
        <w:t xml:space="preserve"> Los sujetos obligados garantizarán que los sistemas o medios empleados para eliminar la información en las versiones públicas no permitan la recuperación o visualización de la misma.</w:t>
      </w:r>
    </w:p>
    <w:p w14:paraId="45B19D06" w14:textId="77777777" w:rsidR="00612B5A" w:rsidRPr="00612B5A" w:rsidRDefault="00612B5A" w:rsidP="00612B5A">
      <w:pPr>
        <w:rPr>
          <w:rFonts w:eastAsia="Palatino Linotype" w:cs="Palatino Linotype"/>
          <w:i/>
          <w:szCs w:val="24"/>
          <w:lang w:val="es-ES_tradnl"/>
        </w:rPr>
      </w:pPr>
    </w:p>
    <w:p w14:paraId="49E1D65B"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7E93F77" w14:textId="77777777" w:rsidR="00612B5A" w:rsidRPr="00612B5A" w:rsidRDefault="00612B5A" w:rsidP="00612B5A">
      <w:pPr>
        <w:rPr>
          <w:rFonts w:eastAsia="Palatino Linotype" w:cs="Palatino Linotype"/>
          <w:szCs w:val="24"/>
          <w:lang w:val="es-ES_tradnl"/>
        </w:rPr>
      </w:pPr>
    </w:p>
    <w:p w14:paraId="4A34B356" w14:textId="77777777" w:rsidR="00612B5A" w:rsidRPr="00612B5A" w:rsidRDefault="00612B5A" w:rsidP="00612B5A">
      <w:pPr>
        <w:rPr>
          <w:rFonts w:eastAsia="Palatino Linotype" w:cs="Palatino Linotype"/>
          <w:szCs w:val="24"/>
          <w:lang w:val="es-ES_tradnl"/>
        </w:rPr>
      </w:pPr>
      <w:r w:rsidRPr="00612B5A">
        <w:rPr>
          <w:rFonts w:eastAsia="Palatino Linotype" w:cs="Palatino Linotype"/>
          <w:szCs w:val="24"/>
          <w:lang w:val="es-ES_tradnl"/>
        </w:rPr>
        <w:t>Por lo que respecta al Acuerdo del Comité de Transparencia que sustente la versión pública de la documentación a entregar, deberá ser notificado mediante el SAIMEX.</w:t>
      </w:r>
    </w:p>
    <w:p w14:paraId="62D0D4DD" w14:textId="77777777" w:rsidR="00612B5A" w:rsidRPr="00612B5A" w:rsidRDefault="00612B5A" w:rsidP="00612B5A">
      <w:pPr>
        <w:rPr>
          <w:rFonts w:eastAsia="Palatino Linotype" w:cs="Palatino Linotype"/>
          <w:szCs w:val="24"/>
          <w:lang w:val="es-ES_tradnl"/>
        </w:rPr>
      </w:pPr>
    </w:p>
    <w:p w14:paraId="00830E56" w14:textId="77777777" w:rsidR="00612B5A" w:rsidRPr="00612B5A" w:rsidRDefault="00612B5A" w:rsidP="00612B5A">
      <w:pPr>
        <w:pBdr>
          <w:top w:val="nil"/>
          <w:left w:val="nil"/>
          <w:bottom w:val="nil"/>
          <w:right w:val="nil"/>
          <w:between w:val="nil"/>
        </w:pBdr>
        <w:rPr>
          <w:rFonts w:eastAsia="Palatino Linotype" w:cs="Palatino Linotype"/>
          <w:color w:val="000000"/>
          <w:szCs w:val="24"/>
          <w:lang w:val="es-ES_tradnl"/>
        </w:rPr>
      </w:pPr>
      <w:r w:rsidRPr="00612B5A">
        <w:rPr>
          <w:rFonts w:eastAsia="Palatino Linotype" w:cs="Palatino Linotype"/>
          <w:color w:val="000000"/>
          <w:szCs w:val="24"/>
          <w:lang w:val="es-ES_tradnl"/>
        </w:rPr>
        <w:t xml:space="preserve">En ese tenor y de acuerdo con la interpretación en el orden administrativo que le da la Ley de la materia a este Instituto específicamente, en términos de su artículo 36, fracción </w:t>
      </w:r>
      <w:r w:rsidRPr="00612B5A">
        <w:rPr>
          <w:rFonts w:eastAsia="Palatino Linotype" w:cs="Palatino Linotype"/>
          <w:color w:val="000000"/>
          <w:szCs w:val="24"/>
          <w:lang w:val="es-ES_tradnl"/>
        </w:rPr>
        <w:lastRenderedPageBreak/>
        <w:t>I, de la Ley de Transparencia y Acceso a la Información Pública del Estado de México y Municipios, a efecto de salvaguardar el derecho de acceso a la información pública consignado a favor de la Recurrente.</w:t>
      </w:r>
    </w:p>
    <w:p w14:paraId="3EC9A9DF" w14:textId="77777777" w:rsidR="00612B5A" w:rsidRPr="00612B5A" w:rsidRDefault="00612B5A" w:rsidP="00612B5A">
      <w:pPr>
        <w:pBdr>
          <w:top w:val="nil"/>
          <w:left w:val="nil"/>
          <w:bottom w:val="nil"/>
          <w:right w:val="nil"/>
          <w:between w:val="nil"/>
        </w:pBdr>
        <w:rPr>
          <w:rFonts w:eastAsia="Arial Unicode MS"/>
          <w:szCs w:val="24"/>
          <w:lang w:val="es-ES_tradnl"/>
        </w:rPr>
      </w:pPr>
    </w:p>
    <w:p w14:paraId="5986A56E" w14:textId="2D2B9FA3" w:rsidR="00612B5A" w:rsidRPr="00612B5A" w:rsidRDefault="00612B5A" w:rsidP="00612B5A">
      <w:pPr>
        <w:pBdr>
          <w:top w:val="nil"/>
          <w:left w:val="nil"/>
          <w:bottom w:val="nil"/>
          <w:right w:val="nil"/>
          <w:between w:val="nil"/>
        </w:pBdr>
        <w:rPr>
          <w:rFonts w:eastAsia="Palatino Linotype" w:cs="Palatino Linotype"/>
          <w:color w:val="000000"/>
          <w:szCs w:val="24"/>
          <w:lang w:val="es-ES_tradnl"/>
        </w:rPr>
      </w:pPr>
      <w:r w:rsidRPr="00612B5A">
        <w:rPr>
          <w:rFonts w:eastAsia="Palatino Linotype" w:cs="Palatino Linotype"/>
          <w:color w:val="000000"/>
          <w:szCs w:val="24"/>
          <w:lang w:val="es-ES_tradnl"/>
        </w:rPr>
        <w:t xml:space="preserve">En mérito de lo expuesto en líneas anteriores, este Instituto considera que los motivos de inconformidad planteados por la Recurrente resultan fundados en el recurso de revisión que es materia de esta resolución; por ello </w:t>
      </w:r>
      <w:r w:rsidRPr="00612B5A">
        <w:rPr>
          <w:rFonts w:eastAsia="Palatino Linotype" w:cs="Palatino Linotype"/>
          <w:b/>
          <w:color w:val="000000"/>
          <w:szCs w:val="24"/>
          <w:lang w:val="es-ES_tradnl"/>
        </w:rPr>
        <w:t xml:space="preserve">con fundamento en la </w:t>
      </w:r>
      <w:r w:rsidR="00F467A8">
        <w:rPr>
          <w:rFonts w:eastAsia="Palatino Linotype" w:cs="Palatino Linotype"/>
          <w:b/>
          <w:color w:val="000000"/>
          <w:szCs w:val="24"/>
          <w:lang w:val="es-ES_tradnl"/>
        </w:rPr>
        <w:t>primera</w:t>
      </w:r>
      <w:r w:rsidRPr="00612B5A">
        <w:rPr>
          <w:rFonts w:eastAsia="Palatino Linotype" w:cs="Palatino Linotype"/>
          <w:b/>
          <w:color w:val="000000"/>
          <w:szCs w:val="24"/>
          <w:lang w:val="es-ES_tradnl"/>
        </w:rPr>
        <w:t xml:space="preserve"> hipótesis de la fracción III del artículo 186 </w:t>
      </w:r>
      <w:r w:rsidRPr="00612B5A">
        <w:rPr>
          <w:rFonts w:eastAsia="Palatino Linotype" w:cs="Palatino Linotype"/>
          <w:color w:val="000000"/>
          <w:szCs w:val="24"/>
          <w:lang w:val="es-ES_tradnl"/>
        </w:rPr>
        <w:t xml:space="preserve">de la Ley de Transparencia y Acceso a la Información Pública del Estado de México y Municipios, se </w:t>
      </w:r>
      <w:r w:rsidR="00F467A8">
        <w:rPr>
          <w:rFonts w:eastAsia="Palatino Linotype" w:cs="Palatino Linotype"/>
          <w:b/>
          <w:color w:val="000000"/>
          <w:szCs w:val="24"/>
          <w:lang w:val="es-ES_tradnl"/>
        </w:rPr>
        <w:t>REVO</w:t>
      </w:r>
      <w:r w:rsidRPr="00612B5A">
        <w:rPr>
          <w:rFonts w:eastAsia="Palatino Linotype" w:cs="Palatino Linotype"/>
          <w:b/>
          <w:color w:val="000000"/>
          <w:szCs w:val="24"/>
          <w:lang w:val="es-ES_tradnl"/>
        </w:rPr>
        <w:t xml:space="preserve">CA </w:t>
      </w:r>
      <w:r w:rsidRPr="00612B5A">
        <w:rPr>
          <w:rFonts w:eastAsia="Palatino Linotype" w:cs="Palatino Linotype"/>
          <w:color w:val="000000"/>
          <w:szCs w:val="24"/>
          <w:lang w:val="es-ES_tradnl"/>
        </w:rPr>
        <w:t>la respuesta a la solicitud de información número</w:t>
      </w:r>
      <w:r w:rsidRPr="00612B5A">
        <w:rPr>
          <w:rFonts w:eastAsia="Palatino Linotype" w:cs="Palatino Linotype"/>
          <w:b/>
          <w:color w:val="000000"/>
          <w:szCs w:val="24"/>
          <w:lang w:val="es-ES_tradnl"/>
        </w:rPr>
        <w:t xml:space="preserve"> </w:t>
      </w:r>
      <w:r w:rsidR="00F467A8" w:rsidRPr="00F467A8">
        <w:rPr>
          <w:rFonts w:eastAsia="Palatino Linotype" w:cs="Palatino Linotype"/>
          <w:b/>
          <w:bCs/>
          <w:color w:val="000000"/>
          <w:szCs w:val="24"/>
          <w:lang w:val="es-ES_tradnl"/>
        </w:rPr>
        <w:t>00212/MALINAL/IP/2022</w:t>
      </w:r>
      <w:r w:rsidRPr="00612B5A">
        <w:rPr>
          <w:rFonts w:eastAsia="Palatino Linotype" w:cs="Palatino Linotype"/>
          <w:color w:val="000000"/>
          <w:szCs w:val="24"/>
          <w:lang w:val="es-ES_tradnl"/>
        </w:rPr>
        <w:t>, que ha sido materia del presente estudio.</w:t>
      </w:r>
    </w:p>
    <w:p w14:paraId="1D8554F7" w14:textId="77777777" w:rsidR="00612B5A" w:rsidRPr="00612B5A" w:rsidRDefault="00612B5A" w:rsidP="00612B5A">
      <w:pPr>
        <w:pBdr>
          <w:top w:val="nil"/>
          <w:left w:val="nil"/>
          <w:bottom w:val="nil"/>
          <w:right w:val="nil"/>
          <w:between w:val="nil"/>
        </w:pBdr>
        <w:rPr>
          <w:rFonts w:eastAsia="Palatino Linotype" w:cs="Palatino Linotype"/>
          <w:color w:val="000000"/>
          <w:szCs w:val="24"/>
          <w:lang w:val="es-ES_tradnl"/>
        </w:rPr>
      </w:pPr>
    </w:p>
    <w:p w14:paraId="1F193FB4" w14:textId="77777777" w:rsidR="00612B5A" w:rsidRPr="00612B5A" w:rsidRDefault="00612B5A" w:rsidP="00612B5A">
      <w:pPr>
        <w:pBdr>
          <w:top w:val="nil"/>
          <w:left w:val="nil"/>
          <w:bottom w:val="nil"/>
          <w:right w:val="nil"/>
          <w:between w:val="nil"/>
        </w:pBdr>
        <w:rPr>
          <w:rFonts w:eastAsia="Palatino Linotype" w:cs="Palatino Linotype"/>
          <w:color w:val="000000"/>
          <w:szCs w:val="24"/>
          <w:lang w:val="es-ES_tradnl"/>
        </w:rPr>
      </w:pPr>
      <w:r w:rsidRPr="00612B5A">
        <w:rPr>
          <w:rFonts w:eastAsia="Palatino Linotype" w:cs="Palatino Linotype"/>
          <w:color w:val="000000"/>
          <w:szCs w:val="24"/>
          <w:lang w:val="es-ES_tradnl"/>
        </w:rPr>
        <w:t>Por lo antes expuesto y fundado es de resolverse y,</w:t>
      </w:r>
    </w:p>
    <w:p w14:paraId="6F65FBED" w14:textId="77777777" w:rsidR="00612B5A" w:rsidRPr="00612B5A" w:rsidRDefault="00612B5A" w:rsidP="00612B5A">
      <w:pPr>
        <w:pBdr>
          <w:top w:val="nil"/>
          <w:left w:val="nil"/>
          <w:bottom w:val="nil"/>
          <w:right w:val="nil"/>
          <w:between w:val="nil"/>
        </w:pBdr>
        <w:jc w:val="center"/>
        <w:rPr>
          <w:rFonts w:eastAsia="Palatino Linotype" w:cs="Palatino Linotype"/>
          <w:b/>
          <w:color w:val="000000"/>
          <w:sz w:val="28"/>
          <w:szCs w:val="28"/>
          <w:lang w:val="es-ES_tradnl"/>
        </w:rPr>
      </w:pPr>
      <w:r w:rsidRPr="00612B5A">
        <w:rPr>
          <w:rFonts w:eastAsia="Palatino Linotype" w:cs="Palatino Linotype"/>
          <w:b/>
          <w:color w:val="000000"/>
          <w:sz w:val="28"/>
          <w:szCs w:val="28"/>
          <w:lang w:val="es-ES_tradnl"/>
        </w:rPr>
        <w:t>S E    R E S U E L V E</w:t>
      </w:r>
    </w:p>
    <w:p w14:paraId="367E97CD" w14:textId="77777777" w:rsidR="00612B5A" w:rsidRPr="00612B5A" w:rsidRDefault="00612B5A" w:rsidP="00612B5A">
      <w:pPr>
        <w:pBdr>
          <w:top w:val="nil"/>
          <w:left w:val="nil"/>
          <w:bottom w:val="nil"/>
          <w:right w:val="nil"/>
          <w:between w:val="nil"/>
        </w:pBdr>
        <w:rPr>
          <w:rFonts w:eastAsia="Palatino Linotype" w:cs="Palatino Linotype"/>
          <w:b/>
          <w:color w:val="000000"/>
          <w:szCs w:val="24"/>
          <w:lang w:val="es-ES_tradnl"/>
        </w:rPr>
      </w:pPr>
    </w:p>
    <w:p w14:paraId="3192721C" w14:textId="1BA8CD3C"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r w:rsidRPr="00F467A8">
        <w:rPr>
          <w:rFonts w:eastAsia="Palatino Linotype" w:cs="Palatino Linotype"/>
          <w:b/>
          <w:color w:val="000000"/>
          <w:szCs w:val="24"/>
          <w:lang w:val="es-ES_tradnl"/>
        </w:rPr>
        <w:t>PRIMERO.</w:t>
      </w:r>
      <w:r w:rsidRPr="00F467A8">
        <w:rPr>
          <w:rFonts w:eastAsia="Palatino Linotype" w:cs="Palatino Linotype"/>
          <w:color w:val="000000"/>
          <w:szCs w:val="24"/>
          <w:lang w:val="es-ES_tradnl"/>
        </w:rPr>
        <w:t xml:space="preserve"> Se </w:t>
      </w:r>
      <w:r w:rsidR="00F467A8" w:rsidRPr="00F467A8">
        <w:rPr>
          <w:rFonts w:eastAsia="Palatino Linotype" w:cs="Palatino Linotype"/>
          <w:b/>
          <w:color w:val="000000"/>
          <w:szCs w:val="24"/>
          <w:lang w:val="es-ES_tradnl"/>
        </w:rPr>
        <w:t>REVO</w:t>
      </w:r>
      <w:r w:rsidRPr="00F467A8">
        <w:rPr>
          <w:rFonts w:eastAsia="Palatino Linotype" w:cs="Palatino Linotype"/>
          <w:b/>
          <w:color w:val="000000"/>
          <w:szCs w:val="24"/>
          <w:lang w:val="es-ES_tradnl"/>
        </w:rPr>
        <w:t>CA</w:t>
      </w:r>
      <w:r w:rsidRPr="00F467A8">
        <w:rPr>
          <w:rFonts w:eastAsia="Palatino Linotype" w:cs="Palatino Linotype"/>
          <w:color w:val="000000"/>
          <w:szCs w:val="24"/>
          <w:lang w:val="es-ES_tradnl"/>
        </w:rPr>
        <w:t xml:space="preserve"> la respuesta entregada por el Sujeto Obligado</w:t>
      </w:r>
      <w:r w:rsidRPr="00F467A8">
        <w:rPr>
          <w:rFonts w:eastAsia="Palatino Linotype" w:cs="Palatino Linotype"/>
          <w:b/>
          <w:color w:val="000000"/>
          <w:szCs w:val="24"/>
          <w:lang w:val="es-ES_tradnl"/>
        </w:rPr>
        <w:t xml:space="preserve"> </w:t>
      </w:r>
      <w:r w:rsidRPr="00F467A8">
        <w:rPr>
          <w:rFonts w:eastAsia="Palatino Linotype" w:cs="Palatino Linotype"/>
          <w:color w:val="000000"/>
          <w:szCs w:val="24"/>
          <w:lang w:val="es-ES_tradnl"/>
        </w:rPr>
        <w:t xml:space="preserve">a la solicitud de información número </w:t>
      </w:r>
      <w:r w:rsidR="00F467A8" w:rsidRPr="00F467A8">
        <w:rPr>
          <w:rFonts w:eastAsia="Palatino Linotype" w:cs="Palatino Linotype"/>
          <w:b/>
          <w:bCs/>
          <w:color w:val="000000"/>
          <w:szCs w:val="24"/>
          <w:lang w:val="es-ES_tradnl"/>
        </w:rPr>
        <w:t>00212/MALINAL/IP/2022</w:t>
      </w:r>
      <w:r w:rsidRPr="00F467A8">
        <w:rPr>
          <w:rFonts w:eastAsia="Palatino Linotype" w:cs="Palatino Linotype"/>
          <w:color w:val="000000"/>
          <w:szCs w:val="24"/>
          <w:lang w:val="es-ES_tradnl"/>
        </w:rPr>
        <w:t>, por resultar fundados los motivos de inconformidad argüidos por el Recurrente, en término</w:t>
      </w:r>
      <w:bookmarkStart w:id="0" w:name="_GoBack"/>
      <w:bookmarkEnd w:id="0"/>
      <w:r w:rsidRPr="00F467A8">
        <w:rPr>
          <w:rFonts w:eastAsia="Palatino Linotype" w:cs="Palatino Linotype"/>
          <w:color w:val="000000"/>
          <w:szCs w:val="24"/>
          <w:lang w:val="es-ES_tradnl"/>
        </w:rPr>
        <w:t>s del</w:t>
      </w:r>
      <w:r w:rsidRPr="00F467A8">
        <w:rPr>
          <w:rFonts w:eastAsia="Palatino Linotype" w:cs="Palatino Linotype"/>
          <w:b/>
          <w:color w:val="000000"/>
          <w:szCs w:val="24"/>
          <w:lang w:val="es-ES_tradnl"/>
        </w:rPr>
        <w:t xml:space="preserve"> Considerando </w:t>
      </w:r>
      <w:r w:rsidR="00F467A8" w:rsidRPr="00F467A8">
        <w:rPr>
          <w:rFonts w:eastAsia="Palatino Linotype" w:cs="Palatino Linotype"/>
          <w:b/>
          <w:color w:val="000000"/>
          <w:szCs w:val="24"/>
          <w:lang w:val="es-ES_tradnl"/>
        </w:rPr>
        <w:t>QUIN</w:t>
      </w:r>
      <w:r w:rsidRPr="00F467A8">
        <w:rPr>
          <w:rFonts w:eastAsia="Palatino Linotype" w:cs="Palatino Linotype"/>
          <w:b/>
          <w:color w:val="000000"/>
          <w:szCs w:val="24"/>
          <w:lang w:val="es-ES_tradnl"/>
        </w:rPr>
        <w:t xml:space="preserve">TO </w:t>
      </w:r>
      <w:r w:rsidRPr="00F467A8">
        <w:rPr>
          <w:rFonts w:eastAsia="Palatino Linotype" w:cs="Palatino Linotype"/>
          <w:color w:val="000000"/>
          <w:szCs w:val="24"/>
          <w:lang w:val="es-ES_tradnl"/>
        </w:rPr>
        <w:t xml:space="preserve">de la presente resolución. </w:t>
      </w:r>
    </w:p>
    <w:p w14:paraId="5A305F75"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p>
    <w:p w14:paraId="0CCAE9B1" w14:textId="1F84EC7F"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r w:rsidRPr="00F467A8">
        <w:rPr>
          <w:rFonts w:eastAsia="Palatino Linotype" w:cs="Palatino Linotype"/>
          <w:b/>
          <w:color w:val="000000"/>
          <w:szCs w:val="24"/>
          <w:lang w:val="es-ES_tradnl"/>
        </w:rPr>
        <w:t>SEGUNDO.</w:t>
      </w:r>
      <w:r w:rsidRPr="00F467A8">
        <w:rPr>
          <w:rFonts w:eastAsia="Palatino Linotype" w:cs="Palatino Linotype"/>
          <w:color w:val="000000"/>
          <w:szCs w:val="24"/>
          <w:lang w:val="es-ES_tradnl"/>
        </w:rPr>
        <w:t xml:space="preserve"> Se </w:t>
      </w:r>
      <w:r w:rsidRPr="00F467A8">
        <w:rPr>
          <w:rFonts w:eastAsia="Palatino Linotype" w:cs="Palatino Linotype"/>
          <w:b/>
          <w:color w:val="000000"/>
          <w:szCs w:val="24"/>
          <w:lang w:val="es-ES_tradnl"/>
        </w:rPr>
        <w:t>ORDENA</w:t>
      </w:r>
      <w:r w:rsidRPr="00F467A8">
        <w:rPr>
          <w:rFonts w:eastAsia="Palatino Linotype" w:cs="Palatino Linotype"/>
          <w:color w:val="000000"/>
          <w:szCs w:val="24"/>
          <w:lang w:val="es-ES_tradnl"/>
        </w:rPr>
        <w:t xml:space="preserve"> al Sujeto Obligado que haga entrega al Recurrente mediante el Sistema de Acceso a la Información Mexiquense (SAIMEX), en versión pública </w:t>
      </w:r>
      <w:r w:rsidR="00F467A8" w:rsidRPr="00F467A8">
        <w:rPr>
          <w:rFonts w:eastAsia="Palatino Linotype" w:cs="Palatino Linotype"/>
          <w:color w:val="000000"/>
          <w:szCs w:val="24"/>
          <w:lang w:val="es-ES_tradnl"/>
        </w:rPr>
        <w:t xml:space="preserve">en caso de ser procedente </w:t>
      </w:r>
      <w:r w:rsidRPr="00F467A8">
        <w:rPr>
          <w:rFonts w:eastAsia="Palatino Linotype" w:cs="Palatino Linotype"/>
          <w:color w:val="000000"/>
          <w:szCs w:val="24"/>
          <w:lang w:val="es-ES_tradnl"/>
        </w:rPr>
        <w:t xml:space="preserve">y en términos del </w:t>
      </w:r>
      <w:r w:rsidRPr="00F467A8">
        <w:rPr>
          <w:rFonts w:eastAsia="Palatino Linotype" w:cs="Palatino Linotype"/>
          <w:b/>
          <w:color w:val="000000"/>
          <w:szCs w:val="24"/>
          <w:lang w:val="es-ES_tradnl"/>
        </w:rPr>
        <w:t xml:space="preserve">Considerando </w:t>
      </w:r>
      <w:r w:rsidR="00F467A8" w:rsidRPr="00F467A8">
        <w:rPr>
          <w:rFonts w:eastAsia="Palatino Linotype" w:cs="Palatino Linotype"/>
          <w:b/>
          <w:color w:val="000000"/>
          <w:szCs w:val="24"/>
          <w:lang w:val="es-ES_tradnl"/>
        </w:rPr>
        <w:t>QUIN</w:t>
      </w:r>
      <w:r w:rsidRPr="00F467A8">
        <w:rPr>
          <w:rFonts w:eastAsia="Palatino Linotype" w:cs="Palatino Linotype"/>
          <w:b/>
          <w:color w:val="000000"/>
          <w:szCs w:val="24"/>
          <w:lang w:val="es-ES_tradnl"/>
        </w:rPr>
        <w:t>TO</w:t>
      </w:r>
      <w:r w:rsidRPr="00F467A8">
        <w:rPr>
          <w:rFonts w:eastAsia="Palatino Linotype" w:cs="Palatino Linotype"/>
          <w:color w:val="000000"/>
          <w:szCs w:val="24"/>
          <w:lang w:val="es-ES_tradnl"/>
        </w:rPr>
        <w:t>, de lo</w:t>
      </w:r>
      <w:r w:rsidR="00F467A8" w:rsidRPr="00F467A8">
        <w:rPr>
          <w:rFonts w:eastAsia="Palatino Linotype" w:cs="Palatino Linotype"/>
          <w:color w:val="000000"/>
          <w:szCs w:val="24"/>
          <w:lang w:val="es-ES_tradnl"/>
        </w:rPr>
        <w:t>s documentos en donde conste lo</w:t>
      </w:r>
      <w:r w:rsidRPr="00F467A8">
        <w:rPr>
          <w:rFonts w:eastAsia="Palatino Linotype" w:cs="Palatino Linotype"/>
          <w:color w:val="000000"/>
          <w:szCs w:val="24"/>
          <w:lang w:val="es-ES_tradnl"/>
        </w:rPr>
        <w:t xml:space="preserve"> siguiente: </w:t>
      </w:r>
    </w:p>
    <w:p w14:paraId="5F73EB23"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p>
    <w:p w14:paraId="7D10949F" w14:textId="17D93A29" w:rsidR="00612B5A" w:rsidRDefault="00F467A8" w:rsidP="00612B5A">
      <w:pPr>
        <w:numPr>
          <w:ilvl w:val="0"/>
          <w:numId w:val="13"/>
        </w:numPr>
        <w:pBdr>
          <w:top w:val="nil"/>
          <w:left w:val="nil"/>
          <w:bottom w:val="nil"/>
          <w:right w:val="nil"/>
          <w:between w:val="nil"/>
        </w:pBdr>
        <w:spacing w:line="240" w:lineRule="auto"/>
        <w:ind w:left="851" w:hanging="567"/>
        <w:rPr>
          <w:rFonts w:eastAsia="Palatino Linotype" w:cs="Palatino Linotype"/>
          <w:i/>
          <w:iCs/>
          <w:color w:val="000000"/>
          <w:szCs w:val="24"/>
          <w:lang w:val="es-ES_tradnl"/>
        </w:rPr>
      </w:pPr>
      <w:r w:rsidRPr="00F467A8">
        <w:rPr>
          <w:rFonts w:eastAsia="Palatino Linotype" w:cs="Palatino Linotype"/>
          <w:i/>
          <w:iCs/>
          <w:color w:val="000000"/>
          <w:szCs w:val="24"/>
          <w:lang w:val="es-ES_tradnl"/>
        </w:rPr>
        <w:t xml:space="preserve">El Plan </w:t>
      </w:r>
      <w:r>
        <w:rPr>
          <w:rFonts w:eastAsia="Palatino Linotype" w:cs="Palatino Linotype"/>
          <w:i/>
          <w:iCs/>
          <w:color w:val="000000"/>
          <w:szCs w:val="24"/>
          <w:lang w:val="es-ES_tradnl"/>
        </w:rPr>
        <w:t>Anual de Obras del ejercicio 2021, en el que se observen la calendarización, población beneficiada y monto estimado.</w:t>
      </w:r>
    </w:p>
    <w:p w14:paraId="0398EA60" w14:textId="2DFCCCC2" w:rsidR="00F467A8" w:rsidRPr="00F467A8" w:rsidRDefault="00F467A8" w:rsidP="00612B5A">
      <w:pPr>
        <w:numPr>
          <w:ilvl w:val="0"/>
          <w:numId w:val="13"/>
        </w:numPr>
        <w:pBdr>
          <w:top w:val="nil"/>
          <w:left w:val="nil"/>
          <w:bottom w:val="nil"/>
          <w:right w:val="nil"/>
          <w:between w:val="nil"/>
        </w:pBdr>
        <w:spacing w:line="240" w:lineRule="auto"/>
        <w:ind w:left="851" w:hanging="567"/>
        <w:rPr>
          <w:rFonts w:eastAsia="Palatino Linotype" w:cs="Palatino Linotype"/>
          <w:i/>
          <w:iCs/>
          <w:color w:val="000000"/>
          <w:szCs w:val="24"/>
          <w:lang w:val="es-ES_tradnl"/>
        </w:rPr>
      </w:pPr>
      <w:r>
        <w:rPr>
          <w:rFonts w:eastAsia="Palatino Linotype" w:cs="Palatino Linotype"/>
          <w:i/>
          <w:iCs/>
          <w:color w:val="000000"/>
          <w:szCs w:val="24"/>
          <w:lang w:val="es-ES_tradnl"/>
        </w:rPr>
        <w:t>Avances en materia de obra pública correspondiente al primer trimestre del ejercicio 2022.</w:t>
      </w:r>
    </w:p>
    <w:p w14:paraId="0022A215"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p>
    <w:p w14:paraId="4BB0BF18" w14:textId="70E08299" w:rsidR="00612B5A" w:rsidRPr="00F467A8" w:rsidRDefault="00F10C4F" w:rsidP="00612B5A">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En caso de ser necesario, c</w:t>
      </w:r>
      <w:r w:rsidR="00612B5A" w:rsidRPr="00F467A8">
        <w:rPr>
          <w:rFonts w:eastAsia="Palatino Linotype" w:cs="Palatino Linotype"/>
          <w:color w:val="000000"/>
          <w:szCs w:val="24"/>
          <w:lang w:val="es-ES_tradnl"/>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569FCFCA"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p>
    <w:p w14:paraId="55DC6AC9"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r w:rsidRPr="00F467A8">
        <w:rPr>
          <w:rFonts w:eastAsia="Palatino Linotype" w:cs="Palatino Linotype"/>
          <w:b/>
          <w:color w:val="000000"/>
          <w:szCs w:val="24"/>
          <w:lang w:val="es-ES_tradnl"/>
        </w:rPr>
        <w:t>TERCERO. Notifíquese</w:t>
      </w:r>
      <w:r w:rsidRPr="00F467A8">
        <w:rPr>
          <w:rFonts w:eastAsia="Palatino Linotype" w:cs="Palatino Linotype"/>
          <w:b/>
          <w:i/>
          <w:color w:val="000000"/>
          <w:szCs w:val="24"/>
          <w:lang w:val="es-ES_tradnl"/>
        </w:rPr>
        <w:t xml:space="preserve"> </w:t>
      </w:r>
      <w:r w:rsidRPr="00F467A8">
        <w:rPr>
          <w:rFonts w:eastAsia="Palatino Linotype" w:cs="Palatino Linotype"/>
          <w:color w:val="000000"/>
          <w:szCs w:val="24"/>
          <w:lang w:val="es-ES_tradnl"/>
        </w:rPr>
        <w:t>al Titular de la Unidad de Transparencia del</w:t>
      </w:r>
      <w:r w:rsidRPr="00F467A8">
        <w:rPr>
          <w:rFonts w:eastAsia="Palatino Linotype" w:cs="Palatino Linotype"/>
          <w:b/>
          <w:color w:val="000000"/>
          <w:szCs w:val="24"/>
          <w:lang w:val="es-ES_tradnl"/>
        </w:rPr>
        <w:t xml:space="preserve"> </w:t>
      </w:r>
      <w:r w:rsidRPr="00F467A8">
        <w:rPr>
          <w:rFonts w:eastAsia="Palatino Linotype" w:cs="Palatino Linotype"/>
          <w:color w:val="000000"/>
          <w:szCs w:val="24"/>
          <w:lang w:val="es-ES_tradnl"/>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3F990F7"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p>
    <w:p w14:paraId="183B1572" w14:textId="77777777" w:rsidR="00612B5A" w:rsidRPr="00F467A8" w:rsidRDefault="00612B5A" w:rsidP="00612B5A">
      <w:pPr>
        <w:pBdr>
          <w:top w:val="nil"/>
          <w:left w:val="nil"/>
          <w:bottom w:val="nil"/>
          <w:right w:val="nil"/>
          <w:between w:val="nil"/>
        </w:pBdr>
        <w:rPr>
          <w:rFonts w:eastAsia="Palatino Linotype" w:cs="Palatino Linotype"/>
          <w:color w:val="000000"/>
          <w:szCs w:val="24"/>
          <w:lang w:val="es-ES_tradnl"/>
        </w:rPr>
      </w:pPr>
      <w:r w:rsidRPr="00F467A8">
        <w:rPr>
          <w:rFonts w:eastAsia="Palatino Linotype" w:cs="Palatino Linotype"/>
          <w:b/>
          <w:color w:val="000000"/>
          <w:szCs w:val="24"/>
          <w:lang w:val="es-ES_tradnl"/>
        </w:rPr>
        <w:t xml:space="preserve">CUARTO. </w:t>
      </w:r>
      <w:r w:rsidRPr="00F467A8">
        <w:rPr>
          <w:rFonts w:eastAsia="Palatino Linotype" w:cs="Palatino Linotype"/>
          <w:color w:val="000000"/>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B2755B" w14:textId="77777777" w:rsidR="00612B5A" w:rsidRPr="00F467A8" w:rsidRDefault="00612B5A" w:rsidP="00612B5A">
      <w:pPr>
        <w:pBdr>
          <w:top w:val="nil"/>
          <w:left w:val="nil"/>
          <w:bottom w:val="nil"/>
          <w:right w:val="nil"/>
          <w:between w:val="nil"/>
        </w:pBdr>
        <w:rPr>
          <w:rFonts w:eastAsia="Palatino Linotype" w:cs="Palatino Linotype"/>
          <w:b/>
          <w:color w:val="000000"/>
          <w:szCs w:val="24"/>
          <w:lang w:val="es-ES_tradnl"/>
        </w:rPr>
      </w:pPr>
    </w:p>
    <w:p w14:paraId="41B193EF" w14:textId="1C4D78A9" w:rsidR="006E621A" w:rsidRPr="00F467A8" w:rsidRDefault="00612B5A" w:rsidP="00612B5A">
      <w:pPr>
        <w:contextualSpacing/>
        <w:rPr>
          <w:rFonts w:eastAsia="Palatino Linotype" w:cs="Palatino Linotype"/>
          <w:color w:val="000000"/>
          <w:szCs w:val="24"/>
          <w:lang w:val="es-ES_tradnl"/>
        </w:rPr>
      </w:pPr>
      <w:r w:rsidRPr="00F467A8">
        <w:rPr>
          <w:rFonts w:eastAsia="Palatino Linotype" w:cs="Palatino Linotype"/>
          <w:b/>
          <w:color w:val="000000"/>
          <w:szCs w:val="24"/>
          <w:lang w:val="es-ES_tradnl"/>
        </w:rPr>
        <w:lastRenderedPageBreak/>
        <w:t xml:space="preserve">QUINTO. Notifíquese </w:t>
      </w:r>
      <w:r w:rsidRPr="00F467A8">
        <w:rPr>
          <w:rFonts w:eastAsia="Palatino Linotype" w:cs="Palatino Linotype"/>
          <w:color w:val="000000"/>
          <w:szCs w:val="24"/>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F467A8">
        <w:rPr>
          <w:rFonts w:eastAsia="Palatino Linotype" w:cs="Palatino Linotype"/>
          <w:color w:val="000000"/>
          <w:szCs w:val="24"/>
          <w:highlight w:val="white"/>
          <w:lang w:val="es-ES_tradnl"/>
        </w:rPr>
        <w:t xml:space="preserve"> de conformidad con lo establecido en el artículo 196 de la Ley de Transparencia y Acceso a la Información Pública del Estado de México y Municipios.</w:t>
      </w:r>
    </w:p>
    <w:p w14:paraId="631AAF21" w14:textId="77777777" w:rsidR="00612B5A" w:rsidRPr="00F467A8" w:rsidRDefault="00612B5A" w:rsidP="00612B5A">
      <w:pPr>
        <w:contextualSpacing/>
        <w:rPr>
          <w:rFonts w:eastAsiaTheme="minorHAnsi" w:cs="Arial"/>
          <w:szCs w:val="24"/>
          <w:lang w:eastAsia="en-US"/>
        </w:rPr>
      </w:pPr>
    </w:p>
    <w:p w14:paraId="3AB65A77" w14:textId="405D9907" w:rsidR="00E97F10" w:rsidRPr="00C82353" w:rsidRDefault="26EDA31A" w:rsidP="26EDA31A">
      <w:pPr>
        <w:pBdr>
          <w:top w:val="nil"/>
          <w:left w:val="nil"/>
          <w:bottom w:val="nil"/>
          <w:right w:val="nil"/>
          <w:between w:val="nil"/>
        </w:pBdr>
        <w:contextualSpacing/>
        <w:rPr>
          <w:rFonts w:eastAsia="Palatino Linotype" w:cs="Palatino Linotype"/>
          <w:color w:val="000000"/>
          <w:lang w:val="es-ES"/>
        </w:rPr>
      </w:pPr>
      <w:r w:rsidRPr="26EDA31A">
        <w:rPr>
          <w:rFonts w:eastAsia="Palatino Linotype" w:cs="Palatino Linotype"/>
          <w:color w:val="000000" w:themeColor="text1"/>
          <w:lang w:val="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006F7">
        <w:rPr>
          <w:rFonts w:eastAsia="Palatino Linotype" w:cs="Palatino Linotype"/>
          <w:color w:val="000000" w:themeColor="text1"/>
          <w:lang w:val="es-ES"/>
        </w:rPr>
        <w:t xml:space="preserve"> </w:t>
      </w:r>
      <w:r w:rsidRPr="26EDA31A">
        <w:rPr>
          <w:rFonts w:eastAsia="Palatino Linotype" w:cs="Palatino Linotype"/>
          <w:color w:val="000000" w:themeColor="text1"/>
          <w:lang w:val="es-ES"/>
        </w:rPr>
        <w:t xml:space="preserve">Y GUADALUPE RAMÍREZ PEÑA, EN LA </w:t>
      </w:r>
      <w:r w:rsidR="00F467A8">
        <w:rPr>
          <w:rFonts w:eastAsia="Palatino Linotype" w:cs="Palatino Linotype"/>
          <w:color w:val="000000" w:themeColor="text1"/>
          <w:lang w:val="es-ES"/>
        </w:rPr>
        <w:t>SEGUNDA</w:t>
      </w:r>
      <w:r w:rsidRPr="26EDA31A">
        <w:rPr>
          <w:rFonts w:eastAsia="Palatino Linotype" w:cs="Palatino Linotype"/>
          <w:color w:val="000000" w:themeColor="text1"/>
          <w:lang w:val="es-ES"/>
        </w:rPr>
        <w:t xml:space="preserve"> SESIÓN ORDINARIA CELEBRADA EL </w:t>
      </w:r>
      <w:r w:rsidR="00F467A8">
        <w:rPr>
          <w:rFonts w:eastAsia="Palatino Linotype" w:cs="Palatino Linotype"/>
          <w:color w:val="000000" w:themeColor="text1"/>
          <w:lang w:val="es-ES"/>
        </w:rPr>
        <w:t>DIECIOCHO DE ENERO DE DOS MIL VEINTITRÉS</w:t>
      </w:r>
      <w:r w:rsidRPr="26EDA31A">
        <w:rPr>
          <w:rFonts w:eastAsia="Palatino Linotype" w:cs="Palatino Linotype"/>
          <w:color w:val="000000" w:themeColor="text1"/>
          <w:lang w:val="es-ES"/>
        </w:rPr>
        <w:t>, ANTE EL SECRETARIO TÉCNICO DEL PLENO, ALEXIS TAPIA RAMÍREZ.----------------------------------------------------------------------------------------------------------------------------------------------------------------------------------------------------------------------------------------------------------------------------------------------------------------------------------------------------------------------------------------------------------------------------------------------------------------------------------------------------------------</w:t>
      </w:r>
      <w:r w:rsidR="00022480">
        <w:rPr>
          <w:rFonts w:eastAsia="Palatino Linotype" w:cs="Palatino Linotype"/>
          <w:color w:val="000000" w:themeColor="text1"/>
          <w:lang w:val="es-ES"/>
        </w:rPr>
        <w:t>-----------------------------------------------------</w:t>
      </w:r>
      <w:r w:rsidR="006555B9">
        <w:rPr>
          <w:rFonts w:eastAsia="Palatino Linotype" w:cs="Palatino Linotype"/>
          <w:color w:val="000000" w:themeColor="text1"/>
          <w:lang w:val="es-ES"/>
        </w:rPr>
        <w:t>------------------------------------------------------------------------------------------------------------------------------------------------------------------------------------------------------------------------------------------------------------------------------------------------------------------------------------------------------------------------------------</w:t>
      </w:r>
      <w:r w:rsidR="00F238A9">
        <w:rPr>
          <w:rFonts w:eastAsia="Palatino Linotype" w:cs="Palatino Linotype"/>
          <w:color w:val="000000" w:themeColor="text1"/>
          <w:lang w:val="es-ES"/>
        </w:rPr>
        <w:t>-------------------------------------------</w:t>
      </w:r>
    </w:p>
    <w:p w14:paraId="71CF1C2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r w:rsidRPr="00C82353">
        <w:rPr>
          <w:rFonts w:eastAsia="Palatino Linotype" w:cs="Palatino Linotype"/>
          <w:color w:val="000000"/>
          <w:sz w:val="20"/>
          <w:szCs w:val="20"/>
          <w:lang w:val="es-ES_tradnl"/>
        </w:rPr>
        <w:t>JMV/CCR/</w:t>
      </w:r>
      <w:proofErr w:type="spellStart"/>
      <w:r w:rsidRPr="00C82353">
        <w:rPr>
          <w:rFonts w:eastAsia="Palatino Linotype" w:cs="Palatino Linotype"/>
          <w:color w:val="000000"/>
          <w:sz w:val="20"/>
          <w:szCs w:val="20"/>
          <w:lang w:val="es-ES_tradnl"/>
        </w:rPr>
        <w:t>fzh</w:t>
      </w:r>
      <w:proofErr w:type="spellEnd"/>
    </w:p>
    <w:p w14:paraId="31773D3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C82353" w:rsidRDefault="00D718B8" w:rsidP="00663A37">
      <w:pPr>
        <w:rPr>
          <w:sz w:val="20"/>
          <w:szCs w:val="20"/>
          <w:lang w:val="es-ES_tradnl"/>
        </w:rPr>
      </w:pPr>
    </w:p>
    <w:sectPr w:rsidR="00D718B8" w:rsidRPr="00C82353" w:rsidSect="007B0472">
      <w:headerReference w:type="even" r:id="rId14"/>
      <w:headerReference w:type="default" r:id="rId15"/>
      <w:footerReference w:type="default" r:id="rId16"/>
      <w:headerReference w:type="first" r:id="rId17"/>
      <w:footerReference w:type="first" r:id="rId18"/>
      <w:pgSz w:w="12240" w:h="15840"/>
      <w:pgMar w:top="3084" w:right="1134" w:bottom="1276"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73059" w14:textId="77777777" w:rsidR="00D125A1" w:rsidRDefault="00D125A1" w:rsidP="00F2498E">
      <w:pPr>
        <w:spacing w:line="240" w:lineRule="auto"/>
      </w:pPr>
      <w:r>
        <w:separator/>
      </w:r>
    </w:p>
  </w:endnote>
  <w:endnote w:type="continuationSeparator" w:id="0">
    <w:p w14:paraId="726A7C17" w14:textId="77777777" w:rsidR="00D125A1" w:rsidRDefault="00D125A1"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FC76AF7" w:rsidR="006674F7" w:rsidRPr="001E1226" w:rsidRDefault="006674F7"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F4A62">
      <w:rPr>
        <w:rFonts w:ascii="Palatino Linotype" w:hAnsi="Palatino Linotype"/>
        <w:b/>
        <w:bCs/>
        <w:noProof/>
        <w:sz w:val="20"/>
      </w:rPr>
      <w:t>35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F4A62">
      <w:rPr>
        <w:rFonts w:ascii="Palatino Linotype" w:hAnsi="Palatino Linotype"/>
        <w:b/>
        <w:bCs/>
        <w:noProof/>
        <w:sz w:val="20"/>
      </w:rPr>
      <w:t>37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4F3FDB28" w:rsidR="006674F7" w:rsidRPr="001E1226" w:rsidRDefault="006674F7"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F4A6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F4A62">
      <w:rPr>
        <w:rFonts w:ascii="Palatino Linotype" w:hAnsi="Palatino Linotype"/>
        <w:b/>
        <w:bCs/>
        <w:noProof/>
        <w:sz w:val="20"/>
      </w:rPr>
      <w:t>37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C611B" w14:textId="77777777" w:rsidR="00D125A1" w:rsidRDefault="00D125A1" w:rsidP="00F2498E">
      <w:pPr>
        <w:spacing w:line="240" w:lineRule="auto"/>
      </w:pPr>
      <w:r>
        <w:separator/>
      </w:r>
    </w:p>
  </w:footnote>
  <w:footnote w:type="continuationSeparator" w:id="0">
    <w:p w14:paraId="0A266732" w14:textId="77777777" w:rsidR="00D125A1" w:rsidRDefault="00D125A1" w:rsidP="00F2498E">
      <w:pPr>
        <w:spacing w:line="240" w:lineRule="auto"/>
      </w:pPr>
      <w:r>
        <w:continuationSeparator/>
      </w:r>
    </w:p>
  </w:footnote>
  <w:footnote w:id="1">
    <w:p w14:paraId="2B7DE0D0" w14:textId="77777777" w:rsidR="006674F7" w:rsidRPr="0031280C" w:rsidRDefault="006674F7" w:rsidP="00FD1870">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72659B7" w14:textId="77777777" w:rsidR="006674F7" w:rsidRPr="0031280C" w:rsidRDefault="006674F7" w:rsidP="00FD1870">
      <w:pPr>
        <w:pBdr>
          <w:top w:val="nil"/>
          <w:left w:val="nil"/>
          <w:bottom w:val="nil"/>
          <w:right w:val="nil"/>
          <w:between w:val="nil"/>
        </w:pBdr>
        <w:spacing w:line="240" w:lineRule="auto"/>
        <w:rPr>
          <w:rFonts w:eastAsia="Palatino Linotype" w:cs="Palatino Linotype"/>
          <w:color w:val="000000"/>
          <w:sz w:val="20"/>
          <w:szCs w:val="20"/>
        </w:rPr>
      </w:pPr>
    </w:p>
    <w:p w14:paraId="354C8644" w14:textId="77777777" w:rsidR="006674F7" w:rsidRPr="0031280C" w:rsidRDefault="006674F7" w:rsidP="00FD1870">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3C7AECD" w14:textId="77777777" w:rsidR="006674F7" w:rsidRPr="0031280C" w:rsidRDefault="006674F7" w:rsidP="00FD1870">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674F7" w:rsidRDefault="00DF4A62">
    <w:pPr>
      <w:pStyle w:val="Encabezado"/>
    </w:pPr>
    <w:r>
      <w:rPr>
        <w:noProof/>
        <w:lang w:val="es-MX" w:eastAsia="es-MX"/>
      </w:rPr>
      <w:pict w14:anchorId="07CF3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43"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674F7" w:rsidRPr="00B17577" w14:paraId="37B9EBDE" w14:textId="77777777" w:rsidTr="001E1226">
      <w:trPr>
        <w:trHeight w:val="227"/>
      </w:trPr>
      <w:tc>
        <w:tcPr>
          <w:tcW w:w="5103" w:type="dxa"/>
          <w:hideMark/>
        </w:tcPr>
        <w:p w14:paraId="4964FBC5" w14:textId="54CDA645" w:rsidR="006674F7" w:rsidRPr="00096248" w:rsidRDefault="006674F7" w:rsidP="001E1226">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681C5378" w:rsidR="006674F7" w:rsidRPr="00096248" w:rsidRDefault="006674F7" w:rsidP="001E1226">
          <w:pPr>
            <w:spacing w:after="120" w:line="240" w:lineRule="auto"/>
            <w:ind w:right="71"/>
            <w:jc w:val="right"/>
            <w:rPr>
              <w:rFonts w:cs="Arial"/>
              <w:b/>
              <w:szCs w:val="24"/>
            </w:rPr>
          </w:pPr>
          <w:r>
            <w:rPr>
              <w:rFonts w:cs="Arial"/>
              <w:b/>
              <w:bCs/>
              <w:szCs w:val="24"/>
            </w:rPr>
            <w:t>1</w:t>
          </w:r>
          <w:r w:rsidR="00CD1D5D">
            <w:rPr>
              <w:rFonts w:cs="Arial"/>
              <w:b/>
              <w:bCs/>
              <w:szCs w:val="24"/>
            </w:rPr>
            <w:t>224</w:t>
          </w:r>
          <w:r>
            <w:rPr>
              <w:rFonts w:cs="Arial"/>
              <w:b/>
              <w:bCs/>
              <w:szCs w:val="24"/>
            </w:rPr>
            <w:t>0</w:t>
          </w:r>
          <w:r w:rsidRPr="00096248">
            <w:rPr>
              <w:rFonts w:cs="Arial"/>
              <w:b/>
              <w:bCs/>
              <w:szCs w:val="24"/>
            </w:rPr>
            <w:t>/INFOEM/IP/RR/202</w:t>
          </w:r>
          <w:r>
            <w:rPr>
              <w:rFonts w:cs="Arial"/>
              <w:b/>
              <w:bCs/>
              <w:szCs w:val="24"/>
            </w:rPr>
            <w:t>2</w:t>
          </w:r>
        </w:p>
      </w:tc>
    </w:tr>
    <w:tr w:rsidR="006674F7" w14:paraId="7591D3C9" w14:textId="77777777" w:rsidTr="001E1226">
      <w:trPr>
        <w:trHeight w:val="242"/>
      </w:trPr>
      <w:tc>
        <w:tcPr>
          <w:tcW w:w="5103" w:type="dxa"/>
          <w:hideMark/>
        </w:tcPr>
        <w:p w14:paraId="729A65A8" w14:textId="77777777" w:rsidR="006674F7" w:rsidRPr="00096248" w:rsidRDefault="006674F7" w:rsidP="001E1226">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8F0232E" w:rsidR="006674F7" w:rsidRPr="00096248" w:rsidRDefault="006674F7" w:rsidP="001E1226">
          <w:pPr>
            <w:spacing w:after="120" w:line="240" w:lineRule="auto"/>
            <w:ind w:right="74"/>
            <w:jc w:val="right"/>
            <w:rPr>
              <w:rFonts w:cs="Arial"/>
              <w:szCs w:val="24"/>
            </w:rPr>
          </w:pPr>
          <w:r>
            <w:rPr>
              <w:rFonts w:cs="Arial"/>
              <w:szCs w:val="24"/>
            </w:rPr>
            <w:t>Ayuntamiento de M</w:t>
          </w:r>
          <w:r w:rsidR="00CD1D5D">
            <w:rPr>
              <w:rFonts w:cs="Arial"/>
              <w:szCs w:val="24"/>
            </w:rPr>
            <w:t>alinalco</w:t>
          </w:r>
        </w:p>
      </w:tc>
    </w:tr>
    <w:tr w:rsidR="006674F7" w:rsidRPr="00F63239" w14:paraId="037E914D" w14:textId="77777777" w:rsidTr="001E1226">
      <w:trPr>
        <w:trHeight w:val="342"/>
      </w:trPr>
      <w:tc>
        <w:tcPr>
          <w:tcW w:w="5103" w:type="dxa"/>
          <w:hideMark/>
        </w:tcPr>
        <w:p w14:paraId="7676B68F" w14:textId="64D69EAF" w:rsidR="006674F7" w:rsidRPr="00096248" w:rsidRDefault="006674F7" w:rsidP="001E1226">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6674F7" w:rsidRPr="00096248" w:rsidRDefault="006674F7" w:rsidP="001E1226">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65E75EBE" w:rsidR="006674F7" w:rsidRPr="001E1226" w:rsidRDefault="00DF4A62">
    <w:pPr>
      <w:pStyle w:val="Encabezado"/>
      <w:rPr>
        <w:sz w:val="2"/>
        <w:szCs w:val="2"/>
      </w:rPr>
    </w:pPr>
    <w:r>
      <w:rPr>
        <w:noProof/>
        <w:lang w:val="es-MX" w:eastAsia="es-MX"/>
      </w:rPr>
      <w:pict w14:anchorId="690A7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42" type="#_x0000_t75" alt="" style="position:absolute;left:0;text-align:left;margin-left:-80.9pt;margin-top:-148.0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6674F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6674F7" w14:paraId="0F9FE9B6" w14:textId="77777777" w:rsidTr="001E1226">
      <w:trPr>
        <w:trHeight w:val="227"/>
      </w:trPr>
      <w:tc>
        <w:tcPr>
          <w:tcW w:w="5245" w:type="dxa"/>
          <w:hideMark/>
        </w:tcPr>
        <w:p w14:paraId="6D1D9D71" w14:textId="11150E5A" w:rsidR="006674F7" w:rsidRPr="00663A37" w:rsidRDefault="006674F7" w:rsidP="001E1226">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CF80F4D" w:rsidR="006674F7" w:rsidRPr="00096248" w:rsidRDefault="006674F7" w:rsidP="001E1226">
          <w:pPr>
            <w:spacing w:after="120" w:line="240" w:lineRule="auto"/>
            <w:ind w:left="-488" w:right="68" w:firstLine="556"/>
            <w:jc w:val="right"/>
            <w:rPr>
              <w:rFonts w:cs="Arial"/>
              <w:b/>
              <w:szCs w:val="24"/>
            </w:rPr>
          </w:pPr>
          <w:r>
            <w:rPr>
              <w:rFonts w:cs="Arial"/>
              <w:b/>
              <w:bCs/>
              <w:szCs w:val="24"/>
            </w:rPr>
            <w:t>1</w:t>
          </w:r>
          <w:r w:rsidR="00CD1D5D">
            <w:rPr>
              <w:rFonts w:cs="Arial"/>
              <w:b/>
              <w:bCs/>
              <w:szCs w:val="24"/>
            </w:rPr>
            <w:t>224</w:t>
          </w:r>
          <w:r>
            <w:rPr>
              <w:rFonts w:cs="Arial"/>
              <w:b/>
              <w:bCs/>
              <w:szCs w:val="24"/>
            </w:rPr>
            <w:t>0</w:t>
          </w:r>
          <w:r w:rsidRPr="00096248">
            <w:rPr>
              <w:rFonts w:cs="Arial"/>
              <w:b/>
              <w:bCs/>
              <w:szCs w:val="24"/>
            </w:rPr>
            <w:t>/INFOEM/IP/RR/202</w:t>
          </w:r>
          <w:r>
            <w:rPr>
              <w:rFonts w:cs="Arial"/>
              <w:b/>
              <w:bCs/>
              <w:szCs w:val="24"/>
            </w:rPr>
            <w:t>2</w:t>
          </w:r>
        </w:p>
      </w:tc>
    </w:tr>
    <w:tr w:rsidR="006674F7" w:rsidRPr="001F57CD" w14:paraId="1377D264" w14:textId="77777777" w:rsidTr="001E1226">
      <w:trPr>
        <w:trHeight w:val="196"/>
      </w:trPr>
      <w:tc>
        <w:tcPr>
          <w:tcW w:w="5245" w:type="dxa"/>
          <w:hideMark/>
        </w:tcPr>
        <w:p w14:paraId="04D597A1" w14:textId="77777777" w:rsidR="006674F7" w:rsidRPr="00663A37" w:rsidRDefault="006674F7" w:rsidP="001E1226">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7B47064" w:rsidR="006674F7" w:rsidRPr="00663A37" w:rsidRDefault="00DF4A62" w:rsidP="001E1226">
          <w:pPr>
            <w:spacing w:after="120" w:line="240" w:lineRule="auto"/>
            <w:ind w:right="68"/>
            <w:jc w:val="right"/>
            <w:rPr>
              <w:rFonts w:cs="Arial"/>
              <w:szCs w:val="24"/>
            </w:rPr>
          </w:pPr>
          <w:r>
            <w:rPr>
              <w:rFonts w:cs="Arial"/>
              <w:szCs w:val="24"/>
            </w:rPr>
            <w:t>XXXXXXXXXXXX</w:t>
          </w:r>
        </w:p>
      </w:tc>
    </w:tr>
    <w:tr w:rsidR="006674F7" w14:paraId="4DC11993" w14:textId="77777777" w:rsidTr="001E1226">
      <w:trPr>
        <w:trHeight w:val="242"/>
      </w:trPr>
      <w:tc>
        <w:tcPr>
          <w:tcW w:w="5245" w:type="dxa"/>
          <w:hideMark/>
        </w:tcPr>
        <w:p w14:paraId="76CEF1B5" w14:textId="77777777" w:rsidR="006674F7" w:rsidRPr="00663A37" w:rsidRDefault="006674F7" w:rsidP="001E1226">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672F0FC" w:rsidR="006674F7" w:rsidRPr="00663A37" w:rsidRDefault="006674F7" w:rsidP="001E1226">
          <w:pPr>
            <w:spacing w:after="120" w:line="240" w:lineRule="auto"/>
            <w:ind w:left="-68" w:right="68"/>
            <w:jc w:val="right"/>
            <w:rPr>
              <w:rFonts w:cs="Arial"/>
              <w:szCs w:val="24"/>
            </w:rPr>
          </w:pPr>
          <w:r>
            <w:rPr>
              <w:rFonts w:cs="Arial"/>
              <w:szCs w:val="24"/>
            </w:rPr>
            <w:t>Ayuntamiento de M</w:t>
          </w:r>
          <w:r w:rsidR="00CD1D5D">
            <w:rPr>
              <w:rFonts w:cs="Arial"/>
              <w:szCs w:val="24"/>
            </w:rPr>
            <w:t>alinalco</w:t>
          </w:r>
        </w:p>
      </w:tc>
    </w:tr>
    <w:tr w:rsidR="006674F7" w14:paraId="5C2B511D" w14:textId="77777777" w:rsidTr="001E1226">
      <w:trPr>
        <w:trHeight w:val="342"/>
      </w:trPr>
      <w:tc>
        <w:tcPr>
          <w:tcW w:w="5245" w:type="dxa"/>
          <w:hideMark/>
        </w:tcPr>
        <w:p w14:paraId="03FEF68C" w14:textId="45E91CF4" w:rsidR="006674F7" w:rsidRPr="00663A37" w:rsidRDefault="006674F7" w:rsidP="001E1226">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674F7" w:rsidRPr="00663A37" w:rsidRDefault="006674F7" w:rsidP="001E1226">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6082BD8C" w:rsidR="006674F7" w:rsidRPr="001E1226" w:rsidRDefault="00DF4A62">
    <w:pPr>
      <w:pStyle w:val="Encabezado"/>
      <w:rPr>
        <w:sz w:val="2"/>
        <w:szCs w:val="2"/>
      </w:rPr>
    </w:pPr>
    <w:r>
      <w:rPr>
        <w:noProof/>
        <w:lang w:val="es-MX" w:eastAsia="es-MX"/>
      </w:rPr>
      <w:pict w14:anchorId="1B725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41" type="#_x0000_t75" alt="" style="position:absolute;left:0;text-align:left;margin-left:-81.45pt;margin-top:-148.1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6674F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FE69CD"/>
    <w:multiLevelType w:val="hybridMultilevel"/>
    <w:tmpl w:val="61B6EEB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0E103117"/>
    <w:multiLevelType w:val="hybridMultilevel"/>
    <w:tmpl w:val="4A169ADA"/>
    <w:lvl w:ilvl="0" w:tplc="6FCA343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AF0F5E"/>
    <w:multiLevelType w:val="hybridMultilevel"/>
    <w:tmpl w:val="390AA7E2"/>
    <w:lvl w:ilvl="0" w:tplc="CB0E7BC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D219C"/>
    <w:multiLevelType w:val="hybridMultilevel"/>
    <w:tmpl w:val="7EAAA0AA"/>
    <w:lvl w:ilvl="0" w:tplc="4A80769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CF05CAA"/>
    <w:multiLevelType w:val="hybridMultilevel"/>
    <w:tmpl w:val="88B2805C"/>
    <w:lvl w:ilvl="0" w:tplc="EACC437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781766"/>
    <w:multiLevelType w:val="multilevel"/>
    <w:tmpl w:val="A8EA8AE8"/>
    <w:styleLink w:val="Listaactual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1E7734"/>
    <w:multiLevelType w:val="hybridMultilevel"/>
    <w:tmpl w:val="390AA7E2"/>
    <w:lvl w:ilvl="0" w:tplc="FFFFFFFF">
      <w:start w:val="1"/>
      <w:numFmt w:val="lowerLetter"/>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D56D97"/>
    <w:multiLevelType w:val="multilevel"/>
    <w:tmpl w:val="39FAAA7A"/>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543B7A"/>
    <w:multiLevelType w:val="hybridMultilevel"/>
    <w:tmpl w:val="3F3A247E"/>
    <w:lvl w:ilvl="0" w:tplc="1CD8144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374E64AC"/>
    <w:multiLevelType w:val="multilevel"/>
    <w:tmpl w:val="D278C77E"/>
    <w:styleLink w:val="Listaactual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A40BDC"/>
    <w:multiLevelType w:val="multilevel"/>
    <w:tmpl w:val="72BE87A4"/>
    <w:styleLink w:val="Listaactual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227F86"/>
    <w:multiLevelType w:val="hybridMultilevel"/>
    <w:tmpl w:val="FF40DE1A"/>
    <w:lvl w:ilvl="0" w:tplc="2688906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B62115"/>
    <w:multiLevelType w:val="hybridMultilevel"/>
    <w:tmpl w:val="6EC4B352"/>
    <w:lvl w:ilvl="0" w:tplc="8D962D2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DD5D4B"/>
    <w:multiLevelType w:val="hybridMultilevel"/>
    <w:tmpl w:val="F0047EAC"/>
    <w:lvl w:ilvl="0" w:tplc="C7B290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3D6F0D"/>
    <w:multiLevelType w:val="hybridMultilevel"/>
    <w:tmpl w:val="37508AAA"/>
    <w:lvl w:ilvl="0" w:tplc="F13062C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A0B7CA7"/>
    <w:multiLevelType w:val="hybridMultilevel"/>
    <w:tmpl w:val="3E9C7BAE"/>
    <w:lvl w:ilvl="0" w:tplc="080A0017">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2" w15:restartNumberingAfterBreak="0">
    <w:nsid w:val="6B377707"/>
    <w:multiLevelType w:val="hybridMultilevel"/>
    <w:tmpl w:val="59D47EAA"/>
    <w:lvl w:ilvl="0" w:tplc="8BACBD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ED3111"/>
    <w:multiLevelType w:val="hybridMultilevel"/>
    <w:tmpl w:val="6972BF46"/>
    <w:lvl w:ilvl="0" w:tplc="3198213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564C73"/>
    <w:multiLevelType w:val="hybridMultilevel"/>
    <w:tmpl w:val="9F6C8094"/>
    <w:lvl w:ilvl="0" w:tplc="E32CD4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5"/>
  </w:num>
  <w:num w:numId="2">
    <w:abstractNumId w:val="16"/>
  </w:num>
  <w:num w:numId="3">
    <w:abstractNumId w:val="37"/>
  </w:num>
  <w:num w:numId="4">
    <w:abstractNumId w:val="1"/>
  </w:num>
  <w:num w:numId="5">
    <w:abstractNumId w:val="23"/>
  </w:num>
  <w:num w:numId="6">
    <w:abstractNumId w:val="17"/>
  </w:num>
  <w:num w:numId="7">
    <w:abstractNumId w:val="30"/>
  </w:num>
  <w:num w:numId="8">
    <w:abstractNumId w:val="5"/>
  </w:num>
  <w:num w:numId="9">
    <w:abstractNumId w:val="29"/>
  </w:num>
  <w:num w:numId="10">
    <w:abstractNumId w:val="6"/>
  </w:num>
  <w:num w:numId="11">
    <w:abstractNumId w:val="22"/>
  </w:num>
  <w:num w:numId="12">
    <w:abstractNumId w:val="27"/>
  </w:num>
  <w:num w:numId="13">
    <w:abstractNumId w:val="7"/>
  </w:num>
  <w:num w:numId="14">
    <w:abstractNumId w:val="26"/>
  </w:num>
  <w:num w:numId="15">
    <w:abstractNumId w:val="34"/>
  </w:num>
  <w:num w:numId="16">
    <w:abstractNumId w:val="9"/>
  </w:num>
  <w:num w:numId="17">
    <w:abstractNumId w:val="0"/>
  </w:num>
  <w:num w:numId="18">
    <w:abstractNumId w:val="11"/>
  </w:num>
  <w:num w:numId="19">
    <w:abstractNumId w:val="32"/>
  </w:num>
  <w:num w:numId="20">
    <w:abstractNumId w:val="21"/>
  </w:num>
  <w:num w:numId="21">
    <w:abstractNumId w:val="39"/>
  </w:num>
  <w:num w:numId="22">
    <w:abstractNumId w:val="25"/>
  </w:num>
  <w:num w:numId="23">
    <w:abstractNumId w:val="2"/>
  </w:num>
  <w:num w:numId="24">
    <w:abstractNumId w:val="19"/>
  </w:num>
  <w:num w:numId="25">
    <w:abstractNumId w:val="20"/>
  </w:num>
  <w:num w:numId="26">
    <w:abstractNumId w:val="28"/>
  </w:num>
  <w:num w:numId="27">
    <w:abstractNumId w:val="14"/>
  </w:num>
  <w:num w:numId="28">
    <w:abstractNumId w:val="36"/>
  </w:num>
  <w:num w:numId="29">
    <w:abstractNumId w:val="3"/>
  </w:num>
  <w:num w:numId="30">
    <w:abstractNumId w:val="8"/>
  </w:num>
  <w:num w:numId="31">
    <w:abstractNumId w:val="33"/>
  </w:num>
  <w:num w:numId="32">
    <w:abstractNumId w:val="13"/>
  </w:num>
  <w:num w:numId="33">
    <w:abstractNumId w:val="31"/>
  </w:num>
  <w:num w:numId="34">
    <w:abstractNumId w:val="4"/>
  </w:num>
  <w:num w:numId="35">
    <w:abstractNumId w:val="18"/>
  </w:num>
  <w:num w:numId="36">
    <w:abstractNumId w:val="24"/>
  </w:num>
  <w:num w:numId="37">
    <w:abstractNumId w:val="12"/>
  </w:num>
  <w:num w:numId="38">
    <w:abstractNumId w:val="38"/>
  </w:num>
  <w:num w:numId="39">
    <w:abstractNumId w:val="15"/>
  </w:num>
  <w:num w:numId="4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AA"/>
    <w:rsid w:val="000046B2"/>
    <w:rsid w:val="00007857"/>
    <w:rsid w:val="000107F4"/>
    <w:rsid w:val="0001151F"/>
    <w:rsid w:val="00011CCA"/>
    <w:rsid w:val="00012AFA"/>
    <w:rsid w:val="00012BEE"/>
    <w:rsid w:val="00012D78"/>
    <w:rsid w:val="00015139"/>
    <w:rsid w:val="00015487"/>
    <w:rsid w:val="000158B3"/>
    <w:rsid w:val="000171BE"/>
    <w:rsid w:val="00020773"/>
    <w:rsid w:val="00020C15"/>
    <w:rsid w:val="00020F40"/>
    <w:rsid w:val="00021122"/>
    <w:rsid w:val="00021165"/>
    <w:rsid w:val="00022480"/>
    <w:rsid w:val="00024A6D"/>
    <w:rsid w:val="00026582"/>
    <w:rsid w:val="00027AEF"/>
    <w:rsid w:val="00031BA3"/>
    <w:rsid w:val="00033479"/>
    <w:rsid w:val="00033562"/>
    <w:rsid w:val="00034CF5"/>
    <w:rsid w:val="00035A30"/>
    <w:rsid w:val="00036D5F"/>
    <w:rsid w:val="00036EFC"/>
    <w:rsid w:val="00040A10"/>
    <w:rsid w:val="00041670"/>
    <w:rsid w:val="000417BE"/>
    <w:rsid w:val="00041AE7"/>
    <w:rsid w:val="00041DEA"/>
    <w:rsid w:val="00042C95"/>
    <w:rsid w:val="00042F25"/>
    <w:rsid w:val="0004302A"/>
    <w:rsid w:val="00045F86"/>
    <w:rsid w:val="00051732"/>
    <w:rsid w:val="00054416"/>
    <w:rsid w:val="0005480B"/>
    <w:rsid w:val="00054CC5"/>
    <w:rsid w:val="00054F6A"/>
    <w:rsid w:val="00055891"/>
    <w:rsid w:val="00055C90"/>
    <w:rsid w:val="000564B5"/>
    <w:rsid w:val="000575E4"/>
    <w:rsid w:val="0005787D"/>
    <w:rsid w:val="00057B42"/>
    <w:rsid w:val="00060716"/>
    <w:rsid w:val="00060BFB"/>
    <w:rsid w:val="00061B46"/>
    <w:rsid w:val="00061B8D"/>
    <w:rsid w:val="00064854"/>
    <w:rsid w:val="00065463"/>
    <w:rsid w:val="0006625B"/>
    <w:rsid w:val="000666B3"/>
    <w:rsid w:val="00066D23"/>
    <w:rsid w:val="0007107B"/>
    <w:rsid w:val="000739AF"/>
    <w:rsid w:val="00074BDC"/>
    <w:rsid w:val="00075586"/>
    <w:rsid w:val="00075D5E"/>
    <w:rsid w:val="00076332"/>
    <w:rsid w:val="00077A55"/>
    <w:rsid w:val="000802BA"/>
    <w:rsid w:val="00081723"/>
    <w:rsid w:val="00081F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11C8"/>
    <w:rsid w:val="000A2F65"/>
    <w:rsid w:val="000A3F41"/>
    <w:rsid w:val="000A3F5F"/>
    <w:rsid w:val="000A7CE8"/>
    <w:rsid w:val="000B1F27"/>
    <w:rsid w:val="000B28CF"/>
    <w:rsid w:val="000B34A9"/>
    <w:rsid w:val="000B3DD1"/>
    <w:rsid w:val="000B51CE"/>
    <w:rsid w:val="000B5608"/>
    <w:rsid w:val="000B6502"/>
    <w:rsid w:val="000B65C3"/>
    <w:rsid w:val="000C0203"/>
    <w:rsid w:val="000C04A1"/>
    <w:rsid w:val="000C066A"/>
    <w:rsid w:val="000C0E5D"/>
    <w:rsid w:val="000C2D59"/>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A5A"/>
    <w:rsid w:val="000E6426"/>
    <w:rsid w:val="000E74D7"/>
    <w:rsid w:val="000F114E"/>
    <w:rsid w:val="000F146C"/>
    <w:rsid w:val="000F196A"/>
    <w:rsid w:val="000F2972"/>
    <w:rsid w:val="0010147E"/>
    <w:rsid w:val="00103C89"/>
    <w:rsid w:val="001050A9"/>
    <w:rsid w:val="00107256"/>
    <w:rsid w:val="0010759A"/>
    <w:rsid w:val="00107D7C"/>
    <w:rsid w:val="00111129"/>
    <w:rsid w:val="001116B7"/>
    <w:rsid w:val="00115495"/>
    <w:rsid w:val="00116E4B"/>
    <w:rsid w:val="00116F6B"/>
    <w:rsid w:val="001233DB"/>
    <w:rsid w:val="001235A0"/>
    <w:rsid w:val="00123D0B"/>
    <w:rsid w:val="0013017E"/>
    <w:rsid w:val="00130C18"/>
    <w:rsid w:val="00131C6C"/>
    <w:rsid w:val="00131F2D"/>
    <w:rsid w:val="0013657B"/>
    <w:rsid w:val="00136A94"/>
    <w:rsid w:val="00137B2C"/>
    <w:rsid w:val="00137ED6"/>
    <w:rsid w:val="00142D35"/>
    <w:rsid w:val="00144A6E"/>
    <w:rsid w:val="00144BA8"/>
    <w:rsid w:val="001464CD"/>
    <w:rsid w:val="00150293"/>
    <w:rsid w:val="001502AD"/>
    <w:rsid w:val="001509C0"/>
    <w:rsid w:val="00150D6A"/>
    <w:rsid w:val="00151431"/>
    <w:rsid w:val="00151CD1"/>
    <w:rsid w:val="00151FF5"/>
    <w:rsid w:val="00154F75"/>
    <w:rsid w:val="00155CC6"/>
    <w:rsid w:val="00155F53"/>
    <w:rsid w:val="001564E3"/>
    <w:rsid w:val="001568D5"/>
    <w:rsid w:val="001624E8"/>
    <w:rsid w:val="0016322B"/>
    <w:rsid w:val="0016339A"/>
    <w:rsid w:val="00163452"/>
    <w:rsid w:val="001642EE"/>
    <w:rsid w:val="00164BC0"/>
    <w:rsid w:val="00165898"/>
    <w:rsid w:val="00166171"/>
    <w:rsid w:val="00171192"/>
    <w:rsid w:val="00171BBC"/>
    <w:rsid w:val="0017223E"/>
    <w:rsid w:val="0017523B"/>
    <w:rsid w:val="00175B42"/>
    <w:rsid w:val="00176522"/>
    <w:rsid w:val="001809A8"/>
    <w:rsid w:val="001814D7"/>
    <w:rsid w:val="00181A9D"/>
    <w:rsid w:val="00182FC0"/>
    <w:rsid w:val="001844A2"/>
    <w:rsid w:val="00184AD2"/>
    <w:rsid w:val="00184AEA"/>
    <w:rsid w:val="00185C61"/>
    <w:rsid w:val="0018611A"/>
    <w:rsid w:val="00191B9F"/>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6849"/>
    <w:rsid w:val="001A773B"/>
    <w:rsid w:val="001B1FF0"/>
    <w:rsid w:val="001B28D1"/>
    <w:rsid w:val="001B3FD2"/>
    <w:rsid w:val="001B6C2D"/>
    <w:rsid w:val="001C087E"/>
    <w:rsid w:val="001C0F32"/>
    <w:rsid w:val="001C2A6D"/>
    <w:rsid w:val="001C2C72"/>
    <w:rsid w:val="001C3387"/>
    <w:rsid w:val="001C54A1"/>
    <w:rsid w:val="001C5CD0"/>
    <w:rsid w:val="001C72C0"/>
    <w:rsid w:val="001C7697"/>
    <w:rsid w:val="001C7C31"/>
    <w:rsid w:val="001D0479"/>
    <w:rsid w:val="001D1B77"/>
    <w:rsid w:val="001D225B"/>
    <w:rsid w:val="001D3563"/>
    <w:rsid w:val="001D3EE2"/>
    <w:rsid w:val="001D41E0"/>
    <w:rsid w:val="001D6CA8"/>
    <w:rsid w:val="001E04CC"/>
    <w:rsid w:val="001E1226"/>
    <w:rsid w:val="001E199E"/>
    <w:rsid w:val="001E2186"/>
    <w:rsid w:val="001E35AE"/>
    <w:rsid w:val="001E4612"/>
    <w:rsid w:val="001E5453"/>
    <w:rsid w:val="001E5C3D"/>
    <w:rsid w:val="001E678B"/>
    <w:rsid w:val="001F2BC9"/>
    <w:rsid w:val="001F408E"/>
    <w:rsid w:val="001F4860"/>
    <w:rsid w:val="001F4EDD"/>
    <w:rsid w:val="001F57CD"/>
    <w:rsid w:val="001F5E58"/>
    <w:rsid w:val="001F7890"/>
    <w:rsid w:val="00200FAD"/>
    <w:rsid w:val="00201765"/>
    <w:rsid w:val="002037D6"/>
    <w:rsid w:val="00205F90"/>
    <w:rsid w:val="00205FAC"/>
    <w:rsid w:val="0020763C"/>
    <w:rsid w:val="00207E11"/>
    <w:rsid w:val="0021063D"/>
    <w:rsid w:val="00210714"/>
    <w:rsid w:val="00211C48"/>
    <w:rsid w:val="00212109"/>
    <w:rsid w:val="0021327B"/>
    <w:rsid w:val="00214B09"/>
    <w:rsid w:val="002155ED"/>
    <w:rsid w:val="0021627B"/>
    <w:rsid w:val="0021698E"/>
    <w:rsid w:val="00216D13"/>
    <w:rsid w:val="00216D8F"/>
    <w:rsid w:val="0022245F"/>
    <w:rsid w:val="002248A0"/>
    <w:rsid w:val="00224FEA"/>
    <w:rsid w:val="002264AE"/>
    <w:rsid w:val="00227DBC"/>
    <w:rsid w:val="0023118D"/>
    <w:rsid w:val="00232621"/>
    <w:rsid w:val="0023293E"/>
    <w:rsid w:val="00232A7A"/>
    <w:rsid w:val="00232DA5"/>
    <w:rsid w:val="002338B9"/>
    <w:rsid w:val="00234061"/>
    <w:rsid w:val="0023573F"/>
    <w:rsid w:val="00236B9A"/>
    <w:rsid w:val="00240046"/>
    <w:rsid w:val="00243024"/>
    <w:rsid w:val="002432E1"/>
    <w:rsid w:val="00245AC1"/>
    <w:rsid w:val="00247C4A"/>
    <w:rsid w:val="00252443"/>
    <w:rsid w:val="002547B2"/>
    <w:rsid w:val="0025565C"/>
    <w:rsid w:val="00255FD1"/>
    <w:rsid w:val="00256CE0"/>
    <w:rsid w:val="00261A13"/>
    <w:rsid w:val="00261DE9"/>
    <w:rsid w:val="00264CA1"/>
    <w:rsid w:val="0026506A"/>
    <w:rsid w:val="002704DF"/>
    <w:rsid w:val="00270F03"/>
    <w:rsid w:val="002710B5"/>
    <w:rsid w:val="0027116F"/>
    <w:rsid w:val="002729A0"/>
    <w:rsid w:val="00273F5F"/>
    <w:rsid w:val="00273F7C"/>
    <w:rsid w:val="0027555F"/>
    <w:rsid w:val="00275719"/>
    <w:rsid w:val="002768BA"/>
    <w:rsid w:val="00280398"/>
    <w:rsid w:val="002811E3"/>
    <w:rsid w:val="00281991"/>
    <w:rsid w:val="00282431"/>
    <w:rsid w:val="00282E9E"/>
    <w:rsid w:val="00283D5E"/>
    <w:rsid w:val="00284245"/>
    <w:rsid w:val="00285034"/>
    <w:rsid w:val="00285D47"/>
    <w:rsid w:val="002913C5"/>
    <w:rsid w:val="00291DE2"/>
    <w:rsid w:val="0029208D"/>
    <w:rsid w:val="0029225E"/>
    <w:rsid w:val="00293F85"/>
    <w:rsid w:val="0029482F"/>
    <w:rsid w:val="00294892"/>
    <w:rsid w:val="00296073"/>
    <w:rsid w:val="00296626"/>
    <w:rsid w:val="00296E92"/>
    <w:rsid w:val="00297212"/>
    <w:rsid w:val="00297F2A"/>
    <w:rsid w:val="002A02E8"/>
    <w:rsid w:val="002A1797"/>
    <w:rsid w:val="002A51B8"/>
    <w:rsid w:val="002A5ADD"/>
    <w:rsid w:val="002A5FDF"/>
    <w:rsid w:val="002A6FCE"/>
    <w:rsid w:val="002A7501"/>
    <w:rsid w:val="002B0EA1"/>
    <w:rsid w:val="002B21FD"/>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500D"/>
    <w:rsid w:val="002C6010"/>
    <w:rsid w:val="002C7329"/>
    <w:rsid w:val="002C779F"/>
    <w:rsid w:val="002C7A18"/>
    <w:rsid w:val="002C7EC4"/>
    <w:rsid w:val="002D15F2"/>
    <w:rsid w:val="002D2F05"/>
    <w:rsid w:val="002D3A3B"/>
    <w:rsid w:val="002D4953"/>
    <w:rsid w:val="002D5CCE"/>
    <w:rsid w:val="002E0E09"/>
    <w:rsid w:val="002E1484"/>
    <w:rsid w:val="002E37DA"/>
    <w:rsid w:val="002E40AD"/>
    <w:rsid w:val="002E72F0"/>
    <w:rsid w:val="002F1F0F"/>
    <w:rsid w:val="002F368E"/>
    <w:rsid w:val="002F3AAF"/>
    <w:rsid w:val="002F40FF"/>
    <w:rsid w:val="002F5101"/>
    <w:rsid w:val="002F713F"/>
    <w:rsid w:val="00300919"/>
    <w:rsid w:val="0030175D"/>
    <w:rsid w:val="00302BF3"/>
    <w:rsid w:val="00302D8C"/>
    <w:rsid w:val="00303F92"/>
    <w:rsid w:val="00304386"/>
    <w:rsid w:val="00304F79"/>
    <w:rsid w:val="00310825"/>
    <w:rsid w:val="00312106"/>
    <w:rsid w:val="003126FB"/>
    <w:rsid w:val="00315AE3"/>
    <w:rsid w:val="00315CA2"/>
    <w:rsid w:val="00316A7B"/>
    <w:rsid w:val="00324F09"/>
    <w:rsid w:val="003254AC"/>
    <w:rsid w:val="00327FDF"/>
    <w:rsid w:val="00330402"/>
    <w:rsid w:val="0033070B"/>
    <w:rsid w:val="00331513"/>
    <w:rsid w:val="0033491A"/>
    <w:rsid w:val="00337088"/>
    <w:rsid w:val="00337638"/>
    <w:rsid w:val="00340ADD"/>
    <w:rsid w:val="00341178"/>
    <w:rsid w:val="00341B42"/>
    <w:rsid w:val="003423FC"/>
    <w:rsid w:val="003434E8"/>
    <w:rsid w:val="00344766"/>
    <w:rsid w:val="00344AD3"/>
    <w:rsid w:val="00345687"/>
    <w:rsid w:val="00345708"/>
    <w:rsid w:val="00346373"/>
    <w:rsid w:val="003467CD"/>
    <w:rsid w:val="003505B2"/>
    <w:rsid w:val="0035063B"/>
    <w:rsid w:val="0035102E"/>
    <w:rsid w:val="00352677"/>
    <w:rsid w:val="00356E9C"/>
    <w:rsid w:val="0036188D"/>
    <w:rsid w:val="00362013"/>
    <w:rsid w:val="00364C0A"/>
    <w:rsid w:val="003713C2"/>
    <w:rsid w:val="0037172A"/>
    <w:rsid w:val="0037269A"/>
    <w:rsid w:val="003745BF"/>
    <w:rsid w:val="00374E6D"/>
    <w:rsid w:val="0037526D"/>
    <w:rsid w:val="00382044"/>
    <w:rsid w:val="003839F9"/>
    <w:rsid w:val="00385421"/>
    <w:rsid w:val="00386A48"/>
    <w:rsid w:val="00387CF3"/>
    <w:rsid w:val="00392022"/>
    <w:rsid w:val="0039214E"/>
    <w:rsid w:val="0039256B"/>
    <w:rsid w:val="0039393F"/>
    <w:rsid w:val="00397677"/>
    <w:rsid w:val="003A01D0"/>
    <w:rsid w:val="003A0B24"/>
    <w:rsid w:val="003A0BF2"/>
    <w:rsid w:val="003A3A32"/>
    <w:rsid w:val="003A45B0"/>
    <w:rsid w:val="003A59A6"/>
    <w:rsid w:val="003A6D5C"/>
    <w:rsid w:val="003A7ED9"/>
    <w:rsid w:val="003B10FB"/>
    <w:rsid w:val="003B1135"/>
    <w:rsid w:val="003B1154"/>
    <w:rsid w:val="003B1752"/>
    <w:rsid w:val="003B3474"/>
    <w:rsid w:val="003B5841"/>
    <w:rsid w:val="003B595A"/>
    <w:rsid w:val="003B7208"/>
    <w:rsid w:val="003B7403"/>
    <w:rsid w:val="003C1100"/>
    <w:rsid w:val="003C1CFB"/>
    <w:rsid w:val="003C1DE6"/>
    <w:rsid w:val="003C4FF5"/>
    <w:rsid w:val="003C76DE"/>
    <w:rsid w:val="003D0AE2"/>
    <w:rsid w:val="003D347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6F7"/>
    <w:rsid w:val="00400915"/>
    <w:rsid w:val="00403319"/>
    <w:rsid w:val="00406793"/>
    <w:rsid w:val="0041075E"/>
    <w:rsid w:val="00411F8F"/>
    <w:rsid w:val="004135D8"/>
    <w:rsid w:val="00414020"/>
    <w:rsid w:val="0041428D"/>
    <w:rsid w:val="004154DB"/>
    <w:rsid w:val="00417379"/>
    <w:rsid w:val="004176BF"/>
    <w:rsid w:val="00417C79"/>
    <w:rsid w:val="004203BE"/>
    <w:rsid w:val="004204D0"/>
    <w:rsid w:val="00420AC4"/>
    <w:rsid w:val="004232C6"/>
    <w:rsid w:val="00426124"/>
    <w:rsid w:val="00426F24"/>
    <w:rsid w:val="00430498"/>
    <w:rsid w:val="004310BB"/>
    <w:rsid w:val="0043126B"/>
    <w:rsid w:val="004338C7"/>
    <w:rsid w:val="00433E65"/>
    <w:rsid w:val="00434C3F"/>
    <w:rsid w:val="004403F7"/>
    <w:rsid w:val="004406B5"/>
    <w:rsid w:val="00444E7F"/>
    <w:rsid w:val="00445514"/>
    <w:rsid w:val="00445853"/>
    <w:rsid w:val="00447748"/>
    <w:rsid w:val="00447A90"/>
    <w:rsid w:val="0045354B"/>
    <w:rsid w:val="00453687"/>
    <w:rsid w:val="004536F3"/>
    <w:rsid w:val="004545AF"/>
    <w:rsid w:val="00454690"/>
    <w:rsid w:val="004558BD"/>
    <w:rsid w:val="00460C5B"/>
    <w:rsid w:val="004615D3"/>
    <w:rsid w:val="004619A2"/>
    <w:rsid w:val="0046281E"/>
    <w:rsid w:val="00463909"/>
    <w:rsid w:val="00463EEB"/>
    <w:rsid w:val="00463FB4"/>
    <w:rsid w:val="00464D6B"/>
    <w:rsid w:val="00465D7C"/>
    <w:rsid w:val="00467C83"/>
    <w:rsid w:val="00471E09"/>
    <w:rsid w:val="004728C4"/>
    <w:rsid w:val="00473C7A"/>
    <w:rsid w:val="0047414B"/>
    <w:rsid w:val="00474C35"/>
    <w:rsid w:val="004750A1"/>
    <w:rsid w:val="004769A4"/>
    <w:rsid w:val="00480212"/>
    <w:rsid w:val="00480D99"/>
    <w:rsid w:val="00483EC9"/>
    <w:rsid w:val="004841AE"/>
    <w:rsid w:val="00484C7F"/>
    <w:rsid w:val="00485194"/>
    <w:rsid w:val="0049095E"/>
    <w:rsid w:val="004933FC"/>
    <w:rsid w:val="00494029"/>
    <w:rsid w:val="004A1567"/>
    <w:rsid w:val="004A212C"/>
    <w:rsid w:val="004A6D54"/>
    <w:rsid w:val="004B0090"/>
    <w:rsid w:val="004B05C6"/>
    <w:rsid w:val="004B0982"/>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CC4"/>
    <w:rsid w:val="004D571F"/>
    <w:rsid w:val="004D6095"/>
    <w:rsid w:val="004D66AD"/>
    <w:rsid w:val="004E07A1"/>
    <w:rsid w:val="004E1729"/>
    <w:rsid w:val="004E1B3C"/>
    <w:rsid w:val="004E358F"/>
    <w:rsid w:val="004E3959"/>
    <w:rsid w:val="004E3F86"/>
    <w:rsid w:val="004E4AD1"/>
    <w:rsid w:val="004E5659"/>
    <w:rsid w:val="004E6577"/>
    <w:rsid w:val="004E77E1"/>
    <w:rsid w:val="004F0AB7"/>
    <w:rsid w:val="004F3291"/>
    <w:rsid w:val="004F32D0"/>
    <w:rsid w:val="004F483D"/>
    <w:rsid w:val="004F54DC"/>
    <w:rsid w:val="004F6671"/>
    <w:rsid w:val="004F78C4"/>
    <w:rsid w:val="00500557"/>
    <w:rsid w:val="00500E29"/>
    <w:rsid w:val="005025C7"/>
    <w:rsid w:val="00503552"/>
    <w:rsid w:val="00504B42"/>
    <w:rsid w:val="0050585A"/>
    <w:rsid w:val="00506DB2"/>
    <w:rsid w:val="00510870"/>
    <w:rsid w:val="00511AE4"/>
    <w:rsid w:val="005129FD"/>
    <w:rsid w:val="00512A53"/>
    <w:rsid w:val="00512B53"/>
    <w:rsid w:val="00513D8C"/>
    <w:rsid w:val="0051421A"/>
    <w:rsid w:val="005159EC"/>
    <w:rsid w:val="00515E8C"/>
    <w:rsid w:val="00516A4D"/>
    <w:rsid w:val="00520E8F"/>
    <w:rsid w:val="00521628"/>
    <w:rsid w:val="0052214D"/>
    <w:rsid w:val="00522CA8"/>
    <w:rsid w:val="00525F6D"/>
    <w:rsid w:val="0052661E"/>
    <w:rsid w:val="00526627"/>
    <w:rsid w:val="00527EF6"/>
    <w:rsid w:val="00531016"/>
    <w:rsid w:val="00532218"/>
    <w:rsid w:val="0053306F"/>
    <w:rsid w:val="005336A5"/>
    <w:rsid w:val="00533D56"/>
    <w:rsid w:val="00535912"/>
    <w:rsid w:val="005367E7"/>
    <w:rsid w:val="00540D0D"/>
    <w:rsid w:val="00541022"/>
    <w:rsid w:val="00542B22"/>
    <w:rsid w:val="00542CDB"/>
    <w:rsid w:val="00543B75"/>
    <w:rsid w:val="00544041"/>
    <w:rsid w:val="005444AD"/>
    <w:rsid w:val="005449D0"/>
    <w:rsid w:val="00550ECE"/>
    <w:rsid w:val="005515F8"/>
    <w:rsid w:val="00553B9B"/>
    <w:rsid w:val="005543AF"/>
    <w:rsid w:val="00554BD4"/>
    <w:rsid w:val="00555CE3"/>
    <w:rsid w:val="0055603D"/>
    <w:rsid w:val="005574AE"/>
    <w:rsid w:val="00560E60"/>
    <w:rsid w:val="00562117"/>
    <w:rsid w:val="005626FE"/>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77CDD"/>
    <w:rsid w:val="005807A8"/>
    <w:rsid w:val="00580D15"/>
    <w:rsid w:val="00584C51"/>
    <w:rsid w:val="00587B1E"/>
    <w:rsid w:val="00587E84"/>
    <w:rsid w:val="005913E6"/>
    <w:rsid w:val="005931A9"/>
    <w:rsid w:val="005944ED"/>
    <w:rsid w:val="005964D7"/>
    <w:rsid w:val="00596D61"/>
    <w:rsid w:val="00597018"/>
    <w:rsid w:val="005A0521"/>
    <w:rsid w:val="005A192F"/>
    <w:rsid w:val="005A2C57"/>
    <w:rsid w:val="005A2F92"/>
    <w:rsid w:val="005A43E7"/>
    <w:rsid w:val="005A4480"/>
    <w:rsid w:val="005A60E9"/>
    <w:rsid w:val="005A7E33"/>
    <w:rsid w:val="005B10CC"/>
    <w:rsid w:val="005B52A0"/>
    <w:rsid w:val="005B6775"/>
    <w:rsid w:val="005B6FFD"/>
    <w:rsid w:val="005B72D5"/>
    <w:rsid w:val="005C17F7"/>
    <w:rsid w:val="005C196C"/>
    <w:rsid w:val="005C3DF3"/>
    <w:rsid w:val="005C47DC"/>
    <w:rsid w:val="005C5501"/>
    <w:rsid w:val="005C7AFE"/>
    <w:rsid w:val="005D01B4"/>
    <w:rsid w:val="005D10B3"/>
    <w:rsid w:val="005D158D"/>
    <w:rsid w:val="005D226A"/>
    <w:rsid w:val="005D22BC"/>
    <w:rsid w:val="005D3A5F"/>
    <w:rsid w:val="005D6069"/>
    <w:rsid w:val="005D6CE0"/>
    <w:rsid w:val="005E10A5"/>
    <w:rsid w:val="005E14D6"/>
    <w:rsid w:val="005E1AEC"/>
    <w:rsid w:val="005E21DE"/>
    <w:rsid w:val="005E24C2"/>
    <w:rsid w:val="005E34E9"/>
    <w:rsid w:val="005E35AB"/>
    <w:rsid w:val="005F0AEB"/>
    <w:rsid w:val="005F1439"/>
    <w:rsid w:val="005F21B0"/>
    <w:rsid w:val="005F4D3D"/>
    <w:rsid w:val="005F5B10"/>
    <w:rsid w:val="005F6CAB"/>
    <w:rsid w:val="0060244C"/>
    <w:rsid w:val="00610026"/>
    <w:rsid w:val="00610A95"/>
    <w:rsid w:val="00610C37"/>
    <w:rsid w:val="00612B5A"/>
    <w:rsid w:val="00613401"/>
    <w:rsid w:val="0061516D"/>
    <w:rsid w:val="00615B10"/>
    <w:rsid w:val="006168EB"/>
    <w:rsid w:val="00616C63"/>
    <w:rsid w:val="00616DEB"/>
    <w:rsid w:val="00617F39"/>
    <w:rsid w:val="00620DE2"/>
    <w:rsid w:val="00621211"/>
    <w:rsid w:val="00624E9E"/>
    <w:rsid w:val="00626347"/>
    <w:rsid w:val="006263D3"/>
    <w:rsid w:val="0062694E"/>
    <w:rsid w:val="00630030"/>
    <w:rsid w:val="006303DB"/>
    <w:rsid w:val="00630426"/>
    <w:rsid w:val="00630588"/>
    <w:rsid w:val="00631753"/>
    <w:rsid w:val="0063349D"/>
    <w:rsid w:val="006356A8"/>
    <w:rsid w:val="00635C2F"/>
    <w:rsid w:val="00636EB3"/>
    <w:rsid w:val="006377A9"/>
    <w:rsid w:val="0063788D"/>
    <w:rsid w:val="00637F6F"/>
    <w:rsid w:val="00640E61"/>
    <w:rsid w:val="006421E5"/>
    <w:rsid w:val="00642A8B"/>
    <w:rsid w:val="006468ED"/>
    <w:rsid w:val="006512F6"/>
    <w:rsid w:val="00653B0F"/>
    <w:rsid w:val="006555B9"/>
    <w:rsid w:val="0065599C"/>
    <w:rsid w:val="006609B3"/>
    <w:rsid w:val="00660E52"/>
    <w:rsid w:val="0066148E"/>
    <w:rsid w:val="00661B3F"/>
    <w:rsid w:val="006625F9"/>
    <w:rsid w:val="00663A37"/>
    <w:rsid w:val="00664BB4"/>
    <w:rsid w:val="00665102"/>
    <w:rsid w:val="00665A8F"/>
    <w:rsid w:val="006674F7"/>
    <w:rsid w:val="00667860"/>
    <w:rsid w:val="0067058E"/>
    <w:rsid w:val="0067157E"/>
    <w:rsid w:val="00674792"/>
    <w:rsid w:val="00675D66"/>
    <w:rsid w:val="006766E8"/>
    <w:rsid w:val="00676D1D"/>
    <w:rsid w:val="00680D15"/>
    <w:rsid w:val="006818D9"/>
    <w:rsid w:val="006828B5"/>
    <w:rsid w:val="006834AD"/>
    <w:rsid w:val="006838C7"/>
    <w:rsid w:val="0068643A"/>
    <w:rsid w:val="00687F16"/>
    <w:rsid w:val="00690405"/>
    <w:rsid w:val="00690944"/>
    <w:rsid w:val="006914D2"/>
    <w:rsid w:val="00691C06"/>
    <w:rsid w:val="0069448A"/>
    <w:rsid w:val="00696FD6"/>
    <w:rsid w:val="006A158E"/>
    <w:rsid w:val="006A4224"/>
    <w:rsid w:val="006A52E8"/>
    <w:rsid w:val="006A56F0"/>
    <w:rsid w:val="006A585F"/>
    <w:rsid w:val="006A7CE2"/>
    <w:rsid w:val="006A7E3C"/>
    <w:rsid w:val="006B4CA4"/>
    <w:rsid w:val="006B6498"/>
    <w:rsid w:val="006B64AA"/>
    <w:rsid w:val="006B6868"/>
    <w:rsid w:val="006B7074"/>
    <w:rsid w:val="006C0E43"/>
    <w:rsid w:val="006C2214"/>
    <w:rsid w:val="006C372D"/>
    <w:rsid w:val="006C410C"/>
    <w:rsid w:val="006C52D3"/>
    <w:rsid w:val="006C55C2"/>
    <w:rsid w:val="006C662F"/>
    <w:rsid w:val="006C6C41"/>
    <w:rsid w:val="006D1EC8"/>
    <w:rsid w:val="006D3F59"/>
    <w:rsid w:val="006D6830"/>
    <w:rsid w:val="006D719C"/>
    <w:rsid w:val="006D7DF3"/>
    <w:rsid w:val="006E136F"/>
    <w:rsid w:val="006E15A2"/>
    <w:rsid w:val="006E20F9"/>
    <w:rsid w:val="006E3F38"/>
    <w:rsid w:val="006E4C8D"/>
    <w:rsid w:val="006E6076"/>
    <w:rsid w:val="006E621A"/>
    <w:rsid w:val="006E6DD7"/>
    <w:rsid w:val="006F0222"/>
    <w:rsid w:val="006F04A3"/>
    <w:rsid w:val="006F114C"/>
    <w:rsid w:val="006F1A99"/>
    <w:rsid w:val="006F676C"/>
    <w:rsid w:val="00700C90"/>
    <w:rsid w:val="00701F34"/>
    <w:rsid w:val="00703191"/>
    <w:rsid w:val="007031A2"/>
    <w:rsid w:val="00704693"/>
    <w:rsid w:val="00704A6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3B4"/>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46F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5C90"/>
    <w:rsid w:val="007771D4"/>
    <w:rsid w:val="00777372"/>
    <w:rsid w:val="00777527"/>
    <w:rsid w:val="00780CE8"/>
    <w:rsid w:val="00780F18"/>
    <w:rsid w:val="0078152F"/>
    <w:rsid w:val="00781849"/>
    <w:rsid w:val="00781B6F"/>
    <w:rsid w:val="0078270D"/>
    <w:rsid w:val="00782890"/>
    <w:rsid w:val="007833CB"/>
    <w:rsid w:val="00783A5A"/>
    <w:rsid w:val="00783B56"/>
    <w:rsid w:val="00786CFF"/>
    <w:rsid w:val="007874B4"/>
    <w:rsid w:val="0079051F"/>
    <w:rsid w:val="00791490"/>
    <w:rsid w:val="00791C7A"/>
    <w:rsid w:val="00791D59"/>
    <w:rsid w:val="00792D4C"/>
    <w:rsid w:val="007938AE"/>
    <w:rsid w:val="00793B7C"/>
    <w:rsid w:val="007947A0"/>
    <w:rsid w:val="00794E1C"/>
    <w:rsid w:val="007A0DC1"/>
    <w:rsid w:val="007A19E0"/>
    <w:rsid w:val="007A1AB6"/>
    <w:rsid w:val="007A23F8"/>
    <w:rsid w:val="007A2D52"/>
    <w:rsid w:val="007A314B"/>
    <w:rsid w:val="007A445C"/>
    <w:rsid w:val="007A550A"/>
    <w:rsid w:val="007A5B2E"/>
    <w:rsid w:val="007A5C18"/>
    <w:rsid w:val="007B0472"/>
    <w:rsid w:val="007B28CF"/>
    <w:rsid w:val="007B4416"/>
    <w:rsid w:val="007B46BF"/>
    <w:rsid w:val="007B6DD8"/>
    <w:rsid w:val="007C05DC"/>
    <w:rsid w:val="007C0FF7"/>
    <w:rsid w:val="007C14EE"/>
    <w:rsid w:val="007C3040"/>
    <w:rsid w:val="007C3BA4"/>
    <w:rsid w:val="007C5937"/>
    <w:rsid w:val="007D07B3"/>
    <w:rsid w:val="007D1B1E"/>
    <w:rsid w:val="007D4712"/>
    <w:rsid w:val="007D4D7F"/>
    <w:rsid w:val="007D5D30"/>
    <w:rsid w:val="007E18F8"/>
    <w:rsid w:val="007E1E0F"/>
    <w:rsid w:val="007E38F1"/>
    <w:rsid w:val="007E3C2E"/>
    <w:rsid w:val="007E3F8B"/>
    <w:rsid w:val="007E781F"/>
    <w:rsid w:val="007E7EE0"/>
    <w:rsid w:val="007F1538"/>
    <w:rsid w:val="007F3D8B"/>
    <w:rsid w:val="007F5BB9"/>
    <w:rsid w:val="007F5C41"/>
    <w:rsid w:val="007F5E4F"/>
    <w:rsid w:val="007F7965"/>
    <w:rsid w:val="0080000D"/>
    <w:rsid w:val="0080069B"/>
    <w:rsid w:val="00800EF1"/>
    <w:rsid w:val="008017D6"/>
    <w:rsid w:val="0080185B"/>
    <w:rsid w:val="00802AC9"/>
    <w:rsid w:val="00803304"/>
    <w:rsid w:val="00807B2A"/>
    <w:rsid w:val="00810E97"/>
    <w:rsid w:val="0081123B"/>
    <w:rsid w:val="00811393"/>
    <w:rsid w:val="00816324"/>
    <w:rsid w:val="00816C5A"/>
    <w:rsid w:val="00817678"/>
    <w:rsid w:val="0082049D"/>
    <w:rsid w:val="008210EE"/>
    <w:rsid w:val="008217BC"/>
    <w:rsid w:val="00822BA1"/>
    <w:rsid w:val="00824E58"/>
    <w:rsid w:val="00827BC5"/>
    <w:rsid w:val="00827D60"/>
    <w:rsid w:val="00831D6C"/>
    <w:rsid w:val="00832F6C"/>
    <w:rsid w:val="008341ED"/>
    <w:rsid w:val="00837584"/>
    <w:rsid w:val="00841673"/>
    <w:rsid w:val="00841963"/>
    <w:rsid w:val="00841B2A"/>
    <w:rsid w:val="00845B52"/>
    <w:rsid w:val="00846D3E"/>
    <w:rsid w:val="00846DE7"/>
    <w:rsid w:val="008477B9"/>
    <w:rsid w:val="008523FA"/>
    <w:rsid w:val="00852791"/>
    <w:rsid w:val="008529E6"/>
    <w:rsid w:val="00852CDD"/>
    <w:rsid w:val="00855E11"/>
    <w:rsid w:val="008575E1"/>
    <w:rsid w:val="0085760A"/>
    <w:rsid w:val="0086170A"/>
    <w:rsid w:val="008621F5"/>
    <w:rsid w:val="00862272"/>
    <w:rsid w:val="00863328"/>
    <w:rsid w:val="0086448F"/>
    <w:rsid w:val="00864D6E"/>
    <w:rsid w:val="008659A2"/>
    <w:rsid w:val="0086690B"/>
    <w:rsid w:val="00866973"/>
    <w:rsid w:val="00867C1E"/>
    <w:rsid w:val="008702EA"/>
    <w:rsid w:val="008710F8"/>
    <w:rsid w:val="00871B94"/>
    <w:rsid w:val="008755C2"/>
    <w:rsid w:val="008756F7"/>
    <w:rsid w:val="00875A6F"/>
    <w:rsid w:val="00881947"/>
    <w:rsid w:val="00881D64"/>
    <w:rsid w:val="00882C01"/>
    <w:rsid w:val="00882E02"/>
    <w:rsid w:val="00883C16"/>
    <w:rsid w:val="008853EC"/>
    <w:rsid w:val="00891CFC"/>
    <w:rsid w:val="008921AE"/>
    <w:rsid w:val="00892FEE"/>
    <w:rsid w:val="008941D4"/>
    <w:rsid w:val="00895187"/>
    <w:rsid w:val="00895BD3"/>
    <w:rsid w:val="00896EDC"/>
    <w:rsid w:val="008A0C9F"/>
    <w:rsid w:val="008A14F6"/>
    <w:rsid w:val="008A1645"/>
    <w:rsid w:val="008A3E6F"/>
    <w:rsid w:val="008A7EF2"/>
    <w:rsid w:val="008B0517"/>
    <w:rsid w:val="008B0AD9"/>
    <w:rsid w:val="008B0DFB"/>
    <w:rsid w:val="008B2088"/>
    <w:rsid w:val="008B646D"/>
    <w:rsid w:val="008B6842"/>
    <w:rsid w:val="008B70C4"/>
    <w:rsid w:val="008B7F11"/>
    <w:rsid w:val="008C12FF"/>
    <w:rsid w:val="008C18C1"/>
    <w:rsid w:val="008C3DC2"/>
    <w:rsid w:val="008C442E"/>
    <w:rsid w:val="008C4943"/>
    <w:rsid w:val="008C5658"/>
    <w:rsid w:val="008C5DCA"/>
    <w:rsid w:val="008D0ADE"/>
    <w:rsid w:val="008D344B"/>
    <w:rsid w:val="008D346A"/>
    <w:rsid w:val="008D370B"/>
    <w:rsid w:val="008D41FC"/>
    <w:rsid w:val="008D4ED9"/>
    <w:rsid w:val="008D5B84"/>
    <w:rsid w:val="008D6B04"/>
    <w:rsid w:val="008D7882"/>
    <w:rsid w:val="008E2654"/>
    <w:rsid w:val="008E5EF0"/>
    <w:rsid w:val="008F1C22"/>
    <w:rsid w:val="008F2212"/>
    <w:rsid w:val="008F2554"/>
    <w:rsid w:val="008F408C"/>
    <w:rsid w:val="008F47DC"/>
    <w:rsid w:val="008F66C1"/>
    <w:rsid w:val="008F72E9"/>
    <w:rsid w:val="00901964"/>
    <w:rsid w:val="009025FB"/>
    <w:rsid w:val="009029DB"/>
    <w:rsid w:val="009038A8"/>
    <w:rsid w:val="0090753F"/>
    <w:rsid w:val="00913E51"/>
    <w:rsid w:val="00914986"/>
    <w:rsid w:val="00914DFE"/>
    <w:rsid w:val="0091614B"/>
    <w:rsid w:val="00916768"/>
    <w:rsid w:val="0092131F"/>
    <w:rsid w:val="00925D59"/>
    <w:rsid w:val="00926716"/>
    <w:rsid w:val="00930001"/>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5183B"/>
    <w:rsid w:val="0095204C"/>
    <w:rsid w:val="009520FE"/>
    <w:rsid w:val="00953406"/>
    <w:rsid w:val="00953424"/>
    <w:rsid w:val="00953B51"/>
    <w:rsid w:val="00953B7B"/>
    <w:rsid w:val="00954528"/>
    <w:rsid w:val="009558AA"/>
    <w:rsid w:val="00956001"/>
    <w:rsid w:val="009560D6"/>
    <w:rsid w:val="009603E5"/>
    <w:rsid w:val="0096071A"/>
    <w:rsid w:val="00960C91"/>
    <w:rsid w:val="00961649"/>
    <w:rsid w:val="00961AEB"/>
    <w:rsid w:val="00961B6D"/>
    <w:rsid w:val="00963687"/>
    <w:rsid w:val="00963717"/>
    <w:rsid w:val="00965CC4"/>
    <w:rsid w:val="0096624D"/>
    <w:rsid w:val="00970143"/>
    <w:rsid w:val="00970B7F"/>
    <w:rsid w:val="00970C38"/>
    <w:rsid w:val="00971614"/>
    <w:rsid w:val="00972340"/>
    <w:rsid w:val="009752FA"/>
    <w:rsid w:val="00977693"/>
    <w:rsid w:val="00981FF0"/>
    <w:rsid w:val="00982494"/>
    <w:rsid w:val="009845F3"/>
    <w:rsid w:val="009845FD"/>
    <w:rsid w:val="00986714"/>
    <w:rsid w:val="00990935"/>
    <w:rsid w:val="00990AFD"/>
    <w:rsid w:val="00991069"/>
    <w:rsid w:val="00992A0D"/>
    <w:rsid w:val="0099397C"/>
    <w:rsid w:val="00996257"/>
    <w:rsid w:val="00996BCA"/>
    <w:rsid w:val="009A0E79"/>
    <w:rsid w:val="009A216A"/>
    <w:rsid w:val="009A23B0"/>
    <w:rsid w:val="009A35C9"/>
    <w:rsid w:val="009A3604"/>
    <w:rsid w:val="009A473C"/>
    <w:rsid w:val="009A640D"/>
    <w:rsid w:val="009A7701"/>
    <w:rsid w:val="009A7F00"/>
    <w:rsid w:val="009B1548"/>
    <w:rsid w:val="009B3A1D"/>
    <w:rsid w:val="009B41F0"/>
    <w:rsid w:val="009B7FFD"/>
    <w:rsid w:val="009C3225"/>
    <w:rsid w:val="009C40E3"/>
    <w:rsid w:val="009C4284"/>
    <w:rsid w:val="009C5DC4"/>
    <w:rsid w:val="009C61A3"/>
    <w:rsid w:val="009C6B84"/>
    <w:rsid w:val="009D0BC2"/>
    <w:rsid w:val="009D480A"/>
    <w:rsid w:val="009D5A24"/>
    <w:rsid w:val="009D5B2E"/>
    <w:rsid w:val="009D5E66"/>
    <w:rsid w:val="009D636F"/>
    <w:rsid w:val="009D7457"/>
    <w:rsid w:val="009D758F"/>
    <w:rsid w:val="009D7BF2"/>
    <w:rsid w:val="009D7D83"/>
    <w:rsid w:val="009E19CB"/>
    <w:rsid w:val="009E426E"/>
    <w:rsid w:val="009E439C"/>
    <w:rsid w:val="009E620D"/>
    <w:rsid w:val="009E7F49"/>
    <w:rsid w:val="009F0935"/>
    <w:rsid w:val="009F0B98"/>
    <w:rsid w:val="009F1C46"/>
    <w:rsid w:val="009F2079"/>
    <w:rsid w:val="009F3E42"/>
    <w:rsid w:val="009F4BE1"/>
    <w:rsid w:val="009F69B5"/>
    <w:rsid w:val="00A004D3"/>
    <w:rsid w:val="00A04BF9"/>
    <w:rsid w:val="00A07CA6"/>
    <w:rsid w:val="00A1193F"/>
    <w:rsid w:val="00A12981"/>
    <w:rsid w:val="00A14320"/>
    <w:rsid w:val="00A151A5"/>
    <w:rsid w:val="00A15263"/>
    <w:rsid w:val="00A15E74"/>
    <w:rsid w:val="00A164FB"/>
    <w:rsid w:val="00A16BEA"/>
    <w:rsid w:val="00A1724D"/>
    <w:rsid w:val="00A175E5"/>
    <w:rsid w:val="00A17EA1"/>
    <w:rsid w:val="00A17EDF"/>
    <w:rsid w:val="00A214AF"/>
    <w:rsid w:val="00A24F60"/>
    <w:rsid w:val="00A254EA"/>
    <w:rsid w:val="00A30144"/>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13E1"/>
    <w:rsid w:val="00A521D4"/>
    <w:rsid w:val="00A53511"/>
    <w:rsid w:val="00A5364D"/>
    <w:rsid w:val="00A541FE"/>
    <w:rsid w:val="00A5475A"/>
    <w:rsid w:val="00A60841"/>
    <w:rsid w:val="00A61A4E"/>
    <w:rsid w:val="00A6294B"/>
    <w:rsid w:val="00A63700"/>
    <w:rsid w:val="00A64575"/>
    <w:rsid w:val="00A65A26"/>
    <w:rsid w:val="00A67625"/>
    <w:rsid w:val="00A67EF4"/>
    <w:rsid w:val="00A73EF9"/>
    <w:rsid w:val="00A756C6"/>
    <w:rsid w:val="00A77200"/>
    <w:rsid w:val="00A77250"/>
    <w:rsid w:val="00A80476"/>
    <w:rsid w:val="00A80BB6"/>
    <w:rsid w:val="00A80C68"/>
    <w:rsid w:val="00A821AF"/>
    <w:rsid w:val="00A844B8"/>
    <w:rsid w:val="00A847B6"/>
    <w:rsid w:val="00A855BE"/>
    <w:rsid w:val="00A86406"/>
    <w:rsid w:val="00A87937"/>
    <w:rsid w:val="00A9014B"/>
    <w:rsid w:val="00A915AB"/>
    <w:rsid w:val="00A9222E"/>
    <w:rsid w:val="00A92C7A"/>
    <w:rsid w:val="00A92DD2"/>
    <w:rsid w:val="00A93911"/>
    <w:rsid w:val="00A9454C"/>
    <w:rsid w:val="00A94751"/>
    <w:rsid w:val="00A95B2A"/>
    <w:rsid w:val="00A96228"/>
    <w:rsid w:val="00A97072"/>
    <w:rsid w:val="00AA0B4E"/>
    <w:rsid w:val="00AA1BBB"/>
    <w:rsid w:val="00AA1E74"/>
    <w:rsid w:val="00AA246B"/>
    <w:rsid w:val="00AA24D2"/>
    <w:rsid w:val="00AA423E"/>
    <w:rsid w:val="00AA7316"/>
    <w:rsid w:val="00AA78CE"/>
    <w:rsid w:val="00AA7F42"/>
    <w:rsid w:val="00AB0C12"/>
    <w:rsid w:val="00AB0FA7"/>
    <w:rsid w:val="00AB26D5"/>
    <w:rsid w:val="00AB3885"/>
    <w:rsid w:val="00AB5A46"/>
    <w:rsid w:val="00AB5F3B"/>
    <w:rsid w:val="00AB7E17"/>
    <w:rsid w:val="00AC004D"/>
    <w:rsid w:val="00AC38A9"/>
    <w:rsid w:val="00AC4BF6"/>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4EE4"/>
    <w:rsid w:val="00B0036F"/>
    <w:rsid w:val="00B00C8E"/>
    <w:rsid w:val="00B0166A"/>
    <w:rsid w:val="00B02AA5"/>
    <w:rsid w:val="00B035EF"/>
    <w:rsid w:val="00B04F50"/>
    <w:rsid w:val="00B05A97"/>
    <w:rsid w:val="00B1073D"/>
    <w:rsid w:val="00B11CD7"/>
    <w:rsid w:val="00B1205D"/>
    <w:rsid w:val="00B13307"/>
    <w:rsid w:val="00B15202"/>
    <w:rsid w:val="00B1553A"/>
    <w:rsid w:val="00B166C0"/>
    <w:rsid w:val="00B17577"/>
    <w:rsid w:val="00B21CD1"/>
    <w:rsid w:val="00B23256"/>
    <w:rsid w:val="00B24CF5"/>
    <w:rsid w:val="00B26507"/>
    <w:rsid w:val="00B269CE"/>
    <w:rsid w:val="00B30C10"/>
    <w:rsid w:val="00B31CD8"/>
    <w:rsid w:val="00B32B21"/>
    <w:rsid w:val="00B350B2"/>
    <w:rsid w:val="00B35635"/>
    <w:rsid w:val="00B37176"/>
    <w:rsid w:val="00B373AA"/>
    <w:rsid w:val="00B40823"/>
    <w:rsid w:val="00B40DF9"/>
    <w:rsid w:val="00B42083"/>
    <w:rsid w:val="00B43455"/>
    <w:rsid w:val="00B435F8"/>
    <w:rsid w:val="00B4620E"/>
    <w:rsid w:val="00B46CB0"/>
    <w:rsid w:val="00B543F7"/>
    <w:rsid w:val="00B5462A"/>
    <w:rsid w:val="00B57348"/>
    <w:rsid w:val="00B61E5E"/>
    <w:rsid w:val="00B62D2B"/>
    <w:rsid w:val="00B63807"/>
    <w:rsid w:val="00B65D4D"/>
    <w:rsid w:val="00B66649"/>
    <w:rsid w:val="00B66DB5"/>
    <w:rsid w:val="00B674BC"/>
    <w:rsid w:val="00B67741"/>
    <w:rsid w:val="00B75683"/>
    <w:rsid w:val="00B7667D"/>
    <w:rsid w:val="00B8179C"/>
    <w:rsid w:val="00B81F53"/>
    <w:rsid w:val="00B822DB"/>
    <w:rsid w:val="00B84A8A"/>
    <w:rsid w:val="00B91B46"/>
    <w:rsid w:val="00B9279C"/>
    <w:rsid w:val="00B934BE"/>
    <w:rsid w:val="00B95251"/>
    <w:rsid w:val="00B9576A"/>
    <w:rsid w:val="00B962BB"/>
    <w:rsid w:val="00BA1582"/>
    <w:rsid w:val="00BA2861"/>
    <w:rsid w:val="00BA6707"/>
    <w:rsid w:val="00BA7C0B"/>
    <w:rsid w:val="00BB0F85"/>
    <w:rsid w:val="00BB1940"/>
    <w:rsid w:val="00BB4B5A"/>
    <w:rsid w:val="00BB5301"/>
    <w:rsid w:val="00BB57E8"/>
    <w:rsid w:val="00BB7349"/>
    <w:rsid w:val="00BC0196"/>
    <w:rsid w:val="00BC0367"/>
    <w:rsid w:val="00BC0772"/>
    <w:rsid w:val="00BC219A"/>
    <w:rsid w:val="00BC2C04"/>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0A1D"/>
    <w:rsid w:val="00BF5945"/>
    <w:rsid w:val="00BF5BF6"/>
    <w:rsid w:val="00BF6362"/>
    <w:rsid w:val="00C0080E"/>
    <w:rsid w:val="00C009C1"/>
    <w:rsid w:val="00C01B8A"/>
    <w:rsid w:val="00C01FED"/>
    <w:rsid w:val="00C03FCB"/>
    <w:rsid w:val="00C05398"/>
    <w:rsid w:val="00C056BE"/>
    <w:rsid w:val="00C06182"/>
    <w:rsid w:val="00C06249"/>
    <w:rsid w:val="00C06A65"/>
    <w:rsid w:val="00C07B7F"/>
    <w:rsid w:val="00C07EC8"/>
    <w:rsid w:val="00C10243"/>
    <w:rsid w:val="00C119DB"/>
    <w:rsid w:val="00C1392A"/>
    <w:rsid w:val="00C13C38"/>
    <w:rsid w:val="00C1424F"/>
    <w:rsid w:val="00C14933"/>
    <w:rsid w:val="00C157FC"/>
    <w:rsid w:val="00C2027F"/>
    <w:rsid w:val="00C20B16"/>
    <w:rsid w:val="00C233B3"/>
    <w:rsid w:val="00C235D5"/>
    <w:rsid w:val="00C238FB"/>
    <w:rsid w:val="00C25B3F"/>
    <w:rsid w:val="00C2627B"/>
    <w:rsid w:val="00C309B2"/>
    <w:rsid w:val="00C3227B"/>
    <w:rsid w:val="00C32ACE"/>
    <w:rsid w:val="00C32F37"/>
    <w:rsid w:val="00C33352"/>
    <w:rsid w:val="00C34DB4"/>
    <w:rsid w:val="00C35A64"/>
    <w:rsid w:val="00C35E7C"/>
    <w:rsid w:val="00C36B0D"/>
    <w:rsid w:val="00C36EE4"/>
    <w:rsid w:val="00C37839"/>
    <w:rsid w:val="00C37EA0"/>
    <w:rsid w:val="00C409F6"/>
    <w:rsid w:val="00C410D2"/>
    <w:rsid w:val="00C41479"/>
    <w:rsid w:val="00C43810"/>
    <w:rsid w:val="00C439F1"/>
    <w:rsid w:val="00C456AF"/>
    <w:rsid w:val="00C536D2"/>
    <w:rsid w:val="00C54090"/>
    <w:rsid w:val="00C54558"/>
    <w:rsid w:val="00C558A4"/>
    <w:rsid w:val="00C559CD"/>
    <w:rsid w:val="00C57E04"/>
    <w:rsid w:val="00C61FEC"/>
    <w:rsid w:val="00C6288E"/>
    <w:rsid w:val="00C62B4F"/>
    <w:rsid w:val="00C65918"/>
    <w:rsid w:val="00C65FA7"/>
    <w:rsid w:val="00C670DD"/>
    <w:rsid w:val="00C72F35"/>
    <w:rsid w:val="00C73ED0"/>
    <w:rsid w:val="00C74F2A"/>
    <w:rsid w:val="00C76946"/>
    <w:rsid w:val="00C76CD4"/>
    <w:rsid w:val="00C77686"/>
    <w:rsid w:val="00C80B05"/>
    <w:rsid w:val="00C81AD2"/>
    <w:rsid w:val="00C81CD7"/>
    <w:rsid w:val="00C82353"/>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1D5D"/>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25A1"/>
    <w:rsid w:val="00D133E3"/>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3FB8"/>
    <w:rsid w:val="00D3511F"/>
    <w:rsid w:val="00D36BE0"/>
    <w:rsid w:val="00D36DB6"/>
    <w:rsid w:val="00D3752B"/>
    <w:rsid w:val="00D40470"/>
    <w:rsid w:val="00D41147"/>
    <w:rsid w:val="00D42E5C"/>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1E0E"/>
    <w:rsid w:val="00D72C7A"/>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788"/>
    <w:rsid w:val="00D95B37"/>
    <w:rsid w:val="00D979CF"/>
    <w:rsid w:val="00DA0B8F"/>
    <w:rsid w:val="00DA1F2A"/>
    <w:rsid w:val="00DA432C"/>
    <w:rsid w:val="00DA7A37"/>
    <w:rsid w:val="00DB08A2"/>
    <w:rsid w:val="00DB0D6D"/>
    <w:rsid w:val="00DB1035"/>
    <w:rsid w:val="00DB1F84"/>
    <w:rsid w:val="00DB44A1"/>
    <w:rsid w:val="00DB5CD7"/>
    <w:rsid w:val="00DB6647"/>
    <w:rsid w:val="00DC0C9F"/>
    <w:rsid w:val="00DC33BA"/>
    <w:rsid w:val="00DC4957"/>
    <w:rsid w:val="00DC4AE2"/>
    <w:rsid w:val="00DC63B3"/>
    <w:rsid w:val="00DC6A1E"/>
    <w:rsid w:val="00DC6B6C"/>
    <w:rsid w:val="00DC79D7"/>
    <w:rsid w:val="00DD158E"/>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4A62"/>
    <w:rsid w:val="00DF5D03"/>
    <w:rsid w:val="00DF6006"/>
    <w:rsid w:val="00DF6955"/>
    <w:rsid w:val="00DF7B01"/>
    <w:rsid w:val="00E030B9"/>
    <w:rsid w:val="00E0443E"/>
    <w:rsid w:val="00E05FCE"/>
    <w:rsid w:val="00E076EA"/>
    <w:rsid w:val="00E1091C"/>
    <w:rsid w:val="00E120FC"/>
    <w:rsid w:val="00E1261A"/>
    <w:rsid w:val="00E12C1C"/>
    <w:rsid w:val="00E12D07"/>
    <w:rsid w:val="00E14BA9"/>
    <w:rsid w:val="00E1701F"/>
    <w:rsid w:val="00E2168A"/>
    <w:rsid w:val="00E22FD4"/>
    <w:rsid w:val="00E23EE3"/>
    <w:rsid w:val="00E245A1"/>
    <w:rsid w:val="00E24831"/>
    <w:rsid w:val="00E31001"/>
    <w:rsid w:val="00E34A4E"/>
    <w:rsid w:val="00E365C6"/>
    <w:rsid w:val="00E41D0D"/>
    <w:rsid w:val="00E46685"/>
    <w:rsid w:val="00E507BE"/>
    <w:rsid w:val="00E50A06"/>
    <w:rsid w:val="00E51D63"/>
    <w:rsid w:val="00E5265D"/>
    <w:rsid w:val="00E546D8"/>
    <w:rsid w:val="00E55C26"/>
    <w:rsid w:val="00E55EA0"/>
    <w:rsid w:val="00E5775F"/>
    <w:rsid w:val="00E600CD"/>
    <w:rsid w:val="00E62EF4"/>
    <w:rsid w:val="00E65521"/>
    <w:rsid w:val="00E6737E"/>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6F04"/>
    <w:rsid w:val="00E97F10"/>
    <w:rsid w:val="00EA4C1F"/>
    <w:rsid w:val="00EA5B2B"/>
    <w:rsid w:val="00EA7EA7"/>
    <w:rsid w:val="00EB0AFA"/>
    <w:rsid w:val="00EB2BE8"/>
    <w:rsid w:val="00EB3FD5"/>
    <w:rsid w:val="00EB4897"/>
    <w:rsid w:val="00EB4E9E"/>
    <w:rsid w:val="00EB5F05"/>
    <w:rsid w:val="00EB65D1"/>
    <w:rsid w:val="00EC1362"/>
    <w:rsid w:val="00EC1ED1"/>
    <w:rsid w:val="00EC238F"/>
    <w:rsid w:val="00EC291E"/>
    <w:rsid w:val="00EC2EEA"/>
    <w:rsid w:val="00EC3519"/>
    <w:rsid w:val="00EC6ABB"/>
    <w:rsid w:val="00EC7B44"/>
    <w:rsid w:val="00ED10D9"/>
    <w:rsid w:val="00ED28F4"/>
    <w:rsid w:val="00ED30A9"/>
    <w:rsid w:val="00ED4023"/>
    <w:rsid w:val="00ED43C6"/>
    <w:rsid w:val="00ED5476"/>
    <w:rsid w:val="00ED6F4C"/>
    <w:rsid w:val="00ED730A"/>
    <w:rsid w:val="00ED7864"/>
    <w:rsid w:val="00EE0200"/>
    <w:rsid w:val="00EE0F6C"/>
    <w:rsid w:val="00EE1465"/>
    <w:rsid w:val="00EE2C69"/>
    <w:rsid w:val="00EE34DD"/>
    <w:rsid w:val="00EE3C92"/>
    <w:rsid w:val="00EE447F"/>
    <w:rsid w:val="00EE4708"/>
    <w:rsid w:val="00EE47C6"/>
    <w:rsid w:val="00EE4D84"/>
    <w:rsid w:val="00EE76B1"/>
    <w:rsid w:val="00EF0382"/>
    <w:rsid w:val="00EF0F59"/>
    <w:rsid w:val="00EF1196"/>
    <w:rsid w:val="00EF271A"/>
    <w:rsid w:val="00EF2B23"/>
    <w:rsid w:val="00EF2BAC"/>
    <w:rsid w:val="00EF3A01"/>
    <w:rsid w:val="00EF52F1"/>
    <w:rsid w:val="00EF5DD5"/>
    <w:rsid w:val="00EF6457"/>
    <w:rsid w:val="00EF6F58"/>
    <w:rsid w:val="00EF7470"/>
    <w:rsid w:val="00EF7935"/>
    <w:rsid w:val="00F01526"/>
    <w:rsid w:val="00F023A7"/>
    <w:rsid w:val="00F02D93"/>
    <w:rsid w:val="00F039E2"/>
    <w:rsid w:val="00F04A95"/>
    <w:rsid w:val="00F058D3"/>
    <w:rsid w:val="00F069F8"/>
    <w:rsid w:val="00F10C4F"/>
    <w:rsid w:val="00F11FF3"/>
    <w:rsid w:val="00F12F4D"/>
    <w:rsid w:val="00F12FB0"/>
    <w:rsid w:val="00F16039"/>
    <w:rsid w:val="00F20DCF"/>
    <w:rsid w:val="00F23554"/>
    <w:rsid w:val="00F238A9"/>
    <w:rsid w:val="00F2498E"/>
    <w:rsid w:val="00F3332A"/>
    <w:rsid w:val="00F34068"/>
    <w:rsid w:val="00F3421F"/>
    <w:rsid w:val="00F34782"/>
    <w:rsid w:val="00F34C48"/>
    <w:rsid w:val="00F35ED7"/>
    <w:rsid w:val="00F41E5D"/>
    <w:rsid w:val="00F42E60"/>
    <w:rsid w:val="00F43916"/>
    <w:rsid w:val="00F44A59"/>
    <w:rsid w:val="00F44F84"/>
    <w:rsid w:val="00F466E6"/>
    <w:rsid w:val="00F467A8"/>
    <w:rsid w:val="00F508F3"/>
    <w:rsid w:val="00F51165"/>
    <w:rsid w:val="00F51C42"/>
    <w:rsid w:val="00F51CC4"/>
    <w:rsid w:val="00F51EAB"/>
    <w:rsid w:val="00F52133"/>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56D7"/>
    <w:rsid w:val="00F77300"/>
    <w:rsid w:val="00F77D38"/>
    <w:rsid w:val="00F86C5F"/>
    <w:rsid w:val="00F86D62"/>
    <w:rsid w:val="00F87219"/>
    <w:rsid w:val="00F874BB"/>
    <w:rsid w:val="00F90DA5"/>
    <w:rsid w:val="00F90E5E"/>
    <w:rsid w:val="00F9118F"/>
    <w:rsid w:val="00F914C6"/>
    <w:rsid w:val="00F92B59"/>
    <w:rsid w:val="00F97115"/>
    <w:rsid w:val="00F97289"/>
    <w:rsid w:val="00F97B3C"/>
    <w:rsid w:val="00F97DE7"/>
    <w:rsid w:val="00FA00A8"/>
    <w:rsid w:val="00FA1F4B"/>
    <w:rsid w:val="00FA3644"/>
    <w:rsid w:val="00FA44C8"/>
    <w:rsid w:val="00FA4A6C"/>
    <w:rsid w:val="00FA4CAD"/>
    <w:rsid w:val="00FA4DC7"/>
    <w:rsid w:val="00FA5D15"/>
    <w:rsid w:val="00FA68F1"/>
    <w:rsid w:val="00FB053B"/>
    <w:rsid w:val="00FB35CF"/>
    <w:rsid w:val="00FB4E64"/>
    <w:rsid w:val="00FB6398"/>
    <w:rsid w:val="00FC16AB"/>
    <w:rsid w:val="00FC1A6C"/>
    <w:rsid w:val="00FC3FBD"/>
    <w:rsid w:val="00FC54A4"/>
    <w:rsid w:val="00FC5CDF"/>
    <w:rsid w:val="00FC71C7"/>
    <w:rsid w:val="00FC7CC4"/>
    <w:rsid w:val="00FD0A58"/>
    <w:rsid w:val="00FD160B"/>
    <w:rsid w:val="00FD1870"/>
    <w:rsid w:val="00FD19B7"/>
    <w:rsid w:val="00FD39C9"/>
    <w:rsid w:val="00FD3CDC"/>
    <w:rsid w:val="00FD4378"/>
    <w:rsid w:val="00FD72C2"/>
    <w:rsid w:val="00FE10DF"/>
    <w:rsid w:val="00FE1867"/>
    <w:rsid w:val="00FE26EC"/>
    <w:rsid w:val="00FE2DFF"/>
    <w:rsid w:val="00FE35A8"/>
    <w:rsid w:val="00FE599A"/>
    <w:rsid w:val="00FE663C"/>
    <w:rsid w:val="00FE7456"/>
    <w:rsid w:val="00FE76FD"/>
    <w:rsid w:val="00FF1039"/>
    <w:rsid w:val="00FF1B91"/>
    <w:rsid w:val="00FF299D"/>
    <w:rsid w:val="00FF32F4"/>
    <w:rsid w:val="00FF47CD"/>
    <w:rsid w:val="00FF67D7"/>
    <w:rsid w:val="067BB009"/>
    <w:rsid w:val="26EDA3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517"/>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12B5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2C04"/>
    <w:pPr>
      <w:ind w:left="708"/>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2C04"/>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
    <w:link w:val="SinespaciadoCar"/>
    <w:qFormat/>
    <w:rsid w:val="00C36EE4"/>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
    <w:link w:val="Sinespaciado"/>
    <w:uiPriority w:val="1"/>
    <w:locked/>
    <w:rsid w:val="00C36EE4"/>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 w:type="numbering" w:customStyle="1" w:styleId="Listaactual9">
    <w:name w:val="Lista actual9"/>
    <w:uiPriority w:val="99"/>
    <w:rsid w:val="007D4D7F"/>
    <w:pPr>
      <w:numPr>
        <w:numId w:val="15"/>
      </w:numPr>
    </w:pPr>
  </w:style>
  <w:style w:type="numbering" w:customStyle="1" w:styleId="Listaactual10">
    <w:name w:val="Lista actual10"/>
    <w:uiPriority w:val="99"/>
    <w:rsid w:val="00081FBA"/>
    <w:pPr>
      <w:numPr>
        <w:numId w:val="17"/>
      </w:numPr>
    </w:pPr>
  </w:style>
  <w:style w:type="numbering" w:customStyle="1" w:styleId="Listaactual11">
    <w:name w:val="Lista actual11"/>
    <w:uiPriority w:val="99"/>
    <w:rsid w:val="00616C63"/>
    <w:pPr>
      <w:numPr>
        <w:numId w:val="23"/>
      </w:numPr>
    </w:pPr>
  </w:style>
  <w:style w:type="numbering" w:customStyle="1" w:styleId="Listaactual12">
    <w:name w:val="Lista actual12"/>
    <w:uiPriority w:val="99"/>
    <w:rsid w:val="00054CC5"/>
    <w:pPr>
      <w:numPr>
        <w:numId w:val="25"/>
      </w:numPr>
    </w:pPr>
  </w:style>
  <w:style w:type="numbering" w:customStyle="1" w:styleId="Listaactual13">
    <w:name w:val="Lista actual13"/>
    <w:uiPriority w:val="99"/>
    <w:rsid w:val="00150D6A"/>
    <w:pPr>
      <w:numPr>
        <w:numId w:val="27"/>
      </w:numPr>
    </w:pPr>
  </w:style>
  <w:style w:type="numbering" w:customStyle="1" w:styleId="Listaactual14">
    <w:name w:val="Lista actual14"/>
    <w:uiPriority w:val="99"/>
    <w:rsid w:val="00BA1582"/>
    <w:pPr>
      <w:numPr>
        <w:numId w:val="35"/>
      </w:numPr>
    </w:pPr>
  </w:style>
  <w:style w:type="numbering" w:customStyle="1" w:styleId="Listaactual15">
    <w:name w:val="Lista actual15"/>
    <w:uiPriority w:val="99"/>
    <w:rsid w:val="00BA1582"/>
    <w:pPr>
      <w:numPr>
        <w:numId w:val="37"/>
      </w:numPr>
    </w:pPr>
  </w:style>
  <w:style w:type="character" w:customStyle="1" w:styleId="UnresolvedMention">
    <w:name w:val="Unresolved Mention"/>
    <w:basedOn w:val="Fuentedeprrafopredeter"/>
    <w:uiPriority w:val="99"/>
    <w:semiHidden/>
    <w:unhideWhenUsed/>
    <w:rsid w:val="007546FF"/>
    <w:rPr>
      <w:color w:val="605E5C"/>
      <w:shd w:val="clear" w:color="auto" w:fill="E1DFDD"/>
    </w:rPr>
  </w:style>
  <w:style w:type="character" w:customStyle="1" w:styleId="Ttulo3Car">
    <w:name w:val="Título 3 Car"/>
    <w:basedOn w:val="Fuentedeprrafopredeter"/>
    <w:link w:val="Ttulo3"/>
    <w:uiPriority w:val="9"/>
    <w:semiHidden/>
    <w:rsid w:val="00612B5A"/>
    <w:rPr>
      <w:rFonts w:asciiTheme="majorHAnsi" w:eastAsiaTheme="majorEastAsia" w:hAnsiTheme="majorHAnsi" w:cstheme="majorBidi"/>
      <w:color w:val="1F4D78" w:themeColor="accent1" w:themeShade="7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malinalco/art_92_xxix_a/3.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E8274-3380-4BD6-AAE7-B0CDAA7A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37</Pages>
  <Words>8433</Words>
  <Characters>46385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cp:lastPrinted>2019-06-13T15:30:00Z</cp:lastPrinted>
  <dcterms:created xsi:type="dcterms:W3CDTF">2022-11-29T17:50:00Z</dcterms:created>
  <dcterms:modified xsi:type="dcterms:W3CDTF">2023-01-27T16:36:00Z</dcterms:modified>
</cp:coreProperties>
</file>