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Pr>
          <w:rFonts w:ascii="Palatino Linotype" w:eastAsia="Times New Roman" w:hAnsi="Palatino Linotype" w:cs="Arial"/>
          <w:color w:val="000000"/>
          <w:sz w:val="24"/>
          <w:szCs w:val="24"/>
          <w:lang w:val="es-419" w:eastAsia="es-MX"/>
        </w:rPr>
        <w:t xml:space="preserve"> </w:t>
      </w:r>
      <w:r w:rsidR="00004900">
        <w:rPr>
          <w:rFonts w:ascii="Palatino Linotype" w:eastAsia="Times New Roman" w:hAnsi="Palatino Linotype" w:cs="Arial"/>
          <w:color w:val="000000"/>
          <w:sz w:val="24"/>
          <w:szCs w:val="24"/>
          <w:lang w:eastAsia="es-MX"/>
        </w:rPr>
        <w:t xml:space="preserve">a </w:t>
      </w:r>
      <w:r w:rsidR="00832240">
        <w:rPr>
          <w:rFonts w:ascii="Palatino Linotype" w:eastAsia="Times New Roman" w:hAnsi="Palatino Linotype" w:cs="Arial"/>
          <w:color w:val="000000"/>
          <w:sz w:val="24"/>
          <w:szCs w:val="24"/>
          <w:lang w:eastAsia="es-MX"/>
        </w:rPr>
        <w:t>diez de mayo</w:t>
      </w:r>
      <w:r w:rsidR="00004900">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dos mil </w:t>
      </w:r>
      <w:r w:rsidR="00D2733F">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bookmarkStart w:id="0" w:name="_GoBack"/>
      <w:r w:rsidR="00DE7467">
        <w:rPr>
          <w:rFonts w:ascii="Palatino Linotype" w:hAnsi="Palatino Linotype" w:cs="Arial"/>
          <w:b/>
          <w:bCs/>
          <w:sz w:val="24"/>
          <w:lang w:val="es-419" w:eastAsia="es-MX"/>
        </w:rPr>
        <w:t>13</w:t>
      </w:r>
      <w:r w:rsidR="006B41B6">
        <w:rPr>
          <w:rFonts w:ascii="Palatino Linotype" w:hAnsi="Palatino Linotype" w:cs="Arial"/>
          <w:b/>
          <w:bCs/>
          <w:sz w:val="24"/>
          <w:lang w:val="es-419" w:eastAsia="es-MX"/>
        </w:rPr>
        <w:t>915</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bookmarkEnd w:id="0"/>
      <w:r w:rsidRPr="005766BE">
        <w:rPr>
          <w:rFonts w:ascii="Palatino Linotype" w:hAnsi="Palatino Linotype" w:cs="Arial"/>
          <w:sz w:val="24"/>
          <w:szCs w:val="24"/>
        </w:rPr>
        <w:t xml:space="preserve">, </w:t>
      </w:r>
      <w:r w:rsidR="006055A5">
        <w:rPr>
          <w:rFonts w:ascii="Palatino Linotype" w:hAnsi="Palatino Linotype"/>
          <w:sz w:val="24"/>
          <w:szCs w:val="24"/>
        </w:rPr>
        <w:t xml:space="preserve">interpuesto por </w:t>
      </w:r>
      <w:r w:rsidR="00911346" w:rsidRPr="00911346">
        <w:rPr>
          <w:rFonts w:ascii="Palatino Linotype" w:hAnsi="Palatino Linotype"/>
          <w:sz w:val="24"/>
          <w:szCs w:val="24"/>
          <w:lang w:val="es-419"/>
        </w:rPr>
        <w:t xml:space="preserve">el </w:t>
      </w:r>
      <w:r w:rsidR="00911346" w:rsidRPr="006B41B6">
        <w:rPr>
          <w:rFonts w:ascii="Palatino Linotype" w:hAnsi="Palatino Linotype"/>
          <w:b/>
          <w:sz w:val="24"/>
          <w:szCs w:val="24"/>
          <w:lang w:val="es-419"/>
        </w:rPr>
        <w:t>C.</w:t>
      </w:r>
      <w:r w:rsidR="00911346" w:rsidRPr="006B41B6">
        <w:rPr>
          <w:rFonts w:ascii="Palatino Linotype" w:hAnsi="Palatino Linotype"/>
          <w:sz w:val="24"/>
          <w:szCs w:val="24"/>
          <w:lang w:val="es-419"/>
        </w:rPr>
        <w:t xml:space="preserve"> </w:t>
      </w:r>
      <w:r w:rsidR="00FB3CAF">
        <w:rPr>
          <w:rFonts w:ascii="Palatino Linotype" w:hAnsi="Palatino Linotype" w:cs="Arial"/>
          <w:b/>
          <w:sz w:val="24"/>
          <w:szCs w:val="24"/>
          <w:lang w:val="es-419"/>
        </w:rPr>
        <w:t>XXXXXXXXXXXXXX</w:t>
      </w:r>
      <w:r w:rsidR="00D2733F" w:rsidRPr="006B41B6">
        <w:rPr>
          <w:rFonts w:ascii="Palatino Linotype" w:hAnsi="Palatino Linotype"/>
          <w:sz w:val="24"/>
          <w:szCs w:val="24"/>
          <w:lang w:val="es-419"/>
        </w:rPr>
        <w:t>,</w:t>
      </w:r>
      <w:r w:rsidR="00D2733F" w:rsidRPr="00911346">
        <w:rPr>
          <w:rFonts w:ascii="Palatino Linotype" w:hAnsi="Palatino Linotype"/>
          <w:sz w:val="24"/>
          <w:szCs w:val="24"/>
          <w:lang w:val="es-419"/>
        </w:rPr>
        <w:t xml:space="preserve"> </w:t>
      </w:r>
      <w:r w:rsidR="006055A5" w:rsidRPr="00911346">
        <w:rPr>
          <w:rFonts w:ascii="Palatino Linotype" w:hAnsi="Palatino Linotype"/>
          <w:sz w:val="24"/>
          <w:szCs w:val="24"/>
        </w:rPr>
        <w:t xml:space="preserve">en lo sucesivo </w:t>
      </w:r>
      <w:r w:rsidR="006055A5" w:rsidRPr="00E97538">
        <w:rPr>
          <w:rFonts w:ascii="Palatino Linotype" w:hAnsi="Palatino Linotype"/>
          <w:sz w:val="24"/>
          <w:szCs w:val="24"/>
        </w:rPr>
        <w:t xml:space="preserve">será </w:t>
      </w:r>
      <w:r w:rsidR="00DE7467" w:rsidRPr="00E97538">
        <w:rPr>
          <w:rFonts w:ascii="Palatino Linotype" w:hAnsi="Palatino Linotype"/>
          <w:sz w:val="24"/>
          <w:szCs w:val="24"/>
          <w:lang w:val="es-419"/>
        </w:rPr>
        <w:t xml:space="preserve">la parte </w:t>
      </w:r>
      <w:r w:rsidR="006055A5" w:rsidRPr="00E97538">
        <w:rPr>
          <w:rFonts w:ascii="Palatino Linotype" w:hAnsi="Palatino Linotype"/>
          <w:b/>
          <w:sz w:val="24"/>
          <w:szCs w:val="24"/>
        </w:rPr>
        <w:t>Recurrente</w:t>
      </w:r>
      <w:r w:rsidR="006055A5" w:rsidRPr="00E97538">
        <w:rPr>
          <w:rFonts w:ascii="Palatino Linotype" w:hAnsi="Palatino Linotype"/>
          <w:sz w:val="24"/>
          <w:szCs w:val="24"/>
        </w:rPr>
        <w:t xml:space="preserve">, en contra de la respuesta </w:t>
      </w:r>
      <w:r w:rsidR="006055A5" w:rsidRPr="00E97538">
        <w:rPr>
          <w:rFonts w:ascii="Palatino Linotype" w:hAnsi="Palatino Linotype" w:cs="Arial"/>
          <w:sz w:val="24"/>
          <w:szCs w:val="24"/>
        </w:rPr>
        <w:t xml:space="preserve">proporcionada por </w:t>
      </w:r>
      <w:r w:rsidR="00911346" w:rsidRPr="00E97538">
        <w:rPr>
          <w:rFonts w:ascii="Palatino Linotype" w:hAnsi="Palatino Linotype" w:cs="Arial"/>
          <w:sz w:val="24"/>
          <w:szCs w:val="24"/>
          <w:lang w:val="es-419"/>
        </w:rPr>
        <w:t>e</w:t>
      </w:r>
      <w:r w:rsidR="00186AAF" w:rsidRPr="00E97538">
        <w:rPr>
          <w:rFonts w:ascii="Palatino Linotype" w:hAnsi="Palatino Linotype" w:cs="Arial"/>
          <w:sz w:val="24"/>
          <w:szCs w:val="24"/>
          <w:lang w:val="es-419"/>
        </w:rPr>
        <w:t>l</w:t>
      </w:r>
      <w:r w:rsidR="006055A5" w:rsidRPr="00E97538">
        <w:rPr>
          <w:rFonts w:ascii="Palatino Linotype" w:hAnsi="Palatino Linotype" w:cs="Arial"/>
          <w:sz w:val="24"/>
          <w:szCs w:val="24"/>
        </w:rPr>
        <w:t xml:space="preserve"> </w:t>
      </w:r>
      <w:r w:rsidR="00911346" w:rsidRPr="00E97538">
        <w:rPr>
          <w:rFonts w:ascii="Palatino Linotype" w:hAnsi="Palatino Linotype" w:cs="Arial"/>
          <w:b/>
          <w:sz w:val="24"/>
          <w:szCs w:val="24"/>
          <w:lang w:val="es-419"/>
        </w:rPr>
        <w:t xml:space="preserve">Ayuntamiento de </w:t>
      </w:r>
      <w:r w:rsidR="00714E3C" w:rsidRPr="00E97538">
        <w:rPr>
          <w:rFonts w:ascii="Palatino Linotype" w:hAnsi="Palatino Linotype" w:cs="Arial"/>
          <w:b/>
          <w:sz w:val="24"/>
          <w:szCs w:val="24"/>
          <w:lang w:val="es-419"/>
        </w:rPr>
        <w:t xml:space="preserve">Villa de Allende </w:t>
      </w:r>
      <w:r w:rsidR="006055A5" w:rsidRPr="00E97538">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911346">
        <w:rPr>
          <w:rFonts w:ascii="Palatino Linotype" w:hAnsi="Palatino Linotype" w:cs="Arial"/>
          <w:sz w:val="24"/>
          <w:szCs w:val="24"/>
          <w:lang w:val="es-419"/>
        </w:rPr>
        <w:t>diecisiete</w:t>
      </w:r>
      <w:r w:rsidR="00DE7467">
        <w:rPr>
          <w:rFonts w:ascii="Palatino Linotype" w:hAnsi="Palatino Linotype" w:cs="Arial"/>
          <w:sz w:val="24"/>
          <w:szCs w:val="24"/>
          <w:lang w:val="es-419"/>
        </w:rPr>
        <w:t xml:space="preserve"> </w:t>
      </w:r>
      <w:r w:rsidR="001F1C38">
        <w:rPr>
          <w:rFonts w:ascii="Palatino Linotype" w:hAnsi="Palatino Linotype" w:cs="Arial"/>
          <w:sz w:val="24"/>
          <w:szCs w:val="24"/>
        </w:rPr>
        <w:t xml:space="preserve">de </w:t>
      </w:r>
      <w:r w:rsidR="00D64C60">
        <w:rPr>
          <w:rFonts w:ascii="Palatino Linotype" w:hAnsi="Palatino Linotype" w:cs="Arial"/>
          <w:sz w:val="24"/>
          <w:szCs w:val="24"/>
          <w:lang w:val="es-419"/>
        </w:rPr>
        <w:t>ju</w:t>
      </w:r>
      <w:r w:rsidR="00911346">
        <w:rPr>
          <w:rFonts w:ascii="Palatino Linotype" w:hAnsi="Palatino Linotype" w:cs="Arial"/>
          <w:sz w:val="24"/>
          <w:szCs w:val="24"/>
          <w:lang w:val="es-419"/>
        </w:rPr>
        <w:t>n</w:t>
      </w:r>
      <w:r w:rsidR="00D64C60">
        <w:rPr>
          <w:rFonts w:ascii="Palatino Linotype" w:hAnsi="Palatino Linotype" w:cs="Arial"/>
          <w:sz w:val="24"/>
          <w:szCs w:val="24"/>
          <w:lang w:val="es-419"/>
        </w:rPr>
        <w:t>io</w:t>
      </w:r>
      <w:r w:rsidR="00F44891">
        <w:rPr>
          <w:rFonts w:ascii="Palatino Linotype" w:hAnsi="Palatino Linotype" w:cs="Arial"/>
          <w:sz w:val="24"/>
          <w:szCs w:val="24"/>
          <w:lang w:val="es-419"/>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714E3C" w:rsidRPr="00714E3C">
        <w:rPr>
          <w:rFonts w:ascii="Palatino Linotype" w:hAnsi="Palatino Linotype" w:cs="Arial"/>
          <w:b/>
          <w:sz w:val="24"/>
          <w:szCs w:val="24"/>
        </w:rPr>
        <w:t>00095/VIALLEN/IP/2022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303BD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714E3C" w:rsidRPr="00714E3C">
        <w:rPr>
          <w:rFonts w:ascii="Palatino Linotype" w:eastAsia="Times New Roman" w:hAnsi="Palatino Linotype" w:cs="Times New Roman"/>
          <w:i/>
          <w:sz w:val="24"/>
          <w:szCs w:val="24"/>
          <w:lang w:val="es-ES_tradnl"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w:t>
      </w:r>
      <w:r w:rsidR="00714E3C" w:rsidRPr="00714E3C">
        <w:rPr>
          <w:rFonts w:ascii="Palatino Linotype" w:eastAsia="Times New Roman" w:hAnsi="Palatino Linotype" w:cs="Times New Roman"/>
          <w:i/>
          <w:sz w:val="24"/>
          <w:szCs w:val="24"/>
          <w:lang w:val="es-ES_tradnl" w:eastAsia="es-ES"/>
        </w:rPr>
        <w:lastRenderedPageBreak/>
        <w:t>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w:t>
      </w:r>
      <w:proofErr w:type="gramStart"/>
      <w:r w:rsidR="00F33D7B" w:rsidRPr="005766BE">
        <w:rPr>
          <w:rFonts w:ascii="Palatino Linotype" w:eastAsia="Times New Roman" w:hAnsi="Palatino Linotype" w:cs="Times New Roman"/>
          <w:i/>
          <w:sz w:val="24"/>
          <w:szCs w:val="24"/>
          <w:lang w:val="es-ES_tradnl" w:eastAsia="es-ES"/>
        </w:rPr>
        <w:t>sic</w:t>
      </w:r>
      <w:proofErr w:type="gramEnd"/>
      <w:r w:rsidR="00F33D7B" w:rsidRPr="005766BE">
        <w:rPr>
          <w:rFonts w:ascii="Palatino Linotype" w:eastAsia="Times New Roman" w:hAnsi="Palatino Linotype" w:cs="Times New Roman"/>
          <w:i/>
          <w:sz w:val="24"/>
          <w:szCs w:val="24"/>
          <w:lang w:val="es-ES_tradnl" w:eastAsia="es-ES"/>
        </w:rPr>
        <w:t>)</w:t>
      </w:r>
    </w:p>
    <w:p w:rsidR="005E7328"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Default="005E7328" w:rsidP="005E7328">
      <w:pPr>
        <w:spacing w:after="0" w:line="360" w:lineRule="auto"/>
        <w:jc w:val="both"/>
        <w:rPr>
          <w:rFonts w:ascii="Palatino Linotype" w:eastAsia="Times New Roman" w:hAnsi="Palatino Linotype" w:cs="Times New Roman"/>
          <w:b/>
          <w:sz w:val="24"/>
          <w:szCs w:val="24"/>
          <w:lang w:val="es-419" w:eastAsia="es-ES"/>
        </w:rPr>
      </w:pPr>
      <w:r>
        <w:rPr>
          <w:rFonts w:ascii="Palatino Linotype" w:eastAsia="Times New Roman" w:hAnsi="Palatino Linotype" w:cs="Times New Roman"/>
          <w:sz w:val="24"/>
          <w:szCs w:val="24"/>
          <w:lang w:val="es-419" w:eastAsia="es-ES"/>
        </w:rPr>
        <w:t xml:space="preserve">Modalidad de entrega: </w:t>
      </w:r>
      <w:r w:rsidR="00355A46" w:rsidRPr="00355A46">
        <w:rPr>
          <w:rFonts w:ascii="Palatino Linotype" w:eastAsia="Times New Roman" w:hAnsi="Palatino Linotype" w:cs="Times New Roman"/>
          <w:b/>
          <w:sz w:val="24"/>
          <w:szCs w:val="24"/>
          <w:lang w:val="es-419" w:eastAsia="es-ES"/>
        </w:rPr>
        <w:t>“</w:t>
      </w:r>
      <w:r w:rsidR="00714E3C">
        <w:rPr>
          <w:rFonts w:ascii="Palatino Linotype" w:eastAsia="Times New Roman" w:hAnsi="Palatino Linotype" w:cs="Times New Roman"/>
          <w:b/>
          <w:i/>
          <w:sz w:val="24"/>
          <w:szCs w:val="24"/>
          <w:lang w:val="es-419" w:eastAsia="es-ES"/>
        </w:rPr>
        <w:t>A través del SAIMEX</w:t>
      </w:r>
      <w:r w:rsidR="00355A46">
        <w:rPr>
          <w:rFonts w:ascii="Palatino Linotype" w:eastAsia="Times New Roman" w:hAnsi="Palatino Linotype" w:cs="Times New Roman"/>
          <w:b/>
          <w:sz w:val="24"/>
          <w:szCs w:val="24"/>
          <w:lang w:val="es-419" w:eastAsia="es-ES"/>
        </w:rPr>
        <w:t>.”</w:t>
      </w:r>
    </w:p>
    <w:p w:rsidR="00355A46"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3F294A" w:rsidRDefault="00337A3D" w:rsidP="00337A3D">
      <w:pPr>
        <w:spacing w:after="0" w:line="360" w:lineRule="auto"/>
        <w:jc w:val="both"/>
        <w:rPr>
          <w:rFonts w:ascii="Palatino Linotype" w:hAnsi="Palatino Linotype" w:cs="Arial"/>
          <w:b/>
          <w:sz w:val="24"/>
          <w:szCs w:val="24"/>
        </w:rPr>
      </w:pPr>
      <w:r w:rsidRPr="003F294A">
        <w:rPr>
          <w:rFonts w:ascii="Palatino Linotype" w:hAnsi="Palatino Linotype" w:cs="Arial"/>
          <w:b/>
          <w:sz w:val="28"/>
          <w:szCs w:val="24"/>
        </w:rPr>
        <w:t>SEGUNDO</w:t>
      </w:r>
      <w:r w:rsidRPr="003F294A">
        <w:rPr>
          <w:rFonts w:ascii="Palatino Linotype" w:hAnsi="Palatino Linotype" w:cs="Arial"/>
          <w:b/>
          <w:sz w:val="24"/>
          <w:szCs w:val="24"/>
        </w:rPr>
        <w:t xml:space="preserve">. </w:t>
      </w:r>
      <w:r w:rsidR="00F3766A" w:rsidRPr="003F294A">
        <w:rPr>
          <w:rFonts w:ascii="Palatino Linotype" w:hAnsi="Palatino Linotype" w:cs="Arial"/>
          <w:b/>
          <w:sz w:val="24"/>
          <w:szCs w:val="24"/>
        </w:rPr>
        <w:t xml:space="preserve">De la </w:t>
      </w:r>
      <w:r w:rsidR="00066174" w:rsidRPr="003F294A">
        <w:rPr>
          <w:rFonts w:ascii="Palatino Linotype" w:hAnsi="Palatino Linotype" w:cs="Arial"/>
          <w:b/>
          <w:sz w:val="24"/>
          <w:szCs w:val="24"/>
        </w:rPr>
        <w:t>respuesta</w:t>
      </w:r>
      <w:r w:rsidR="00F3766A" w:rsidRPr="003F294A">
        <w:rPr>
          <w:rFonts w:ascii="Palatino Linotype" w:hAnsi="Palatino Linotype" w:cs="Arial"/>
          <w:b/>
          <w:sz w:val="24"/>
          <w:szCs w:val="24"/>
        </w:rPr>
        <w:t xml:space="preserve"> del sujeto obligado</w:t>
      </w:r>
    </w:p>
    <w:p w:rsidR="003F294A" w:rsidRDefault="009C2F3E"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día </w:t>
      </w:r>
      <w:r w:rsidR="00FB71A3">
        <w:rPr>
          <w:rFonts w:ascii="Palatino Linotype" w:hAnsi="Palatino Linotype" w:cs="Arial"/>
          <w:sz w:val="24"/>
          <w:szCs w:val="24"/>
          <w:lang w:val="es-419"/>
        </w:rPr>
        <w:t>diecinueve</w:t>
      </w:r>
      <w:r>
        <w:rPr>
          <w:rFonts w:ascii="Palatino Linotype" w:hAnsi="Palatino Linotype" w:cs="Arial"/>
          <w:sz w:val="24"/>
          <w:szCs w:val="24"/>
          <w:lang w:val="es-419"/>
        </w:rPr>
        <w:t xml:space="preserve"> de </w:t>
      </w:r>
      <w:r w:rsidR="00FB71A3">
        <w:rPr>
          <w:rFonts w:ascii="Palatino Linotype" w:hAnsi="Palatino Linotype" w:cs="Arial"/>
          <w:sz w:val="24"/>
          <w:szCs w:val="24"/>
          <w:lang w:val="es-419"/>
        </w:rPr>
        <w:t>agosto</w:t>
      </w:r>
      <w:r>
        <w:rPr>
          <w:rFonts w:ascii="Palatino Linotype" w:hAnsi="Palatino Linotype" w:cs="Arial"/>
          <w:sz w:val="24"/>
          <w:szCs w:val="24"/>
          <w:lang w:val="es-419"/>
        </w:rPr>
        <w:t xml:space="preserve"> de dos mil veintidós</w:t>
      </w:r>
      <w:r w:rsidR="00FB71A3">
        <w:rPr>
          <w:rFonts w:ascii="Palatino Linotype" w:hAnsi="Palatino Linotype" w:cs="Arial"/>
          <w:sz w:val="24"/>
          <w:szCs w:val="24"/>
          <w:lang w:val="es-419"/>
        </w:rPr>
        <w:t xml:space="preserve"> el sujeto obligado</w:t>
      </w:r>
      <w:r>
        <w:rPr>
          <w:rFonts w:ascii="Palatino Linotype" w:hAnsi="Palatino Linotype" w:cs="Arial"/>
          <w:sz w:val="24"/>
          <w:szCs w:val="24"/>
          <w:lang w:val="es-419"/>
        </w:rPr>
        <w:t xml:space="preserve"> </w:t>
      </w:r>
      <w:r w:rsidR="003F294A">
        <w:rPr>
          <w:rFonts w:ascii="Palatino Linotype" w:hAnsi="Palatino Linotype" w:cs="Arial"/>
          <w:sz w:val="24"/>
          <w:szCs w:val="24"/>
          <w:lang w:val="es-419"/>
        </w:rPr>
        <w:t>dio contestación a la solicitud de información manifestando lo siguiente:</w:t>
      </w:r>
    </w:p>
    <w:p w:rsidR="003F294A" w:rsidRDefault="003F294A" w:rsidP="00337A3D">
      <w:pPr>
        <w:spacing w:after="0" w:line="360" w:lineRule="auto"/>
        <w:jc w:val="both"/>
        <w:rPr>
          <w:rFonts w:ascii="Palatino Linotype" w:hAnsi="Palatino Linotype" w:cs="Arial"/>
          <w:sz w:val="24"/>
          <w:szCs w:val="24"/>
          <w:lang w:val="es-419"/>
        </w:rPr>
      </w:pPr>
    </w:p>
    <w:p w:rsidR="00B3166C" w:rsidRPr="00FB71A3" w:rsidRDefault="008A0084" w:rsidP="00AD0E11">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B71A3">
        <w:rPr>
          <w:rFonts w:ascii="Palatino Linotype" w:eastAsia="Times New Roman" w:hAnsi="Palatino Linotype" w:cs="Times New Roman"/>
          <w:i/>
          <w:sz w:val="24"/>
          <w:szCs w:val="24"/>
          <w:lang w:val="es-ES_tradnl" w:eastAsia="es-ES"/>
        </w:rPr>
        <w:t>“</w:t>
      </w:r>
      <w:r w:rsidR="00FB71A3" w:rsidRPr="00FB71A3">
        <w:rPr>
          <w:rFonts w:ascii="Palatino Linotype" w:eastAsia="Times New Roman" w:hAnsi="Palatino Linotype" w:cs="Times New Roman"/>
          <w:i/>
          <w:sz w:val="24"/>
          <w:szCs w:val="24"/>
          <w:lang w:val="es-ES_tradnl" w:eastAsia="es-ES"/>
        </w:rPr>
        <w:t xml:space="preserve">Se </w:t>
      </w:r>
      <w:proofErr w:type="spellStart"/>
      <w:r w:rsidR="00FB71A3" w:rsidRPr="00FB71A3">
        <w:rPr>
          <w:rFonts w:ascii="Palatino Linotype" w:eastAsia="Times New Roman" w:hAnsi="Palatino Linotype" w:cs="Times New Roman"/>
          <w:i/>
          <w:sz w:val="24"/>
          <w:szCs w:val="24"/>
          <w:lang w:val="es-ES_tradnl" w:eastAsia="es-ES"/>
        </w:rPr>
        <w:t>encia</w:t>
      </w:r>
      <w:proofErr w:type="spellEnd"/>
      <w:r w:rsidR="00FB71A3" w:rsidRPr="00FB71A3">
        <w:rPr>
          <w:rFonts w:ascii="Palatino Linotype" w:eastAsia="Times New Roman" w:hAnsi="Palatino Linotype" w:cs="Times New Roman"/>
          <w:i/>
          <w:sz w:val="24"/>
          <w:szCs w:val="24"/>
          <w:lang w:val="es-ES_tradnl" w:eastAsia="es-ES"/>
        </w:rPr>
        <w:t xml:space="preserve"> oficio por determinar la incompetencia del sujeto obligado</w:t>
      </w:r>
      <w:r w:rsidRPr="00FB71A3">
        <w:rPr>
          <w:rFonts w:ascii="Palatino Linotype" w:eastAsia="Times New Roman" w:hAnsi="Palatino Linotype" w:cs="Times New Roman"/>
          <w:i/>
          <w:sz w:val="24"/>
          <w:szCs w:val="24"/>
          <w:lang w:val="es-ES_tradnl" w:eastAsia="es-ES"/>
        </w:rPr>
        <w:t>”</w:t>
      </w:r>
    </w:p>
    <w:p w:rsidR="008A0084" w:rsidRDefault="008A0084" w:rsidP="00337A3D">
      <w:pPr>
        <w:spacing w:after="0" w:line="360" w:lineRule="auto"/>
        <w:jc w:val="both"/>
        <w:rPr>
          <w:rFonts w:ascii="Palatino Linotype" w:hAnsi="Palatino Linotype" w:cs="Arial"/>
          <w:sz w:val="24"/>
          <w:szCs w:val="24"/>
        </w:rPr>
      </w:pPr>
    </w:p>
    <w:p w:rsidR="00B3166C" w:rsidRPr="00355A46" w:rsidRDefault="00B3166C" w:rsidP="008A46E7">
      <w:pPr>
        <w:spacing w:after="0" w:line="360" w:lineRule="auto"/>
        <w:jc w:val="both"/>
        <w:rPr>
          <w:rFonts w:ascii="Palatino Linotype" w:hAnsi="Palatino Linotype" w:cs="Arial"/>
          <w:sz w:val="24"/>
          <w:szCs w:val="24"/>
        </w:rPr>
      </w:pPr>
      <w:r w:rsidRPr="00B3166C">
        <w:rPr>
          <w:rFonts w:ascii="Palatino Linotype" w:hAnsi="Palatino Linotype" w:cs="Arial"/>
          <w:sz w:val="24"/>
          <w:szCs w:val="24"/>
        </w:rPr>
        <w:t xml:space="preserve">El sujeto obligado adjuntó </w:t>
      </w:r>
      <w:r w:rsidR="00454B79">
        <w:rPr>
          <w:rFonts w:ascii="Palatino Linotype" w:hAnsi="Palatino Linotype" w:cs="Arial"/>
          <w:sz w:val="24"/>
          <w:szCs w:val="24"/>
          <w:lang w:val="es-419"/>
        </w:rPr>
        <w:t>un</w:t>
      </w:r>
      <w:r w:rsidRPr="00B3166C">
        <w:rPr>
          <w:rFonts w:ascii="Palatino Linotype" w:hAnsi="Palatino Linotype" w:cs="Arial"/>
          <w:sz w:val="24"/>
          <w:szCs w:val="24"/>
        </w:rPr>
        <w:t xml:space="preserve"> archivo electrónico</w:t>
      </w:r>
      <w:r w:rsidRPr="001B0221">
        <w:rPr>
          <w:rFonts w:ascii="Palatino Linotype" w:hAnsi="Palatino Linotype" w:cs="Arial"/>
          <w:sz w:val="24"/>
          <w:szCs w:val="24"/>
        </w:rPr>
        <w:t xml:space="preserve">, </w:t>
      </w:r>
      <w:r w:rsidRPr="00B3166C">
        <w:rPr>
          <w:rFonts w:ascii="Palatino Linotype" w:hAnsi="Palatino Linotype" w:cs="Arial"/>
          <w:sz w:val="24"/>
          <w:szCs w:val="24"/>
        </w:rPr>
        <w:t>denominado</w:t>
      </w:r>
      <w:r w:rsidR="003F294A" w:rsidRPr="00355A46">
        <w:rPr>
          <w:rFonts w:ascii="Palatino Linotype" w:hAnsi="Palatino Linotype" w:cs="Arial"/>
          <w:sz w:val="24"/>
          <w:szCs w:val="24"/>
        </w:rPr>
        <w:t>:</w:t>
      </w:r>
      <w:r w:rsidRPr="00B3166C">
        <w:rPr>
          <w:rFonts w:ascii="Palatino Linotype" w:hAnsi="Palatino Linotype" w:cs="Arial"/>
          <w:sz w:val="24"/>
          <w:szCs w:val="24"/>
        </w:rPr>
        <w:t xml:space="preserve"> </w:t>
      </w:r>
      <w:r w:rsidR="00911346">
        <w:rPr>
          <w:rFonts w:ascii="Palatino Linotype" w:hAnsi="Palatino Linotype"/>
          <w:sz w:val="24"/>
          <w:szCs w:val="24"/>
          <w:lang w:val="es-419"/>
        </w:rPr>
        <w:t>“</w:t>
      </w:r>
      <w:r w:rsidR="00FB71A3" w:rsidRPr="00FB71A3">
        <w:rPr>
          <w:rFonts w:ascii="Palatino Linotype" w:hAnsi="Palatino Linotype" w:cs="Arial"/>
          <w:b/>
          <w:i/>
          <w:sz w:val="24"/>
          <w:szCs w:val="24"/>
        </w:rPr>
        <w:t>00095.pdf</w:t>
      </w:r>
      <w:r w:rsidR="00911346">
        <w:rPr>
          <w:rFonts w:ascii="Palatino Linotype" w:hAnsi="Palatino Linotype"/>
          <w:sz w:val="24"/>
          <w:szCs w:val="24"/>
          <w:lang w:val="es-419"/>
        </w:rPr>
        <w:t>”</w:t>
      </w:r>
      <w:r w:rsidR="003F294A" w:rsidRPr="00355A46">
        <w:rPr>
          <w:rFonts w:ascii="Palatino Linotype" w:hAnsi="Palatino Linotype" w:cs="Arial"/>
          <w:sz w:val="24"/>
          <w:szCs w:val="24"/>
        </w:rPr>
        <w:t xml:space="preserve">, </w:t>
      </w:r>
      <w:r w:rsidR="00454B79">
        <w:rPr>
          <w:rFonts w:ascii="Palatino Linotype" w:hAnsi="Palatino Linotype" w:cs="Arial"/>
          <w:sz w:val="24"/>
          <w:szCs w:val="24"/>
          <w:lang w:val="es-419"/>
        </w:rPr>
        <w:t>e</w:t>
      </w:r>
      <w:r w:rsidR="008A46E7">
        <w:rPr>
          <w:rFonts w:ascii="Palatino Linotype" w:hAnsi="Palatino Linotype" w:cs="Arial"/>
          <w:sz w:val="24"/>
          <w:szCs w:val="24"/>
          <w:lang w:val="es-419"/>
        </w:rPr>
        <w:t>l</w:t>
      </w:r>
      <w:r w:rsidR="003F294A" w:rsidRPr="00355A46">
        <w:rPr>
          <w:rFonts w:ascii="Palatino Linotype" w:hAnsi="Palatino Linotype" w:cs="Arial"/>
          <w:sz w:val="24"/>
          <w:szCs w:val="24"/>
        </w:rPr>
        <w:t xml:space="preserve"> cual será analizado en la parte considerativa de la presente resolución.</w:t>
      </w:r>
    </w:p>
    <w:p w:rsidR="003F294A" w:rsidRDefault="003F294A"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303BDB">
        <w:rPr>
          <w:rFonts w:ascii="Palatino Linotype" w:hAnsi="Palatino Linotype" w:cs="Arial"/>
          <w:sz w:val="24"/>
          <w:szCs w:val="24"/>
          <w:lang w:val="es-419"/>
        </w:rPr>
        <w:t>veintinueve</w:t>
      </w:r>
      <w:r w:rsidRPr="00B93DE8">
        <w:rPr>
          <w:rFonts w:ascii="Palatino Linotype" w:hAnsi="Palatino Linotype" w:cs="Arial"/>
          <w:sz w:val="24"/>
          <w:szCs w:val="24"/>
        </w:rPr>
        <w:t xml:space="preserve"> de </w:t>
      </w:r>
      <w:r w:rsidR="002D4EA5">
        <w:rPr>
          <w:rFonts w:ascii="Palatino Linotype" w:hAnsi="Palatino Linotype" w:cs="Arial"/>
          <w:sz w:val="24"/>
          <w:szCs w:val="24"/>
          <w:lang w:val="es-419"/>
        </w:rPr>
        <w:t>agosto</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w:t>
      </w:r>
      <w:r w:rsidR="002C1C1E">
        <w:rPr>
          <w:rFonts w:ascii="Palatino Linotype" w:hAnsi="Palatino Linotype" w:cs="Arial"/>
          <w:sz w:val="24"/>
          <w:szCs w:val="24"/>
          <w:lang w:val="es-419"/>
        </w:rPr>
        <w:t xml:space="preserve">parte </w:t>
      </w:r>
      <w:r w:rsidRPr="00B93DE8">
        <w:rPr>
          <w:rFonts w:ascii="Palatino Linotype" w:hAnsi="Palatino Linotype" w:cs="Arial"/>
          <w:sz w:val="24"/>
          <w:szCs w:val="24"/>
        </w:rPr>
        <w:t>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496E3B">
        <w:rPr>
          <w:rFonts w:ascii="Palatino Linotype" w:hAnsi="Palatino Linotype" w:cs="Arial"/>
          <w:b/>
          <w:sz w:val="24"/>
          <w:szCs w:val="24"/>
          <w:lang w:val="es-419"/>
        </w:rPr>
        <w:t>13</w:t>
      </w:r>
      <w:r w:rsidR="00303BDB">
        <w:rPr>
          <w:rFonts w:ascii="Palatino Linotype" w:hAnsi="Palatino Linotype" w:cs="Arial"/>
          <w:b/>
          <w:sz w:val="24"/>
          <w:szCs w:val="24"/>
          <w:lang w:val="es-419"/>
        </w:rPr>
        <w:t>915</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9C2F3E">
      <w:pPr>
        <w:spacing w:after="0" w:line="360" w:lineRule="auto"/>
        <w:jc w:val="both"/>
        <w:rPr>
          <w:rFonts w:ascii="Palatino Linotype" w:hAnsi="Palatino Linotype" w:cs="Arial"/>
          <w:b/>
          <w:sz w:val="24"/>
          <w:szCs w:val="24"/>
        </w:rPr>
      </w:pPr>
    </w:p>
    <w:p w:rsidR="00B93DE8" w:rsidRDefault="00B93DE8" w:rsidP="009C2F3E">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B24F8" w:rsidRDefault="00B93DE8" w:rsidP="009C2F3E">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303BDB" w:rsidRPr="00303BDB">
        <w:rPr>
          <w:rFonts w:ascii="Palatino Linotype" w:hAnsi="Palatino Linotype" w:cs="Arial"/>
          <w:i/>
          <w:sz w:val="24"/>
          <w:szCs w:val="24"/>
        </w:rPr>
        <w:t>L información requerida obedece a la competencia del Ayuntamiento, toda vez que el Decreto al que se hace referencia y del que se desprende la solicitud de información, refiere al Decreto número 289, firmado por el Gobernador del Estado de México, y publicado en la Gaceta de Gobierno, propiamente se refiere a las Unidades Municipales de Control y Bienestar Animal</w:t>
      </w:r>
      <w:r w:rsidRPr="009B24F8">
        <w:rPr>
          <w:rFonts w:ascii="Palatino Linotype" w:hAnsi="Palatino Linotype" w:cs="Arial"/>
          <w:i/>
          <w:sz w:val="24"/>
          <w:szCs w:val="24"/>
        </w:rPr>
        <w:t xml:space="preserve">.”(Sic). </w:t>
      </w:r>
    </w:p>
    <w:p w:rsidR="00B93DE8" w:rsidRPr="00355A46" w:rsidRDefault="00B93DE8" w:rsidP="00355A46">
      <w:pPr>
        <w:spacing w:after="0" w:line="360" w:lineRule="auto"/>
        <w:jc w:val="both"/>
        <w:rPr>
          <w:rFonts w:ascii="Palatino Linotype" w:hAnsi="Palatino Linotype" w:cs="Arial"/>
          <w:i/>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6E39F6" w:rsidRPr="00303BDB" w:rsidRDefault="00303BDB" w:rsidP="009C2F3E">
      <w:pPr>
        <w:spacing w:after="0" w:line="360" w:lineRule="auto"/>
        <w:ind w:left="851"/>
        <w:jc w:val="both"/>
        <w:rPr>
          <w:rFonts w:ascii="Palatino Linotype" w:hAnsi="Palatino Linotype" w:cs="Arial"/>
          <w:i/>
          <w:sz w:val="24"/>
          <w:szCs w:val="24"/>
          <w:lang w:val="es-419"/>
        </w:rPr>
      </w:pPr>
      <w:r>
        <w:rPr>
          <w:rFonts w:ascii="Palatino Linotype" w:hAnsi="Palatino Linotype" w:cs="Arial"/>
          <w:i/>
          <w:sz w:val="24"/>
          <w:szCs w:val="24"/>
          <w:lang w:val="es-419"/>
        </w:rPr>
        <w:t>“</w:t>
      </w:r>
      <w:r w:rsidRPr="00303BDB">
        <w:rPr>
          <w:rFonts w:ascii="Palatino Linotype" w:hAnsi="Palatino Linotype" w:cs="Arial"/>
          <w:i/>
          <w:sz w:val="24"/>
          <w:szCs w:val="24"/>
        </w:rPr>
        <w:t>Información plenamente competente del sujeto obligado</w:t>
      </w:r>
      <w:r>
        <w:rPr>
          <w:rFonts w:ascii="Palatino Linotype" w:hAnsi="Palatino Linotype" w:cs="Arial"/>
          <w:i/>
          <w:sz w:val="24"/>
          <w:szCs w:val="24"/>
          <w:lang w:val="es-419"/>
        </w:rPr>
        <w:t>”</w:t>
      </w:r>
    </w:p>
    <w:p w:rsidR="00BC6F9B" w:rsidRPr="00303BDB" w:rsidRDefault="00BC6F9B" w:rsidP="00303BDB">
      <w:pPr>
        <w:spacing w:after="0" w:line="360" w:lineRule="auto"/>
        <w:ind w:left="851"/>
        <w:jc w:val="both"/>
        <w:rPr>
          <w:rFonts w:ascii="Palatino Linotype" w:hAnsi="Palatino Linotype" w:cs="Arial"/>
          <w:i/>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5B29D3">
        <w:rPr>
          <w:rFonts w:ascii="Palatino Linotype" w:hAnsi="Palatino Linotype" w:cs="Arial"/>
          <w:b/>
          <w:sz w:val="24"/>
          <w:szCs w:val="24"/>
          <w:lang w:val="es-419"/>
        </w:rPr>
        <w:t>13</w:t>
      </w:r>
      <w:r w:rsidR="00BD77FA">
        <w:rPr>
          <w:rFonts w:ascii="Palatino Linotype" w:hAnsi="Palatino Linotype" w:cs="Arial"/>
          <w:b/>
          <w:sz w:val="24"/>
          <w:szCs w:val="24"/>
          <w:lang w:val="es-419"/>
        </w:rPr>
        <w:t>915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 xml:space="preserve">José Martínez </w:t>
      </w:r>
      <w:r w:rsidRPr="002F0A5E">
        <w:rPr>
          <w:rFonts w:ascii="Palatino Linotype" w:hAnsi="Palatino Linotype" w:cs="Arial"/>
          <w:b/>
          <w:sz w:val="24"/>
          <w:szCs w:val="24"/>
        </w:rPr>
        <w:lastRenderedPageBreak/>
        <w:t>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BD77FA">
        <w:rPr>
          <w:rFonts w:ascii="Palatino Linotype" w:hAnsi="Palatino Linotype" w:cs="Arial"/>
          <w:b/>
          <w:sz w:val="24"/>
          <w:szCs w:val="24"/>
          <w:lang w:val="es-419"/>
        </w:rPr>
        <w:t>dos</w:t>
      </w:r>
      <w:r w:rsidR="005B29D3">
        <w:rPr>
          <w:rFonts w:ascii="Palatino Linotype" w:hAnsi="Palatino Linotype" w:cs="Arial"/>
          <w:b/>
          <w:sz w:val="24"/>
          <w:szCs w:val="24"/>
          <w:lang w:val="es-419"/>
        </w:rPr>
        <w:t xml:space="preserve"> </w:t>
      </w:r>
      <w:r w:rsidR="00B93DE8" w:rsidRPr="007673C3">
        <w:rPr>
          <w:rFonts w:ascii="Palatino Linotype" w:hAnsi="Palatino Linotype" w:cs="Arial"/>
          <w:b/>
          <w:sz w:val="24"/>
          <w:szCs w:val="24"/>
        </w:rPr>
        <w:t xml:space="preserve">de </w:t>
      </w:r>
      <w:r w:rsidR="00BD77FA">
        <w:rPr>
          <w:rFonts w:ascii="Palatino Linotype" w:hAnsi="Palatino Linotype" w:cs="Arial"/>
          <w:b/>
          <w:sz w:val="24"/>
          <w:szCs w:val="24"/>
          <w:lang w:val="es-419"/>
        </w:rPr>
        <w:t>septiembre</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B81A1B"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5B29D3">
        <w:rPr>
          <w:rFonts w:ascii="Palatino Linotype" w:hAnsi="Palatino Linotype" w:cs="Arial"/>
          <w:b/>
          <w:sz w:val="24"/>
          <w:szCs w:val="24"/>
          <w:lang w:val="es-419"/>
        </w:rPr>
        <w:t>13</w:t>
      </w:r>
      <w:r w:rsidR="00251AA8">
        <w:rPr>
          <w:rFonts w:ascii="Palatino Linotype" w:hAnsi="Palatino Linotype" w:cs="Arial"/>
          <w:b/>
          <w:sz w:val="24"/>
          <w:szCs w:val="24"/>
          <w:lang w:val="es-419"/>
        </w:rPr>
        <w:t>915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sidRPr="007F14B3">
        <w:rPr>
          <w:rFonts w:ascii="Palatino Linotype" w:hAnsi="Palatino Linotype" w:cs="Arial"/>
          <w:sz w:val="24"/>
          <w:szCs w:val="24"/>
        </w:rPr>
        <w:t xml:space="preserve"> </w:t>
      </w:r>
      <w:r w:rsidR="00251AA8">
        <w:rPr>
          <w:rFonts w:ascii="Palatino Linotype" w:hAnsi="Palatino Linotype" w:cs="Arial"/>
          <w:sz w:val="24"/>
          <w:szCs w:val="24"/>
          <w:lang w:val="es-419"/>
        </w:rPr>
        <w:t xml:space="preserve">omitió rendir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251AA8">
        <w:rPr>
          <w:rFonts w:ascii="Palatino Linotype" w:hAnsi="Palatino Linotype" w:cs="Arial"/>
          <w:sz w:val="24"/>
          <w:szCs w:val="24"/>
          <w:lang w:val="es-419"/>
        </w:rPr>
        <w:t xml:space="preserve">y </w:t>
      </w:r>
      <w:r w:rsidR="00A01EA5">
        <w:rPr>
          <w:rFonts w:ascii="Palatino Linotype" w:hAnsi="Palatino Linotype" w:cs="Arial"/>
          <w:sz w:val="24"/>
          <w:szCs w:val="24"/>
          <w:lang w:val="es-419"/>
        </w:rPr>
        <w:t xml:space="preserve">el particular </w:t>
      </w:r>
      <w:r w:rsidR="00251AA8">
        <w:rPr>
          <w:rFonts w:ascii="Palatino Linotype" w:hAnsi="Palatino Linotype" w:cs="Arial"/>
          <w:sz w:val="24"/>
          <w:szCs w:val="24"/>
          <w:lang w:val="es-419"/>
        </w:rPr>
        <w:t xml:space="preserve">no </w:t>
      </w:r>
      <w:r w:rsidR="00A01EA5">
        <w:rPr>
          <w:rFonts w:ascii="Palatino Linotype" w:hAnsi="Palatino Linotype" w:cs="Arial"/>
          <w:sz w:val="24"/>
          <w:szCs w:val="24"/>
          <w:lang w:val="es-419"/>
        </w:rPr>
        <w:t xml:space="preserve">realizó </w:t>
      </w:r>
      <w:r w:rsidR="00251AA8">
        <w:rPr>
          <w:rFonts w:ascii="Palatino Linotype" w:hAnsi="Palatino Linotype" w:cs="Arial"/>
          <w:sz w:val="24"/>
          <w:szCs w:val="24"/>
          <w:lang w:val="es-419"/>
        </w:rPr>
        <w:t>las</w:t>
      </w:r>
      <w:r w:rsidR="00A01EA5">
        <w:rPr>
          <w:rFonts w:ascii="Palatino Linotype" w:hAnsi="Palatino Linotype" w:cs="Arial"/>
          <w:sz w:val="24"/>
          <w:szCs w:val="24"/>
          <w:lang w:val="es-419"/>
        </w:rPr>
        <w:t xml:space="preserve"> manifestaciones </w:t>
      </w:r>
      <w:r w:rsidR="00251AA8">
        <w:rPr>
          <w:rFonts w:ascii="Palatino Linotype" w:hAnsi="Palatino Linotype" w:cs="Arial"/>
          <w:sz w:val="24"/>
          <w:szCs w:val="24"/>
          <w:lang w:val="es-419"/>
        </w:rPr>
        <w:t>que a su derecho convinieran</w:t>
      </w:r>
      <w:r w:rsidR="00A01EA5">
        <w:rPr>
          <w:rFonts w:ascii="Palatino Linotype" w:hAnsi="Palatino Linotype" w:cs="Arial"/>
          <w:sz w:val="24"/>
          <w:szCs w:val="24"/>
          <w:lang w:val="es-419"/>
        </w:rPr>
        <w:t>.</w:t>
      </w:r>
    </w:p>
    <w:p w:rsidR="00A01EA5" w:rsidRDefault="00A01EA5" w:rsidP="00285F96">
      <w:pPr>
        <w:spacing w:after="0" w:line="360" w:lineRule="auto"/>
        <w:jc w:val="both"/>
        <w:rPr>
          <w:rFonts w:ascii="Palatino Linotype" w:hAnsi="Palatino Linotype" w:cs="Arial"/>
          <w:sz w:val="24"/>
          <w:szCs w:val="24"/>
        </w:rPr>
      </w:pPr>
    </w:p>
    <w:p w:rsidR="005F1461" w:rsidRPr="00B93DE8" w:rsidRDefault="005F1461" w:rsidP="005F1461">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5F1461" w:rsidRDefault="005F1461" w:rsidP="005F1461">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Pr>
          <w:rFonts w:ascii="Palatino Linotype" w:hAnsi="Palatino Linotype" w:cs="Arial"/>
          <w:sz w:val="24"/>
          <w:szCs w:val="24"/>
          <w:lang w:val="es-419"/>
        </w:rPr>
        <w:t xml:space="preserve">quince </w:t>
      </w:r>
      <w:r w:rsidRPr="0076494E">
        <w:rPr>
          <w:rFonts w:ascii="Palatino Linotype" w:hAnsi="Palatino Linotype" w:cs="Arial"/>
          <w:sz w:val="24"/>
          <w:szCs w:val="24"/>
        </w:rPr>
        <w:t xml:space="preserve">de </w:t>
      </w:r>
      <w:r>
        <w:rPr>
          <w:rFonts w:ascii="Palatino Linotype" w:hAnsi="Palatino Linotype" w:cs="Arial"/>
          <w:sz w:val="24"/>
          <w:szCs w:val="24"/>
          <w:lang w:val="es-419"/>
        </w:rPr>
        <w:t>marzo</w:t>
      </w:r>
      <w:r w:rsidRPr="0076494E">
        <w:rPr>
          <w:rFonts w:ascii="Palatino Linotype" w:hAnsi="Palatino Linotype" w:cs="Arial"/>
          <w:sz w:val="24"/>
          <w:szCs w:val="24"/>
        </w:rPr>
        <w:t xml:space="preserve"> de dos mil </w:t>
      </w:r>
      <w:r w:rsidRPr="0076494E">
        <w:rPr>
          <w:rFonts w:ascii="Palatino Linotype" w:hAnsi="Palatino Linotype" w:cs="Arial"/>
          <w:sz w:val="24"/>
          <w:szCs w:val="24"/>
          <w:lang w:val="es-419"/>
        </w:rPr>
        <w:t>veintitrés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w:t>
      </w:r>
    </w:p>
    <w:p w:rsidR="005F1461" w:rsidRDefault="005F1461" w:rsidP="00285F96">
      <w:pPr>
        <w:spacing w:after="0" w:line="360" w:lineRule="auto"/>
        <w:jc w:val="both"/>
        <w:rPr>
          <w:rFonts w:ascii="Palatino Linotype" w:hAnsi="Palatino Linotype" w:cs="Arial"/>
          <w:sz w:val="24"/>
          <w:szCs w:val="24"/>
        </w:rPr>
      </w:pPr>
    </w:p>
    <w:p w:rsidR="00281906" w:rsidRPr="00CC1419" w:rsidRDefault="005F1461"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sidR="00281906" w:rsidRPr="00FE67DF">
        <w:rPr>
          <w:rFonts w:ascii="Palatino Linotype" w:hAnsi="Palatino Linotype" w:cs="Arial"/>
          <w:b/>
          <w:sz w:val="28"/>
          <w:szCs w:val="28"/>
        </w:rPr>
        <w:t>.</w:t>
      </w:r>
      <w:r w:rsidR="00281906"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5F1461">
        <w:rPr>
          <w:rFonts w:ascii="Palatino Linotype" w:hAnsi="Palatino Linotype" w:cs="Arial"/>
          <w:sz w:val="24"/>
          <w:szCs w:val="24"/>
          <w:lang w:val="es-419"/>
        </w:rPr>
        <w:t>dieciocho</w:t>
      </w:r>
      <w:r w:rsidR="00F354C6">
        <w:rPr>
          <w:rFonts w:ascii="Palatino Linotype" w:hAnsi="Palatino Linotype" w:cs="Arial"/>
          <w:sz w:val="24"/>
          <w:szCs w:val="24"/>
          <w:lang w:val="es-419"/>
        </w:rPr>
        <w:t xml:space="preserve"> </w:t>
      </w:r>
      <w:r w:rsidRPr="0076494E">
        <w:rPr>
          <w:rFonts w:ascii="Palatino Linotype" w:hAnsi="Palatino Linotype" w:cs="Arial"/>
          <w:sz w:val="24"/>
          <w:szCs w:val="24"/>
        </w:rPr>
        <w:t xml:space="preserve">de </w:t>
      </w:r>
      <w:r w:rsidR="005B29D3">
        <w:rPr>
          <w:rFonts w:ascii="Palatino Linotype" w:hAnsi="Palatino Linotype" w:cs="Arial"/>
          <w:sz w:val="24"/>
          <w:szCs w:val="24"/>
          <w:lang w:val="es-419"/>
        </w:rPr>
        <w:t>octubre</w:t>
      </w:r>
      <w:r w:rsidRPr="0076494E">
        <w:rPr>
          <w:rFonts w:ascii="Palatino Linotype" w:hAnsi="Palatino Linotype" w:cs="Arial"/>
          <w:sz w:val="24"/>
          <w:szCs w:val="24"/>
        </w:rPr>
        <w:t xml:space="preserve"> del año dos mil veintidós,</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1B499C">
      <w:pPr>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BE3282">
        <w:rPr>
          <w:rFonts w:ascii="Palatino Linotype" w:hAnsi="Palatino Linotype"/>
          <w:sz w:val="24"/>
          <w:szCs w:val="24"/>
        </w:rPr>
        <w:lastRenderedPageBreak/>
        <w:t xml:space="preserve">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Default="00BE3282" w:rsidP="00DD592D">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sidR="005325C7">
        <w:rPr>
          <w:rFonts w:ascii="Palatino Linotype" w:hAnsi="Palatino Linotype"/>
        </w:rPr>
        <w:t>ísticas y contexto del recurso.</w:t>
      </w:r>
    </w:p>
    <w:p w:rsidR="005325C7" w:rsidRPr="00BE3282" w:rsidRDefault="005325C7" w:rsidP="005325C7">
      <w:pPr>
        <w:pStyle w:val="Prrafodelista"/>
        <w:spacing w:line="360" w:lineRule="auto"/>
        <w:ind w:left="927"/>
        <w:contextualSpacing/>
        <w:jc w:val="both"/>
        <w:rPr>
          <w:rFonts w:ascii="Palatino Linotype" w:hAnsi="Palatino Linotype"/>
        </w:rPr>
      </w:pPr>
    </w:p>
    <w:p w:rsidR="00BE3282" w:rsidRDefault="00BE3282" w:rsidP="00DD592D">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rsidR="005325C7" w:rsidRPr="00BE3282" w:rsidRDefault="005325C7" w:rsidP="005325C7">
      <w:pPr>
        <w:pStyle w:val="Prrafodelista"/>
        <w:spacing w:line="360" w:lineRule="auto"/>
        <w:ind w:left="927"/>
        <w:contextualSpacing/>
        <w:jc w:val="both"/>
        <w:rPr>
          <w:rFonts w:ascii="Palatino Linotype" w:hAnsi="Palatino Linotype"/>
        </w:rPr>
      </w:pPr>
    </w:p>
    <w:p w:rsidR="00BE3282" w:rsidRDefault="00BE3282" w:rsidP="00DD592D">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5325C7" w:rsidRPr="00BE3282" w:rsidRDefault="005325C7" w:rsidP="005325C7">
      <w:pPr>
        <w:pStyle w:val="Prrafodelista"/>
        <w:spacing w:line="360" w:lineRule="auto"/>
        <w:ind w:left="927"/>
        <w:contextualSpacing/>
        <w:jc w:val="both"/>
        <w:rPr>
          <w:rFonts w:ascii="Palatino Linotype" w:hAnsi="Palatino Linotype"/>
        </w:rPr>
      </w:pPr>
    </w:p>
    <w:p w:rsidR="00BE3282" w:rsidRPr="00BE3282" w:rsidRDefault="00BE3282" w:rsidP="00DD592D">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0803DE" w:rsidRDefault="000803DE"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lastRenderedPageBreak/>
        <w:t>Argumento que encuentra sustento en la jurisprudencia P</w:t>
      </w:r>
      <w:proofErr w:type="gramStart"/>
      <w:r w:rsidRPr="00BE3282">
        <w:rPr>
          <w:rFonts w:ascii="Palatino Linotype" w:hAnsi="Palatino Linotype"/>
          <w:sz w:val="24"/>
          <w:szCs w:val="24"/>
        </w:rPr>
        <w:t>./</w:t>
      </w:r>
      <w:proofErr w:type="gramEnd"/>
      <w:r w:rsidRPr="00BE3282">
        <w:rPr>
          <w:rFonts w:ascii="Palatino Linotype" w:hAnsi="Palatino Linotype"/>
          <w:sz w:val="24"/>
          <w:szCs w:val="24"/>
        </w:rPr>
        <w:t xml:space="preserve">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803DE" w:rsidRDefault="000803DE"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9E2755" w:rsidRDefault="00BE3282" w:rsidP="009E2755">
      <w:pPr>
        <w:spacing w:after="0" w:line="360" w:lineRule="auto"/>
        <w:jc w:val="both"/>
        <w:rPr>
          <w:rFonts w:ascii="Palatino Linotype" w:hAnsi="Palatino Linotype" w:cs="Arial"/>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5F1461">
        <w:rPr>
          <w:rFonts w:ascii="Palatino Linotype" w:hAnsi="Palatino Linotype"/>
          <w:sz w:val="24"/>
          <w:szCs w:val="24"/>
        </w:rPr>
        <w:t xml:space="preserve">n el registro digital 2002350, </w:t>
      </w:r>
      <w:r w:rsidR="001D2328">
        <w:rPr>
          <w:rFonts w:ascii="Palatino Linotype" w:hAnsi="Palatino Linotype" w:cs="Arial"/>
          <w:sz w:val="24"/>
          <w:szCs w:val="24"/>
        </w:rPr>
        <w:t>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305D72" w:rsidRDefault="00E02EA5" w:rsidP="00E02EA5">
      <w:pPr>
        <w:spacing w:after="0" w:line="360" w:lineRule="auto"/>
        <w:jc w:val="both"/>
        <w:rPr>
          <w:rFonts w:ascii="Palatino Linotype" w:hAnsi="Palatino Linotype" w:cs="Arial"/>
          <w:sz w:val="28"/>
          <w:szCs w:val="28"/>
        </w:rPr>
      </w:pPr>
      <w:r w:rsidRPr="00305D72">
        <w:rPr>
          <w:rFonts w:ascii="Palatino Linotype" w:hAnsi="Palatino Linotype" w:cs="Arial"/>
          <w:b/>
          <w:sz w:val="28"/>
          <w:szCs w:val="28"/>
        </w:rPr>
        <w:t xml:space="preserve">PRIMERO. </w:t>
      </w:r>
      <w:r w:rsidRPr="00305D72">
        <w:rPr>
          <w:rFonts w:ascii="Palatino Linotype" w:hAnsi="Palatino Linotype" w:cs="Arial"/>
          <w:b/>
          <w:sz w:val="26"/>
          <w:szCs w:val="26"/>
        </w:rPr>
        <w:t>De la competencia</w:t>
      </w:r>
      <w:r w:rsidRPr="00305D72">
        <w:rPr>
          <w:rFonts w:ascii="Palatino Linotype" w:hAnsi="Palatino Linotype" w:cs="Arial"/>
          <w:sz w:val="26"/>
          <w:szCs w:val="26"/>
        </w:rPr>
        <w:t>.</w:t>
      </w:r>
    </w:p>
    <w:p w:rsidR="005A369A" w:rsidRPr="005A369A" w:rsidRDefault="005A369A" w:rsidP="005A36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A369A">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13589E" w:rsidRDefault="000803DE" w:rsidP="003C6515">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lang w:val="es-419"/>
        </w:rPr>
        <w:t>TERCERO</w:t>
      </w:r>
      <w:r w:rsidR="003C6515" w:rsidRPr="0013589E">
        <w:rPr>
          <w:rFonts w:ascii="Palatino Linotype" w:hAnsi="Palatino Linotype" w:cs="Arial"/>
          <w:b/>
          <w:sz w:val="28"/>
        </w:rPr>
        <w:t xml:space="preserve">. Del estudio de las causas de improcedencia. </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D34957">
        <w:rPr>
          <w:rFonts w:ascii="Palatino Linotype" w:eastAsia="Times New Roman" w:hAnsi="Palatino Linotype" w:cs="Arial"/>
          <w:sz w:val="24"/>
          <w:szCs w:val="24"/>
          <w:lang w:val="es-ES" w:eastAsia="es-ES"/>
        </w:rPr>
        <w:t>Resolutor</w:t>
      </w:r>
      <w:proofErr w:type="spellEnd"/>
      <w:r w:rsidRPr="00D34957">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34957">
        <w:rPr>
          <w:rFonts w:eastAsia="Times New Roman"/>
          <w:sz w:val="24"/>
          <w:szCs w:val="24"/>
          <w:lang w:val="es-ES" w:eastAsia="es-ES"/>
        </w:rPr>
        <w:footnoteReference w:id="1"/>
      </w:r>
      <w:r w:rsidRPr="00D34957">
        <w:rPr>
          <w:rFonts w:ascii="Palatino Linotype" w:eastAsia="Times New Roman" w:hAnsi="Palatino Linotype" w:cs="Arial"/>
          <w:sz w:val="24"/>
          <w:szCs w:val="24"/>
          <w:lang w:val="es-ES" w:eastAsia="es-ES"/>
        </w:rPr>
        <w:t>.</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D34957">
        <w:rPr>
          <w:rFonts w:ascii="Palatino Linotype" w:eastAsia="Times New Roman" w:hAnsi="Palatino Linotype" w:cs="Arial"/>
          <w:sz w:val="24"/>
          <w:szCs w:val="24"/>
          <w:lang w:val="es-ES" w:eastAsia="es-ES"/>
        </w:rPr>
        <w:lastRenderedPageBreak/>
        <w:t>causas de improcedencia invocadas por las partes ni advertidas de oficio, este Órgano Garante de la Transparencia se avoca al análisis del fondo del asunto que nos ocupa.</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w:t>
      </w:r>
      <w:proofErr w:type="spellStart"/>
      <w:r w:rsidRPr="00D34957">
        <w:rPr>
          <w:rFonts w:ascii="Palatino Linotype" w:eastAsia="Times New Roman" w:hAnsi="Palatino Linotype" w:cs="Arial"/>
          <w:sz w:val="24"/>
          <w:szCs w:val="24"/>
          <w:lang w:val="es-ES" w:eastAsia="es-ES"/>
        </w:rPr>
        <w:t>Resolutor</w:t>
      </w:r>
      <w:proofErr w:type="spellEnd"/>
      <w:r w:rsidRPr="00D34957">
        <w:rPr>
          <w:rFonts w:ascii="Palatino Linotype" w:eastAsia="Times New Roman" w:hAnsi="Palatino Linotype" w:cs="Arial"/>
          <w:sz w:val="24"/>
          <w:szCs w:val="24"/>
          <w:lang w:val="es-ES" w:eastAsia="es-ES"/>
        </w:rPr>
        <w:t xml:space="preserve">, se </w:t>
      </w:r>
      <w:proofErr w:type="gramStart"/>
      <w:r w:rsidRPr="00D34957">
        <w:rPr>
          <w:rFonts w:ascii="Palatino Linotype" w:eastAsia="Times New Roman" w:hAnsi="Palatino Linotype" w:cs="Arial"/>
          <w:sz w:val="24"/>
          <w:szCs w:val="24"/>
          <w:lang w:val="es-ES" w:eastAsia="es-ES"/>
        </w:rPr>
        <w:t>procede</w:t>
      </w:r>
      <w:proofErr w:type="gramEnd"/>
      <w:r w:rsidRPr="00D34957">
        <w:rPr>
          <w:rFonts w:ascii="Palatino Linotype" w:eastAsia="Times New Roman" w:hAnsi="Palatino Linotype" w:cs="Arial"/>
          <w:sz w:val="24"/>
          <w:szCs w:val="24"/>
          <w:lang w:val="es-ES" w:eastAsia="es-ES"/>
        </w:rPr>
        <w:t xml:space="preserve"> al análisis del fondo de los asuntos en los siguientes términos.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C91637"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hAnsi="Palatino Linotype" w:cs="Arial"/>
          <w:b/>
          <w:sz w:val="28"/>
          <w:lang w:val="es-419"/>
        </w:rPr>
        <w:t>CUARTO</w:t>
      </w:r>
      <w:r w:rsidR="003C6515" w:rsidRPr="00A32A45">
        <w:rPr>
          <w:rFonts w:ascii="Palatino Linotype" w:hAnsi="Palatino Linotype" w:cs="Arial"/>
          <w:b/>
          <w:sz w:val="28"/>
        </w:rPr>
        <w:t>. Del estudio y resolución del asunto.</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w:t>
      </w:r>
      <w:r w:rsidR="00832240">
        <w:rPr>
          <w:rFonts w:ascii="Palatino Linotype" w:hAnsi="Palatino Linotype"/>
          <w:sz w:val="24"/>
          <w:szCs w:val="24"/>
        </w:rPr>
        <w:t>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7B1E76">
        <w:rPr>
          <w:rFonts w:ascii="Palatino Linotype" w:hAnsi="Palatino Linotype" w:cs="Arial"/>
          <w:i/>
          <w:color w:val="000000"/>
          <w:lang w:eastAsia="es-MX"/>
        </w:rPr>
        <w:lastRenderedPageBreak/>
        <w:t xml:space="preserve">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lastRenderedPageBreak/>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w:t>
      </w:r>
      <w:r w:rsidRPr="001A56F2">
        <w:rPr>
          <w:rFonts w:ascii="Palatino Linotype" w:hAnsi="Palatino Linotype" w:cs="Arial"/>
          <w:sz w:val="24"/>
          <w:szCs w:val="24"/>
        </w:rPr>
        <w:t xml:space="preserve">en los que el </w:t>
      </w:r>
      <w:r w:rsidRPr="003E68F7">
        <w:rPr>
          <w:rFonts w:ascii="Palatino Linotype" w:hAnsi="Palatino Linotype" w:cs="Arial"/>
          <w:sz w:val="24"/>
          <w:szCs w:val="24"/>
        </w:rPr>
        <w:t xml:space="preserve">Estado Mexicano sea parte, en concordancia con el artículo 8 de la Ley de Transparencia local, es así que el recurrente </w:t>
      </w:r>
      <w:r w:rsidR="00BD1FDD" w:rsidRPr="003E68F7">
        <w:rPr>
          <w:rFonts w:ascii="Palatino Linotype" w:hAnsi="Palatino Linotype" w:cs="Arial"/>
          <w:sz w:val="24"/>
          <w:szCs w:val="24"/>
          <w:lang w:val="es-419"/>
        </w:rPr>
        <w:t xml:space="preserve">de forma puntualizada </w:t>
      </w:r>
      <w:r w:rsidRPr="003E68F7">
        <w:rPr>
          <w:rFonts w:ascii="Palatino Linotype" w:hAnsi="Palatino Linotype" w:cs="Arial"/>
          <w:sz w:val="24"/>
          <w:szCs w:val="24"/>
        </w:rPr>
        <w:t>solicitó:</w:t>
      </w:r>
    </w:p>
    <w:p w:rsidR="00F804B5" w:rsidRPr="00F009F2" w:rsidRDefault="00F804B5" w:rsidP="00006F24">
      <w:pPr>
        <w:autoSpaceDE w:val="0"/>
        <w:autoSpaceDN w:val="0"/>
        <w:adjustRightInd w:val="0"/>
        <w:spacing w:after="0" w:line="360" w:lineRule="auto"/>
        <w:jc w:val="both"/>
        <w:rPr>
          <w:rFonts w:ascii="Palatino Linotype" w:hAnsi="Palatino Linotype" w:cs="Arial"/>
          <w:sz w:val="24"/>
          <w:szCs w:val="24"/>
          <w:lang w:val="es-419"/>
        </w:rPr>
      </w:pP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¿Han conformado la Unidad Municipal de Control y Bienestar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Anexar el currículum del Titular de la Unidad Municipal.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¿Se ha integrado el Consejo Municipal de Control y Bienestar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Anexar copia del Acta de Integración del Consejo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¿Quiénes integran el Consejo Municipal de Control y Bienestar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Anexar el Plan Anual de Trabajo.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¿En qué sesión de cabildo se da la integración de la Unidad y del Consejo?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¿Cuál es la partida presupuestal que se destina para tal fin?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actividades se desarrollan en la Unidad de Control y Bienestar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características estructurales tiene el área destinada para tal fin?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¿Cuál es la población de animales estimada a atender en esterilizaciones mensualmente?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Del 01 de enero de 2022 al día 11 de agosto de 2022, ¿qué cantidad de servicios se han otorgado?, desglosados por mes y por concepto.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lastRenderedPageBreak/>
        <w:t xml:space="preserve">¿Con qué personal especializado y de actividades sustantivas y administrativas dispone la Unidad?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capacitaciones han sido otorgadas al personal que atiende la Unidad?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¿Cuentan con un Código de bioética (anexarlo)?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¿Cómo se integra la Sociedad Civil y Empresarial en los objetivos de la Unidad?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En caso de no haber integrado la Unidad de Control o el Consejo Municipal, ¿cuáles son las justificaciones al respecto?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vacunas se aplican a la población destino, en el Centro de Bienestar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servicios significan un costo para los usuarios?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páginas institucionales y direcciones electrónicas se tiene para difundir la operación de programas de Control y Bienestar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¿Se cuenta con un Protocolo para la atención a los reportes de maltrato animal? (anexarlo).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¿Tienen manual de procedimientos de la Unidad Municipal de Control Animal?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Anexar el Organigrama donde se integra la Unidad de Bienestar Animal en la estructura administrativa del Ayuntamiento.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¿Qué normatividad municipal se ha trabajado para dar cumplimiento al decreto No 289 aprobado por la H. Legislatura “LX” del Estado de México?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¿Disponen de un equipo que proporcione servicio médico veterinario de manera rutinaria?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¿Cuentan con unidades móviles para la atención en materia de control poblacional animal?, ¿cuántas unidades están habilitadas para tal fin y sus características? </w:t>
      </w:r>
    </w:p>
    <w:p w:rsidR="005A369A"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 xml:space="preserve">¿Cuántas denuncias de maltrato animal han sido recibidas del primero de enero de 2022 al 11 de agosto de 2022? </w:t>
      </w:r>
    </w:p>
    <w:p w:rsidR="003E68F7" w:rsidRPr="00F009F2"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F009F2">
        <w:rPr>
          <w:rFonts w:ascii="Palatino Linotype" w:hAnsi="Palatino Linotype" w:cs="Arial"/>
          <w:sz w:val="24"/>
          <w:szCs w:val="24"/>
          <w:lang w:val="es-419"/>
        </w:rPr>
        <w:t>¿Cuál ha sido la atención dada a las mismas, así como el estatus que guardan?</w:t>
      </w:r>
    </w:p>
    <w:p w:rsidR="005A369A" w:rsidRDefault="005A369A" w:rsidP="005A369A">
      <w:pPr>
        <w:autoSpaceDE w:val="0"/>
        <w:autoSpaceDN w:val="0"/>
        <w:adjustRightInd w:val="0"/>
        <w:spacing w:after="0" w:line="360" w:lineRule="auto"/>
        <w:jc w:val="both"/>
        <w:rPr>
          <w:rFonts w:ascii="Palatino Linotype" w:hAnsi="Palatino Linotype" w:cs="Arial"/>
          <w:sz w:val="24"/>
          <w:szCs w:val="24"/>
        </w:rPr>
      </w:pPr>
    </w:p>
    <w:p w:rsidR="00B9660D" w:rsidRDefault="00AB2FD0" w:rsidP="00006F24">
      <w:pPr>
        <w:autoSpaceDE w:val="0"/>
        <w:autoSpaceDN w:val="0"/>
        <w:adjustRightInd w:val="0"/>
        <w:spacing w:after="0" w:line="360" w:lineRule="auto"/>
        <w:jc w:val="both"/>
        <w:rPr>
          <w:rFonts w:ascii="Palatino Linotype" w:hAnsi="Palatino Linotype" w:cs="Arial"/>
          <w:sz w:val="24"/>
          <w:szCs w:val="24"/>
        </w:rPr>
      </w:pPr>
      <w:r w:rsidRPr="00A24FE7">
        <w:rPr>
          <w:rFonts w:ascii="Palatino Linotype" w:hAnsi="Palatino Linotype" w:cs="Arial"/>
          <w:sz w:val="24"/>
          <w:szCs w:val="24"/>
        </w:rPr>
        <w:t>Derivado de la solicitud</w:t>
      </w:r>
      <w:r w:rsidR="00DF7BF1" w:rsidRPr="00A24FE7">
        <w:rPr>
          <w:rFonts w:ascii="Palatino Linotype" w:hAnsi="Palatino Linotype" w:cs="Arial"/>
          <w:sz w:val="24"/>
          <w:szCs w:val="24"/>
        </w:rPr>
        <w:t xml:space="preserve"> de información</w:t>
      </w:r>
      <w:r w:rsidR="00163245" w:rsidRPr="00A24FE7">
        <w:rPr>
          <w:rFonts w:ascii="Palatino Linotype" w:hAnsi="Palatino Linotype" w:cs="Arial"/>
          <w:sz w:val="24"/>
          <w:szCs w:val="24"/>
        </w:rPr>
        <w:t xml:space="preserve">, </w:t>
      </w:r>
      <w:r w:rsidR="00B9660D">
        <w:rPr>
          <w:rFonts w:ascii="Palatino Linotype" w:hAnsi="Palatino Linotype" w:cs="Arial"/>
          <w:sz w:val="24"/>
          <w:szCs w:val="24"/>
          <w:lang w:val="es-419"/>
        </w:rPr>
        <w:t xml:space="preserve">la Lic. En P. Carolina Gutiérrez García, en su carácter de Titular de la Unidad de Transparencia del Ayuntamiento de Villa de Allende, mediante oficio número UTAIPA/VA/001/VIII/2022 de fecha 19 de agosto de 2022, determinó la incompetencia para atender la solicitud de información con número de folio </w:t>
      </w:r>
      <w:r w:rsidR="00B9660D" w:rsidRPr="00B9660D">
        <w:rPr>
          <w:rFonts w:ascii="Palatino Linotype" w:hAnsi="Palatino Linotype" w:cs="Arial"/>
          <w:b/>
          <w:sz w:val="24"/>
          <w:szCs w:val="24"/>
          <w:lang w:val="es-419"/>
        </w:rPr>
        <w:t>00095/VIALLEN/IP/2022</w:t>
      </w:r>
      <w:r w:rsidR="00B9660D">
        <w:rPr>
          <w:rFonts w:ascii="Palatino Linotype" w:hAnsi="Palatino Linotype" w:cs="Arial"/>
          <w:sz w:val="24"/>
          <w:szCs w:val="24"/>
          <w:lang w:val="es-419"/>
        </w:rPr>
        <w:t>,</w:t>
      </w:r>
      <w:r w:rsidR="00EE07E1">
        <w:rPr>
          <w:rFonts w:ascii="Palatino Linotype" w:hAnsi="Palatino Linotype" w:cs="Arial"/>
          <w:sz w:val="24"/>
          <w:szCs w:val="24"/>
          <w:lang w:val="es-419"/>
        </w:rPr>
        <w:t xml:space="preserve"> </w:t>
      </w:r>
      <w:r w:rsidR="00693DF6">
        <w:rPr>
          <w:rFonts w:ascii="Palatino Linotype" w:hAnsi="Palatino Linotype" w:cs="Arial"/>
          <w:sz w:val="24"/>
          <w:szCs w:val="24"/>
          <w:lang w:val="es-419"/>
        </w:rPr>
        <w:t>invitando al hoy recurrente a realizar la solicitud de información a la Secretaría de Justicia y Derechos Humanos.</w:t>
      </w:r>
    </w:p>
    <w:p w:rsidR="006E795F" w:rsidRDefault="006E795F" w:rsidP="00B7239A">
      <w:pPr>
        <w:tabs>
          <w:tab w:val="left" w:pos="2550"/>
        </w:tabs>
        <w:spacing w:after="0" w:line="360" w:lineRule="auto"/>
        <w:jc w:val="both"/>
        <w:rPr>
          <w:rFonts w:ascii="Palatino Linotype" w:hAnsi="Palatino Linotype" w:cs="Arial"/>
          <w:sz w:val="24"/>
          <w:szCs w:val="24"/>
          <w:lang w:val="es-419"/>
        </w:rPr>
      </w:pPr>
    </w:p>
    <w:p w:rsidR="000713A7" w:rsidRPr="0048693F" w:rsidRDefault="000C5C45" w:rsidP="000713A7">
      <w:pPr>
        <w:tabs>
          <w:tab w:val="left" w:pos="2550"/>
        </w:tabs>
        <w:spacing w:after="0" w:line="360" w:lineRule="auto"/>
        <w:jc w:val="both"/>
        <w:rPr>
          <w:rFonts w:ascii="Palatino Linotype" w:hAnsi="Palatino Linotype" w:cs="Arial"/>
          <w:sz w:val="24"/>
          <w:szCs w:val="24"/>
          <w:lang w:val="es-419"/>
        </w:rPr>
      </w:pPr>
      <w:r w:rsidRPr="006E795F">
        <w:rPr>
          <w:rFonts w:ascii="Palatino Linotype" w:hAnsi="Palatino Linotype" w:cs="Arial"/>
          <w:sz w:val="24"/>
          <w:szCs w:val="24"/>
          <w:lang w:val="es-419"/>
        </w:rPr>
        <w:t>El recurrente se inconformó manifestando:</w:t>
      </w:r>
      <w:r w:rsidR="000713A7">
        <w:rPr>
          <w:rFonts w:ascii="Palatino Linotype" w:hAnsi="Palatino Linotype" w:cs="Arial"/>
          <w:sz w:val="24"/>
          <w:szCs w:val="24"/>
          <w:lang w:val="es-419"/>
        </w:rPr>
        <w:t xml:space="preserve"> </w:t>
      </w:r>
      <w:r w:rsidR="000713A7">
        <w:rPr>
          <w:rFonts w:ascii="Palatino Linotype" w:hAnsi="Palatino Linotype" w:cs="Arial"/>
          <w:i/>
          <w:sz w:val="24"/>
          <w:szCs w:val="24"/>
          <w:lang w:val="es-419"/>
        </w:rPr>
        <w:t>“</w:t>
      </w:r>
      <w:r w:rsidR="000713A7">
        <w:rPr>
          <w:rFonts w:ascii="Palatino Linotype" w:hAnsi="Palatino Linotype" w:cs="Arial"/>
          <w:i/>
          <w:sz w:val="24"/>
          <w:szCs w:val="24"/>
        </w:rPr>
        <w:t>Información plenamente competente del sujeto obligado</w:t>
      </w:r>
      <w:r w:rsidR="000713A7">
        <w:rPr>
          <w:rFonts w:ascii="Palatino Linotype" w:hAnsi="Palatino Linotype" w:cs="Arial"/>
          <w:i/>
          <w:sz w:val="24"/>
          <w:szCs w:val="24"/>
          <w:lang w:val="es-419"/>
        </w:rPr>
        <w:t>”</w:t>
      </w:r>
      <w:r w:rsidR="0048693F">
        <w:rPr>
          <w:rFonts w:ascii="Palatino Linotype" w:hAnsi="Palatino Linotype" w:cs="Arial"/>
          <w:sz w:val="24"/>
          <w:szCs w:val="24"/>
          <w:lang w:val="es-419"/>
        </w:rPr>
        <w:t xml:space="preserve">. </w:t>
      </w:r>
    </w:p>
    <w:p w:rsidR="00566C13" w:rsidRPr="00566C13" w:rsidRDefault="00566C13" w:rsidP="00566C13">
      <w:pPr>
        <w:tabs>
          <w:tab w:val="left" w:pos="7938"/>
        </w:tabs>
        <w:spacing w:after="0" w:line="360" w:lineRule="auto"/>
        <w:jc w:val="both"/>
        <w:rPr>
          <w:rFonts w:ascii="Palatino Linotype" w:eastAsia="Times New Roman" w:hAnsi="Palatino Linotype" w:cs="Arial"/>
          <w:sz w:val="24"/>
          <w:szCs w:val="24"/>
          <w:lang w:val="es-419" w:eastAsia="es-ES"/>
        </w:rPr>
      </w:pPr>
    </w:p>
    <w:p w:rsid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CE390E">
        <w:rPr>
          <w:rFonts w:ascii="Palatino Linotype" w:eastAsia="Palatino Linotype" w:hAnsi="Palatino Linotype" w:cs="Palatino Linotype"/>
          <w:sz w:val="24"/>
          <w:szCs w:val="24"/>
        </w:rPr>
        <w:t>Ahora bien</w:t>
      </w:r>
      <w:r w:rsidR="00F009F2">
        <w:rPr>
          <w:rFonts w:ascii="Palatino Linotype" w:eastAsia="Palatino Linotype" w:hAnsi="Palatino Linotype" w:cs="Palatino Linotype"/>
          <w:sz w:val="24"/>
          <w:szCs w:val="24"/>
        </w:rPr>
        <w:t>,</w:t>
      </w:r>
      <w:r w:rsidRPr="00CE390E">
        <w:rPr>
          <w:rFonts w:ascii="Palatino Linotype" w:eastAsia="Palatino Linotype" w:hAnsi="Palatino Linotype" w:cs="Palatino Linotype"/>
          <w:sz w:val="24"/>
          <w:szCs w:val="24"/>
        </w:rPr>
        <w:t xml:space="preserve"> como ya se señaló en párrafos anteriores la Ley Orgánica Municipal del Estado de México, que en su capítulo Sexto Bis artículo 124 Bis contempla la existencia de las Unidades Municipales de Control y Bienestar animal, la cual dentro de sus funciones están:</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Desarrollar y aplicar programas de esterilización permanentes </w:t>
      </w:r>
    </w:p>
    <w:p w:rsidR="00566C13" w:rsidRPr="00566C13"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Promoción de la educación y cultura de la convivencia con animales </w:t>
      </w:r>
    </w:p>
    <w:p w:rsidR="00566C13" w:rsidRPr="00566C13"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Vacunación y esterilización </w:t>
      </w:r>
    </w:p>
    <w:p w:rsidR="00566C13" w:rsidRPr="00566C13"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Difusión, promoción y fomento de adopción </w:t>
      </w:r>
    </w:p>
    <w:p w:rsidR="00566C13" w:rsidRPr="00566C13"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Capacitación para la promoción del bienestar animal </w:t>
      </w:r>
    </w:p>
    <w:p w:rsidR="00566C13" w:rsidRPr="00566C13"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Control poblacional de perros y gatos en situación de calle por medio de esterilización.</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lastRenderedPageBreak/>
        <w:t>En tal sentido, para llevar a cabo dichas funciones la Unidad deberá realizar diversas acciones, mismas que se encuentran enlistadas en el artículo 124 Ter de la Ley Orgánica Municipal previamente citada, y de las cuales, para el caso que nos ocupa, resultan especialmente relevantes las fracciones I, IV, VI y XI, que refieren lo siguiente:</w:t>
      </w:r>
    </w:p>
    <w:p w:rsidR="00566C13" w:rsidRPr="00566C13" w:rsidRDefault="00566C13" w:rsidP="00566C13">
      <w:pPr>
        <w:tabs>
          <w:tab w:val="left" w:pos="709"/>
        </w:tabs>
        <w:spacing w:after="0" w:line="360" w:lineRule="auto"/>
        <w:ind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“Artículo 124 Ter</w:t>
      </w:r>
      <w:r w:rsidRPr="00566C13">
        <w:rPr>
          <w:rFonts w:ascii="Palatino Linotype" w:eastAsia="Palatino Linotype" w:hAnsi="Palatino Linotype" w:cs="Palatino Linotype"/>
          <w:i/>
          <w:sz w:val="24"/>
          <w:szCs w:val="24"/>
        </w:rPr>
        <w:t xml:space="preserve">.- Para el cumplimiento de sus funciones deberá realizar las siguientes acciones: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I. Coordinar, organizar y difundir la operación de programas permanentes de control y bienestar animal en situación de calle, apoyándose en el respectivo Consejo Municipal.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II. Atender y canalizar los reportes de maltrato animal en situación de calle;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IV. Establecer un plan de trabajo anual, mismo que se pondrá a consideración del Consejo Municipal de Control y Bienestar Animal durante el mes de enero de cada año;</w:t>
      </w:r>
      <w:r w:rsidRPr="00566C13">
        <w:rPr>
          <w:rFonts w:ascii="Palatino Linotype" w:eastAsia="Palatino Linotype" w:hAnsi="Palatino Linotype" w:cs="Palatino Linotype"/>
          <w:i/>
          <w:sz w:val="24"/>
          <w:szCs w:val="24"/>
        </w:rPr>
        <w:t xml:space="preserve">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V. Contar con las medidas adecuadas de control sanitario en sus instalaciones y en la implementación de acciones de control animal;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VI. Disponer de un equipo que, proporcione servicio médico veterinario de manera rutinaria;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VII. Habilitar unidades en desuso para la instalación de unidades móviles de esterilización de animales de compañía y en situación de calle.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lastRenderedPageBreak/>
        <w:t xml:space="preserve">VIII. Contar con las unidades móviles que determinen las necesidades de cada municipio en materia de control poblacional animal.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IX. Contar con personal médico capacitado para la implementación de acciones de control animal.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X. Contar con equipo y medidas adecuadas de control sanitario en las unidades móviles, o en instalaciones para la implementación de acciones de control animal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XI. Disponer de un equipo que proporcione servicio médico veterinario de manera rutinaria en unidades móviles o instalaciones.</w:t>
      </w:r>
      <w:r w:rsidRPr="00566C13">
        <w:rPr>
          <w:rFonts w:ascii="Palatino Linotype" w:eastAsia="Palatino Linotype" w:hAnsi="Palatino Linotype" w:cs="Palatino Linotype"/>
          <w:i/>
          <w:sz w:val="24"/>
          <w:szCs w:val="24"/>
        </w:rPr>
        <w:t xml:space="preserve">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XII. Esterilizar a diez por ciento del total de animales en situación de calle anualmente.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Para el cumplimiento de sus funciones, podrá auxiliarse de las dependencias de la administración pública municipal, y solicitar colaboración de otras instancias de gobierno, iniciativa privada o de la sociedad civil.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(Énfasis </w:t>
      </w:r>
      <w:proofErr w:type="spellStart"/>
      <w:r w:rsidRPr="00566C13">
        <w:rPr>
          <w:rFonts w:ascii="Palatino Linotype" w:eastAsia="Palatino Linotype" w:hAnsi="Palatino Linotype" w:cs="Palatino Linotype"/>
          <w:i/>
          <w:sz w:val="24"/>
          <w:szCs w:val="24"/>
        </w:rPr>
        <w:t>anadido</w:t>
      </w:r>
      <w:proofErr w:type="spellEnd"/>
      <w:r w:rsidRPr="00566C13">
        <w:rPr>
          <w:rFonts w:ascii="Palatino Linotype" w:eastAsia="Palatino Linotype" w:hAnsi="Palatino Linotype" w:cs="Palatino Linotype"/>
          <w:i/>
          <w:sz w:val="24"/>
          <w:szCs w:val="24"/>
        </w:rPr>
        <w:t>)</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Del precepto anterior se desprende que dentro de las obligaciones de la Unidad Municipal de Control y Bienestar Animal, esta deberá generar un plan de trabajo anual, que será puesto a consideración del  Consejo Municipal de Control y Bienestar Animal durante el mes de enero de cada año, otorgar servicio médico veterinario rutinario, lo que otorga al Sujeto Obligado fundamento normativo para conocer de las solicitudes del particular referentes a la población de animales estimada para esterilización mensual, los servicios otorgados por mes del primero de enero al once de agosto de dos mil veintidós, el personal especializado con el que cuenta, las </w:t>
      </w:r>
      <w:r w:rsidRPr="00566C13">
        <w:rPr>
          <w:rFonts w:ascii="Palatino Linotype" w:eastAsia="Palatino Linotype" w:hAnsi="Palatino Linotype" w:cs="Palatino Linotype"/>
          <w:sz w:val="24"/>
          <w:szCs w:val="24"/>
        </w:rPr>
        <w:lastRenderedPageBreak/>
        <w:t>capacitaciones otorgadas, número de denuncias por maltrato animal, equipo utilizado para proporcionar servicio médico veterinario, medios de comunicación utilizados para difundir los programas de Control y Bienestar Animal, número de unidades móviles utilizadas para el control poblacional animal.</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Por otro lado, toda vez que uno de los puntos solicitado por el particular se relaciona con la ficha curricular del Titular de la Unidad, es necesario señalar que el artículo 124 </w:t>
      </w:r>
      <w:proofErr w:type="spellStart"/>
      <w:r w:rsidRPr="00566C13">
        <w:rPr>
          <w:rFonts w:ascii="Palatino Linotype" w:eastAsia="Palatino Linotype" w:hAnsi="Palatino Linotype" w:cs="Palatino Linotype"/>
          <w:sz w:val="24"/>
          <w:szCs w:val="24"/>
        </w:rPr>
        <w:t>Quater</w:t>
      </w:r>
      <w:proofErr w:type="spellEnd"/>
      <w:r w:rsidRPr="00566C13">
        <w:rPr>
          <w:rFonts w:ascii="Palatino Linotype" w:eastAsia="Palatino Linotype" w:hAnsi="Palatino Linotype" w:cs="Palatino Linotype"/>
          <w:sz w:val="24"/>
          <w:szCs w:val="24"/>
        </w:rPr>
        <w:t xml:space="preserve"> de la Ley Orgánica multicitada, refiere que además de los requisitos establecidos por el artículo 32 para ser titular de la Unidad Municipal de Control  Bienestar y Animal se requiere contar con Licenciatura y Cédula en Medicina Veterinaria, u otra profesión que se relacione con el conocimiento del cuidado y manejo de animales, como se observa a continuación: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 xml:space="preserve">“Artículo 124 </w:t>
      </w:r>
      <w:proofErr w:type="spellStart"/>
      <w:r w:rsidRPr="00566C13">
        <w:rPr>
          <w:rFonts w:ascii="Palatino Linotype" w:eastAsia="Palatino Linotype" w:hAnsi="Palatino Linotype" w:cs="Palatino Linotype"/>
          <w:b/>
          <w:i/>
          <w:sz w:val="24"/>
          <w:szCs w:val="24"/>
        </w:rPr>
        <w:t>Quater</w:t>
      </w:r>
      <w:proofErr w:type="spellEnd"/>
      <w:r w:rsidRPr="00566C13">
        <w:rPr>
          <w:rFonts w:ascii="Palatino Linotype" w:eastAsia="Palatino Linotype" w:hAnsi="Palatino Linotype" w:cs="Palatino Linotype"/>
          <w:b/>
          <w:i/>
          <w:sz w:val="24"/>
          <w:szCs w:val="24"/>
        </w:rPr>
        <w:t>.</w:t>
      </w:r>
      <w:r w:rsidRPr="00566C13">
        <w:rPr>
          <w:rFonts w:ascii="Palatino Linotype" w:eastAsia="Palatino Linotype" w:hAnsi="Palatino Linotype" w:cs="Palatino Linotype"/>
          <w:i/>
          <w:sz w:val="24"/>
          <w:szCs w:val="24"/>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(Énfasis añadido)</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Siendo además una obligación de transparencia el hacer entrega de la información curricular de los servidores públicos desde el nivel de jefe de departamento o equivalente, como lo refiere la Ley de Transparencia y Acceso a la Información Pública del Estado de México y Municipios, en su artículo 92 fracción XXI que se cita a continuación:</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i/>
          <w:sz w:val="24"/>
          <w:szCs w:val="24"/>
        </w:rPr>
        <w:t>“</w:t>
      </w:r>
      <w:r w:rsidRPr="00566C13">
        <w:rPr>
          <w:rFonts w:ascii="Palatino Linotype" w:eastAsia="Palatino Linotype" w:hAnsi="Palatino Linotype" w:cs="Palatino Linotype"/>
          <w:b/>
          <w:i/>
          <w:sz w:val="24"/>
          <w:szCs w:val="24"/>
        </w:rPr>
        <w:t xml:space="preserve">Capítulo II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De las Obligaciones de Transparencia Comunes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 xml:space="preserve">Artículo 92. </w:t>
      </w:r>
      <w:r w:rsidRPr="00566C13">
        <w:rPr>
          <w:rFonts w:ascii="Palatino Linotype" w:eastAsia="Palatino Linotype" w:hAnsi="Palatino Linotype" w:cs="Palatino Linotype"/>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XXI. La información curricular, desde el nivel de jefe de departamento o equivalente, hasta el titular del sujeto obligado,</w:t>
      </w:r>
      <w:r w:rsidRPr="00566C13">
        <w:rPr>
          <w:rFonts w:ascii="Palatino Linotype" w:eastAsia="Palatino Linotype" w:hAnsi="Palatino Linotype" w:cs="Palatino Linotype"/>
          <w:i/>
          <w:sz w:val="24"/>
          <w:szCs w:val="24"/>
        </w:rPr>
        <w:t xml:space="preserve"> así como, en su caso, las sanciones administrativas de que haya sido objeto;”</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w:t>
      </w:r>
      <w:proofErr w:type="gramStart"/>
      <w:r w:rsidRPr="00566C13">
        <w:rPr>
          <w:rFonts w:ascii="Palatino Linotype" w:eastAsia="Palatino Linotype" w:hAnsi="Palatino Linotype" w:cs="Palatino Linotype"/>
          <w:i/>
          <w:sz w:val="24"/>
          <w:szCs w:val="24"/>
        </w:rPr>
        <w:t>énfasis</w:t>
      </w:r>
      <w:proofErr w:type="gramEnd"/>
      <w:r w:rsidRPr="00566C13">
        <w:rPr>
          <w:rFonts w:ascii="Palatino Linotype" w:eastAsia="Palatino Linotype" w:hAnsi="Palatino Linotype" w:cs="Palatino Linotype"/>
          <w:i/>
          <w:sz w:val="24"/>
          <w:szCs w:val="24"/>
        </w:rPr>
        <w:t xml:space="preserve"> añadido)</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Por otra parte, se advierte que el particular solicitó además la partida presupuestal destinada para dicha área, información que</w:t>
      </w:r>
      <w:r w:rsidR="00F009F2">
        <w:rPr>
          <w:rFonts w:ascii="Palatino Linotype" w:eastAsia="Palatino Linotype" w:hAnsi="Palatino Linotype" w:cs="Palatino Linotype"/>
          <w:sz w:val="24"/>
          <w:szCs w:val="24"/>
        </w:rPr>
        <w:t>,</w:t>
      </w:r>
      <w:r w:rsidRPr="00566C13">
        <w:rPr>
          <w:rFonts w:ascii="Palatino Linotype" w:eastAsia="Palatino Linotype" w:hAnsi="Palatino Linotype" w:cs="Palatino Linotype"/>
          <w:sz w:val="24"/>
          <w:szCs w:val="24"/>
        </w:rPr>
        <w:t xml:space="preserve"> al tratarse de la distribución y asignación de recursos públicos, encuadra en la obligación de transparencia específica a los Municipios prevista por la Ley de Transparencia local antes referida en su artículo 94 fracción I, inciso b, que es del tenor siguiente:</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“Capítulo III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De las Obligaciones de Transparencia Específicas de los Sujetos Obligados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lastRenderedPageBreak/>
        <w:t>Artículo 94.</w:t>
      </w:r>
      <w:r w:rsidRPr="00566C13">
        <w:rPr>
          <w:rFonts w:ascii="Palatino Linotype" w:eastAsia="Palatino Linotype" w:hAnsi="Palatino Linotype" w:cs="Palatino Linotype"/>
          <w:i/>
          <w:sz w:val="24"/>
          <w:szCs w:val="24"/>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I. En el caso del Poder Ejecutivo y los Municipios, en el ámbito de su competencia: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b) El presupuesto de egresos y las fórmulas de distribución de los recursos otorgados;”</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t xml:space="preserve">(Énfasis añadido) </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Asimismo, también es una obligación de transparencia común a todos los Sujetos Obligados, hacer del conocimiento del público la información relacionada con los servicios que ofrecen, así como los requisitos para acceder a los mismos, que puede incluir el pago de una cuota, como se observa a continuación:</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“Artículo 92.</w:t>
      </w:r>
      <w:r w:rsidRPr="00566C13">
        <w:rPr>
          <w:rFonts w:ascii="Palatino Linotype" w:eastAsia="Palatino Linotype" w:hAnsi="Palatino Linotype" w:cs="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XXIII. Los servicios que ofrecen señalando los requisitos para acceder a ellos, así como los tiempos de respuesta;”</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i/>
          <w:sz w:val="24"/>
          <w:szCs w:val="24"/>
        </w:rPr>
        <w:lastRenderedPageBreak/>
        <w:t>(</w:t>
      </w:r>
      <w:proofErr w:type="gramStart"/>
      <w:r w:rsidRPr="00566C13">
        <w:rPr>
          <w:rFonts w:ascii="Palatino Linotype" w:eastAsia="Palatino Linotype" w:hAnsi="Palatino Linotype" w:cs="Palatino Linotype"/>
          <w:i/>
          <w:sz w:val="24"/>
          <w:szCs w:val="24"/>
        </w:rPr>
        <w:t>énfasis</w:t>
      </w:r>
      <w:proofErr w:type="gramEnd"/>
      <w:r w:rsidRPr="00566C13">
        <w:rPr>
          <w:rFonts w:ascii="Palatino Linotype" w:eastAsia="Palatino Linotype" w:hAnsi="Palatino Linotype" w:cs="Palatino Linotype"/>
          <w:i/>
          <w:sz w:val="24"/>
          <w:szCs w:val="24"/>
        </w:rPr>
        <w:t xml:space="preserve"> añadido)</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Lo anterior siendo relevante, toda vez que el particular requirió conocer los tipos de vacunas y los servicios que la Unidad ofrece con costo. </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566C13">
        <w:rPr>
          <w:rFonts w:ascii="Palatino Linotype" w:eastAsia="Palatino Linotype" w:hAnsi="Palatino Linotype" w:cs="Palatino Linotype"/>
          <w:sz w:val="24"/>
          <w:szCs w:val="24"/>
        </w:rPr>
        <w:t xml:space="preserve">Por lo que hace a la parte de la solicitud donde requiere conocer las normatividad que regula a la Unidad, como Protocolo para la atención a los reportes de maltrato animal, Manual de procedimientos y código de bioética,  así como el organigrama y estructura del área, es de referir que la multicitada Ley de transparencia en su artículo 92 en sus fracciones I, II, y III también prevé la obligación de poner a disposición del público de manera permanente y actualizada  el marco normativo, la estructura orgánica y las facultades de cada área, como se aprecia a continuación: </w:t>
      </w:r>
    </w:p>
    <w:p w:rsidR="00566C13" w:rsidRPr="00566C13"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“Capítulo II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 xml:space="preserve">De las Obligaciones de Transparencia Comunes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Artículo 92</w:t>
      </w:r>
      <w:r w:rsidRPr="00566C13">
        <w:rPr>
          <w:rFonts w:ascii="Palatino Linotype" w:eastAsia="Palatino Linotype" w:hAnsi="Palatino Linotype" w:cs="Palatino Linotype"/>
          <w:i/>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I. El marco normativo aplicable</w:t>
      </w:r>
      <w:r w:rsidRPr="00566C13">
        <w:rPr>
          <w:rFonts w:ascii="Palatino Linotype" w:eastAsia="Palatino Linotype" w:hAnsi="Palatino Linotype" w:cs="Palatino Linotype"/>
          <w:i/>
          <w:sz w:val="24"/>
          <w:szCs w:val="24"/>
        </w:rPr>
        <w:t xml:space="preserve"> al sujeto obligado, en el que deberá incluirse leyes, códigos, reglamentos, decretos de creación, acuerdos, </w:t>
      </w:r>
      <w:r w:rsidRPr="00566C13">
        <w:rPr>
          <w:rFonts w:ascii="Palatino Linotype" w:eastAsia="Palatino Linotype" w:hAnsi="Palatino Linotype" w:cs="Palatino Linotype"/>
          <w:i/>
          <w:sz w:val="24"/>
          <w:szCs w:val="24"/>
        </w:rPr>
        <w:lastRenderedPageBreak/>
        <w:t xml:space="preserve">convenios, manuales de organización y procedimientos, reglas de operación, criterios, políticas, entre otros;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566C13">
        <w:rPr>
          <w:rFonts w:ascii="Palatino Linotype" w:eastAsia="Palatino Linotype" w:hAnsi="Palatino Linotype" w:cs="Palatino Linotype"/>
          <w:b/>
          <w:i/>
          <w:sz w:val="24"/>
          <w:szCs w:val="24"/>
        </w:rPr>
        <w:t>II. Su estructura orgánica completa,</w:t>
      </w:r>
      <w:r w:rsidRPr="00566C13">
        <w:rPr>
          <w:rFonts w:ascii="Palatino Linotype" w:eastAsia="Palatino Linotype" w:hAnsi="Palatino Linotype" w:cs="Palatino Linotype"/>
          <w:i/>
          <w:sz w:val="24"/>
          <w:szCs w:val="24"/>
        </w:rPr>
        <w:t xml:space="preserve"> en un formato que permita vincular cada parte de la estructura,</w:t>
      </w:r>
      <w:r w:rsidRPr="00566C13">
        <w:rPr>
          <w:rFonts w:ascii="Palatino Linotype" w:eastAsia="Palatino Linotype" w:hAnsi="Palatino Linotype" w:cs="Palatino Linotype"/>
          <w:b/>
          <w:i/>
          <w:sz w:val="24"/>
          <w:szCs w:val="24"/>
        </w:rPr>
        <w:t xml:space="preserve"> las atribuciones y responsabilidades</w:t>
      </w:r>
      <w:r w:rsidRPr="00566C13">
        <w:rPr>
          <w:rFonts w:ascii="Palatino Linotype" w:eastAsia="Palatino Linotype" w:hAnsi="Palatino Linotype" w:cs="Palatino Linotype"/>
          <w:i/>
          <w:sz w:val="24"/>
          <w:szCs w:val="24"/>
        </w:rPr>
        <w:t xml:space="preserve"> que le corresponden a cada servidor público, prestador de servicios profesionales o miembro de los sujetos obligados, de conformidad con las disposiciones jurídicas aplicables; </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III. Las facultades de cada área;”</w:t>
      </w:r>
    </w:p>
    <w:p w:rsidR="00566C13" w:rsidRPr="00566C13"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566C13">
        <w:rPr>
          <w:rFonts w:ascii="Palatino Linotype" w:eastAsia="Palatino Linotype" w:hAnsi="Palatino Linotype" w:cs="Palatino Linotype"/>
          <w:b/>
          <w:i/>
          <w:sz w:val="24"/>
          <w:szCs w:val="24"/>
        </w:rPr>
        <w:t>(</w:t>
      </w:r>
      <w:proofErr w:type="gramStart"/>
      <w:r w:rsidRPr="00566C13">
        <w:rPr>
          <w:rFonts w:ascii="Palatino Linotype" w:eastAsia="Palatino Linotype" w:hAnsi="Palatino Linotype" w:cs="Palatino Linotype"/>
          <w:b/>
          <w:i/>
          <w:sz w:val="24"/>
          <w:szCs w:val="24"/>
        </w:rPr>
        <w:t>énfasis</w:t>
      </w:r>
      <w:proofErr w:type="gramEnd"/>
      <w:r w:rsidRPr="00566C13">
        <w:rPr>
          <w:rFonts w:ascii="Palatino Linotype" w:eastAsia="Palatino Linotype" w:hAnsi="Palatino Linotype" w:cs="Palatino Linotype"/>
          <w:b/>
          <w:i/>
          <w:sz w:val="24"/>
          <w:szCs w:val="24"/>
        </w:rPr>
        <w:t xml:space="preserve"> añadido)</w:t>
      </w:r>
    </w:p>
    <w:p w:rsidR="00566C13" w:rsidRDefault="00566C13" w:rsidP="00CE390E">
      <w:pPr>
        <w:tabs>
          <w:tab w:val="left" w:pos="709"/>
        </w:tabs>
        <w:spacing w:after="0" w:line="360" w:lineRule="auto"/>
        <w:ind w:right="49"/>
        <w:jc w:val="both"/>
        <w:rPr>
          <w:rFonts w:ascii="Palatino Linotype" w:eastAsia="Palatino Linotype" w:hAnsi="Palatino Linotype" w:cs="Palatino Linotype"/>
          <w:sz w:val="24"/>
          <w:szCs w:val="24"/>
        </w:rPr>
      </w:pPr>
    </w:p>
    <w:p w:rsidR="008732AC" w:rsidRDefault="008732AC" w:rsidP="00CE390E">
      <w:pPr>
        <w:tabs>
          <w:tab w:val="left" w:pos="709"/>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de lo solicitado en relativo a la i</w:t>
      </w:r>
      <w:r w:rsidRPr="008732AC">
        <w:rPr>
          <w:rFonts w:ascii="Palatino Linotype" w:eastAsia="Palatino Linotype" w:hAnsi="Palatino Linotype" w:cs="Palatino Linotype"/>
          <w:sz w:val="24"/>
          <w:szCs w:val="24"/>
        </w:rPr>
        <w:t>ntegración de la Sociedad Civil y Empresarial, con los objetivos de la Unidad</w:t>
      </w:r>
      <w:r>
        <w:rPr>
          <w:rFonts w:ascii="Palatino Linotype" w:eastAsia="Palatino Linotype" w:hAnsi="Palatino Linotype" w:cs="Palatino Linotype"/>
          <w:sz w:val="24"/>
          <w:szCs w:val="24"/>
        </w:rPr>
        <w:t xml:space="preserve"> </w:t>
      </w:r>
      <w:r w:rsidRPr="008732AC">
        <w:rPr>
          <w:rFonts w:ascii="Palatino Linotype" w:eastAsia="Palatino Linotype" w:hAnsi="Palatino Linotype" w:cs="Palatino Linotype"/>
          <w:sz w:val="24"/>
          <w:szCs w:val="24"/>
        </w:rPr>
        <w:t>Control y Bienestar Animal</w:t>
      </w:r>
      <w:r>
        <w:rPr>
          <w:rFonts w:ascii="Palatino Linotype" w:eastAsia="Palatino Linotype" w:hAnsi="Palatino Linotype" w:cs="Palatino Linotype"/>
          <w:sz w:val="24"/>
          <w:szCs w:val="24"/>
        </w:rPr>
        <w:t xml:space="preserve">, se aprecia </w:t>
      </w:r>
      <w:r w:rsidR="00C83318">
        <w:rPr>
          <w:rFonts w:ascii="Palatino Linotype" w:eastAsia="Palatino Linotype" w:hAnsi="Palatino Linotype" w:cs="Palatino Linotype"/>
          <w:sz w:val="24"/>
          <w:szCs w:val="24"/>
        </w:rPr>
        <w:t xml:space="preserve">en el artículo 124 Ter de la Ley Orgánica Municipal del Estado de México, en su fracción XII, segundo </w:t>
      </w:r>
      <w:proofErr w:type="spellStart"/>
      <w:r w:rsidR="00C83318">
        <w:rPr>
          <w:rFonts w:ascii="Palatino Linotype" w:eastAsia="Palatino Linotype" w:hAnsi="Palatino Linotype" w:cs="Palatino Linotype"/>
          <w:sz w:val="24"/>
          <w:szCs w:val="24"/>
        </w:rPr>
        <w:t>parrafo</w:t>
      </w:r>
      <w:proofErr w:type="spellEnd"/>
      <w:r w:rsidR="00C83318">
        <w:rPr>
          <w:rFonts w:ascii="Palatino Linotype" w:eastAsia="Palatino Linotype" w:hAnsi="Palatino Linotype" w:cs="Palatino Linotype"/>
          <w:sz w:val="24"/>
          <w:szCs w:val="24"/>
        </w:rPr>
        <w:t>, lo siguiente:</w:t>
      </w:r>
    </w:p>
    <w:p w:rsidR="00C83318" w:rsidRDefault="00C83318" w:rsidP="00CE390E">
      <w:pPr>
        <w:tabs>
          <w:tab w:val="left" w:pos="709"/>
        </w:tabs>
        <w:spacing w:after="0" w:line="360" w:lineRule="auto"/>
        <w:ind w:right="49"/>
        <w:jc w:val="both"/>
        <w:rPr>
          <w:rFonts w:ascii="Palatino Linotype" w:eastAsia="Palatino Linotype" w:hAnsi="Palatino Linotype" w:cs="Palatino Linotype"/>
          <w:sz w:val="24"/>
          <w:szCs w:val="24"/>
        </w:rPr>
      </w:pPr>
    </w:p>
    <w:p w:rsidR="00C83318" w:rsidRPr="00C83318"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w:t>
      </w:r>
      <w:r w:rsidRPr="00C83318">
        <w:rPr>
          <w:rFonts w:ascii="Palatino Linotype" w:eastAsia="Palatino Linotype" w:hAnsi="Palatino Linotype" w:cs="Palatino Linotype"/>
          <w:b/>
          <w:i/>
          <w:sz w:val="24"/>
          <w:szCs w:val="24"/>
        </w:rPr>
        <w:t>Artículo 124 Ter.-</w:t>
      </w:r>
      <w:r w:rsidRPr="00C83318">
        <w:rPr>
          <w:rFonts w:ascii="Palatino Linotype" w:eastAsia="Palatino Linotype" w:hAnsi="Palatino Linotype" w:cs="Palatino Linotype"/>
          <w:i/>
          <w:sz w:val="24"/>
          <w:szCs w:val="24"/>
        </w:rPr>
        <w:t xml:space="preserve"> Para el cumplimiento de sus funciones deberá realizar las siguientes acciones:</w:t>
      </w:r>
    </w:p>
    <w:p w:rsidR="00C83318" w:rsidRPr="00C83318"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C83318">
        <w:rPr>
          <w:rFonts w:ascii="Palatino Linotype" w:eastAsia="Palatino Linotype" w:hAnsi="Palatino Linotype" w:cs="Palatino Linotype"/>
          <w:i/>
          <w:sz w:val="24"/>
          <w:szCs w:val="24"/>
        </w:rPr>
        <w:t>…</w:t>
      </w:r>
    </w:p>
    <w:p w:rsidR="00C83318" w:rsidRPr="00C83318"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C83318">
        <w:rPr>
          <w:rFonts w:ascii="Palatino Linotype" w:eastAsia="Palatino Linotype" w:hAnsi="Palatino Linotype" w:cs="Palatino Linotype"/>
          <w:b/>
          <w:i/>
          <w:sz w:val="24"/>
          <w:szCs w:val="24"/>
        </w:rPr>
        <w:t>XII.</w:t>
      </w:r>
      <w:r w:rsidRPr="00C83318">
        <w:rPr>
          <w:rFonts w:ascii="Palatino Linotype" w:eastAsia="Palatino Linotype" w:hAnsi="Palatino Linotype" w:cs="Palatino Linotype"/>
          <w:i/>
          <w:sz w:val="24"/>
          <w:szCs w:val="24"/>
        </w:rPr>
        <w:t xml:space="preserve"> Esterilizar a diez por ciento del total de animales en situación de calle anualmente. </w:t>
      </w:r>
    </w:p>
    <w:p w:rsidR="00C83318" w:rsidRPr="00C83318"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p>
    <w:p w:rsidR="00C83318" w:rsidRPr="00C83318"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9605C2">
        <w:rPr>
          <w:rFonts w:ascii="Palatino Linotype" w:eastAsia="Palatino Linotype" w:hAnsi="Palatino Linotype" w:cs="Palatino Linotype"/>
          <w:b/>
          <w:i/>
          <w:sz w:val="24"/>
          <w:szCs w:val="24"/>
          <w:u w:val="single"/>
        </w:rPr>
        <w:t>Para el cumplimiento de sus funciones</w:t>
      </w:r>
      <w:r w:rsidRPr="00C83318">
        <w:rPr>
          <w:rFonts w:ascii="Palatino Linotype" w:eastAsia="Palatino Linotype" w:hAnsi="Palatino Linotype" w:cs="Palatino Linotype"/>
          <w:i/>
          <w:sz w:val="24"/>
          <w:szCs w:val="24"/>
        </w:rPr>
        <w:t xml:space="preserve">, podrá auxiliarse de las dependencias de la administración pública municipal, y </w:t>
      </w:r>
      <w:r w:rsidRPr="009605C2">
        <w:rPr>
          <w:rFonts w:ascii="Palatino Linotype" w:eastAsia="Palatino Linotype" w:hAnsi="Palatino Linotype" w:cs="Palatino Linotype"/>
          <w:b/>
          <w:i/>
          <w:sz w:val="24"/>
          <w:szCs w:val="24"/>
          <w:u w:val="single"/>
        </w:rPr>
        <w:t>solicitar</w:t>
      </w:r>
      <w:r w:rsidRPr="00C83318">
        <w:rPr>
          <w:rFonts w:ascii="Palatino Linotype" w:eastAsia="Palatino Linotype" w:hAnsi="Palatino Linotype" w:cs="Palatino Linotype"/>
          <w:i/>
          <w:sz w:val="24"/>
          <w:szCs w:val="24"/>
        </w:rPr>
        <w:t xml:space="preserve"> </w:t>
      </w:r>
      <w:r w:rsidRPr="00C83318">
        <w:rPr>
          <w:rFonts w:ascii="Palatino Linotype" w:eastAsia="Palatino Linotype" w:hAnsi="Palatino Linotype" w:cs="Palatino Linotype"/>
          <w:i/>
          <w:sz w:val="24"/>
          <w:szCs w:val="24"/>
        </w:rPr>
        <w:lastRenderedPageBreak/>
        <w:t xml:space="preserve">colaboración de otras instancias de gobierno, </w:t>
      </w:r>
      <w:r w:rsidRPr="00C83318">
        <w:rPr>
          <w:rFonts w:ascii="Palatino Linotype" w:eastAsia="Palatino Linotype" w:hAnsi="Palatino Linotype" w:cs="Palatino Linotype"/>
          <w:b/>
          <w:i/>
          <w:sz w:val="24"/>
          <w:szCs w:val="24"/>
          <w:u w:val="single"/>
        </w:rPr>
        <w:t>iniciativa privada o de la sociedad civil</w:t>
      </w:r>
      <w:r w:rsidRPr="00C83318">
        <w:rPr>
          <w:rFonts w:ascii="Palatino Linotype" w:eastAsia="Palatino Linotype" w:hAnsi="Palatino Linotype" w:cs="Palatino Linotype"/>
          <w:i/>
          <w:sz w:val="24"/>
          <w:szCs w:val="24"/>
        </w:rPr>
        <w:t>.</w:t>
      </w:r>
      <w:r>
        <w:rPr>
          <w:rFonts w:ascii="Palatino Linotype" w:eastAsia="Palatino Linotype" w:hAnsi="Palatino Linotype" w:cs="Palatino Linotype"/>
          <w:i/>
          <w:sz w:val="24"/>
          <w:szCs w:val="24"/>
        </w:rPr>
        <w:t>”</w:t>
      </w:r>
    </w:p>
    <w:p w:rsidR="008732AC" w:rsidRDefault="008732AC" w:rsidP="00CE390E">
      <w:pPr>
        <w:tabs>
          <w:tab w:val="left" w:pos="709"/>
        </w:tabs>
        <w:spacing w:after="0" w:line="360" w:lineRule="auto"/>
        <w:ind w:right="49"/>
        <w:jc w:val="both"/>
        <w:rPr>
          <w:rFonts w:ascii="Palatino Linotype" w:eastAsia="Palatino Linotype" w:hAnsi="Palatino Linotype" w:cs="Palatino Linotype"/>
          <w:sz w:val="24"/>
          <w:szCs w:val="24"/>
        </w:rPr>
      </w:pPr>
    </w:p>
    <w:p w:rsidR="009605C2" w:rsidRDefault="009605C2" w:rsidP="00CE390E">
      <w:pPr>
        <w:tabs>
          <w:tab w:val="left" w:pos="709"/>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puede apreciar la Unidad de </w:t>
      </w:r>
      <w:r w:rsidRPr="009605C2">
        <w:rPr>
          <w:rFonts w:ascii="Palatino Linotype" w:eastAsia="Palatino Linotype" w:hAnsi="Palatino Linotype" w:cs="Palatino Linotype"/>
          <w:sz w:val="24"/>
          <w:szCs w:val="24"/>
        </w:rPr>
        <w:t>Control y Bienestar Animal</w:t>
      </w:r>
      <w:r>
        <w:rPr>
          <w:rFonts w:ascii="Palatino Linotype" w:eastAsia="Palatino Linotype" w:hAnsi="Palatino Linotype" w:cs="Palatino Linotype"/>
          <w:sz w:val="24"/>
          <w:szCs w:val="24"/>
        </w:rPr>
        <w:t>, para el cumplimiento de sus funciones puede solicitar la colaboración de la iniciativa privada (que incluye actividades empresariales) o de la sociedad civil, por lo que el sujeto obligado deberá entregar el documento donde conste si se ha solicitado a algún sector de la sociedad civil o empresarial su colaboración para el desempeño de las actividades de la Unidad en menci</w:t>
      </w:r>
      <w:r w:rsidR="00C81EDB">
        <w:rPr>
          <w:rFonts w:ascii="Palatino Linotype" w:eastAsia="Palatino Linotype" w:hAnsi="Palatino Linotype" w:cs="Palatino Linotype"/>
          <w:sz w:val="24"/>
          <w:szCs w:val="24"/>
        </w:rPr>
        <w:t>ón, en beneficio de los animales.</w:t>
      </w:r>
    </w:p>
    <w:p w:rsidR="009605C2" w:rsidRPr="00CE390E" w:rsidRDefault="009605C2" w:rsidP="00CE390E">
      <w:pPr>
        <w:tabs>
          <w:tab w:val="left" w:pos="709"/>
        </w:tabs>
        <w:spacing w:after="0" w:line="360" w:lineRule="auto"/>
        <w:ind w:right="49"/>
        <w:jc w:val="both"/>
        <w:rPr>
          <w:rFonts w:ascii="Palatino Linotype" w:eastAsia="Palatino Linotype" w:hAnsi="Palatino Linotype" w:cs="Palatino Linotype"/>
          <w:sz w:val="24"/>
          <w:szCs w:val="24"/>
        </w:rPr>
      </w:pPr>
    </w:p>
    <w:p w:rsidR="00CE390E" w:rsidRPr="00CE390E" w:rsidRDefault="00566C13" w:rsidP="00CE390E">
      <w:pPr>
        <w:tabs>
          <w:tab w:val="left" w:pos="709"/>
        </w:tabs>
        <w:spacing w:after="0" w:line="360" w:lineRule="auto"/>
        <w:ind w:right="49"/>
        <w:jc w:val="both"/>
        <w:rPr>
          <w:rFonts w:ascii="Palatino Linotype" w:eastAsia="Palatino Linotype" w:hAnsi="Palatino Linotype" w:cs="Palatino Linotype"/>
          <w:sz w:val="24"/>
          <w:szCs w:val="24"/>
        </w:rPr>
      </w:pPr>
      <w:r w:rsidRPr="00CE390E">
        <w:rPr>
          <w:rFonts w:ascii="Palatino Linotype" w:eastAsia="Palatino Linotype" w:hAnsi="Palatino Linotype" w:cs="Palatino Linotype"/>
          <w:sz w:val="24"/>
          <w:szCs w:val="24"/>
        </w:rPr>
        <w:t xml:space="preserve">Así, se puede concluir que existe fuente obligacional suficiente para determinar que </w:t>
      </w:r>
      <w:r w:rsidRPr="00CE390E">
        <w:rPr>
          <w:rFonts w:ascii="Palatino Linotype" w:eastAsia="Palatino Linotype" w:hAnsi="Palatino Linotype" w:cs="Palatino Linotype"/>
          <w:b/>
          <w:sz w:val="24"/>
          <w:szCs w:val="24"/>
        </w:rPr>
        <w:t>EL SUEJTO OBLIGADO</w:t>
      </w:r>
      <w:r w:rsidRPr="00CE390E">
        <w:rPr>
          <w:rFonts w:ascii="Palatino Linotype" w:eastAsia="Palatino Linotype" w:hAnsi="Palatino Linotype" w:cs="Palatino Linotype"/>
          <w:sz w:val="24"/>
          <w:szCs w:val="24"/>
        </w:rPr>
        <w:t xml:space="preserve"> sí es competente para conocer de la información solicitada</w:t>
      </w:r>
      <w:r w:rsidR="00CE390E">
        <w:rPr>
          <w:rFonts w:ascii="Palatino Linotype" w:eastAsia="Palatino Linotype" w:hAnsi="Palatino Linotype" w:cs="Palatino Linotype"/>
          <w:sz w:val="24"/>
          <w:szCs w:val="24"/>
          <w:lang w:val="es-419"/>
        </w:rPr>
        <w:t xml:space="preserve">, </w:t>
      </w:r>
      <w:r w:rsidR="00CE390E" w:rsidRPr="00CE390E">
        <w:rPr>
          <w:rFonts w:ascii="Palatino Linotype" w:eastAsia="Palatino Linotype" w:hAnsi="Palatino Linotype" w:cs="Palatino Linotype"/>
          <w:sz w:val="24"/>
          <w:szCs w:val="24"/>
        </w:rPr>
        <w:t xml:space="preserve">sin embargo, de acuerdo </w:t>
      </w:r>
      <w:r w:rsidR="00F009F2">
        <w:rPr>
          <w:rFonts w:ascii="Palatino Linotype" w:eastAsia="Palatino Linotype" w:hAnsi="Palatino Linotype" w:cs="Palatino Linotype"/>
          <w:sz w:val="24"/>
          <w:szCs w:val="24"/>
        </w:rPr>
        <w:t xml:space="preserve">con </w:t>
      </w:r>
      <w:r w:rsidR="00CE390E" w:rsidRPr="00CE390E">
        <w:rPr>
          <w:rFonts w:ascii="Palatino Linotype" w:eastAsia="Palatino Linotype" w:hAnsi="Palatino Linotype" w:cs="Palatino Linotype"/>
          <w:sz w:val="24"/>
          <w:szCs w:val="24"/>
        </w:rPr>
        <w:t>las constancias que obran en el expediente electrónico del SAIMEX materia del presente asunto, no realizó turno de requerimiento alguno a otra área que pudiera conocer de la información solicitada.</w:t>
      </w:r>
    </w:p>
    <w:p w:rsidR="00CE390E" w:rsidRPr="00CE390E" w:rsidRDefault="00CE390E" w:rsidP="00CE390E">
      <w:pPr>
        <w:tabs>
          <w:tab w:val="left" w:pos="709"/>
        </w:tabs>
        <w:spacing w:after="0" w:line="360" w:lineRule="auto"/>
        <w:ind w:right="49"/>
        <w:jc w:val="both"/>
        <w:rPr>
          <w:rFonts w:ascii="Palatino Linotype" w:eastAsia="Palatino Linotype" w:hAnsi="Palatino Linotype" w:cs="Palatino Linotype"/>
          <w:sz w:val="24"/>
          <w:szCs w:val="24"/>
        </w:rPr>
      </w:pPr>
    </w:p>
    <w:p w:rsidR="00CE390E" w:rsidRDefault="00CE390E" w:rsidP="00CE390E">
      <w:pPr>
        <w:spacing w:after="0" w:line="360" w:lineRule="auto"/>
        <w:jc w:val="both"/>
        <w:rPr>
          <w:rFonts w:ascii="Palatino Linotype" w:eastAsia="Palatino Linotype" w:hAnsi="Palatino Linotype" w:cs="Palatino Linotype"/>
          <w:sz w:val="24"/>
          <w:szCs w:val="24"/>
        </w:rPr>
      </w:pPr>
      <w:r w:rsidRPr="00CE390E">
        <w:rPr>
          <w:rFonts w:ascii="Palatino Linotype" w:eastAsia="Palatino Linotype" w:hAnsi="Palatino Linotype" w:cs="Palatino Linotype"/>
          <w:sz w:val="24"/>
          <w:szCs w:val="24"/>
        </w:rPr>
        <w:t>Por lo que,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CE390E" w:rsidRPr="00CE390E" w:rsidRDefault="00CE390E" w:rsidP="00CE390E">
      <w:pPr>
        <w:spacing w:after="0" w:line="360" w:lineRule="auto"/>
        <w:jc w:val="both"/>
        <w:rPr>
          <w:rFonts w:ascii="Palatino Linotype" w:eastAsia="Palatino Linotype" w:hAnsi="Palatino Linotype" w:cs="Palatino Linotype"/>
          <w:sz w:val="24"/>
          <w:szCs w:val="24"/>
        </w:rPr>
      </w:pP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i/>
          <w:sz w:val="24"/>
          <w:szCs w:val="24"/>
        </w:rPr>
        <w:t>“</w:t>
      </w:r>
      <w:r w:rsidRPr="00CE390E">
        <w:rPr>
          <w:rFonts w:ascii="Palatino Linotype" w:eastAsia="Palatino Linotype" w:hAnsi="Palatino Linotype" w:cs="Palatino Linotype"/>
          <w:b/>
          <w:i/>
          <w:sz w:val="24"/>
          <w:szCs w:val="24"/>
        </w:rPr>
        <w:t>Artículo 3</w:t>
      </w:r>
      <w:r w:rsidRPr="00CE390E">
        <w:rPr>
          <w:rFonts w:ascii="Palatino Linotype" w:eastAsia="Palatino Linotype" w:hAnsi="Palatino Linotype" w:cs="Palatino Linotype"/>
          <w:i/>
          <w:sz w:val="24"/>
          <w:szCs w:val="24"/>
        </w:rPr>
        <w:t xml:space="preserve">. </w:t>
      </w:r>
      <w:r w:rsidRPr="00CE390E">
        <w:rPr>
          <w:rFonts w:ascii="Palatino Linotype" w:eastAsia="Palatino Linotype" w:hAnsi="Palatino Linotype" w:cs="Palatino Linotype"/>
          <w:b/>
          <w:i/>
          <w:sz w:val="24"/>
          <w:szCs w:val="24"/>
          <w:u w:val="single"/>
        </w:rPr>
        <w:t>Para los efectos de la presente Ley se entenderá por</w:t>
      </w:r>
      <w:r w:rsidRPr="00CE390E">
        <w:rPr>
          <w:rFonts w:ascii="Palatino Linotype" w:eastAsia="Palatino Linotype" w:hAnsi="Palatino Linotype" w:cs="Palatino Linotype"/>
          <w:i/>
          <w:sz w:val="24"/>
          <w:szCs w:val="24"/>
        </w:rPr>
        <w:t>: </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b/>
          <w:i/>
          <w:sz w:val="24"/>
          <w:szCs w:val="24"/>
        </w:rPr>
        <w:lastRenderedPageBreak/>
        <w:t>XXXIX</w:t>
      </w:r>
      <w:r w:rsidRPr="00CE390E">
        <w:rPr>
          <w:rFonts w:ascii="Palatino Linotype" w:eastAsia="Palatino Linotype" w:hAnsi="Palatino Linotype" w:cs="Palatino Linotype"/>
          <w:i/>
          <w:sz w:val="24"/>
          <w:szCs w:val="24"/>
        </w:rPr>
        <w:t xml:space="preserve">. </w:t>
      </w:r>
      <w:r w:rsidRPr="00CE390E">
        <w:rPr>
          <w:rFonts w:ascii="Palatino Linotype" w:eastAsia="Palatino Linotype" w:hAnsi="Palatino Linotype" w:cs="Palatino Linotype"/>
          <w:b/>
          <w:i/>
          <w:sz w:val="24"/>
          <w:szCs w:val="24"/>
          <w:u w:val="single"/>
        </w:rPr>
        <w:t>Servidor público habilitado</w:t>
      </w:r>
      <w:r w:rsidRPr="00CE390E">
        <w:rPr>
          <w:rFonts w:ascii="Palatino Linotype" w:eastAsia="Palatino Linotype" w:hAnsi="Palatino Linotype" w:cs="Palatino Linotype"/>
          <w:i/>
          <w:sz w:val="24"/>
          <w:szCs w:val="24"/>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i/>
          <w:sz w:val="24"/>
          <w:szCs w:val="24"/>
        </w:rPr>
        <w:t>…</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b/>
          <w:i/>
          <w:sz w:val="24"/>
          <w:szCs w:val="24"/>
        </w:rPr>
        <w:t>Artículo 50.</w:t>
      </w:r>
      <w:r w:rsidRPr="00CE390E">
        <w:rPr>
          <w:rFonts w:ascii="Palatino Linotype" w:eastAsia="Palatino Linotype" w:hAnsi="Palatino Linotype" w:cs="Palatino Linotype"/>
          <w:i/>
          <w:sz w:val="24"/>
          <w:szCs w:val="24"/>
        </w:rPr>
        <w:t xml:space="preserve"> Los sujetos obligados contarán con un área responsable para la atención de las solicitudes de información, a la que se le denominará Unidad de Transparencia.</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b/>
          <w:i/>
          <w:sz w:val="24"/>
          <w:szCs w:val="24"/>
        </w:rPr>
        <w:t>Artículo 51</w:t>
      </w:r>
      <w:r w:rsidRPr="00CE390E">
        <w:rPr>
          <w:rFonts w:ascii="Palatino Linotype" w:eastAsia="Palatino Linotype" w:hAnsi="Palatino Linotype" w:cs="Palatino Linotype"/>
          <w:i/>
          <w:sz w:val="24"/>
          <w:szCs w:val="24"/>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E390E" w:rsidRPr="00CE390E" w:rsidRDefault="00CE390E" w:rsidP="00CE390E">
      <w:pPr>
        <w:spacing w:after="0" w:line="360" w:lineRule="auto"/>
        <w:ind w:left="567" w:right="618"/>
        <w:jc w:val="both"/>
        <w:rPr>
          <w:rFonts w:ascii="Palatino Linotype" w:eastAsia="Palatino Linotype" w:hAnsi="Palatino Linotype" w:cs="Palatino Linotype"/>
          <w:b/>
          <w:i/>
          <w:sz w:val="24"/>
          <w:szCs w:val="24"/>
        </w:rPr>
      </w:pP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b/>
          <w:i/>
          <w:sz w:val="24"/>
          <w:szCs w:val="24"/>
        </w:rPr>
        <w:t>Artículo 53</w:t>
      </w:r>
      <w:r w:rsidRPr="00CE390E">
        <w:rPr>
          <w:rFonts w:ascii="Palatino Linotype" w:eastAsia="Palatino Linotype" w:hAnsi="Palatino Linotype" w:cs="Palatino Linotype"/>
          <w:i/>
          <w:sz w:val="24"/>
          <w:szCs w:val="24"/>
        </w:rPr>
        <w:t>. Las Unidades de Transparencia tendrán las siguientes funciones:</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b/>
          <w:i/>
          <w:sz w:val="24"/>
          <w:szCs w:val="24"/>
        </w:rPr>
        <w:lastRenderedPageBreak/>
        <w:t xml:space="preserve">II. Recibir, </w:t>
      </w:r>
      <w:r w:rsidRPr="00CE390E">
        <w:rPr>
          <w:rFonts w:ascii="Palatino Linotype" w:eastAsia="Palatino Linotype" w:hAnsi="Palatino Linotype" w:cs="Palatino Linotype"/>
          <w:b/>
          <w:i/>
          <w:sz w:val="24"/>
          <w:szCs w:val="24"/>
          <w:u w:val="single"/>
        </w:rPr>
        <w:t>tramitar</w:t>
      </w:r>
      <w:r w:rsidRPr="00CE390E">
        <w:rPr>
          <w:rFonts w:ascii="Palatino Linotype" w:eastAsia="Palatino Linotype" w:hAnsi="Palatino Linotype" w:cs="Palatino Linotype"/>
          <w:b/>
          <w:i/>
          <w:sz w:val="24"/>
          <w:szCs w:val="24"/>
        </w:rPr>
        <w:t xml:space="preserve"> y dar respuesta a las solicitudes de acceso a la información;</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III. Auxiliar a los particulares en la elaboración de solicitudes de acceso a la información y, en su caso, orientarlos sobre los sujetos obligados competentes conforme a la normatividad aplicable;</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IV. Realizar, con efectividad, los trámites internos necesarios para la atención de las solicitudes de acceso a la información;</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V. Entregar, en su caso, a los particulares la información solicitada;</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VI. Efectuar las notificaciones a los solicitantes;</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VII. Proponer al Comité de Transparencia, los procedimientos internos que aseguren la mayor eficiencia en la gestión de las solicitudes de acceso a la información, conforme a la normatividad aplicable;</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VIII. Proponer a quien preside el Comité de Transparencia, personal habilitado que sea necesario para recibir y dar trámite a las solicitudes de acceso a la información;</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IX. Llevar un registro de las solicitudes de acceso a la información, sus respuestas, resultados, costos de reproducción y envío, resolución a los recursos de revisión que se hayan emitido en contra de sus respuestas y del cumplimiento de las mismas;</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X. Presentar ante el Comité, el proyecto de clasificación de información;</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XI. Promover e implementar políticas de transparencia proactiva procurando su accesibilidad;</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XII. Fomentar la transparencia y accesibilidad al interior del sujeto obligado;</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XIII. Hacer del conocimiento de la instancia competente la probable responsabilidad por el incumplimiento de las obligaciones previstas en la presente Ley; y</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lastRenderedPageBreak/>
        <w:t>XIV. Las demás que resulten necesarias para facilitar el acceso a la información y aquellas que se desprenden de la presente Ley y demás disposiciones jurídicas aplicables.</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E390E" w:rsidRPr="00CE390E" w:rsidRDefault="00CE390E" w:rsidP="00CE390E">
      <w:pPr>
        <w:spacing w:after="0" w:line="360" w:lineRule="auto"/>
        <w:ind w:left="567" w:right="618"/>
        <w:jc w:val="both"/>
        <w:rPr>
          <w:sz w:val="24"/>
          <w:szCs w:val="24"/>
        </w:rPr>
      </w:pPr>
      <w:r w:rsidRPr="00CE390E">
        <w:rPr>
          <w:rFonts w:ascii="Palatino Linotype" w:eastAsia="Palatino Linotype" w:hAnsi="Palatino Linotype" w:cs="Palatino Linotype"/>
          <w:i/>
          <w:sz w:val="24"/>
          <w:szCs w:val="24"/>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E390E" w:rsidRPr="00CE390E" w:rsidRDefault="00CE390E" w:rsidP="00CE390E">
      <w:pPr>
        <w:spacing w:after="0" w:line="360" w:lineRule="auto"/>
        <w:ind w:left="567" w:right="616"/>
        <w:jc w:val="both"/>
        <w:rPr>
          <w:rFonts w:ascii="Palatino Linotype" w:eastAsia="Palatino Linotype" w:hAnsi="Palatino Linotype" w:cs="Palatino Linotype"/>
          <w:b/>
          <w:i/>
          <w:sz w:val="24"/>
          <w:szCs w:val="24"/>
        </w:rPr>
      </w:pP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b/>
          <w:i/>
          <w:sz w:val="24"/>
          <w:szCs w:val="24"/>
        </w:rPr>
        <w:t>Artículo 59</w:t>
      </w:r>
      <w:r w:rsidRPr="00CE390E">
        <w:rPr>
          <w:rFonts w:ascii="Palatino Linotype" w:eastAsia="Palatino Linotype" w:hAnsi="Palatino Linotype" w:cs="Palatino Linotype"/>
          <w:i/>
          <w:sz w:val="24"/>
          <w:szCs w:val="24"/>
        </w:rPr>
        <w:t xml:space="preserve">. </w:t>
      </w:r>
      <w:r w:rsidRPr="00CE390E">
        <w:rPr>
          <w:rFonts w:ascii="Palatino Linotype" w:eastAsia="Palatino Linotype" w:hAnsi="Palatino Linotype" w:cs="Palatino Linotype"/>
          <w:b/>
          <w:i/>
          <w:sz w:val="24"/>
          <w:szCs w:val="24"/>
          <w:u w:val="single"/>
        </w:rPr>
        <w:t>Los servidores públicos habilitados tendrán las funciones siguientes</w:t>
      </w:r>
      <w:r w:rsidRPr="00CE390E">
        <w:rPr>
          <w:rFonts w:ascii="Palatino Linotype" w:eastAsia="Palatino Linotype" w:hAnsi="Palatino Linotype" w:cs="Palatino Linotype"/>
          <w:i/>
          <w:sz w:val="24"/>
          <w:szCs w:val="24"/>
        </w:rPr>
        <w:t>: </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b/>
          <w:i/>
          <w:sz w:val="24"/>
          <w:szCs w:val="24"/>
        </w:rPr>
        <w:t xml:space="preserve">I. </w:t>
      </w:r>
      <w:r w:rsidRPr="00CE390E">
        <w:rPr>
          <w:rFonts w:ascii="Palatino Linotype" w:eastAsia="Palatino Linotype" w:hAnsi="Palatino Linotype" w:cs="Palatino Linotype"/>
          <w:b/>
          <w:i/>
          <w:sz w:val="24"/>
          <w:szCs w:val="24"/>
          <w:u w:val="single"/>
        </w:rPr>
        <w:t>Localizar la información que le solicite la Unidad de Transparencia</w:t>
      </w:r>
      <w:r w:rsidRPr="00CE390E">
        <w:rPr>
          <w:rFonts w:ascii="Palatino Linotype" w:eastAsia="Palatino Linotype" w:hAnsi="Palatino Linotype" w:cs="Palatino Linotype"/>
          <w:i/>
          <w:sz w:val="24"/>
          <w:szCs w:val="24"/>
        </w:rPr>
        <w:t>; </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b/>
          <w:i/>
          <w:sz w:val="24"/>
          <w:szCs w:val="24"/>
        </w:rPr>
        <w:t xml:space="preserve">II. </w:t>
      </w:r>
      <w:r w:rsidRPr="00CE390E">
        <w:rPr>
          <w:rFonts w:ascii="Palatino Linotype" w:eastAsia="Palatino Linotype" w:hAnsi="Palatino Linotype" w:cs="Palatino Linotype"/>
          <w:b/>
          <w:i/>
          <w:sz w:val="24"/>
          <w:szCs w:val="24"/>
          <w:u w:val="single"/>
        </w:rPr>
        <w:t>Proporcionar la información que obre en los archivos y que le sea solicitada por la Unidad de Transparencia</w:t>
      </w:r>
      <w:r w:rsidRPr="00CE390E">
        <w:rPr>
          <w:rFonts w:ascii="Palatino Linotype" w:eastAsia="Palatino Linotype" w:hAnsi="Palatino Linotype" w:cs="Palatino Linotype"/>
          <w:b/>
          <w:i/>
          <w:sz w:val="24"/>
          <w:szCs w:val="24"/>
        </w:rPr>
        <w:t>; </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b/>
          <w:i/>
          <w:sz w:val="24"/>
          <w:szCs w:val="24"/>
        </w:rPr>
        <w:t xml:space="preserve">III. </w:t>
      </w:r>
      <w:r w:rsidRPr="00CE390E">
        <w:rPr>
          <w:rFonts w:ascii="Palatino Linotype" w:eastAsia="Palatino Linotype" w:hAnsi="Palatino Linotype" w:cs="Palatino Linotype"/>
          <w:b/>
          <w:i/>
          <w:sz w:val="24"/>
          <w:szCs w:val="24"/>
          <w:u w:val="single"/>
        </w:rPr>
        <w:t>Apoyar a la Unidad de Transparencia en lo que esta le solicite para el cumplimiento de sus funciones</w:t>
      </w:r>
      <w:r w:rsidRPr="00CE390E">
        <w:rPr>
          <w:rFonts w:ascii="Palatino Linotype" w:eastAsia="Palatino Linotype" w:hAnsi="Palatino Linotype" w:cs="Palatino Linotype"/>
          <w:b/>
          <w:i/>
          <w:sz w:val="24"/>
          <w:szCs w:val="24"/>
        </w:rPr>
        <w:t>; </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b/>
          <w:i/>
          <w:sz w:val="24"/>
          <w:szCs w:val="24"/>
        </w:rPr>
        <w:t>…</w:t>
      </w:r>
      <w:r w:rsidRPr="00CE390E">
        <w:rPr>
          <w:rFonts w:ascii="Palatino Linotype" w:eastAsia="Palatino Linotype" w:hAnsi="Palatino Linotype" w:cs="Palatino Linotype"/>
          <w:i/>
          <w:sz w:val="24"/>
          <w:szCs w:val="24"/>
        </w:rPr>
        <w:t>”</w:t>
      </w:r>
    </w:p>
    <w:p w:rsidR="00CE390E" w:rsidRPr="00CE390E" w:rsidRDefault="00CE390E" w:rsidP="00CE390E">
      <w:pPr>
        <w:spacing w:after="0" w:line="360" w:lineRule="auto"/>
        <w:ind w:left="567" w:right="616"/>
        <w:jc w:val="both"/>
        <w:rPr>
          <w:sz w:val="24"/>
          <w:szCs w:val="24"/>
        </w:rPr>
      </w:pPr>
      <w:r w:rsidRPr="00CE390E">
        <w:rPr>
          <w:rFonts w:ascii="Palatino Linotype" w:eastAsia="Palatino Linotype" w:hAnsi="Palatino Linotype" w:cs="Palatino Linotype"/>
          <w:sz w:val="24"/>
          <w:szCs w:val="24"/>
        </w:rPr>
        <w:lastRenderedPageBreak/>
        <w:t>(Énfasis añadido)</w:t>
      </w:r>
    </w:p>
    <w:p w:rsidR="00CE390E" w:rsidRDefault="00CE390E" w:rsidP="00CE390E">
      <w:pPr>
        <w:spacing w:after="0" w:line="360" w:lineRule="auto"/>
        <w:jc w:val="both"/>
        <w:rPr>
          <w:rFonts w:ascii="Palatino Linotype" w:eastAsia="Palatino Linotype" w:hAnsi="Palatino Linotype" w:cs="Palatino Linotype"/>
          <w:sz w:val="24"/>
          <w:szCs w:val="24"/>
        </w:rPr>
      </w:pPr>
    </w:p>
    <w:p w:rsidR="00CE390E" w:rsidRPr="00CE390E" w:rsidRDefault="00CE390E" w:rsidP="00CE390E">
      <w:pPr>
        <w:spacing w:after="0" w:line="360" w:lineRule="auto"/>
        <w:jc w:val="both"/>
        <w:rPr>
          <w:sz w:val="24"/>
          <w:szCs w:val="24"/>
        </w:rPr>
      </w:pPr>
      <w:r w:rsidRPr="00CE390E">
        <w:rPr>
          <w:rFonts w:ascii="Palatino Linotype" w:eastAsia="Palatino Linotype" w:hAnsi="Palatino Linotype" w:cs="Palatino Linotype"/>
          <w:sz w:val="24"/>
          <w:szCs w:val="24"/>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CE390E" w:rsidRPr="00CE390E" w:rsidRDefault="00CE390E" w:rsidP="00CE390E">
      <w:pPr>
        <w:spacing w:after="0" w:line="360" w:lineRule="auto"/>
        <w:jc w:val="both"/>
        <w:rPr>
          <w:sz w:val="24"/>
          <w:szCs w:val="24"/>
        </w:rPr>
      </w:pPr>
      <w:r w:rsidRPr="00CE390E">
        <w:rPr>
          <w:rFonts w:ascii="Palatino Linotype" w:eastAsia="Palatino Linotype" w:hAnsi="Palatino Linotype" w:cs="Palatino Linotype"/>
          <w:sz w:val="24"/>
          <w:szCs w:val="24"/>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CE390E">
        <w:rPr>
          <w:rFonts w:ascii="Palatino Linotype" w:eastAsia="Palatino Linotype" w:hAnsi="Palatino Linotype" w:cs="Palatino Linotype"/>
          <w:b/>
          <w:sz w:val="24"/>
          <w:szCs w:val="24"/>
        </w:rPr>
        <w:t>SUJETO OBLIGADO</w:t>
      </w:r>
      <w:r w:rsidRPr="00CE390E">
        <w:rPr>
          <w:rFonts w:ascii="Palatino Linotype" w:eastAsia="Palatino Linotype" w:hAnsi="Palatino Linotype" w:cs="Palatino Linotype"/>
          <w:sz w:val="24"/>
          <w:szCs w:val="24"/>
        </w:rPr>
        <w:t>. En esa tesitura, lo procedente es turnar la solicitud a los servidores públicos habilitados que tengan bajo su resguardo la misma, quienes tendrán la función de buscar, localizar y en su caso entregar la información solicitada.</w:t>
      </w:r>
    </w:p>
    <w:p w:rsidR="00CE390E" w:rsidRDefault="00CE390E" w:rsidP="00CE390E">
      <w:pPr>
        <w:spacing w:after="0" w:line="360" w:lineRule="auto"/>
        <w:jc w:val="both"/>
        <w:rPr>
          <w:rFonts w:ascii="Palatino Linotype" w:eastAsia="Palatino Linotype" w:hAnsi="Palatino Linotype" w:cs="Palatino Linotype"/>
          <w:sz w:val="24"/>
          <w:szCs w:val="24"/>
        </w:rPr>
      </w:pPr>
      <w:r w:rsidRPr="00CE390E">
        <w:rPr>
          <w:rFonts w:ascii="Palatino Linotype" w:eastAsia="Palatino Linotype" w:hAnsi="Palatino Linotype" w:cs="Palatino Linotype"/>
          <w:sz w:val="24"/>
          <w:szCs w:val="24"/>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CE390E" w:rsidRPr="00CE390E" w:rsidRDefault="00CE390E" w:rsidP="00CE390E">
      <w:pPr>
        <w:spacing w:after="0" w:line="360" w:lineRule="auto"/>
        <w:jc w:val="both"/>
        <w:rPr>
          <w:rFonts w:ascii="Palatino Linotype" w:eastAsia="Palatino Linotype" w:hAnsi="Palatino Linotype" w:cs="Palatino Linotype"/>
          <w:sz w:val="24"/>
          <w:szCs w:val="24"/>
        </w:rPr>
      </w:pPr>
    </w:p>
    <w:p w:rsidR="00566C13" w:rsidRPr="00CE390E" w:rsidRDefault="00CE390E" w:rsidP="00CE390E">
      <w:pPr>
        <w:spacing w:after="0" w:line="360" w:lineRule="auto"/>
        <w:jc w:val="both"/>
        <w:rPr>
          <w:rFonts w:ascii="Palatino Linotype" w:eastAsia="Times New Roman" w:hAnsi="Palatino Linotype" w:cs="Arial"/>
          <w:sz w:val="24"/>
          <w:szCs w:val="24"/>
          <w:lang w:val="es-419" w:eastAsia="es-ES"/>
        </w:rPr>
      </w:pPr>
      <w:r w:rsidRPr="00CE390E">
        <w:rPr>
          <w:rFonts w:ascii="Palatino Linotype" w:eastAsia="Palatino Linotype" w:hAnsi="Palatino Linotype" w:cs="Palatino Linotype"/>
          <w:sz w:val="24"/>
          <w:szCs w:val="24"/>
        </w:rPr>
        <w:t xml:space="preserve">Así, respecto de la información solicitada por </w:t>
      </w:r>
      <w:r w:rsidRPr="00CE390E">
        <w:rPr>
          <w:rFonts w:ascii="Palatino Linotype" w:eastAsia="Palatino Linotype" w:hAnsi="Palatino Linotype" w:cs="Palatino Linotype"/>
          <w:b/>
          <w:sz w:val="24"/>
          <w:szCs w:val="24"/>
        </w:rPr>
        <w:t>EL RECURRENTE</w:t>
      </w:r>
      <w:r w:rsidRPr="00CE390E">
        <w:rPr>
          <w:rFonts w:ascii="Palatino Linotype" w:eastAsia="Palatino Linotype" w:hAnsi="Palatino Linotype" w:cs="Palatino Linotype"/>
          <w:sz w:val="24"/>
          <w:szCs w:val="24"/>
        </w:rPr>
        <w:t xml:space="preserve">, se advierte que el Titular de la Unidad de Transparencia del </w:t>
      </w:r>
      <w:r w:rsidRPr="00CE390E">
        <w:rPr>
          <w:rFonts w:ascii="Palatino Linotype" w:eastAsia="Palatino Linotype" w:hAnsi="Palatino Linotype" w:cs="Palatino Linotype"/>
          <w:b/>
          <w:sz w:val="24"/>
          <w:szCs w:val="24"/>
        </w:rPr>
        <w:t>SUJETO OBLIGADO</w:t>
      </w:r>
      <w:r w:rsidRPr="00CE390E">
        <w:rPr>
          <w:rFonts w:ascii="Palatino Linotype" w:eastAsia="Palatino Linotype" w:hAnsi="Palatino Linotype" w:cs="Palatino Linotype"/>
          <w:sz w:val="24"/>
          <w:szCs w:val="24"/>
        </w:rPr>
        <w:t xml:space="preserve">, en términos del artículo 162 de la Ley de Transparencia y Acceso a la Información Pública del Estado de México y Municipios, debió requerir la información </w:t>
      </w:r>
      <w:r>
        <w:rPr>
          <w:rFonts w:ascii="Palatino Linotype" w:eastAsia="Palatino Linotype" w:hAnsi="Palatino Linotype" w:cs="Palatino Linotype"/>
          <w:sz w:val="24"/>
          <w:szCs w:val="24"/>
        </w:rPr>
        <w:t>a las áreas idóneas para genera</w:t>
      </w:r>
      <w:r>
        <w:rPr>
          <w:rFonts w:ascii="Palatino Linotype" w:eastAsia="Palatino Linotype" w:hAnsi="Palatino Linotype" w:cs="Palatino Linotype"/>
          <w:sz w:val="24"/>
          <w:szCs w:val="24"/>
          <w:lang w:val="es-419"/>
        </w:rPr>
        <w:t xml:space="preserve">r, </w:t>
      </w:r>
      <w:r w:rsidRPr="00CE390E">
        <w:rPr>
          <w:rFonts w:ascii="Palatino Linotype" w:eastAsia="Palatino Linotype" w:hAnsi="Palatino Linotype" w:cs="Palatino Linotype"/>
          <w:sz w:val="24"/>
          <w:szCs w:val="24"/>
        </w:rPr>
        <w:t>poseer, archivar, conservar, manejar o administrar la información.</w:t>
      </w:r>
    </w:p>
    <w:p w:rsidR="00CE390E" w:rsidRPr="00267DA6" w:rsidRDefault="00CE390E" w:rsidP="00267DA6">
      <w:pPr>
        <w:spacing w:after="0" w:line="360" w:lineRule="auto"/>
        <w:jc w:val="both"/>
        <w:rPr>
          <w:rFonts w:ascii="Palatino Linotype" w:eastAsia="Palatino Linotype" w:hAnsi="Palatino Linotype" w:cs="Palatino Linotype"/>
          <w:sz w:val="24"/>
          <w:szCs w:val="24"/>
        </w:rPr>
      </w:pPr>
    </w:p>
    <w:p w:rsidR="00CE390E" w:rsidRPr="00267DA6" w:rsidRDefault="00267DA6" w:rsidP="00267DA6">
      <w:pPr>
        <w:spacing w:after="0" w:line="360" w:lineRule="auto"/>
        <w:jc w:val="both"/>
        <w:rPr>
          <w:rFonts w:ascii="Palatino Linotype" w:eastAsia="Palatino Linotype" w:hAnsi="Palatino Linotype" w:cs="Palatino Linotype"/>
          <w:sz w:val="24"/>
          <w:szCs w:val="24"/>
        </w:rPr>
      </w:pPr>
      <w:r w:rsidRPr="00267DA6">
        <w:rPr>
          <w:rFonts w:ascii="Palatino Linotype" w:eastAsia="Palatino Linotype" w:hAnsi="Palatino Linotype" w:cs="Palatino Linotype"/>
          <w:sz w:val="24"/>
          <w:szCs w:val="24"/>
        </w:rPr>
        <w:t xml:space="preserve">Bajo esa perspectiva, el Bando Municipal de </w:t>
      </w:r>
      <w:r>
        <w:rPr>
          <w:rFonts w:ascii="Palatino Linotype" w:eastAsia="Palatino Linotype" w:hAnsi="Palatino Linotype" w:cs="Palatino Linotype"/>
          <w:sz w:val="24"/>
          <w:szCs w:val="24"/>
          <w:lang w:val="es-419"/>
        </w:rPr>
        <w:t>Villa de Allende</w:t>
      </w:r>
      <w:r w:rsidRPr="00267DA6">
        <w:rPr>
          <w:rFonts w:ascii="Palatino Linotype" w:eastAsia="Palatino Linotype" w:hAnsi="Palatino Linotype" w:cs="Palatino Linotype"/>
          <w:sz w:val="24"/>
          <w:szCs w:val="24"/>
        </w:rPr>
        <w:t xml:space="preserve"> </w:t>
      </w:r>
      <w:r w:rsidR="003F1002">
        <w:rPr>
          <w:rFonts w:ascii="Palatino Linotype" w:eastAsia="Palatino Linotype" w:hAnsi="Palatino Linotype" w:cs="Palatino Linotype"/>
          <w:sz w:val="24"/>
          <w:szCs w:val="24"/>
          <w:lang w:val="es-419"/>
        </w:rPr>
        <w:t>contempla lo siguiente:</w:t>
      </w:r>
    </w:p>
    <w:p w:rsidR="00267DA6" w:rsidRDefault="00267DA6" w:rsidP="00CE390E">
      <w:pPr>
        <w:tabs>
          <w:tab w:val="left" w:pos="7938"/>
        </w:tabs>
        <w:spacing w:after="0" w:line="360" w:lineRule="auto"/>
        <w:jc w:val="both"/>
        <w:rPr>
          <w:rFonts w:ascii="Palatino Linotype" w:eastAsia="Times New Roman" w:hAnsi="Palatino Linotype" w:cs="Arial"/>
          <w:sz w:val="24"/>
          <w:szCs w:val="24"/>
          <w:lang w:val="es-419" w:eastAsia="es-ES"/>
        </w:rPr>
      </w:pPr>
    </w:p>
    <w:p w:rsidR="00267DA6" w:rsidRDefault="003F1002" w:rsidP="003F1002">
      <w:pPr>
        <w:spacing w:after="0" w:line="360" w:lineRule="auto"/>
        <w:ind w:left="567" w:right="618"/>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lang w:val="es-419"/>
        </w:rPr>
        <w:t>“</w:t>
      </w:r>
      <w:r w:rsidR="00267DA6" w:rsidRPr="003F1002">
        <w:rPr>
          <w:rFonts w:ascii="Palatino Linotype" w:eastAsia="Palatino Linotype" w:hAnsi="Palatino Linotype" w:cs="Palatino Linotype"/>
          <w:i/>
          <w:sz w:val="24"/>
          <w:szCs w:val="24"/>
        </w:rPr>
        <w:t>Artículo 59. El Ayuntamiento para atender y en su caso resolver los asuntos de su competencia, funcionará en Pleno y mediante Comisiones Edilicias, siendo éstas las siguientes:</w:t>
      </w:r>
    </w:p>
    <w:p w:rsidR="003F1002" w:rsidRPr="003F1002" w:rsidRDefault="003F1002" w:rsidP="003F1002">
      <w:pPr>
        <w:spacing w:after="0" w:line="360" w:lineRule="auto"/>
        <w:ind w:left="567" w:right="618"/>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w:t>
      </w:r>
    </w:p>
    <w:p w:rsidR="003F1002" w:rsidRPr="003F1002" w:rsidRDefault="003F1002" w:rsidP="003F1002">
      <w:pPr>
        <w:spacing w:after="0" w:line="360" w:lineRule="auto"/>
        <w:ind w:left="567" w:right="618"/>
        <w:jc w:val="both"/>
        <w:rPr>
          <w:rFonts w:ascii="Palatino Linotype" w:eastAsia="Palatino Linotype" w:hAnsi="Palatino Linotype" w:cs="Palatino Linotype"/>
          <w:i/>
          <w:sz w:val="24"/>
          <w:szCs w:val="24"/>
          <w:lang w:val="es-419"/>
        </w:rPr>
      </w:pPr>
      <w:r w:rsidRPr="003F1002">
        <w:rPr>
          <w:rFonts w:ascii="Palatino Linotype" w:eastAsia="Palatino Linotype" w:hAnsi="Palatino Linotype" w:cs="Palatino Linotype"/>
          <w:i/>
          <w:sz w:val="24"/>
          <w:szCs w:val="24"/>
        </w:rPr>
        <w:t>XXXII. De la Protección y Bienestar Animal</w:t>
      </w:r>
      <w:r>
        <w:rPr>
          <w:rFonts w:ascii="Palatino Linotype" w:eastAsia="Palatino Linotype" w:hAnsi="Palatino Linotype" w:cs="Palatino Linotype"/>
          <w:i/>
          <w:sz w:val="24"/>
          <w:szCs w:val="24"/>
          <w:lang w:val="es-419"/>
        </w:rPr>
        <w:t>”</w:t>
      </w:r>
    </w:p>
    <w:p w:rsidR="00CE390E" w:rsidRDefault="00CE390E" w:rsidP="003F1002">
      <w:pPr>
        <w:tabs>
          <w:tab w:val="left" w:pos="7938"/>
        </w:tabs>
        <w:spacing w:after="0" w:line="360" w:lineRule="auto"/>
        <w:jc w:val="both"/>
        <w:rPr>
          <w:rFonts w:ascii="Palatino Linotype" w:eastAsia="Times New Roman" w:hAnsi="Palatino Linotype" w:cs="Arial"/>
          <w:sz w:val="24"/>
          <w:szCs w:val="24"/>
          <w:lang w:val="es-419" w:eastAsia="es-ES"/>
        </w:rPr>
      </w:pPr>
    </w:p>
    <w:p w:rsidR="00566C13" w:rsidRPr="003F1002" w:rsidRDefault="003F1002" w:rsidP="003F1002">
      <w:pPr>
        <w:tabs>
          <w:tab w:val="left" w:pos="7938"/>
        </w:tabs>
        <w:spacing w:after="0" w:line="360" w:lineRule="auto"/>
        <w:jc w:val="both"/>
        <w:rPr>
          <w:rFonts w:ascii="Palatino Linotype" w:eastAsia="Times New Roman" w:hAnsi="Palatino Linotype" w:cs="Arial"/>
          <w:sz w:val="24"/>
          <w:szCs w:val="24"/>
          <w:lang w:val="es-419" w:eastAsia="es-ES"/>
        </w:rPr>
      </w:pPr>
      <w:r w:rsidRPr="003F1002">
        <w:rPr>
          <w:rFonts w:ascii="Palatino Linotype" w:eastAsia="Palatino Linotype" w:hAnsi="Palatino Linotype" w:cs="Palatino Linotype"/>
          <w:sz w:val="24"/>
          <w:szCs w:val="24"/>
        </w:rPr>
        <w:t xml:space="preserve">Luego entonces, es posible concluir que la respuesta dada por </w:t>
      </w:r>
      <w:r w:rsidRPr="003F1002">
        <w:rPr>
          <w:rFonts w:ascii="Palatino Linotype" w:eastAsia="Palatino Linotype" w:hAnsi="Palatino Linotype" w:cs="Palatino Linotype"/>
          <w:b/>
          <w:sz w:val="24"/>
          <w:szCs w:val="24"/>
        </w:rPr>
        <w:t>EL SUJETO OBLIGADO</w:t>
      </w:r>
      <w:r w:rsidRPr="003F1002">
        <w:rPr>
          <w:rFonts w:ascii="Palatino Linotype" w:eastAsia="Palatino Linotype" w:hAnsi="Palatino Linotype" w:cs="Palatino Linotype"/>
          <w:sz w:val="24"/>
          <w:szCs w:val="24"/>
        </w:rPr>
        <w:t xml:space="preserve"> no satisface el derecho de acceso a la información del particular, toda vez que no se realizó un requerimiento  al área idónea para conocer la información.</w:t>
      </w:r>
    </w:p>
    <w:p w:rsidR="003F1002" w:rsidRPr="003F1002" w:rsidRDefault="003F1002" w:rsidP="003F1002">
      <w:pPr>
        <w:tabs>
          <w:tab w:val="left" w:pos="709"/>
        </w:tabs>
        <w:spacing w:after="0" w:line="360" w:lineRule="auto"/>
        <w:ind w:right="49"/>
        <w:jc w:val="both"/>
        <w:rPr>
          <w:rFonts w:ascii="Palatino Linotype" w:eastAsia="Palatino Linotype" w:hAnsi="Palatino Linotype" w:cs="Palatino Linotype"/>
          <w:sz w:val="24"/>
          <w:szCs w:val="24"/>
        </w:rPr>
      </w:pPr>
    </w:p>
    <w:p w:rsidR="003F1002" w:rsidRDefault="003F1002" w:rsidP="003F1002">
      <w:pPr>
        <w:spacing w:after="0" w:line="360" w:lineRule="auto"/>
        <w:jc w:val="both"/>
        <w:rPr>
          <w:rFonts w:ascii="Palatino Linotype" w:eastAsia="Palatino Linotype" w:hAnsi="Palatino Linotype" w:cs="Palatino Linotype"/>
          <w:sz w:val="24"/>
          <w:szCs w:val="24"/>
        </w:rPr>
      </w:pPr>
      <w:r w:rsidRPr="003F1002">
        <w:rPr>
          <w:rFonts w:ascii="Palatino Linotype" w:eastAsia="Palatino Linotype" w:hAnsi="Palatino Linotype" w:cs="Palatino Linotype"/>
          <w:sz w:val="24"/>
          <w:szCs w:val="24"/>
        </w:rPr>
        <w:t xml:space="preserve">Así en consecuencia, este Instituto determina que las razones o motivos esgrimidos por el particular en la interposición del Recurso de Revisión número </w:t>
      </w:r>
      <w:r>
        <w:rPr>
          <w:rFonts w:ascii="Palatino Linotype" w:eastAsia="Palatino Linotype" w:hAnsi="Palatino Linotype" w:cs="Palatino Linotype"/>
          <w:b/>
          <w:sz w:val="24"/>
          <w:szCs w:val="24"/>
          <w:lang w:val="es-419"/>
        </w:rPr>
        <w:t>13915</w:t>
      </w:r>
      <w:r w:rsidRPr="003F1002">
        <w:rPr>
          <w:rFonts w:ascii="Palatino Linotype" w:eastAsia="Palatino Linotype" w:hAnsi="Palatino Linotype" w:cs="Palatino Linotype"/>
          <w:b/>
          <w:sz w:val="24"/>
          <w:szCs w:val="24"/>
        </w:rPr>
        <w:t>/INFOEM/IP/RR/2022</w:t>
      </w:r>
      <w:r w:rsidRPr="003F1002">
        <w:rPr>
          <w:rFonts w:ascii="Palatino Linotype" w:eastAsia="Palatino Linotype" w:hAnsi="Palatino Linotype" w:cs="Palatino Linotype"/>
          <w:sz w:val="24"/>
          <w:szCs w:val="24"/>
        </w:rPr>
        <w:t xml:space="preserve"> devienen fundados y por tanto se </w:t>
      </w:r>
      <w:r w:rsidRPr="003F1002">
        <w:rPr>
          <w:rFonts w:ascii="Palatino Linotype" w:eastAsia="Palatino Linotype" w:hAnsi="Palatino Linotype" w:cs="Palatino Linotype"/>
          <w:b/>
          <w:sz w:val="24"/>
          <w:szCs w:val="24"/>
        </w:rPr>
        <w:t xml:space="preserve">ORDENA </w:t>
      </w:r>
      <w:r w:rsidRPr="003F1002">
        <w:rPr>
          <w:rFonts w:ascii="Palatino Linotype" w:eastAsia="Palatino Linotype" w:hAnsi="Palatino Linotype" w:cs="Palatino Linotype"/>
          <w:sz w:val="24"/>
          <w:szCs w:val="24"/>
        </w:rPr>
        <w:t xml:space="preserve">al </w:t>
      </w:r>
      <w:r w:rsidRPr="003F1002">
        <w:rPr>
          <w:rFonts w:ascii="Palatino Linotype" w:eastAsia="Palatino Linotype" w:hAnsi="Palatino Linotype" w:cs="Palatino Linotype"/>
          <w:b/>
          <w:sz w:val="24"/>
          <w:szCs w:val="24"/>
        </w:rPr>
        <w:t xml:space="preserve">SUJETO OBLIGADO </w:t>
      </w:r>
      <w:r w:rsidRPr="003F1002">
        <w:rPr>
          <w:rFonts w:ascii="Palatino Linotype" w:eastAsia="Palatino Linotype" w:hAnsi="Palatino Linotype" w:cs="Palatino Linotype"/>
          <w:sz w:val="24"/>
          <w:szCs w:val="24"/>
        </w:rPr>
        <w:t>que</w:t>
      </w:r>
      <w:r w:rsidRPr="003F1002">
        <w:rPr>
          <w:rFonts w:ascii="Palatino Linotype" w:eastAsia="Palatino Linotype" w:hAnsi="Palatino Linotype" w:cs="Palatino Linotype"/>
          <w:b/>
          <w:sz w:val="24"/>
          <w:szCs w:val="24"/>
        </w:rPr>
        <w:t xml:space="preserve"> </w:t>
      </w:r>
      <w:r w:rsidRPr="003F1002">
        <w:rPr>
          <w:rFonts w:ascii="Palatino Linotype" w:eastAsia="Palatino Linotype" w:hAnsi="Palatino Linotype" w:cs="Palatino Linotype"/>
          <w:sz w:val="24"/>
          <w:szCs w:val="24"/>
        </w:rPr>
        <w:t>lleve a cabo una búsqueda exhaustiva y razonable en las áreas competentes del soporte documental de ser necesario e</w:t>
      </w:r>
      <w:r w:rsidR="00A7681D">
        <w:rPr>
          <w:rFonts w:ascii="Palatino Linotype" w:eastAsia="Palatino Linotype" w:hAnsi="Palatino Linotype" w:cs="Palatino Linotype"/>
          <w:sz w:val="24"/>
          <w:szCs w:val="24"/>
        </w:rPr>
        <w:t>n versión pública, donde conste</w:t>
      </w:r>
      <w:r w:rsidRPr="003F1002">
        <w:rPr>
          <w:rFonts w:ascii="Palatino Linotype" w:eastAsia="Palatino Linotype" w:hAnsi="Palatino Linotype" w:cs="Palatino Linotype"/>
          <w:sz w:val="24"/>
          <w:szCs w:val="24"/>
        </w:rPr>
        <w:t xml:space="preserve"> lo siguiente:</w:t>
      </w:r>
    </w:p>
    <w:p w:rsidR="003F1002" w:rsidRPr="003F1002" w:rsidRDefault="003F1002" w:rsidP="003F1002">
      <w:pPr>
        <w:spacing w:after="0" w:line="360" w:lineRule="auto"/>
        <w:jc w:val="both"/>
        <w:rPr>
          <w:rFonts w:ascii="Palatino Linotype" w:eastAsia="Palatino Linotype" w:hAnsi="Palatino Linotype" w:cs="Palatino Linotype"/>
          <w:sz w:val="24"/>
          <w:szCs w:val="24"/>
        </w:rPr>
      </w:pPr>
    </w:p>
    <w:p w:rsidR="003F1002" w:rsidRPr="003F1002" w:rsidRDefault="003F1002" w:rsidP="003F1002">
      <w:pPr>
        <w:numPr>
          <w:ilvl w:val="0"/>
          <w:numId w:val="25"/>
        </w:numPr>
        <w:spacing w:after="0" w:line="360" w:lineRule="auto"/>
        <w:jc w:val="both"/>
        <w:rPr>
          <w:rFonts w:ascii="Palatino Linotype" w:eastAsia="Palatino Linotype" w:hAnsi="Palatino Linotype" w:cs="Palatino Linotype"/>
          <w:sz w:val="24"/>
          <w:szCs w:val="24"/>
        </w:rPr>
      </w:pPr>
      <w:r w:rsidRPr="003F1002">
        <w:rPr>
          <w:rFonts w:ascii="Palatino Linotype" w:eastAsia="Palatino Linotype" w:hAnsi="Palatino Linotype" w:cs="Palatino Linotype"/>
          <w:sz w:val="24"/>
          <w:szCs w:val="24"/>
        </w:rPr>
        <w:t xml:space="preserve">Respecto de la Unidad Municipal de Control y Bienestar Animal: </w:t>
      </w:r>
    </w:p>
    <w:p w:rsidR="003F1002" w:rsidRPr="003F1002" w:rsidRDefault="003F1002" w:rsidP="003F1002">
      <w:pPr>
        <w:spacing w:after="0" w:line="360" w:lineRule="auto"/>
        <w:ind w:left="360"/>
        <w:jc w:val="both"/>
        <w:rPr>
          <w:rFonts w:ascii="Palatino Linotype" w:eastAsia="Palatino Linotype" w:hAnsi="Palatino Linotype" w:cs="Palatino Linotype"/>
          <w:i/>
          <w:sz w:val="24"/>
          <w:szCs w:val="24"/>
        </w:rPr>
      </w:pP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Currículum Vitae del Titular;</w:t>
      </w:r>
    </w:p>
    <w:p w:rsid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Acta de cabildo mediante la cual se aprobó su creación</w:t>
      </w:r>
      <w:r w:rsidR="00A7681D">
        <w:rPr>
          <w:rFonts w:ascii="Palatino Linotype" w:eastAsia="Palatino Linotype" w:hAnsi="Palatino Linotype" w:cs="Palatino Linotype"/>
          <w:i/>
          <w:sz w:val="24"/>
          <w:szCs w:val="24"/>
        </w:rPr>
        <w:t>;</w:t>
      </w:r>
      <w:r w:rsidRPr="003F1002">
        <w:rPr>
          <w:rFonts w:ascii="Palatino Linotype" w:eastAsia="Palatino Linotype" w:hAnsi="Palatino Linotype" w:cs="Palatino Linotype"/>
          <w:i/>
          <w:sz w:val="24"/>
          <w:szCs w:val="24"/>
        </w:rPr>
        <w:t xml:space="preserve"> </w:t>
      </w:r>
    </w:p>
    <w:p w:rsidR="00501025" w:rsidRPr="00501025" w:rsidRDefault="00446E92" w:rsidP="003F1002">
      <w:pPr>
        <w:numPr>
          <w:ilvl w:val="1"/>
          <w:numId w:val="25"/>
        </w:numPr>
        <w:spacing w:after="0" w:line="360" w:lineRule="auto"/>
        <w:jc w:val="both"/>
        <w:rPr>
          <w:rFonts w:ascii="Palatino Linotype" w:eastAsia="Palatino Linotype" w:hAnsi="Palatino Linotype" w:cs="Palatino Linotype"/>
          <w:i/>
          <w:sz w:val="24"/>
          <w:szCs w:val="24"/>
        </w:rPr>
      </w:pPr>
      <w:r w:rsidRPr="00FC0DD4">
        <w:rPr>
          <w:rFonts w:ascii="Palatino Linotype" w:eastAsia="Palatino Linotype" w:hAnsi="Palatino Linotype" w:cs="Palatino Linotype"/>
          <w:i/>
        </w:rPr>
        <w:t xml:space="preserve">Acta </w:t>
      </w:r>
      <w:r w:rsidR="00954115">
        <w:rPr>
          <w:rFonts w:ascii="Palatino Linotype" w:eastAsia="Palatino Linotype" w:hAnsi="Palatino Linotype" w:cs="Palatino Linotype"/>
          <w:i/>
        </w:rPr>
        <w:t>Cabildo mediante la cual se aprobó la creación</w:t>
      </w:r>
      <w:r w:rsidR="00954115" w:rsidRPr="00FC0DD4">
        <w:rPr>
          <w:rFonts w:ascii="Palatino Linotype" w:eastAsia="Palatino Linotype" w:hAnsi="Palatino Linotype" w:cs="Palatino Linotype"/>
          <w:i/>
        </w:rPr>
        <w:t xml:space="preserve"> </w:t>
      </w:r>
      <w:r w:rsidRPr="00FC0DD4">
        <w:rPr>
          <w:rFonts w:ascii="Palatino Linotype" w:eastAsia="Palatino Linotype" w:hAnsi="Palatino Linotype" w:cs="Palatino Linotype"/>
          <w:i/>
        </w:rPr>
        <w:t>del Consejo</w:t>
      </w:r>
      <w:r w:rsidR="00954115">
        <w:rPr>
          <w:rFonts w:ascii="Palatino Linotype" w:eastAsia="Palatino Linotype" w:hAnsi="Palatino Linotype" w:cs="Palatino Linotype"/>
          <w:i/>
        </w:rPr>
        <w:t xml:space="preserve"> Municipal de Control y Bienestar Animal;</w:t>
      </w:r>
    </w:p>
    <w:p w:rsid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lastRenderedPageBreak/>
        <w:t>Partida presupuestal destinada para el funcionamiento</w:t>
      </w:r>
      <w:r w:rsidR="00F53172">
        <w:rPr>
          <w:rFonts w:ascii="Palatino Linotype" w:eastAsia="Palatino Linotype" w:hAnsi="Palatino Linotype" w:cs="Palatino Linotype"/>
          <w:i/>
          <w:sz w:val="24"/>
          <w:szCs w:val="24"/>
          <w:lang w:val="es-419"/>
        </w:rPr>
        <w:t xml:space="preserve"> de la Unidad de Control y Bienestar Animal</w:t>
      </w:r>
      <w:r w:rsidRPr="003F1002">
        <w:rPr>
          <w:rFonts w:ascii="Palatino Linotype" w:eastAsia="Palatino Linotype" w:hAnsi="Palatino Linotype" w:cs="Palatino Linotype"/>
          <w:i/>
          <w:sz w:val="24"/>
          <w:szCs w:val="24"/>
        </w:rPr>
        <w:t>;</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Actividades desarrolladas;</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Plan Anual de Trabajo</w:t>
      </w:r>
      <w:r w:rsidR="00954115">
        <w:rPr>
          <w:rFonts w:ascii="Palatino Linotype" w:eastAsia="Palatino Linotype" w:hAnsi="Palatino Linotype" w:cs="Palatino Linotype"/>
          <w:i/>
          <w:sz w:val="24"/>
          <w:szCs w:val="24"/>
        </w:rPr>
        <w:t>;</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Número de esterilizaciones mensuales realizadas;</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Número de servicios otorgados del primero de enero al once de agosto de dos mil veintidós;</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Documento donde consten las características que tiene el área destinada donde se encuentra la Unidad</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 xml:space="preserve">Organigrama </w:t>
      </w:r>
      <w:r w:rsidR="00954115">
        <w:rPr>
          <w:rFonts w:ascii="Palatino Linotype" w:eastAsia="Palatino Linotype" w:hAnsi="Palatino Linotype" w:cs="Palatino Linotype"/>
          <w:i/>
          <w:sz w:val="24"/>
          <w:szCs w:val="24"/>
        </w:rPr>
        <w:t>v</w:t>
      </w:r>
      <w:r w:rsidRPr="003F1002">
        <w:rPr>
          <w:rFonts w:ascii="Palatino Linotype" w:eastAsia="Palatino Linotype" w:hAnsi="Palatino Linotype" w:cs="Palatino Linotype"/>
          <w:i/>
          <w:sz w:val="24"/>
          <w:szCs w:val="24"/>
        </w:rPr>
        <w:t>igente que contenga a la Unidad y su estructura;</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Servidores públicos adscritos;</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 xml:space="preserve">Capacitaciones otorgadas al personal de la Unidad. </w:t>
      </w:r>
    </w:p>
    <w:p w:rsid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Código de Bioética vigente;</w:t>
      </w:r>
    </w:p>
    <w:p w:rsidR="009A2B60" w:rsidRPr="003F6D9F" w:rsidRDefault="009A2B60" w:rsidP="003F1002">
      <w:pPr>
        <w:numPr>
          <w:ilvl w:val="1"/>
          <w:numId w:val="25"/>
        </w:numPr>
        <w:spacing w:after="0" w:line="360" w:lineRule="auto"/>
        <w:jc w:val="both"/>
        <w:rPr>
          <w:rFonts w:ascii="Palatino Linotype" w:eastAsia="Palatino Linotype" w:hAnsi="Palatino Linotype" w:cs="Palatino Linotype"/>
          <w:i/>
          <w:sz w:val="24"/>
          <w:szCs w:val="24"/>
          <w:lang w:val="es-419"/>
        </w:rPr>
      </w:pPr>
      <w:r>
        <w:rPr>
          <w:rFonts w:ascii="Palatino Linotype" w:eastAsia="Palatino Linotype" w:hAnsi="Palatino Linotype" w:cs="Palatino Linotype"/>
          <w:i/>
          <w:sz w:val="24"/>
          <w:szCs w:val="24"/>
          <w:lang w:val="es-419"/>
        </w:rPr>
        <w:t xml:space="preserve"> </w:t>
      </w:r>
      <w:r w:rsidRPr="009A2B60">
        <w:rPr>
          <w:rFonts w:ascii="Palatino Linotype" w:eastAsia="Palatino Linotype" w:hAnsi="Palatino Linotype" w:cs="Palatino Linotype"/>
          <w:i/>
          <w:sz w:val="24"/>
          <w:szCs w:val="24"/>
        </w:rPr>
        <w:t xml:space="preserve">En caso de no haber integrado la Unidad de Control o el Consejo Municipal, </w:t>
      </w:r>
      <w:r>
        <w:rPr>
          <w:rFonts w:ascii="Palatino Linotype" w:eastAsia="Palatino Linotype" w:hAnsi="Palatino Linotype" w:cs="Palatino Linotype"/>
          <w:i/>
          <w:sz w:val="24"/>
          <w:szCs w:val="24"/>
          <w:lang w:val="es-419"/>
        </w:rPr>
        <w:t xml:space="preserve">entregar documento donde consten </w:t>
      </w:r>
      <w:r w:rsidRPr="003F6D9F">
        <w:rPr>
          <w:rFonts w:ascii="Palatino Linotype" w:eastAsia="Palatino Linotype" w:hAnsi="Palatino Linotype" w:cs="Palatino Linotype"/>
          <w:i/>
          <w:sz w:val="24"/>
          <w:szCs w:val="24"/>
          <w:lang w:val="es-419"/>
        </w:rPr>
        <w:t>las justificaciones</w:t>
      </w:r>
      <w:r>
        <w:rPr>
          <w:rFonts w:ascii="Palatino Linotype" w:eastAsia="Palatino Linotype" w:hAnsi="Palatino Linotype" w:cs="Palatino Linotype"/>
          <w:i/>
          <w:sz w:val="24"/>
          <w:szCs w:val="24"/>
          <w:lang w:val="es-419"/>
        </w:rPr>
        <w:t xml:space="preserve"> para que no </w:t>
      </w:r>
      <w:proofErr w:type="spellStart"/>
      <w:r>
        <w:rPr>
          <w:rFonts w:ascii="Palatino Linotype" w:eastAsia="Palatino Linotype" w:hAnsi="Palatino Linotype" w:cs="Palatino Linotype"/>
          <w:i/>
          <w:sz w:val="24"/>
          <w:szCs w:val="24"/>
          <w:lang w:val="es-419"/>
        </w:rPr>
        <w:t>este</w:t>
      </w:r>
      <w:proofErr w:type="spellEnd"/>
      <w:r>
        <w:rPr>
          <w:rFonts w:ascii="Palatino Linotype" w:eastAsia="Palatino Linotype" w:hAnsi="Palatino Linotype" w:cs="Palatino Linotype"/>
          <w:i/>
          <w:sz w:val="24"/>
          <w:szCs w:val="24"/>
          <w:lang w:val="es-419"/>
        </w:rPr>
        <w:t xml:space="preserve"> integrado.</w:t>
      </w:r>
    </w:p>
    <w:p w:rsidR="003F1002" w:rsidRPr="003F6D9F" w:rsidRDefault="003F6D9F" w:rsidP="003F1002">
      <w:pPr>
        <w:numPr>
          <w:ilvl w:val="1"/>
          <w:numId w:val="25"/>
        </w:numPr>
        <w:spacing w:after="0" w:line="360" w:lineRule="auto"/>
        <w:jc w:val="both"/>
        <w:rPr>
          <w:rFonts w:ascii="Palatino Linotype" w:eastAsia="Palatino Linotype" w:hAnsi="Palatino Linotype" w:cs="Palatino Linotype"/>
          <w:i/>
          <w:sz w:val="24"/>
          <w:szCs w:val="24"/>
          <w:lang w:val="es-419"/>
        </w:rPr>
      </w:pPr>
      <w:r w:rsidRPr="003F6D9F">
        <w:rPr>
          <w:rFonts w:ascii="Palatino Linotype" w:eastAsia="Palatino Linotype" w:hAnsi="Palatino Linotype" w:cs="Palatino Linotype"/>
          <w:i/>
          <w:sz w:val="24"/>
          <w:szCs w:val="24"/>
          <w:lang w:val="es-419"/>
        </w:rPr>
        <w:t>Documento donde conste si se ha solicitado a algún sector de la sociedad civil o empresarial su colaboración para el desempeño de las actividades de la Unidad en mención, en beneficio de los animales</w:t>
      </w:r>
      <w:r w:rsidR="003F1002" w:rsidRPr="003F6D9F">
        <w:rPr>
          <w:rFonts w:ascii="Palatino Linotype" w:eastAsia="Palatino Linotype" w:hAnsi="Palatino Linotype" w:cs="Palatino Linotype"/>
          <w:i/>
          <w:sz w:val="24"/>
          <w:szCs w:val="24"/>
          <w:lang w:val="es-419"/>
        </w:rPr>
        <w:t>;</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6D9F">
        <w:rPr>
          <w:rFonts w:ascii="Palatino Linotype" w:eastAsia="Palatino Linotype" w:hAnsi="Palatino Linotype" w:cs="Palatino Linotype"/>
          <w:i/>
          <w:sz w:val="24"/>
          <w:szCs w:val="24"/>
          <w:lang w:val="es-419"/>
        </w:rPr>
        <w:t>Vacunas que se aplican</w:t>
      </w:r>
      <w:r w:rsidRPr="003F1002">
        <w:rPr>
          <w:rFonts w:ascii="Palatino Linotype" w:eastAsia="Palatino Linotype" w:hAnsi="Palatino Linotype" w:cs="Palatino Linotype"/>
          <w:i/>
          <w:sz w:val="24"/>
          <w:szCs w:val="24"/>
        </w:rPr>
        <w:t xml:space="preserve"> a la población destino;</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Costo de los servicios brindados en el Centro mencionado;</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Medios de comunicación para difundir los programas de Control y Bienestar Animal;</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Protocolo para la atención a los reportes de maltrato animal;</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Manual de procedimientos, organigrama y normatividad relacionada;</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Equipo utilizado para proporcionar servicio médico veterinario;</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lastRenderedPageBreak/>
        <w:t>Número de unidades móviles utilizadas para el control poblacional animal;</w:t>
      </w:r>
    </w:p>
    <w:p w:rsidR="003F1002" w:rsidRPr="003F1002"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Número de denuncias de maltrato animal presentadas del primero de enero al once de agosto de dos mil veintidós, junto con la atención brindada y estatus actual.</w:t>
      </w:r>
    </w:p>
    <w:p w:rsidR="00DB184B" w:rsidRDefault="00DB184B" w:rsidP="003F1002">
      <w:pPr>
        <w:tabs>
          <w:tab w:val="left" w:pos="709"/>
        </w:tabs>
        <w:spacing w:after="0" w:line="360" w:lineRule="auto"/>
        <w:ind w:right="49"/>
        <w:jc w:val="both"/>
        <w:rPr>
          <w:rFonts w:ascii="Palatino Linotype" w:eastAsia="Palatino Linotype" w:hAnsi="Palatino Linotype" w:cs="Palatino Linotype"/>
          <w:sz w:val="24"/>
          <w:szCs w:val="24"/>
        </w:rPr>
      </w:pPr>
    </w:p>
    <w:p w:rsidR="003F1002" w:rsidRPr="003F1002" w:rsidRDefault="003F1002" w:rsidP="003F1002">
      <w:pPr>
        <w:tabs>
          <w:tab w:val="left" w:pos="709"/>
        </w:tabs>
        <w:spacing w:after="0" w:line="360" w:lineRule="auto"/>
        <w:ind w:right="49"/>
        <w:jc w:val="both"/>
        <w:rPr>
          <w:rFonts w:ascii="Palatino Linotype" w:eastAsia="Palatino Linotype" w:hAnsi="Palatino Linotype" w:cs="Palatino Linotype"/>
          <w:sz w:val="24"/>
          <w:szCs w:val="24"/>
        </w:rPr>
      </w:pPr>
      <w:r w:rsidRPr="003F1002">
        <w:rPr>
          <w:rFonts w:ascii="Palatino Linotype" w:eastAsia="Palatino Linotype" w:hAnsi="Palatino Linotype" w:cs="Palatino Linotype"/>
          <w:sz w:val="24"/>
          <w:szCs w:val="24"/>
        </w:rPr>
        <w:t xml:space="preserve">No se omite comentar que el Decreto número 289, publicado el </w:t>
      </w:r>
      <w:r w:rsidRPr="00812546">
        <w:rPr>
          <w:rFonts w:ascii="Palatino Linotype" w:eastAsia="Palatino Linotype" w:hAnsi="Palatino Linotype" w:cs="Palatino Linotype"/>
          <w:b/>
          <w:sz w:val="24"/>
          <w:szCs w:val="24"/>
        </w:rPr>
        <w:t>diecisiete de agosto de dos mil veintiuno</w:t>
      </w:r>
      <w:r w:rsidRPr="003F1002">
        <w:rPr>
          <w:rFonts w:ascii="Palatino Linotype" w:eastAsia="Palatino Linotype" w:hAnsi="Palatino Linotype" w:cs="Palatino Linotype"/>
          <w:sz w:val="24"/>
          <w:szCs w:val="24"/>
        </w:rPr>
        <w:t xml:space="preserve">, en el Periódico Oficial “Gaceta del Gobierno”, mediante el cual se adicionan los artículos 124 Bis, 124 Ter, 124 </w:t>
      </w:r>
      <w:proofErr w:type="spellStart"/>
      <w:r w:rsidRPr="003F1002">
        <w:rPr>
          <w:rFonts w:ascii="Palatino Linotype" w:eastAsia="Palatino Linotype" w:hAnsi="Palatino Linotype" w:cs="Palatino Linotype"/>
          <w:sz w:val="24"/>
          <w:szCs w:val="24"/>
        </w:rPr>
        <w:t>Quater</w:t>
      </w:r>
      <w:proofErr w:type="spellEnd"/>
      <w:r w:rsidRPr="003F1002">
        <w:rPr>
          <w:rFonts w:ascii="Palatino Linotype" w:eastAsia="Palatino Linotype" w:hAnsi="Palatino Linotype" w:cs="Palatino Linotype"/>
          <w:sz w:val="24"/>
          <w:szCs w:val="24"/>
        </w:rPr>
        <w:t xml:space="preserve">, 125 </w:t>
      </w:r>
      <w:proofErr w:type="spellStart"/>
      <w:r w:rsidRPr="003F1002">
        <w:rPr>
          <w:rFonts w:ascii="Palatino Linotype" w:eastAsia="Palatino Linotype" w:hAnsi="Palatino Linotype" w:cs="Palatino Linotype"/>
          <w:sz w:val="24"/>
          <w:szCs w:val="24"/>
        </w:rPr>
        <w:t>Quinquies</w:t>
      </w:r>
      <w:proofErr w:type="spellEnd"/>
      <w:r w:rsidRPr="003F1002">
        <w:rPr>
          <w:rFonts w:ascii="Palatino Linotype" w:eastAsia="Palatino Linotype" w:hAnsi="Palatino Linotype" w:cs="Palatino Linotype"/>
          <w:sz w:val="24"/>
          <w:szCs w:val="24"/>
        </w:rPr>
        <w:t xml:space="preserve">, 124 </w:t>
      </w:r>
      <w:proofErr w:type="spellStart"/>
      <w:r w:rsidRPr="003F1002">
        <w:rPr>
          <w:rFonts w:ascii="Palatino Linotype" w:eastAsia="Palatino Linotype" w:hAnsi="Palatino Linotype" w:cs="Palatino Linotype"/>
          <w:sz w:val="24"/>
          <w:szCs w:val="24"/>
        </w:rPr>
        <w:t>Sexies</w:t>
      </w:r>
      <w:proofErr w:type="spellEnd"/>
      <w:r w:rsidRPr="003F1002">
        <w:rPr>
          <w:rFonts w:ascii="Palatino Linotype" w:eastAsia="Palatino Linotype" w:hAnsi="Palatino Linotype" w:cs="Palatino Linotype"/>
          <w:sz w:val="24"/>
          <w:szCs w:val="24"/>
        </w:rPr>
        <w:t xml:space="preserve">, y 124 </w:t>
      </w:r>
      <w:proofErr w:type="spellStart"/>
      <w:r w:rsidRPr="003F1002">
        <w:rPr>
          <w:rFonts w:ascii="Palatino Linotype" w:eastAsia="Palatino Linotype" w:hAnsi="Palatino Linotype" w:cs="Palatino Linotype"/>
          <w:sz w:val="24"/>
          <w:szCs w:val="24"/>
        </w:rPr>
        <w:t>Septies</w:t>
      </w:r>
      <w:proofErr w:type="spellEnd"/>
      <w:r w:rsidRPr="003F1002">
        <w:rPr>
          <w:rFonts w:ascii="Palatino Linotype" w:eastAsia="Palatino Linotype" w:hAnsi="Palatino Linotype" w:cs="Palatino Linotype"/>
          <w:sz w:val="24"/>
          <w:szCs w:val="24"/>
        </w:rPr>
        <w:t>, a la Ley Orgánica Municipal del Estado de México, prevén la existencia de la Unidad y Consejo de Control de Bienestar Animal refiere en  su Transitorio Segundo y Tercero, que los Ayuntamientos contarán con un año para habilitar las Unidades y Consejos de Control de Bienestar Animal, contados a partir del dieciocho de agosto de dos mil veintiuno.</w:t>
      </w:r>
    </w:p>
    <w:p w:rsidR="003F1002" w:rsidRPr="003F1002" w:rsidRDefault="003F1002" w:rsidP="003F1002">
      <w:pPr>
        <w:spacing w:after="0" w:line="360" w:lineRule="auto"/>
        <w:jc w:val="both"/>
        <w:rPr>
          <w:rFonts w:ascii="Palatino Linotype" w:eastAsia="Palatino Linotype" w:hAnsi="Palatino Linotype" w:cs="Palatino Linotype"/>
          <w:sz w:val="24"/>
          <w:szCs w:val="24"/>
        </w:rPr>
      </w:pPr>
    </w:p>
    <w:p w:rsidR="003F1002" w:rsidRPr="003F1002" w:rsidRDefault="003F1002" w:rsidP="003F1002">
      <w:pPr>
        <w:spacing w:after="0" w:line="360" w:lineRule="auto"/>
        <w:jc w:val="both"/>
        <w:rPr>
          <w:rFonts w:ascii="Palatino Linotype" w:eastAsia="Palatino Linotype" w:hAnsi="Palatino Linotype" w:cs="Palatino Linotype"/>
          <w:sz w:val="24"/>
          <w:szCs w:val="24"/>
        </w:rPr>
      </w:pPr>
      <w:r w:rsidRPr="003F1002">
        <w:rPr>
          <w:rFonts w:ascii="Palatino Linotype" w:eastAsia="Palatino Linotype" w:hAnsi="Palatino Linotype" w:cs="Palatino Linotype"/>
          <w:sz w:val="24"/>
          <w:szCs w:val="24"/>
        </w:rPr>
        <w:t xml:space="preserve">Por lo que, si la solicitud de información se presentó el </w:t>
      </w:r>
      <w:r w:rsidRPr="00812546">
        <w:rPr>
          <w:rFonts w:ascii="Palatino Linotype" w:eastAsia="Palatino Linotype" w:hAnsi="Palatino Linotype" w:cs="Palatino Linotype"/>
          <w:b/>
          <w:sz w:val="24"/>
          <w:szCs w:val="24"/>
        </w:rPr>
        <w:t>dieciséis de agosto de dos mil veintidós</w:t>
      </w:r>
      <w:r w:rsidRPr="003F1002">
        <w:rPr>
          <w:rFonts w:ascii="Palatino Linotype" w:eastAsia="Palatino Linotype" w:hAnsi="Palatino Linotype" w:cs="Palatino Linotype"/>
          <w:sz w:val="24"/>
          <w:szCs w:val="24"/>
        </w:rPr>
        <w:t xml:space="preserve">, </w:t>
      </w:r>
      <w:r w:rsidRPr="003F1002">
        <w:rPr>
          <w:rFonts w:ascii="Palatino Linotype" w:eastAsia="Palatino Linotype" w:hAnsi="Palatino Linotype" w:cs="Palatino Linotype"/>
          <w:b/>
          <w:sz w:val="24"/>
          <w:szCs w:val="24"/>
        </w:rPr>
        <w:t xml:space="preserve">EL SUJETO OBLIGADO </w:t>
      </w:r>
      <w:r w:rsidRPr="003F1002">
        <w:rPr>
          <w:rFonts w:ascii="Palatino Linotype" w:eastAsia="Palatino Linotype" w:hAnsi="Palatino Linotype" w:cs="Palatino Linotype"/>
          <w:sz w:val="24"/>
          <w:szCs w:val="24"/>
        </w:rPr>
        <w:t xml:space="preserve"> aún se encontraba en tiempo para integrar la Unidad en comento. </w:t>
      </w:r>
    </w:p>
    <w:p w:rsidR="003F1002" w:rsidRPr="003F1002" w:rsidRDefault="003F1002" w:rsidP="003F1002">
      <w:pPr>
        <w:spacing w:after="0" w:line="360" w:lineRule="auto"/>
        <w:jc w:val="both"/>
        <w:rPr>
          <w:rFonts w:ascii="Palatino Linotype" w:eastAsia="Palatino Linotype" w:hAnsi="Palatino Linotype" w:cs="Palatino Linotype"/>
          <w:sz w:val="24"/>
          <w:szCs w:val="24"/>
        </w:rPr>
      </w:pPr>
    </w:p>
    <w:p w:rsidR="003F1002" w:rsidRDefault="003F1002" w:rsidP="003F1002">
      <w:pPr>
        <w:spacing w:after="0" w:line="360" w:lineRule="auto"/>
        <w:jc w:val="both"/>
        <w:rPr>
          <w:rFonts w:ascii="Palatino Linotype" w:eastAsia="Palatino Linotype" w:hAnsi="Palatino Linotype" w:cs="Palatino Linotype"/>
          <w:sz w:val="24"/>
          <w:szCs w:val="24"/>
        </w:rPr>
      </w:pPr>
      <w:r w:rsidRPr="003F1002">
        <w:rPr>
          <w:rFonts w:ascii="Palatino Linotype" w:eastAsia="Palatino Linotype" w:hAnsi="Palatino Linotype" w:cs="Palatino Linotype"/>
          <w:sz w:val="24"/>
          <w:szCs w:val="24"/>
        </w:rPr>
        <w:t>Atento a lo anterior, si una vez efectuada la búsqueda exhaustiva y razonable de la información que se ordena, no se cuenta con la información por no haberse creado el área referida deberá hacerlo del conocimiento de manera clara y precisa, al Recurrente, en términos de los establecido por el artículo 19</w:t>
      </w:r>
      <w:r w:rsidR="00854EAE">
        <w:rPr>
          <w:rFonts w:ascii="Palatino Linotype" w:eastAsia="Palatino Linotype" w:hAnsi="Palatino Linotype" w:cs="Palatino Linotype"/>
          <w:sz w:val="24"/>
          <w:szCs w:val="24"/>
        </w:rPr>
        <w:t xml:space="preserve"> segundo párrafo</w:t>
      </w:r>
      <w:r w:rsidRPr="003F1002">
        <w:rPr>
          <w:rFonts w:ascii="Palatino Linotype" w:eastAsia="Palatino Linotype" w:hAnsi="Palatino Linotype" w:cs="Palatino Linotype"/>
          <w:sz w:val="24"/>
          <w:szCs w:val="24"/>
        </w:rPr>
        <w:t>, de la Ley de Transparencia y Acceso a la Información Pública del Estado de México y Municipios.</w:t>
      </w:r>
    </w:p>
    <w:p w:rsidR="00812546" w:rsidRPr="003F1002" w:rsidRDefault="00812546" w:rsidP="003F1002">
      <w:pPr>
        <w:spacing w:after="0" w:line="360" w:lineRule="auto"/>
        <w:jc w:val="both"/>
        <w:rPr>
          <w:rFonts w:ascii="Palatino Linotype" w:eastAsia="Palatino Linotype" w:hAnsi="Palatino Linotype" w:cs="Palatino Linotype"/>
          <w:sz w:val="24"/>
          <w:szCs w:val="24"/>
        </w:rPr>
      </w:pPr>
    </w:p>
    <w:p w:rsidR="00566C13" w:rsidRPr="003F1002" w:rsidRDefault="003F1002" w:rsidP="003F1002">
      <w:pPr>
        <w:tabs>
          <w:tab w:val="left" w:pos="7938"/>
        </w:tabs>
        <w:spacing w:after="0" w:line="360" w:lineRule="auto"/>
        <w:jc w:val="both"/>
        <w:rPr>
          <w:rFonts w:ascii="Palatino Linotype" w:eastAsia="Times New Roman" w:hAnsi="Palatino Linotype" w:cs="Arial"/>
          <w:sz w:val="24"/>
          <w:szCs w:val="24"/>
          <w:lang w:val="es-419" w:eastAsia="es-ES"/>
        </w:rPr>
      </w:pPr>
      <w:r w:rsidRPr="003F1002">
        <w:rPr>
          <w:rFonts w:ascii="Palatino Linotype" w:eastAsia="Palatino Linotype" w:hAnsi="Palatino Linotype" w:cs="Palatino Linotype"/>
          <w:sz w:val="24"/>
          <w:szCs w:val="24"/>
        </w:rPr>
        <w:lastRenderedPageBreak/>
        <w:t xml:space="preserve">Por el contrario,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3F1002">
        <w:rPr>
          <w:rFonts w:ascii="Palatino Linotype" w:eastAsia="Palatino Linotype" w:hAnsi="Palatino Linotype" w:cs="Palatino Linotype"/>
          <w:b/>
          <w:sz w:val="24"/>
          <w:szCs w:val="24"/>
        </w:rPr>
        <w:t>confidencial</w:t>
      </w:r>
      <w:r w:rsidRPr="003F1002">
        <w:rPr>
          <w:rFonts w:ascii="Palatino Linotype" w:eastAsia="Palatino Linotype" w:hAnsi="Palatino Linotype" w:cs="Palatino Linotype"/>
          <w:sz w:val="24"/>
          <w:szCs w:val="24"/>
        </w:rPr>
        <w:t>.</w:t>
      </w:r>
    </w:p>
    <w:p w:rsidR="00566C13" w:rsidRPr="00AD3A94" w:rsidRDefault="00566C13" w:rsidP="00AD3A94">
      <w:pPr>
        <w:tabs>
          <w:tab w:val="left" w:pos="7938"/>
        </w:tabs>
        <w:spacing w:after="0" w:line="360" w:lineRule="auto"/>
        <w:jc w:val="both"/>
        <w:rPr>
          <w:rFonts w:ascii="Palatino Linotype" w:hAnsi="Palatino Linotype" w:cs="Arial"/>
          <w:sz w:val="24"/>
          <w:szCs w:val="24"/>
          <w:lang w:val="es-419"/>
        </w:rPr>
      </w:pPr>
    </w:p>
    <w:p w:rsidR="00AD3A94" w:rsidRPr="00AD3A94" w:rsidRDefault="00AD3A94" w:rsidP="00AD3A94">
      <w:pPr>
        <w:shd w:val="clear" w:color="auto" w:fill="FFFFFF"/>
        <w:spacing w:after="0" w:line="360" w:lineRule="auto"/>
        <w:ind w:left="720"/>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De la versión pública.</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hAnsi="Palatino Linotype"/>
          <w:b/>
          <w:bCs/>
          <w:i/>
          <w:iCs/>
          <w:color w:val="222222"/>
          <w:sz w:val="24"/>
          <w:szCs w:val="24"/>
          <w:lang w:eastAsia="es-MX"/>
        </w:rPr>
        <w:t> </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Artículo 3. Para los efectos de la presente Ley se entenderá por:</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IX. Datos personales: La información concerniente a una persona, identificada o identificable según lo dispuesto por la Ley de Protección de Datos Personales del Estado de México;</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lastRenderedPageBreak/>
        <w:t>XLV. Versión pública: Documento en el que se elimine, suprime o borra la información clasificada como reservada o confidencial para permitir su acceso.</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Artículo 122.</w:t>
      </w:r>
      <w:r w:rsidRPr="00AD3A94">
        <w:rPr>
          <w:rFonts w:ascii="Palatino Linotype" w:hAnsi="Palatino Linotype"/>
          <w:i/>
          <w:iCs/>
          <w:color w:val="222222"/>
          <w:sz w:val="24"/>
          <w:szCs w:val="24"/>
          <w:lang w:eastAsia="es-MX"/>
        </w:rPr>
        <w:t xml:space="preserve"> La clasificación es el proceso mediante el cual el sujeto obligado determina que la información en su poder </w:t>
      </w:r>
      <w:proofErr w:type="spellStart"/>
      <w:r w:rsidRPr="00AD3A94">
        <w:rPr>
          <w:rFonts w:ascii="Palatino Linotype" w:hAnsi="Palatino Linotype"/>
          <w:i/>
          <w:iCs/>
          <w:color w:val="222222"/>
          <w:sz w:val="24"/>
          <w:szCs w:val="24"/>
          <w:lang w:eastAsia="es-MX"/>
        </w:rPr>
        <w:t>actualiza</w:t>
      </w:r>
      <w:proofErr w:type="spellEnd"/>
      <w:r w:rsidRPr="00AD3A94">
        <w:rPr>
          <w:rFonts w:ascii="Palatino Linotype" w:hAnsi="Palatino Linotype"/>
          <w:i/>
          <w:iCs/>
          <w:color w:val="222222"/>
          <w:sz w:val="24"/>
          <w:szCs w:val="24"/>
          <w:lang w:eastAsia="es-MX"/>
        </w:rPr>
        <w:t xml:space="preserve"> alguno de los supuestos de reserva o confidencialidad, de conformidad con lo dispuesto en el presente título.</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Artículo 132.</w:t>
      </w:r>
      <w:r w:rsidRPr="00AD3A94">
        <w:rPr>
          <w:rFonts w:ascii="Palatino Linotype" w:hAnsi="Palatino Linotype"/>
          <w:i/>
          <w:iCs/>
          <w:color w:val="222222"/>
          <w:sz w:val="24"/>
          <w:szCs w:val="24"/>
          <w:lang w:eastAsia="es-MX"/>
        </w:rPr>
        <w:t> La clasificación de la información se llevará a cabo en el momento en que:</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II. Se determine mediante resolución de autoridad competente; o</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D3A94">
        <w:rPr>
          <w:rFonts w:ascii="Palatino Linotype" w:hAnsi="Palatino Linotype"/>
          <w:b/>
          <w:bCs/>
          <w:i/>
          <w:iCs/>
          <w:color w:val="222222"/>
          <w:sz w:val="24"/>
          <w:szCs w:val="24"/>
          <w:u w:val="single"/>
          <w:lang w:eastAsia="es-MX"/>
        </w:rPr>
        <w:t>de manera genérica y fundando y motivando su clasificación.”</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color w:val="222222"/>
          <w:sz w:val="24"/>
          <w:szCs w:val="24"/>
          <w:lang w:eastAsia="es-MX"/>
        </w:rPr>
        <w:t>(Énfasis añadido)</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w:t>
      </w:r>
      <w:r w:rsidRPr="00AD3A94">
        <w:rPr>
          <w:rFonts w:ascii="Palatino Linotype" w:eastAsia="Arial Unicode MS" w:hAnsi="Palatino Linotype" w:cs="Arial"/>
          <w:sz w:val="24"/>
          <w:szCs w:val="24"/>
        </w:rPr>
        <w:lastRenderedPageBreak/>
        <w:t>las personas físicas que no tengan la calidad de servidor público, entre otros considerados como datos personales en términos de la normatividad aplicable.</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w:t>
      </w:r>
      <w:r w:rsidRPr="00AD3A94">
        <w:rPr>
          <w:rFonts w:ascii="Palatino Linotype" w:hAnsi="Palatino Linotype"/>
          <w:b/>
          <w:bCs/>
          <w:i/>
          <w:iCs/>
          <w:color w:val="222222"/>
          <w:sz w:val="24"/>
          <w:szCs w:val="24"/>
          <w:lang w:eastAsia="es-MX"/>
        </w:rPr>
        <w:t>Registro Federal de Contribuyentes (RFC) de personas físicas. </w:t>
      </w:r>
      <w:r w:rsidRPr="00AD3A94">
        <w:rPr>
          <w:rFonts w:ascii="Palatino Linotype" w:hAnsi="Palatino Linotype"/>
          <w:i/>
          <w:iCs/>
          <w:color w:val="222222"/>
          <w:sz w:val="24"/>
          <w:szCs w:val="24"/>
          <w:lang w:eastAsia="es-MX"/>
        </w:rPr>
        <w:t xml:space="preserve">El RFC es una clave de carácter fiscal, </w:t>
      </w:r>
      <w:proofErr w:type="gramStart"/>
      <w:r w:rsidRPr="00AD3A94">
        <w:rPr>
          <w:rFonts w:ascii="Palatino Linotype" w:hAnsi="Palatino Linotype"/>
          <w:i/>
          <w:iCs/>
          <w:color w:val="222222"/>
          <w:sz w:val="24"/>
          <w:szCs w:val="24"/>
          <w:lang w:eastAsia="es-MX"/>
        </w:rPr>
        <w:t>única</w:t>
      </w:r>
      <w:proofErr w:type="gramEnd"/>
      <w:r w:rsidRPr="00AD3A94">
        <w:rPr>
          <w:rFonts w:ascii="Palatino Linotype" w:hAnsi="Palatino Linotype"/>
          <w:i/>
          <w:iCs/>
          <w:color w:val="222222"/>
          <w:sz w:val="24"/>
          <w:szCs w:val="24"/>
          <w:lang w:eastAsia="es-MX"/>
        </w:rPr>
        <w:t xml:space="preserve"> e irrepetible, que permite identificar al titular, su edad y fecha de nacimiento, por lo que es un dato personal de carácter confidencial.</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Resoluciones:</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 RRA 0189/17. Morena. 08 de febrero de 2017. Por unanimidad. Comisionado Ponente Joel Salas Suárez.</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 xml:space="preserve">• RRA 0677/17. Universidad Nacional Autónoma de México. 08 de marzo de 2017. Por unanimidad. Comisionado Ponente </w:t>
      </w:r>
      <w:proofErr w:type="spellStart"/>
      <w:r w:rsidRPr="00AD3A94">
        <w:rPr>
          <w:rFonts w:ascii="Palatino Linotype" w:hAnsi="Palatino Linotype"/>
          <w:i/>
          <w:iCs/>
          <w:color w:val="222222"/>
          <w:sz w:val="24"/>
          <w:szCs w:val="24"/>
          <w:lang w:eastAsia="es-MX"/>
        </w:rPr>
        <w:t>Rosendoevgueni</w:t>
      </w:r>
      <w:proofErr w:type="spellEnd"/>
      <w:r w:rsidRPr="00AD3A94">
        <w:rPr>
          <w:rFonts w:ascii="Palatino Linotype" w:hAnsi="Palatino Linotype"/>
          <w:i/>
          <w:iCs/>
          <w:color w:val="222222"/>
          <w:sz w:val="24"/>
          <w:szCs w:val="24"/>
          <w:lang w:eastAsia="es-MX"/>
        </w:rPr>
        <w:t xml:space="preserve"> Monterrey </w:t>
      </w:r>
      <w:proofErr w:type="spellStart"/>
      <w:r w:rsidRPr="00AD3A94">
        <w:rPr>
          <w:rFonts w:ascii="Palatino Linotype" w:hAnsi="Palatino Linotype"/>
          <w:i/>
          <w:iCs/>
          <w:color w:val="222222"/>
          <w:sz w:val="24"/>
          <w:szCs w:val="24"/>
          <w:lang w:eastAsia="es-MX"/>
        </w:rPr>
        <w:t>Chepov</w:t>
      </w:r>
      <w:proofErr w:type="spellEnd"/>
      <w:r w:rsidRPr="00AD3A94">
        <w:rPr>
          <w:rFonts w:ascii="Palatino Linotype" w:hAnsi="Palatino Linotype"/>
          <w:i/>
          <w:iCs/>
          <w:color w:val="222222"/>
          <w:sz w:val="24"/>
          <w:szCs w:val="24"/>
          <w:lang w:eastAsia="es-MX"/>
        </w:rPr>
        <w:t>.</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lastRenderedPageBreak/>
        <w:t>• RRA 1564/17. Tribunal Electoral del Poder Judicial de la Federación. 26 de abril de 2017. Por unanimidad. Comisionado Ponente Oscar Mauricio Guerra Ford.”</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xml:space="preserve">Así, el RFC se vincula al nombre de su titular, permite identificar la edad de la persona, su fecha de nacimiento, así como su </w:t>
      </w:r>
      <w:proofErr w:type="spellStart"/>
      <w:r w:rsidRPr="00AD3A94">
        <w:rPr>
          <w:rFonts w:ascii="Palatino Linotype" w:eastAsia="Arial Unicode MS" w:hAnsi="Palatino Linotype" w:cs="Arial"/>
          <w:sz w:val="24"/>
          <w:szCs w:val="24"/>
        </w:rPr>
        <w:t>homoclave</w:t>
      </w:r>
      <w:proofErr w:type="spellEnd"/>
      <w:r w:rsidRPr="00AD3A94">
        <w:rPr>
          <w:rFonts w:ascii="Palatino Linotype" w:eastAsia="Arial Unicode MS" w:hAnsi="Palatino Linotype" w:cs="Arial"/>
          <w:sz w:val="24"/>
          <w:szCs w:val="24"/>
        </w:rPr>
        <w:t>, la cual es única e irrepetible y determina justamente la identificación de dicha persona para efectos fiscales, por lo que éste constituye un dato personal que concierne a una persona física identificada e identificable.</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Argumento que es compartido por el Instituto Nacional de Transparencia, Acceso a la Información Pública y Protección de Datos Personales, conforme al criterio número 18/17 de la segunda época, el cual refiere:</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w:t>
      </w:r>
      <w:r w:rsidRPr="00AD3A94">
        <w:rPr>
          <w:rFonts w:ascii="Palatino Linotype" w:hAnsi="Palatino Linotype"/>
          <w:b/>
          <w:bCs/>
          <w:i/>
          <w:iCs/>
          <w:color w:val="222222"/>
          <w:sz w:val="24"/>
          <w:szCs w:val="24"/>
          <w:lang w:eastAsia="es-MX"/>
        </w:rPr>
        <w:t>Clave Única de Registro de Población (CURP). </w:t>
      </w:r>
      <w:r w:rsidRPr="00AD3A94">
        <w:rPr>
          <w:rFonts w:ascii="Palatino Linotype" w:hAnsi="Palatino Linotype"/>
          <w:i/>
          <w:iCs/>
          <w:color w:val="222222"/>
          <w:sz w:val="24"/>
          <w:szCs w:val="24"/>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b/>
          <w:bCs/>
          <w:i/>
          <w:iCs/>
          <w:color w:val="222222"/>
          <w:sz w:val="24"/>
          <w:szCs w:val="24"/>
          <w:lang w:eastAsia="es-MX"/>
        </w:rPr>
        <w:lastRenderedPageBreak/>
        <w:t> </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Resoluciones:</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 xml:space="preserve">• RRA 3995/16. Secretaría de la Defensa Nacional. 1 de febrero de 2017. Por unanimidad. Comisionado Ponente </w:t>
      </w:r>
      <w:proofErr w:type="spellStart"/>
      <w:r w:rsidRPr="00AD3A94">
        <w:rPr>
          <w:rFonts w:ascii="Palatino Linotype" w:hAnsi="Palatino Linotype"/>
          <w:i/>
          <w:iCs/>
          <w:color w:val="222222"/>
          <w:sz w:val="24"/>
          <w:szCs w:val="24"/>
          <w:lang w:eastAsia="es-MX"/>
        </w:rPr>
        <w:t>Rosendoevgueni</w:t>
      </w:r>
      <w:proofErr w:type="spellEnd"/>
      <w:r w:rsidRPr="00AD3A94">
        <w:rPr>
          <w:rFonts w:ascii="Palatino Linotype" w:hAnsi="Palatino Linotype"/>
          <w:i/>
          <w:iCs/>
          <w:color w:val="222222"/>
          <w:sz w:val="24"/>
          <w:szCs w:val="24"/>
          <w:lang w:eastAsia="es-MX"/>
        </w:rPr>
        <w:t xml:space="preserve"> Monterrey </w:t>
      </w:r>
      <w:proofErr w:type="spellStart"/>
      <w:r w:rsidRPr="00AD3A94">
        <w:rPr>
          <w:rFonts w:ascii="Palatino Linotype" w:hAnsi="Palatino Linotype"/>
          <w:i/>
          <w:iCs/>
          <w:color w:val="222222"/>
          <w:sz w:val="24"/>
          <w:szCs w:val="24"/>
          <w:lang w:eastAsia="es-MX"/>
        </w:rPr>
        <w:t>Chepov</w:t>
      </w:r>
      <w:proofErr w:type="spellEnd"/>
      <w:r w:rsidRPr="00AD3A94">
        <w:rPr>
          <w:rFonts w:ascii="Palatino Linotype" w:hAnsi="Palatino Linotype"/>
          <w:i/>
          <w:iCs/>
          <w:color w:val="222222"/>
          <w:sz w:val="24"/>
          <w:szCs w:val="24"/>
          <w:lang w:eastAsia="es-MX"/>
        </w:rPr>
        <w:t>.</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 RRA 0937/17. Senado de la República. 15 de marzo de 2017. Por unanimidad. Comisionada Ponente Ximena Puente de la Mora.</w:t>
      </w:r>
    </w:p>
    <w:p w:rsidR="00AD3A94" w:rsidRPr="00AD3A9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AD3A94">
        <w:rPr>
          <w:rFonts w:ascii="Palatino Linotype" w:hAnsi="Palatino Linotype"/>
          <w:i/>
          <w:iCs/>
          <w:color w:val="222222"/>
          <w:sz w:val="24"/>
          <w:szCs w:val="24"/>
          <w:lang w:eastAsia="es-MX"/>
        </w:rPr>
        <w:t>RRA 0478/17. Secretaría de Relaciones Exteriores. 26 de abril de 2017. Por unanimidad. Comisionada Ponente Areli Cano Guadiana.” (</w:t>
      </w:r>
      <w:proofErr w:type="gramStart"/>
      <w:r w:rsidRPr="00AD3A94">
        <w:rPr>
          <w:rFonts w:ascii="Palatino Linotype" w:hAnsi="Palatino Linotype"/>
          <w:i/>
          <w:iCs/>
          <w:color w:val="222222"/>
          <w:sz w:val="24"/>
          <w:szCs w:val="24"/>
          <w:lang w:eastAsia="es-MX"/>
        </w:rPr>
        <w:t>sic</w:t>
      </w:r>
      <w:proofErr w:type="gramEnd"/>
      <w:r w:rsidRPr="00AD3A94">
        <w:rPr>
          <w:rFonts w:ascii="Palatino Linotype" w:hAnsi="Palatino Linotype"/>
          <w:i/>
          <w:iCs/>
          <w:color w:val="222222"/>
          <w:sz w:val="24"/>
          <w:szCs w:val="24"/>
          <w:lang w:eastAsia="es-MX"/>
        </w:rPr>
        <w:t>)</w:t>
      </w:r>
    </w:p>
    <w:p w:rsidR="00AD3A94" w:rsidRPr="00AD3A94" w:rsidRDefault="00AD3A94" w:rsidP="00AD3A94">
      <w:pPr>
        <w:tabs>
          <w:tab w:val="left" w:pos="7938"/>
        </w:tabs>
        <w:spacing w:after="0" w:line="360" w:lineRule="auto"/>
        <w:jc w:val="both"/>
        <w:rPr>
          <w:rFonts w:ascii="Palatino Linotype" w:hAnsi="Palatino Linotype"/>
          <w:color w:val="222222"/>
          <w:sz w:val="24"/>
          <w:szCs w:val="24"/>
          <w:lang w:eastAsia="es-MX"/>
        </w:rPr>
      </w:pP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r w:rsidRPr="00AD3A94">
        <w:rPr>
          <w:rFonts w:ascii="Palatino Linotype" w:eastAsia="Arial Unicode MS" w:hAnsi="Palatino Linotype" w:cs="Arial"/>
          <w:sz w:val="24"/>
          <w:szCs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AD3A94" w:rsidRDefault="00AD3A94" w:rsidP="00AD3A94">
      <w:pPr>
        <w:shd w:val="clear" w:color="auto" w:fill="FFFFFF"/>
        <w:spacing w:after="0" w:line="360" w:lineRule="auto"/>
        <w:ind w:left="567" w:right="567"/>
        <w:jc w:val="both"/>
        <w:rPr>
          <w:rFonts w:ascii="Palatino Linotype" w:hAnsi="Palatino Linotype" w:cs="Arial"/>
          <w:b/>
          <w:bCs/>
          <w:i/>
          <w:iCs/>
          <w:color w:val="000000"/>
          <w:sz w:val="24"/>
          <w:szCs w:val="24"/>
          <w:lang w:val="es-ES_tradnl" w:eastAsia="es-MX"/>
        </w:rPr>
      </w:pPr>
      <w:r w:rsidRPr="00AD3A94">
        <w:rPr>
          <w:rFonts w:ascii="Palatino Linotype" w:hAnsi="Palatino Linotype" w:cs="Arial"/>
          <w:b/>
          <w:bCs/>
          <w:i/>
          <w:iCs/>
          <w:color w:val="000000"/>
          <w:sz w:val="24"/>
          <w:szCs w:val="24"/>
          <w:lang w:val="es-ES_tradnl" w:eastAsia="es-MX"/>
        </w:rPr>
        <w:t>“FUNDAMENTACIÓN Y MOTIVACIÓN.</w:t>
      </w:r>
    </w:p>
    <w:p w:rsidR="00AD3A94" w:rsidRPr="00AD3A9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AD3A94">
        <w:rPr>
          <w:rFonts w:ascii="Palatino Linotype" w:hAnsi="Palatino Linotype" w:cs="Arial"/>
          <w:i/>
          <w:iCs/>
          <w:color w:val="000000"/>
          <w:sz w:val="24"/>
          <w:szCs w:val="24"/>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D3A94" w:rsidRPr="00AD3A94" w:rsidRDefault="00AD3A94" w:rsidP="00AD3A94">
      <w:pPr>
        <w:shd w:val="clear" w:color="auto" w:fill="FFFFFF"/>
        <w:spacing w:after="0" w:line="360" w:lineRule="auto"/>
        <w:ind w:left="567" w:right="567"/>
        <w:jc w:val="both"/>
        <w:rPr>
          <w:rFonts w:ascii="Palatino Linotype" w:hAnsi="Palatino Linotype" w:cs="Arial"/>
          <w:color w:val="222222"/>
          <w:sz w:val="24"/>
          <w:szCs w:val="24"/>
          <w:lang w:eastAsia="es-MX"/>
        </w:rPr>
      </w:pPr>
    </w:p>
    <w:p w:rsidR="00AD3A94" w:rsidRPr="00AD3A9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AD3A94">
        <w:rPr>
          <w:rFonts w:ascii="Palatino Linotype" w:hAnsi="Palatino Linotype" w:cs="Arial"/>
          <w:i/>
          <w:iCs/>
          <w:color w:val="000000"/>
          <w:sz w:val="24"/>
          <w:szCs w:val="24"/>
          <w:lang w:val="es-ES_tradnl" w:eastAsia="es-MX"/>
        </w:rPr>
        <w:t>SEGUNDO TRIBUNAL COLEGIADO DEL SEXTO CIRCUITO.</w:t>
      </w:r>
    </w:p>
    <w:p w:rsidR="00AD3A94" w:rsidRPr="00AD3A9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AD3A94">
        <w:rPr>
          <w:rFonts w:ascii="Palatino Linotype" w:hAnsi="Palatino Linotype" w:cs="Arial"/>
          <w:i/>
          <w:iCs/>
          <w:color w:val="000000"/>
          <w:sz w:val="24"/>
          <w:szCs w:val="24"/>
          <w:lang w:val="es-ES_tradnl" w:eastAsia="es-MX"/>
        </w:rPr>
        <w:lastRenderedPageBreak/>
        <w:t>Amparo directo 194/88. Bufete Industrial Construcciones, S.A. de C.V. 28 de junio de 1988. Unanimidad de votos. Ponente: Gustavo Calvillo Rangel. Secretario: Jorge Alberto González Álvarez.</w:t>
      </w:r>
    </w:p>
    <w:p w:rsidR="00AD3A94" w:rsidRPr="00AD3A9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AD3A94">
        <w:rPr>
          <w:rFonts w:ascii="Palatino Linotype" w:hAnsi="Palatino Linotype" w:cs="Arial"/>
          <w:i/>
          <w:iCs/>
          <w:color w:val="000000"/>
          <w:sz w:val="24"/>
          <w:szCs w:val="24"/>
          <w:lang w:val="es-ES_tradnl" w:eastAsia="es-MX"/>
        </w:rPr>
        <w:t xml:space="preserve">Revisión fiscal 103/88. Instituto Mexicano del Seguro Social. 18 de octubre de 1988. Unanimidad de votos. Ponente: Arnoldo Nájera Virgen. Secretario: Alejandro </w:t>
      </w:r>
      <w:proofErr w:type="spellStart"/>
      <w:r w:rsidRPr="00AD3A94">
        <w:rPr>
          <w:rFonts w:ascii="Palatino Linotype" w:hAnsi="Palatino Linotype" w:cs="Arial"/>
          <w:i/>
          <w:iCs/>
          <w:color w:val="000000"/>
          <w:sz w:val="24"/>
          <w:szCs w:val="24"/>
          <w:lang w:val="es-ES_tradnl" w:eastAsia="es-MX"/>
        </w:rPr>
        <w:t>Esponda</w:t>
      </w:r>
      <w:proofErr w:type="spellEnd"/>
      <w:r w:rsidRPr="00AD3A94">
        <w:rPr>
          <w:rFonts w:ascii="Palatino Linotype" w:hAnsi="Palatino Linotype" w:cs="Arial"/>
          <w:i/>
          <w:iCs/>
          <w:color w:val="000000"/>
          <w:sz w:val="24"/>
          <w:szCs w:val="24"/>
          <w:lang w:val="es-ES_tradnl" w:eastAsia="es-MX"/>
        </w:rPr>
        <w:t xml:space="preserve"> Rincón.</w:t>
      </w:r>
    </w:p>
    <w:p w:rsidR="00AD3A94" w:rsidRPr="00AD3A9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AD3A94">
        <w:rPr>
          <w:rFonts w:ascii="Palatino Linotype" w:hAnsi="Palatino Linotype" w:cs="Arial"/>
          <w:i/>
          <w:iCs/>
          <w:color w:val="000000"/>
          <w:sz w:val="24"/>
          <w:szCs w:val="24"/>
          <w:lang w:val="es-ES_tradnl" w:eastAsia="es-MX"/>
        </w:rPr>
        <w:t xml:space="preserve">Amparo en revisión 333/88. </w:t>
      </w:r>
      <w:proofErr w:type="spellStart"/>
      <w:r w:rsidRPr="00AD3A94">
        <w:rPr>
          <w:rFonts w:ascii="Palatino Linotype" w:hAnsi="Palatino Linotype" w:cs="Arial"/>
          <w:i/>
          <w:iCs/>
          <w:color w:val="000000"/>
          <w:sz w:val="24"/>
          <w:szCs w:val="24"/>
          <w:lang w:val="es-ES_tradnl" w:eastAsia="es-MX"/>
        </w:rPr>
        <w:t>Adilia</w:t>
      </w:r>
      <w:proofErr w:type="spellEnd"/>
      <w:r w:rsidRPr="00AD3A94">
        <w:rPr>
          <w:rFonts w:ascii="Palatino Linotype" w:hAnsi="Palatino Linotype" w:cs="Arial"/>
          <w:i/>
          <w:iCs/>
          <w:color w:val="000000"/>
          <w:sz w:val="24"/>
          <w:szCs w:val="24"/>
          <w:lang w:val="es-ES_tradnl" w:eastAsia="es-MX"/>
        </w:rPr>
        <w:t xml:space="preserve"> Romero. 26 de octubre de 1988. Unanimidad de votos. Ponente: Arnoldo Nájera Virgen. Secretario: Enrique Crispín Campos Ramírez.</w:t>
      </w:r>
    </w:p>
    <w:p w:rsidR="00AD3A94" w:rsidRPr="00AD3A9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AD3A94">
        <w:rPr>
          <w:rFonts w:ascii="Palatino Linotype" w:hAnsi="Palatino Linotype" w:cs="Arial"/>
          <w:i/>
          <w:iCs/>
          <w:color w:val="000000"/>
          <w:sz w:val="24"/>
          <w:szCs w:val="24"/>
          <w:lang w:val="es-ES_tradnl" w:eastAsia="es-MX"/>
        </w:rPr>
        <w:t xml:space="preserve">Amparo en revisión 597/95. Emilio Maurer Bretón. 15 de noviembre de 1995. Unanimidad de votos. Ponente: Clementina Ramírez Moguel </w:t>
      </w:r>
      <w:proofErr w:type="spellStart"/>
      <w:r w:rsidRPr="00AD3A94">
        <w:rPr>
          <w:rFonts w:ascii="Palatino Linotype" w:hAnsi="Palatino Linotype" w:cs="Arial"/>
          <w:i/>
          <w:iCs/>
          <w:color w:val="000000"/>
          <w:sz w:val="24"/>
          <w:szCs w:val="24"/>
          <w:lang w:val="es-ES_tradnl" w:eastAsia="es-MX"/>
        </w:rPr>
        <w:t>Goyzueta</w:t>
      </w:r>
      <w:proofErr w:type="spellEnd"/>
      <w:r w:rsidRPr="00AD3A94">
        <w:rPr>
          <w:rFonts w:ascii="Palatino Linotype" w:hAnsi="Palatino Linotype" w:cs="Arial"/>
          <w:i/>
          <w:iCs/>
          <w:color w:val="000000"/>
          <w:sz w:val="24"/>
          <w:szCs w:val="24"/>
          <w:lang w:val="es-ES_tradnl" w:eastAsia="es-MX"/>
        </w:rPr>
        <w:t>. Secretario: Gonzalo Carrera Molina.</w:t>
      </w:r>
    </w:p>
    <w:p w:rsidR="00AD3A94" w:rsidRPr="00AD3A94" w:rsidRDefault="00AD3A94" w:rsidP="00AD3A94">
      <w:pPr>
        <w:shd w:val="clear" w:color="auto" w:fill="FFFFFF"/>
        <w:spacing w:after="0" w:line="360" w:lineRule="auto"/>
        <w:ind w:left="567" w:right="567"/>
        <w:jc w:val="both"/>
        <w:rPr>
          <w:rFonts w:ascii="Palatino Linotype" w:hAnsi="Palatino Linotype" w:cs="Arial"/>
          <w:color w:val="222222"/>
          <w:sz w:val="24"/>
          <w:szCs w:val="24"/>
          <w:lang w:eastAsia="es-MX"/>
        </w:rPr>
      </w:pPr>
      <w:r w:rsidRPr="00AD3A94">
        <w:rPr>
          <w:rFonts w:ascii="Palatino Linotype" w:hAnsi="Palatino Linotype" w:cs="Arial"/>
          <w:i/>
          <w:iCs/>
          <w:color w:val="000000"/>
          <w:sz w:val="24"/>
          <w:szCs w:val="24"/>
          <w:lang w:val="es-ES_tradnl" w:eastAsia="es-MX"/>
        </w:rPr>
        <w:t xml:space="preserve">Amparo directo 7/96. Pedro Vicente López Miro. 21 de febrero de 1996. Unanimidad de votos. Ponente: María Eugenia Estela Martínez Cardiel. Secretario: Enrique </w:t>
      </w:r>
      <w:proofErr w:type="spellStart"/>
      <w:r w:rsidRPr="00AD3A94">
        <w:rPr>
          <w:rFonts w:ascii="Palatino Linotype" w:hAnsi="Palatino Linotype" w:cs="Arial"/>
          <w:i/>
          <w:iCs/>
          <w:color w:val="000000"/>
          <w:sz w:val="24"/>
          <w:szCs w:val="24"/>
          <w:lang w:val="es-ES_tradnl" w:eastAsia="es-MX"/>
        </w:rPr>
        <w:t>Baigts</w:t>
      </w:r>
      <w:proofErr w:type="spellEnd"/>
      <w:r w:rsidRPr="00AD3A94">
        <w:rPr>
          <w:rFonts w:ascii="Palatino Linotype" w:hAnsi="Palatino Linotype" w:cs="Arial"/>
          <w:i/>
          <w:iCs/>
          <w:color w:val="000000"/>
          <w:sz w:val="24"/>
          <w:szCs w:val="24"/>
          <w:lang w:val="es-ES_tradnl" w:eastAsia="es-MX"/>
        </w:rPr>
        <w:t xml:space="preserve"> Muñoz.” (</w:t>
      </w:r>
      <w:proofErr w:type="gramStart"/>
      <w:r w:rsidRPr="00AD3A94">
        <w:rPr>
          <w:rFonts w:ascii="Palatino Linotype" w:hAnsi="Palatino Linotype" w:cs="Arial"/>
          <w:i/>
          <w:iCs/>
          <w:color w:val="000000"/>
          <w:sz w:val="24"/>
          <w:szCs w:val="24"/>
          <w:lang w:val="es-ES_tradnl" w:eastAsia="es-MX"/>
        </w:rPr>
        <w:t>sic</w:t>
      </w:r>
      <w:proofErr w:type="gramEnd"/>
      <w:r w:rsidRPr="00AD3A94">
        <w:rPr>
          <w:rFonts w:ascii="Palatino Linotype" w:hAnsi="Palatino Linotype" w:cs="Arial"/>
          <w:i/>
          <w:iCs/>
          <w:color w:val="000000"/>
          <w:sz w:val="24"/>
          <w:szCs w:val="24"/>
          <w:lang w:val="es-ES_tradnl" w:eastAsia="es-MX"/>
        </w:rPr>
        <w:t>)</w:t>
      </w:r>
    </w:p>
    <w:p w:rsidR="00AD3A94" w:rsidRPr="00AD3A94" w:rsidRDefault="00AD3A94" w:rsidP="00AD3A94">
      <w:pPr>
        <w:tabs>
          <w:tab w:val="left" w:pos="7938"/>
        </w:tabs>
        <w:spacing w:after="0" w:line="360" w:lineRule="auto"/>
        <w:jc w:val="both"/>
        <w:rPr>
          <w:rFonts w:ascii="Palatino Linotype" w:eastAsia="Arial Unicode MS" w:hAnsi="Palatino Linotype" w:cs="Arial"/>
          <w:sz w:val="24"/>
          <w:szCs w:val="24"/>
        </w:rPr>
      </w:pPr>
    </w:p>
    <w:p w:rsidR="007B4E67" w:rsidRPr="007B4E67" w:rsidRDefault="007B4E67" w:rsidP="007B4E67">
      <w:pPr>
        <w:tabs>
          <w:tab w:val="left" w:pos="7938"/>
        </w:tabs>
        <w:spacing w:after="0" w:line="360" w:lineRule="auto"/>
        <w:jc w:val="both"/>
        <w:rPr>
          <w:rFonts w:ascii="Palatino Linotype" w:eastAsia="Arial Unicode MS" w:hAnsi="Palatino Linotype" w:cs="Arial"/>
          <w:sz w:val="24"/>
          <w:szCs w:val="24"/>
        </w:rPr>
      </w:pPr>
      <w:r w:rsidRPr="007B4E67">
        <w:rPr>
          <w:rFonts w:ascii="Palatino Linotype" w:eastAsia="Arial Unicode MS"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B4E67" w:rsidRPr="007B4E67" w:rsidRDefault="007B4E67" w:rsidP="007B4E67">
      <w:pPr>
        <w:tabs>
          <w:tab w:val="left" w:pos="7938"/>
        </w:tabs>
        <w:spacing w:after="0" w:line="360" w:lineRule="auto"/>
        <w:jc w:val="both"/>
        <w:rPr>
          <w:rFonts w:ascii="Palatino Linotype" w:eastAsia="Arial Unicode MS" w:hAnsi="Palatino Linotype" w:cs="Arial"/>
          <w:sz w:val="24"/>
          <w:szCs w:val="24"/>
        </w:rPr>
      </w:pPr>
    </w:p>
    <w:p w:rsidR="00381933" w:rsidRPr="007B4E67" w:rsidRDefault="007B4E67" w:rsidP="007B4E67">
      <w:pPr>
        <w:spacing w:after="0" w:line="360" w:lineRule="auto"/>
        <w:ind w:right="51"/>
        <w:jc w:val="both"/>
        <w:rPr>
          <w:rFonts w:ascii="Palatino Linotype" w:eastAsia="Arial Unicode MS" w:hAnsi="Palatino Linotype" w:cs="Arial"/>
          <w:sz w:val="24"/>
          <w:szCs w:val="24"/>
        </w:rPr>
      </w:pPr>
      <w:r w:rsidRPr="007B4E67">
        <w:rPr>
          <w:rFonts w:ascii="Palatino Linotype" w:eastAsia="Arial Unicode MS"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w:t>
      </w:r>
    </w:p>
    <w:p w:rsidR="007B4E67" w:rsidRDefault="007B4E67" w:rsidP="007B6867">
      <w:pPr>
        <w:spacing w:after="0" w:line="360" w:lineRule="auto"/>
        <w:ind w:right="51"/>
        <w:jc w:val="both"/>
        <w:rPr>
          <w:rFonts w:ascii="Palatino Linotype" w:hAnsi="Palatino Linotype" w:cs="Arial"/>
          <w:sz w:val="24"/>
          <w:szCs w:val="24"/>
        </w:rPr>
      </w:pPr>
    </w:p>
    <w:p w:rsidR="00957355" w:rsidRPr="00957355" w:rsidRDefault="00957355" w:rsidP="00957355">
      <w:pPr>
        <w:pStyle w:val="Prrafodelista"/>
        <w:numPr>
          <w:ilvl w:val="0"/>
          <w:numId w:val="28"/>
        </w:numPr>
        <w:spacing w:line="360" w:lineRule="auto"/>
        <w:ind w:right="51"/>
        <w:jc w:val="both"/>
        <w:rPr>
          <w:rFonts w:ascii="Palatino Linotype" w:hAnsi="Palatino Linotype" w:cs="Arial"/>
          <w:b/>
        </w:rPr>
      </w:pPr>
      <w:r w:rsidRPr="00957355">
        <w:rPr>
          <w:rFonts w:ascii="Palatino Linotype" w:hAnsi="Palatino Linotype" w:cs="Arial"/>
          <w:b/>
        </w:rPr>
        <w:lastRenderedPageBreak/>
        <w:t>Temporalidad</w:t>
      </w:r>
    </w:p>
    <w:p w:rsidR="00957355" w:rsidRDefault="00957355" w:rsidP="007B6867">
      <w:pPr>
        <w:spacing w:after="0" w:line="360" w:lineRule="auto"/>
        <w:ind w:right="51"/>
        <w:jc w:val="both"/>
        <w:rPr>
          <w:rFonts w:ascii="Palatino Linotype" w:hAnsi="Palatino Linotype" w:cs="Arial"/>
          <w:sz w:val="24"/>
          <w:szCs w:val="24"/>
        </w:rPr>
      </w:pPr>
    </w:p>
    <w:p w:rsidR="00146227" w:rsidRDefault="00957355" w:rsidP="007B6867">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Cabe destacar que de la solicitud de información el hoy recurrente únicamente preciso temporalidad respecto de</w:t>
      </w:r>
      <w:r w:rsidR="0045776D">
        <w:rPr>
          <w:rFonts w:ascii="Palatino Linotype" w:hAnsi="Palatino Linotype" w:cs="Arial"/>
          <w:sz w:val="24"/>
          <w:szCs w:val="24"/>
        </w:rPr>
        <w:t>l</w:t>
      </w:r>
      <w:r>
        <w:rPr>
          <w:rFonts w:ascii="Palatino Linotype" w:hAnsi="Palatino Linotype" w:cs="Arial"/>
          <w:sz w:val="24"/>
          <w:szCs w:val="24"/>
        </w:rPr>
        <w:t xml:space="preserve"> </w:t>
      </w:r>
      <w:r w:rsidR="0045776D" w:rsidRPr="0045776D">
        <w:rPr>
          <w:rFonts w:ascii="Palatino Linotype" w:hAnsi="Palatino Linotype" w:cs="Arial"/>
          <w:sz w:val="24"/>
          <w:szCs w:val="24"/>
        </w:rPr>
        <w:t>número de denuncias de maltrato animal presentadas</w:t>
      </w:r>
      <w:r w:rsidR="00146227">
        <w:rPr>
          <w:rFonts w:ascii="Palatino Linotype" w:hAnsi="Palatino Linotype" w:cs="Arial"/>
          <w:sz w:val="24"/>
          <w:szCs w:val="24"/>
        </w:rPr>
        <w:t xml:space="preserve">, así como </w:t>
      </w:r>
      <w:r w:rsidR="00146227" w:rsidRPr="00146227">
        <w:rPr>
          <w:rFonts w:ascii="Palatino Linotype" w:hAnsi="Palatino Linotype" w:cs="Arial"/>
          <w:sz w:val="24"/>
          <w:szCs w:val="24"/>
        </w:rPr>
        <w:t xml:space="preserve">la atención dada </w:t>
      </w:r>
      <w:r w:rsidR="00146227">
        <w:rPr>
          <w:rFonts w:ascii="Palatino Linotype" w:hAnsi="Palatino Linotype" w:cs="Arial"/>
          <w:sz w:val="24"/>
          <w:szCs w:val="24"/>
        </w:rPr>
        <w:t>y</w:t>
      </w:r>
      <w:r w:rsidR="00146227" w:rsidRPr="00146227">
        <w:rPr>
          <w:rFonts w:ascii="Palatino Linotype" w:hAnsi="Palatino Linotype" w:cs="Arial"/>
          <w:sz w:val="24"/>
          <w:szCs w:val="24"/>
        </w:rPr>
        <w:t xml:space="preserve"> el estatus que guardan</w:t>
      </w:r>
      <w:r w:rsidR="0045776D">
        <w:rPr>
          <w:rFonts w:ascii="Palatino Linotype" w:hAnsi="Palatino Linotype" w:cs="Arial"/>
          <w:sz w:val="24"/>
          <w:szCs w:val="24"/>
        </w:rPr>
        <w:t>, en el que precisa que requiere la información</w:t>
      </w:r>
      <w:r w:rsidR="0045776D" w:rsidRPr="0045776D">
        <w:rPr>
          <w:rFonts w:ascii="Palatino Linotype" w:hAnsi="Palatino Linotype" w:cs="Arial"/>
          <w:sz w:val="24"/>
          <w:szCs w:val="24"/>
        </w:rPr>
        <w:t xml:space="preserve"> del </w:t>
      </w:r>
      <w:r w:rsidR="0045776D" w:rsidRPr="00146227">
        <w:rPr>
          <w:rFonts w:ascii="Palatino Linotype" w:hAnsi="Palatino Linotype" w:cs="Arial"/>
          <w:b/>
          <w:sz w:val="24"/>
          <w:szCs w:val="24"/>
        </w:rPr>
        <w:t>primero de enero al once de agosto de dos mil veintidós</w:t>
      </w:r>
      <w:r w:rsidR="00146227">
        <w:rPr>
          <w:rFonts w:ascii="Palatino Linotype" w:hAnsi="Palatino Linotype" w:cs="Arial"/>
          <w:sz w:val="24"/>
          <w:szCs w:val="24"/>
        </w:rPr>
        <w:t>.</w:t>
      </w:r>
    </w:p>
    <w:p w:rsidR="00146227" w:rsidRPr="00146227" w:rsidRDefault="00146227" w:rsidP="00146227">
      <w:pPr>
        <w:spacing w:after="0" w:line="360" w:lineRule="auto"/>
        <w:ind w:right="51"/>
        <w:jc w:val="both"/>
        <w:rPr>
          <w:rFonts w:ascii="Palatino Linotype" w:hAnsi="Palatino Linotype" w:cs="Arial"/>
          <w:sz w:val="24"/>
          <w:szCs w:val="24"/>
        </w:rPr>
      </w:pPr>
    </w:p>
    <w:p w:rsidR="00146227" w:rsidRPr="00146227" w:rsidRDefault="00146227" w:rsidP="00146227">
      <w:pPr>
        <w:spacing w:after="0" w:line="360" w:lineRule="auto"/>
        <w:ind w:right="51"/>
        <w:jc w:val="both"/>
        <w:rPr>
          <w:rFonts w:ascii="Palatino Linotype" w:hAnsi="Palatino Linotype" w:cs="Arial"/>
          <w:sz w:val="24"/>
          <w:szCs w:val="24"/>
        </w:rPr>
      </w:pPr>
      <w:r w:rsidRPr="00146227">
        <w:rPr>
          <w:rFonts w:ascii="Palatino Linotype" w:hAnsi="Palatino Linotype" w:cs="Arial"/>
          <w:sz w:val="24"/>
          <w:szCs w:val="24"/>
        </w:rPr>
        <w:t>Lo mismo ocurre con la cantidad de servicios otorgados, desglosados por mes y por concepto, en el que precisó que requiere la información del mismo periodo de tiempo antes mencionado.</w:t>
      </w:r>
    </w:p>
    <w:p w:rsidR="00146227" w:rsidRPr="00146227" w:rsidRDefault="00146227" w:rsidP="00146227">
      <w:pPr>
        <w:spacing w:after="0" w:line="360" w:lineRule="auto"/>
        <w:ind w:right="51"/>
        <w:jc w:val="both"/>
        <w:rPr>
          <w:rFonts w:ascii="Palatino Linotype" w:hAnsi="Palatino Linotype" w:cs="Arial"/>
          <w:sz w:val="24"/>
          <w:szCs w:val="24"/>
        </w:rPr>
      </w:pPr>
    </w:p>
    <w:p w:rsidR="00146227" w:rsidRPr="00146227" w:rsidRDefault="00146227" w:rsidP="00F37BC2">
      <w:pPr>
        <w:spacing w:after="0" w:line="360" w:lineRule="auto"/>
        <w:ind w:right="51"/>
        <w:jc w:val="both"/>
        <w:rPr>
          <w:rFonts w:ascii="Palatino Linotype" w:eastAsia="Palatino Linotype" w:hAnsi="Palatino Linotype" w:cs="Palatino Linotype"/>
          <w:sz w:val="24"/>
          <w:szCs w:val="24"/>
          <w:lang w:val="es-419"/>
        </w:rPr>
      </w:pPr>
      <w:r w:rsidRPr="00146227">
        <w:rPr>
          <w:rFonts w:ascii="Palatino Linotype" w:hAnsi="Palatino Linotype" w:cs="Arial"/>
          <w:sz w:val="24"/>
          <w:szCs w:val="24"/>
        </w:rPr>
        <w:t xml:space="preserve">Sin embargo, por lo que hace a los demás punto, el recurrente no hizo referencia a un periodo de tiempo, en razón de ello </w:t>
      </w:r>
      <w:r w:rsidRPr="00146227">
        <w:rPr>
          <w:rFonts w:ascii="Palatino Linotype" w:eastAsia="Palatino Linotype" w:hAnsi="Palatino Linotype" w:cs="Palatino Linotype"/>
          <w:sz w:val="24"/>
          <w:szCs w:val="24"/>
          <w:lang w:val="es-419"/>
        </w:rPr>
        <w:t>se estará a lo establecido por el Pleno del INAI cuyo criterio con clave de control, SO/003/2019, establece lo siguiente:</w:t>
      </w:r>
    </w:p>
    <w:p w:rsidR="00146227" w:rsidRPr="00146227" w:rsidRDefault="00146227" w:rsidP="00146227">
      <w:pPr>
        <w:spacing w:after="0" w:line="360" w:lineRule="auto"/>
        <w:jc w:val="both"/>
        <w:rPr>
          <w:rFonts w:ascii="Palatino Linotype" w:eastAsia="Palatino Linotype" w:hAnsi="Palatino Linotype" w:cs="Palatino Linotype"/>
          <w:sz w:val="24"/>
          <w:szCs w:val="24"/>
          <w:lang w:val="es-419"/>
        </w:rPr>
      </w:pPr>
    </w:p>
    <w:p w:rsidR="00146227" w:rsidRPr="00146227" w:rsidRDefault="00146227" w:rsidP="00146227">
      <w:pPr>
        <w:spacing w:after="0" w:line="360" w:lineRule="auto"/>
        <w:ind w:left="426"/>
        <w:jc w:val="both"/>
        <w:rPr>
          <w:rFonts w:ascii="Palatino Linotype" w:eastAsia="Arial" w:hAnsi="Palatino Linotype" w:cs="Arial"/>
          <w:i/>
          <w:sz w:val="24"/>
          <w:szCs w:val="24"/>
        </w:rPr>
      </w:pPr>
      <w:r w:rsidRPr="00146227">
        <w:rPr>
          <w:rFonts w:ascii="Palatino Linotype" w:eastAsia="Arial" w:hAnsi="Palatino Linotype" w:cs="Arial"/>
          <w:b/>
          <w:i/>
          <w:sz w:val="24"/>
          <w:szCs w:val="24"/>
          <w:lang w:val="es-419"/>
        </w:rPr>
        <w:t>“</w:t>
      </w:r>
      <w:r w:rsidRPr="00146227">
        <w:rPr>
          <w:rFonts w:ascii="Palatino Linotype" w:eastAsia="Arial" w:hAnsi="Palatino Linotype" w:cs="Arial"/>
          <w:b/>
          <w:i/>
          <w:sz w:val="24"/>
          <w:szCs w:val="24"/>
        </w:rPr>
        <w:t xml:space="preserve">Periodo de búsqueda de la información. </w:t>
      </w:r>
      <w:r w:rsidRPr="00146227">
        <w:rPr>
          <w:rFonts w:ascii="Palatino Linotype" w:eastAsia="Arial" w:hAnsi="Palatino Linotype" w:cs="Arial"/>
          <w:i/>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146227" w:rsidRPr="00146227" w:rsidRDefault="00146227" w:rsidP="00146227">
      <w:pPr>
        <w:spacing w:after="0" w:line="360" w:lineRule="auto"/>
        <w:jc w:val="both"/>
        <w:rPr>
          <w:rFonts w:ascii="Palatino Linotype" w:hAnsi="Palatino Linotype" w:cs="Arial"/>
          <w:i/>
          <w:color w:val="000000"/>
          <w:sz w:val="24"/>
          <w:szCs w:val="24"/>
        </w:rPr>
      </w:pPr>
    </w:p>
    <w:p w:rsidR="00146227" w:rsidRPr="00146227" w:rsidRDefault="00146227" w:rsidP="00146227">
      <w:pPr>
        <w:spacing w:after="0" w:line="240" w:lineRule="auto"/>
        <w:ind w:firstLine="363"/>
        <w:jc w:val="both"/>
        <w:rPr>
          <w:rFonts w:ascii="Palatino Linotype" w:hAnsi="Palatino Linotype" w:cs="Arial"/>
          <w:b/>
          <w:i/>
          <w:sz w:val="24"/>
          <w:szCs w:val="24"/>
        </w:rPr>
      </w:pPr>
      <w:r w:rsidRPr="00146227">
        <w:rPr>
          <w:rFonts w:ascii="Palatino Linotype" w:hAnsi="Palatino Linotype" w:cs="Arial"/>
          <w:b/>
          <w:i/>
          <w:sz w:val="24"/>
          <w:szCs w:val="24"/>
        </w:rPr>
        <w:t>Precedentes:</w:t>
      </w:r>
    </w:p>
    <w:p w:rsidR="00146227" w:rsidRPr="00146227" w:rsidRDefault="00146227" w:rsidP="00146227">
      <w:pPr>
        <w:pStyle w:val="Prrafodelista"/>
        <w:numPr>
          <w:ilvl w:val="0"/>
          <w:numId w:val="29"/>
        </w:numPr>
        <w:ind w:hanging="357"/>
        <w:contextualSpacing/>
        <w:jc w:val="both"/>
        <w:rPr>
          <w:rFonts w:ascii="Palatino Linotype" w:eastAsia="Symbol" w:hAnsi="Palatino Linotype" w:cs="Arial"/>
          <w:i/>
        </w:rPr>
      </w:pPr>
      <w:r w:rsidRPr="00146227">
        <w:rPr>
          <w:rFonts w:ascii="Palatino Linotype" w:eastAsia="Arial" w:hAnsi="Palatino Linotype" w:cs="Arial"/>
          <w:i/>
          <w:spacing w:val="-1"/>
        </w:rPr>
        <w:t>Acceso a la información pública. R</w:t>
      </w:r>
      <w:r w:rsidRPr="00146227">
        <w:rPr>
          <w:rFonts w:ascii="Palatino Linotype" w:eastAsia="Arial" w:hAnsi="Palatino Linotype" w:cs="Arial"/>
          <w:i/>
          <w:spacing w:val="3"/>
        </w:rPr>
        <w:t>R</w:t>
      </w:r>
      <w:r w:rsidRPr="00146227">
        <w:rPr>
          <w:rFonts w:ascii="Palatino Linotype" w:eastAsia="Arial" w:hAnsi="Palatino Linotype" w:cs="Arial"/>
          <w:i/>
        </w:rPr>
        <w:t>A</w:t>
      </w:r>
      <w:r w:rsidRPr="00146227">
        <w:rPr>
          <w:rFonts w:ascii="Palatino Linotype" w:eastAsia="Arial" w:hAnsi="Palatino Linotype" w:cs="Arial"/>
          <w:i/>
          <w:spacing w:val="5"/>
        </w:rPr>
        <w:t xml:space="preserve"> 0022</w:t>
      </w:r>
      <w:r w:rsidRPr="00146227">
        <w:rPr>
          <w:rFonts w:ascii="Palatino Linotype" w:eastAsia="Arial" w:hAnsi="Palatino Linotype" w:cs="Arial"/>
          <w:i/>
          <w:spacing w:val="-1"/>
        </w:rPr>
        <w:t>/17</w:t>
      </w:r>
      <w:r w:rsidRPr="00146227">
        <w:rPr>
          <w:rFonts w:ascii="Palatino Linotype" w:eastAsia="Arial" w:hAnsi="Palatino Linotype" w:cs="Arial"/>
          <w:i/>
        </w:rPr>
        <w:t>.</w:t>
      </w:r>
      <w:r w:rsidRPr="00146227">
        <w:rPr>
          <w:rFonts w:ascii="Palatino Linotype" w:eastAsia="Arial" w:hAnsi="Palatino Linotype" w:cs="Arial"/>
          <w:i/>
          <w:spacing w:val="15"/>
        </w:rPr>
        <w:t xml:space="preserve"> </w:t>
      </w:r>
      <w:r w:rsidRPr="00146227">
        <w:rPr>
          <w:rFonts w:ascii="Palatino Linotype" w:eastAsia="Arial" w:hAnsi="Palatino Linotype" w:cs="Arial"/>
          <w:i/>
          <w:spacing w:val="4"/>
        </w:rPr>
        <w:t xml:space="preserve">Sesión del 16 de febrero de 2017. Votación por unanimidad. </w:t>
      </w:r>
      <w:r w:rsidRPr="00146227">
        <w:rPr>
          <w:rFonts w:ascii="Palatino Linotype" w:eastAsia="Arial" w:hAnsi="Palatino Linotype" w:cs="Arial"/>
          <w:i/>
        </w:rPr>
        <w:t>Sin votos disidentes o particulares.</w:t>
      </w:r>
      <w:r w:rsidRPr="00146227">
        <w:rPr>
          <w:rFonts w:ascii="Palatino Linotype" w:eastAsia="Arial" w:hAnsi="Palatino Linotype" w:cs="Arial"/>
          <w:i/>
          <w:spacing w:val="4"/>
        </w:rPr>
        <w:t xml:space="preserve"> </w:t>
      </w:r>
      <w:r w:rsidRPr="00146227">
        <w:rPr>
          <w:rFonts w:ascii="Palatino Linotype" w:eastAsia="Arial" w:hAnsi="Palatino Linotype" w:cs="Arial"/>
          <w:i/>
        </w:rPr>
        <w:t xml:space="preserve">Instituto Mexicano de la Propiedad Industrial. </w:t>
      </w:r>
      <w:r w:rsidRPr="00146227">
        <w:rPr>
          <w:rFonts w:ascii="Palatino Linotype" w:eastAsia="Arial" w:hAnsi="Palatino Linotype" w:cs="Arial"/>
          <w:i/>
          <w:spacing w:val="-1"/>
        </w:rPr>
        <w:t>C</w:t>
      </w:r>
      <w:r w:rsidRPr="00146227">
        <w:rPr>
          <w:rFonts w:ascii="Palatino Linotype" w:eastAsia="Arial" w:hAnsi="Palatino Linotype" w:cs="Arial"/>
          <w:i/>
        </w:rPr>
        <w:t>omis</w:t>
      </w:r>
      <w:r w:rsidRPr="00146227">
        <w:rPr>
          <w:rFonts w:ascii="Palatino Linotype" w:eastAsia="Arial" w:hAnsi="Palatino Linotype" w:cs="Arial"/>
          <w:i/>
          <w:spacing w:val="-2"/>
        </w:rPr>
        <w:t>i</w:t>
      </w:r>
      <w:r w:rsidRPr="00146227">
        <w:rPr>
          <w:rFonts w:ascii="Palatino Linotype" w:eastAsia="Arial" w:hAnsi="Palatino Linotype" w:cs="Arial"/>
          <w:i/>
        </w:rPr>
        <w:t>o</w:t>
      </w:r>
      <w:r w:rsidRPr="00146227">
        <w:rPr>
          <w:rFonts w:ascii="Palatino Linotype" w:eastAsia="Arial" w:hAnsi="Palatino Linotype" w:cs="Arial"/>
          <w:i/>
          <w:spacing w:val="1"/>
        </w:rPr>
        <w:t>n</w:t>
      </w:r>
      <w:r w:rsidRPr="00146227">
        <w:rPr>
          <w:rFonts w:ascii="Palatino Linotype" w:eastAsia="Arial" w:hAnsi="Palatino Linotype" w:cs="Arial"/>
          <w:i/>
        </w:rPr>
        <w:t>a</w:t>
      </w:r>
      <w:r w:rsidRPr="00146227">
        <w:rPr>
          <w:rFonts w:ascii="Palatino Linotype" w:eastAsia="Arial" w:hAnsi="Palatino Linotype" w:cs="Arial"/>
          <w:i/>
          <w:spacing w:val="-1"/>
        </w:rPr>
        <w:t>d</w:t>
      </w:r>
      <w:r w:rsidRPr="00146227">
        <w:rPr>
          <w:rFonts w:ascii="Palatino Linotype" w:eastAsia="Arial" w:hAnsi="Palatino Linotype" w:cs="Arial"/>
          <w:i/>
        </w:rPr>
        <w:t>o</w:t>
      </w:r>
      <w:r w:rsidRPr="00146227">
        <w:rPr>
          <w:rFonts w:ascii="Palatino Linotype" w:eastAsia="Arial" w:hAnsi="Palatino Linotype" w:cs="Arial"/>
          <w:i/>
          <w:spacing w:val="3"/>
        </w:rPr>
        <w:t xml:space="preserve"> </w:t>
      </w:r>
      <w:r w:rsidRPr="00146227">
        <w:rPr>
          <w:rFonts w:ascii="Palatino Linotype" w:eastAsia="Arial" w:hAnsi="Palatino Linotype" w:cs="Arial"/>
          <w:i/>
          <w:spacing w:val="-1"/>
        </w:rPr>
        <w:t>P</w:t>
      </w:r>
      <w:r w:rsidRPr="00146227">
        <w:rPr>
          <w:rFonts w:ascii="Palatino Linotype" w:eastAsia="Arial" w:hAnsi="Palatino Linotype" w:cs="Arial"/>
          <w:i/>
        </w:rPr>
        <w:t>o</w:t>
      </w:r>
      <w:r w:rsidRPr="00146227">
        <w:rPr>
          <w:rFonts w:ascii="Palatino Linotype" w:eastAsia="Arial" w:hAnsi="Palatino Linotype" w:cs="Arial"/>
          <w:i/>
          <w:spacing w:val="-1"/>
        </w:rPr>
        <w:t>n</w:t>
      </w:r>
      <w:r w:rsidRPr="00146227">
        <w:rPr>
          <w:rFonts w:ascii="Palatino Linotype" w:eastAsia="Arial" w:hAnsi="Palatino Linotype" w:cs="Arial"/>
          <w:i/>
        </w:rPr>
        <w:t>e</w:t>
      </w:r>
      <w:r w:rsidRPr="00146227">
        <w:rPr>
          <w:rFonts w:ascii="Palatino Linotype" w:eastAsia="Arial" w:hAnsi="Palatino Linotype" w:cs="Arial"/>
          <w:i/>
          <w:spacing w:val="-1"/>
        </w:rPr>
        <w:t>n</w:t>
      </w:r>
      <w:r w:rsidRPr="00146227">
        <w:rPr>
          <w:rFonts w:ascii="Palatino Linotype" w:eastAsia="Arial" w:hAnsi="Palatino Linotype" w:cs="Arial"/>
          <w:i/>
          <w:spacing w:val="1"/>
        </w:rPr>
        <w:t>t</w:t>
      </w:r>
      <w:r w:rsidRPr="00146227">
        <w:rPr>
          <w:rFonts w:ascii="Palatino Linotype" w:eastAsia="Arial" w:hAnsi="Palatino Linotype" w:cs="Arial"/>
          <w:i/>
        </w:rPr>
        <w:t>e Francisco Javier Acuña Llamas.</w:t>
      </w:r>
    </w:p>
    <w:p w:rsidR="00146227" w:rsidRPr="00146227" w:rsidRDefault="00146227" w:rsidP="00146227">
      <w:pPr>
        <w:pStyle w:val="Prrafodelista"/>
        <w:numPr>
          <w:ilvl w:val="0"/>
          <w:numId w:val="29"/>
        </w:numPr>
        <w:ind w:right="120" w:hanging="357"/>
        <w:contextualSpacing/>
        <w:jc w:val="both"/>
        <w:rPr>
          <w:rFonts w:ascii="Palatino Linotype" w:eastAsia="Arial" w:hAnsi="Palatino Linotype" w:cs="Arial"/>
          <w:b/>
          <w:bCs/>
          <w:i/>
          <w:spacing w:val="-1"/>
        </w:rPr>
      </w:pPr>
      <w:r w:rsidRPr="00146227">
        <w:rPr>
          <w:rFonts w:ascii="Palatino Linotype" w:eastAsia="Arial" w:hAnsi="Palatino Linotype" w:cs="Arial"/>
          <w:i/>
          <w:spacing w:val="-1"/>
        </w:rPr>
        <w:lastRenderedPageBreak/>
        <w:t>Acceso a la información pública. R</w:t>
      </w:r>
      <w:r w:rsidRPr="00146227">
        <w:rPr>
          <w:rFonts w:ascii="Palatino Linotype" w:eastAsia="Arial" w:hAnsi="Palatino Linotype" w:cs="Arial"/>
          <w:i/>
          <w:spacing w:val="3"/>
        </w:rPr>
        <w:t>R</w:t>
      </w:r>
      <w:r w:rsidRPr="00146227">
        <w:rPr>
          <w:rFonts w:ascii="Palatino Linotype" w:eastAsia="Arial" w:hAnsi="Palatino Linotype" w:cs="Arial"/>
          <w:i/>
        </w:rPr>
        <w:t>A</w:t>
      </w:r>
      <w:r w:rsidRPr="00146227">
        <w:rPr>
          <w:rFonts w:ascii="Palatino Linotype" w:eastAsia="Arial" w:hAnsi="Palatino Linotype" w:cs="Arial"/>
          <w:i/>
          <w:spacing w:val="43"/>
        </w:rPr>
        <w:t xml:space="preserve"> </w:t>
      </w:r>
      <w:r w:rsidRPr="00146227">
        <w:rPr>
          <w:rFonts w:ascii="Palatino Linotype" w:eastAsia="Arial" w:hAnsi="Palatino Linotype" w:cs="Arial"/>
          <w:i/>
          <w:spacing w:val="5"/>
        </w:rPr>
        <w:t>2536</w:t>
      </w:r>
      <w:r w:rsidRPr="00146227">
        <w:rPr>
          <w:rFonts w:ascii="Palatino Linotype" w:eastAsia="Arial" w:hAnsi="Palatino Linotype" w:cs="Arial"/>
          <w:i/>
          <w:spacing w:val="1"/>
        </w:rPr>
        <w:t>/</w:t>
      </w:r>
      <w:r w:rsidRPr="00146227">
        <w:rPr>
          <w:rFonts w:ascii="Palatino Linotype" w:eastAsia="Arial" w:hAnsi="Palatino Linotype" w:cs="Arial"/>
          <w:i/>
        </w:rPr>
        <w:t>17.</w:t>
      </w:r>
      <w:r w:rsidRPr="00146227">
        <w:rPr>
          <w:rFonts w:ascii="Palatino Linotype" w:eastAsia="Arial" w:hAnsi="Palatino Linotype" w:cs="Arial"/>
          <w:b/>
          <w:bCs/>
          <w:i/>
        </w:rPr>
        <w:t xml:space="preserve"> </w:t>
      </w:r>
      <w:r w:rsidRPr="00146227">
        <w:rPr>
          <w:rFonts w:ascii="Palatino Linotype" w:eastAsia="Arial" w:hAnsi="Palatino Linotype" w:cs="Arial"/>
          <w:i/>
        </w:rPr>
        <w:t>Sesión del 07 de junio de 2017. Votación por unanimidad. Sin votos disidentes o particulares. Secretaría de Gobernación. Comisionada Ponente Areli Cano Guadiana.</w:t>
      </w:r>
      <w:r w:rsidRPr="00146227">
        <w:rPr>
          <w:rFonts w:ascii="Palatino Linotype" w:eastAsia="Arial" w:hAnsi="Palatino Linotype" w:cs="Arial"/>
          <w:i/>
          <w:spacing w:val="-1"/>
          <w:position w:val="5"/>
        </w:rPr>
        <w:t xml:space="preserve"> </w:t>
      </w:r>
    </w:p>
    <w:p w:rsidR="00146227" w:rsidRPr="00146227" w:rsidRDefault="00146227" w:rsidP="00146227">
      <w:pPr>
        <w:pStyle w:val="Prrafodelista"/>
        <w:numPr>
          <w:ilvl w:val="0"/>
          <w:numId w:val="29"/>
        </w:numPr>
        <w:tabs>
          <w:tab w:val="left" w:pos="7371"/>
        </w:tabs>
        <w:ind w:left="714" w:hanging="357"/>
        <w:contextualSpacing/>
        <w:jc w:val="both"/>
        <w:rPr>
          <w:rFonts w:ascii="Palatino Linotype" w:eastAsiaTheme="minorEastAsia" w:hAnsi="Palatino Linotype" w:cs="Arial"/>
          <w:i/>
        </w:rPr>
      </w:pPr>
      <w:r w:rsidRPr="00146227">
        <w:rPr>
          <w:rFonts w:ascii="Palatino Linotype" w:eastAsia="Arial" w:hAnsi="Palatino Linotype" w:cs="Arial"/>
          <w:i/>
          <w:spacing w:val="-1"/>
          <w:position w:val="-1"/>
        </w:rPr>
        <w:t>Acceso a la información pública. R</w:t>
      </w:r>
      <w:r w:rsidRPr="00146227">
        <w:rPr>
          <w:rFonts w:ascii="Palatino Linotype" w:eastAsia="Arial" w:hAnsi="Palatino Linotype" w:cs="Arial"/>
          <w:i/>
          <w:spacing w:val="3"/>
          <w:position w:val="-1"/>
        </w:rPr>
        <w:t>R</w:t>
      </w:r>
      <w:r w:rsidRPr="00146227">
        <w:rPr>
          <w:rFonts w:ascii="Palatino Linotype" w:eastAsia="Arial" w:hAnsi="Palatino Linotype" w:cs="Arial"/>
          <w:i/>
          <w:position w:val="-1"/>
        </w:rPr>
        <w:t xml:space="preserve">A </w:t>
      </w:r>
      <w:r w:rsidRPr="00146227">
        <w:rPr>
          <w:rFonts w:ascii="Palatino Linotype" w:eastAsia="Arial" w:hAnsi="Palatino Linotype" w:cs="Arial"/>
          <w:i/>
          <w:spacing w:val="-1"/>
          <w:position w:val="-1"/>
        </w:rPr>
        <w:t>3482/17</w:t>
      </w:r>
      <w:r w:rsidRPr="00146227">
        <w:rPr>
          <w:rFonts w:ascii="Palatino Linotype" w:eastAsia="Arial" w:hAnsi="Palatino Linotype" w:cs="Arial"/>
          <w:i/>
          <w:position w:val="-1"/>
        </w:rPr>
        <w:t xml:space="preserve">. </w:t>
      </w:r>
      <w:r w:rsidRPr="00146227">
        <w:rPr>
          <w:rFonts w:ascii="Palatino Linotype" w:eastAsia="Arial" w:hAnsi="Palatino Linotype" w:cs="Arial"/>
          <w:i/>
        </w:rPr>
        <w:t xml:space="preserve">Sesión del 02 de agosto de 2017. </w:t>
      </w:r>
      <w:r w:rsidRPr="00146227">
        <w:rPr>
          <w:rFonts w:ascii="Palatino Linotype" w:eastAsia="Arial" w:hAnsi="Palatino Linotype" w:cs="Arial"/>
          <w:i/>
          <w:spacing w:val="-1"/>
          <w:position w:val="-1"/>
        </w:rPr>
        <w:t>Secretaría de Comunicaciones y Transportes</w:t>
      </w:r>
      <w:r w:rsidRPr="00146227">
        <w:rPr>
          <w:rFonts w:ascii="Palatino Linotype" w:eastAsia="Arial" w:hAnsi="Palatino Linotype" w:cs="Arial"/>
          <w:i/>
          <w:position w:val="-1"/>
        </w:rPr>
        <w:t xml:space="preserve">. Votación por unanimidad. </w:t>
      </w:r>
      <w:r w:rsidRPr="00146227">
        <w:rPr>
          <w:rFonts w:ascii="Palatino Linotype" w:eastAsia="Arial" w:hAnsi="Palatino Linotype" w:cs="Arial"/>
          <w:i/>
        </w:rPr>
        <w:t>Sin votos disidentes o particulares.</w:t>
      </w:r>
      <w:r w:rsidRPr="00146227">
        <w:rPr>
          <w:rFonts w:ascii="Palatino Linotype" w:eastAsia="Arial" w:hAnsi="Palatino Linotype" w:cs="Arial"/>
          <w:i/>
          <w:position w:val="-1"/>
        </w:rPr>
        <w:t xml:space="preserve"> Comisionado Ponente Oscar Mauricio Guerra Ford</w:t>
      </w:r>
      <w:r w:rsidRPr="00146227">
        <w:rPr>
          <w:rFonts w:ascii="Palatino Linotype" w:hAnsi="Palatino Linotype" w:cs="Arial"/>
          <w:i/>
        </w:rPr>
        <w:t>.</w:t>
      </w:r>
      <w:r w:rsidRPr="00146227">
        <w:rPr>
          <w:rFonts w:ascii="Palatino Linotype" w:hAnsi="Palatino Linotype" w:cs="Arial"/>
          <w:i/>
          <w:lang w:val="es-419"/>
        </w:rPr>
        <w:t>”</w:t>
      </w:r>
    </w:p>
    <w:p w:rsidR="00146227" w:rsidRPr="00146227" w:rsidRDefault="00146227" w:rsidP="00146227">
      <w:pPr>
        <w:spacing w:after="0" w:line="360" w:lineRule="auto"/>
        <w:jc w:val="both"/>
        <w:rPr>
          <w:rFonts w:ascii="Palatino Linotype" w:eastAsia="Palatino Linotype" w:hAnsi="Palatino Linotype" w:cs="Palatino Linotype"/>
          <w:sz w:val="24"/>
          <w:szCs w:val="24"/>
          <w:lang w:val="es-419"/>
        </w:rPr>
      </w:pPr>
    </w:p>
    <w:p w:rsidR="00146227" w:rsidRPr="00146227" w:rsidRDefault="00146227" w:rsidP="00146227">
      <w:pPr>
        <w:spacing w:after="0" w:line="360" w:lineRule="auto"/>
        <w:jc w:val="both"/>
        <w:rPr>
          <w:rFonts w:ascii="Palatino Linotype" w:eastAsia="Palatino Linotype" w:hAnsi="Palatino Linotype" w:cs="Palatino Linotype"/>
          <w:b/>
          <w:sz w:val="24"/>
          <w:szCs w:val="24"/>
          <w:lang w:val="es-419"/>
        </w:rPr>
      </w:pPr>
      <w:r w:rsidRPr="00146227">
        <w:rPr>
          <w:rFonts w:ascii="Palatino Linotype" w:eastAsia="Palatino Linotype" w:hAnsi="Palatino Linotype" w:cs="Palatino Linotype"/>
          <w:b/>
          <w:sz w:val="24"/>
          <w:szCs w:val="24"/>
          <w:lang w:val="es-419"/>
        </w:rPr>
        <w:t xml:space="preserve">Luego entonces, la información a entregar será del </w:t>
      </w:r>
      <w:r w:rsidR="00F37BC2">
        <w:rPr>
          <w:rFonts w:ascii="Palatino Linotype" w:eastAsia="Palatino Linotype" w:hAnsi="Palatino Linotype" w:cs="Palatino Linotype"/>
          <w:b/>
          <w:sz w:val="24"/>
          <w:szCs w:val="24"/>
          <w:lang w:val="es-419"/>
        </w:rPr>
        <w:t>16</w:t>
      </w:r>
      <w:r w:rsidRPr="00146227">
        <w:rPr>
          <w:rFonts w:ascii="Palatino Linotype" w:eastAsia="Palatino Linotype" w:hAnsi="Palatino Linotype" w:cs="Palatino Linotype"/>
          <w:b/>
          <w:sz w:val="24"/>
          <w:szCs w:val="24"/>
          <w:lang w:val="es-419"/>
        </w:rPr>
        <w:t xml:space="preserve"> de agosto de 2021 al </w:t>
      </w:r>
      <w:r w:rsidR="00F37BC2">
        <w:rPr>
          <w:rFonts w:ascii="Palatino Linotype" w:eastAsia="Palatino Linotype" w:hAnsi="Palatino Linotype" w:cs="Palatino Linotype"/>
          <w:b/>
          <w:sz w:val="24"/>
          <w:szCs w:val="24"/>
          <w:lang w:val="es-419"/>
        </w:rPr>
        <w:t>16</w:t>
      </w:r>
      <w:r w:rsidRPr="00146227">
        <w:rPr>
          <w:rFonts w:ascii="Palatino Linotype" w:eastAsia="Palatino Linotype" w:hAnsi="Palatino Linotype" w:cs="Palatino Linotype"/>
          <w:b/>
          <w:sz w:val="24"/>
          <w:szCs w:val="24"/>
          <w:lang w:val="es-419"/>
        </w:rPr>
        <w:t xml:space="preserve"> de agosto de 2022.</w:t>
      </w:r>
    </w:p>
    <w:p w:rsidR="00957355" w:rsidRDefault="00957355"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4C6CE6">
        <w:rPr>
          <w:rFonts w:ascii="Palatino Linotype"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2E08A4">
        <w:rPr>
          <w:rFonts w:ascii="Palatino Linotype" w:hAnsi="Palatino Linotype" w:cs="Arial"/>
          <w:b/>
          <w:sz w:val="24"/>
          <w:szCs w:val="24"/>
          <w:lang w:val="es-419"/>
        </w:rPr>
        <w:t>REVOCA</w:t>
      </w:r>
      <w:r w:rsidRPr="007B6867">
        <w:rPr>
          <w:rFonts w:ascii="Palatino Linotype" w:hAnsi="Palatino Linotype" w:cs="Arial"/>
          <w:sz w:val="24"/>
          <w:szCs w:val="24"/>
        </w:rPr>
        <w:t xml:space="preserve"> la respuesta del sujeto obligado a la solicitud de información número </w:t>
      </w:r>
      <w:r w:rsidR="00812546">
        <w:rPr>
          <w:rFonts w:ascii="Palatino Linotype" w:hAnsi="Palatino Linotype" w:cs="Arial"/>
          <w:b/>
          <w:bCs/>
          <w:sz w:val="24"/>
          <w:lang w:val="es-419" w:eastAsia="es-MX"/>
        </w:rPr>
        <w:t>13915</w:t>
      </w:r>
      <w:r w:rsidR="00615A47">
        <w:rPr>
          <w:rFonts w:ascii="Palatino Linotype" w:hAnsi="Palatino Linotype" w:cs="Arial"/>
          <w:b/>
          <w:bCs/>
          <w:sz w:val="24"/>
          <w:lang w:eastAsia="es-MX"/>
        </w:rPr>
        <w:t>/INFOEM/IP/RR/202</w:t>
      </w:r>
      <w:r w:rsidR="00615A47">
        <w:rPr>
          <w:rFonts w:ascii="Palatino Linotype" w:hAnsi="Palatino Linotype" w:cs="Arial"/>
          <w:b/>
          <w:bCs/>
          <w:sz w:val="24"/>
          <w:lang w:val="es-419" w:eastAsia="es-MX"/>
        </w:rPr>
        <w:t>2</w:t>
      </w:r>
      <w:r w:rsidR="002A6A29">
        <w:rPr>
          <w:rFonts w:ascii="Palatino Linotype" w:hAnsi="Palatino Linotype" w:cs="Arial"/>
          <w:b/>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w:t>
      </w:r>
      <w:r w:rsidR="00004900">
        <w:rPr>
          <w:rFonts w:ascii="Palatino Linotype" w:hAnsi="Palatino Linotype" w:cs="Arial"/>
          <w:sz w:val="24"/>
          <w:szCs w:val="24"/>
        </w:rPr>
        <w:t>sido materia del presente fallo, p</w:t>
      </w:r>
      <w:r w:rsidRPr="007B6867">
        <w:rPr>
          <w:rFonts w:ascii="Palatino Linotype" w:hAnsi="Palatino Linotype" w:cs="Arial"/>
          <w:sz w:val="24"/>
          <w:szCs w:val="24"/>
        </w:rPr>
        <w:t>or lo antes expuesto y fundado es de resolverse y;</w:t>
      </w:r>
    </w:p>
    <w:p w:rsidR="00AD3A94" w:rsidRPr="007B6867" w:rsidRDefault="00AD3A94"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E08A4">
        <w:rPr>
          <w:rFonts w:ascii="Palatino Linotype" w:hAnsi="Palatino Linotype" w:cs="Arial"/>
          <w:b/>
          <w:sz w:val="24"/>
          <w:szCs w:val="24"/>
          <w:lang w:val="es-419"/>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E416C9" w:rsidRPr="00AD0E11">
        <w:rPr>
          <w:rFonts w:ascii="Palatino Linotype" w:hAnsi="Palatino Linotype" w:cs="Arial"/>
          <w:b/>
          <w:sz w:val="24"/>
          <w:szCs w:val="24"/>
          <w:lang w:val="es-419"/>
        </w:rPr>
        <w:t>0</w:t>
      </w:r>
      <w:r w:rsidR="00E416C9">
        <w:rPr>
          <w:rFonts w:ascii="Palatino Linotype" w:hAnsi="Palatino Linotype" w:cs="Arial"/>
          <w:b/>
          <w:sz w:val="24"/>
          <w:szCs w:val="24"/>
          <w:lang w:val="es-419"/>
        </w:rPr>
        <w:t>00</w:t>
      </w:r>
      <w:r w:rsidR="00812546">
        <w:rPr>
          <w:rFonts w:ascii="Palatino Linotype" w:hAnsi="Palatino Linotype" w:cs="Arial"/>
          <w:b/>
          <w:sz w:val="24"/>
          <w:szCs w:val="24"/>
          <w:lang w:val="es-419"/>
        </w:rPr>
        <w:t>95</w:t>
      </w:r>
      <w:r w:rsidR="00E416C9" w:rsidRPr="00AD0E11">
        <w:rPr>
          <w:rFonts w:ascii="Palatino Linotype" w:hAnsi="Palatino Linotype" w:cs="Arial"/>
          <w:b/>
          <w:sz w:val="24"/>
          <w:szCs w:val="24"/>
          <w:lang w:val="es-419"/>
        </w:rPr>
        <w:t>/</w:t>
      </w:r>
      <w:r w:rsidR="00812546">
        <w:rPr>
          <w:rFonts w:ascii="Palatino Linotype" w:hAnsi="Palatino Linotype" w:cs="Arial"/>
          <w:b/>
          <w:sz w:val="24"/>
          <w:szCs w:val="24"/>
          <w:lang w:val="es-419"/>
        </w:rPr>
        <w:t>VIALLEN</w:t>
      </w:r>
      <w:r w:rsidR="00E416C9" w:rsidRPr="00AD0E11">
        <w:rPr>
          <w:rFonts w:ascii="Palatino Linotype" w:hAnsi="Palatino Linotype" w:cs="Arial"/>
          <w:b/>
          <w:sz w:val="24"/>
          <w:szCs w:val="24"/>
          <w:lang w:val="es-419"/>
        </w:rPr>
        <w:t>/IP/</w:t>
      </w:r>
      <w:r w:rsidR="00E416C9">
        <w:rPr>
          <w:rFonts w:ascii="Palatino Linotype" w:hAnsi="Palatino Linotype" w:cs="Arial"/>
          <w:b/>
          <w:sz w:val="24"/>
          <w:szCs w:val="24"/>
        </w:rPr>
        <w:t>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4373D0">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w:t>
      </w:r>
      <w:r w:rsidR="003E2637" w:rsidRPr="003E2637">
        <w:rPr>
          <w:rFonts w:ascii="Palatino Linotype" w:hAnsi="Palatino Linotype" w:cs="Arial"/>
          <w:b/>
          <w:sz w:val="24"/>
          <w:szCs w:val="24"/>
        </w:rPr>
        <w:t>ORDENA</w:t>
      </w:r>
      <w:r w:rsidRPr="007B6867">
        <w:rPr>
          <w:rFonts w:ascii="Palatino Linotype" w:hAnsi="Palatino Linotype" w:cs="Arial"/>
          <w:sz w:val="24"/>
          <w:szCs w:val="24"/>
        </w:rPr>
        <w:t xml:space="preserve">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4373D0">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9B600C">
        <w:rPr>
          <w:rFonts w:ascii="Palatino Linotype" w:hAnsi="Palatino Linotype" w:cs="Arial"/>
          <w:sz w:val="24"/>
          <w:szCs w:val="24"/>
        </w:rPr>
        <w:t>en su caso, en versión pública,</w:t>
      </w:r>
      <w:r w:rsidR="00180879">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812546" w:rsidRDefault="00812546" w:rsidP="00812546">
      <w:pPr>
        <w:spacing w:after="0" w:line="360" w:lineRule="auto"/>
        <w:jc w:val="both"/>
        <w:rPr>
          <w:rFonts w:ascii="Palatino Linotype" w:eastAsia="Palatino Linotype" w:hAnsi="Palatino Linotype" w:cs="Palatino Linotype"/>
          <w:sz w:val="24"/>
          <w:szCs w:val="24"/>
        </w:rPr>
      </w:pPr>
    </w:p>
    <w:p w:rsidR="00812546" w:rsidRDefault="00812546" w:rsidP="00854EAE">
      <w:pPr>
        <w:numPr>
          <w:ilvl w:val="0"/>
          <w:numId w:val="2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de la Unidad Municipal de Control y Bienestar Animal: </w:t>
      </w:r>
    </w:p>
    <w:p w:rsidR="00812546" w:rsidRDefault="00812546" w:rsidP="00812546">
      <w:pPr>
        <w:spacing w:after="0" w:line="360" w:lineRule="auto"/>
        <w:ind w:left="360"/>
        <w:jc w:val="both"/>
        <w:rPr>
          <w:rFonts w:ascii="Palatino Linotype" w:eastAsia="Palatino Linotype" w:hAnsi="Palatino Linotype" w:cs="Palatino Linotype"/>
          <w:i/>
          <w:sz w:val="24"/>
          <w:szCs w:val="24"/>
        </w:rPr>
      </w:pP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Currículum Vitae del Titular;</w:t>
      </w:r>
    </w:p>
    <w:p w:rsidR="00854EAE"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Acta de cabildo mediante la cual se aprobó su creación</w:t>
      </w:r>
      <w:r>
        <w:rPr>
          <w:rFonts w:ascii="Palatino Linotype" w:eastAsia="Palatino Linotype" w:hAnsi="Palatino Linotype" w:cs="Palatino Linotype"/>
          <w:i/>
          <w:sz w:val="24"/>
          <w:szCs w:val="24"/>
        </w:rPr>
        <w:t>;</w:t>
      </w:r>
      <w:r w:rsidRPr="003F1002">
        <w:rPr>
          <w:rFonts w:ascii="Palatino Linotype" w:eastAsia="Palatino Linotype" w:hAnsi="Palatino Linotype" w:cs="Palatino Linotype"/>
          <w:i/>
          <w:sz w:val="24"/>
          <w:szCs w:val="24"/>
        </w:rPr>
        <w:t xml:space="preserve"> </w:t>
      </w:r>
    </w:p>
    <w:p w:rsidR="00854EAE" w:rsidRPr="00501025"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FC0DD4">
        <w:rPr>
          <w:rFonts w:ascii="Palatino Linotype" w:eastAsia="Palatino Linotype" w:hAnsi="Palatino Linotype" w:cs="Palatino Linotype"/>
          <w:i/>
        </w:rPr>
        <w:t xml:space="preserve">Acta </w:t>
      </w:r>
      <w:r>
        <w:rPr>
          <w:rFonts w:ascii="Palatino Linotype" w:eastAsia="Palatino Linotype" w:hAnsi="Palatino Linotype" w:cs="Palatino Linotype"/>
          <w:i/>
        </w:rPr>
        <w:t>Cabildo mediante la cual se aprobó la creación</w:t>
      </w:r>
      <w:r w:rsidRPr="00FC0DD4">
        <w:rPr>
          <w:rFonts w:ascii="Palatino Linotype" w:eastAsia="Palatino Linotype" w:hAnsi="Palatino Linotype" w:cs="Palatino Linotype"/>
          <w:i/>
        </w:rPr>
        <w:t xml:space="preserve"> del Consejo</w:t>
      </w:r>
      <w:r>
        <w:rPr>
          <w:rFonts w:ascii="Palatino Linotype" w:eastAsia="Palatino Linotype" w:hAnsi="Palatino Linotype" w:cs="Palatino Linotype"/>
          <w:i/>
        </w:rPr>
        <w:t xml:space="preserve"> Municipal de Control y Bienestar Animal;</w:t>
      </w:r>
    </w:p>
    <w:p w:rsidR="00854EAE"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Partida presupuestal destinada para el funcionamiento</w:t>
      </w:r>
      <w:r>
        <w:rPr>
          <w:rFonts w:ascii="Palatino Linotype" w:eastAsia="Palatino Linotype" w:hAnsi="Palatino Linotype" w:cs="Palatino Linotype"/>
          <w:i/>
          <w:sz w:val="24"/>
          <w:szCs w:val="24"/>
          <w:lang w:val="es-419"/>
        </w:rPr>
        <w:t xml:space="preserve"> de la Unidad de Control y Bienestar Animal</w:t>
      </w:r>
      <w:r w:rsidRPr="003F1002">
        <w:rPr>
          <w:rFonts w:ascii="Palatino Linotype" w:eastAsia="Palatino Linotype" w:hAnsi="Palatino Linotype" w:cs="Palatino Linotype"/>
          <w:i/>
          <w:sz w:val="24"/>
          <w:szCs w:val="24"/>
        </w:rPr>
        <w:t>;</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Actividades desarrolladas;</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Plan Anual de Trabajo</w:t>
      </w:r>
      <w:r>
        <w:rPr>
          <w:rFonts w:ascii="Palatino Linotype" w:eastAsia="Palatino Linotype" w:hAnsi="Palatino Linotype" w:cs="Palatino Linotype"/>
          <w:i/>
          <w:sz w:val="24"/>
          <w:szCs w:val="24"/>
        </w:rPr>
        <w:t>;</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Número de esterilizaciones mensuales realizadas;</w:t>
      </w:r>
    </w:p>
    <w:p w:rsidR="00854EAE" w:rsidRPr="00301F20"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01F20">
        <w:rPr>
          <w:rFonts w:ascii="Palatino Linotype" w:eastAsia="Palatino Linotype" w:hAnsi="Palatino Linotype" w:cs="Palatino Linotype"/>
          <w:i/>
          <w:sz w:val="24"/>
          <w:szCs w:val="24"/>
        </w:rPr>
        <w:t xml:space="preserve">Número de servicios otorgados </w:t>
      </w:r>
      <w:r w:rsidRPr="00301F20">
        <w:rPr>
          <w:rFonts w:ascii="Palatino Linotype" w:eastAsia="Palatino Linotype" w:hAnsi="Palatino Linotype" w:cs="Palatino Linotype"/>
          <w:b/>
          <w:i/>
          <w:sz w:val="24"/>
          <w:szCs w:val="24"/>
        </w:rPr>
        <w:t>del primero de enero al once de agosto de dos mil veintidós</w:t>
      </w:r>
      <w:r w:rsidRPr="00301F20">
        <w:rPr>
          <w:rFonts w:ascii="Palatino Linotype" w:eastAsia="Palatino Linotype" w:hAnsi="Palatino Linotype" w:cs="Palatino Linotype"/>
          <w:i/>
          <w:sz w:val="24"/>
          <w:szCs w:val="24"/>
        </w:rPr>
        <w:t>;</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Documento donde consten las características que tiene el área destinada donde se encuentra la Unidad</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 xml:space="preserve">Organigrama </w:t>
      </w:r>
      <w:r>
        <w:rPr>
          <w:rFonts w:ascii="Palatino Linotype" w:eastAsia="Palatino Linotype" w:hAnsi="Palatino Linotype" w:cs="Palatino Linotype"/>
          <w:i/>
          <w:sz w:val="24"/>
          <w:szCs w:val="24"/>
        </w:rPr>
        <w:t>v</w:t>
      </w:r>
      <w:r w:rsidRPr="003F1002">
        <w:rPr>
          <w:rFonts w:ascii="Palatino Linotype" w:eastAsia="Palatino Linotype" w:hAnsi="Palatino Linotype" w:cs="Palatino Linotype"/>
          <w:i/>
          <w:sz w:val="24"/>
          <w:szCs w:val="24"/>
        </w:rPr>
        <w:t>igente que contenga a la Unidad y su estructura;</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Servidores públicos adscritos;</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 xml:space="preserve">Capacitaciones otorgadas al personal de la Unidad. </w:t>
      </w:r>
    </w:p>
    <w:p w:rsidR="00854EAE"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Código de Bioética vigente;</w:t>
      </w:r>
    </w:p>
    <w:p w:rsidR="00854EAE" w:rsidRPr="00AA1105" w:rsidRDefault="00AA1105" w:rsidP="00854EAE">
      <w:pPr>
        <w:numPr>
          <w:ilvl w:val="1"/>
          <w:numId w:val="27"/>
        </w:numPr>
        <w:spacing w:after="0" w:line="360" w:lineRule="auto"/>
        <w:jc w:val="both"/>
        <w:rPr>
          <w:rFonts w:ascii="Palatino Linotype" w:eastAsia="Palatino Linotype" w:hAnsi="Palatino Linotype" w:cs="Palatino Linotype"/>
          <w:i/>
          <w:sz w:val="24"/>
          <w:szCs w:val="24"/>
          <w:lang w:val="es-419"/>
        </w:rPr>
      </w:pPr>
      <w:r w:rsidRPr="00AA1105">
        <w:rPr>
          <w:rFonts w:ascii="Palatino Linotype" w:eastAsia="Palatino Linotype" w:hAnsi="Palatino Linotype" w:cs="Palatino Linotype"/>
          <w:i/>
          <w:sz w:val="24"/>
          <w:szCs w:val="24"/>
          <w:lang w:val="es-419"/>
        </w:rPr>
        <w:t>Documento donde conste si se ha solicitado a algún sector de la sociedad civil o empresarial su colaboración para el desempeño de las actividades de la Unidad</w:t>
      </w:r>
      <w:r w:rsidR="002E08A4">
        <w:rPr>
          <w:rFonts w:ascii="Palatino Linotype" w:eastAsia="Palatino Linotype" w:hAnsi="Palatino Linotype" w:cs="Palatino Linotype"/>
          <w:i/>
          <w:sz w:val="24"/>
          <w:szCs w:val="24"/>
          <w:lang w:val="es-419"/>
        </w:rPr>
        <w:t>;</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Vacunas que se aplican a la población destino;</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Costo de los servicios brindados en el Centro mencionado;</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lastRenderedPageBreak/>
        <w:t>Medios de comunicación para difundir los programas de Control y Bienestar Animal;</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Protocolo para la atención a los reportes de maltrato animal;</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Manual de procedimientos, organigrama y normatividad relacionada;</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Equipo utilizado para proporcionar servicio médico veterinario;</w:t>
      </w:r>
    </w:p>
    <w:p w:rsidR="00854EAE" w:rsidRPr="003F1002"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Número de unidades móviles utilizadas para el control poblacional animal;</w:t>
      </w:r>
    </w:p>
    <w:p w:rsidR="00812546"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3F1002">
        <w:rPr>
          <w:rFonts w:ascii="Palatino Linotype" w:eastAsia="Palatino Linotype" w:hAnsi="Palatino Linotype" w:cs="Palatino Linotype"/>
          <w:i/>
          <w:sz w:val="24"/>
          <w:szCs w:val="24"/>
        </w:rPr>
        <w:t xml:space="preserve">Número de denuncias de maltrato animal presentadas </w:t>
      </w:r>
      <w:r w:rsidRPr="00301F20">
        <w:rPr>
          <w:rFonts w:ascii="Palatino Linotype" w:eastAsia="Palatino Linotype" w:hAnsi="Palatino Linotype" w:cs="Palatino Linotype"/>
          <w:b/>
          <w:i/>
          <w:sz w:val="24"/>
          <w:szCs w:val="24"/>
        </w:rPr>
        <w:t>del primero de enero al once de agosto de dos mil veintidós</w:t>
      </w:r>
      <w:r w:rsidRPr="003F1002">
        <w:rPr>
          <w:rFonts w:ascii="Palatino Linotype" w:eastAsia="Palatino Linotype" w:hAnsi="Palatino Linotype" w:cs="Palatino Linotype"/>
          <w:i/>
          <w:sz w:val="24"/>
          <w:szCs w:val="24"/>
        </w:rPr>
        <w:t>, junto con la atención brindada y estatus actual.</w:t>
      </w:r>
    </w:p>
    <w:p w:rsidR="007B4E67" w:rsidRPr="00381933" w:rsidRDefault="007B4E67" w:rsidP="00957355">
      <w:pPr>
        <w:spacing w:after="0" w:line="360" w:lineRule="auto"/>
        <w:jc w:val="both"/>
        <w:rPr>
          <w:rFonts w:ascii="Palatino Linotype" w:hAnsi="Palatino Linotype" w:cs="Arial"/>
          <w:sz w:val="24"/>
          <w:szCs w:val="24"/>
          <w:lang w:val="es-419"/>
        </w:rPr>
      </w:pPr>
    </w:p>
    <w:p w:rsidR="002E08A4" w:rsidRDefault="002E08A4" w:rsidP="00957355">
      <w:pPr>
        <w:pStyle w:val="Prrafodelista"/>
        <w:autoSpaceDE w:val="0"/>
        <w:autoSpaceDN w:val="0"/>
        <w:adjustRightInd w:val="0"/>
        <w:spacing w:line="360" w:lineRule="auto"/>
        <w:ind w:left="720"/>
        <w:jc w:val="both"/>
        <w:rPr>
          <w:rFonts w:ascii="Palatino Linotype" w:hAnsi="Palatino Linotype" w:cs="Arial"/>
          <w:i/>
          <w:lang w:val="es-419"/>
        </w:rPr>
      </w:pPr>
      <w:r>
        <w:rPr>
          <w:rFonts w:ascii="Palatino Linotype" w:hAnsi="Palatino Linotype" w:cs="Arial"/>
          <w:i/>
          <w:lang w:val="es-419"/>
        </w:rPr>
        <w:t>La anterior información deberá comprender el periodo d</w:t>
      </w:r>
      <w:r w:rsidRPr="002E08A4">
        <w:rPr>
          <w:rFonts w:ascii="Palatino Linotype" w:hAnsi="Palatino Linotype" w:cs="Arial"/>
          <w:i/>
          <w:lang w:val="es-419"/>
        </w:rPr>
        <w:t xml:space="preserve">el </w:t>
      </w:r>
      <w:r>
        <w:rPr>
          <w:rFonts w:ascii="Palatino Linotype" w:hAnsi="Palatino Linotype" w:cs="Arial"/>
          <w:i/>
          <w:lang w:val="es-419"/>
        </w:rPr>
        <w:t>dieciséis</w:t>
      </w:r>
      <w:r w:rsidRPr="002E08A4">
        <w:rPr>
          <w:rFonts w:ascii="Palatino Linotype" w:hAnsi="Palatino Linotype" w:cs="Arial"/>
          <w:i/>
          <w:lang w:val="es-419"/>
        </w:rPr>
        <w:t xml:space="preserve"> de agosto de </w:t>
      </w:r>
      <w:r>
        <w:rPr>
          <w:rFonts w:ascii="Palatino Linotype" w:hAnsi="Palatino Linotype" w:cs="Arial"/>
          <w:i/>
          <w:lang w:val="es-419"/>
        </w:rPr>
        <w:t>dos mil veintiuno</w:t>
      </w:r>
      <w:r w:rsidRPr="002E08A4">
        <w:rPr>
          <w:rFonts w:ascii="Palatino Linotype" w:hAnsi="Palatino Linotype" w:cs="Arial"/>
          <w:i/>
          <w:lang w:val="es-419"/>
        </w:rPr>
        <w:t xml:space="preserve"> al </w:t>
      </w:r>
      <w:r>
        <w:rPr>
          <w:rFonts w:ascii="Palatino Linotype" w:hAnsi="Palatino Linotype" w:cs="Arial"/>
          <w:i/>
          <w:lang w:val="es-419"/>
        </w:rPr>
        <w:t>dieciséis</w:t>
      </w:r>
      <w:r w:rsidRPr="002E08A4">
        <w:rPr>
          <w:rFonts w:ascii="Palatino Linotype" w:hAnsi="Palatino Linotype" w:cs="Arial"/>
          <w:i/>
          <w:lang w:val="es-419"/>
        </w:rPr>
        <w:t xml:space="preserve"> de agosto de </w:t>
      </w:r>
      <w:r>
        <w:rPr>
          <w:rFonts w:ascii="Palatino Linotype" w:hAnsi="Palatino Linotype" w:cs="Arial"/>
          <w:i/>
          <w:lang w:val="es-419"/>
        </w:rPr>
        <w:t>dos mil veintidós, con excepción de los puntos ocho (8) y veintitrés (23)</w:t>
      </w:r>
    </w:p>
    <w:p w:rsidR="002E08A4" w:rsidRDefault="002E08A4" w:rsidP="00957355">
      <w:pPr>
        <w:pStyle w:val="Prrafodelista"/>
        <w:autoSpaceDE w:val="0"/>
        <w:autoSpaceDN w:val="0"/>
        <w:adjustRightInd w:val="0"/>
        <w:spacing w:line="360" w:lineRule="auto"/>
        <w:ind w:left="720"/>
        <w:jc w:val="both"/>
        <w:rPr>
          <w:rFonts w:ascii="Palatino Linotype" w:hAnsi="Palatino Linotype" w:cs="Arial"/>
          <w:i/>
          <w:lang w:val="es-419"/>
        </w:rPr>
      </w:pPr>
    </w:p>
    <w:p w:rsidR="0085307B" w:rsidRPr="0085307B" w:rsidRDefault="0085307B" w:rsidP="00957355">
      <w:pPr>
        <w:pStyle w:val="Prrafodelista"/>
        <w:autoSpaceDE w:val="0"/>
        <w:autoSpaceDN w:val="0"/>
        <w:adjustRightInd w:val="0"/>
        <w:spacing w:line="360" w:lineRule="auto"/>
        <w:ind w:left="720"/>
        <w:jc w:val="both"/>
        <w:rPr>
          <w:rFonts w:ascii="Palatino Linotype" w:hAnsi="Palatino Linotype" w:cs="Arial"/>
          <w:i/>
          <w:lang w:val="es-419"/>
        </w:rPr>
      </w:pPr>
      <w:r w:rsidRPr="0085307B">
        <w:rPr>
          <w:rFonts w:ascii="Palatino Linotype" w:hAnsi="Palatino Linotype" w:cs="Arial"/>
          <w:i/>
          <w:lang w:val="es-419"/>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85307B" w:rsidRDefault="0085307B" w:rsidP="00957355">
      <w:pPr>
        <w:spacing w:after="0" w:line="360" w:lineRule="auto"/>
        <w:jc w:val="both"/>
        <w:rPr>
          <w:rFonts w:ascii="Palatino Linotype" w:hAnsi="Palatino Linotype" w:cs="Arial"/>
          <w:sz w:val="24"/>
          <w:szCs w:val="24"/>
          <w:lang w:val="es-419"/>
        </w:rPr>
      </w:pPr>
    </w:p>
    <w:p w:rsidR="00812546" w:rsidRPr="00812546" w:rsidRDefault="00D15BD9" w:rsidP="00957355">
      <w:pPr>
        <w:pStyle w:val="Prrafodelista"/>
        <w:autoSpaceDE w:val="0"/>
        <w:autoSpaceDN w:val="0"/>
        <w:adjustRightInd w:val="0"/>
        <w:spacing w:line="360" w:lineRule="auto"/>
        <w:ind w:left="720"/>
        <w:jc w:val="both"/>
        <w:rPr>
          <w:rFonts w:ascii="Palatino Linotype" w:hAnsi="Palatino Linotype" w:cs="Arial"/>
          <w:i/>
          <w:lang w:val="es-419"/>
        </w:rPr>
      </w:pPr>
      <w:r>
        <w:rPr>
          <w:rFonts w:ascii="Palatino Linotype" w:hAnsi="Palatino Linotype" w:cs="Arial"/>
          <w:i/>
          <w:lang w:val="es-419"/>
        </w:rPr>
        <w:t>Para el</w:t>
      </w:r>
      <w:r w:rsidR="00812546" w:rsidRPr="00812546">
        <w:rPr>
          <w:rFonts w:ascii="Palatino Linotype" w:hAnsi="Palatino Linotype" w:cs="Arial"/>
          <w:i/>
          <w:lang w:val="es-419"/>
        </w:rPr>
        <w:t xml:space="preserve"> caso de que</w:t>
      </w:r>
      <w:r w:rsidR="00854EAE">
        <w:rPr>
          <w:rFonts w:ascii="Palatino Linotype" w:hAnsi="Palatino Linotype" w:cs="Arial"/>
          <w:i/>
          <w:lang w:val="es-419"/>
        </w:rPr>
        <w:t>,</w:t>
      </w:r>
      <w:r w:rsidR="00812546" w:rsidRPr="00812546">
        <w:rPr>
          <w:rFonts w:ascii="Palatino Linotype" w:hAnsi="Palatino Linotype" w:cs="Arial"/>
          <w:i/>
          <w:lang w:val="es-419"/>
        </w:rPr>
        <w:t xml:space="preserve"> una vez realizada la búsqueda, no obre la información, bastará con que el sujeto obligado lo manifie</w:t>
      </w:r>
      <w:r w:rsidR="00854EAE">
        <w:rPr>
          <w:rFonts w:ascii="Palatino Linotype" w:hAnsi="Palatino Linotype" w:cs="Arial"/>
          <w:i/>
          <w:lang w:val="es-419"/>
        </w:rPr>
        <w:t xml:space="preserve">sta de forma fundada y motivada, en términos del segundo párrafo del artículo 19 de la </w:t>
      </w:r>
      <w:r w:rsidR="00854EAE" w:rsidRPr="0085307B">
        <w:rPr>
          <w:rFonts w:ascii="Palatino Linotype" w:hAnsi="Palatino Linotype" w:cs="Arial"/>
          <w:i/>
          <w:lang w:val="es-419"/>
        </w:rPr>
        <w:t>Ley de Transparencia y Acceso a la Información Pública del Estado de México y Municipios</w:t>
      </w:r>
      <w:r w:rsidR="00854EAE">
        <w:rPr>
          <w:rFonts w:ascii="Palatino Linotype" w:hAnsi="Palatino Linotype" w:cs="Arial"/>
          <w:i/>
          <w:lang w:val="es-419"/>
        </w:rPr>
        <w:t>.</w:t>
      </w:r>
    </w:p>
    <w:p w:rsidR="00812546" w:rsidRDefault="00812546" w:rsidP="00180879">
      <w:pPr>
        <w:tabs>
          <w:tab w:val="left" w:pos="7938"/>
        </w:tabs>
        <w:spacing w:after="0" w:line="360" w:lineRule="auto"/>
        <w:jc w:val="both"/>
        <w:rPr>
          <w:rFonts w:ascii="Palatino Linotype" w:hAnsi="Palatino Linotype" w:cs="Arial"/>
          <w:sz w:val="24"/>
          <w:szCs w:val="24"/>
          <w:lang w:val="es-419"/>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00FF34A2" w:rsidRPr="00655F9F">
        <w:rPr>
          <w:rFonts w:ascii="Palatino Linotype" w:hAnsi="Palatino Linotype" w:cs="Arial"/>
          <w:b/>
          <w:bCs/>
          <w:sz w:val="24"/>
          <w:szCs w:val="28"/>
        </w:rPr>
        <w:t>Notifíquese</w:t>
      </w:r>
      <w:r w:rsidR="00FF34A2" w:rsidRPr="00655F9F">
        <w:rPr>
          <w:rFonts w:ascii="Palatino Linotype" w:hAnsi="Palatino Linotype" w:cs="Arial"/>
          <w:bCs/>
          <w:sz w:val="24"/>
          <w:szCs w:val="28"/>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FF34A2">
        <w:rPr>
          <w:rFonts w:ascii="Palatino Linotype" w:hAnsi="Palatino Linotype" w:cs="Arial"/>
          <w:bCs/>
          <w:szCs w:val="28"/>
        </w:rPr>
        <w:t xml:space="preserve"> III; 214, 215 y 216 de la Ley </w:t>
      </w:r>
      <w:r w:rsidR="00FF34A2" w:rsidRPr="00655F9F">
        <w:rPr>
          <w:rFonts w:ascii="Palatino Linotype" w:hAnsi="Palatino Linotype" w:cs="Arial"/>
          <w:bCs/>
          <w:sz w:val="24"/>
          <w:szCs w:val="28"/>
        </w:rPr>
        <w:t>de Transparencia y Acceso a la Información Pública del Estado de México y Municipios.</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160150"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63D71">
        <w:rPr>
          <w:rFonts w:ascii="Palatino Linotype" w:hAnsi="Palatino Linotype" w:cs="Arial"/>
          <w:sz w:val="24"/>
          <w:szCs w:val="24"/>
        </w:rPr>
        <w:t xml:space="preserve">EN LA </w:t>
      </w:r>
      <w:r w:rsidR="00063D71">
        <w:rPr>
          <w:rFonts w:ascii="Palatino Linotype" w:hAnsi="Palatino Linotype" w:cs="Arial"/>
          <w:sz w:val="24"/>
          <w:szCs w:val="24"/>
          <w:lang w:val="es-419"/>
        </w:rPr>
        <w:t xml:space="preserve">DÉCIMA SÉPTIMA </w:t>
      </w:r>
      <w:r w:rsidR="00063D71">
        <w:rPr>
          <w:rFonts w:ascii="Palatino Linotype" w:hAnsi="Palatino Linotype" w:cs="Arial"/>
          <w:sz w:val="24"/>
          <w:szCs w:val="24"/>
        </w:rPr>
        <w:t xml:space="preserve">SESIÓN ORDINARIA CELEBRADA EL </w:t>
      </w:r>
      <w:r w:rsidR="00063D71">
        <w:rPr>
          <w:rFonts w:ascii="Palatino Linotype" w:eastAsia="Times New Roman" w:hAnsi="Palatino Linotype" w:cs="Arial"/>
          <w:color w:val="000000"/>
          <w:sz w:val="24"/>
          <w:szCs w:val="24"/>
          <w:lang w:val="es-419" w:eastAsia="es-MX"/>
        </w:rPr>
        <w:t>DIEZ DE MAYO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 xml:space="preserve">DE DOS MIL </w:t>
      </w:r>
      <w:r w:rsidR="00BA22CB">
        <w:rPr>
          <w:rFonts w:ascii="Palatino Linotype" w:hAnsi="Palatino Linotype" w:cs="Arial"/>
          <w:sz w:val="24"/>
          <w:szCs w:val="24"/>
          <w:lang w:val="es-419"/>
        </w:rPr>
        <w:t>VEINTITRÉS</w:t>
      </w:r>
      <w:r w:rsidRPr="00C45081">
        <w:rPr>
          <w:rFonts w:ascii="Palatino Linotype" w:hAnsi="Palatino Linotype" w:cs="Arial"/>
          <w:sz w:val="24"/>
          <w:szCs w:val="24"/>
        </w:rPr>
        <w:t>, ANTE EL SECRETARIO TÉCNICO DEL PLENO, ALEXIS TAPIA RAMÍREZ. ---------</w:t>
      </w:r>
      <w:r w:rsidR="00160150">
        <w:rPr>
          <w:rFonts w:ascii="Palatino Linotype" w:hAnsi="Palatino Linotype" w:cs="Arial"/>
          <w:sz w:val="24"/>
          <w:szCs w:val="24"/>
          <w:lang w:val="es-419"/>
        </w:rPr>
        <w:t>---------------</w:t>
      </w:r>
      <w:r w:rsidR="00982718">
        <w:rPr>
          <w:rFonts w:ascii="Palatino Linotype" w:hAnsi="Palatino Linotype" w:cs="Arial"/>
          <w:sz w:val="24"/>
          <w:szCs w:val="24"/>
          <w:lang w:val="es-419"/>
        </w:rPr>
        <w:t>---------------------------------------</w:t>
      </w:r>
      <w:r w:rsidR="00216432">
        <w:rPr>
          <w:rFonts w:ascii="Palatino Linotype" w:hAnsi="Palatino Linotype" w:cs="Arial"/>
          <w:sz w:val="24"/>
          <w:szCs w:val="24"/>
          <w:lang w:val="es-419"/>
        </w:rPr>
        <w:t>-</w:t>
      </w:r>
      <w:r w:rsidR="00004900">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E669B8" w:rsidRPr="00692461">
        <w:rPr>
          <w:rFonts w:ascii="Palatino Linotype" w:hAnsi="Palatino Linotype" w:cs="Arial"/>
          <w:sz w:val="24"/>
          <w:szCs w:val="24"/>
        </w:rPr>
        <w:t>------------------------------------------------------------------------------------------------------------------------------------------------------------------------------------------------------------------------------------------------------------------------------------------------------------------------------------------------------------------------------------------------------------------------------------------------------------------------------------------------------------------------------------------------------------------------------------------------------------------------------------------------------------------------------------------------------------------------------------------------------------------------------------------------------------------------------------------------------------------------------------------------------------------------------------------------------------------------------------------------------------------------------------------------------------------------------------------------------------------------------------------------------------------------------------------------------------------------------------------------------------------------------------------------------------------------------------------------------------------------------</w:t>
      </w:r>
      <w:r w:rsidR="00E669B8">
        <w:rPr>
          <w:rFonts w:ascii="Palatino Linotype" w:hAnsi="Palatino Linotype" w:cs="Arial"/>
          <w:sz w:val="24"/>
          <w:szCs w:val="24"/>
        </w:rPr>
        <w:t>------------------------------</w:t>
      </w:r>
      <w:r w:rsidR="00E669B8" w:rsidRPr="0069246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EB5C9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27" w:rsidRDefault="00146227" w:rsidP="00337A3D">
      <w:pPr>
        <w:spacing w:after="0" w:line="240" w:lineRule="auto"/>
      </w:pPr>
      <w:r>
        <w:separator/>
      </w:r>
    </w:p>
  </w:endnote>
  <w:endnote w:type="continuationSeparator" w:id="0">
    <w:p w:rsidR="00146227" w:rsidRDefault="0014622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46227" w:rsidRPr="002D6DD8" w:rsidRDefault="0014622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3CA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3CAF">
              <w:rPr>
                <w:rFonts w:ascii="Palatino Linotype" w:hAnsi="Palatino Linotype"/>
                <w:bCs/>
                <w:noProof/>
                <w:sz w:val="20"/>
              </w:rPr>
              <w:t>44</w:t>
            </w:r>
            <w:r>
              <w:rPr>
                <w:rFonts w:ascii="Palatino Linotype" w:hAnsi="Palatino Linotype"/>
                <w:bCs/>
                <w:noProof/>
                <w:sz w:val="20"/>
              </w:rPr>
              <w:fldChar w:fldCharType="end"/>
            </w:r>
          </w:p>
        </w:sdtContent>
      </w:sdt>
    </w:sdtContent>
  </w:sdt>
  <w:p w:rsidR="00146227" w:rsidRDefault="001462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27" w:rsidRPr="000B69FA" w:rsidRDefault="0014622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3C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3CAF">
      <w:rPr>
        <w:rFonts w:ascii="Palatino Linotype" w:hAnsi="Palatino Linotype"/>
        <w:bCs/>
        <w:noProof/>
        <w:sz w:val="20"/>
      </w:rPr>
      <w:t>44</w:t>
    </w:r>
    <w:r>
      <w:rPr>
        <w:rFonts w:ascii="Palatino Linotype" w:hAnsi="Palatino Linotype"/>
        <w:bCs/>
        <w:noProof/>
        <w:sz w:val="20"/>
      </w:rPr>
      <w:fldChar w:fldCharType="end"/>
    </w:r>
  </w:p>
  <w:p w:rsidR="00146227" w:rsidRDefault="001462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27" w:rsidRDefault="00146227" w:rsidP="00337A3D">
      <w:pPr>
        <w:spacing w:after="0" w:line="240" w:lineRule="auto"/>
      </w:pPr>
      <w:r>
        <w:separator/>
      </w:r>
    </w:p>
  </w:footnote>
  <w:footnote w:type="continuationSeparator" w:id="0">
    <w:p w:rsidR="00146227" w:rsidRDefault="00146227" w:rsidP="00337A3D">
      <w:pPr>
        <w:spacing w:after="0" w:line="240" w:lineRule="auto"/>
      </w:pPr>
      <w:r>
        <w:continuationSeparator/>
      </w:r>
    </w:p>
  </w:footnote>
  <w:footnote w:id="1">
    <w:p w:rsidR="00146227" w:rsidRPr="008A64CB" w:rsidRDefault="00146227" w:rsidP="003C6515">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146227" w:rsidRPr="008A64CB" w:rsidRDefault="00146227" w:rsidP="003C651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46227" w:rsidRPr="008A64CB" w:rsidRDefault="00146227" w:rsidP="003C651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146227" w:rsidTr="00FB11A5">
      <w:trPr>
        <w:trHeight w:val="227"/>
      </w:trPr>
      <w:tc>
        <w:tcPr>
          <w:tcW w:w="5529" w:type="dxa"/>
          <w:hideMark/>
        </w:tcPr>
        <w:p w:rsidR="00146227" w:rsidRPr="00641471" w:rsidRDefault="00146227"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146227" w:rsidRPr="00641471" w:rsidRDefault="00146227" w:rsidP="0097645A">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13915</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146227" w:rsidTr="00FB11A5">
      <w:trPr>
        <w:trHeight w:val="242"/>
      </w:trPr>
      <w:tc>
        <w:tcPr>
          <w:tcW w:w="5529" w:type="dxa"/>
          <w:vAlign w:val="center"/>
          <w:hideMark/>
        </w:tcPr>
        <w:p w:rsidR="00146227" w:rsidRPr="00641471" w:rsidRDefault="00146227"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146227" w:rsidRPr="00DE7467" w:rsidRDefault="00146227" w:rsidP="0097645A">
          <w:pPr>
            <w:spacing w:after="120" w:line="256" w:lineRule="auto"/>
            <w:ind w:left="-486" w:right="214" w:firstLine="284"/>
            <w:jc w:val="right"/>
            <w:rPr>
              <w:rFonts w:ascii="Palatino Linotype" w:hAnsi="Palatino Linotype" w:cs="Arial"/>
              <w:b/>
              <w:szCs w:val="20"/>
              <w:lang w:val="es-419"/>
            </w:rPr>
          </w:pPr>
          <w:r w:rsidRPr="00911346">
            <w:rPr>
              <w:rFonts w:ascii="Palatino Linotype" w:hAnsi="Palatino Linotype" w:cs="Arial"/>
              <w:b/>
              <w:szCs w:val="20"/>
              <w:lang w:val="es-419"/>
            </w:rPr>
            <w:t xml:space="preserve">Ayuntamiento de </w:t>
          </w:r>
          <w:r>
            <w:rPr>
              <w:rFonts w:ascii="Palatino Linotype" w:hAnsi="Palatino Linotype" w:cs="Arial"/>
              <w:b/>
              <w:szCs w:val="20"/>
              <w:lang w:val="es-419"/>
            </w:rPr>
            <w:t>Villa de Allende</w:t>
          </w:r>
        </w:p>
      </w:tc>
    </w:tr>
    <w:tr w:rsidR="00146227" w:rsidTr="00FB11A5">
      <w:trPr>
        <w:trHeight w:val="342"/>
      </w:trPr>
      <w:tc>
        <w:tcPr>
          <w:tcW w:w="5529" w:type="dxa"/>
          <w:hideMark/>
        </w:tcPr>
        <w:p w:rsidR="00146227" w:rsidRPr="00641471" w:rsidRDefault="00146227"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146227" w:rsidRPr="00641471" w:rsidRDefault="00146227"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46227" w:rsidRPr="00AE046A" w:rsidRDefault="00146227"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146227" w:rsidTr="00FB11A5">
      <w:trPr>
        <w:trHeight w:val="227"/>
      </w:trPr>
      <w:tc>
        <w:tcPr>
          <w:tcW w:w="5813" w:type="dxa"/>
          <w:hideMark/>
        </w:tcPr>
        <w:p w:rsidR="00146227" w:rsidRPr="00641471" w:rsidRDefault="00146227"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146227" w:rsidRPr="006055A5" w:rsidRDefault="00146227" w:rsidP="0097645A">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13915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146227" w:rsidRPr="00911346" w:rsidTr="00FB11A5">
      <w:trPr>
        <w:trHeight w:val="242"/>
      </w:trPr>
      <w:tc>
        <w:tcPr>
          <w:tcW w:w="5813" w:type="dxa"/>
          <w:vAlign w:val="center"/>
          <w:hideMark/>
        </w:tcPr>
        <w:p w:rsidR="00146227" w:rsidRPr="00641471" w:rsidRDefault="00146227"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146227" w:rsidRPr="009F58DF" w:rsidRDefault="00146227" w:rsidP="0097645A">
          <w:pPr>
            <w:spacing w:after="120" w:line="256" w:lineRule="auto"/>
            <w:ind w:right="71"/>
            <w:jc w:val="right"/>
            <w:rPr>
              <w:rFonts w:ascii="Palatino Linotype" w:hAnsi="Palatino Linotype" w:cs="Arial"/>
              <w:b/>
              <w:szCs w:val="20"/>
              <w:lang w:val="es-419"/>
            </w:rPr>
          </w:pPr>
          <w:r w:rsidRPr="00911346">
            <w:rPr>
              <w:rFonts w:ascii="Palatino Linotype" w:hAnsi="Palatino Linotype" w:cs="Arial"/>
              <w:b/>
              <w:szCs w:val="20"/>
              <w:lang w:val="es-419"/>
            </w:rPr>
            <w:t xml:space="preserve">Ayuntamiento de </w:t>
          </w:r>
          <w:r>
            <w:rPr>
              <w:rFonts w:ascii="Palatino Linotype" w:hAnsi="Palatino Linotype" w:cs="Arial"/>
              <w:b/>
              <w:szCs w:val="20"/>
              <w:lang w:val="es-419"/>
            </w:rPr>
            <w:t>Villa de Allende</w:t>
          </w:r>
        </w:p>
      </w:tc>
    </w:tr>
    <w:tr w:rsidR="00146227" w:rsidRPr="006B41B6" w:rsidTr="00FB11A5">
      <w:trPr>
        <w:trHeight w:val="342"/>
      </w:trPr>
      <w:tc>
        <w:tcPr>
          <w:tcW w:w="5813" w:type="dxa"/>
        </w:tcPr>
        <w:p w:rsidR="00146227" w:rsidRPr="00641471" w:rsidRDefault="0014622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146227" w:rsidRPr="006B41B6" w:rsidRDefault="00FB3CAF"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Cs w:val="20"/>
              <w:lang w:val="es-419"/>
            </w:rPr>
            <w:t>XXXXXXXXXXX</w:t>
          </w:r>
        </w:p>
      </w:tc>
    </w:tr>
    <w:tr w:rsidR="00146227" w:rsidTr="00FB11A5">
      <w:trPr>
        <w:trHeight w:val="342"/>
      </w:trPr>
      <w:tc>
        <w:tcPr>
          <w:tcW w:w="5813" w:type="dxa"/>
        </w:tcPr>
        <w:p w:rsidR="00146227" w:rsidRPr="00641471" w:rsidRDefault="0014622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146227" w:rsidRPr="00641471" w:rsidRDefault="00146227"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146227" w:rsidRPr="00C222C0" w:rsidRDefault="0014622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EC2879" wp14:editId="1CD97FD4">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660CD"/>
    <w:multiLevelType w:val="hybridMultilevel"/>
    <w:tmpl w:val="D8A6D42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8723E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FC335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E57E41"/>
    <w:multiLevelType w:val="hybridMultilevel"/>
    <w:tmpl w:val="2974B0E2"/>
    <w:lvl w:ilvl="0" w:tplc="C5C8102A">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E71AEC"/>
    <w:multiLevelType w:val="hybridMultilevel"/>
    <w:tmpl w:val="D324CCA6"/>
    <w:lvl w:ilvl="0" w:tplc="39AE517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A2036D"/>
    <w:multiLevelType w:val="hybridMultilevel"/>
    <w:tmpl w:val="0E9CCB9C"/>
    <w:lvl w:ilvl="0" w:tplc="817C1164">
      <w:numFmt w:val="bullet"/>
      <w:lvlText w:val="-"/>
      <w:lvlJc w:val="left"/>
      <w:pPr>
        <w:ind w:left="1494" w:hanging="360"/>
      </w:pPr>
      <w:rPr>
        <w:rFonts w:ascii="Palatino Linotype" w:eastAsiaTheme="minorHAnsi" w:hAnsi="Palatino Linotype" w:cs="Arial" w:hint="default"/>
      </w:rPr>
    </w:lvl>
    <w:lvl w:ilvl="1" w:tplc="580A0019">
      <w:start w:val="1"/>
      <w:numFmt w:val="lowerLetter"/>
      <w:lvlText w:val="%2."/>
      <w:lvlJc w:val="left"/>
      <w:pPr>
        <w:ind w:left="2214" w:hanging="360"/>
      </w:pPr>
      <w:rPr>
        <w:rFonts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20" w15:restartNumberingAfterBreak="0">
    <w:nsid w:val="7D2C470C"/>
    <w:multiLevelType w:val="hybridMultilevel"/>
    <w:tmpl w:val="D70810B2"/>
    <w:lvl w:ilvl="0" w:tplc="FF201FB6">
      <w:start w:val="1"/>
      <w:numFmt w:val="decimal"/>
      <w:lvlText w:val="%1."/>
      <w:lvlJc w:val="left"/>
      <w:pPr>
        <w:ind w:left="720" w:hanging="360"/>
      </w:pPr>
      <w:rPr>
        <w:rFonts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17"/>
  </w:num>
  <w:num w:numId="3">
    <w:abstractNumId w:val="19"/>
  </w:num>
  <w:num w:numId="4">
    <w:abstractNumId w:val="3"/>
  </w:num>
  <w:num w:numId="5">
    <w:abstractNumId w:val="2"/>
  </w:num>
  <w:num w:numId="6">
    <w:abstractNumId w:val="13"/>
  </w:num>
  <w:num w:numId="7">
    <w:abstractNumId w:val="14"/>
  </w:num>
  <w:num w:numId="8">
    <w:abstractNumId w:val="16"/>
  </w:num>
  <w:num w:numId="9">
    <w:abstractNumId w:val="15"/>
  </w:num>
  <w:num w:numId="10">
    <w:abstractNumId w:val="7"/>
  </w:num>
  <w:num w:numId="11">
    <w:abstractNumId w:val="11"/>
  </w:num>
  <w:num w:numId="12">
    <w:abstractNumId w:val="18"/>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8"/>
  </w:num>
  <w:num w:numId="21">
    <w:abstractNumId w:val="19"/>
    <w:lvlOverride w:ilvl="0"/>
    <w:lvlOverride w:ilvl="1">
      <w:startOverride w:val="1"/>
    </w:lvlOverride>
    <w:lvlOverride w:ilvl="2"/>
    <w:lvlOverride w:ilvl="3"/>
    <w:lvlOverride w:ilvl="4"/>
    <w:lvlOverride w:ilvl="5"/>
    <w:lvlOverride w:ilvl="6"/>
    <w:lvlOverride w:ilvl="7"/>
    <w:lvlOverride w:ilvl="8"/>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
  </w:num>
  <w:num w:numId="26">
    <w:abstractNumId w:val="5"/>
  </w:num>
  <w:num w:numId="27">
    <w:abstractNumId w:val="6"/>
  </w:num>
  <w:num w:numId="28">
    <w:abstractNumId w:val="10"/>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598"/>
    <w:rsid w:val="00004900"/>
    <w:rsid w:val="00006F24"/>
    <w:rsid w:val="00015608"/>
    <w:rsid w:val="0001580B"/>
    <w:rsid w:val="00020781"/>
    <w:rsid w:val="0002413E"/>
    <w:rsid w:val="000253C6"/>
    <w:rsid w:val="00026A75"/>
    <w:rsid w:val="00027C95"/>
    <w:rsid w:val="000346A5"/>
    <w:rsid w:val="00034C33"/>
    <w:rsid w:val="000356A3"/>
    <w:rsid w:val="00036F8B"/>
    <w:rsid w:val="000415E1"/>
    <w:rsid w:val="00045A3E"/>
    <w:rsid w:val="00045D7D"/>
    <w:rsid w:val="0004621B"/>
    <w:rsid w:val="00052778"/>
    <w:rsid w:val="00055291"/>
    <w:rsid w:val="000614B3"/>
    <w:rsid w:val="00063D71"/>
    <w:rsid w:val="00064B4A"/>
    <w:rsid w:val="00064E75"/>
    <w:rsid w:val="00065A0A"/>
    <w:rsid w:val="00066174"/>
    <w:rsid w:val="00066B05"/>
    <w:rsid w:val="000713A7"/>
    <w:rsid w:val="000803DE"/>
    <w:rsid w:val="00081381"/>
    <w:rsid w:val="000826B5"/>
    <w:rsid w:val="0008334D"/>
    <w:rsid w:val="000850B4"/>
    <w:rsid w:val="000A1026"/>
    <w:rsid w:val="000A182A"/>
    <w:rsid w:val="000B0859"/>
    <w:rsid w:val="000B151D"/>
    <w:rsid w:val="000C289B"/>
    <w:rsid w:val="000C4599"/>
    <w:rsid w:val="000C5642"/>
    <w:rsid w:val="000C5C45"/>
    <w:rsid w:val="000D0FE5"/>
    <w:rsid w:val="000D1973"/>
    <w:rsid w:val="000D2158"/>
    <w:rsid w:val="000D389D"/>
    <w:rsid w:val="000D6DAB"/>
    <w:rsid w:val="000E08A0"/>
    <w:rsid w:val="000E0D7F"/>
    <w:rsid w:val="000E1C95"/>
    <w:rsid w:val="000E3C11"/>
    <w:rsid w:val="000E565E"/>
    <w:rsid w:val="000E5B35"/>
    <w:rsid w:val="000E7D9C"/>
    <w:rsid w:val="000F20A0"/>
    <w:rsid w:val="000F46E1"/>
    <w:rsid w:val="000F4F62"/>
    <w:rsid w:val="000F78F3"/>
    <w:rsid w:val="00102821"/>
    <w:rsid w:val="001058C4"/>
    <w:rsid w:val="00107A81"/>
    <w:rsid w:val="001113D6"/>
    <w:rsid w:val="001152EF"/>
    <w:rsid w:val="00121A8A"/>
    <w:rsid w:val="00121CFD"/>
    <w:rsid w:val="00123996"/>
    <w:rsid w:val="001310A8"/>
    <w:rsid w:val="001339D7"/>
    <w:rsid w:val="00140F35"/>
    <w:rsid w:val="00142307"/>
    <w:rsid w:val="00143A49"/>
    <w:rsid w:val="001460D8"/>
    <w:rsid w:val="00146227"/>
    <w:rsid w:val="001545CD"/>
    <w:rsid w:val="00160150"/>
    <w:rsid w:val="00163245"/>
    <w:rsid w:val="0016464C"/>
    <w:rsid w:val="00167742"/>
    <w:rsid w:val="00180879"/>
    <w:rsid w:val="001835F9"/>
    <w:rsid w:val="00186AAF"/>
    <w:rsid w:val="001906E3"/>
    <w:rsid w:val="00191901"/>
    <w:rsid w:val="001963B7"/>
    <w:rsid w:val="00196E5B"/>
    <w:rsid w:val="001A56F2"/>
    <w:rsid w:val="001A7134"/>
    <w:rsid w:val="001B0221"/>
    <w:rsid w:val="001B0DEB"/>
    <w:rsid w:val="001B2A53"/>
    <w:rsid w:val="001B2E52"/>
    <w:rsid w:val="001B3241"/>
    <w:rsid w:val="001B499C"/>
    <w:rsid w:val="001B60D8"/>
    <w:rsid w:val="001B626E"/>
    <w:rsid w:val="001B63D5"/>
    <w:rsid w:val="001B6CB9"/>
    <w:rsid w:val="001B7D6C"/>
    <w:rsid w:val="001C034C"/>
    <w:rsid w:val="001C1707"/>
    <w:rsid w:val="001C72F6"/>
    <w:rsid w:val="001D04ED"/>
    <w:rsid w:val="001D2328"/>
    <w:rsid w:val="001E05B6"/>
    <w:rsid w:val="001E156B"/>
    <w:rsid w:val="001E21F5"/>
    <w:rsid w:val="001E24D5"/>
    <w:rsid w:val="001E28BA"/>
    <w:rsid w:val="001E36B7"/>
    <w:rsid w:val="001E3B5B"/>
    <w:rsid w:val="001E58F3"/>
    <w:rsid w:val="001E6501"/>
    <w:rsid w:val="001E7C3F"/>
    <w:rsid w:val="001F1C38"/>
    <w:rsid w:val="001F1D92"/>
    <w:rsid w:val="001F55F3"/>
    <w:rsid w:val="002018B0"/>
    <w:rsid w:val="002108D7"/>
    <w:rsid w:val="00212337"/>
    <w:rsid w:val="00213B06"/>
    <w:rsid w:val="00214668"/>
    <w:rsid w:val="00215CC3"/>
    <w:rsid w:val="00216432"/>
    <w:rsid w:val="00216CB1"/>
    <w:rsid w:val="00223CB3"/>
    <w:rsid w:val="0022669A"/>
    <w:rsid w:val="0022719C"/>
    <w:rsid w:val="00230A7A"/>
    <w:rsid w:val="00235F58"/>
    <w:rsid w:val="00242F50"/>
    <w:rsid w:val="0024353C"/>
    <w:rsid w:val="002506E2"/>
    <w:rsid w:val="00251AA8"/>
    <w:rsid w:val="00251E16"/>
    <w:rsid w:val="00252181"/>
    <w:rsid w:val="00262605"/>
    <w:rsid w:val="00262958"/>
    <w:rsid w:val="0026592C"/>
    <w:rsid w:val="00267DA6"/>
    <w:rsid w:val="00270104"/>
    <w:rsid w:val="00271585"/>
    <w:rsid w:val="0027196A"/>
    <w:rsid w:val="00272023"/>
    <w:rsid w:val="002738A2"/>
    <w:rsid w:val="002742DF"/>
    <w:rsid w:val="00274A0A"/>
    <w:rsid w:val="00277383"/>
    <w:rsid w:val="00277FA0"/>
    <w:rsid w:val="00281906"/>
    <w:rsid w:val="00285BF6"/>
    <w:rsid w:val="00285F96"/>
    <w:rsid w:val="00286B17"/>
    <w:rsid w:val="00287D9C"/>
    <w:rsid w:val="002904C7"/>
    <w:rsid w:val="00290F21"/>
    <w:rsid w:val="002920FF"/>
    <w:rsid w:val="00294614"/>
    <w:rsid w:val="00294F0C"/>
    <w:rsid w:val="0029700F"/>
    <w:rsid w:val="002A0B67"/>
    <w:rsid w:val="002A4E85"/>
    <w:rsid w:val="002A6A29"/>
    <w:rsid w:val="002A6FE0"/>
    <w:rsid w:val="002A78CB"/>
    <w:rsid w:val="002B28FE"/>
    <w:rsid w:val="002B29CD"/>
    <w:rsid w:val="002B2D00"/>
    <w:rsid w:val="002B32A9"/>
    <w:rsid w:val="002C1010"/>
    <w:rsid w:val="002C1C1E"/>
    <w:rsid w:val="002C7383"/>
    <w:rsid w:val="002D4EA5"/>
    <w:rsid w:val="002D5DCF"/>
    <w:rsid w:val="002E08A4"/>
    <w:rsid w:val="002E3332"/>
    <w:rsid w:val="002E7AD4"/>
    <w:rsid w:val="002F0173"/>
    <w:rsid w:val="002F0298"/>
    <w:rsid w:val="002F0A5E"/>
    <w:rsid w:val="002F785A"/>
    <w:rsid w:val="0030002F"/>
    <w:rsid w:val="00301F20"/>
    <w:rsid w:val="00303BDB"/>
    <w:rsid w:val="00305CC6"/>
    <w:rsid w:val="00305D72"/>
    <w:rsid w:val="003072D0"/>
    <w:rsid w:val="0030795C"/>
    <w:rsid w:val="00307A2B"/>
    <w:rsid w:val="00320336"/>
    <w:rsid w:val="0032234C"/>
    <w:rsid w:val="00326820"/>
    <w:rsid w:val="00327A14"/>
    <w:rsid w:val="00332A58"/>
    <w:rsid w:val="003348F3"/>
    <w:rsid w:val="00336B2F"/>
    <w:rsid w:val="00336C57"/>
    <w:rsid w:val="00337A3D"/>
    <w:rsid w:val="00342974"/>
    <w:rsid w:val="003451D1"/>
    <w:rsid w:val="00345854"/>
    <w:rsid w:val="00345FCC"/>
    <w:rsid w:val="00347AF6"/>
    <w:rsid w:val="00350F5E"/>
    <w:rsid w:val="00353CFA"/>
    <w:rsid w:val="00355A46"/>
    <w:rsid w:val="00363067"/>
    <w:rsid w:val="00363D96"/>
    <w:rsid w:val="00365428"/>
    <w:rsid w:val="00367A24"/>
    <w:rsid w:val="00373A57"/>
    <w:rsid w:val="00374011"/>
    <w:rsid w:val="0037585A"/>
    <w:rsid w:val="00377C59"/>
    <w:rsid w:val="00381933"/>
    <w:rsid w:val="003821AA"/>
    <w:rsid w:val="00386B80"/>
    <w:rsid w:val="0038796C"/>
    <w:rsid w:val="00387CE5"/>
    <w:rsid w:val="003910F2"/>
    <w:rsid w:val="003A12A8"/>
    <w:rsid w:val="003A1A92"/>
    <w:rsid w:val="003B40C4"/>
    <w:rsid w:val="003B57F7"/>
    <w:rsid w:val="003C14F4"/>
    <w:rsid w:val="003C2786"/>
    <w:rsid w:val="003C6515"/>
    <w:rsid w:val="003C6E8A"/>
    <w:rsid w:val="003C7F55"/>
    <w:rsid w:val="003D71DD"/>
    <w:rsid w:val="003D7968"/>
    <w:rsid w:val="003E2637"/>
    <w:rsid w:val="003E3631"/>
    <w:rsid w:val="003E4F36"/>
    <w:rsid w:val="003E5160"/>
    <w:rsid w:val="003E68F7"/>
    <w:rsid w:val="003E6D98"/>
    <w:rsid w:val="003E7577"/>
    <w:rsid w:val="003F1002"/>
    <w:rsid w:val="003F294A"/>
    <w:rsid w:val="003F4B89"/>
    <w:rsid w:val="003F6136"/>
    <w:rsid w:val="003F6D9F"/>
    <w:rsid w:val="004006A4"/>
    <w:rsid w:val="00400D18"/>
    <w:rsid w:val="00401215"/>
    <w:rsid w:val="0040157B"/>
    <w:rsid w:val="0040212F"/>
    <w:rsid w:val="004044EA"/>
    <w:rsid w:val="00404A83"/>
    <w:rsid w:val="004067ED"/>
    <w:rsid w:val="0041178A"/>
    <w:rsid w:val="00411CF0"/>
    <w:rsid w:val="00423C39"/>
    <w:rsid w:val="00427A76"/>
    <w:rsid w:val="004301E2"/>
    <w:rsid w:val="0043066E"/>
    <w:rsid w:val="004322AB"/>
    <w:rsid w:val="00433852"/>
    <w:rsid w:val="00434546"/>
    <w:rsid w:val="00434E35"/>
    <w:rsid w:val="004373D0"/>
    <w:rsid w:val="004421E0"/>
    <w:rsid w:val="00446E92"/>
    <w:rsid w:val="00447E2F"/>
    <w:rsid w:val="00454B79"/>
    <w:rsid w:val="0045696B"/>
    <w:rsid w:val="0045776D"/>
    <w:rsid w:val="00462C3F"/>
    <w:rsid w:val="004664B6"/>
    <w:rsid w:val="00470D47"/>
    <w:rsid w:val="00474EFA"/>
    <w:rsid w:val="0048186B"/>
    <w:rsid w:val="00482CBF"/>
    <w:rsid w:val="00486467"/>
    <w:rsid w:val="0048693F"/>
    <w:rsid w:val="004913F3"/>
    <w:rsid w:val="00492220"/>
    <w:rsid w:val="00492484"/>
    <w:rsid w:val="0049295E"/>
    <w:rsid w:val="00492C96"/>
    <w:rsid w:val="00495A9D"/>
    <w:rsid w:val="00496E3B"/>
    <w:rsid w:val="004A0624"/>
    <w:rsid w:val="004A5032"/>
    <w:rsid w:val="004B16DC"/>
    <w:rsid w:val="004B46AF"/>
    <w:rsid w:val="004C5AB9"/>
    <w:rsid w:val="004C6580"/>
    <w:rsid w:val="004C6CE6"/>
    <w:rsid w:val="004C7560"/>
    <w:rsid w:val="004D3FA7"/>
    <w:rsid w:val="004D5BEB"/>
    <w:rsid w:val="004D7AAB"/>
    <w:rsid w:val="004E32A0"/>
    <w:rsid w:val="004E3866"/>
    <w:rsid w:val="004E38CF"/>
    <w:rsid w:val="004E4AD3"/>
    <w:rsid w:val="004E6496"/>
    <w:rsid w:val="004E72E0"/>
    <w:rsid w:val="004E7D57"/>
    <w:rsid w:val="004F1A60"/>
    <w:rsid w:val="004F2B3D"/>
    <w:rsid w:val="004F3932"/>
    <w:rsid w:val="004F39EE"/>
    <w:rsid w:val="0050009C"/>
    <w:rsid w:val="00501025"/>
    <w:rsid w:val="00505755"/>
    <w:rsid w:val="005135AF"/>
    <w:rsid w:val="005148B8"/>
    <w:rsid w:val="00520925"/>
    <w:rsid w:val="00523934"/>
    <w:rsid w:val="005260CD"/>
    <w:rsid w:val="00527EBA"/>
    <w:rsid w:val="00531930"/>
    <w:rsid w:val="005325C7"/>
    <w:rsid w:val="00534243"/>
    <w:rsid w:val="005360BB"/>
    <w:rsid w:val="0053694A"/>
    <w:rsid w:val="0054240E"/>
    <w:rsid w:val="00551FDD"/>
    <w:rsid w:val="00552853"/>
    <w:rsid w:val="00560241"/>
    <w:rsid w:val="00562AF9"/>
    <w:rsid w:val="00566C13"/>
    <w:rsid w:val="00566FE1"/>
    <w:rsid w:val="00567850"/>
    <w:rsid w:val="005678D8"/>
    <w:rsid w:val="00570171"/>
    <w:rsid w:val="00573BDE"/>
    <w:rsid w:val="00573C4D"/>
    <w:rsid w:val="005766BE"/>
    <w:rsid w:val="00576D2D"/>
    <w:rsid w:val="00584DDC"/>
    <w:rsid w:val="005857A3"/>
    <w:rsid w:val="00592576"/>
    <w:rsid w:val="00592DB9"/>
    <w:rsid w:val="005A369A"/>
    <w:rsid w:val="005B0EB1"/>
    <w:rsid w:val="005B1C77"/>
    <w:rsid w:val="005B29D3"/>
    <w:rsid w:val="005B3C3D"/>
    <w:rsid w:val="005B7753"/>
    <w:rsid w:val="005C035D"/>
    <w:rsid w:val="005C1F51"/>
    <w:rsid w:val="005C41DF"/>
    <w:rsid w:val="005C5147"/>
    <w:rsid w:val="005D0626"/>
    <w:rsid w:val="005D6927"/>
    <w:rsid w:val="005E1084"/>
    <w:rsid w:val="005E43B0"/>
    <w:rsid w:val="005E519B"/>
    <w:rsid w:val="005E56ED"/>
    <w:rsid w:val="005E6C47"/>
    <w:rsid w:val="005E7328"/>
    <w:rsid w:val="005F1461"/>
    <w:rsid w:val="005F1652"/>
    <w:rsid w:val="005F17EC"/>
    <w:rsid w:val="006055A5"/>
    <w:rsid w:val="00606D85"/>
    <w:rsid w:val="006127C2"/>
    <w:rsid w:val="006146B2"/>
    <w:rsid w:val="00615A47"/>
    <w:rsid w:val="00621C53"/>
    <w:rsid w:val="006249E4"/>
    <w:rsid w:val="00626A26"/>
    <w:rsid w:val="00630254"/>
    <w:rsid w:val="00631788"/>
    <w:rsid w:val="00633834"/>
    <w:rsid w:val="006353FB"/>
    <w:rsid w:val="006427B0"/>
    <w:rsid w:val="00644A86"/>
    <w:rsid w:val="00652826"/>
    <w:rsid w:val="00652C43"/>
    <w:rsid w:val="00654443"/>
    <w:rsid w:val="00654A31"/>
    <w:rsid w:val="0065732B"/>
    <w:rsid w:val="00660E14"/>
    <w:rsid w:val="006627EA"/>
    <w:rsid w:val="00666144"/>
    <w:rsid w:val="00672760"/>
    <w:rsid w:val="00677F77"/>
    <w:rsid w:val="00683302"/>
    <w:rsid w:val="00684C4E"/>
    <w:rsid w:val="00685DA8"/>
    <w:rsid w:val="00692A2D"/>
    <w:rsid w:val="00693035"/>
    <w:rsid w:val="00693DF6"/>
    <w:rsid w:val="00694128"/>
    <w:rsid w:val="00695C68"/>
    <w:rsid w:val="00697D7F"/>
    <w:rsid w:val="006A41DB"/>
    <w:rsid w:val="006A4C5C"/>
    <w:rsid w:val="006A78C7"/>
    <w:rsid w:val="006B3F76"/>
    <w:rsid w:val="006B41B6"/>
    <w:rsid w:val="006B646E"/>
    <w:rsid w:val="006C0399"/>
    <w:rsid w:val="006C0D84"/>
    <w:rsid w:val="006C2120"/>
    <w:rsid w:val="006C2C09"/>
    <w:rsid w:val="006C3D8A"/>
    <w:rsid w:val="006C4FC0"/>
    <w:rsid w:val="006C6FE4"/>
    <w:rsid w:val="006C7B6C"/>
    <w:rsid w:val="006D02FD"/>
    <w:rsid w:val="006D437D"/>
    <w:rsid w:val="006E2B24"/>
    <w:rsid w:val="006E314D"/>
    <w:rsid w:val="006E39F6"/>
    <w:rsid w:val="006E6A05"/>
    <w:rsid w:val="006E795F"/>
    <w:rsid w:val="006F28C0"/>
    <w:rsid w:val="006F3E4F"/>
    <w:rsid w:val="006F5E1B"/>
    <w:rsid w:val="00702210"/>
    <w:rsid w:val="00702BDE"/>
    <w:rsid w:val="0071090B"/>
    <w:rsid w:val="00713B2D"/>
    <w:rsid w:val="00714E3C"/>
    <w:rsid w:val="00715F76"/>
    <w:rsid w:val="007210C9"/>
    <w:rsid w:val="0072154A"/>
    <w:rsid w:val="00724537"/>
    <w:rsid w:val="00730531"/>
    <w:rsid w:val="007335A8"/>
    <w:rsid w:val="00736560"/>
    <w:rsid w:val="00743288"/>
    <w:rsid w:val="00750236"/>
    <w:rsid w:val="00753DCA"/>
    <w:rsid w:val="007556E6"/>
    <w:rsid w:val="0076494E"/>
    <w:rsid w:val="00766DC3"/>
    <w:rsid w:val="007673C3"/>
    <w:rsid w:val="00767D13"/>
    <w:rsid w:val="00773FC7"/>
    <w:rsid w:val="00775225"/>
    <w:rsid w:val="007760B6"/>
    <w:rsid w:val="00776294"/>
    <w:rsid w:val="00780913"/>
    <w:rsid w:val="00786EC5"/>
    <w:rsid w:val="0078728E"/>
    <w:rsid w:val="00793231"/>
    <w:rsid w:val="00795B49"/>
    <w:rsid w:val="00796110"/>
    <w:rsid w:val="007972C2"/>
    <w:rsid w:val="007A631F"/>
    <w:rsid w:val="007A7992"/>
    <w:rsid w:val="007B4E67"/>
    <w:rsid w:val="007B5ED5"/>
    <w:rsid w:val="007B6867"/>
    <w:rsid w:val="007C3AF4"/>
    <w:rsid w:val="007C525E"/>
    <w:rsid w:val="007C5683"/>
    <w:rsid w:val="007D1B0B"/>
    <w:rsid w:val="007D7122"/>
    <w:rsid w:val="007E14FF"/>
    <w:rsid w:val="007E2ADF"/>
    <w:rsid w:val="007E4212"/>
    <w:rsid w:val="007E50EA"/>
    <w:rsid w:val="007F14B3"/>
    <w:rsid w:val="007F33EA"/>
    <w:rsid w:val="007F65A4"/>
    <w:rsid w:val="00800417"/>
    <w:rsid w:val="008012D2"/>
    <w:rsid w:val="00801ABC"/>
    <w:rsid w:val="008035F5"/>
    <w:rsid w:val="008041A1"/>
    <w:rsid w:val="00806F7E"/>
    <w:rsid w:val="008103CD"/>
    <w:rsid w:val="00810707"/>
    <w:rsid w:val="00812546"/>
    <w:rsid w:val="00813222"/>
    <w:rsid w:val="008146FC"/>
    <w:rsid w:val="0082283B"/>
    <w:rsid w:val="008231B4"/>
    <w:rsid w:val="00826AAC"/>
    <w:rsid w:val="00830D59"/>
    <w:rsid w:val="00831DD8"/>
    <w:rsid w:val="00832240"/>
    <w:rsid w:val="00833579"/>
    <w:rsid w:val="00840F38"/>
    <w:rsid w:val="00844E65"/>
    <w:rsid w:val="0085307B"/>
    <w:rsid w:val="00854EAE"/>
    <w:rsid w:val="00855D91"/>
    <w:rsid w:val="00857253"/>
    <w:rsid w:val="0086020F"/>
    <w:rsid w:val="00861231"/>
    <w:rsid w:val="00861E01"/>
    <w:rsid w:val="00867F3C"/>
    <w:rsid w:val="008732AC"/>
    <w:rsid w:val="00881A1F"/>
    <w:rsid w:val="00881B9A"/>
    <w:rsid w:val="0088691E"/>
    <w:rsid w:val="0088704B"/>
    <w:rsid w:val="00894B80"/>
    <w:rsid w:val="00895463"/>
    <w:rsid w:val="008963D1"/>
    <w:rsid w:val="008A0084"/>
    <w:rsid w:val="008A46E7"/>
    <w:rsid w:val="008A4A19"/>
    <w:rsid w:val="008A5D23"/>
    <w:rsid w:val="008B1177"/>
    <w:rsid w:val="008B64B3"/>
    <w:rsid w:val="008C754D"/>
    <w:rsid w:val="008C7C70"/>
    <w:rsid w:val="008D0242"/>
    <w:rsid w:val="008D11FE"/>
    <w:rsid w:val="008D43A5"/>
    <w:rsid w:val="008D76BE"/>
    <w:rsid w:val="008D77D8"/>
    <w:rsid w:val="008E135B"/>
    <w:rsid w:val="008E5168"/>
    <w:rsid w:val="008F3C7E"/>
    <w:rsid w:val="008F4DC8"/>
    <w:rsid w:val="008F5797"/>
    <w:rsid w:val="00900B7F"/>
    <w:rsid w:val="00902888"/>
    <w:rsid w:val="00904F06"/>
    <w:rsid w:val="00911346"/>
    <w:rsid w:val="00911F2E"/>
    <w:rsid w:val="00912090"/>
    <w:rsid w:val="00913D6C"/>
    <w:rsid w:val="009145EE"/>
    <w:rsid w:val="009146C3"/>
    <w:rsid w:val="00915831"/>
    <w:rsid w:val="009160B3"/>
    <w:rsid w:val="00920AB5"/>
    <w:rsid w:val="00924C6A"/>
    <w:rsid w:val="00930C66"/>
    <w:rsid w:val="00935C13"/>
    <w:rsid w:val="009403D0"/>
    <w:rsid w:val="00945013"/>
    <w:rsid w:val="00950ADF"/>
    <w:rsid w:val="00954115"/>
    <w:rsid w:val="00957355"/>
    <w:rsid w:val="00957839"/>
    <w:rsid w:val="009605C2"/>
    <w:rsid w:val="00960A46"/>
    <w:rsid w:val="009612DF"/>
    <w:rsid w:val="0096370F"/>
    <w:rsid w:val="00965DAF"/>
    <w:rsid w:val="0096692F"/>
    <w:rsid w:val="00972404"/>
    <w:rsid w:val="00973603"/>
    <w:rsid w:val="0097645A"/>
    <w:rsid w:val="00976FDB"/>
    <w:rsid w:val="00977343"/>
    <w:rsid w:val="00982718"/>
    <w:rsid w:val="00985056"/>
    <w:rsid w:val="00987B1F"/>
    <w:rsid w:val="009946CE"/>
    <w:rsid w:val="009A2B60"/>
    <w:rsid w:val="009A6F90"/>
    <w:rsid w:val="009A7667"/>
    <w:rsid w:val="009A7701"/>
    <w:rsid w:val="009A7976"/>
    <w:rsid w:val="009B24F8"/>
    <w:rsid w:val="009B600C"/>
    <w:rsid w:val="009B6393"/>
    <w:rsid w:val="009C11CF"/>
    <w:rsid w:val="009C22A9"/>
    <w:rsid w:val="009C25CD"/>
    <w:rsid w:val="009C2F3E"/>
    <w:rsid w:val="009C6F89"/>
    <w:rsid w:val="009D6D61"/>
    <w:rsid w:val="009E2755"/>
    <w:rsid w:val="009E45AF"/>
    <w:rsid w:val="009E5BF5"/>
    <w:rsid w:val="009E6064"/>
    <w:rsid w:val="009F3AEF"/>
    <w:rsid w:val="009F58DF"/>
    <w:rsid w:val="009F65A9"/>
    <w:rsid w:val="00A0111B"/>
    <w:rsid w:val="00A01EA5"/>
    <w:rsid w:val="00A05367"/>
    <w:rsid w:val="00A05B3D"/>
    <w:rsid w:val="00A07811"/>
    <w:rsid w:val="00A107B7"/>
    <w:rsid w:val="00A13372"/>
    <w:rsid w:val="00A1419C"/>
    <w:rsid w:val="00A1759C"/>
    <w:rsid w:val="00A24FE7"/>
    <w:rsid w:val="00A26756"/>
    <w:rsid w:val="00A32B1A"/>
    <w:rsid w:val="00A3450D"/>
    <w:rsid w:val="00A43787"/>
    <w:rsid w:val="00A47402"/>
    <w:rsid w:val="00A5341C"/>
    <w:rsid w:val="00A53C7D"/>
    <w:rsid w:val="00A53F4C"/>
    <w:rsid w:val="00A549F7"/>
    <w:rsid w:val="00A563AA"/>
    <w:rsid w:val="00A72810"/>
    <w:rsid w:val="00A72F4B"/>
    <w:rsid w:val="00A753A5"/>
    <w:rsid w:val="00A76355"/>
    <w:rsid w:val="00A7681D"/>
    <w:rsid w:val="00A8119B"/>
    <w:rsid w:val="00A82922"/>
    <w:rsid w:val="00A82A54"/>
    <w:rsid w:val="00A84AFA"/>
    <w:rsid w:val="00A9448C"/>
    <w:rsid w:val="00A9775E"/>
    <w:rsid w:val="00AA0EAC"/>
    <w:rsid w:val="00AA1105"/>
    <w:rsid w:val="00AA47D6"/>
    <w:rsid w:val="00AA5F38"/>
    <w:rsid w:val="00AA7AA3"/>
    <w:rsid w:val="00AB2FD0"/>
    <w:rsid w:val="00AB3BA8"/>
    <w:rsid w:val="00AB579D"/>
    <w:rsid w:val="00AC2C9D"/>
    <w:rsid w:val="00AC32FE"/>
    <w:rsid w:val="00AC5009"/>
    <w:rsid w:val="00AC54EE"/>
    <w:rsid w:val="00AC680C"/>
    <w:rsid w:val="00AC7503"/>
    <w:rsid w:val="00AD09FF"/>
    <w:rsid w:val="00AD0E11"/>
    <w:rsid w:val="00AD3A71"/>
    <w:rsid w:val="00AD3A94"/>
    <w:rsid w:val="00AE10E9"/>
    <w:rsid w:val="00AE2AA2"/>
    <w:rsid w:val="00AE3CDB"/>
    <w:rsid w:val="00AE5886"/>
    <w:rsid w:val="00AF1C4D"/>
    <w:rsid w:val="00AF1EA2"/>
    <w:rsid w:val="00AF2C67"/>
    <w:rsid w:val="00AF47E9"/>
    <w:rsid w:val="00AF6160"/>
    <w:rsid w:val="00B0086C"/>
    <w:rsid w:val="00B017DC"/>
    <w:rsid w:val="00B1000E"/>
    <w:rsid w:val="00B1555C"/>
    <w:rsid w:val="00B1796F"/>
    <w:rsid w:val="00B23DCA"/>
    <w:rsid w:val="00B23EA6"/>
    <w:rsid w:val="00B27C21"/>
    <w:rsid w:val="00B3166C"/>
    <w:rsid w:val="00B32598"/>
    <w:rsid w:val="00B32C1A"/>
    <w:rsid w:val="00B353A9"/>
    <w:rsid w:val="00B36BCA"/>
    <w:rsid w:val="00B40CF9"/>
    <w:rsid w:val="00B40F1B"/>
    <w:rsid w:val="00B50FF0"/>
    <w:rsid w:val="00B55F39"/>
    <w:rsid w:val="00B6071B"/>
    <w:rsid w:val="00B64B02"/>
    <w:rsid w:val="00B66753"/>
    <w:rsid w:val="00B674F5"/>
    <w:rsid w:val="00B67540"/>
    <w:rsid w:val="00B678D9"/>
    <w:rsid w:val="00B7239A"/>
    <w:rsid w:val="00B755D3"/>
    <w:rsid w:val="00B8050B"/>
    <w:rsid w:val="00B81A1B"/>
    <w:rsid w:val="00B8275D"/>
    <w:rsid w:val="00B83D13"/>
    <w:rsid w:val="00B865EC"/>
    <w:rsid w:val="00B865F2"/>
    <w:rsid w:val="00B87200"/>
    <w:rsid w:val="00B93DE8"/>
    <w:rsid w:val="00B9584C"/>
    <w:rsid w:val="00B9660D"/>
    <w:rsid w:val="00B9754B"/>
    <w:rsid w:val="00BA00FD"/>
    <w:rsid w:val="00BA22CB"/>
    <w:rsid w:val="00BA320C"/>
    <w:rsid w:val="00BA4521"/>
    <w:rsid w:val="00BA5E8F"/>
    <w:rsid w:val="00BA7396"/>
    <w:rsid w:val="00BC6F9B"/>
    <w:rsid w:val="00BC761F"/>
    <w:rsid w:val="00BD18B7"/>
    <w:rsid w:val="00BD1FDD"/>
    <w:rsid w:val="00BD77FA"/>
    <w:rsid w:val="00BD782C"/>
    <w:rsid w:val="00BE3282"/>
    <w:rsid w:val="00BE476B"/>
    <w:rsid w:val="00BE7649"/>
    <w:rsid w:val="00BF18FF"/>
    <w:rsid w:val="00C0073A"/>
    <w:rsid w:val="00C02930"/>
    <w:rsid w:val="00C103C7"/>
    <w:rsid w:val="00C1170A"/>
    <w:rsid w:val="00C1210E"/>
    <w:rsid w:val="00C12B45"/>
    <w:rsid w:val="00C14C91"/>
    <w:rsid w:val="00C14E67"/>
    <w:rsid w:val="00C175CF"/>
    <w:rsid w:val="00C35DA7"/>
    <w:rsid w:val="00C63E55"/>
    <w:rsid w:val="00C63EA4"/>
    <w:rsid w:val="00C66B68"/>
    <w:rsid w:val="00C77F85"/>
    <w:rsid w:val="00C815BA"/>
    <w:rsid w:val="00C81EDB"/>
    <w:rsid w:val="00C83318"/>
    <w:rsid w:val="00C91637"/>
    <w:rsid w:val="00C934E6"/>
    <w:rsid w:val="00C93DB8"/>
    <w:rsid w:val="00C9733D"/>
    <w:rsid w:val="00CA169B"/>
    <w:rsid w:val="00CA39C2"/>
    <w:rsid w:val="00CA4212"/>
    <w:rsid w:val="00CA6230"/>
    <w:rsid w:val="00CA7474"/>
    <w:rsid w:val="00CB1677"/>
    <w:rsid w:val="00CB2396"/>
    <w:rsid w:val="00CB368B"/>
    <w:rsid w:val="00CB3CF3"/>
    <w:rsid w:val="00CC2479"/>
    <w:rsid w:val="00CC3F79"/>
    <w:rsid w:val="00CC771A"/>
    <w:rsid w:val="00CD3B24"/>
    <w:rsid w:val="00CD5950"/>
    <w:rsid w:val="00CD669E"/>
    <w:rsid w:val="00CE0F57"/>
    <w:rsid w:val="00CE1D76"/>
    <w:rsid w:val="00CE390E"/>
    <w:rsid w:val="00CE3B1E"/>
    <w:rsid w:val="00CE698A"/>
    <w:rsid w:val="00CE7F48"/>
    <w:rsid w:val="00CF0998"/>
    <w:rsid w:val="00CF0B56"/>
    <w:rsid w:val="00CF0BC9"/>
    <w:rsid w:val="00CF3684"/>
    <w:rsid w:val="00CF6619"/>
    <w:rsid w:val="00D02C6D"/>
    <w:rsid w:val="00D04547"/>
    <w:rsid w:val="00D0660D"/>
    <w:rsid w:val="00D06946"/>
    <w:rsid w:val="00D0775F"/>
    <w:rsid w:val="00D10845"/>
    <w:rsid w:val="00D10FA7"/>
    <w:rsid w:val="00D1150E"/>
    <w:rsid w:val="00D13060"/>
    <w:rsid w:val="00D15BD9"/>
    <w:rsid w:val="00D17F1F"/>
    <w:rsid w:val="00D201DA"/>
    <w:rsid w:val="00D2231B"/>
    <w:rsid w:val="00D22E9F"/>
    <w:rsid w:val="00D2723D"/>
    <w:rsid w:val="00D2733F"/>
    <w:rsid w:val="00D33043"/>
    <w:rsid w:val="00D339F0"/>
    <w:rsid w:val="00D34C39"/>
    <w:rsid w:val="00D3740B"/>
    <w:rsid w:val="00D37F98"/>
    <w:rsid w:val="00D406FE"/>
    <w:rsid w:val="00D41423"/>
    <w:rsid w:val="00D43657"/>
    <w:rsid w:val="00D46A62"/>
    <w:rsid w:val="00D46B9A"/>
    <w:rsid w:val="00D562FB"/>
    <w:rsid w:val="00D57A81"/>
    <w:rsid w:val="00D6034F"/>
    <w:rsid w:val="00D6087D"/>
    <w:rsid w:val="00D64C60"/>
    <w:rsid w:val="00D64FE6"/>
    <w:rsid w:val="00D6749A"/>
    <w:rsid w:val="00D71741"/>
    <w:rsid w:val="00D76403"/>
    <w:rsid w:val="00D77C9A"/>
    <w:rsid w:val="00D77D1E"/>
    <w:rsid w:val="00D9059D"/>
    <w:rsid w:val="00D91B0F"/>
    <w:rsid w:val="00D96DE3"/>
    <w:rsid w:val="00DA33DC"/>
    <w:rsid w:val="00DA3590"/>
    <w:rsid w:val="00DA39AC"/>
    <w:rsid w:val="00DA6DFC"/>
    <w:rsid w:val="00DB184B"/>
    <w:rsid w:val="00DB31AD"/>
    <w:rsid w:val="00DB3B51"/>
    <w:rsid w:val="00DB4B91"/>
    <w:rsid w:val="00DB599C"/>
    <w:rsid w:val="00DB5C0F"/>
    <w:rsid w:val="00DC199B"/>
    <w:rsid w:val="00DC663E"/>
    <w:rsid w:val="00DD063F"/>
    <w:rsid w:val="00DD0779"/>
    <w:rsid w:val="00DD25E4"/>
    <w:rsid w:val="00DD2756"/>
    <w:rsid w:val="00DD2D67"/>
    <w:rsid w:val="00DD4387"/>
    <w:rsid w:val="00DD4DAB"/>
    <w:rsid w:val="00DD592D"/>
    <w:rsid w:val="00DD6589"/>
    <w:rsid w:val="00DD6BD4"/>
    <w:rsid w:val="00DD6C45"/>
    <w:rsid w:val="00DE3C08"/>
    <w:rsid w:val="00DE5B03"/>
    <w:rsid w:val="00DE7467"/>
    <w:rsid w:val="00DF4EBE"/>
    <w:rsid w:val="00DF60EA"/>
    <w:rsid w:val="00DF7BF1"/>
    <w:rsid w:val="00E01C77"/>
    <w:rsid w:val="00E02EA5"/>
    <w:rsid w:val="00E039A9"/>
    <w:rsid w:val="00E16168"/>
    <w:rsid w:val="00E21382"/>
    <w:rsid w:val="00E21584"/>
    <w:rsid w:val="00E2531D"/>
    <w:rsid w:val="00E273C4"/>
    <w:rsid w:val="00E27C43"/>
    <w:rsid w:val="00E30D49"/>
    <w:rsid w:val="00E349E7"/>
    <w:rsid w:val="00E34C34"/>
    <w:rsid w:val="00E361FB"/>
    <w:rsid w:val="00E367D0"/>
    <w:rsid w:val="00E416C9"/>
    <w:rsid w:val="00E4201C"/>
    <w:rsid w:val="00E514A2"/>
    <w:rsid w:val="00E525B3"/>
    <w:rsid w:val="00E5270F"/>
    <w:rsid w:val="00E536AE"/>
    <w:rsid w:val="00E550E0"/>
    <w:rsid w:val="00E56783"/>
    <w:rsid w:val="00E56FF5"/>
    <w:rsid w:val="00E62613"/>
    <w:rsid w:val="00E62762"/>
    <w:rsid w:val="00E63438"/>
    <w:rsid w:val="00E647D5"/>
    <w:rsid w:val="00E669B8"/>
    <w:rsid w:val="00E7062C"/>
    <w:rsid w:val="00E71134"/>
    <w:rsid w:val="00E73C6B"/>
    <w:rsid w:val="00E74EF1"/>
    <w:rsid w:val="00E76268"/>
    <w:rsid w:val="00E815CB"/>
    <w:rsid w:val="00E826A1"/>
    <w:rsid w:val="00E86DF5"/>
    <w:rsid w:val="00E93183"/>
    <w:rsid w:val="00E939AA"/>
    <w:rsid w:val="00E954BE"/>
    <w:rsid w:val="00E97199"/>
    <w:rsid w:val="00E97538"/>
    <w:rsid w:val="00E976D6"/>
    <w:rsid w:val="00EA548B"/>
    <w:rsid w:val="00EA6FE4"/>
    <w:rsid w:val="00EB5C92"/>
    <w:rsid w:val="00EB6303"/>
    <w:rsid w:val="00EC09CA"/>
    <w:rsid w:val="00EC14EF"/>
    <w:rsid w:val="00EC28BC"/>
    <w:rsid w:val="00EC5B14"/>
    <w:rsid w:val="00ED3D5A"/>
    <w:rsid w:val="00ED4CD5"/>
    <w:rsid w:val="00ED52AA"/>
    <w:rsid w:val="00ED64F2"/>
    <w:rsid w:val="00ED68A0"/>
    <w:rsid w:val="00EE07E1"/>
    <w:rsid w:val="00EE1D8E"/>
    <w:rsid w:val="00EE6639"/>
    <w:rsid w:val="00EE6BFA"/>
    <w:rsid w:val="00EE79FD"/>
    <w:rsid w:val="00EF6870"/>
    <w:rsid w:val="00F00525"/>
    <w:rsid w:val="00F009F2"/>
    <w:rsid w:val="00F0194D"/>
    <w:rsid w:val="00F03745"/>
    <w:rsid w:val="00F0536B"/>
    <w:rsid w:val="00F05674"/>
    <w:rsid w:val="00F102C6"/>
    <w:rsid w:val="00F10706"/>
    <w:rsid w:val="00F1159F"/>
    <w:rsid w:val="00F1394C"/>
    <w:rsid w:val="00F15501"/>
    <w:rsid w:val="00F16586"/>
    <w:rsid w:val="00F17E2A"/>
    <w:rsid w:val="00F24AD0"/>
    <w:rsid w:val="00F2572D"/>
    <w:rsid w:val="00F30E4D"/>
    <w:rsid w:val="00F33D7B"/>
    <w:rsid w:val="00F354C6"/>
    <w:rsid w:val="00F3766A"/>
    <w:rsid w:val="00F37BC2"/>
    <w:rsid w:val="00F408AE"/>
    <w:rsid w:val="00F4267A"/>
    <w:rsid w:val="00F43B74"/>
    <w:rsid w:val="00F44891"/>
    <w:rsid w:val="00F455B2"/>
    <w:rsid w:val="00F45CB1"/>
    <w:rsid w:val="00F479E7"/>
    <w:rsid w:val="00F53172"/>
    <w:rsid w:val="00F543E4"/>
    <w:rsid w:val="00F552AB"/>
    <w:rsid w:val="00F56CD9"/>
    <w:rsid w:val="00F578D6"/>
    <w:rsid w:val="00F64663"/>
    <w:rsid w:val="00F65792"/>
    <w:rsid w:val="00F65D6F"/>
    <w:rsid w:val="00F6644A"/>
    <w:rsid w:val="00F66DC2"/>
    <w:rsid w:val="00F706FE"/>
    <w:rsid w:val="00F7138B"/>
    <w:rsid w:val="00F73B9F"/>
    <w:rsid w:val="00F753AD"/>
    <w:rsid w:val="00F75D5F"/>
    <w:rsid w:val="00F77BCD"/>
    <w:rsid w:val="00F804B5"/>
    <w:rsid w:val="00F82C18"/>
    <w:rsid w:val="00F82E74"/>
    <w:rsid w:val="00F84EC8"/>
    <w:rsid w:val="00F85738"/>
    <w:rsid w:val="00F85F51"/>
    <w:rsid w:val="00F86620"/>
    <w:rsid w:val="00F91A62"/>
    <w:rsid w:val="00F92AEF"/>
    <w:rsid w:val="00F93C76"/>
    <w:rsid w:val="00F93CF7"/>
    <w:rsid w:val="00F976D7"/>
    <w:rsid w:val="00FA135B"/>
    <w:rsid w:val="00FA1A88"/>
    <w:rsid w:val="00FA4DD7"/>
    <w:rsid w:val="00FA5497"/>
    <w:rsid w:val="00FA70AD"/>
    <w:rsid w:val="00FB11A5"/>
    <w:rsid w:val="00FB3CAF"/>
    <w:rsid w:val="00FB71A3"/>
    <w:rsid w:val="00FC01A5"/>
    <w:rsid w:val="00FC2B68"/>
    <w:rsid w:val="00FC2F00"/>
    <w:rsid w:val="00FC3401"/>
    <w:rsid w:val="00FC5E15"/>
    <w:rsid w:val="00FC641E"/>
    <w:rsid w:val="00FC75A4"/>
    <w:rsid w:val="00FC781D"/>
    <w:rsid w:val="00FD03FB"/>
    <w:rsid w:val="00FD299E"/>
    <w:rsid w:val="00FD6DAB"/>
    <w:rsid w:val="00FD72F2"/>
    <w:rsid w:val="00FE120E"/>
    <w:rsid w:val="00FE3C51"/>
    <w:rsid w:val="00FE7343"/>
    <w:rsid w:val="00FF34A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7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2627537">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599147370">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37527788">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743140457">
      <w:bodyDiv w:val="1"/>
      <w:marLeft w:val="0"/>
      <w:marRight w:val="0"/>
      <w:marTop w:val="0"/>
      <w:marBottom w:val="0"/>
      <w:divBdr>
        <w:top w:val="none" w:sz="0" w:space="0" w:color="auto"/>
        <w:left w:val="none" w:sz="0" w:space="0" w:color="auto"/>
        <w:bottom w:val="none" w:sz="0" w:space="0" w:color="auto"/>
        <w:right w:val="none" w:sz="0" w:space="0" w:color="auto"/>
      </w:divBdr>
    </w:div>
    <w:div w:id="1751349174">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25B5B-BE10-420D-80D4-8065CB71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5228</TotalTime>
  <Pages>44</Pages>
  <Words>9814</Words>
  <Characters>53978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565</cp:revision>
  <dcterms:created xsi:type="dcterms:W3CDTF">2022-05-12T21:38:00Z</dcterms:created>
  <dcterms:modified xsi:type="dcterms:W3CDTF">2023-05-19T19:17:00Z</dcterms:modified>
</cp:coreProperties>
</file>