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2FC" w:rsidRDefault="00BD0578">
      <w:pPr>
        <w:spacing w:before="240" w:after="240" w:line="360" w:lineRule="auto"/>
        <w:jc w:val="both"/>
        <w:rPr>
          <w:rFonts w:ascii="Palatino Linotype" w:eastAsia="Palatino Linotype" w:hAnsi="Palatino Linotype" w:cs="Palatino Linotype"/>
          <w:b/>
        </w:rPr>
      </w:pPr>
      <w:bookmarkStart w:id="0" w:name="_heading=h.gjdgxs" w:colFirst="0" w:colLast="0"/>
      <w:bookmarkStart w:id="1" w:name="_GoBack"/>
      <w:bookmarkEnd w:id="0"/>
      <w:bookmarkEnd w:id="1"/>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color w:val="000000"/>
        </w:rPr>
        <w:t>catorce</w:t>
      </w:r>
      <w:r>
        <w:rPr>
          <w:rFonts w:ascii="Palatino Linotype" w:eastAsia="Palatino Linotype" w:hAnsi="Palatino Linotype" w:cs="Palatino Linotype"/>
          <w:b/>
        </w:rPr>
        <w:t xml:space="preserve"> de junio del dos mil veintitrés.</w:t>
      </w:r>
    </w:p>
    <w:p w:rsidR="00FF32FC" w:rsidRDefault="00BD0578">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rPr>
        <w:t>15419/INFOEM/ICR-56/IP/RR/2022</w:t>
      </w:r>
      <w:r>
        <w:rPr>
          <w:rFonts w:ascii="Palatino Linotype" w:eastAsia="Palatino Linotype" w:hAnsi="Palatino Linotype" w:cs="Palatino Linotype"/>
        </w:rPr>
        <w:t xml:space="preserve">, interpuesto por un </w:t>
      </w:r>
      <w:r>
        <w:rPr>
          <w:rFonts w:ascii="Palatino Linotype" w:eastAsia="Palatino Linotype" w:hAnsi="Palatino Linotype" w:cs="Palatino Linotype"/>
          <w:b/>
        </w:rPr>
        <w:t>particular de manera anónima,</w:t>
      </w:r>
      <w:r>
        <w:rPr>
          <w:rFonts w:ascii="Palatino Linotype" w:eastAsia="Palatino Linotype" w:hAnsi="Palatino Linotype" w:cs="Palatino Linotype"/>
        </w:rPr>
        <w:t xml:space="preserve"> en lo sucesivo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en contra de la falta de respuesta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cumplimiento a la determinación del diverso con número </w:t>
      </w:r>
      <w:r>
        <w:rPr>
          <w:rFonts w:ascii="Palatino Linotype" w:eastAsia="Palatino Linotype" w:hAnsi="Palatino Linotype" w:cs="Palatino Linotype"/>
          <w:b/>
        </w:rPr>
        <w:t xml:space="preserve">15419/INFOEM/IP/RR/2022 </w:t>
      </w:r>
      <w:r>
        <w:rPr>
          <w:rFonts w:ascii="Palatino Linotype" w:eastAsia="Palatino Linotype" w:hAnsi="Palatino Linotype" w:cs="Palatino Linotype"/>
        </w:rPr>
        <w:t xml:space="preserve">se procede a dictar la presente resolución con base en los siguientes: </w:t>
      </w:r>
    </w:p>
    <w:p w:rsidR="00FF32FC" w:rsidRDefault="00BD057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trece de septiembre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formuló su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FF32FC" w:rsidRDefault="00BD0578">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w:t>
      </w:r>
      <w:r>
        <w:rPr>
          <w:rFonts w:ascii="Palatino Linotype" w:eastAsia="Palatino Linotype" w:hAnsi="Palatino Linotype" w:cs="Palatino Linotype"/>
          <w:b/>
          <w:i/>
          <w:sz w:val="22"/>
          <w:szCs w:val="22"/>
          <w:u w:val="single"/>
        </w:rPr>
        <w:t>todos los poderes notariales que obren en el ayuntamiento de Zinacantepec del año 2022</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 (Énfasis añadido) </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FF32FC" w:rsidRDefault="00BD0578">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De las constancias que obran en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 información formulada por la persona solicitante.</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la persona solicitante con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seis de octubre de dos mil veintidós,</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FF32FC" w:rsidRDefault="00BD0578">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rsidR="00FF32FC" w:rsidRDefault="00BD0578">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FF32FC" w:rsidRDefault="00BD0578">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“NO ENTREGA INFORMACIÓN” (Sic)</w:t>
      </w:r>
    </w:p>
    <w:p w:rsidR="00FF32FC" w:rsidRDefault="00BD0578">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b/>
        </w:rPr>
        <w:t>4. Trámite del Recurso de Revisión ante el Instituto.</w:t>
      </w:r>
    </w:p>
    <w:p w:rsidR="00FF32FC" w:rsidRDefault="00BD0578">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once de octubre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FF32FC" w:rsidRDefault="00BD0578">
      <w:pPr>
        <w:spacing w:before="240" w:after="240" w:line="360" w:lineRule="auto"/>
        <w:ind w:right="49"/>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lastRenderedPageBreak/>
        <w:t>c. Manifestaciones</w:t>
      </w:r>
      <w:r>
        <w:rPr>
          <w:rFonts w:ascii="Palatino Linotype" w:eastAsia="Palatino Linotype" w:hAnsi="Palatino Linotype" w:cs="Palatino Linotype"/>
        </w:rPr>
        <w:t xml:space="preserve">. De las constancias que integran el expediente electrónico en que se actúa se advierte que las partes fueron omisas en remitir su informe justificado o cualquier manifestación que a su derecho conviniera,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w:t>
      </w:r>
    </w:p>
    <w:p w:rsidR="00FF32FC" w:rsidRDefault="00BD057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581015" cy="1543685"/>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81015" cy="1543685"/>
                    </a:xfrm>
                    <a:prstGeom prst="rect">
                      <a:avLst/>
                    </a:prstGeom>
                    <a:ln/>
                  </pic:spPr>
                </pic:pic>
              </a:graphicData>
            </a:graphic>
          </wp:inline>
        </w:drawing>
      </w:r>
    </w:p>
    <w:p w:rsidR="00FF32FC" w:rsidRDefault="00BD0578">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d.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veintiséis de octubre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F32FC" w:rsidRDefault="00BD057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e. Resolución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nueve de noviembre de dos mil veintidós</w:t>
      </w:r>
      <w:r>
        <w:rPr>
          <w:rFonts w:ascii="Palatino Linotype" w:eastAsia="Palatino Linotype" w:hAnsi="Palatino Linotype" w:cs="Palatino Linotype"/>
        </w:rPr>
        <w:t xml:space="preserve">, el Pleno del Instituto de Transparencia, Acceso a la Información Pública y Protección de Datos Personales del Estado de México y Municipios, durante la </w:t>
      </w:r>
      <w:r>
        <w:rPr>
          <w:rFonts w:ascii="Palatino Linotype" w:eastAsia="Palatino Linotype" w:hAnsi="Palatino Linotype" w:cs="Palatino Linotype"/>
          <w:b/>
        </w:rPr>
        <w:t>Cuadragésima Sesión Ordinaria</w:t>
      </w:r>
      <w:r>
        <w:rPr>
          <w:rFonts w:ascii="Palatino Linotype" w:eastAsia="Palatino Linotype" w:hAnsi="Palatino Linotype" w:cs="Palatino Linotype"/>
        </w:rPr>
        <w:t>, aprobó por unanimidad de votos, la Resolución del Recurso de Revisión, en la cual se determinó lo siguiente:</w:t>
      </w:r>
    </w:p>
    <w:p w:rsidR="00FF32FC" w:rsidRDefault="00BD0578">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“Primero. Resultan fundados los motivos de inconformidad de la parte Recurrente, en el recurso de revisión 15419/INFOEM/IP/RR/2022, en términos del Considerando Cuarto de la presente resolución.</w:t>
      </w:r>
    </w:p>
    <w:p w:rsidR="00FF32FC" w:rsidRDefault="00BD0578">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Segundo. Se Ordena al Sujeto Obligado dé trámite, vía Sistema de Acceso a la Información Mexiquense (SAIMEX), a la solicitud de acceso a la información pública 00891/ZINACANT/IP/2022, que dio origen al recurso de revisiónm15419/INFOEM/IP/RR/2022, en términos del Considerando Cuarto de esta resolución y emita respuesta, debiendo observar las excepciones contenidas en la Ley de Transparencia y Acceso a la Información Pública del Estado de México y Municipios.” </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f. Notificación de la Resolución del Recurso de Revisión 15419/INFOEM/IP/RR/2022. </w:t>
      </w:r>
      <w:r>
        <w:rPr>
          <w:rFonts w:ascii="Palatino Linotype" w:eastAsia="Palatino Linotype" w:hAnsi="Palatino Linotype" w:cs="Palatino Linotype"/>
        </w:rPr>
        <w:t xml:space="preserve">El </w:t>
      </w:r>
      <w:r>
        <w:rPr>
          <w:rFonts w:ascii="Palatino Linotype" w:eastAsia="Palatino Linotype" w:hAnsi="Palatino Linotype" w:cs="Palatino Linotype"/>
          <w:b/>
        </w:rPr>
        <w:t>catorce de noviembre</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notificó a las partes la resolución del Medio de Impugnación previamente referido, por medio del Sistema de Acceso a la Información Mexiquense (SAIMEX). </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g. Acuerdo de Cumplimiento/Incumplimiento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treinta </w:t>
      </w:r>
      <w:r>
        <w:rPr>
          <w:rFonts w:ascii="Palatino Linotype" w:eastAsia="Palatino Linotype" w:hAnsi="Palatino Linotype" w:cs="Palatino Linotype"/>
          <w:b/>
          <w:color w:val="000000"/>
        </w:rPr>
        <w:t xml:space="preserve">de  noviembre </w:t>
      </w:r>
      <w:r>
        <w:rPr>
          <w:rFonts w:ascii="Palatino Linotype" w:eastAsia="Palatino Linotype" w:hAnsi="Palatino Linotype" w:cs="Palatino Linotype"/>
          <w:b/>
        </w:rPr>
        <w:t>de dos mil veintidós</w:t>
      </w:r>
      <w:r>
        <w:rPr>
          <w:rFonts w:ascii="Palatino Linotype" w:eastAsia="Palatino Linotype" w:hAnsi="Palatino Linotype" w:cs="Palatino Linotype"/>
        </w:rPr>
        <w:t>, la Dirección de Cumplimientos de este Instituto notificó a las partes, el acuerdo de incumplimiento a la resolución del recurso de revisión que se resuelve.</w:t>
      </w:r>
    </w:p>
    <w:p w:rsidR="00FF32FC" w:rsidRDefault="00BD0578">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treinta de noviembre de dos mil veintidós, que deriva de la solicitud de información señalada, para su conocimiento y efectos legales procedentes.” </w:t>
      </w:r>
    </w:p>
    <w:p w:rsidR="00FF32FC" w:rsidRDefault="00FF32FC">
      <w:pPr>
        <w:spacing w:line="276" w:lineRule="auto"/>
        <w:ind w:left="567" w:right="851"/>
        <w:jc w:val="both"/>
        <w:rPr>
          <w:rFonts w:ascii="Palatino Linotype" w:eastAsia="Palatino Linotype" w:hAnsi="Palatino Linotype" w:cs="Palatino Linotype"/>
          <w:i/>
          <w:sz w:val="22"/>
          <w:szCs w:val="22"/>
        </w:rPr>
      </w:pPr>
    </w:p>
    <w:p w:rsidR="00FF32FC" w:rsidRDefault="00BD0578">
      <w:pPr>
        <w:spacing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FF32FC" w:rsidRDefault="00BD0578">
      <w:pPr>
        <w:spacing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“AI-RR-15419-2022.pdf”: </w:t>
      </w:r>
      <w:r>
        <w:rPr>
          <w:rFonts w:ascii="Palatino Linotype" w:eastAsia="Palatino Linotype" w:hAnsi="Palatino Linotype" w:cs="Palatino Linotype"/>
          <w:sz w:val="22"/>
          <w:szCs w:val="22"/>
        </w:rPr>
        <w:t>Documento de seis fojas que consiste en el acuerdo de incumplimiento.</w:t>
      </w:r>
    </w:p>
    <w:p w:rsidR="00FF32FC" w:rsidRDefault="00BD0578">
      <w:pPr>
        <w:spacing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lastRenderedPageBreak/>
        <w:drawing>
          <wp:inline distT="0" distB="0" distL="0" distR="0">
            <wp:extent cx="4358561" cy="4804881"/>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358561" cy="4804881"/>
                    </a:xfrm>
                    <a:prstGeom prst="rect">
                      <a:avLst/>
                    </a:prstGeom>
                    <a:ln/>
                  </pic:spPr>
                </pic:pic>
              </a:graphicData>
            </a:graphic>
          </wp:inline>
        </w:drawing>
      </w:r>
    </w:p>
    <w:p w:rsidR="00FF32FC" w:rsidRDefault="00FF32FC">
      <w:pPr>
        <w:spacing w:line="276" w:lineRule="auto"/>
        <w:ind w:right="851"/>
        <w:jc w:val="both"/>
        <w:rPr>
          <w:rFonts w:ascii="Palatino Linotype" w:eastAsia="Palatino Linotype" w:hAnsi="Palatino Linotype" w:cs="Palatino Linotype"/>
          <w:b/>
          <w:i/>
          <w:sz w:val="22"/>
          <w:szCs w:val="22"/>
        </w:rPr>
      </w:pPr>
    </w:p>
    <w:p w:rsidR="00FF32FC" w:rsidRDefault="00BD0578">
      <w:pPr>
        <w:spacing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 “OF-SJ-RR-15419-2022.pdf”: </w:t>
      </w:r>
      <w:r>
        <w:rPr>
          <w:rFonts w:ascii="Palatino Linotype" w:eastAsia="Palatino Linotype" w:hAnsi="Palatino Linotype" w:cs="Palatino Linotype"/>
          <w:sz w:val="22"/>
          <w:szCs w:val="22"/>
        </w:rPr>
        <w:t>Oficio INFOEM/STP/DC/6727/2022, signado por el Director de Cumplimientos, mediante el cual solicita que se notifique al superior jerárquico del responsable de dar cumplimiento a la resolución de mérito, a efecto de que dé cumplimiento a la misma en un periodo no mayor a cinco días hábiles.</w:t>
      </w:r>
    </w:p>
    <w:p w:rsidR="00FF32FC" w:rsidRDefault="00FF32FC">
      <w:pPr>
        <w:spacing w:line="276" w:lineRule="auto"/>
        <w:ind w:left="567" w:right="851"/>
        <w:rPr>
          <w:rFonts w:ascii="Palatino Linotype" w:eastAsia="Palatino Linotype" w:hAnsi="Palatino Linotype" w:cs="Palatino Linotype"/>
          <w:sz w:val="22"/>
          <w:szCs w:val="22"/>
        </w:rPr>
      </w:pPr>
    </w:p>
    <w:p w:rsidR="00FF32FC" w:rsidRDefault="00FF32FC">
      <w:pPr>
        <w:spacing w:line="276" w:lineRule="auto"/>
        <w:ind w:left="567" w:right="851"/>
        <w:rPr>
          <w:rFonts w:ascii="Palatino Linotype" w:eastAsia="Palatino Linotype" w:hAnsi="Palatino Linotype" w:cs="Palatino Linotype"/>
          <w:sz w:val="22"/>
          <w:szCs w:val="22"/>
        </w:rPr>
      </w:pPr>
    </w:p>
    <w:p w:rsidR="00FF32FC" w:rsidRDefault="00BD0578">
      <w:pPr>
        <w:spacing w:line="276" w:lineRule="auto"/>
        <w:ind w:left="567"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eastAsia="es-MX"/>
        </w:rPr>
        <w:lastRenderedPageBreak/>
        <w:drawing>
          <wp:inline distT="0" distB="0" distL="0" distR="0">
            <wp:extent cx="4795645" cy="5724873"/>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95645" cy="5724873"/>
                    </a:xfrm>
                    <a:prstGeom prst="rect">
                      <a:avLst/>
                    </a:prstGeom>
                    <a:ln/>
                  </pic:spPr>
                </pic:pic>
              </a:graphicData>
            </a:graphic>
          </wp:inline>
        </w:drawing>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h. Turno a la Contraloría Interna para Imposición de Medida de Apremio.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noviembre de dos mil veintitrés</w:t>
      </w:r>
      <w:r>
        <w:rPr>
          <w:rFonts w:ascii="Palatino Linotype" w:eastAsia="Palatino Linotype" w:hAnsi="Palatino Linotype" w:cs="Palatino Linotype"/>
        </w:rPr>
        <w:t>, el Director de Cumplimientos de este Instituto remitió el documento electrónico “</w:t>
      </w:r>
      <w:r>
        <w:rPr>
          <w:rFonts w:ascii="Palatino Linotype" w:eastAsia="Palatino Linotype" w:hAnsi="Palatino Linotype" w:cs="Palatino Linotype"/>
          <w:b/>
          <w:i/>
        </w:rPr>
        <w:t xml:space="preserve">OF-RR-15419-2022.pdf”, </w:t>
      </w:r>
      <w:r>
        <w:rPr>
          <w:rFonts w:ascii="Palatino Linotype" w:eastAsia="Palatino Linotype" w:hAnsi="Palatino Linotype" w:cs="Palatino Linotype"/>
        </w:rPr>
        <w:t xml:space="preserve">consistente en el oficio INFOEM/STP/6726/2022, en el cual se hace del conocimiento del Contralor Interno de este Instituto que se emitió un Acuerdo de Incumplimiento para que en </w:t>
      </w:r>
      <w:r>
        <w:rPr>
          <w:rFonts w:ascii="Palatino Linotype" w:eastAsia="Palatino Linotype" w:hAnsi="Palatino Linotype" w:cs="Palatino Linotype"/>
        </w:rPr>
        <w:lastRenderedPageBreak/>
        <w:t xml:space="preserve">uso de sus atribuciones, se impongan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las medidas de apremio que conforme a derecho procedan. </w:t>
      </w:r>
    </w:p>
    <w:p w:rsidR="00FF32FC" w:rsidRDefault="00BD0578">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4538037" cy="5735926"/>
            <wp:effectExtent l="0" t="0" r="0" b="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38037" cy="5735926"/>
                    </a:xfrm>
                    <a:prstGeom prst="rect">
                      <a:avLst/>
                    </a:prstGeom>
                    <a:ln/>
                  </pic:spPr>
                </pic:pic>
              </a:graphicData>
            </a:graphic>
          </wp:inline>
        </w:drawing>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Segundo Recurso de Revisión </w:t>
      </w:r>
      <w:r>
        <w:rPr>
          <w:rFonts w:ascii="Palatino Linotype" w:eastAsia="Palatino Linotype" w:hAnsi="Palatino Linotype" w:cs="Palatino Linotype"/>
          <w:b/>
          <w:sz w:val="22"/>
          <w:szCs w:val="22"/>
        </w:rPr>
        <w:t>15419/INFOEM/ICR-56/IP/RR/2022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tres de febrero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interpuso </w:t>
      </w:r>
      <w:r>
        <w:rPr>
          <w:rFonts w:ascii="Palatino Linotype" w:eastAsia="Palatino Linotype" w:hAnsi="Palatino Linotype" w:cs="Palatino Linotype"/>
        </w:rPr>
        <w:lastRenderedPageBreak/>
        <w:t xml:space="preserve">Recurso de Revisión en este Instituto, a través del Sistema de Acceso a la Información Mexiquense (SAIMEX), en contra de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cumplimiento a la resolución referida en el antecedente 4, expresando las siguientes manifestaciones:</w:t>
      </w:r>
    </w:p>
    <w:p w:rsidR="00FF32FC" w:rsidRDefault="00BD0578">
      <w:pPr>
        <w:numPr>
          <w:ilvl w:val="0"/>
          <w:numId w:val="1"/>
        </w:numPr>
        <w:pBdr>
          <w:top w:val="nil"/>
          <w:left w:val="nil"/>
          <w:bottom w:val="nil"/>
          <w:right w:val="nil"/>
          <w:between w:val="nil"/>
        </w:pBdr>
        <w:spacing w:line="360" w:lineRule="auto"/>
        <w:ind w:righ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Acto Impugnado</w:t>
      </w:r>
    </w:p>
    <w:p w:rsidR="00FF32FC" w:rsidRDefault="00BD0578">
      <w:pPr>
        <w:ind w:left="567" w:right="101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rsidR="00FF32FC" w:rsidRDefault="00FF32FC">
      <w:pPr>
        <w:spacing w:line="360" w:lineRule="auto"/>
        <w:ind w:left="567" w:right="567"/>
        <w:jc w:val="both"/>
        <w:rPr>
          <w:rFonts w:ascii="Palatino Linotype" w:eastAsia="Palatino Linotype" w:hAnsi="Palatino Linotype" w:cs="Palatino Linotype"/>
          <w:i/>
        </w:rPr>
      </w:pPr>
    </w:p>
    <w:p w:rsidR="00FF32FC" w:rsidRDefault="00BD0578">
      <w:pPr>
        <w:numPr>
          <w:ilvl w:val="0"/>
          <w:numId w:val="1"/>
        </w:numPr>
        <w:pBdr>
          <w:top w:val="nil"/>
          <w:left w:val="nil"/>
          <w:bottom w:val="nil"/>
          <w:right w:val="nil"/>
          <w:between w:val="nil"/>
        </w:pBdr>
        <w:spacing w:line="360" w:lineRule="auto"/>
        <w:ind w:righ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Razones o Motivos de la Inconformidad</w:t>
      </w:r>
    </w:p>
    <w:p w:rsidR="00FF32FC" w:rsidRDefault="00BD0578">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“NO ENTREGA INFORMACIÓN” (Sic)</w:t>
      </w:r>
    </w:p>
    <w:p w:rsidR="00FF32FC" w:rsidRDefault="00FF32FC">
      <w:pPr>
        <w:widowControl w:val="0"/>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6. </w:t>
      </w:r>
      <w:r>
        <w:rPr>
          <w:rFonts w:ascii="Palatino Linotype" w:eastAsia="Palatino Linotype" w:hAnsi="Palatino Linotype" w:cs="Palatino Linotype"/>
          <w:b/>
        </w:rPr>
        <w:t>Trámite del Recurso de Revisión con número 15419/INFOEM/ICR-56/IP/RR/2022 ante el Instituto.</w:t>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 Turno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tres de febrero de dos mil veintitrés</w:t>
      </w:r>
      <w:r>
        <w:rPr>
          <w:rFonts w:ascii="Palatino Linotype" w:eastAsia="Palatino Linotype" w:hAnsi="Palatino Linotype" w:cs="Palatino Linotype"/>
        </w:rPr>
        <w:t xml:space="preserve">, el Sistema de Acceso a la Información Mexiquense (SAIMEX), asignó el número de expediente </w:t>
      </w:r>
      <w:r>
        <w:rPr>
          <w:rFonts w:ascii="Palatino Linotype" w:eastAsia="Palatino Linotype" w:hAnsi="Palatino Linotype" w:cs="Palatino Linotype"/>
          <w:b/>
        </w:rPr>
        <w:t xml:space="preserve">15419/INFOEM/ICR-56/IP/RR/2022, </w:t>
      </w:r>
      <w:r>
        <w:rPr>
          <w:rFonts w:ascii="Palatino Linotype" w:eastAsia="Palatino Linotype" w:hAnsi="Palatino Linotype" w:cs="Palatino Linotype"/>
        </w:rPr>
        <w:t xml:space="preserve">al Medio de Impugnación que nos ocupa, con base en el sistema aprobado por el Pleno de este Organismo Garante y lo turnó a la </w:t>
      </w:r>
      <w:r>
        <w:rPr>
          <w:rFonts w:ascii="Palatino Linotype" w:eastAsia="Palatino Linotype" w:hAnsi="Palatino Linotype" w:cs="Palatino Linotype"/>
          <w:b/>
        </w:rPr>
        <w:t>Comisionada Ponente Guadalupe Ramírez Peña</w:t>
      </w:r>
      <w:r>
        <w:rPr>
          <w:rFonts w:ascii="Palatino Linotype" w:eastAsia="Palatino Linotype" w:hAnsi="Palatino Linotype" w:cs="Palatino Linotype"/>
        </w:rPr>
        <w:t>, para los efectos del artículo 185, fracción I de la Ley de Transparencia y Acceso a la Información Pública del Estado de México y Municipios.</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b) Admisión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nueve de febrero de dos mil veintitrés</w:t>
      </w:r>
      <w:r>
        <w:rPr>
          <w:rFonts w:ascii="Palatino Linotype" w:eastAsia="Palatino Linotype" w:hAnsi="Palatino Linotype" w:cs="Palatino Linotype"/>
        </w:rPr>
        <w:t xml:space="preserve">, se acordó la admisión del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185, fracciones I, II y IV de la Ley de Transparencia y Acceso a la Información Pública del Estado de México y </w:t>
      </w:r>
      <w:r>
        <w:rPr>
          <w:rFonts w:ascii="Palatino Linotype" w:eastAsia="Palatino Linotype" w:hAnsi="Palatino Linotype" w:cs="Palatino Linotype"/>
        </w:rPr>
        <w:lastRenderedPageBreak/>
        <w:t>Municipios, el cual fue notificado a las partes a través del Sistema de Acceso a la Información Mexiquense (SAIMEX), en el que se les otorgó un plazo de siete días hábiles posteriores, para que manifestaran lo que a su derecho conviniera y formularan alegatos.</w:t>
      </w:r>
      <w:r>
        <w:rPr>
          <w:rFonts w:ascii="Palatino Linotype" w:eastAsia="Palatino Linotype" w:hAnsi="Palatino Linotype" w:cs="Palatino Linotype"/>
          <w:b/>
        </w:rPr>
        <w:t xml:space="preserve"> </w:t>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 Manifestaciones o Informe Justificado. </w:t>
      </w:r>
      <w:r>
        <w:rPr>
          <w:rFonts w:ascii="Palatino Linotype" w:eastAsia="Palatino Linotype" w:hAnsi="Palatino Linotype" w:cs="Palatino Linotype"/>
        </w:rPr>
        <w:t xml:space="preserve">De las constancias del expediente electrónico del SAIMEX, se observa que el </w:t>
      </w:r>
      <w:r>
        <w:rPr>
          <w:rFonts w:ascii="Palatino Linotype" w:eastAsia="Palatino Linotype" w:hAnsi="Palatino Linotype" w:cs="Palatino Linotype"/>
          <w:b/>
        </w:rPr>
        <w:t xml:space="preserve">treinta y uno de marzo de dos mil veintitrés, </w:t>
      </w: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remitió</w:t>
      </w:r>
      <w:r>
        <w:rPr>
          <w:rFonts w:ascii="Palatino Linotype" w:eastAsia="Palatino Linotype" w:hAnsi="Palatino Linotype" w:cs="Palatino Linotype"/>
          <w:b/>
        </w:rPr>
        <w:t xml:space="preserve"> </w:t>
      </w:r>
      <w:r>
        <w:rPr>
          <w:rFonts w:ascii="Palatino Linotype" w:eastAsia="Palatino Linotype" w:hAnsi="Palatino Linotype" w:cs="Palatino Linotype"/>
        </w:rPr>
        <w:t>el</w:t>
      </w:r>
      <w:r>
        <w:rPr>
          <w:rFonts w:ascii="Palatino Linotype" w:eastAsia="Palatino Linotype" w:hAnsi="Palatino Linotype" w:cs="Palatino Linotype"/>
          <w:b/>
        </w:rPr>
        <w:t xml:space="preserve"> </w:t>
      </w:r>
      <w:r>
        <w:rPr>
          <w:rFonts w:ascii="Palatino Linotype" w:eastAsia="Palatino Linotype" w:hAnsi="Palatino Linotype" w:cs="Palatino Linotype"/>
        </w:rPr>
        <w:t>archivo electrónico</w:t>
      </w:r>
      <w:r>
        <w:rPr>
          <w:rFonts w:ascii="Palatino Linotype" w:eastAsia="Palatino Linotype" w:hAnsi="Palatino Linotype" w:cs="Palatino Linotype"/>
          <w:b/>
        </w:rPr>
        <w:t xml:space="preserve"> “</w:t>
      </w:r>
      <w:r>
        <w:rPr>
          <w:rFonts w:ascii="Palatino Linotype" w:eastAsia="Palatino Linotype" w:hAnsi="Palatino Linotype" w:cs="Palatino Linotype"/>
          <w:b/>
          <w:i/>
          <w:sz w:val="22"/>
          <w:szCs w:val="22"/>
        </w:rPr>
        <w:t xml:space="preserve">Zinacantepec 63.pdf”, </w:t>
      </w:r>
      <w:r>
        <w:rPr>
          <w:rFonts w:ascii="Palatino Linotype" w:eastAsia="Palatino Linotype" w:hAnsi="Palatino Linotype" w:cs="Palatino Linotype"/>
        </w:rPr>
        <w:t xml:space="preserve">en el cual obra la solicitud de ampliación de plazo formulada por el Titular de la Unidad de Transparencia al Pleno de este Instituto por un periodo de 30 días hábiles, lo anterior en virtud de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es de precisar que una vez analizada esta documentación, se determinó ponerla a la vista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mediante acuerdo signado por la Comisionada Ponente, el </w:t>
      </w:r>
      <w:r>
        <w:rPr>
          <w:rFonts w:ascii="Palatino Linotype" w:eastAsia="Palatino Linotype" w:hAnsi="Palatino Linotype" w:cs="Palatino Linotype"/>
          <w:b/>
        </w:rPr>
        <w:t>veinticuatro de mayo de dos mil veintitrés</w:t>
      </w:r>
      <w:r>
        <w:rPr>
          <w:rFonts w:ascii="Palatino Linotype" w:eastAsia="Palatino Linotype" w:hAnsi="Palatino Linotype" w:cs="Palatino Linotype"/>
        </w:rPr>
        <w:t xml:space="preserve">, asimismo, es necesario destacar que el particular fue omiso en emitir pronunciamiento alguno, por lo que se tiene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581015" cy="1943735"/>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581015" cy="1943735"/>
                    </a:xfrm>
                    <a:prstGeom prst="rect">
                      <a:avLst/>
                    </a:prstGeom>
                    <a:ln/>
                  </pic:spPr>
                </pic:pic>
              </a:graphicData>
            </a:graphic>
          </wp:inline>
        </w:drawing>
      </w:r>
    </w:p>
    <w:p w:rsidR="00FF32FC" w:rsidRDefault="00BD0578">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d)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veinticuatro de mayo 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F32FC" w:rsidRDefault="00FF32FC">
      <w:pPr>
        <w:spacing w:line="360" w:lineRule="auto"/>
        <w:jc w:val="both"/>
        <w:rPr>
          <w:rFonts w:ascii="Palatino Linotype" w:eastAsia="Palatino Linotype" w:hAnsi="Palatino Linotype" w:cs="Palatino Linotype"/>
        </w:rPr>
      </w:pPr>
    </w:p>
    <w:p w:rsidR="00FF32FC" w:rsidRDefault="00BD0578">
      <w:pPr>
        <w:numPr>
          <w:ilvl w:val="0"/>
          <w:numId w:val="4"/>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FF32FC" w:rsidRDefault="00FF32FC">
      <w:pPr>
        <w:spacing w:line="360" w:lineRule="auto"/>
        <w:ind w:left="567" w:right="900" w:hanging="141"/>
        <w:jc w:val="both"/>
        <w:rPr>
          <w:rFonts w:ascii="Palatino Linotype" w:eastAsia="Palatino Linotype" w:hAnsi="Palatino Linotype" w:cs="Palatino Linotype"/>
        </w:rPr>
      </w:pPr>
    </w:p>
    <w:p w:rsidR="00FF32FC" w:rsidRDefault="00BD0578">
      <w:pPr>
        <w:numPr>
          <w:ilvl w:val="0"/>
          <w:numId w:val="4"/>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rsidR="00FF32FC" w:rsidRDefault="00FF32FC">
      <w:pPr>
        <w:spacing w:line="360" w:lineRule="auto"/>
        <w:ind w:left="567" w:right="900" w:hanging="141"/>
        <w:jc w:val="both"/>
        <w:rPr>
          <w:rFonts w:ascii="Palatino Linotype" w:eastAsia="Palatino Linotype" w:hAnsi="Palatino Linotype" w:cs="Palatino Linotype"/>
        </w:rPr>
      </w:pPr>
    </w:p>
    <w:p w:rsidR="00FF32FC" w:rsidRDefault="00BD0578">
      <w:pPr>
        <w:numPr>
          <w:ilvl w:val="0"/>
          <w:numId w:val="4"/>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FF32FC" w:rsidRDefault="00FF32FC">
      <w:pPr>
        <w:spacing w:line="360" w:lineRule="auto"/>
        <w:ind w:left="567" w:right="900" w:hanging="141"/>
        <w:rPr>
          <w:rFonts w:ascii="Palatino Linotype" w:eastAsia="Palatino Linotype" w:hAnsi="Palatino Linotype" w:cs="Palatino Linotype"/>
        </w:rPr>
      </w:pPr>
    </w:p>
    <w:p w:rsidR="00FF32FC" w:rsidRDefault="00BD0578">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e) Cierre de instrucción.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treinta de mayo de dos mil veintitrés</w:t>
      </w:r>
      <w:r>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rsidR="00FF32FC" w:rsidRDefault="00BD0578">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FF32FC" w:rsidRDefault="00BD057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XXIII y 11 del Reglamento Interior del Instituto de Transparencia, Acceso a la Información Pública y Protección de Datos Personales del Estado de México y Municipios.</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FF32FC" w:rsidRDefault="00BD057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rsidR="00FF32FC" w:rsidRDefault="00BD0578">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rsidR="00FF32FC" w:rsidRDefault="00BD057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FF32FC" w:rsidRDefault="00FF32FC">
      <w:pPr>
        <w:spacing w:line="276" w:lineRule="auto"/>
        <w:ind w:left="851" w:right="851"/>
        <w:jc w:val="both"/>
        <w:rPr>
          <w:rFonts w:ascii="Palatino Linotype" w:eastAsia="Palatino Linotype" w:hAnsi="Palatino Linotype" w:cs="Palatino Linotype"/>
          <w:i/>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178 del citado ordenamiento, establece:</w:t>
      </w:r>
    </w:p>
    <w:p w:rsidR="00FF32FC" w:rsidRDefault="00FF32FC">
      <w:pPr>
        <w:spacing w:line="360" w:lineRule="auto"/>
        <w:jc w:val="both"/>
        <w:rPr>
          <w:rFonts w:ascii="Palatino Linotype" w:eastAsia="Palatino Linotype" w:hAnsi="Palatino Linotype" w:cs="Palatino Linotype"/>
          <w:i/>
        </w:rPr>
      </w:pPr>
    </w:p>
    <w:p w:rsidR="00FF32FC" w:rsidRDefault="00BD0578">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sz w:val="22"/>
          <w:szCs w:val="22"/>
        </w:rPr>
        <w:t>.</w:t>
      </w:r>
    </w:p>
    <w:p w:rsidR="00FF32FC" w:rsidRDefault="00FF32FC">
      <w:pPr>
        <w:spacing w:line="276" w:lineRule="auto"/>
        <w:ind w:left="567" w:right="616"/>
        <w:jc w:val="both"/>
        <w:rPr>
          <w:rFonts w:ascii="Palatino Linotype" w:eastAsia="Palatino Linotype" w:hAnsi="Palatino Linotype" w:cs="Palatino Linotype"/>
          <w:b/>
          <w:i/>
          <w:sz w:val="22"/>
          <w:szCs w:val="22"/>
        </w:rPr>
      </w:pPr>
    </w:p>
    <w:p w:rsidR="00FF32FC" w:rsidRDefault="00BD0578">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t xml:space="preserve"> </w:t>
      </w:r>
      <w:r>
        <w:rPr>
          <w:rFonts w:ascii="Palatino Linotype" w:eastAsia="Palatino Linotype" w:hAnsi="Palatino Linotype" w:cs="Palatino Linotype"/>
          <w:i/>
          <w:sz w:val="22"/>
          <w:szCs w:val="22"/>
        </w:rPr>
        <w:t>acompañado con el documento que pruebe la fecha en que presentó la solicitud</w:t>
      </w:r>
      <w:r>
        <w:rPr>
          <w:rFonts w:ascii="Palatino Linotype" w:eastAsia="Palatino Linotype" w:hAnsi="Palatino Linotype" w:cs="Palatino Linotype"/>
          <w:b/>
          <w:i/>
          <w:sz w:val="22"/>
          <w:szCs w:val="22"/>
        </w:rPr>
        <w:t>.”</w:t>
      </w:r>
    </w:p>
    <w:p w:rsidR="00FF32FC" w:rsidRDefault="00FF32FC">
      <w:pPr>
        <w:spacing w:line="360" w:lineRule="auto"/>
        <w:ind w:left="851" w:right="851"/>
        <w:jc w:val="both"/>
        <w:rPr>
          <w:rFonts w:ascii="Palatino Linotype" w:eastAsia="Palatino Linotype" w:hAnsi="Palatino Linotype" w:cs="Palatino Linotype"/>
          <w:i/>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Pr>
          <w:rFonts w:ascii="Palatino Linotype" w:eastAsia="Palatino Linotype" w:hAnsi="Palatino Linotype" w:cs="Palatino Linotype"/>
          <w:b/>
          <w:u w:val="single"/>
        </w:rPr>
        <w:t>la interposición del recurso de revisión puede ser en cualquier momento.</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existe por lo tanto, una resolución de rechazo ante la solicitud del ciudadano; ya que efectivamente, dicha figura se </w:t>
      </w:r>
      <w:r>
        <w:rPr>
          <w:rFonts w:ascii="Palatino Linotype" w:eastAsia="Palatino Linotype" w:hAnsi="Palatino Linotype" w:cs="Palatino Linotype"/>
        </w:rPr>
        <w:lastRenderedPageBreak/>
        <w:t>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xml:space="preserve"> del mismo.</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w:t>
      </w:r>
      <w:r>
        <w:rPr>
          <w:rFonts w:ascii="Palatino Linotype" w:eastAsia="Palatino Linotype" w:hAnsi="Palatino Linotype" w:cs="Palatino Linotype"/>
        </w:rPr>
        <w:lastRenderedPageBreak/>
        <w:t>publicado en el Periódico Oficial del Estado de México “Gaceta del Gobierno”, el veintitrés de abril de dos mil quince, que establece:</w:t>
      </w:r>
    </w:p>
    <w:p w:rsidR="00FF32FC" w:rsidRDefault="00FF32FC">
      <w:pPr>
        <w:spacing w:line="276" w:lineRule="auto"/>
        <w:jc w:val="both"/>
        <w:rPr>
          <w:rFonts w:ascii="Palatino Linotype" w:eastAsia="Palatino Linotype" w:hAnsi="Palatino Linotype" w:cs="Palatino Linotype"/>
          <w:i/>
        </w:rPr>
      </w:pPr>
    </w:p>
    <w:p w:rsidR="00FF32FC" w:rsidRDefault="00BD0578">
      <w:pPr>
        <w:tabs>
          <w:tab w:val="left" w:pos="1276"/>
        </w:tabs>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rsidR="00FF32FC" w:rsidRDefault="00FF32FC">
      <w:pPr>
        <w:spacing w:line="276" w:lineRule="auto"/>
        <w:ind w:left="851" w:right="851"/>
        <w:jc w:val="both"/>
        <w:rPr>
          <w:rFonts w:ascii="Palatino Linotype" w:eastAsia="Palatino Linotype" w:hAnsi="Palatino Linotype" w:cs="Palatino Linotype"/>
          <w:i/>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F32FC" w:rsidRDefault="00BD057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o seudónimo con el cual desee ser identificado, como se advierte en el detalle de seguimiento del SAIMEX, no obstante lo anterior, no proporcionar el nombre no es motivo para </w:t>
      </w:r>
      <w:r>
        <w:rPr>
          <w:rFonts w:ascii="Palatino Linotype" w:eastAsia="Palatino Linotype" w:hAnsi="Palatino Linotype" w:cs="Palatino Linotype"/>
          <w:color w:val="000000"/>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F32FC" w:rsidRDefault="00BD0578">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FF32FC" w:rsidRDefault="00BD057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FF32FC" w:rsidRDefault="00BD0578">
      <w:pPr>
        <w:pBdr>
          <w:top w:val="nil"/>
          <w:left w:val="nil"/>
          <w:bottom w:val="nil"/>
          <w:right w:val="nil"/>
          <w:between w:val="nil"/>
        </w:pBdr>
        <w:ind w:left="567"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179. </w:t>
      </w:r>
      <w:r>
        <w:rPr>
          <w:rFonts w:ascii="Palatino Linotype" w:eastAsia="Palatino Linotype" w:hAnsi="Palatino Linotype" w:cs="Palatino Linotype"/>
          <w:i/>
          <w:color w:val="000000"/>
          <w:sz w:val="22"/>
          <w:szCs w:val="22"/>
        </w:rPr>
        <w:t>El recurso de revisión es un medio de protección que la Ley otorga a los particulares, para hacer valer su derecho de acceso a la información pública, y procederá en contra de las siguientes causas:</w:t>
      </w:r>
    </w:p>
    <w:p w:rsidR="00FF32FC" w:rsidRDefault="00BD0578">
      <w:pPr>
        <w:pBdr>
          <w:top w:val="nil"/>
          <w:left w:val="nil"/>
          <w:bottom w:val="nil"/>
          <w:right w:val="nil"/>
          <w:between w:val="nil"/>
        </w:pBdr>
        <w:ind w:left="567" w:right="851"/>
        <w:jc w:val="both"/>
        <w:rPr>
          <w:color w:val="000000"/>
        </w:rPr>
      </w:pPr>
      <w:r>
        <w:rPr>
          <w:rFonts w:ascii="Palatino Linotype" w:eastAsia="Palatino Linotype" w:hAnsi="Palatino Linotype" w:cs="Palatino Linotype"/>
          <w:i/>
          <w:color w:val="000000"/>
        </w:rPr>
        <w:t>…</w:t>
      </w:r>
    </w:p>
    <w:p w:rsidR="00FF32FC" w:rsidRDefault="00BD0578">
      <w:pPr>
        <w:pBdr>
          <w:top w:val="nil"/>
          <w:left w:val="nil"/>
          <w:bottom w:val="nil"/>
          <w:right w:val="nil"/>
          <w:between w:val="nil"/>
        </w:pBdr>
        <w:ind w:left="567" w:right="851"/>
        <w:jc w:val="both"/>
        <w:rPr>
          <w:color w:val="000000"/>
        </w:rPr>
      </w:pP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falta de respuesta a una solicitud de acceso a la información;</w:t>
      </w:r>
    </w:p>
    <w:p w:rsidR="00FF32FC" w:rsidRDefault="00BD0578">
      <w:pPr>
        <w:pBdr>
          <w:top w:val="nil"/>
          <w:left w:val="nil"/>
          <w:bottom w:val="nil"/>
          <w:right w:val="nil"/>
          <w:between w:val="nil"/>
        </w:pBdr>
        <w:ind w:left="567" w:right="851"/>
        <w:jc w:val="both"/>
        <w:rPr>
          <w:color w:val="000000"/>
        </w:rPr>
      </w:pPr>
      <w:r>
        <w:rPr>
          <w:rFonts w:ascii="Palatino Linotype" w:eastAsia="Palatino Linotype" w:hAnsi="Palatino Linotype" w:cs="Palatino Linotype"/>
          <w:b/>
          <w:i/>
          <w:color w:val="000000"/>
          <w:sz w:val="22"/>
          <w:szCs w:val="22"/>
        </w:rPr>
        <w:t>…</w:t>
      </w:r>
    </w:p>
    <w:p w:rsidR="00FF32FC" w:rsidRDefault="00FF32FC">
      <w:pPr>
        <w:ind w:left="567"/>
      </w:pPr>
    </w:p>
    <w:p w:rsidR="00FF32FC" w:rsidRDefault="00BD0578">
      <w:pPr>
        <w:pBdr>
          <w:top w:val="nil"/>
          <w:left w:val="nil"/>
          <w:bottom w:val="nil"/>
          <w:right w:val="nil"/>
          <w:between w:val="nil"/>
        </w:pBdr>
        <w:ind w:left="567" w:right="851"/>
        <w:jc w:val="both"/>
        <w:rPr>
          <w:color w:val="000000"/>
        </w:rPr>
      </w:pPr>
      <w:r>
        <w:rPr>
          <w:rFonts w:ascii="Palatino Linotype" w:eastAsia="Palatino Linotype" w:hAnsi="Palatino Linotype" w:cs="Palatino Linotype"/>
          <w:i/>
          <w:color w:val="000000"/>
          <w:sz w:val="22"/>
          <w:szCs w:val="22"/>
        </w:rPr>
        <w:t xml:space="preserve">La respuesta que den los sujetos obligados derivada de la resolución a un recurso de revisión que proceda por las causales señaladas en las fracciones IV, </w:t>
      </w:r>
      <w:r>
        <w:rPr>
          <w:rFonts w:ascii="Palatino Linotype" w:eastAsia="Palatino Linotype" w:hAnsi="Palatino Linotype" w:cs="Palatino Linotype"/>
          <w:b/>
          <w:i/>
          <w:color w:val="000000"/>
          <w:sz w:val="22"/>
          <w:szCs w:val="22"/>
        </w:rPr>
        <w:t>VII,</w:t>
      </w:r>
      <w:r>
        <w:rPr>
          <w:rFonts w:ascii="Palatino Linotype" w:eastAsia="Palatino Linotype" w:hAnsi="Palatino Linotype" w:cs="Palatino Linotype"/>
          <w:i/>
          <w:color w:val="000000"/>
          <w:sz w:val="22"/>
          <w:szCs w:val="22"/>
        </w:rPr>
        <w:t xml:space="preserve"> IX, X, XI y XII es susceptible de ser impugnada de nueva cuenta, mediante recurso de revisión, ante el Instituto.”</w:t>
      </w:r>
    </w:p>
    <w:p w:rsidR="00FF32FC" w:rsidRDefault="00BD057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El precepto legal citado, establece como supuesto de procedencia del recurso de revisión, en aquellos casos en que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estime negado el acceso a la información por la falta de respuesta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este asunto se actualiza la hipótesis jurídica citada, en atención a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combate </w:t>
      </w:r>
      <w:r>
        <w:rPr>
          <w:rFonts w:ascii="Palatino Linotype" w:eastAsia="Palatino Linotype" w:hAnsi="Palatino Linotype" w:cs="Palatino Linotype"/>
          <w:color w:val="000000"/>
        </w:rPr>
        <w:lastRenderedPageBreak/>
        <w:t xml:space="preserve">falta de trámite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expresa motivos de inconformidad en contra de dicha circunstancia.</w:t>
      </w:r>
    </w:p>
    <w:p w:rsidR="00FF32FC" w:rsidRDefault="00BD057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Tercero. Materia de la revisión. </w:t>
      </w:r>
      <w:r>
        <w:rPr>
          <w:rFonts w:ascii="Palatino Linotype" w:eastAsia="Palatino Linotype" w:hAnsi="Palatino Linotype" w:cs="Palatino Linotype"/>
          <w:color w:val="000000"/>
        </w:rPr>
        <w:t xml:space="preserve">Este Organismo Garante procede del análisis de los agravios hechos valer por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F32FC" w:rsidRDefault="00FF32FC">
      <w:pPr>
        <w:spacing w:line="360" w:lineRule="auto"/>
        <w:jc w:val="both"/>
        <w:rPr>
          <w:rFonts w:ascii="Palatino Linotype" w:eastAsia="Palatino Linotype" w:hAnsi="Palatino Linotype" w:cs="Palatino Linotype"/>
        </w:rPr>
      </w:pPr>
    </w:p>
    <w:p w:rsidR="00FF32FC" w:rsidRDefault="00BD057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F32FC" w:rsidRDefault="00BD0578">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F32FC" w:rsidRDefault="00BD057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rsidR="00FF32FC" w:rsidRDefault="00BD0578">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FF32FC" w:rsidRDefault="00BD0578">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F32FC" w:rsidRDefault="00FF32FC">
      <w:pPr>
        <w:ind w:left="851" w:right="851"/>
        <w:jc w:val="both"/>
        <w:rPr>
          <w:rFonts w:ascii="Palatino Linotype" w:eastAsia="Palatino Linotype" w:hAnsi="Palatino Linotype" w:cs="Palatino Linotype"/>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F32FC" w:rsidRDefault="00FF32FC">
      <w:pPr>
        <w:ind w:right="851"/>
        <w:jc w:val="both"/>
        <w:rPr>
          <w:rFonts w:ascii="Palatino Linotype" w:eastAsia="Palatino Linotype" w:hAnsi="Palatino Linotype" w:cs="Palatino Linotype"/>
          <w:i/>
          <w:sz w:val="22"/>
          <w:szCs w:val="22"/>
        </w:rPr>
      </w:pPr>
    </w:p>
    <w:p w:rsidR="00FF32FC" w:rsidRDefault="00BD057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F32FC" w:rsidRDefault="00BD0578">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F32FC" w:rsidRDefault="00BD0578">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F32FC" w:rsidRDefault="00BD057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rsidR="00FF32FC" w:rsidRDefault="00FF32FC">
      <w:pPr>
        <w:spacing w:line="360" w:lineRule="auto"/>
        <w:jc w:val="both"/>
        <w:rPr>
          <w:rFonts w:ascii="Palatino Linotype" w:eastAsia="Palatino Linotype" w:hAnsi="Palatino Linotype" w:cs="Palatino Linotype"/>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F32FC" w:rsidRDefault="00FF32FC">
      <w:pPr>
        <w:ind w:left="851" w:right="851"/>
        <w:jc w:val="both"/>
        <w:rPr>
          <w:rFonts w:ascii="Palatino Linotype" w:eastAsia="Palatino Linotype" w:hAnsi="Palatino Linotype" w:cs="Palatino Linotype"/>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rPr>
        <w:lastRenderedPageBreak/>
        <w:t>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FF32FC" w:rsidRDefault="00FF32FC">
      <w:pPr>
        <w:ind w:right="851"/>
        <w:jc w:val="both"/>
        <w:rPr>
          <w:rFonts w:ascii="Palatino Linotype" w:eastAsia="Palatino Linotype" w:hAnsi="Palatino Linotype" w:cs="Palatino Linotype"/>
          <w:b/>
          <w:i/>
          <w:sz w:val="22"/>
          <w:szCs w:val="22"/>
        </w:rPr>
      </w:pPr>
    </w:p>
    <w:p w:rsidR="00FF32FC" w:rsidRDefault="00BD05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FF32FC" w:rsidRDefault="00BD057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FF32FC" w:rsidRDefault="00FF32FC">
      <w:pPr>
        <w:spacing w:line="360" w:lineRule="auto"/>
        <w:jc w:val="both"/>
        <w:rPr>
          <w:rFonts w:ascii="Palatino Linotype" w:eastAsia="Palatino Linotype" w:hAnsi="Palatino Linotype" w:cs="Palatino Linotype"/>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FF32FC" w:rsidRDefault="00FF32FC">
      <w:pPr>
        <w:ind w:left="851" w:right="851"/>
        <w:jc w:val="both"/>
        <w:rPr>
          <w:rFonts w:ascii="Palatino Linotype" w:eastAsia="Palatino Linotype" w:hAnsi="Palatino Linotype" w:cs="Palatino Linotype"/>
          <w:b/>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FF32FC" w:rsidRDefault="00FF32FC">
      <w:pPr>
        <w:ind w:left="851" w:right="851"/>
        <w:jc w:val="both"/>
        <w:rPr>
          <w:rFonts w:ascii="Palatino Linotype" w:eastAsia="Palatino Linotype" w:hAnsi="Palatino Linotype" w:cs="Palatino Linotype"/>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FF32FC" w:rsidRDefault="00FF32FC">
      <w:pPr>
        <w:ind w:left="851" w:right="851"/>
        <w:jc w:val="both"/>
        <w:rPr>
          <w:rFonts w:ascii="Palatino Linotype" w:eastAsia="Palatino Linotype" w:hAnsi="Palatino Linotype" w:cs="Palatino Linotype"/>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F32FC" w:rsidRDefault="00FF32FC">
      <w:pPr>
        <w:ind w:left="851" w:right="851"/>
        <w:jc w:val="both"/>
        <w:rPr>
          <w:rFonts w:ascii="Palatino Linotype" w:eastAsia="Palatino Linotype" w:hAnsi="Palatino Linotype" w:cs="Palatino Linotype"/>
          <w:i/>
          <w:sz w:val="22"/>
          <w:szCs w:val="22"/>
        </w:rPr>
      </w:pPr>
    </w:p>
    <w:p w:rsidR="00FF32FC" w:rsidRDefault="00BD057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 xml:space="preserve">el derecho de acceso a la </w:t>
      </w:r>
      <w:r>
        <w:rPr>
          <w:rFonts w:ascii="Palatino Linotype" w:eastAsia="Palatino Linotype" w:hAnsi="Palatino Linotype" w:cs="Palatino Linotype"/>
          <w:b/>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F32FC" w:rsidRDefault="00BD057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FF32FC" w:rsidRDefault="00BD0578">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En este sentido, es conveniente recordar y analizar las constancias que obran en el expediente electrónico para efecto de determinar si hubo una violación al derecho de acceso a la información pública del particular.</w:t>
      </w:r>
    </w:p>
    <w:p w:rsidR="00FF32FC" w:rsidRDefault="00BD0578">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Precisado lo anterior, conviene señalar que el particular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siguiente:</w:t>
      </w:r>
    </w:p>
    <w:p w:rsidR="00FF32FC" w:rsidRDefault="00FF32F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FF32FC" w:rsidRDefault="00BD0578">
      <w:pPr>
        <w:numPr>
          <w:ilvl w:val="0"/>
          <w:numId w:val="2"/>
        </w:numPr>
        <w:pBdr>
          <w:top w:val="nil"/>
          <w:left w:val="nil"/>
          <w:bottom w:val="nil"/>
          <w:right w:val="nil"/>
          <w:between w:val="nil"/>
        </w:pBdr>
        <w:tabs>
          <w:tab w:val="left" w:pos="4962"/>
        </w:tabs>
        <w:spacing w:line="360" w:lineRule="auto"/>
        <w:ind w:right="85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Todos </w:t>
      </w:r>
      <w:r>
        <w:rPr>
          <w:rFonts w:ascii="Palatino Linotype" w:eastAsia="Palatino Linotype" w:hAnsi="Palatino Linotype" w:cs="Palatino Linotype"/>
          <w:b/>
          <w:color w:val="000000"/>
          <w:sz w:val="22"/>
          <w:szCs w:val="22"/>
          <w:u w:val="single"/>
        </w:rPr>
        <w:t>los poderes notariales</w:t>
      </w:r>
      <w:r>
        <w:rPr>
          <w:rFonts w:ascii="Palatino Linotype" w:eastAsia="Palatino Linotype" w:hAnsi="Palatino Linotype" w:cs="Palatino Linotype"/>
          <w:b/>
          <w:color w:val="000000"/>
          <w:sz w:val="22"/>
          <w:szCs w:val="22"/>
        </w:rPr>
        <w:t xml:space="preserve"> que obren en el ayuntamiento de Zinacantepec del año 2022.</w:t>
      </w:r>
    </w:p>
    <w:p w:rsidR="00FF32FC" w:rsidRDefault="00FF32FC">
      <w:pPr>
        <w:tabs>
          <w:tab w:val="left" w:pos="4962"/>
        </w:tabs>
        <w:spacing w:line="360" w:lineRule="auto"/>
        <w:jc w:val="both"/>
        <w:rPr>
          <w:rFonts w:ascii="Palatino Linotype" w:eastAsia="Palatino Linotype" w:hAnsi="Palatino Linotype" w:cs="Palatino Linotype"/>
          <w:b/>
          <w:color w:val="000000"/>
        </w:rPr>
      </w:pPr>
    </w:p>
    <w:p w:rsidR="00FF32FC" w:rsidRDefault="00BD0578">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justamente se inconformó por la negativa de no entregar la información requerida, lo cual actualiza el supuesto previsto en el artículo 179, fracción VII, de la Ley de Transparencia y Acceso a la Información Pública del Estado de México y Municipios. </w:t>
      </w:r>
    </w:p>
    <w:p w:rsidR="00FF32FC" w:rsidRDefault="00FF32FC">
      <w:pPr>
        <w:tabs>
          <w:tab w:val="left" w:pos="4962"/>
        </w:tabs>
        <w:spacing w:line="360" w:lineRule="auto"/>
        <w:jc w:val="both"/>
        <w:rPr>
          <w:rFonts w:ascii="Palatino Linotype" w:eastAsia="Palatino Linotype" w:hAnsi="Palatino Linotype" w:cs="Palatino Linotype"/>
        </w:rPr>
      </w:pPr>
    </w:p>
    <w:p w:rsidR="00FF32FC" w:rsidRDefault="00BD0578">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una vez admitido y notificado el Recurso de Revisión a </w:t>
      </w:r>
      <w:r>
        <w:rPr>
          <w:rFonts w:ascii="Palatino Linotype" w:eastAsia="Palatino Linotype" w:hAnsi="Palatino Linotype" w:cs="Palatino Linotype"/>
          <w:color w:val="000000"/>
        </w:rPr>
        <w:t xml:space="preserve">las partes, </w:t>
      </w:r>
      <w:r>
        <w:rPr>
          <w:rFonts w:ascii="Palatino Linotype" w:eastAsia="Palatino Linotype" w:hAnsi="Palatino Linotype" w:cs="Palatino Linotype"/>
        </w:rPr>
        <w:t xml:space="preserve">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el archivo electrónico </w:t>
      </w:r>
      <w:r>
        <w:rPr>
          <w:rFonts w:ascii="Palatino Linotype" w:eastAsia="Palatino Linotype" w:hAnsi="Palatino Linotype" w:cs="Palatino Linotype"/>
          <w:b/>
          <w:i/>
        </w:rPr>
        <w:t xml:space="preserve">“Zinacantepec 63.pdf”, </w:t>
      </w:r>
      <w:r>
        <w:rPr>
          <w:rFonts w:ascii="Palatino Linotype" w:eastAsia="Palatino Linotype" w:hAnsi="Palatino Linotype" w:cs="Palatino Linotype"/>
        </w:rPr>
        <w:t xml:space="preserve">el cual consiste en un requerimiento de ampliación de plazos para la atención de la solicitud, </w:t>
      </w:r>
    </w:p>
    <w:p w:rsidR="00FF32FC" w:rsidRDefault="00BD0578">
      <w:pPr>
        <w:tabs>
          <w:tab w:val="left" w:pos="4962"/>
        </w:tabs>
        <w:ind w:left="567" w:right="851"/>
        <w:jc w:val="both"/>
        <w:rPr>
          <w:rFonts w:ascii="Palatino Linotype" w:eastAsia="Palatino Linotype" w:hAnsi="Palatino Linotype" w:cs="Palatino Linotype"/>
          <w:i/>
          <w:sz w:val="22"/>
          <w:szCs w:val="22"/>
        </w:rPr>
      </w:pPr>
      <w:r>
        <w:t xml:space="preserve"> </w:t>
      </w:r>
      <w:r>
        <w:rPr>
          <w:rFonts w:ascii="Palatino Linotype" w:eastAsia="Palatino Linotype" w:hAnsi="Palatino Linotype" w:cs="Palatino Linotype"/>
          <w:i/>
          <w:sz w:val="22"/>
          <w:szCs w:val="22"/>
        </w:rPr>
        <w:t xml:space="preserve">“… </w:t>
      </w: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 </w:t>
      </w:r>
    </w:p>
    <w:p w:rsidR="00FF32FC" w:rsidRDefault="00FF32FC">
      <w:pPr>
        <w:tabs>
          <w:tab w:val="left" w:pos="4962"/>
        </w:tabs>
        <w:ind w:left="567" w:right="851"/>
        <w:jc w:val="both"/>
        <w:rPr>
          <w:rFonts w:ascii="Palatino Linotype" w:eastAsia="Palatino Linotype" w:hAnsi="Palatino Linotype" w:cs="Palatino Linotype"/>
          <w:i/>
          <w:sz w:val="22"/>
          <w:szCs w:val="22"/>
        </w:rPr>
      </w:pP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w:t>
      </w:r>
    </w:p>
    <w:p w:rsidR="00FF32FC" w:rsidRDefault="00FF32FC">
      <w:pPr>
        <w:tabs>
          <w:tab w:val="left" w:pos="4962"/>
        </w:tabs>
        <w:ind w:left="567" w:right="851"/>
        <w:jc w:val="both"/>
        <w:rPr>
          <w:rFonts w:ascii="Palatino Linotype" w:eastAsia="Palatino Linotype" w:hAnsi="Palatino Linotype" w:cs="Palatino Linotype"/>
          <w:i/>
          <w:sz w:val="22"/>
          <w:szCs w:val="22"/>
        </w:rPr>
      </w:pP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w:t>
      </w:r>
    </w:p>
    <w:p w:rsidR="00FF32FC" w:rsidRDefault="00FF32FC">
      <w:pPr>
        <w:tabs>
          <w:tab w:val="left" w:pos="4962"/>
        </w:tabs>
        <w:ind w:left="567" w:right="851"/>
        <w:jc w:val="both"/>
        <w:rPr>
          <w:rFonts w:ascii="Palatino Linotype" w:eastAsia="Palatino Linotype" w:hAnsi="Palatino Linotype" w:cs="Palatino Linotype"/>
          <w:i/>
          <w:sz w:val="22"/>
          <w:szCs w:val="22"/>
        </w:rPr>
      </w:pP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 </w:t>
      </w:r>
    </w:p>
    <w:p w:rsidR="00FF32FC" w:rsidRDefault="00FF32FC">
      <w:pPr>
        <w:tabs>
          <w:tab w:val="left" w:pos="4962"/>
        </w:tabs>
        <w:ind w:left="567" w:right="851"/>
        <w:jc w:val="both"/>
        <w:rPr>
          <w:rFonts w:ascii="Palatino Linotype" w:eastAsia="Palatino Linotype" w:hAnsi="Palatino Linotype" w:cs="Palatino Linotype"/>
          <w:i/>
          <w:sz w:val="22"/>
          <w:szCs w:val="22"/>
        </w:rPr>
      </w:pP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hacer de su conocimiento que, en la Segunda Sesión Extraordinaria del Comité Municipal de Transparencia se aprobó la petición de ampliar los plazos para la atención a las Solicitudes de Información, siendo el siguiente acuerdo:</w:t>
      </w:r>
    </w:p>
    <w:p w:rsidR="00FF32FC" w:rsidRDefault="00FF32FC">
      <w:pPr>
        <w:tabs>
          <w:tab w:val="left" w:pos="4962"/>
        </w:tabs>
        <w:spacing w:line="276" w:lineRule="auto"/>
        <w:ind w:left="567" w:right="851"/>
        <w:jc w:val="both"/>
        <w:rPr>
          <w:rFonts w:ascii="Palatino Linotype" w:eastAsia="Palatino Linotype" w:hAnsi="Palatino Linotype" w:cs="Palatino Linotype"/>
          <w:i/>
          <w:sz w:val="22"/>
          <w:szCs w:val="22"/>
        </w:rPr>
      </w:pPr>
    </w:p>
    <w:p w:rsidR="00FF32FC" w:rsidRDefault="00BD0578">
      <w:pPr>
        <w:tabs>
          <w:tab w:val="left" w:pos="4962"/>
        </w:tabs>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eastAsia="es-MX"/>
        </w:rPr>
        <w:drawing>
          <wp:inline distT="0" distB="0" distL="0" distR="0">
            <wp:extent cx="4869739" cy="635521"/>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69739" cy="635521"/>
                    </a:xfrm>
                    <a:prstGeom prst="rect">
                      <a:avLst/>
                    </a:prstGeom>
                    <a:ln/>
                  </pic:spPr>
                </pic:pic>
              </a:graphicData>
            </a:graphic>
          </wp:inline>
        </w:drawing>
      </w:r>
    </w:p>
    <w:p w:rsidR="00FF32FC" w:rsidRDefault="00BD0578">
      <w:pPr>
        <w:tabs>
          <w:tab w:val="left" w:pos="4962"/>
        </w:tabs>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 …” </w:t>
      </w:r>
    </w:p>
    <w:p w:rsidR="00FF32FC" w:rsidRDefault="00FF32FC">
      <w:pPr>
        <w:tabs>
          <w:tab w:val="left" w:pos="4962"/>
        </w:tabs>
        <w:spacing w:line="360" w:lineRule="auto"/>
        <w:jc w:val="both"/>
        <w:rPr>
          <w:rFonts w:ascii="Palatino Linotype" w:eastAsia="Palatino Linotype" w:hAnsi="Palatino Linotype" w:cs="Palatino Linotype"/>
          <w:highlight w:val="yellow"/>
        </w:rPr>
      </w:pPr>
    </w:p>
    <w:p w:rsidR="00FF32FC" w:rsidRDefault="00BD0578">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ello, este Instituto de Transparencia, Acceso a la Información Pública y Protección de Datos Personales del Estado de México y Municipios, es competente para conocer y resolver la solicitud de ampliación de plazo para dar cumplimiento a la presente resolución del recurso de revisión </w:t>
      </w:r>
      <w:r>
        <w:rPr>
          <w:rFonts w:ascii="Palatino Linotype" w:eastAsia="Palatino Linotype" w:hAnsi="Palatino Linotype" w:cs="Palatino Linotype"/>
          <w:b/>
          <w:sz w:val="22"/>
          <w:szCs w:val="22"/>
        </w:rPr>
        <w:t>15419/INFOEM/ICR-56/IP/RR/2022</w:t>
      </w:r>
      <w:r>
        <w:rPr>
          <w:rFonts w:ascii="Palatino Linotype" w:eastAsia="Palatino Linotype" w:hAnsi="Palatino Linotype" w:cs="Palatino Linotype"/>
        </w:rPr>
        <w:t xml:space="preserve">, de conformidad con el artículo 198, párrafo tercero de la Ley de Transparencia y Acceso a la Información del Estado de México y Municipios; precepto del que se deriva que </w:t>
      </w:r>
      <w:r>
        <w:rPr>
          <w:rFonts w:ascii="Palatino Linotype" w:eastAsia="Palatino Linotype" w:hAnsi="Palatino Linotype" w:cs="Palatino Linotype"/>
        </w:rPr>
        <w:lastRenderedPageBreak/>
        <w:t xml:space="preserve">los sujetos obligados deben cumplir en estricto sentido los plazos establecidos en las resoluciones de este Organismo Garante, que se podrá solicitar excepcionalmente y de manera fundada y motivada la ampliación del plazo para el cumplimiento de la resolución y que deberán gestionar la respuesta a la solicitud de información al instante, atendiendo al principio de máxima publicidad y favoreciendo en todo momento a los particulares la protección más amplia. </w:t>
      </w:r>
    </w:p>
    <w:p w:rsidR="00FF32FC" w:rsidRDefault="00FF32FC">
      <w:pPr>
        <w:tabs>
          <w:tab w:val="left" w:pos="4962"/>
        </w:tabs>
        <w:spacing w:line="360" w:lineRule="auto"/>
        <w:jc w:val="both"/>
        <w:rPr>
          <w:rFonts w:ascii="Palatino Linotype" w:eastAsia="Palatino Linotype" w:hAnsi="Palatino Linotype" w:cs="Palatino Linotype"/>
        </w:rPr>
      </w:pPr>
    </w:p>
    <w:p w:rsidR="00FF32FC" w:rsidRDefault="00BD0578">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no reúne los requisitos establecidos en la normatividad</w:t>
      </w:r>
      <w:r>
        <w:rPr>
          <w:rFonts w:ascii="Palatino Linotype" w:eastAsia="Palatino Linotype" w:hAnsi="Palatino Linotype" w:cs="Palatino Linotype"/>
        </w:rPr>
        <w:t xml:space="preserve"> aplicable para la ampliación del término de cumplimiento, toda vez que se encuentra fuera de plazo, por lo que no resulta procedente el otorgar al </w:t>
      </w:r>
      <w:r>
        <w:rPr>
          <w:rFonts w:ascii="Palatino Linotype" w:eastAsia="Palatino Linotype" w:hAnsi="Palatino Linotype" w:cs="Palatino Linotype"/>
          <w:b/>
        </w:rPr>
        <w:t>Sujeto Obligado</w:t>
      </w:r>
      <w:r>
        <w:rPr>
          <w:rFonts w:ascii="Palatino Linotype" w:eastAsia="Palatino Linotype" w:hAnsi="Palatino Linotype" w:cs="Palatino Linotype"/>
        </w:rPr>
        <w:t>, una ampliación de plazo de 30 días para el cumplimiento de la presente Resolución.</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anterior, conviene iniciar definiendo al poder notarial, el cual se concibe de la siguiente manera: </w:t>
      </w:r>
    </w:p>
    <w:p w:rsidR="00FF32FC" w:rsidRDefault="00BD0578">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“Poderes notariales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Un poder es un </w:t>
      </w:r>
      <w:r>
        <w:rPr>
          <w:rFonts w:ascii="Palatino Linotype" w:eastAsia="Palatino Linotype" w:hAnsi="Palatino Linotype" w:cs="Palatino Linotype"/>
          <w:b/>
          <w:i/>
          <w:sz w:val="22"/>
          <w:szCs w:val="22"/>
          <w:u w:val="single"/>
        </w:rPr>
        <w:t>documento público autorizado por un notario que permite a una persona o empresa designar a otra como su representante para que actúe en su nombre en determinados actos jurídicos</w:t>
      </w:r>
      <w:r>
        <w:rPr>
          <w:rFonts w:ascii="Palatino Linotype" w:eastAsia="Palatino Linotype" w:hAnsi="Palatino Linotype" w:cs="Palatino Linotype"/>
          <w:i/>
          <w:sz w:val="22"/>
          <w:szCs w:val="22"/>
        </w:rPr>
        <w:t>, de modo que el representante deberá acreditar su cualidad de apoderado  mediante la exhibición de la copia autorizada del poder</w:t>
      </w:r>
      <w:r>
        <w:rPr>
          <w:rFonts w:ascii="Palatino Linotype" w:eastAsia="Palatino Linotype" w:hAnsi="Palatino Linotype" w:cs="Palatino Linotype"/>
          <w:i/>
          <w:sz w:val="22"/>
          <w:szCs w:val="22"/>
          <w:vertAlign w:val="superscript"/>
        </w:rPr>
        <w:footnoteReference w:id="3"/>
      </w:r>
      <w:r>
        <w:rPr>
          <w:rFonts w:ascii="Palatino Linotype" w:eastAsia="Palatino Linotype" w:hAnsi="Palatino Linotype" w:cs="Palatino Linotype"/>
          <w:i/>
          <w:sz w:val="22"/>
          <w:szCs w:val="22"/>
        </w:rPr>
        <w:t xml:space="preserve">.” </w:t>
      </w:r>
    </w:p>
    <w:p w:rsidR="00FF32FC" w:rsidRDefault="00BD0578">
      <w:pPr>
        <w:spacing w:before="240" w:after="240"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Secretaría de Relaciones Exteriores, señala lo siguiente respecto a los poderes notariales y su clasificación: </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legislación civil mexicana establece que el poder notarial es el </w:t>
      </w:r>
      <w:r>
        <w:rPr>
          <w:rFonts w:ascii="Palatino Linotype" w:eastAsia="Palatino Linotype" w:hAnsi="Palatino Linotype" w:cs="Palatino Linotype"/>
          <w:b/>
          <w:i/>
          <w:sz w:val="22"/>
          <w:szCs w:val="22"/>
          <w:u w:val="single"/>
        </w:rPr>
        <w:t>instrumento a través del cual una persona, llamada apoderado, se obliga a ejecutar por cuenta de otra, llamada poderdante, los actos jurídicos que ésta le encargue</w:t>
      </w:r>
      <w:r>
        <w:rPr>
          <w:rFonts w:ascii="Palatino Linotype" w:eastAsia="Palatino Linotype" w:hAnsi="Palatino Linotype" w:cs="Palatino Linotype"/>
          <w:i/>
          <w:sz w:val="22"/>
          <w:szCs w:val="22"/>
        </w:rPr>
        <w:t>. El poder se otorga en escritura pública y este documento comúnmente recibe el nombre de poder notarial. Los poderes se clasifican en generales o especiales.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Poder General</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poderes generales pueden utilizarse para una cantidad ilimitada de actos, por lo que el apoderado puede realizar múltiples gestiones en representación del poderdante hasta en tanto no sea revocado o bien fallezca una de las partes.  Los poderes generales son de tres tipos: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Poder General para Pleitos y Cobranzas</w:t>
      </w:r>
      <w:r>
        <w:rPr>
          <w:rFonts w:ascii="Palatino Linotype" w:eastAsia="Palatino Linotype" w:hAnsi="Palatino Linotype" w:cs="Palatino Linotype"/>
          <w:i/>
          <w:sz w:val="22"/>
          <w:szCs w:val="22"/>
        </w:rPr>
        <w:t>.-  Sirve para representar en juicios y efectuar cobros a nombre del poderdante.</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Poder General para Actos de Administración</w:t>
      </w:r>
      <w:r>
        <w:rPr>
          <w:rFonts w:ascii="Palatino Linotype" w:eastAsia="Palatino Linotype" w:hAnsi="Palatino Linotype" w:cs="Palatino Linotype"/>
          <w:i/>
          <w:sz w:val="22"/>
          <w:szCs w:val="22"/>
        </w:rPr>
        <w:t>.-  Sirve para administrar bienes e intereses del poderdante.</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Poder General para Actos de Dominio</w:t>
      </w:r>
      <w:r>
        <w:rPr>
          <w:rFonts w:ascii="Palatino Linotype" w:eastAsia="Palatino Linotype" w:hAnsi="Palatino Linotype" w:cs="Palatino Linotype"/>
          <w:i/>
          <w:sz w:val="22"/>
          <w:szCs w:val="22"/>
        </w:rPr>
        <w:t>.-  Sirve para comprar bienes a nombre del poderdante o para venderlos, hipotecarlos o donarlos.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Nota. Los poderes generales pueden comprender los tres tipos o cualquier combinación de ellos y pueden ser limitados en sus alcances en cuanto a las facultades conferidas.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Poder Especial</w:t>
      </w:r>
      <w:r>
        <w:rPr>
          <w:rFonts w:ascii="Palatino Linotype" w:eastAsia="Palatino Linotype" w:hAnsi="Palatino Linotype" w:cs="Palatino Linotype"/>
          <w:i/>
          <w:sz w:val="22"/>
          <w:szCs w:val="22"/>
        </w:rPr>
        <w:t xml:space="preserve"> </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Poder Especial es otorgado para ser representado en uno o más asuntos específicos, y se extingue automáticamente con la conclusión del mandato por el cual  éste o éstos </w:t>
      </w:r>
      <w:proofErr w:type="gramStart"/>
      <w:r>
        <w:rPr>
          <w:rFonts w:ascii="Palatino Linotype" w:eastAsia="Palatino Linotype" w:hAnsi="Palatino Linotype" w:cs="Palatino Linotype"/>
          <w:i/>
          <w:sz w:val="22"/>
          <w:szCs w:val="22"/>
        </w:rPr>
        <w:t>fue</w:t>
      </w:r>
      <w:proofErr w:type="gramEnd"/>
      <w:r>
        <w:rPr>
          <w:rFonts w:ascii="Palatino Linotype" w:eastAsia="Palatino Linotype" w:hAnsi="Palatino Linotype" w:cs="Palatino Linotype"/>
          <w:i/>
          <w:sz w:val="22"/>
          <w:szCs w:val="22"/>
        </w:rPr>
        <w:t xml:space="preserve"> o  fueron otorgados.  Este tipo de poder proporciona mayor seguridad al poderdante</w:t>
      </w:r>
      <w:r>
        <w:rPr>
          <w:rFonts w:ascii="Palatino Linotype" w:eastAsia="Palatino Linotype" w:hAnsi="Palatino Linotype" w:cs="Palatino Linotype"/>
          <w:i/>
          <w:sz w:val="22"/>
          <w:szCs w:val="22"/>
          <w:vertAlign w:val="superscript"/>
        </w:rPr>
        <w:footnoteReference w:id="4"/>
      </w:r>
      <w:r>
        <w:rPr>
          <w:rFonts w:ascii="Palatino Linotype" w:eastAsia="Palatino Linotype" w:hAnsi="Palatino Linotype" w:cs="Palatino Linotype"/>
          <w:i/>
          <w:sz w:val="22"/>
          <w:szCs w:val="22"/>
        </w:rPr>
        <w:t>”.</w:t>
      </w:r>
    </w:p>
    <w:p w:rsidR="00FF32FC" w:rsidRDefault="00FF32FC">
      <w:pPr>
        <w:spacing w:before="240" w:after="240"/>
        <w:ind w:right="851"/>
        <w:jc w:val="both"/>
        <w:rPr>
          <w:rFonts w:ascii="Palatino Linotype" w:eastAsia="Palatino Linotype" w:hAnsi="Palatino Linotype" w:cs="Palatino Linotype"/>
          <w:i/>
          <w:sz w:val="22"/>
          <w:szCs w:val="22"/>
        </w:rPr>
      </w:pP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manera que con lo anteriormente citado, se aprecia que la finalidad de un poder notarial se basa estrictamente </w:t>
      </w:r>
      <w:r>
        <w:rPr>
          <w:rFonts w:ascii="Palatino Linotype" w:eastAsia="Palatino Linotype" w:hAnsi="Palatino Linotype" w:cs="Palatino Linotype"/>
          <w:b/>
          <w:u w:val="single"/>
        </w:rPr>
        <w:t>en otorgar a una persona mediante un documento suscrito por el fedatario público, la calidad de representante para la realización de un acto jurídico</w:t>
      </w:r>
      <w:r>
        <w:rPr>
          <w:rFonts w:ascii="Palatino Linotype" w:eastAsia="Palatino Linotype" w:hAnsi="Palatino Linotype" w:cs="Palatino Linotype"/>
        </w:rPr>
        <w:t xml:space="preserve">, ya sea de manera general o especial. </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en cuenta estas acepciones, debemos recordar que el requerimiento del particular versa sobre </w:t>
      </w:r>
      <w:r>
        <w:rPr>
          <w:rFonts w:ascii="Palatino Linotype" w:eastAsia="Palatino Linotype" w:hAnsi="Palatino Linotype" w:cs="Palatino Linotype"/>
          <w:b/>
          <w:u w:val="single"/>
        </w:rPr>
        <w:t xml:space="preserve">todos los poderes notariales que obren en el ayuntamiento de Zinacantepec, </w:t>
      </w:r>
      <w:r>
        <w:rPr>
          <w:rFonts w:ascii="Palatino Linotype" w:eastAsia="Palatino Linotype" w:hAnsi="Palatino Linotype" w:cs="Palatino Linotype"/>
        </w:rPr>
        <w:t xml:space="preserve">por lo que de conformidad con estos conceptos, dentro del patrimonio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pueden obrar los poderes notariales que el mismo Ayuntamiento de Zinacantepec otorga para actos de representación jurídica ante los tribunales y a su vez, los poderes notariales que los particulares entregan ante las distintas unidades administrativas para el desahogo de un trámite como se verá en páginas subsecuentes, por lo que para un mejor entendimiento, se procede a subdividir el análisis en dos puntos. </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De los poderes notariales otorgados por el Ayuntamiento</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De los poderes notariales entregados al Ayuntamiento para trámites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se advierte que no se turnó la solicitud a los servidores públicos habilitados, por lo que no se satisfizo en su totalidad el derecho de acceso el derecho de acceso a la información pública de </w:t>
      </w:r>
      <w:r>
        <w:rPr>
          <w:rFonts w:ascii="Palatino Linotype" w:eastAsia="Palatino Linotype" w:hAnsi="Palatino Linotype" w:cs="Palatino Linotype"/>
          <w:b/>
        </w:rPr>
        <w:t>la ahora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w:t>
      </w:r>
      <w:r>
        <w:rPr>
          <w:rFonts w:ascii="Palatino Linotype" w:eastAsia="Palatino Linotype" w:hAnsi="Palatino Linotype" w:cs="Palatino Linotype"/>
        </w:rPr>
        <w:lastRenderedPageBreak/>
        <w:t xml:space="preserve">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Pr>
          <w:rFonts w:ascii="Palatino Linotype" w:eastAsia="Palatino Linotype" w:hAnsi="Palatino Linotype" w:cs="Palatino Linotype"/>
        </w:rPr>
        <w:lastRenderedPageBreak/>
        <w:t xml:space="preserve">expresiones documentales que se encuentren en sus archivos o que estén constreñidos a elaborar;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FF32FC" w:rsidRDefault="00BD05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FF32FC" w:rsidRDefault="00BD0578">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reitera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de manera enunciativa más no limitativa a la Dirección Jurídica y a la Tesorería Municipal y Dirección de Desarrollo Territorial y Urbano, ello en virtud de que cuentan con las siguientes facultades: </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Reglamento Orgánico de Zinacantepec vigente:</w:t>
      </w:r>
    </w:p>
    <w:p w:rsidR="00FF32FC" w:rsidRDefault="00BD0578">
      <w:pPr>
        <w:shd w:val="clear" w:color="auto" w:fill="FFFFFF"/>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Dirección Jurídica</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“CAPITULO VIGESIMO SEXTO </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DIRECCIÓN JURÍDICA </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93. </w:t>
      </w:r>
      <w:r>
        <w:rPr>
          <w:rFonts w:ascii="Palatino Linotype" w:eastAsia="Palatino Linotype" w:hAnsi="Palatino Linotype" w:cs="Palatino Linotype"/>
          <w:b/>
          <w:i/>
          <w:sz w:val="22"/>
          <w:szCs w:val="22"/>
          <w:u w:val="single"/>
        </w:rPr>
        <w:t>La Dirección Jurídica es la Unidad Administrativa encargada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atender los asuntos legales de la administración pública</w:t>
      </w:r>
      <w:r>
        <w:rPr>
          <w:rFonts w:ascii="Palatino Linotype" w:eastAsia="Palatino Linotype" w:hAnsi="Palatino Linotype" w:cs="Palatino Linotype"/>
          <w:i/>
          <w:sz w:val="22"/>
          <w:szCs w:val="22"/>
        </w:rPr>
        <w:t xml:space="preserve"> y para el cumplimiento de sus atribuciones se auxiliará de todas las áreas municipales y de sus organismos auxiliares cuando así los requiera. </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94. Además de las previstas en las disposiciones normativas y administrativas en la materia, la Dirección Jurídica tiene las siguientes funciones y atribuciones:</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 Atender los asuntos jurídicos en los que sea parte el Ayuntamiento</w:t>
      </w:r>
      <w:r>
        <w:rPr>
          <w:rFonts w:ascii="Palatino Linotype" w:eastAsia="Palatino Linotype" w:hAnsi="Palatino Linotype" w:cs="Palatino Linotype"/>
          <w:b/>
          <w:i/>
          <w:sz w:val="22"/>
          <w:szCs w:val="22"/>
        </w:rPr>
        <w:t>;</w:t>
      </w:r>
      <w:r>
        <w:rPr>
          <w:rFonts w:ascii="Palatino Linotype" w:eastAsia="Palatino Linotype" w:hAnsi="Palatino Linotype" w:cs="Palatino Linotype"/>
          <w:b/>
          <w:i/>
          <w:sz w:val="22"/>
          <w:szCs w:val="22"/>
        </w:rPr>
        <w:br/>
      </w:r>
      <w:r>
        <w:rPr>
          <w:rFonts w:ascii="Palatino Linotype" w:eastAsia="Palatino Linotype" w:hAnsi="Palatino Linotype" w:cs="Palatino Linotype"/>
          <w:i/>
          <w:sz w:val="22"/>
          <w:szCs w:val="22"/>
        </w:rPr>
        <w:t>…</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Intervenir en la formulación de denuncias y querellas en contra de quien resulte responsable por los daños causados al patrimonio municipal;</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IX. Efectuar trámites jurídicos en nombre del Ayuntamiento ante Dependencias y Entidades Federales, Estatales y de otros municipios, cuando así lo soliciten los miembros del Cabildo o las dependencias municipales;” </w:t>
      </w:r>
    </w:p>
    <w:p w:rsidR="00FF32FC" w:rsidRDefault="00BD0578">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Tesorería Municipal</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47. Además de las previstas en las disposiciones normativas y administrativas en la materia, la Tesorería Municipal tiene las siguientes funciones y atribuciones:</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XVI. Validar que la asignación de las claves catastrales se realice conforme a la normatividad establecida por el Gobierno del Estado de México;”</w:t>
      </w:r>
    </w:p>
    <w:p w:rsidR="00FF32FC" w:rsidRDefault="00BD0578">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Dirección de Desarrollo Territorial y Urbano</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62. Además de las previstas en las disposiciones normativas y administrativas en la materia, la Dirección de Desarrollo Territorial y Urbano tiene las siguientes funciones y atribuciones:</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Expedir licencias de construcción de obras nuevas, constancia de regularización de obras, constancias de alineamiento, nomenclatura y números oficiales, así como la ocupación temporal de la vía pública con materiales de construcción, además de demoliciones y excavaciones, previo pago de derechos en la Tesorería Municipal;”</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Manual General de Organización de la Administración Pública de  Zinacantepec:</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Dirección Jurídica</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Planear, supervisar y coordinar la asesoría y consulta jurídica que requieren los miembros del Ayuntamiento, los titulares de las dependencias municipales y órganos desconcentrados, así como la ciudadanía en general; actualizar, observar y aplicar el marco normativo municipal, así como establecer, coordinar y operar acciones encaminadas a la mediación y justicia restaurativa.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Funciones: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Representar al Municipio, al Ayuntamiento y a la administración pública municipal centralizada y desconcentrada ante los tribunales e instancias federales y estatales y de otros municipios;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Defender los intereses oficiales del gobierno municipal de Zinacantepec;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Recibir, registrar y proporcionar las consultas que en materia jurídica formule la población;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Supervisar los trámites de la defensa de los juicios administrativos y juicios laborales interpuestos en contra del ayuntamiento y sus dependencias;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Delegar y asignar al abogado encargado del trámite de la defensa de los juicios en materia civil, amparo y agrario hasta su culminación, interpuestos en contra del ayuntamiento y sus dependencias;</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i/>
          <w:sz w:val="22"/>
          <w:szCs w:val="22"/>
        </w:rPr>
        <w:lastRenderedPageBreak/>
        <w:t>∙</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Delegar y asignar al abogado encargado del trámite de la defensa de los asuntos en materia penal por hechos cometidos en agravio del ayuntamiento y del patrimonio municipal;</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Solicitar informes a los abogados encargados respecto del trámite y estatus de los juicios que cada uno de ellos defiende;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Noto Sans Symbols" w:eastAsia="Noto Sans Symbols" w:hAnsi="Noto Sans Symbols" w:cs="Noto Sans Symbols"/>
          <w:b/>
          <w:i/>
          <w:sz w:val="22"/>
          <w:szCs w:val="22"/>
        </w:rPr>
        <w:t>∙</w:t>
      </w:r>
      <w:r>
        <w:rPr>
          <w:rFonts w:ascii="Palatino Linotype" w:eastAsia="Palatino Linotype" w:hAnsi="Palatino Linotype" w:cs="Palatino Linotype"/>
          <w:b/>
          <w:i/>
          <w:sz w:val="22"/>
          <w:szCs w:val="22"/>
        </w:rPr>
        <w:t xml:space="preserve"> Delegar y asignar gestores encargados de dar seguimiento a trámites administrativos ante dependencias de los tres órdenes de gobierno;” </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Tesorería Municipal</w:t>
      </w:r>
    </w:p>
    <w:p w:rsidR="00FF32FC" w:rsidRDefault="00BD0578">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F32FC" w:rsidRDefault="00BD0578">
      <w:pPr>
        <w:numPr>
          <w:ilvl w:val="0"/>
          <w:numId w:val="2"/>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Supervisar que los servicios catastrales que se proporcionan se brinden en forma eficaz y oportuna;</w:t>
      </w:r>
    </w:p>
    <w:p w:rsidR="00FF32FC" w:rsidRDefault="00BD0578">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Dirección de Desarrollo Urbano.</w:t>
      </w:r>
    </w:p>
    <w:p w:rsidR="00FF32FC" w:rsidRDefault="00BD0578">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FF32FC" w:rsidRDefault="00BD0578">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Autorizar y expedir en términos del Código Administrativo del Estado de México y del Reglamento respectivo, licencias en sus diferentes modalidades como son: licencias de construcción, uso de suelo, cédulas informativas de zonificación, constancias de alineamiento, terminación de obra, bardeado, excavación, movimiento de tierra y números oficiales;</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De los poderes notariales otorgados por el Ayuntamiento</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vislumbra, le compete a la Dirección Jurídica, la representación del Ayuntamiento ante los tribunales e instancias federales y estatales y de otros municipios, así como la defensa de los intereses del </w:t>
      </w:r>
      <w:r>
        <w:rPr>
          <w:rFonts w:ascii="Palatino Linotype" w:eastAsia="Palatino Linotype" w:hAnsi="Palatino Linotype" w:cs="Palatino Linotype"/>
        </w:rPr>
        <w:lastRenderedPageBreak/>
        <w:t xml:space="preserve">ayuntamiento en los juicios de materia civil, laboral, amparo y agrario respectivamente. </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 el propósito de robustecer la premisa de que los poderes notariales son un requisito que deben presentar los apoderados legales en los procesos judiciales, conviene traer a colación lo previsto en la Ley del Trabajo de los Servidores Públicos del Estado de México y Municipios:</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196. Las partes podrán comparecer a juicio en forma directa o por conducto de apoderado autorizado</w:t>
      </w:r>
      <w:r>
        <w:rPr>
          <w:rFonts w:ascii="Palatino Linotype" w:eastAsia="Palatino Linotype" w:hAnsi="Palatino Linotype" w:cs="Palatino Linotype"/>
          <w:i/>
          <w:sz w:val="22"/>
          <w:szCs w:val="22"/>
        </w:rPr>
        <w:t>, acreditando, en este último caso, su personalidad.</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Cuando el compareciente actué como representante de las instituciones públicas o dependencias o de sus titulares, deberá hacerlo mediante</w:t>
      </w:r>
      <w:r>
        <w:rPr>
          <w:rFonts w:ascii="Palatino Linotype" w:eastAsia="Palatino Linotype" w:hAnsi="Palatino Linotype" w:cs="Palatino Linotype"/>
          <w:i/>
          <w:sz w:val="22"/>
          <w:szCs w:val="22"/>
        </w:rPr>
        <w:t xml:space="preserve"> oficio, </w:t>
      </w:r>
      <w:r>
        <w:rPr>
          <w:rFonts w:ascii="Palatino Linotype" w:eastAsia="Palatino Linotype" w:hAnsi="Palatino Linotype" w:cs="Palatino Linotype"/>
          <w:b/>
          <w:i/>
          <w:sz w:val="22"/>
          <w:szCs w:val="22"/>
          <w:u w:val="single"/>
        </w:rPr>
        <w:t>Instrumento notarial</w:t>
      </w:r>
      <w:r>
        <w:rPr>
          <w:rFonts w:ascii="Palatino Linotype" w:eastAsia="Palatino Linotype" w:hAnsi="Palatino Linotype" w:cs="Palatino Linotype"/>
          <w:i/>
          <w:sz w:val="22"/>
          <w:szCs w:val="22"/>
        </w:rPr>
        <w:t xml:space="preserve"> o carta poder, debidamente firmada por quien tenga facultades para ello, adjuntando el documento correspondiente;”</w:t>
      </w:r>
    </w:p>
    <w:p w:rsidR="00FF32FC" w:rsidRDefault="00BD0578">
      <w:pPr>
        <w:spacing w:before="240" w:after="240" w:line="360" w:lineRule="auto"/>
        <w:ind w:left="142"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como se advierte de todo lo analizado, un poder notarial se otorga a un apoderado para que ejecute actos de representación ante un tribunal o celebración de actos jurídicos determinados, como se puede visualizar en la cita previamente insertada, para un proceso laboral, se le solicita a quienes comparecen como representante de las instituciones públicas, un oficio, instrumento notarial o carta poder de quien le otorgue las facultades, por lo que es posible que el documento peticionado por el particular obre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por ello resulta procedente ordenar que se efectúe una búsqueda exhaustiva y razonable para efecto de localizar los poderes notariales que el ayuntamiento, hubiere otorgado a la Dirección Jurídica. </w:t>
      </w:r>
    </w:p>
    <w:p w:rsidR="00FF32FC" w:rsidRDefault="00BD057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De los poderes notariales entregados al Ayuntamiento para trámites</w:t>
      </w:r>
    </w:p>
    <w:p w:rsidR="00FF32FC" w:rsidRDefault="00BD0578">
      <w:pPr>
        <w:spacing w:before="240" w:after="240" w:line="360" w:lineRule="auto"/>
        <w:ind w:left="142"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lo tocante a este punto, este Instituto procedió a consultar el portal del Ayuntamiento de Zinacantepec, específicamente en su apartado del Registro Municipal de Trámites y Servicios, en el cual de manera enunciativa más no limitativa se localizaron a dos unidades administrativas que en sus trámites requieren del poder notarial para los casos en los que se apersone un representante legal a desahogar dicho trámite, se insertan a continuación para mayor referencia.</w:t>
      </w:r>
    </w:p>
    <w:p w:rsidR="00FF32FC" w:rsidRDefault="00BD0578">
      <w:pPr>
        <w:spacing w:before="240" w:after="240" w:line="276" w:lineRule="auto"/>
        <w:ind w:left="142"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 Certificación de clave y valor catastral</w:t>
      </w:r>
    </w:p>
    <w:p w:rsidR="00FF32FC" w:rsidRDefault="00BD0578">
      <w:pPr>
        <w:spacing w:before="240" w:after="240" w:line="276" w:lineRule="auto"/>
        <w:ind w:left="142"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Tesorería Municipal</w:t>
      </w:r>
    </w:p>
    <w:p w:rsidR="00FF32FC" w:rsidRDefault="00FF32FC">
      <w:pPr>
        <w:spacing w:before="240" w:after="240" w:line="360" w:lineRule="auto"/>
        <w:ind w:left="142" w:right="49"/>
        <w:jc w:val="both"/>
        <w:rPr>
          <w:rFonts w:ascii="Palatino Linotype" w:eastAsia="Palatino Linotype" w:hAnsi="Palatino Linotype" w:cs="Palatino Linotype"/>
        </w:rPr>
      </w:pPr>
    </w:p>
    <w:p w:rsidR="00FF32FC" w:rsidRDefault="00BD0578">
      <w:pPr>
        <w:spacing w:before="240" w:after="240" w:line="360" w:lineRule="auto"/>
        <w:ind w:left="142" w:right="49"/>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4994956" cy="6520325"/>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994956" cy="6520325"/>
                    </a:xfrm>
                    <a:prstGeom prst="rect">
                      <a:avLst/>
                    </a:prstGeom>
                    <a:ln/>
                  </pic:spPr>
                </pic:pic>
              </a:graphicData>
            </a:graphic>
          </wp:inline>
        </w:drawing>
      </w:r>
      <w:r>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495300</wp:posOffset>
                </wp:positionH>
                <wp:positionV relativeFrom="paragraph">
                  <wp:posOffset>5702300</wp:posOffset>
                </wp:positionV>
                <wp:extent cx="1809750" cy="276225"/>
                <wp:effectExtent l="0" t="0" r="0" b="0"/>
                <wp:wrapNone/>
                <wp:docPr id="83" name="Rectángulo 83"/>
                <wp:cNvGraphicFramePr/>
                <a:graphic xmlns:a="http://schemas.openxmlformats.org/drawingml/2006/main">
                  <a:graphicData uri="http://schemas.microsoft.com/office/word/2010/wordprocessingShape">
                    <wps:wsp>
                      <wps:cNvSpPr/>
                      <wps:spPr>
                        <a:xfrm>
                          <a:off x="4479225" y="3679988"/>
                          <a:ext cx="1733550" cy="200025"/>
                        </a:xfrm>
                        <a:prstGeom prst="rect">
                          <a:avLst/>
                        </a:prstGeom>
                        <a:noFill/>
                        <a:ln w="38100" cap="flat" cmpd="sng">
                          <a:solidFill>
                            <a:srgbClr val="FF0000"/>
                          </a:solidFill>
                          <a:prstDash val="solid"/>
                          <a:miter lim="800000"/>
                          <a:headEnd type="none" w="sm" len="sm"/>
                          <a:tailEnd type="none" w="sm" len="sm"/>
                        </a:ln>
                      </wps:spPr>
                      <wps:txbx>
                        <w:txbxContent>
                          <w:p w:rsidR="00FF32FC" w:rsidRDefault="00FF32F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5702300</wp:posOffset>
                </wp:positionV>
                <wp:extent cx="1809750" cy="276225"/>
                <wp:effectExtent b="0" l="0" r="0" t="0"/>
                <wp:wrapNone/>
                <wp:docPr id="83"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809750" cy="276225"/>
                        </a:xfrm>
                        <a:prstGeom prst="rect"/>
                        <a:ln/>
                      </pic:spPr>
                    </pic:pic>
                  </a:graphicData>
                </a:graphic>
              </wp:anchor>
            </w:drawing>
          </mc:Fallback>
        </mc:AlternateContent>
      </w:r>
    </w:p>
    <w:p w:rsidR="00FF32FC" w:rsidRDefault="00BD0578">
      <w:pPr>
        <w:spacing w:before="240" w:after="240" w:line="360" w:lineRule="auto"/>
        <w:ind w:left="142"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 Licencia de Construcción de Barda</w:t>
      </w:r>
    </w:p>
    <w:p w:rsidR="00FF32FC" w:rsidRDefault="00BD0578">
      <w:pPr>
        <w:spacing w:before="240" w:after="240" w:line="360" w:lineRule="auto"/>
        <w:ind w:left="142"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Dirección de Desarrollo Territorial y Urbano</w:t>
      </w:r>
    </w:p>
    <w:p w:rsidR="00FF32FC" w:rsidRDefault="00BD0578">
      <w:pPr>
        <w:spacing w:before="240" w:after="240" w:line="360" w:lineRule="auto"/>
        <w:ind w:left="142" w:right="49"/>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4968648" cy="6775995"/>
            <wp:effectExtent l="0" t="0" r="0" b="0"/>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968648" cy="6775995"/>
                    </a:xfrm>
                    <a:prstGeom prst="rect">
                      <a:avLst/>
                    </a:prstGeom>
                    <a:ln/>
                  </pic:spPr>
                </pic:pic>
              </a:graphicData>
            </a:graphic>
          </wp:inline>
        </w:drawing>
      </w:r>
      <w:r>
        <w:rPr>
          <w:noProof/>
          <w:lang w:eastAsia="es-MX"/>
        </w:rPr>
        <mc:AlternateContent>
          <mc:Choice Requires="wpg">
            <w:drawing>
              <wp:anchor distT="0" distB="0" distL="114300" distR="114300" simplePos="0" relativeHeight="251659264" behindDoc="0" locked="0" layoutInCell="1" hidden="0" allowOverlap="1">
                <wp:simplePos x="0" y="0"/>
                <wp:positionH relativeFrom="column">
                  <wp:posOffset>596900</wp:posOffset>
                </wp:positionH>
                <wp:positionV relativeFrom="paragraph">
                  <wp:posOffset>5562600</wp:posOffset>
                </wp:positionV>
                <wp:extent cx="1933575" cy="352425"/>
                <wp:effectExtent l="0" t="0" r="0" b="0"/>
                <wp:wrapNone/>
                <wp:docPr id="82" name="Rectángulo 82"/>
                <wp:cNvGraphicFramePr/>
                <a:graphic xmlns:a="http://schemas.openxmlformats.org/drawingml/2006/main">
                  <a:graphicData uri="http://schemas.microsoft.com/office/word/2010/wordprocessingShape">
                    <wps:wsp>
                      <wps:cNvSpPr/>
                      <wps:spPr>
                        <a:xfrm>
                          <a:off x="4407788" y="3632363"/>
                          <a:ext cx="1876425" cy="295275"/>
                        </a:xfrm>
                        <a:prstGeom prst="rect">
                          <a:avLst/>
                        </a:prstGeom>
                        <a:noFill/>
                        <a:ln w="28575" cap="flat" cmpd="sng">
                          <a:solidFill>
                            <a:srgbClr val="FF0000"/>
                          </a:solidFill>
                          <a:prstDash val="solid"/>
                          <a:miter lim="800000"/>
                          <a:headEnd type="none" w="sm" len="sm"/>
                          <a:tailEnd type="none" w="sm" len="sm"/>
                        </a:ln>
                      </wps:spPr>
                      <wps:txbx>
                        <w:txbxContent>
                          <w:p w:rsidR="00FF32FC" w:rsidRDefault="00FF32F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5562600</wp:posOffset>
                </wp:positionV>
                <wp:extent cx="1933575" cy="352425"/>
                <wp:effectExtent b="0" l="0" r="0" t="0"/>
                <wp:wrapNone/>
                <wp:docPr id="8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933575" cy="352425"/>
                        </a:xfrm>
                        <a:prstGeom prst="rect"/>
                        <a:ln/>
                      </pic:spPr>
                    </pic:pic>
                  </a:graphicData>
                </a:graphic>
              </wp:anchor>
            </w:drawing>
          </mc:Fallback>
        </mc:AlternateContent>
      </w:r>
    </w:p>
    <w:p w:rsidR="00FF32FC" w:rsidRDefault="00FF32FC">
      <w:pPr>
        <w:spacing w:before="240" w:after="240" w:line="360" w:lineRule="auto"/>
        <w:ind w:left="142" w:right="49"/>
        <w:jc w:val="both"/>
        <w:rPr>
          <w:rFonts w:ascii="Palatino Linotype" w:eastAsia="Palatino Linotype" w:hAnsi="Palatino Linotype" w:cs="Palatino Linotype"/>
        </w:rPr>
      </w:pPr>
    </w:p>
    <w:p w:rsidR="00FF32FC" w:rsidRDefault="00BD0578">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se estime que en efecto, dentro del patrimonio documental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obran poderes notariales que son entregados por particulares para el desahogo de sus trámites, por lo tanto, debe dejarse en claro que para atender este punto, los poderes notariales entregados por particulares al Ayuntamiento con motivo de un trámite no son susceptibles de entrega y por el contrario, actualizan la fracción I del artículo 143 de la Ley de Transparencia Local, en consecuencia, no es procedente la entrega de este soporte documental y, por el contrario, estas consideraciones anteriores deberán asentarse dentro del Acuerdo de Clasificación debidamente fundado y motivado, observando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FF32FC" w:rsidRDefault="00BD0578">
      <w:pPr>
        <w:spacing w:before="240" w:after="240" w:line="276"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i/>
        </w:rPr>
        <w:t>“</w:t>
      </w:r>
      <w:r>
        <w:rPr>
          <w:rFonts w:ascii="Palatino Linotype" w:eastAsia="Palatino Linotype" w:hAnsi="Palatino Linotype" w:cs="Palatino Linotype"/>
          <w:b/>
        </w:rPr>
        <w:t>Ley de Transparencia y Acceso a la Información Pública del Estado de México y Municipios</w:t>
      </w:r>
    </w:p>
    <w:p w:rsidR="00FF32FC" w:rsidRDefault="00BD057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FF32FC" w:rsidRDefault="00BD057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rsidR="00FF32FC" w:rsidRDefault="00BD057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FF32FC" w:rsidRDefault="00BD0578">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sz w:val="22"/>
          <w:szCs w:val="22"/>
        </w:rPr>
        <w:t>actualiza</w:t>
      </w:r>
      <w:proofErr w:type="spellEnd"/>
      <w:r>
        <w:rPr>
          <w:rFonts w:ascii="Palatino Linotype" w:eastAsia="Palatino Linotype" w:hAnsi="Palatino Linotype" w:cs="Palatino Linotype"/>
          <w:b/>
          <w:i/>
          <w:sz w:val="22"/>
          <w:szCs w:val="22"/>
        </w:rPr>
        <w:t xml:space="preserve"> alguno de 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de conformidad con lo dispuesto en el presente título.</w:t>
      </w:r>
    </w:p>
    <w:p w:rsidR="00FF32FC" w:rsidRDefault="00BD0578">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las leyes deberán ser acordes con las bases, principios y disposiciones establecidos en la Ley General y, en ningún caso, podrán contravenirla.</w:t>
      </w:r>
    </w:p>
    <w:p w:rsidR="00FF32FC" w:rsidRDefault="00BD0578">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rsidR="00FF32FC" w:rsidRDefault="00BD057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130. </w:t>
      </w:r>
      <w:r>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 Ley General y la presente Ley, aduciendo analogía o mayoría de razón.</w:t>
      </w:r>
    </w:p>
    <w:p w:rsidR="00FF32FC" w:rsidRDefault="00BD057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FF32FC" w:rsidRDefault="00BD057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reciba una solicitud de acceso a la información;</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Se determine mediante resolución de autoridad competente; o</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rsidR="00FF32FC" w:rsidRDefault="00BD057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Pr>
          <w:rFonts w:ascii="Palatino Linotype" w:eastAsia="Palatino Linotype" w:hAnsi="Palatino Linotype" w:cs="Palatino Linotype"/>
          <w:b/>
          <w:i/>
          <w:sz w:val="22"/>
          <w:szCs w:val="22"/>
        </w:rPr>
        <w:t>jurídico</w:t>
      </w:r>
      <w:proofErr w:type="gramEnd"/>
      <w:r>
        <w:rPr>
          <w:rFonts w:ascii="Palatino Linotype" w:eastAsia="Palatino Linotype" w:hAnsi="Palatino Linotype" w:cs="Palatino Linotype"/>
          <w:b/>
          <w:i/>
          <w:sz w:val="22"/>
          <w:szCs w:val="22"/>
        </w:rPr>
        <w:t xml:space="preserve"> colectiva identificada o identificable;</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F32FC" w:rsidRDefault="00BD057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149.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b/>
          <w:i/>
          <w:sz w:val="22"/>
          <w:szCs w:val="22"/>
        </w:rPr>
        <w:t>”</w:t>
      </w:r>
    </w:p>
    <w:p w:rsidR="00FF32FC" w:rsidRDefault="00BD0578">
      <w:pPr>
        <w:spacing w:before="240" w:after="240" w:line="276" w:lineRule="auto"/>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rsidR="00FF32FC" w:rsidRDefault="00FF32FC">
      <w:pPr>
        <w:spacing w:line="276" w:lineRule="auto"/>
        <w:ind w:left="709" w:right="709"/>
        <w:jc w:val="both"/>
        <w:rPr>
          <w:rFonts w:ascii="Palatino Linotype" w:eastAsia="Palatino Linotype" w:hAnsi="Palatino Linotype" w:cs="Palatino Linotype"/>
          <w:i/>
          <w:sz w:val="22"/>
          <w:szCs w:val="22"/>
        </w:rPr>
      </w:pPr>
    </w:p>
    <w:p w:rsidR="00FF32FC" w:rsidRDefault="00BD0578">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confidencial, de manera total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parcial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titular del área del sujeto obligado deberá atender lo dispuesto por el Título Sexto de la Ley General, en relación con las disposiciones contenidas en los presentes lineamientos</w:t>
      </w:r>
      <w:r>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FF32FC" w:rsidRDefault="00FF32FC">
      <w:pPr>
        <w:spacing w:line="276" w:lineRule="auto"/>
        <w:ind w:left="709" w:right="709"/>
        <w:jc w:val="both"/>
        <w:rPr>
          <w:rFonts w:ascii="Palatino Linotype" w:eastAsia="Palatino Linotype" w:hAnsi="Palatino Linotype" w:cs="Palatino Linotype"/>
          <w:b/>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w:t>
      </w:r>
      <w:r>
        <w:rPr>
          <w:rFonts w:ascii="Palatino Linotype" w:eastAsia="Palatino Linotype" w:hAnsi="Palatino Linotype" w:cs="Palatino Linotype"/>
          <w:i/>
          <w:sz w:val="22"/>
          <w:szCs w:val="22"/>
        </w:rPr>
        <w:t xml:space="preserve"> la Ley General, la Ley Federal y </w:t>
      </w:r>
      <w:r>
        <w:rPr>
          <w:rFonts w:ascii="Palatino Linotype" w:eastAsia="Palatino Linotype" w:hAnsi="Palatino Linotype" w:cs="Palatino Linotype"/>
          <w:b/>
          <w:i/>
          <w:sz w:val="22"/>
          <w:szCs w:val="22"/>
        </w:rPr>
        <w:t>leyes estatales, corresponderá a los sujetos obligados, por lo que deberán fundar y motivar debidamente la clasificación de la información ante una solicitud de acceso</w:t>
      </w:r>
      <w:r>
        <w:rPr>
          <w:rFonts w:ascii="Palatino Linotype" w:eastAsia="Palatino Linotype" w:hAnsi="Palatino Linotype" w:cs="Palatino Linotype"/>
          <w:i/>
          <w:sz w:val="22"/>
          <w:szCs w:val="22"/>
        </w:rPr>
        <w:t xml:space="preserve"> o al momento en que generen versiones públicas para dar cumplimiento a las obligaciones de transparencia, observando lo dispuesto en la Ley General y las demás disposiciones aplicables en la materia.</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r>
        <w:rPr>
          <w:rFonts w:ascii="Palatino Linotype" w:eastAsia="Palatino Linotype" w:hAnsi="Palatino Linotype" w:cs="Palatino Linotype"/>
          <w:i/>
          <w:sz w:val="22"/>
          <w:szCs w:val="22"/>
        </w:rPr>
        <w:t>:</w:t>
      </w:r>
    </w:p>
    <w:p w:rsidR="00FF32FC" w:rsidRDefault="00BD0578">
      <w:pPr>
        <w:spacing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 reciba una solicitud de acceso a la información;</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determine mediante resolución de autoridad competente</w:t>
      </w:r>
      <w:r>
        <w:rPr>
          <w:rFonts w:ascii="Palatino Linotype" w:eastAsia="Palatino Linotype" w:hAnsi="Palatino Linotype" w:cs="Palatino Linotype"/>
          <w:i/>
          <w:sz w:val="22"/>
          <w:szCs w:val="22"/>
        </w:rPr>
        <w:t>, o</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titulares de las áreas deberán revisar la clasificación al momento de la recepción de una solicitud de acceso a la información, para verificar si encuadra en una causal de reserva</w:t>
      </w:r>
      <w:r>
        <w:rPr>
          <w:rFonts w:ascii="Palatino Linotype" w:eastAsia="Palatino Linotype" w:hAnsi="Palatino Linotype" w:cs="Palatino Linotype"/>
          <w:i/>
          <w:sz w:val="22"/>
          <w:szCs w:val="22"/>
        </w:rPr>
        <w:t xml:space="preserve"> o de confidencialidad.</w:t>
      </w:r>
    </w:p>
    <w:p w:rsidR="00FF32FC" w:rsidRDefault="00FF32FC">
      <w:pPr>
        <w:spacing w:line="276" w:lineRule="auto"/>
        <w:ind w:left="709" w:right="709"/>
        <w:jc w:val="both"/>
        <w:rPr>
          <w:rFonts w:ascii="Palatino Linotype" w:eastAsia="Palatino Linotype" w:hAnsi="Palatino Linotype" w:cs="Palatino Linotype"/>
          <w:b/>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fundar la clasificación de la información se debe señalar el artículo, fracción, inciso, párrafo o numeral de la ley o tratado internacional suscrito por el Estado mexicano que expresamente le otorga el carácter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reservada</w:t>
      </w:r>
      <w:r>
        <w:rPr>
          <w:rFonts w:ascii="Palatino Linotype" w:eastAsia="Palatino Linotype" w:hAnsi="Palatino Linotype" w:cs="Palatino Linotype"/>
          <w:i/>
          <w:sz w:val="22"/>
          <w:szCs w:val="22"/>
        </w:rPr>
        <w:t xml:space="preserve"> o confidencial.</w:t>
      </w:r>
    </w:p>
    <w:p w:rsidR="00FF32FC" w:rsidRDefault="00FF32FC">
      <w:pPr>
        <w:spacing w:line="276" w:lineRule="auto"/>
        <w:ind w:left="709" w:right="709"/>
        <w:jc w:val="both"/>
        <w:rPr>
          <w:rFonts w:ascii="Palatino Linotype" w:eastAsia="Palatino Linotype" w:hAnsi="Palatino Linotype" w:cs="Palatino Linotype"/>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Para motivar la clasificación se deberán señalar las razones o circunstancias especiales que lo llevaron a concluir que el caso particular se ajusta al supuesto previsto por la norma legal invocada </w:t>
      </w:r>
      <w:r>
        <w:rPr>
          <w:rFonts w:ascii="Palatino Linotype" w:eastAsia="Palatino Linotype" w:hAnsi="Palatino Linotype" w:cs="Palatino Linotype"/>
          <w:i/>
          <w:sz w:val="22"/>
          <w:szCs w:val="22"/>
        </w:rPr>
        <w:t>como fundamento.</w:t>
      </w:r>
    </w:p>
    <w:p w:rsidR="00FF32FC" w:rsidRDefault="00FF32FC">
      <w:pPr>
        <w:spacing w:line="276" w:lineRule="auto"/>
        <w:ind w:left="709" w:right="709"/>
        <w:jc w:val="both"/>
        <w:rPr>
          <w:rFonts w:ascii="Palatino Linotype" w:eastAsia="Palatino Linotype" w:hAnsi="Palatino Linotype" w:cs="Palatino Linotype"/>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FF32FC" w:rsidRDefault="00FF32FC">
      <w:pPr>
        <w:spacing w:line="276" w:lineRule="auto"/>
        <w:ind w:left="709" w:right="709"/>
        <w:jc w:val="both"/>
        <w:rPr>
          <w:rFonts w:ascii="Palatino Linotype" w:eastAsia="Palatino Linotype" w:hAnsi="Palatino Linotype" w:cs="Palatino Linotype"/>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F32FC" w:rsidRDefault="00FF32FC">
      <w:pPr>
        <w:spacing w:line="276" w:lineRule="auto"/>
        <w:ind w:left="709" w:right="709"/>
        <w:jc w:val="both"/>
        <w:rPr>
          <w:rFonts w:ascii="Palatino Linotype" w:eastAsia="Palatino Linotype" w:hAnsi="Palatino Linotype" w:cs="Palatino Linotype"/>
          <w:i/>
          <w:sz w:val="22"/>
          <w:szCs w:val="22"/>
        </w:rPr>
      </w:pP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FF32FC" w:rsidRDefault="00BD057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32FC" w:rsidRDefault="00BD057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Pr>
          <w:rFonts w:ascii="Palatino Linotype" w:eastAsia="Palatino Linotype" w:hAnsi="Palatino Linotype" w:cs="Palatino Linotype"/>
          <w:i/>
          <w:sz w:val="22"/>
          <w:szCs w:val="22"/>
        </w:rPr>
        <w:lastRenderedPageBreak/>
        <w:t>adecuadamente la información clasificada, en los términos de los Lineamientos para la Organización y Conservación de Archivos.</w:t>
      </w:r>
    </w:p>
    <w:p w:rsidR="00FF32FC" w:rsidRDefault="00BD057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F32FC" w:rsidRDefault="00BD0578">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(Énfasis añadido)</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FF32FC" w:rsidRDefault="00BD0578">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w:t>
      </w:r>
      <w:r>
        <w:rPr>
          <w:rFonts w:ascii="Palatino Linotype" w:eastAsia="Palatino Linotype" w:hAnsi="Palatino Linotype" w:cs="Palatino Linotype"/>
          <w:i/>
        </w:rPr>
        <w:t xml:space="preserve">para los sujetos </w:t>
      </w:r>
      <w:r>
        <w:rPr>
          <w:rFonts w:ascii="Palatino Linotype" w:eastAsia="Palatino Linotype" w:hAnsi="Palatino Linotype" w:cs="Palatino Linotype"/>
          <w:i/>
          <w:sz w:val="22"/>
          <w:szCs w:val="22"/>
        </w:rPr>
        <w:t>obligados.</w:t>
      </w:r>
    </w:p>
    <w:p w:rsidR="00FF32FC" w:rsidRDefault="00BD0578">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w:t>
      </w:r>
      <w:r>
        <w:rPr>
          <w:rFonts w:ascii="Palatino Linotype" w:eastAsia="Palatino Linotype" w:hAnsi="Palatino Linotype" w:cs="Palatino Linotype"/>
          <w:color w:val="000000"/>
        </w:rPr>
        <w:lastRenderedPageBreak/>
        <w:t>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FF32FC" w:rsidRDefault="00BD057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el acuerdo deberá contener un razonamiento lógico con el que se demuestre que la información solicitada por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p>
    <w:p w:rsidR="00FF32FC" w:rsidRDefault="00BD057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FF32FC" w:rsidRDefault="00BD057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FF32FC" w:rsidRDefault="00BD0578">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 </w:t>
      </w:r>
      <w:r>
        <w:rPr>
          <w:rFonts w:ascii="Palatino Linotype" w:eastAsia="Palatino Linotype" w:hAnsi="Palatino Linotype" w:cs="Palatino Linotype"/>
          <w:i/>
          <w:color w:val="000000"/>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F32FC" w:rsidRDefault="00BD0578">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FUNDAMENTACION Y MOTIVACION. </w:t>
      </w:r>
      <w:r>
        <w:rPr>
          <w:rFonts w:ascii="Palatino Linotype" w:eastAsia="Palatino Linotype" w:hAnsi="Palatino Linotype" w:cs="Palatino Linotype"/>
          <w:i/>
          <w:color w:val="000000"/>
          <w:sz w:val="22"/>
          <w:szCs w:val="22"/>
        </w:rPr>
        <w:t>La debida fundamentación y motivación legal, deben entenderse, por lo primero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la cita del precepto legal aplicable al caso, y por lo segundo, las razones, motivos o circunstancias especiales que llevaron a la autoridad a concluir que el caso particular encuadra en el supuesto previsto por la norma legal invocada como fundamento.” (Sic) (Énfasis añadido)</w:t>
      </w:r>
    </w:p>
    <w:p w:rsidR="00FF32FC" w:rsidRDefault="00BD057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pasa desapercibido para este Instituto que si bien es cierto, el particular solicitó los poderes notariales que obren en el ayuntamiento en el año 2022, no menos cierto es que, la solicitud de información ingresó el 13 de septiembre de 2022, por lo tanto, deberá ordenarse hasta esa fecha, pues  el derecho de acceso a la información consiste en la prerrogativa de los ciudadanos de hacerse de todos </w:t>
      </w:r>
      <w:r>
        <w:rPr>
          <w:rFonts w:ascii="Palatino Linotype" w:eastAsia="Palatino Linotype" w:hAnsi="Palatino Linotype" w:cs="Palatino Linotype"/>
        </w:rPr>
        <w:lastRenderedPageBreak/>
        <w:t>los documentos que, en el ejercicio de sus  funciones, los Sujetos Obligados posean, generen o administren al momento de presentar una solicitud de información, no así sobre documentos que supongan un acto futuro o un hecho incierto.</w:t>
      </w:r>
    </w:p>
    <w:p w:rsidR="00FF32FC" w:rsidRDefault="00BD057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como criterio orientador, por analogía, la Tesis I.7o.A.24 K (10a.), emanada del Séptimo Tribunal Colegiado en Materia Administrativa del Primer Circuito, cuyo título y contenido se comparten a continuación:</w:t>
      </w:r>
    </w:p>
    <w:p w:rsidR="00FF32FC" w:rsidRDefault="00BD0578">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PRESUNCIÓN DE CERTEZA DEL ACTO RECLAMADO EN EL AMPARO. NO OPERA RESPECTO DE ACTOS FUTUROS, PROBABLES, REMOTOS O DE REALIZACIÓN INCIERTA</w:t>
      </w:r>
      <w:r>
        <w:rPr>
          <w:rFonts w:ascii="Palatino Linotype" w:eastAsia="Palatino Linotype" w:hAnsi="Palatino Linotype" w:cs="Palatino Linotype"/>
          <w:i/>
          <w:sz w:val="22"/>
          <w:szCs w:val="22"/>
        </w:rPr>
        <w:t>. “La referida presunción, establecida en el  artículo 117, cuarto párrafo, de la ley de la materia, no opera tratándose de actos futuros, probables o remotos, en virtud de que, en primer lugar, si se presume cierto el acto por falta del informe justificado, aquél se desnaturalizaría (futuro probable), convirtiéndolo, por esa presunción, en futuro inminente y haciendo procedente un juicio que, dada la naturaleza del acto reclamado, es improcedente y, en segundo lugar, porque esa misma naturaleza actúa como prueba en contrario de la presunción de certeza. Así, para determinar lo conducente, el juzgador de amparo debe realizar el siguiente ejercicio: cerciorarse de que no exista informe justificado; ante su inexistencia, no debe, ipso facto, declarar la presunción indicada, pues antes debe analizar si está o no destruida por prueba en contrario. Para este efecto, debe estudiar integralmente la demanda, sus anexos y demás constancias de autos y, si de ese estudio advierte la confesión del quejoso en el sentido de que el acto es futuro, probable, remoto o de realización incierta, entonces concluirá, y así deberá plasmarlo en la sentencia, que la presunción de certeza está desvirtuada por confesión del propio particular, pues sería contrario a las reglas de la lógica y al raciocinio que, ante la falta de informe, se tenga por cierto un acto que no se tiene convicción de que lo sea y luego analizar si es o no inconstitucional en sí mismo.”</w:t>
      </w:r>
    </w:p>
    <w:p w:rsidR="00FF32FC" w:rsidRDefault="00BD057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resulta importante destacar que en efecto,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garantizó el derecho de acceso a la información del particular, toda vez que dentro de los plazos establecidos por la legislación, no otorgó respuesta, </w:t>
      </w:r>
      <w:r>
        <w:rPr>
          <w:rFonts w:ascii="Palatino Linotype" w:eastAsia="Palatino Linotype" w:hAnsi="Palatino Linotype" w:cs="Palatino Linotype"/>
        </w:rPr>
        <w:lastRenderedPageBreak/>
        <w:t xml:space="preserve">aunado al hecho de que ya hubo una primera resolución que no fue atendida, por lo que en términos del marco normativo planteado, el </w:t>
      </w:r>
      <w:r>
        <w:rPr>
          <w:rFonts w:ascii="Palatino Linotype" w:eastAsia="Palatino Linotype" w:hAnsi="Palatino Linotype" w:cs="Palatino Linotype"/>
          <w:b/>
        </w:rPr>
        <w:t>Ayuntamiento de Zinacantepec</w:t>
      </w:r>
      <w:r>
        <w:rPr>
          <w:rFonts w:ascii="Palatino Linotype" w:eastAsia="Palatino Linotype" w:hAnsi="Palatino Linotype" w:cs="Palatino Linotype"/>
        </w:rPr>
        <w:t xml:space="preserve"> puede generar, poseer o administrar, la siguiente información:</w:t>
      </w:r>
    </w:p>
    <w:p w:rsidR="00FF32FC" w:rsidRDefault="00BD0578">
      <w:pPr>
        <w:pBdr>
          <w:top w:val="nil"/>
          <w:left w:val="nil"/>
          <w:bottom w:val="nil"/>
          <w:right w:val="nil"/>
          <w:between w:val="nil"/>
        </w:pBdr>
        <w:tabs>
          <w:tab w:val="left" w:pos="4962"/>
        </w:tabs>
        <w:spacing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r>
        <w:rPr>
          <w:color w:val="000000"/>
          <w:sz w:val="22"/>
          <w:szCs w:val="22"/>
        </w:rPr>
        <w:t xml:space="preserve"> </w:t>
      </w:r>
      <w:r>
        <w:rPr>
          <w:rFonts w:ascii="Palatino Linotype" w:eastAsia="Palatino Linotype" w:hAnsi="Palatino Linotype" w:cs="Palatino Linotype"/>
          <w:b/>
          <w:i/>
          <w:color w:val="000000"/>
          <w:sz w:val="22"/>
          <w:szCs w:val="22"/>
        </w:rPr>
        <w:t>Poderes notariales otorgados por el Ayuntamiento, del 1 de enero al 13 de septiembre de 2022.</w:t>
      </w:r>
    </w:p>
    <w:p w:rsidR="00FF32FC" w:rsidRDefault="00FF32FC">
      <w:pPr>
        <w:pBdr>
          <w:top w:val="nil"/>
          <w:left w:val="nil"/>
          <w:bottom w:val="nil"/>
          <w:right w:val="nil"/>
          <w:between w:val="nil"/>
        </w:pBdr>
        <w:tabs>
          <w:tab w:val="left" w:pos="4962"/>
        </w:tabs>
        <w:spacing w:line="276" w:lineRule="auto"/>
        <w:ind w:left="567" w:right="851"/>
        <w:jc w:val="both"/>
        <w:rPr>
          <w:rFonts w:ascii="Palatino Linotype" w:eastAsia="Palatino Linotype" w:hAnsi="Palatino Linotype" w:cs="Palatino Linotype"/>
          <w:b/>
          <w:i/>
          <w:color w:val="000000"/>
          <w:sz w:val="22"/>
          <w:szCs w:val="22"/>
        </w:rPr>
      </w:pPr>
    </w:p>
    <w:p w:rsidR="00FF32FC" w:rsidRDefault="00BD0578">
      <w:pPr>
        <w:numPr>
          <w:ilvl w:val="0"/>
          <w:numId w:val="2"/>
        </w:numPr>
        <w:pBdr>
          <w:top w:val="nil"/>
          <w:left w:val="nil"/>
          <w:bottom w:val="nil"/>
          <w:right w:val="nil"/>
          <w:between w:val="nil"/>
        </w:pBdr>
        <w:tabs>
          <w:tab w:val="left" w:pos="4962"/>
        </w:tabs>
        <w:spacing w:line="276" w:lineRule="auto"/>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El acuerdo de clasificación como información confidencial relativo a los poderes notariales entregados por los particulares para el desahogo de trámites del 1 de enero al 13 de septiembre de 2022, en términos de los artículos 49, fracción VIII y 132 de la Ley de Transparencia del Estado de México y Municipios.</w:t>
      </w:r>
    </w:p>
    <w:p w:rsidR="00FF32FC" w:rsidRDefault="00BD0578">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por ello que se estima pertinente ordenar al </w:t>
      </w:r>
      <w:r>
        <w:rPr>
          <w:rFonts w:ascii="Palatino Linotype" w:eastAsia="Palatino Linotype" w:hAnsi="Palatino Linotype" w:cs="Palatino Linotype"/>
          <w:b/>
        </w:rPr>
        <w:t xml:space="preserve">Sujeto Obligado, la entrega de esta documentación, </w:t>
      </w:r>
      <w:r>
        <w:rPr>
          <w:rFonts w:ascii="Palatino Linotype" w:eastAsia="Palatino Linotype" w:hAnsi="Palatino Linotype" w:cs="Palatino Linotype"/>
          <w:color w:val="000000"/>
        </w:rPr>
        <w:t>en versión pública de ser procedente, ello conforme a lo que dispone el siguiente considerando.</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FF32FC" w:rsidRDefault="00BD057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F32FC" w:rsidRDefault="00BD0578">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w:t>
      </w:r>
      <w:r>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rPr>
        <w:t xml:space="preserve"> señalan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rsidR="00FF32FC" w:rsidRDefault="00FF32FC">
      <w:pPr>
        <w:spacing w:line="360" w:lineRule="auto"/>
        <w:jc w:val="both"/>
        <w:rPr>
          <w:rFonts w:ascii="Palatino Linotype" w:eastAsia="Palatino Linotype" w:hAnsi="Palatino Linotype" w:cs="Palatino Linotype"/>
        </w:rPr>
      </w:pPr>
    </w:p>
    <w:p w:rsidR="00FF32FC" w:rsidRDefault="00BD0578">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rsidR="00FF32FC" w:rsidRDefault="00BD0578">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DE LOS ELEMENTOS PARA LA CLASIFICACIÓN </w:t>
      </w:r>
    </w:p>
    <w:p w:rsidR="00FF32FC" w:rsidRDefault="00BD0578">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w:t>
      </w:r>
      <w:r>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FF32FC" w:rsidRDefault="00BD0578">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primero.</w:t>
      </w:r>
      <w:r>
        <w:rPr>
          <w:rFonts w:ascii="Palatino Linotype" w:eastAsia="Palatino Linotype" w:hAnsi="Palatino Linotype" w:cs="Palatino Linotype"/>
          <w:i/>
          <w:sz w:val="22"/>
          <w:szCs w:val="22"/>
        </w:rPr>
        <w:t xml:space="preserve"> Toda acta del Comité de Transparencia deberá contener: </w:t>
      </w:r>
    </w:p>
    <w:p w:rsidR="00FF32FC" w:rsidRDefault="00BD0578">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número de sesión y fecha; </w:t>
      </w:r>
    </w:p>
    <w:p w:rsidR="00FF32FC" w:rsidRDefault="00BD0578">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nombre del área que solicitó la clasificación de información; </w:t>
      </w:r>
    </w:p>
    <w:p w:rsidR="00FF32FC" w:rsidRDefault="00BD0578">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fundamentación legal y motivación correspondiente; </w:t>
      </w:r>
    </w:p>
    <w:p w:rsidR="00FF32FC" w:rsidRDefault="00BD0578">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resolución o resoluciones aprobadas; y </w:t>
      </w:r>
    </w:p>
    <w:p w:rsidR="00FF32FC" w:rsidRDefault="00BD0578">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rúbrica o firma digital de cada integrante del Comité de Transparencia.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El periodo por el que mantendrá su clasificación y fecha de expiración; y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segundo. </w:t>
      </w:r>
      <w:r>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Pr>
          <w:rFonts w:ascii="Palatino Linotype" w:eastAsia="Palatino Linotype" w:hAnsi="Palatino Linotype" w:cs="Palatino Linotype"/>
          <w:i/>
          <w:color w:val="000000"/>
          <w:sz w:val="22"/>
          <w:szCs w:val="22"/>
        </w:rPr>
        <w:t>sobreposición</w:t>
      </w:r>
      <w:proofErr w:type="spellEnd"/>
      <w:r>
        <w:rPr>
          <w:rFonts w:ascii="Palatino Linotype" w:eastAsia="Palatino Linotype" w:hAnsi="Palatino Linotype" w:cs="Palatino Linotype"/>
          <w:i/>
          <w:color w:val="000000"/>
          <w:sz w:val="22"/>
          <w:szCs w:val="22"/>
        </w:rPr>
        <w:t xml:space="preserve"> de contenido distinto al autorizado por el Comité.</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Transparencia confirmó dicha versión;</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Pr>
          <w:noProof/>
          <w:lang w:eastAsia="es-MX"/>
        </w:rPr>
        <w:drawing>
          <wp:anchor distT="0" distB="0" distL="114300" distR="114300" simplePos="0" relativeHeight="251660288"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eastAsia="es-MX"/>
        </w:rPr>
        <w:drawing>
          <wp:inline distT="0" distB="0" distL="0" distR="0">
            <wp:extent cx="4576404" cy="5139653"/>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rsidR="00FF32FC" w:rsidRDefault="00FF32F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cuarto. </w:t>
      </w:r>
      <w:r>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FF32FC" w:rsidRDefault="00FF32F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FF32FC" w:rsidRDefault="00BD0578">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quinto. </w:t>
      </w:r>
      <w:r>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 xml:space="preserve">artículos 5 párrafos trigésimo, trigésimo primero y trigésimo segundo fracciones IV y V de la 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rsidR="00FF32FC" w:rsidRDefault="00BD0578">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FF32FC" w:rsidRDefault="00BD0578">
      <w:pPr>
        <w:spacing w:line="360" w:lineRule="auto"/>
        <w:ind w:right="49"/>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b/>
        </w:rPr>
        <w:t>Primero.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en el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2"/>
          <w:szCs w:val="22"/>
        </w:rPr>
        <w:t>15419/INFOEM/ICR-56/IP/RR/2022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la presente resolución.</w:t>
      </w:r>
    </w:p>
    <w:p w:rsidR="00FF32FC" w:rsidRDefault="00FF32FC">
      <w:pPr>
        <w:spacing w:line="360" w:lineRule="auto"/>
        <w:jc w:val="both"/>
        <w:rPr>
          <w:rFonts w:ascii="Palatino Linotype" w:eastAsia="Palatino Linotype" w:hAnsi="Palatino Linotype" w:cs="Palatino Linotype"/>
          <w:b/>
        </w:rPr>
      </w:pPr>
    </w:p>
    <w:p w:rsidR="00FF32FC" w:rsidRDefault="00BD05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Se</w:t>
      </w:r>
      <w:r>
        <w:rPr>
          <w:rFonts w:ascii="Palatino Linotype" w:eastAsia="Palatino Linotype" w:hAnsi="Palatino Linotype" w:cs="Palatino Linotype"/>
          <w:b/>
        </w:rPr>
        <w:t>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esta resolución, entregue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Sistema de Acceso a la Información Mexiquense (SAIMEX),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previa búsqueda exhaustiva y razonable, de ser procedente  en </w:t>
      </w:r>
      <w:r>
        <w:rPr>
          <w:rFonts w:ascii="Palatino Linotype" w:eastAsia="Palatino Linotype" w:hAnsi="Palatino Linotype" w:cs="Palatino Linotype"/>
          <w:b/>
        </w:rPr>
        <w:t>versión pública</w:t>
      </w:r>
      <w:r>
        <w:rPr>
          <w:rFonts w:ascii="Palatino Linotype" w:eastAsia="Palatino Linotype" w:hAnsi="Palatino Linotype" w:cs="Palatino Linotype"/>
        </w:rPr>
        <w:t>, de</w:t>
      </w:r>
      <w:r>
        <w:rPr>
          <w:rFonts w:ascii="Palatino Linotype" w:eastAsia="Palatino Linotype" w:hAnsi="Palatino Linotype" w:cs="Palatino Linotype"/>
          <w:b/>
        </w:rPr>
        <w:t xml:space="preserve"> </w:t>
      </w:r>
      <w:r>
        <w:rPr>
          <w:rFonts w:ascii="Palatino Linotype" w:eastAsia="Palatino Linotype" w:hAnsi="Palatino Linotype" w:cs="Palatino Linotype"/>
        </w:rPr>
        <w:t>lo siguiente:</w:t>
      </w:r>
    </w:p>
    <w:p w:rsidR="00FF32FC" w:rsidRDefault="00FF32FC">
      <w:pPr>
        <w:spacing w:before="120" w:after="120"/>
        <w:ind w:left="567" w:right="851"/>
        <w:jc w:val="both"/>
        <w:rPr>
          <w:rFonts w:ascii="Palatino Linotype" w:eastAsia="Palatino Linotype" w:hAnsi="Palatino Linotype" w:cs="Palatino Linotype"/>
          <w:i/>
          <w:color w:val="000000"/>
          <w:sz w:val="20"/>
          <w:szCs w:val="20"/>
        </w:rPr>
      </w:pPr>
    </w:p>
    <w:p w:rsidR="00FF32FC" w:rsidRDefault="00BD0578">
      <w:pPr>
        <w:tabs>
          <w:tab w:val="left" w:pos="4962"/>
        </w:tabs>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Poderes notariales otorgados por el Ayuntamiento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b/>
          <w:i/>
          <w:sz w:val="22"/>
          <w:szCs w:val="22"/>
        </w:rPr>
        <w:t>del 1 de enero al 13 de septiembre de 2022.</w:t>
      </w:r>
    </w:p>
    <w:p w:rsidR="00FF32FC" w:rsidRDefault="00FF32FC">
      <w:pPr>
        <w:tabs>
          <w:tab w:val="left" w:pos="4962"/>
        </w:tabs>
        <w:spacing w:line="276" w:lineRule="auto"/>
        <w:ind w:left="567" w:right="851"/>
        <w:jc w:val="both"/>
        <w:rPr>
          <w:rFonts w:ascii="Palatino Linotype" w:eastAsia="Palatino Linotype" w:hAnsi="Palatino Linotype" w:cs="Palatino Linotype"/>
          <w:b/>
          <w:i/>
          <w:sz w:val="22"/>
          <w:szCs w:val="22"/>
        </w:rPr>
      </w:pPr>
    </w:p>
    <w:p w:rsidR="00FF32FC" w:rsidRDefault="00BD0578">
      <w:pPr>
        <w:tabs>
          <w:tab w:val="left" w:pos="4962"/>
        </w:tabs>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p>
    <w:p w:rsidR="00FF32FC" w:rsidRDefault="00FF32FC">
      <w:pPr>
        <w:tabs>
          <w:tab w:val="left" w:pos="4962"/>
        </w:tabs>
        <w:spacing w:line="276" w:lineRule="auto"/>
        <w:ind w:left="567" w:right="851"/>
        <w:jc w:val="both"/>
        <w:rPr>
          <w:rFonts w:ascii="Palatino Linotype" w:eastAsia="Palatino Linotype" w:hAnsi="Palatino Linotype" w:cs="Palatino Linotype"/>
          <w:i/>
          <w:color w:val="000000"/>
          <w:sz w:val="22"/>
          <w:szCs w:val="22"/>
        </w:rPr>
      </w:pPr>
    </w:p>
    <w:p w:rsidR="00FF32FC" w:rsidRDefault="00BD0578">
      <w:pPr>
        <w:tabs>
          <w:tab w:val="left" w:pos="4962"/>
        </w:tabs>
        <w:spacing w:line="276" w:lineRule="auto"/>
        <w:ind w:left="567" w:right="851"/>
        <w:jc w:val="both"/>
        <w:rPr>
          <w:rFonts w:ascii="Palatino Linotype" w:eastAsia="Palatino Linotype" w:hAnsi="Palatino Linotype" w:cs="Palatino Linotype"/>
          <w:b/>
          <w:i/>
          <w:sz w:val="22"/>
          <w:szCs w:val="22"/>
        </w:rPr>
      </w:pPr>
      <w:bookmarkStart w:id="5" w:name="_heading=h.1fob9te" w:colFirst="0" w:colLast="0"/>
      <w:bookmarkEnd w:id="5"/>
      <w:r>
        <w:rPr>
          <w:rFonts w:ascii="Palatino Linotype" w:eastAsia="Palatino Linotype" w:hAnsi="Palatino Linotype" w:cs="Palatino Linotype"/>
          <w:b/>
          <w:i/>
          <w:sz w:val="22"/>
          <w:szCs w:val="22"/>
        </w:rPr>
        <w:t>2.- El acuerdo de clasificación como información confidencial relativo a los poderes notariales entregados por los particulares para el desahogo de trámites personales, del 1 de enero al 13 de septiembre de 2022, en términos de los artículos 49, fracción VIII y 132 de la Ley de Transparencia del Estado de México y Municipios.</w:t>
      </w:r>
    </w:p>
    <w:p w:rsidR="00FF32FC" w:rsidRDefault="00FF32FC">
      <w:pPr>
        <w:tabs>
          <w:tab w:val="left" w:pos="4962"/>
        </w:tabs>
        <w:spacing w:line="276" w:lineRule="auto"/>
        <w:ind w:left="567" w:right="851"/>
        <w:jc w:val="both"/>
        <w:rPr>
          <w:rFonts w:ascii="Palatino Linotype" w:eastAsia="Palatino Linotype" w:hAnsi="Palatino Linotype" w:cs="Palatino Linotype"/>
          <w:i/>
          <w:color w:val="000000"/>
          <w:sz w:val="22"/>
          <w:szCs w:val="22"/>
        </w:rPr>
      </w:pPr>
    </w:p>
    <w:p w:rsidR="00FF32FC" w:rsidRDefault="00BD0578">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lastRenderedPageBreak/>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F32FC" w:rsidRDefault="00BD0578">
      <w:pPr>
        <w:spacing w:before="240" w:after="240" w:line="360" w:lineRule="auto"/>
        <w:jc w:val="both"/>
        <w:rPr>
          <w:rFonts w:ascii="Palatino Linotype" w:eastAsia="Palatino Linotype" w:hAnsi="Palatino Linotype" w:cs="Palatino Linotype"/>
          <w:color w:val="000000"/>
        </w:rPr>
      </w:pPr>
      <w:bookmarkStart w:id="7" w:name="_heading=h.tyjcwt" w:colFirst="0" w:colLast="0"/>
      <w:bookmarkEnd w:id="7"/>
      <w:r>
        <w:rPr>
          <w:rFonts w:ascii="Palatino Linotype" w:eastAsia="Palatino Linotype" w:hAnsi="Palatino Linotype" w:cs="Palatino Linotype"/>
          <w:b/>
        </w:rPr>
        <w:t xml:space="preserve">Cuarto.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FF32FC" w:rsidRDefault="00BD05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VIGÉSIMA </w:t>
      </w:r>
      <w:r>
        <w:rPr>
          <w:rFonts w:ascii="Palatino Linotype" w:eastAsia="Palatino Linotype" w:hAnsi="Palatino Linotype" w:cs="Palatino Linotype"/>
          <w:color w:val="000000"/>
        </w:rPr>
        <w:t>SEGUNDA SESIÓN ORDINARIA CELEBRADA EL CATORCE</w:t>
      </w:r>
      <w:r>
        <w:rPr>
          <w:rFonts w:ascii="Palatino Linotype" w:eastAsia="Palatino Linotype" w:hAnsi="Palatino Linotype" w:cs="Palatino Linotype"/>
        </w:rPr>
        <w:t xml:space="preserve"> DE JUNIO DE DOS MIL VEINTITRÉS, ANTE EL SECRETARIO TÉCNICO DEL PLENO ALEXIS TAPIA RAMÍREZ.</w:t>
      </w:r>
    </w:p>
    <w:p w:rsidR="008752F6" w:rsidRDefault="008752F6">
      <w:pPr>
        <w:spacing w:before="240" w:after="240" w:line="360" w:lineRule="auto"/>
        <w:jc w:val="both"/>
        <w:rPr>
          <w:rFonts w:ascii="Palatino Linotype" w:eastAsia="Palatino Linotype" w:hAnsi="Palatino Linotype" w:cs="Palatino Linotype"/>
        </w:rPr>
      </w:pPr>
    </w:p>
    <w:p w:rsidR="008752F6" w:rsidRDefault="008752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302098</wp:posOffset>
                </wp:positionH>
                <wp:positionV relativeFrom="paragraph">
                  <wp:posOffset>108260</wp:posOffset>
                </wp:positionV>
                <wp:extent cx="5156790" cy="4954772"/>
                <wp:effectExtent l="0" t="0" r="25400" b="36830"/>
                <wp:wrapNone/>
                <wp:docPr id="1" name="Conector recto 1"/>
                <wp:cNvGraphicFramePr/>
                <a:graphic xmlns:a="http://schemas.openxmlformats.org/drawingml/2006/main">
                  <a:graphicData uri="http://schemas.microsoft.com/office/word/2010/wordprocessingShape">
                    <wps:wsp>
                      <wps:cNvCnPr/>
                      <wps:spPr>
                        <a:xfrm>
                          <a:off x="0" y="0"/>
                          <a:ext cx="5156790" cy="4954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88B97"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8pt,8.5pt" to="429.85pt,3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nougEAAMUDAAAOAAAAZHJzL2Uyb0RvYy54bWysU02P0zAQvSPxHyzfaZpqu2WjpnvoCi4I&#10;Klh+gNcZN5b8pbFp0n/P2GmzCJAQq73Ysf3ezLw3k+39aA07AUbtXcvrxZIzcNJ32h1b/v3xw7v3&#10;nMUkXCeMd9DyM0R+v3v7ZjuEBla+96YDZBTExWYILe9TCk1VRdmDFXHhAzh6VB6tSHTEY9WhGCi6&#10;NdVqubytBo9dQC8hRrp9mB75rsRXCmT6olSExEzLqbZUVizrU16r3VY0RxSh1/JShnhBFVZoR0nn&#10;UA8iCfYD9R+hrJboo1dpIb2tvFJaQtFAaurlb2q+9SJA0ULmxDDbFF8vrPx8OiDTHfWOMycstWhP&#10;jZLJI8O8sTp7NITYEHTvDng5xXDALHhUaPNOUthYfD3PvsKYmKTLdb2+3dyR/ZLebu7WN5vNKket&#10;nukBY/oI3rL80XKjXRYuGnH6FNMEvUKIl8uZCihf6Wwgg437CorEUMq6sMsYwd4gOwkaACEluFQE&#10;UeqCzjSljZmJy38TL/hMhTJi/0OeGSWzd2kmW+08/i17Gq8lqwl/dWDSnS148t25tKZYQ7NSzL3M&#10;dR7GX8+F/vz37X4CAAD//wMAUEsDBBQABgAIAAAAIQACD8RX4QAAAAkBAAAPAAAAZHJzL2Rvd25y&#10;ZXYueG1sTI/BTsMwEETvSPyDtUjcqEOBug1xqqoSolRCFQWpHN14SQLxOordJv37Lic47sxo9k02&#10;H1wjjtiF2pOG21ECAqnwtqZSw8f7080URIiGrGk8oYYTBpjnlxeZSa3v6Q2P21gKLqGQGg1VjG0q&#10;ZSgqdCaMfIvE3pfvnIl8dqW0nem53DVynCQT6UxN/KEyLS4rLH62B6fhtVutlov16Zs2n67fjde7&#10;zcvwrPX11bB4BBFxiH9h+MVndMiZae8PZINoNNyrCSdZVzyJ/enDTIHYa1AzdQcyz+T/BfkZAAD/&#10;/wMAUEsBAi0AFAAGAAgAAAAhALaDOJL+AAAA4QEAABMAAAAAAAAAAAAAAAAAAAAAAFtDb250ZW50&#10;X1R5cGVzXS54bWxQSwECLQAUAAYACAAAACEAOP0h/9YAAACUAQAACwAAAAAAAAAAAAAAAAAvAQAA&#10;X3JlbHMvLnJlbHNQSwECLQAUAAYACAAAACEAoZw56LoBAADFAwAADgAAAAAAAAAAAAAAAAAuAgAA&#10;ZHJzL2Uyb0RvYy54bWxQSwECLQAUAAYACAAAACEAAg/EV+EAAAAJAQAADwAAAAAAAAAAAAAAAAAU&#10;BAAAZHJzL2Rvd25yZXYueG1sUEsFBgAAAAAEAAQA8wAAACIFAAAAAA==&#10;" strokecolor="#5b9bd5 [3204]" strokeweight=".5pt">
                <v:stroke joinstyle="miter"/>
              </v:line>
            </w:pict>
          </mc:Fallback>
        </mc:AlternateContent>
      </w:r>
    </w:p>
    <w:p w:rsidR="008752F6" w:rsidRDefault="008752F6">
      <w:pPr>
        <w:spacing w:before="240" w:after="240" w:line="360" w:lineRule="auto"/>
        <w:jc w:val="both"/>
        <w:rPr>
          <w:rFonts w:ascii="Palatino Linotype" w:eastAsia="Palatino Linotype" w:hAnsi="Palatino Linotype" w:cs="Palatino Linotype"/>
        </w:rPr>
        <w:sectPr w:rsidR="008752F6">
          <w:headerReference w:type="default" r:id="rId20"/>
          <w:footerReference w:type="default" r:id="rId21"/>
          <w:headerReference w:type="first" r:id="rId22"/>
          <w:footerReference w:type="first" r:id="rId23"/>
          <w:pgSz w:w="12240" w:h="15840"/>
          <w:pgMar w:top="1985" w:right="1750" w:bottom="1701" w:left="1701" w:header="709" w:footer="709" w:gutter="0"/>
          <w:pgNumType w:start="1"/>
          <w:cols w:space="720"/>
          <w:titlePg/>
        </w:sectPr>
      </w:pPr>
    </w:p>
    <w:p w:rsidR="00FF32FC" w:rsidRDefault="00FF32FC">
      <w:pPr>
        <w:tabs>
          <w:tab w:val="left" w:pos="709"/>
        </w:tabs>
        <w:spacing w:before="240" w:after="240" w:line="360" w:lineRule="auto"/>
        <w:jc w:val="both"/>
        <w:rPr>
          <w:rFonts w:ascii="Palatino Linotype" w:eastAsia="Palatino Linotype" w:hAnsi="Palatino Linotype" w:cs="Palatino Linotype"/>
        </w:rPr>
      </w:pPr>
    </w:p>
    <w:p w:rsidR="00FF32FC" w:rsidRDefault="00FF32FC"/>
    <w:p w:rsidR="00FF32FC" w:rsidRDefault="00FF32FC"/>
    <w:sectPr w:rsidR="00FF32FC">
      <w:headerReference w:type="first" r:id="rId2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224" w:rsidRDefault="00960224">
      <w:r>
        <w:separator/>
      </w:r>
    </w:p>
  </w:endnote>
  <w:endnote w:type="continuationSeparator" w:id="0">
    <w:p w:rsidR="00960224" w:rsidRDefault="0096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FC" w:rsidRDefault="00BD057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1BB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1BB0">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FF32FC" w:rsidRDefault="00FF32FC">
    <w:pPr>
      <w:pBdr>
        <w:top w:val="nil"/>
        <w:left w:val="nil"/>
        <w:bottom w:val="nil"/>
        <w:right w:val="nil"/>
        <w:between w:val="nil"/>
      </w:pBdr>
      <w:tabs>
        <w:tab w:val="center" w:pos="4252"/>
        <w:tab w:val="right" w:pos="8504"/>
      </w:tabs>
      <w:rPr>
        <w:color w:val="000000"/>
      </w:rPr>
    </w:pPr>
  </w:p>
  <w:p w:rsidR="00FF32FC" w:rsidRDefault="00FF32F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FC" w:rsidRDefault="00BD057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1BB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1BB0">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FF32FC" w:rsidRDefault="00FF32F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224" w:rsidRDefault="00960224">
      <w:r>
        <w:separator/>
      </w:r>
    </w:p>
  </w:footnote>
  <w:footnote w:type="continuationSeparator" w:id="0">
    <w:p w:rsidR="00960224" w:rsidRDefault="00960224">
      <w:r>
        <w:continuationSeparator/>
      </w:r>
    </w:p>
  </w:footnote>
  <w:footnote w:id="1">
    <w:p w:rsidR="00FF32FC" w:rsidRDefault="00BD057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FF32FC" w:rsidRDefault="00BD05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FF32FC" w:rsidRDefault="00BD0578">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 xml:space="preserve">Consultado en </w:t>
      </w:r>
      <w:hyperlink r:id="rId1">
        <w:r>
          <w:rPr>
            <w:rFonts w:ascii="Palatino Linotype" w:eastAsia="Palatino Linotype" w:hAnsi="Palatino Linotype" w:cs="Palatino Linotype"/>
            <w:color w:val="0000FF"/>
            <w:sz w:val="20"/>
            <w:szCs w:val="20"/>
            <w:u w:val="single"/>
          </w:rPr>
          <w:t>https://www.notariado.org/portal/poderes-notariales</w:t>
        </w:r>
      </w:hyperlink>
      <w:r>
        <w:rPr>
          <w:rFonts w:ascii="Palatino Linotype" w:eastAsia="Palatino Linotype" w:hAnsi="Palatino Linotype" w:cs="Palatino Linotype"/>
          <w:color w:val="000000"/>
          <w:sz w:val="20"/>
          <w:szCs w:val="20"/>
        </w:rPr>
        <w:t xml:space="preserve">: el veinticuatro de mayo de dos mil veintitrés a las 12:40 pm. </w:t>
      </w:r>
    </w:p>
  </w:footnote>
  <w:footnote w:id="4">
    <w:p w:rsidR="00FF32FC" w:rsidRDefault="00BD057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 xml:space="preserve">Consultado de: </w:t>
      </w:r>
      <w:hyperlink r:id="rId2" w:anchor=":~:text=La%20legislaci%C3%B3n%20civil%20mexicana%20establece,jur%C3%ADdicos%20que%20%C3%A9sta%20le%20encargue">
        <w:r>
          <w:rPr>
            <w:rFonts w:ascii="Palatino Linotype" w:eastAsia="Palatino Linotype" w:hAnsi="Palatino Linotype" w:cs="Palatino Linotype"/>
            <w:color w:val="0000FF"/>
            <w:sz w:val="20"/>
            <w:szCs w:val="20"/>
            <w:u w:val="single"/>
          </w:rPr>
          <w:t>https://consulmex.sre.gob.mx/reinounido/index.php/es/mexicanos/actos-notariales/poderes-notariales#:~:text=La%20legislaci%C3%B3n%20civil%20mexicana%20establece,jur%C3%ADdicos%20que%20%C3%A9sta%20le%20encargue</w:t>
        </w:r>
      </w:hyperlink>
      <w:r>
        <w:rPr>
          <w:rFonts w:ascii="Palatino Linotype" w:eastAsia="Palatino Linotype" w:hAnsi="Palatino Linotype" w:cs="Palatino Linotype"/>
          <w:color w:val="000000"/>
          <w:sz w:val="20"/>
          <w:szCs w:val="20"/>
        </w:rPr>
        <w:t xml:space="preserve">, el ocho de junio de dos mil veintitrés, a las 12:48 </w:t>
      </w:r>
      <w:proofErr w:type="spellStart"/>
      <w:r>
        <w:rPr>
          <w:rFonts w:ascii="Palatino Linotype" w:eastAsia="Palatino Linotype" w:hAnsi="Palatino Linotype" w:cs="Palatino Linotype"/>
          <w:color w:val="000000"/>
          <w:sz w:val="20"/>
          <w:szCs w:val="20"/>
        </w:rPr>
        <w:t>p.m</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FC" w:rsidRDefault="00BD0578">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simplePos x="0" y="0"/>
          <wp:positionH relativeFrom="column">
            <wp:posOffset>-1017900</wp:posOffset>
          </wp:positionH>
          <wp:positionV relativeFrom="paragraph">
            <wp:posOffset>-325024</wp:posOffset>
          </wp:positionV>
          <wp:extent cx="7635163" cy="9944100"/>
          <wp:effectExtent l="0" t="0" r="0" b="0"/>
          <wp:wrapNone/>
          <wp:docPr id="8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0"/>
      <w:tblW w:w="6378" w:type="dxa"/>
      <w:tblInd w:w="3261" w:type="dxa"/>
      <w:tblLayout w:type="fixed"/>
      <w:tblLook w:val="0400" w:firstRow="0" w:lastRow="0" w:firstColumn="0" w:lastColumn="0" w:noHBand="0" w:noVBand="1"/>
    </w:tblPr>
    <w:tblGrid>
      <w:gridCol w:w="2552"/>
      <w:gridCol w:w="3826"/>
    </w:tblGrid>
    <w:tr w:rsidR="00FF32FC">
      <w:tc>
        <w:tcPr>
          <w:tcW w:w="2552"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6" w:type="dxa"/>
          <w:vAlign w:val="center"/>
        </w:tcPr>
        <w:p w:rsidR="00FF32FC" w:rsidRDefault="00BD0578">
          <w:pPr>
            <w:ind w:right="-54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15419/INFOEM/ICR-56/IP/RR/2022</w:t>
          </w:r>
        </w:p>
      </w:tc>
    </w:tr>
    <w:tr w:rsidR="00FF32FC">
      <w:trPr>
        <w:trHeight w:val="228"/>
      </w:trPr>
      <w:tc>
        <w:tcPr>
          <w:tcW w:w="2552"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6" w:type="dxa"/>
          <w:vAlign w:val="center"/>
        </w:tcPr>
        <w:p w:rsidR="00FF32FC" w:rsidRDefault="00BD057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F32FC">
      <w:tc>
        <w:tcPr>
          <w:tcW w:w="2552"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6" w:type="dxa"/>
          <w:vAlign w:val="center"/>
        </w:tcPr>
        <w:p w:rsidR="00FF32FC" w:rsidRDefault="00BD057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F32FC" w:rsidRDefault="00BD0578">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FC" w:rsidRDefault="00BD0578">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-1010914</wp:posOffset>
          </wp:positionH>
          <wp:positionV relativeFrom="paragraph">
            <wp:posOffset>-276219</wp:posOffset>
          </wp:positionV>
          <wp:extent cx="7635240" cy="9942830"/>
          <wp:effectExtent l="0" t="0" r="0" b="0"/>
          <wp:wrapNone/>
          <wp:docPr id="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
      <w:tblW w:w="6460" w:type="dxa"/>
      <w:tblInd w:w="2612" w:type="dxa"/>
      <w:tblLayout w:type="fixed"/>
      <w:tblLook w:val="0400" w:firstRow="0" w:lastRow="0" w:firstColumn="0" w:lastColumn="0" w:noHBand="0" w:noVBand="1"/>
    </w:tblPr>
    <w:tblGrid>
      <w:gridCol w:w="2551"/>
      <w:gridCol w:w="3909"/>
    </w:tblGrid>
    <w:tr w:rsidR="00FF32FC">
      <w:tc>
        <w:tcPr>
          <w:tcW w:w="2551"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rsidR="00FF32FC" w:rsidRDefault="00BD057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15419/INFOEM/ICR-56/IP/RR/2022</w:t>
          </w:r>
        </w:p>
      </w:tc>
    </w:tr>
    <w:tr w:rsidR="00FF32FC">
      <w:tc>
        <w:tcPr>
          <w:tcW w:w="2551" w:type="dxa"/>
          <w:vAlign w:val="center"/>
        </w:tcPr>
        <w:p w:rsidR="00FF32FC" w:rsidRDefault="00BD057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rsidR="00FF32FC" w:rsidRDefault="00FF32FC">
          <w:pPr>
            <w:ind w:left="-45"/>
            <w:jc w:val="both"/>
            <w:rPr>
              <w:rFonts w:ascii="Palatino Linotype" w:eastAsia="Palatino Linotype" w:hAnsi="Palatino Linotype" w:cs="Palatino Linotype"/>
              <w:b/>
              <w:sz w:val="22"/>
              <w:szCs w:val="22"/>
            </w:rPr>
          </w:pPr>
        </w:p>
      </w:tc>
    </w:tr>
    <w:tr w:rsidR="00FF32FC">
      <w:trPr>
        <w:trHeight w:val="228"/>
      </w:trPr>
      <w:tc>
        <w:tcPr>
          <w:tcW w:w="2551"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rsidR="00FF32FC" w:rsidRDefault="00BD0578">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FF32FC">
      <w:tc>
        <w:tcPr>
          <w:tcW w:w="2551" w:type="dxa"/>
          <w:vAlign w:val="center"/>
        </w:tcPr>
        <w:p w:rsidR="00FF32FC" w:rsidRDefault="00BD05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rsidR="00FF32FC" w:rsidRDefault="00BD057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F32FC" w:rsidRDefault="00FF32FC">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FC" w:rsidRDefault="00BD057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FF32FC" w:rsidRDefault="00FF32F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D3B79"/>
    <w:multiLevelType w:val="multilevel"/>
    <w:tmpl w:val="97981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7546B9"/>
    <w:multiLevelType w:val="multilevel"/>
    <w:tmpl w:val="E4901D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48778D1"/>
    <w:multiLevelType w:val="multilevel"/>
    <w:tmpl w:val="706A215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63B60497"/>
    <w:multiLevelType w:val="multilevel"/>
    <w:tmpl w:val="784C64F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FC"/>
    <w:rsid w:val="003B2317"/>
    <w:rsid w:val="007E2BAA"/>
    <w:rsid w:val="008752F6"/>
    <w:rsid w:val="00960224"/>
    <w:rsid w:val="00A972BE"/>
    <w:rsid w:val="00BB1BB0"/>
    <w:rsid w:val="00BD0578"/>
    <w:rsid w:val="00FF3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06A70-26A8-46AD-B772-5B91C939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2"/>
    <w:tblPr>
      <w:tblStyleRowBandSize w:val="1"/>
      <w:tblStyleColBandSize w:val="1"/>
      <w:tblCellMar>
        <w:top w:w="0" w:type="dxa"/>
        <w:left w:w="115" w:type="dxa"/>
        <w:bottom w:w="0" w:type="dxa"/>
        <w:right w:w="115" w:type="dxa"/>
      </w:tblCellMar>
    </w:tblPr>
  </w:style>
  <w:style w:type="table" w:customStyle="1" w:styleId="5">
    <w:name w:val="5"/>
    <w:basedOn w:val="TableNormal2"/>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5"/>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6"/>
    <w:tblPr>
      <w:tblStyleRowBandSize w:val="1"/>
      <w:tblStyleColBandSize w:val="1"/>
      <w:tblCellMar>
        <w:top w:w="0" w:type="dxa"/>
        <w:left w:w="115" w:type="dxa"/>
        <w:bottom w:w="0" w:type="dxa"/>
        <w:right w:w="115" w:type="dxa"/>
      </w:tblCellMar>
    </w:tblPr>
  </w:style>
  <w:style w:type="table" w:customStyle="1" w:styleId="18">
    <w:name w:val="18"/>
    <w:basedOn w:val="TableNormal6"/>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7"/>
    <w:tblPr>
      <w:tblStyleRowBandSize w:val="1"/>
      <w:tblStyleColBandSize w:val="1"/>
      <w:tblCellMar>
        <w:top w:w="0" w:type="dxa"/>
        <w:left w:w="115" w:type="dxa"/>
        <w:bottom w:w="0" w:type="dxa"/>
        <w:right w:w="115" w:type="dxa"/>
      </w:tblCellMar>
    </w:tblPr>
  </w:style>
  <w:style w:type="table" w:customStyle="1" w:styleId="15">
    <w:name w:val="15"/>
    <w:basedOn w:val="TableNormal7"/>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8"/>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0E76A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11">
    <w:name w:val="11"/>
    <w:basedOn w:val="TableNormal9"/>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consulmex.sre.gob.mx/reinounido/index.php/es/mexicanos/actos-notariales/poderes-notariales" TargetMode="External"/><Relationship Id="rId1" Type="http://schemas.openxmlformats.org/officeDocument/2006/relationships/hyperlink" Target="https://www.notariado.org/portal/poderes-notari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QOdxPdIzIBN59Q7kS4Hm+gEw==">CgMxLjAyCGguZ2pkZ3hzMgloLjMwajB6bGwyCWguMnM4ZXlvMTIJaC4zem55c2g3MgloLjFmb2I5dGUyCWguMmV0OTJwMDIIaC50eWpjd3Q4AHIhMWRkTVNTb1ZCeFc4RXhBcEZ5WTZVUmJBaW1OdHpBVFVM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12854</Words>
  <Characters>70698</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2023-06-16T16:38:00Z</cp:lastPrinted>
  <dcterms:created xsi:type="dcterms:W3CDTF">2023-06-28T20:15:00Z</dcterms:created>
  <dcterms:modified xsi:type="dcterms:W3CDTF">2023-06-28T20:15:00Z</dcterms:modified>
</cp:coreProperties>
</file>