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F5F" w:rsidRPr="00E63AD5" w:rsidRDefault="009750A5">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E63AD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677B68" w:rsidRPr="00E63AD5">
        <w:rPr>
          <w:rFonts w:ascii="Palatino Linotype" w:eastAsia="Palatino Linotype" w:hAnsi="Palatino Linotype" w:cs="Palatino Linotype"/>
        </w:rPr>
        <w:t>doce</w:t>
      </w:r>
      <w:r w:rsidR="004477E3" w:rsidRPr="00E63AD5">
        <w:rPr>
          <w:rFonts w:ascii="Palatino Linotype" w:eastAsia="Palatino Linotype" w:hAnsi="Palatino Linotype" w:cs="Palatino Linotype"/>
        </w:rPr>
        <w:t xml:space="preserve"> de abril</w:t>
      </w:r>
      <w:r w:rsidRPr="00E63AD5">
        <w:rPr>
          <w:rFonts w:ascii="Palatino Linotype" w:eastAsia="Palatino Linotype" w:hAnsi="Palatino Linotype" w:cs="Palatino Linotype"/>
        </w:rPr>
        <w:t xml:space="preserve"> de dos mil veintitrés. </w:t>
      </w: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t>VISTO</w:t>
      </w:r>
      <w:r w:rsidRPr="00E63AD5">
        <w:rPr>
          <w:rFonts w:ascii="Palatino Linotype" w:eastAsia="Palatino Linotype" w:hAnsi="Palatino Linotype" w:cs="Palatino Linotype"/>
        </w:rPr>
        <w:t xml:space="preserve"> el expediente formado con motivo del recurso de revisión </w:t>
      </w:r>
      <w:r w:rsidRPr="00E63AD5">
        <w:rPr>
          <w:rFonts w:ascii="Palatino Linotype" w:eastAsia="Palatino Linotype" w:hAnsi="Palatino Linotype" w:cs="Palatino Linotype"/>
          <w:b/>
        </w:rPr>
        <w:t>15764/INFOEM/IP/RR/2022</w:t>
      </w:r>
      <w:r w:rsidRPr="00E63AD5">
        <w:rPr>
          <w:rFonts w:ascii="Palatino Linotype" w:eastAsia="Palatino Linotype" w:hAnsi="Palatino Linotype" w:cs="Palatino Linotype"/>
        </w:rPr>
        <w:t xml:space="preserve">, interpuesto por </w:t>
      </w:r>
      <w:r w:rsidR="00134E70">
        <w:rPr>
          <w:rFonts w:ascii="Palatino Linotype" w:eastAsia="Palatino Linotype" w:hAnsi="Palatino Linotype" w:cs="Palatino Linotype"/>
          <w:b/>
        </w:rPr>
        <w:t>XXXXXX XXX XXXXXXXXXX</w:t>
      </w:r>
      <w:bookmarkStart w:id="1" w:name="_GoBack"/>
      <w:bookmarkEnd w:id="1"/>
      <w:r w:rsidRPr="00E63AD5">
        <w:rPr>
          <w:rFonts w:ascii="Palatino Linotype" w:eastAsia="Palatino Linotype" w:hAnsi="Palatino Linotype" w:cs="Palatino Linotype"/>
          <w:b/>
        </w:rPr>
        <w:t>,</w:t>
      </w:r>
      <w:r w:rsidRPr="00E63AD5">
        <w:rPr>
          <w:rFonts w:ascii="Palatino Linotype" w:eastAsia="Palatino Linotype" w:hAnsi="Palatino Linotype" w:cs="Palatino Linotype"/>
        </w:rPr>
        <w:t xml:space="preserve"> en lo sucesivo se le denomina el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 xml:space="preserve"> en contra de la respuesta a su solicitud de información con número de folio</w:t>
      </w:r>
      <w:r w:rsidRPr="00E63AD5">
        <w:rPr>
          <w:rFonts w:ascii="Palatino Linotype" w:eastAsia="Palatino Linotype" w:hAnsi="Palatino Linotype" w:cs="Palatino Linotype"/>
          <w:b/>
        </w:rPr>
        <w:t xml:space="preserve"> 00312/OASTLALNE/IP/2022, </w:t>
      </w:r>
      <w:r w:rsidRPr="00E63AD5">
        <w:rPr>
          <w:rFonts w:ascii="Palatino Linotype" w:eastAsia="Palatino Linotype" w:hAnsi="Palatino Linotype" w:cs="Palatino Linotype"/>
        </w:rPr>
        <w:t xml:space="preserve">por parte del </w:t>
      </w:r>
      <w:r w:rsidRPr="00E63AD5">
        <w:rPr>
          <w:rFonts w:ascii="Palatino Linotype" w:eastAsia="Palatino Linotype" w:hAnsi="Palatino Linotype" w:cs="Palatino Linotype"/>
          <w:b/>
        </w:rPr>
        <w:t xml:space="preserve">Organismo Público Descentralizado para la Prestación de Los Servicios de Agua Potable Alcantarillado y Saneamiento del Municipio de Tlalnepantla de Baz, </w:t>
      </w:r>
      <w:r w:rsidRPr="00E63AD5">
        <w:rPr>
          <w:rFonts w:ascii="Palatino Linotype" w:eastAsia="Palatino Linotype" w:hAnsi="Palatino Linotype" w:cs="Palatino Linotype"/>
        </w:rPr>
        <w:t xml:space="preserve">en lo sucesivo el </w:t>
      </w:r>
      <w:r w:rsidRPr="00E63AD5">
        <w:rPr>
          <w:rFonts w:ascii="Palatino Linotype" w:eastAsia="Palatino Linotype" w:hAnsi="Palatino Linotype" w:cs="Palatino Linotype"/>
          <w:b/>
        </w:rPr>
        <w:t xml:space="preserve">SUJETO OBLIGADO, </w:t>
      </w:r>
      <w:r w:rsidRPr="00E63AD5">
        <w:rPr>
          <w:rFonts w:ascii="Palatino Linotype" w:eastAsia="Palatino Linotype" w:hAnsi="Palatino Linotype" w:cs="Palatino Linotype"/>
        </w:rPr>
        <w:t xml:space="preserve">se procede a dictar la presente resolución con base en los siguientes: </w:t>
      </w:r>
    </w:p>
    <w:p w:rsidR="004D0F5F" w:rsidRPr="00E63AD5" w:rsidRDefault="009750A5">
      <w:pPr>
        <w:spacing w:before="240" w:after="240" w:line="360" w:lineRule="auto"/>
        <w:jc w:val="center"/>
        <w:rPr>
          <w:rFonts w:ascii="Palatino Linotype" w:eastAsia="Palatino Linotype" w:hAnsi="Palatino Linotype" w:cs="Palatino Linotype"/>
          <w:b/>
        </w:rPr>
      </w:pPr>
      <w:r w:rsidRPr="00E63AD5">
        <w:rPr>
          <w:rFonts w:ascii="Palatino Linotype" w:eastAsia="Palatino Linotype" w:hAnsi="Palatino Linotype" w:cs="Palatino Linotype"/>
          <w:b/>
        </w:rPr>
        <w:t>I. A N T E C E D E N T E S</w:t>
      </w: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t>1. Solicitud de acceso a la información.</w:t>
      </w:r>
      <w:r w:rsidRPr="00E63AD5">
        <w:rPr>
          <w:rFonts w:ascii="Palatino Linotype" w:eastAsia="Palatino Linotype" w:hAnsi="Palatino Linotype" w:cs="Palatino Linotype"/>
        </w:rPr>
        <w:t xml:space="preserve"> Con fecha </w:t>
      </w:r>
      <w:r w:rsidRPr="00E63AD5">
        <w:rPr>
          <w:rFonts w:ascii="Palatino Linotype" w:eastAsia="Palatino Linotype" w:hAnsi="Palatino Linotype" w:cs="Palatino Linotype"/>
          <w:b/>
        </w:rPr>
        <w:t>veintidós de septiembre de dos mil veintidós,</w:t>
      </w:r>
      <w:r w:rsidRPr="00E63AD5">
        <w:rPr>
          <w:rFonts w:ascii="Palatino Linotype" w:eastAsia="Palatino Linotype" w:hAnsi="Palatino Linotype" w:cs="Palatino Linotype"/>
        </w:rPr>
        <w:t xml:space="preserve"> la parte </w:t>
      </w:r>
      <w:r w:rsidRPr="00E63AD5">
        <w:rPr>
          <w:rFonts w:ascii="Palatino Linotype" w:eastAsia="Palatino Linotype" w:hAnsi="Palatino Linotype" w:cs="Palatino Linotype"/>
          <w:b/>
        </w:rPr>
        <w:t xml:space="preserve">RECURRENTE </w:t>
      </w:r>
      <w:r w:rsidRPr="00E63AD5">
        <w:rPr>
          <w:rFonts w:ascii="Palatino Linotype" w:eastAsia="Palatino Linotype" w:hAnsi="Palatino Linotype" w:cs="Palatino Linotype"/>
        </w:rPr>
        <w:t xml:space="preserve">presentó, a través del Sistema de Acceso a la Información Mexiquense, en lo subsecuente el </w:t>
      </w:r>
      <w:r w:rsidRPr="00E63AD5">
        <w:rPr>
          <w:rFonts w:ascii="Palatino Linotype" w:eastAsia="Palatino Linotype" w:hAnsi="Palatino Linotype" w:cs="Palatino Linotype"/>
          <w:b/>
        </w:rPr>
        <w:t>SAIMEX,</w:t>
      </w:r>
      <w:r w:rsidRPr="00E63AD5">
        <w:rPr>
          <w:rFonts w:ascii="Palatino Linotype" w:eastAsia="Palatino Linotype" w:hAnsi="Palatino Linotype" w:cs="Palatino Linotype"/>
        </w:rPr>
        <w:t xml:space="preserve"> ante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la solicitud de acceso a la información pública, a la que se le asignó el número</w:t>
      </w:r>
      <w:r w:rsidRPr="00E63AD5">
        <w:rPr>
          <w:rFonts w:ascii="Palatino Linotype" w:eastAsia="Palatino Linotype" w:hAnsi="Palatino Linotype" w:cs="Palatino Linotype"/>
          <w:b/>
        </w:rPr>
        <w:t xml:space="preserve"> 00312/OASTLALNE/IP/2022, </w:t>
      </w:r>
      <w:r w:rsidRPr="00E63AD5">
        <w:rPr>
          <w:rFonts w:ascii="Palatino Linotype" w:eastAsia="Palatino Linotype" w:hAnsi="Palatino Linotype" w:cs="Palatino Linotype"/>
        </w:rPr>
        <w:t xml:space="preserve">mediante la cual requirió la información siguiente: </w:t>
      </w:r>
    </w:p>
    <w:p w:rsidR="004D0F5F" w:rsidRPr="00E63AD5" w:rsidRDefault="009750A5">
      <w:pPr>
        <w:spacing w:before="240"/>
        <w:ind w:left="851" w:right="902"/>
        <w:jc w:val="both"/>
        <w:rPr>
          <w:rFonts w:ascii="Palatino Linotype" w:eastAsia="Palatino Linotype" w:hAnsi="Palatino Linotype" w:cs="Palatino Linotype"/>
          <w:i/>
          <w:sz w:val="22"/>
          <w:szCs w:val="22"/>
        </w:rPr>
      </w:pPr>
      <w:bookmarkStart w:id="2" w:name="_heading=h.gjdgxs" w:colFirst="0" w:colLast="0"/>
      <w:bookmarkEnd w:id="2"/>
      <w:r w:rsidRPr="00E63AD5">
        <w:rPr>
          <w:rFonts w:ascii="Palatino Linotype" w:eastAsia="Palatino Linotype" w:hAnsi="Palatino Linotype" w:cs="Palatino Linotype"/>
          <w:i/>
          <w:sz w:val="22"/>
          <w:szCs w:val="22"/>
        </w:rPr>
        <w:lastRenderedPageBreak/>
        <w:t xml:space="preserve">“Solicito número de cuenta, estados de </w:t>
      </w:r>
      <w:proofErr w:type="gramStart"/>
      <w:r w:rsidRPr="00E63AD5">
        <w:rPr>
          <w:rFonts w:ascii="Palatino Linotype" w:eastAsia="Palatino Linotype" w:hAnsi="Palatino Linotype" w:cs="Palatino Linotype"/>
          <w:i/>
          <w:sz w:val="22"/>
          <w:szCs w:val="22"/>
        </w:rPr>
        <w:t>cuenta ,</w:t>
      </w:r>
      <w:proofErr w:type="gramEnd"/>
      <w:r w:rsidRPr="00E63AD5">
        <w:rPr>
          <w:rFonts w:ascii="Palatino Linotype" w:eastAsia="Palatino Linotype" w:hAnsi="Palatino Linotype" w:cs="Palatino Linotype"/>
          <w:i/>
          <w:sz w:val="22"/>
          <w:szCs w:val="22"/>
        </w:rPr>
        <w:t xml:space="preserve"> instituciones bancarias, y saldos con los que cuenta su organismo” (Sic)</w:t>
      </w:r>
    </w:p>
    <w:p w:rsidR="004D0F5F" w:rsidRPr="00E63AD5" w:rsidRDefault="004D0F5F">
      <w:pPr>
        <w:spacing w:before="240"/>
        <w:ind w:left="851" w:right="902"/>
        <w:jc w:val="both"/>
        <w:rPr>
          <w:rFonts w:ascii="Palatino Linotype" w:eastAsia="Palatino Linotype" w:hAnsi="Palatino Linotype" w:cs="Palatino Linotype"/>
          <w:i/>
          <w:sz w:val="22"/>
          <w:szCs w:val="22"/>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t>Modalidad de Entrega:</w:t>
      </w:r>
      <w:r w:rsidRPr="00E63AD5">
        <w:rPr>
          <w:rFonts w:ascii="Palatino Linotype" w:eastAsia="Palatino Linotype" w:hAnsi="Palatino Linotype" w:cs="Palatino Linotype"/>
        </w:rPr>
        <w:t xml:space="preserve"> A través de SAIMEX.</w:t>
      </w: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t xml:space="preserve">2. Prórroga. </w:t>
      </w:r>
      <w:r w:rsidRPr="00E63AD5">
        <w:rPr>
          <w:rFonts w:ascii="Palatino Linotype" w:eastAsia="Palatino Linotype" w:hAnsi="Palatino Linotype" w:cs="Palatino Linotype"/>
        </w:rPr>
        <w:t>De las constancias que obra en el expediente electrónico del SAIMEX, se desprende que el responsable de la Unidad de Transparencia, el doce de octubre del año dos mil veintidós notificó una prórroga de siete días más, a los quince días que señala el artículo 163 de la Ley de Transparencia y Acceso a la Informació</w:t>
      </w:r>
      <w:r w:rsidR="004477E3" w:rsidRPr="00E63AD5">
        <w:rPr>
          <w:rFonts w:ascii="Palatino Linotype" w:eastAsia="Palatino Linotype" w:hAnsi="Palatino Linotype" w:cs="Palatino Linotype"/>
        </w:rPr>
        <w:t>n Pública vigente en la entidad,</w:t>
      </w:r>
      <w:r w:rsidRPr="00E63AD5">
        <w:rPr>
          <w:rFonts w:ascii="Palatino Linotype" w:eastAsia="Palatino Linotype" w:hAnsi="Palatino Linotype" w:cs="Palatino Linotype"/>
        </w:rPr>
        <w:t xml:space="preserve"> para emitir su respuesta correspondiente, argumentando lo siguiente:</w:t>
      </w:r>
    </w:p>
    <w:p w:rsidR="004D0F5F" w:rsidRPr="00E63AD5" w:rsidRDefault="009750A5">
      <w:pPr>
        <w:ind w:left="851" w:right="758"/>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4D0F5F" w:rsidRPr="00E63AD5" w:rsidRDefault="009750A5">
      <w:pPr>
        <w:ind w:left="851" w:right="758"/>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Prorroga Aprobada</w:t>
      </w:r>
    </w:p>
    <w:p w:rsidR="004D0F5F" w:rsidRPr="00E63AD5" w:rsidRDefault="009750A5">
      <w:pPr>
        <w:ind w:left="851" w:right="758"/>
        <w:jc w:val="both"/>
        <w:rPr>
          <w:rFonts w:ascii="Palatino Linotype" w:eastAsia="Palatino Linotype" w:hAnsi="Palatino Linotype" w:cs="Palatino Linotype"/>
          <w:b/>
          <w:i/>
          <w:sz w:val="22"/>
          <w:szCs w:val="22"/>
        </w:rPr>
      </w:pPr>
      <w:r w:rsidRPr="00E63AD5">
        <w:rPr>
          <w:rFonts w:ascii="Palatino Linotype" w:eastAsia="Palatino Linotype" w:hAnsi="Palatino Linotype" w:cs="Palatino Linotype"/>
          <w:i/>
          <w:sz w:val="22"/>
          <w:szCs w:val="22"/>
        </w:rPr>
        <w:t>C. CRISTIAN PACHECO PINEDA</w:t>
      </w:r>
      <w:r w:rsidRPr="00E63AD5">
        <w:rPr>
          <w:rFonts w:ascii="Palatino Linotype" w:eastAsia="Palatino Linotype" w:hAnsi="Palatino Linotype" w:cs="Palatino Linotype"/>
          <w:b/>
          <w:i/>
          <w:sz w:val="22"/>
          <w:szCs w:val="22"/>
        </w:rPr>
        <w:t xml:space="preserve"> </w:t>
      </w:r>
    </w:p>
    <w:p w:rsidR="004D0F5F" w:rsidRPr="00E63AD5" w:rsidRDefault="009750A5">
      <w:pPr>
        <w:ind w:left="851" w:right="758"/>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Responsable de la Unidad de Transparencia</w:t>
      </w:r>
      <w:r w:rsidRPr="00E63AD5">
        <w:rPr>
          <w:rFonts w:ascii="Palatino Linotype" w:eastAsia="Palatino Linotype" w:hAnsi="Palatino Linotype" w:cs="Palatino Linotype"/>
          <w:i/>
          <w:sz w:val="22"/>
          <w:szCs w:val="22"/>
        </w:rPr>
        <w:t>” (Sic)</w:t>
      </w:r>
    </w:p>
    <w:p w:rsidR="004D0F5F" w:rsidRPr="00E63AD5" w:rsidRDefault="004D0F5F">
      <w:pPr>
        <w:spacing w:line="360" w:lineRule="auto"/>
        <w:jc w:val="both"/>
        <w:rPr>
          <w:rFonts w:ascii="Palatino Linotype" w:eastAsia="Palatino Linotype" w:hAnsi="Palatino Linotype" w:cs="Palatino Linotype"/>
          <w:b/>
        </w:rPr>
      </w:pPr>
    </w:p>
    <w:p w:rsidR="004D0F5F" w:rsidRPr="00E63AD5" w:rsidRDefault="009750A5">
      <w:pPr>
        <w:spacing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El</w:t>
      </w:r>
      <w:r w:rsidRPr="00E63AD5">
        <w:rPr>
          <w:rFonts w:ascii="Palatino Linotype" w:eastAsia="Palatino Linotype" w:hAnsi="Palatino Linotype" w:cs="Palatino Linotype"/>
          <w:b/>
        </w:rPr>
        <w:t xml:space="preserve"> SUJETO OBLIGADO, </w:t>
      </w:r>
      <w:r w:rsidRPr="00E63AD5">
        <w:rPr>
          <w:rFonts w:ascii="Palatino Linotype" w:eastAsia="Palatino Linotype" w:hAnsi="Palatino Linotype" w:cs="Palatino Linotype"/>
        </w:rPr>
        <w:t>adjuntó a su prórroga los siguientes archivos electrónicos:</w:t>
      </w: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w:t>
      </w:r>
      <w:hyperlink r:id="rId9">
        <w:r w:rsidRPr="00E63AD5">
          <w:rPr>
            <w:rFonts w:ascii="Palatino Linotype" w:eastAsia="Palatino Linotype" w:hAnsi="Palatino Linotype" w:cs="Palatino Linotype"/>
          </w:rPr>
          <w:t>24VA SESIÓN EXTRA DE COMITÉ TRANSPARENCIA.pdf</w:t>
        </w:r>
      </w:hyperlink>
      <w:r w:rsidRPr="00E63AD5">
        <w:rPr>
          <w:rFonts w:ascii="Palatino Linotype" w:eastAsia="Palatino Linotype" w:hAnsi="Palatino Linotype" w:cs="Palatino Linotype"/>
        </w:rPr>
        <w:t xml:space="preserve">”, el cual contiene el </w:t>
      </w:r>
      <w:proofErr w:type="gramStart"/>
      <w:r w:rsidRPr="00E63AD5">
        <w:rPr>
          <w:rFonts w:ascii="Palatino Linotype" w:eastAsia="Palatino Linotype" w:hAnsi="Palatino Linotype" w:cs="Palatino Linotype"/>
        </w:rPr>
        <w:t>acta</w:t>
      </w:r>
      <w:proofErr w:type="gramEnd"/>
      <w:r w:rsidRPr="00E63AD5">
        <w:rPr>
          <w:rFonts w:ascii="Palatino Linotype" w:eastAsia="Palatino Linotype" w:hAnsi="Palatino Linotype" w:cs="Palatino Linotype"/>
        </w:rPr>
        <w:t xml:space="preserve"> de la vigésima Cuarta Sesión Extraordinaria del Comité de Transparencia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a través del cual se aprobó la prórroga para dar respuesta a la solicitud de información. </w:t>
      </w:r>
    </w:p>
    <w:p w:rsidR="004D0F5F" w:rsidRPr="00E63AD5" w:rsidRDefault="009750A5">
      <w:pPr>
        <w:spacing w:before="240" w:after="240" w:line="360" w:lineRule="auto"/>
        <w:jc w:val="both"/>
        <w:rPr>
          <w:rFonts w:ascii="Palatino Linotype" w:eastAsia="Palatino Linotype" w:hAnsi="Palatino Linotype" w:cs="Palatino Linotype"/>
          <w:b/>
        </w:rPr>
      </w:pPr>
      <w:r w:rsidRPr="00E63AD5">
        <w:rPr>
          <w:rFonts w:ascii="Palatino Linotype" w:eastAsia="Palatino Linotype" w:hAnsi="Palatino Linotype" w:cs="Palatino Linotype"/>
        </w:rPr>
        <w:lastRenderedPageBreak/>
        <w:t>“</w:t>
      </w:r>
      <w:hyperlink r:id="rId10">
        <w:r w:rsidRPr="00E63AD5">
          <w:rPr>
            <w:rFonts w:ascii="Palatino Linotype" w:eastAsia="Palatino Linotype" w:hAnsi="Palatino Linotype" w:cs="Palatino Linotype"/>
          </w:rPr>
          <w:t>SOLICITUD PLAZO SAIMEX 312.pdf</w:t>
        </w:r>
      </w:hyperlink>
      <w:r w:rsidRPr="00E63AD5">
        <w:rPr>
          <w:rFonts w:ascii="Palatino Linotype" w:eastAsia="Palatino Linotype" w:hAnsi="Palatino Linotype" w:cs="Palatino Linotype"/>
        </w:rPr>
        <w:t xml:space="preserve">”, el cual contiene la solicitud de prórroga del servidor público habilitado de la Subdirección de Finanzas del </w:t>
      </w:r>
      <w:r w:rsidRPr="00E63AD5">
        <w:rPr>
          <w:rFonts w:ascii="Palatino Linotype" w:eastAsia="Palatino Linotype" w:hAnsi="Palatino Linotype" w:cs="Palatino Linotype"/>
          <w:b/>
        </w:rPr>
        <w:t xml:space="preserve">SUJETO OBLIGADO. </w:t>
      </w:r>
    </w:p>
    <w:p w:rsidR="004D0F5F" w:rsidRPr="00E63AD5" w:rsidRDefault="009750A5">
      <w:pPr>
        <w:spacing w:after="240" w:line="360" w:lineRule="auto"/>
        <w:jc w:val="both"/>
        <w:rPr>
          <w:rFonts w:ascii="Palatino Linotype" w:eastAsia="Palatino Linotype" w:hAnsi="Palatino Linotype" w:cs="Palatino Linotype"/>
          <w:b/>
        </w:rPr>
      </w:pPr>
      <w:r w:rsidRPr="00E63AD5">
        <w:rPr>
          <w:rFonts w:ascii="Palatino Linotype" w:eastAsia="Palatino Linotype" w:hAnsi="Palatino Linotype" w:cs="Palatino Linotype"/>
          <w:b/>
        </w:rPr>
        <w:t xml:space="preserve">3.- Respuesta. </w:t>
      </w:r>
      <w:r w:rsidRPr="00E63AD5">
        <w:rPr>
          <w:rFonts w:ascii="Palatino Linotype" w:eastAsia="Palatino Linotype" w:hAnsi="Palatino Linotype" w:cs="Palatino Linotype"/>
        </w:rPr>
        <w:t xml:space="preserve">Con fecha </w:t>
      </w:r>
      <w:r w:rsidRPr="00E63AD5">
        <w:rPr>
          <w:rFonts w:ascii="Palatino Linotype" w:eastAsia="Palatino Linotype" w:hAnsi="Palatino Linotype" w:cs="Palatino Linotype"/>
          <w:b/>
        </w:rPr>
        <w:t>veinticuatro de octubre de dos mil veintidós</w:t>
      </w:r>
      <w:r w:rsidRPr="00E63AD5">
        <w:rPr>
          <w:rFonts w:ascii="Palatino Linotype" w:eastAsia="Palatino Linotype" w:hAnsi="Palatino Linotype" w:cs="Palatino Linotype"/>
        </w:rPr>
        <w:t xml:space="preserve">, el </w:t>
      </w:r>
      <w:r w:rsidRPr="00E63AD5">
        <w:rPr>
          <w:rFonts w:ascii="Palatino Linotype" w:eastAsia="Palatino Linotype" w:hAnsi="Palatino Linotype" w:cs="Palatino Linotype"/>
          <w:b/>
        </w:rPr>
        <w:t xml:space="preserve">SUJETO OBLIGADO </w:t>
      </w:r>
      <w:r w:rsidRPr="00E63AD5">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4D0F5F" w:rsidRPr="00E63AD5" w:rsidRDefault="009750A5">
      <w:pPr>
        <w:spacing w:before="240" w:after="240"/>
        <w:ind w:left="851" w:right="902"/>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“…Le envío archivo electrónico con respuesta a su solicitud de información con número de folio SAIMEX0312/OASTLALNE/IP/2022....” (Sic)</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 xml:space="preserve">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xml:space="preserve">, adjuntó a su respuesta los archivos electrónicos siguientes: </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11">
        <w:r w:rsidRPr="00E63AD5">
          <w:rPr>
            <w:rFonts w:ascii="Palatino Linotype" w:eastAsia="Palatino Linotype" w:hAnsi="Palatino Linotype" w:cs="Palatino Linotype"/>
            <w:color w:val="000000"/>
          </w:rPr>
          <w:t>CONTESTACION SAIMEX 312.pdf</w:t>
        </w:r>
      </w:hyperlink>
      <w:r w:rsidRPr="00E63AD5">
        <w:rPr>
          <w:rFonts w:ascii="Palatino Linotype" w:eastAsia="Palatino Linotype" w:hAnsi="Palatino Linotype" w:cs="Palatino Linotype"/>
          <w:color w:val="000000"/>
        </w:rPr>
        <w:t xml:space="preserve">”, el cual contiene la respuesta de la Subdirección de Finanzas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a través del cual informó el número de cuenta bancaria, la institución bancaria y el saldo, como se observa en la siguiente imagen que se inserta a continuación:</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noProof/>
          <w:lang w:val="es-MX"/>
        </w:rPr>
        <w:drawing>
          <wp:inline distT="0" distB="0" distL="0" distR="0">
            <wp:extent cx="5607050" cy="1549400"/>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2359" t="31785" r="13894" b="44074"/>
                    <a:stretch>
                      <a:fillRect/>
                    </a:stretch>
                  </pic:blipFill>
                  <pic:spPr>
                    <a:xfrm>
                      <a:off x="0" y="0"/>
                      <a:ext cx="5607050" cy="1549400"/>
                    </a:xfrm>
                    <a:prstGeom prst="rect">
                      <a:avLst/>
                    </a:prstGeom>
                    <a:ln/>
                  </pic:spPr>
                </pic:pic>
              </a:graphicData>
            </a:graphic>
          </wp:inline>
        </w:drawing>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lastRenderedPageBreak/>
        <w:t>También informó que adjuntaba los estados de cuenta correspondientes al mes de septiembre en modo magnético.</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13">
        <w:r w:rsidRPr="00E63AD5">
          <w:rPr>
            <w:rFonts w:ascii="Palatino Linotype" w:eastAsia="Palatino Linotype" w:hAnsi="Palatino Linotype" w:cs="Palatino Linotype"/>
            <w:color w:val="000000"/>
          </w:rPr>
          <w:t>CTA 2207 BANORTE.pdf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Banorte,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14">
        <w:r w:rsidRPr="00E63AD5">
          <w:rPr>
            <w:rFonts w:ascii="Palatino Linotype" w:eastAsia="Palatino Linotype" w:hAnsi="Palatino Linotype" w:cs="Palatino Linotype"/>
            <w:color w:val="000000"/>
          </w:rPr>
          <w:t>CTA 8892 AZTECA.pdf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Banco Azteca,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15">
        <w:r w:rsidRPr="00E63AD5">
          <w:rPr>
            <w:rFonts w:ascii="Palatino Linotype" w:eastAsia="Palatino Linotype" w:hAnsi="Palatino Linotype" w:cs="Palatino Linotype"/>
            <w:color w:val="000000"/>
          </w:rPr>
          <w:t>CTA 3056 SANTANDER.pdf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Santander,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16">
        <w:r w:rsidRPr="00E63AD5">
          <w:rPr>
            <w:rFonts w:ascii="Palatino Linotype" w:eastAsia="Palatino Linotype" w:hAnsi="Palatino Linotype" w:cs="Palatino Linotype"/>
            <w:color w:val="000000"/>
          </w:rPr>
          <w:t>CTA 2783 BBVA.pdf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BBVA,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17">
        <w:r w:rsidRPr="00E63AD5">
          <w:rPr>
            <w:rFonts w:ascii="Palatino Linotype" w:eastAsia="Palatino Linotype" w:hAnsi="Palatino Linotype" w:cs="Palatino Linotype"/>
            <w:color w:val="000000"/>
          </w:rPr>
          <w:t>CTA 9608 BANAMEX.pdf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BANAMEX,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lastRenderedPageBreak/>
        <w:t>“</w:t>
      </w:r>
      <w:hyperlink r:id="rId18">
        <w:r w:rsidRPr="00E63AD5">
          <w:rPr>
            <w:rFonts w:ascii="Palatino Linotype" w:eastAsia="Palatino Linotype" w:hAnsi="Palatino Linotype" w:cs="Palatino Linotype"/>
            <w:color w:val="000000"/>
          </w:rPr>
          <w:t>CTA 6258 SCOTIABANK.pdf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SCOTIABANK, con fecha de corte al 30 de septiembre del 2022.</w:t>
      </w:r>
    </w:p>
    <w:p w:rsidR="004D0F5F" w:rsidRPr="00E63AD5" w:rsidRDefault="009750A5">
      <w:pPr>
        <w:spacing w:before="240" w:after="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b/>
        </w:rPr>
        <w:t xml:space="preserve">4. Interposición del recurso de revisión. </w:t>
      </w:r>
      <w:r w:rsidRPr="00E63AD5">
        <w:rPr>
          <w:rFonts w:ascii="Palatino Linotype" w:eastAsia="Palatino Linotype" w:hAnsi="Palatino Linotype" w:cs="Palatino Linotype"/>
        </w:rPr>
        <w:t xml:space="preserve">Inconforme con los términos de la respuesta emitida por parte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el </w:t>
      </w:r>
      <w:r w:rsidRPr="00E63AD5">
        <w:rPr>
          <w:rFonts w:ascii="Palatino Linotype" w:eastAsia="Palatino Linotype" w:hAnsi="Palatino Linotype" w:cs="Palatino Linotype"/>
          <w:b/>
        </w:rPr>
        <w:t>veinticuatro de octubre del dos mil veintidós,</w:t>
      </w:r>
      <w:r w:rsidRPr="00E63AD5">
        <w:rPr>
          <w:rFonts w:ascii="Palatino Linotype" w:eastAsia="Palatino Linotype" w:hAnsi="Palatino Linotype" w:cs="Palatino Linotype"/>
        </w:rPr>
        <w:t xml:space="preserve"> la parte recurrente interpuso el recurso de revisión a través de </w:t>
      </w:r>
      <w:r w:rsidRPr="00E63AD5">
        <w:rPr>
          <w:rFonts w:ascii="Palatino Linotype" w:eastAsia="Palatino Linotype" w:hAnsi="Palatino Linotype" w:cs="Palatino Linotype"/>
          <w:b/>
        </w:rPr>
        <w:t xml:space="preserve">SAIMEX, </w:t>
      </w:r>
      <w:r w:rsidRPr="00E63AD5">
        <w:rPr>
          <w:rFonts w:ascii="Palatino Linotype" w:eastAsia="Palatino Linotype" w:hAnsi="Palatino Linotype" w:cs="Palatino Linotype"/>
        </w:rPr>
        <w:t>en donde se manifestó de la siguiente manera:</w:t>
      </w:r>
    </w:p>
    <w:p w:rsidR="004D0F5F" w:rsidRPr="00E63AD5" w:rsidRDefault="009750A5">
      <w:pPr>
        <w:tabs>
          <w:tab w:val="left" w:pos="2745"/>
        </w:tabs>
        <w:spacing w:before="240" w:after="240" w:line="360" w:lineRule="auto"/>
        <w:jc w:val="both"/>
        <w:rPr>
          <w:rFonts w:ascii="Palatino Linotype" w:eastAsia="Palatino Linotype" w:hAnsi="Palatino Linotype" w:cs="Palatino Linotype"/>
          <w:b/>
        </w:rPr>
      </w:pPr>
      <w:r w:rsidRPr="00E63AD5">
        <w:rPr>
          <w:rFonts w:ascii="Palatino Linotype" w:eastAsia="Palatino Linotype" w:hAnsi="Palatino Linotype" w:cs="Palatino Linotype"/>
          <w:b/>
        </w:rPr>
        <w:t xml:space="preserve">Acto impugnado: </w:t>
      </w:r>
      <w:r w:rsidRPr="00E63AD5">
        <w:rPr>
          <w:rFonts w:ascii="Palatino Linotype" w:eastAsia="Palatino Linotype" w:hAnsi="Palatino Linotype" w:cs="Palatino Linotype"/>
          <w:b/>
        </w:rPr>
        <w:tab/>
      </w:r>
    </w:p>
    <w:p w:rsidR="004D0F5F" w:rsidRPr="00E63AD5" w:rsidRDefault="009750A5">
      <w:pPr>
        <w:ind w:left="851" w:right="902"/>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“respuesta” (Sic)</w:t>
      </w:r>
    </w:p>
    <w:p w:rsidR="004D0F5F" w:rsidRPr="00E63AD5" w:rsidRDefault="004D0F5F">
      <w:pPr>
        <w:ind w:left="851" w:right="902"/>
        <w:jc w:val="both"/>
        <w:rPr>
          <w:rFonts w:ascii="Palatino Linotype" w:eastAsia="Palatino Linotype" w:hAnsi="Palatino Linotype" w:cs="Palatino Linotype"/>
          <w:i/>
          <w:sz w:val="22"/>
          <w:szCs w:val="22"/>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t>Y Razones o motivos de inconformidad</w:t>
      </w:r>
      <w:r w:rsidRPr="00E63AD5">
        <w:rPr>
          <w:rFonts w:ascii="Palatino Linotype" w:eastAsia="Palatino Linotype" w:hAnsi="Palatino Linotype" w:cs="Palatino Linotype"/>
        </w:rPr>
        <w:t>:</w:t>
      </w:r>
    </w:p>
    <w:p w:rsidR="004D0F5F" w:rsidRPr="00E63AD5" w:rsidRDefault="009750A5">
      <w:pPr>
        <w:ind w:left="851" w:right="902"/>
        <w:jc w:val="both"/>
        <w:rPr>
          <w:rFonts w:ascii="Palatino Linotype" w:eastAsia="Palatino Linotype" w:hAnsi="Palatino Linotype" w:cs="Palatino Linotype"/>
          <w:i/>
          <w:sz w:val="22"/>
          <w:szCs w:val="22"/>
        </w:rPr>
      </w:pPr>
      <w:bookmarkStart w:id="3" w:name="_heading=h.30j0zll" w:colFirst="0" w:colLast="0"/>
      <w:bookmarkEnd w:id="3"/>
      <w:r w:rsidRPr="00E63AD5">
        <w:rPr>
          <w:rFonts w:ascii="Palatino Linotype" w:eastAsia="Palatino Linotype" w:hAnsi="Palatino Linotype" w:cs="Palatino Linotype"/>
          <w:i/>
          <w:sz w:val="22"/>
          <w:szCs w:val="22"/>
        </w:rPr>
        <w:t xml:space="preserve"> “remiten como cuenta 4 </w:t>
      </w:r>
      <w:proofErr w:type="spellStart"/>
      <w:r w:rsidRPr="00E63AD5">
        <w:rPr>
          <w:rFonts w:ascii="Palatino Linotype" w:eastAsia="Palatino Linotype" w:hAnsi="Palatino Linotype" w:cs="Palatino Linotype"/>
          <w:i/>
          <w:sz w:val="22"/>
          <w:szCs w:val="22"/>
        </w:rPr>
        <w:t>digitos</w:t>
      </w:r>
      <w:proofErr w:type="spellEnd"/>
      <w:r w:rsidRPr="00E63AD5">
        <w:rPr>
          <w:rFonts w:ascii="Palatino Linotype" w:eastAsia="Palatino Linotype" w:hAnsi="Palatino Linotype" w:cs="Palatino Linotype"/>
          <w:i/>
          <w:sz w:val="22"/>
          <w:szCs w:val="22"/>
        </w:rPr>
        <w:t xml:space="preserve"> siendo incompleta la </w:t>
      </w:r>
      <w:proofErr w:type="spellStart"/>
      <w:r w:rsidRPr="00E63AD5">
        <w:rPr>
          <w:rFonts w:ascii="Palatino Linotype" w:eastAsia="Palatino Linotype" w:hAnsi="Palatino Linotype" w:cs="Palatino Linotype"/>
          <w:i/>
          <w:sz w:val="22"/>
          <w:szCs w:val="22"/>
        </w:rPr>
        <w:t>informacion</w:t>
      </w:r>
      <w:proofErr w:type="spellEnd"/>
      <w:r w:rsidRPr="00E63AD5">
        <w:rPr>
          <w:rFonts w:ascii="Palatino Linotype" w:eastAsia="Palatino Linotype" w:hAnsi="Palatino Linotype" w:cs="Palatino Linotype"/>
          <w:i/>
          <w:sz w:val="22"/>
          <w:szCs w:val="22"/>
        </w:rPr>
        <w:t>, no remiten cuentas de recursos propios ni de recursos federales y estatales, mandan estados de cuenta que no dicen nada” (Sic)</w:t>
      </w:r>
    </w:p>
    <w:p w:rsidR="004D0F5F" w:rsidRPr="00E63AD5" w:rsidRDefault="004D0F5F">
      <w:pPr>
        <w:ind w:left="851" w:right="902"/>
        <w:jc w:val="both"/>
        <w:rPr>
          <w:rFonts w:ascii="Palatino Linotype" w:eastAsia="Palatino Linotype" w:hAnsi="Palatino Linotype" w:cs="Palatino Linotype"/>
          <w:i/>
          <w:sz w:val="22"/>
          <w:szCs w:val="22"/>
        </w:rPr>
      </w:pPr>
    </w:p>
    <w:p w:rsidR="004D0F5F" w:rsidRPr="00E63AD5" w:rsidRDefault="009750A5">
      <w:pPr>
        <w:spacing w:line="360" w:lineRule="auto"/>
        <w:ind w:right="51"/>
        <w:jc w:val="both"/>
        <w:rPr>
          <w:rFonts w:ascii="Palatino Linotype" w:eastAsia="Palatino Linotype" w:hAnsi="Palatino Linotype" w:cs="Palatino Linotype"/>
        </w:rPr>
      </w:pPr>
      <w:r w:rsidRPr="00E63AD5">
        <w:rPr>
          <w:rFonts w:ascii="Palatino Linotype" w:eastAsia="Palatino Linotype" w:hAnsi="Palatino Linotype" w:cs="Palatino Linotype"/>
          <w:b/>
        </w:rPr>
        <w:t xml:space="preserve">5. Turno. </w:t>
      </w:r>
      <w:r w:rsidRPr="00E63AD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63AD5">
        <w:rPr>
          <w:rFonts w:ascii="Palatino Linotype" w:eastAsia="Palatino Linotype" w:hAnsi="Palatino Linotype" w:cs="Palatino Linotype"/>
          <w:b/>
        </w:rPr>
        <w:t xml:space="preserve">Guadalupe Ramírez Peña, </w:t>
      </w:r>
      <w:r w:rsidRPr="00E63AD5">
        <w:rPr>
          <w:rFonts w:ascii="Palatino Linotype" w:eastAsia="Palatino Linotype" w:hAnsi="Palatino Linotype" w:cs="Palatino Linotype"/>
        </w:rPr>
        <w:t xml:space="preserve">a efecto de que analizara sobre su admisión o su </w:t>
      </w:r>
      <w:proofErr w:type="spellStart"/>
      <w:r w:rsidRPr="00E63AD5">
        <w:rPr>
          <w:rFonts w:ascii="Palatino Linotype" w:eastAsia="Palatino Linotype" w:hAnsi="Palatino Linotype" w:cs="Palatino Linotype"/>
        </w:rPr>
        <w:t>desechamiento</w:t>
      </w:r>
      <w:proofErr w:type="spellEnd"/>
      <w:r w:rsidRPr="00E63AD5">
        <w:rPr>
          <w:rFonts w:ascii="Palatino Linotype" w:eastAsia="Palatino Linotype" w:hAnsi="Palatino Linotype" w:cs="Palatino Linotype"/>
        </w:rPr>
        <w:t>.</w:t>
      </w:r>
    </w:p>
    <w:p w:rsidR="004D0F5F" w:rsidRPr="00E63AD5" w:rsidRDefault="004D0F5F">
      <w:pPr>
        <w:spacing w:line="360" w:lineRule="auto"/>
        <w:ind w:right="51"/>
        <w:jc w:val="both"/>
        <w:rPr>
          <w:rFonts w:ascii="Palatino Linotype" w:eastAsia="Palatino Linotype" w:hAnsi="Palatino Linotype" w:cs="Palatino Linotype"/>
        </w:rPr>
      </w:pPr>
    </w:p>
    <w:p w:rsidR="004D0F5F" w:rsidRPr="00E63AD5" w:rsidRDefault="009750A5">
      <w:pPr>
        <w:spacing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lastRenderedPageBreak/>
        <w:t>6. Admisión del Recurso de revisión.</w:t>
      </w:r>
      <w:r w:rsidRPr="00E63AD5">
        <w:rPr>
          <w:rFonts w:ascii="Palatino Linotype" w:eastAsia="Palatino Linotype" w:hAnsi="Palatino Linotype" w:cs="Palatino Linotype"/>
        </w:rPr>
        <w:t xml:space="preserve"> Con fecha</w:t>
      </w:r>
      <w:r w:rsidRPr="00E63AD5">
        <w:rPr>
          <w:rFonts w:ascii="Palatino Linotype" w:eastAsia="Palatino Linotype" w:hAnsi="Palatino Linotype" w:cs="Palatino Linotype"/>
          <w:b/>
        </w:rPr>
        <w:t xml:space="preserve"> veintisiete de octubre de dos mil veintidós, </w:t>
      </w:r>
      <w:r w:rsidRPr="00E63AD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63AD5">
        <w:rPr>
          <w:rFonts w:ascii="Palatino Linotype" w:eastAsia="Palatino Linotype" w:hAnsi="Palatino Linotype" w:cs="Palatino Linotype"/>
          <w:b/>
        </w:rPr>
        <w:t xml:space="preserve">SUJETO OBLIGADO </w:t>
      </w:r>
      <w:r w:rsidRPr="00E63AD5">
        <w:rPr>
          <w:rFonts w:ascii="Palatino Linotype" w:eastAsia="Palatino Linotype" w:hAnsi="Palatino Linotype" w:cs="Palatino Linotype"/>
        </w:rPr>
        <w:t>presentara su informe justificado.</w:t>
      </w:r>
    </w:p>
    <w:p w:rsidR="004D0F5F" w:rsidRPr="00E63AD5" w:rsidRDefault="009750A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b/>
        </w:rPr>
        <w:t>7. Manifestaciones</w:t>
      </w:r>
      <w:r w:rsidRPr="00E63AD5">
        <w:rPr>
          <w:rFonts w:ascii="Palatino Linotype" w:eastAsia="Palatino Linotype" w:hAnsi="Palatino Linotype" w:cs="Palatino Linotype"/>
        </w:rPr>
        <w:t xml:space="preserve">. </w:t>
      </w:r>
      <w:r w:rsidRPr="00E63AD5">
        <w:rPr>
          <w:rFonts w:ascii="Palatino Linotype" w:eastAsia="Palatino Linotype" w:hAnsi="Palatino Linotype" w:cs="Palatino Linotype"/>
          <w:color w:val="000000"/>
        </w:rPr>
        <w:t xml:space="preserve">De las constancias que integran el expediente en que se actúa se advierte que el </w:t>
      </w:r>
      <w:r w:rsidRPr="00E63AD5">
        <w:rPr>
          <w:rFonts w:ascii="Palatino Linotype" w:eastAsia="Palatino Linotype" w:hAnsi="Palatino Linotype" w:cs="Palatino Linotype"/>
          <w:b/>
          <w:color w:val="000000"/>
        </w:rPr>
        <w:t>RECURRENT</w:t>
      </w:r>
      <w:r w:rsidRPr="00E63AD5">
        <w:rPr>
          <w:rFonts w:ascii="Palatino Linotype" w:eastAsia="Palatino Linotype" w:hAnsi="Palatino Linotype" w:cs="Palatino Linotype"/>
          <w:color w:val="000000"/>
        </w:rPr>
        <w:t>E, fue omiso en presentar sus alegatos.</w:t>
      </w: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Por su parte, el </w:t>
      </w:r>
      <w:r w:rsidRPr="00E63AD5">
        <w:rPr>
          <w:rFonts w:ascii="Palatino Linotype" w:eastAsia="Palatino Linotype" w:hAnsi="Palatino Linotype" w:cs="Palatino Linotype"/>
          <w:b/>
        </w:rPr>
        <w:t xml:space="preserve">SUJETO OBLIGADO, </w:t>
      </w:r>
      <w:r w:rsidRPr="00E63AD5">
        <w:rPr>
          <w:rFonts w:ascii="Palatino Linotype" w:eastAsia="Palatino Linotype" w:hAnsi="Palatino Linotype" w:cs="Palatino Linotype"/>
        </w:rPr>
        <w:t>en fecha tres de noviembre del año dos mil veintidós, adjuntó el archivo electrónico denominado:</w:t>
      </w:r>
    </w:p>
    <w:p w:rsidR="004D0F5F" w:rsidRPr="00E63AD5" w:rsidRDefault="009750A5">
      <w:pPr>
        <w:spacing w:before="240" w:after="240" w:line="360" w:lineRule="auto"/>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rPr>
        <w:t>“</w:t>
      </w:r>
      <w:hyperlink r:id="rId19">
        <w:r w:rsidRPr="00E63AD5">
          <w:rPr>
            <w:rFonts w:ascii="Palatino Linotype" w:eastAsia="Palatino Linotype" w:hAnsi="Palatino Linotype" w:cs="Palatino Linotype"/>
          </w:rPr>
          <w:t>CONTESTACION RR 15764 SAIMEX 312.pdf</w:t>
        </w:r>
      </w:hyperlink>
      <w:r w:rsidRPr="00E63AD5">
        <w:rPr>
          <w:rFonts w:ascii="Palatino Linotype" w:eastAsia="Palatino Linotype" w:hAnsi="Palatino Linotype" w:cs="Palatino Linotype"/>
        </w:rPr>
        <w:t xml:space="preserve">”, por duplicado, por medio del cual el </w:t>
      </w:r>
      <w:r w:rsidRPr="00E63AD5">
        <w:rPr>
          <w:rFonts w:ascii="Palatino Linotype" w:eastAsia="Palatino Linotype" w:hAnsi="Palatino Linotype" w:cs="Palatino Linotype"/>
          <w:color w:val="000000"/>
        </w:rPr>
        <w:t xml:space="preserve">Subdirector de Finanzas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a través del cual proporcionó los datos de los número de cuentas bancarias a diez dígitos, como se advierte a continuación:</w:t>
      </w:r>
    </w:p>
    <w:p w:rsidR="004D0F5F" w:rsidRPr="00E63AD5" w:rsidRDefault="009750A5">
      <w:pPr>
        <w:spacing w:before="240" w:after="240" w:line="360" w:lineRule="auto"/>
        <w:jc w:val="both"/>
        <w:rPr>
          <w:rFonts w:ascii="Palatino Linotype" w:eastAsia="Palatino Linotype" w:hAnsi="Palatino Linotype" w:cs="Palatino Linotype"/>
          <w:color w:val="000000"/>
        </w:rPr>
      </w:pPr>
      <w:r w:rsidRPr="00E63AD5">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63501</wp:posOffset>
                </wp:positionH>
                <wp:positionV relativeFrom="paragraph">
                  <wp:posOffset>0</wp:posOffset>
                </wp:positionV>
                <wp:extent cx="5340350" cy="1435100"/>
                <wp:effectExtent l="0" t="0" r="0" b="0"/>
                <wp:wrapNone/>
                <wp:docPr id="37" name="Conector recto de flecha 37"/>
                <wp:cNvGraphicFramePr/>
                <a:graphic xmlns:a="http://schemas.openxmlformats.org/drawingml/2006/main">
                  <a:graphicData uri="http://schemas.microsoft.com/office/word/2010/wordprocessingShape">
                    <wps:wsp>
                      <wps:cNvCnPr/>
                      <wps:spPr>
                        <a:xfrm>
                          <a:off x="2688525" y="3075150"/>
                          <a:ext cx="5314950" cy="140970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63501</wp:posOffset>
                </wp:positionH>
                <wp:positionV relativeFrom="paragraph">
                  <wp:posOffset>0</wp:posOffset>
                </wp:positionV>
                <wp:extent cx="5340350" cy="1435100"/>
                <wp:effectExtent b="0" l="0" r="0" t="0"/>
                <wp:wrapNone/>
                <wp:docPr id="37"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5340350" cy="1435100"/>
                        </a:xfrm>
                        <a:prstGeom prst="rect"/>
                        <a:ln/>
                      </pic:spPr>
                    </pic:pic>
                  </a:graphicData>
                </a:graphic>
              </wp:anchor>
            </w:drawing>
          </mc:Fallback>
        </mc:AlternateContent>
      </w:r>
    </w:p>
    <w:p w:rsidR="004D0F5F" w:rsidRPr="00E63AD5" w:rsidRDefault="004D0F5F">
      <w:pPr>
        <w:spacing w:before="240" w:after="240" w:line="360" w:lineRule="auto"/>
        <w:jc w:val="both"/>
        <w:rPr>
          <w:rFonts w:ascii="Palatino Linotype" w:eastAsia="Palatino Linotype" w:hAnsi="Palatino Linotype" w:cs="Palatino Linotype"/>
        </w:rPr>
      </w:pP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noProof/>
          <w:lang w:val="es-MX"/>
        </w:rPr>
        <w:lastRenderedPageBreak/>
        <w:drawing>
          <wp:inline distT="0" distB="0" distL="0" distR="0">
            <wp:extent cx="5753100" cy="147955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41412" t="40836" r="24642" b="37840"/>
                    <a:stretch>
                      <a:fillRect/>
                    </a:stretch>
                  </pic:blipFill>
                  <pic:spPr>
                    <a:xfrm>
                      <a:off x="0" y="0"/>
                      <a:ext cx="5753100" cy="1479550"/>
                    </a:xfrm>
                    <a:prstGeom prst="rect">
                      <a:avLst/>
                    </a:prstGeom>
                    <a:ln/>
                  </pic:spPr>
                </pic:pic>
              </a:graphicData>
            </a:graphic>
          </wp:inline>
        </w:drawing>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Asimismo, señaló que en cuanto a las cuentas de los recursos propios, estatales y federales, no se proporciona la información ya que el recurso intentado no admite la ampliación de solicitudes realizadas.</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Archi</w:t>
      </w:r>
      <w:r w:rsidR="00DD133D" w:rsidRPr="00E63AD5">
        <w:rPr>
          <w:rFonts w:ascii="Palatino Linotype" w:eastAsia="Palatino Linotype" w:hAnsi="Palatino Linotype" w:cs="Palatino Linotype"/>
        </w:rPr>
        <w:t xml:space="preserve">vos, se pusieron a la vista de la parte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widowControl w:val="0"/>
        <w:spacing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t>7</w:t>
      </w:r>
      <w:r w:rsidRPr="00E63AD5">
        <w:rPr>
          <w:rFonts w:ascii="Palatino Linotype" w:eastAsia="Palatino Linotype" w:hAnsi="Palatino Linotype" w:cs="Palatino Linotype"/>
        </w:rPr>
        <w:t xml:space="preserve">. </w:t>
      </w:r>
      <w:r w:rsidRPr="00E63AD5">
        <w:rPr>
          <w:rFonts w:ascii="Palatino Linotype" w:eastAsia="Palatino Linotype" w:hAnsi="Palatino Linotype" w:cs="Palatino Linotype"/>
          <w:b/>
        </w:rPr>
        <w:t>Ampliación del plazo.</w:t>
      </w:r>
      <w:r w:rsidRPr="00E63AD5">
        <w:rPr>
          <w:rFonts w:ascii="Palatino Linotype" w:eastAsia="Palatino Linotype" w:hAnsi="Palatino Linotype" w:cs="Palatino Linotype"/>
        </w:rPr>
        <w:t xml:space="preserve"> En fecha veintitrés de marzo del año dos mil veintitrés, con fundamento en el artículo 181, párrafo tercero de la Ley de Transparencia y Acceso a la Información Pública del Estado de México y Municipios, se acordó la ampliación del plazo para su resolución.</w:t>
      </w: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strike/>
          <w:color w:val="FF0000"/>
        </w:rPr>
      </w:pPr>
      <w:r w:rsidRPr="00E63AD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numPr>
          <w:ilvl w:val="0"/>
          <w:numId w:val="2"/>
        </w:numPr>
        <w:ind w:left="851"/>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4D0F5F" w:rsidRPr="00E63AD5" w:rsidRDefault="004D0F5F">
      <w:pPr>
        <w:ind w:left="851" w:hanging="360"/>
        <w:jc w:val="both"/>
        <w:rPr>
          <w:rFonts w:ascii="Palatino Linotype" w:eastAsia="Palatino Linotype" w:hAnsi="Palatino Linotype" w:cs="Palatino Linotype"/>
        </w:rPr>
      </w:pPr>
    </w:p>
    <w:p w:rsidR="004D0F5F" w:rsidRPr="00E63AD5" w:rsidRDefault="009750A5">
      <w:pPr>
        <w:numPr>
          <w:ilvl w:val="0"/>
          <w:numId w:val="2"/>
        </w:numPr>
        <w:ind w:left="851"/>
        <w:jc w:val="both"/>
        <w:rPr>
          <w:rFonts w:ascii="Palatino Linotype" w:eastAsia="Palatino Linotype" w:hAnsi="Palatino Linotype" w:cs="Palatino Linotype"/>
        </w:rPr>
      </w:pPr>
      <w:r w:rsidRPr="00E63AD5">
        <w:rPr>
          <w:rFonts w:ascii="Palatino Linotype" w:eastAsia="Palatino Linotype" w:hAnsi="Palatino Linotype" w:cs="Palatino Linotype"/>
        </w:rPr>
        <w:t>Actividad Procesal del interesado. Acciones u omisiones del interesado.</w:t>
      </w:r>
    </w:p>
    <w:p w:rsidR="004D0F5F" w:rsidRPr="00E63AD5" w:rsidRDefault="004D0F5F">
      <w:pPr>
        <w:ind w:left="851" w:hanging="360"/>
        <w:jc w:val="both"/>
        <w:rPr>
          <w:rFonts w:ascii="Palatino Linotype" w:eastAsia="Palatino Linotype" w:hAnsi="Palatino Linotype" w:cs="Palatino Linotype"/>
        </w:rPr>
      </w:pPr>
    </w:p>
    <w:p w:rsidR="004D0F5F" w:rsidRPr="00E63AD5" w:rsidRDefault="009750A5">
      <w:pPr>
        <w:numPr>
          <w:ilvl w:val="0"/>
          <w:numId w:val="2"/>
        </w:numPr>
        <w:ind w:left="851"/>
        <w:jc w:val="both"/>
        <w:rPr>
          <w:rFonts w:ascii="Palatino Linotype" w:eastAsia="Palatino Linotype" w:hAnsi="Palatino Linotype" w:cs="Palatino Linotype"/>
        </w:rPr>
      </w:pPr>
      <w:r w:rsidRPr="00E63AD5">
        <w:rPr>
          <w:rFonts w:ascii="Palatino Linotype" w:eastAsia="Palatino Linotype" w:hAnsi="Palatino Linotype" w:cs="Palatino Linotype"/>
        </w:rPr>
        <w:t>Conducta de la Autoridad: Las Acciones u omisiones realizadas en el procedimiento. Así como si la autoridad actuó con la debida diligencia.</w:t>
      </w:r>
    </w:p>
    <w:p w:rsidR="004D0F5F" w:rsidRPr="00E63AD5" w:rsidRDefault="004D0F5F">
      <w:pPr>
        <w:ind w:left="851" w:hanging="360"/>
        <w:rPr>
          <w:rFonts w:ascii="Palatino Linotype" w:eastAsia="Palatino Linotype" w:hAnsi="Palatino Linotype" w:cs="Palatino Linotype"/>
        </w:rPr>
      </w:pPr>
    </w:p>
    <w:p w:rsidR="004D0F5F" w:rsidRPr="00E63AD5" w:rsidRDefault="009750A5">
      <w:pPr>
        <w:ind w:left="851" w:hanging="360"/>
        <w:jc w:val="both"/>
        <w:rPr>
          <w:rFonts w:ascii="Palatino Linotype" w:eastAsia="Palatino Linotype" w:hAnsi="Palatino Linotype" w:cs="Palatino Linotype"/>
        </w:rPr>
      </w:pPr>
      <w:r w:rsidRPr="00E63AD5">
        <w:rPr>
          <w:rFonts w:ascii="Palatino Linotype" w:eastAsia="Palatino Linotype" w:hAnsi="Palatino Linotype" w:cs="Palatino Linotype"/>
        </w:rPr>
        <w:t>d) La afectación generada en la situación jurídica de la persona involucrada en el proceso: Violación a sus derechos humanos.</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E63AD5">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rsidR="00B7263E" w:rsidRPr="00E63AD5" w:rsidRDefault="00B7263E">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Argumento que encuentra sustento en la jurisprudencia P</w:t>
      </w:r>
      <w:proofErr w:type="gramStart"/>
      <w:r w:rsidRPr="00E63AD5">
        <w:rPr>
          <w:rFonts w:ascii="Palatino Linotype" w:eastAsia="Palatino Linotype" w:hAnsi="Palatino Linotype" w:cs="Palatino Linotype"/>
        </w:rPr>
        <w:t>./</w:t>
      </w:r>
      <w:proofErr w:type="gramEnd"/>
      <w:r w:rsidRPr="00E63AD5">
        <w:rPr>
          <w:rFonts w:ascii="Palatino Linotype" w:eastAsia="Palatino Linotype" w:hAnsi="Palatino Linotype" w:cs="Palatino Linotype"/>
        </w:rPr>
        <w:t xml:space="preserve">J. 32/92 emitida por el Pleno de la Suprema Corte de Justicia de la Nación de rubro </w:t>
      </w:r>
      <w:r w:rsidRPr="00E63AD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63AD5">
        <w:rPr>
          <w:rFonts w:ascii="Palatino Linotype" w:eastAsia="Palatino Linotype" w:hAnsi="Palatino Linotype" w:cs="Palatino Linotype"/>
        </w:rPr>
        <w:t>, visible en la Gaceta del Seminario Judicial de la Federación con el registro digital 205635.</w:t>
      </w:r>
    </w:p>
    <w:p w:rsidR="00B7263E" w:rsidRPr="00E63AD5" w:rsidRDefault="00B7263E">
      <w:pPr>
        <w:spacing w:line="360" w:lineRule="auto"/>
        <w:jc w:val="both"/>
        <w:rPr>
          <w:rFonts w:ascii="Palatino Linotype" w:eastAsia="Palatino Linotype" w:hAnsi="Palatino Linotype" w:cs="Palatino Linotype"/>
          <w:b/>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E63AD5">
        <w:rPr>
          <w:rFonts w:ascii="Palatino Linotype" w:eastAsia="Palatino Linotype" w:hAnsi="Palatino Linotype" w:cs="Palatino Linotype"/>
        </w:rPr>
        <w:lastRenderedPageBreak/>
        <w:t>los términos legales previamente establecidos por la Ley, por tratarse de causas de fuerza mayor.</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 </w:t>
      </w:r>
      <w:r w:rsidRPr="00E63AD5">
        <w:rPr>
          <w:rFonts w:ascii="Palatino Linotype" w:eastAsia="Palatino Linotype" w:hAnsi="Palatino Linotype" w:cs="Palatino Linotype"/>
          <w:i/>
        </w:rPr>
        <w:t>“PLAZO RAZONABLE PARA RESOLVER. DIMENSIÓN Y EFECTOS DE ESTE CONCEPTO CUANDO SE ADUCE EXCESIVA CARGA DE TRABAJO.”</w:t>
      </w:r>
      <w:r w:rsidRPr="00E63AD5">
        <w:rPr>
          <w:rFonts w:ascii="Palatino Linotype" w:eastAsia="Palatino Linotype" w:hAnsi="Palatino Linotype" w:cs="Palatino Linotype"/>
        </w:rPr>
        <w:t xml:space="preserve"> consultable en el Seminario Judicial de la Federación y su gaceta, con el registro digital 2002351.</w:t>
      </w:r>
    </w:p>
    <w:p w:rsidR="004D0F5F" w:rsidRPr="00E63AD5" w:rsidRDefault="004D0F5F">
      <w:pPr>
        <w:spacing w:line="360" w:lineRule="auto"/>
        <w:jc w:val="both"/>
        <w:rPr>
          <w:rFonts w:ascii="Palatino Linotype" w:eastAsia="Palatino Linotype" w:hAnsi="Palatino Linotype" w:cs="Palatino Linotype"/>
          <w:b/>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i/>
        </w:rPr>
        <w:t>“PLAZO RAZONABLE PARA RESOLVER. CONCEPTO Y ELEMENTOS QUE LO INTEGRAN A LA LUZ DEL DERECHO INTERNACIONAL DE LOS DERECHOS HUMANOS.”</w:t>
      </w:r>
      <w:r w:rsidRPr="00E63AD5">
        <w:rPr>
          <w:rFonts w:ascii="Palatino Linotype" w:eastAsia="Palatino Linotype" w:hAnsi="Palatino Linotype" w:cs="Palatino Linotype"/>
        </w:rPr>
        <w:t>, visible en el Seminario Judicial de la Federación y su gaceta, con el registro digital 2002350.</w:t>
      </w:r>
    </w:p>
    <w:p w:rsidR="004D0F5F" w:rsidRPr="00E63AD5" w:rsidRDefault="004D0F5F">
      <w:pPr>
        <w:spacing w:line="360" w:lineRule="auto"/>
        <w:jc w:val="both"/>
        <w:rPr>
          <w:rFonts w:ascii="Palatino Linotype" w:eastAsia="Palatino Linotype" w:hAnsi="Palatino Linotype" w:cs="Palatino Linotype"/>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lastRenderedPageBreak/>
        <w:t xml:space="preserve">8. Cierre de instrucción. </w:t>
      </w:r>
      <w:r w:rsidRPr="00E63AD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E63AD5">
        <w:rPr>
          <w:rFonts w:ascii="Palatino Linotype" w:eastAsia="Palatino Linotype" w:hAnsi="Palatino Linotype" w:cs="Palatino Linotype"/>
          <w:b/>
        </w:rPr>
        <w:t>veintitrés de marzo de dos mil veintitrés</w:t>
      </w:r>
      <w:r w:rsidRPr="00E63AD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4D0F5F" w:rsidRPr="00E63AD5" w:rsidRDefault="009750A5">
      <w:pPr>
        <w:widowControl w:val="0"/>
        <w:spacing w:line="360" w:lineRule="auto"/>
        <w:jc w:val="center"/>
        <w:rPr>
          <w:rFonts w:ascii="Palatino Linotype" w:eastAsia="Palatino Linotype" w:hAnsi="Palatino Linotype" w:cs="Palatino Linotype"/>
          <w:b/>
        </w:rPr>
      </w:pPr>
      <w:r w:rsidRPr="00E63AD5">
        <w:rPr>
          <w:rFonts w:ascii="Palatino Linotype" w:eastAsia="Palatino Linotype" w:hAnsi="Palatino Linotype" w:cs="Palatino Linotype"/>
          <w:b/>
        </w:rPr>
        <w:t>II. C O N S I D E R A N D O S</w:t>
      </w:r>
    </w:p>
    <w:p w:rsidR="004D0F5F" w:rsidRPr="00E63AD5" w:rsidRDefault="004D0F5F">
      <w:pPr>
        <w:widowControl w:val="0"/>
        <w:spacing w:line="360" w:lineRule="auto"/>
        <w:jc w:val="center"/>
        <w:rPr>
          <w:rFonts w:ascii="Palatino Linotype" w:eastAsia="Palatino Linotype" w:hAnsi="Palatino Linotype" w:cs="Palatino Linotype"/>
          <w:b/>
        </w:rPr>
      </w:pP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t>Primero. Competencia.</w:t>
      </w:r>
      <w:r w:rsidRPr="00E63AD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E63AD5">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rsidR="004D0F5F" w:rsidRPr="00E63AD5" w:rsidRDefault="009750A5">
      <w:pPr>
        <w:spacing w:before="240" w:after="240" w:line="360" w:lineRule="auto"/>
        <w:ind w:right="49"/>
        <w:jc w:val="both"/>
        <w:rPr>
          <w:rFonts w:ascii="Palatino Linotype" w:eastAsia="Palatino Linotype" w:hAnsi="Palatino Linotype" w:cs="Palatino Linotype"/>
        </w:rPr>
      </w:pPr>
      <w:bookmarkStart w:id="4" w:name="_heading=h.tyjcwt" w:colFirst="0" w:colLast="0"/>
      <w:bookmarkEnd w:id="4"/>
      <w:r w:rsidRPr="00E63AD5">
        <w:rPr>
          <w:rFonts w:ascii="Palatino Linotype" w:eastAsia="Palatino Linotype" w:hAnsi="Palatino Linotype" w:cs="Palatino Linotype"/>
          <w:b/>
        </w:rPr>
        <w:t xml:space="preserve">Segundo. Oportunidad y </w:t>
      </w:r>
      <w:proofErr w:type="spellStart"/>
      <w:r w:rsidRPr="00E63AD5">
        <w:rPr>
          <w:rFonts w:ascii="Palatino Linotype" w:eastAsia="Palatino Linotype" w:hAnsi="Palatino Linotype" w:cs="Palatino Linotype"/>
          <w:b/>
        </w:rPr>
        <w:t>Procedibilidad</w:t>
      </w:r>
      <w:proofErr w:type="spellEnd"/>
      <w:r w:rsidRPr="00E63AD5">
        <w:rPr>
          <w:rFonts w:ascii="Palatino Linotype" w:eastAsia="Palatino Linotype" w:hAnsi="Palatino Linotype" w:cs="Palatino Linotype"/>
          <w:b/>
        </w:rPr>
        <w:t xml:space="preserve"> del Recurso de Revisión. </w:t>
      </w:r>
      <w:r w:rsidRPr="00E63AD5">
        <w:rPr>
          <w:rFonts w:ascii="Palatino Linotype" w:eastAsia="Palatino Linotype" w:hAnsi="Palatino Linotype" w:cs="Palatino Linotype"/>
        </w:rPr>
        <w:t xml:space="preserve">De conformidad con los requisitos de Oportunidad y </w:t>
      </w:r>
      <w:proofErr w:type="spellStart"/>
      <w:r w:rsidRPr="00E63AD5">
        <w:rPr>
          <w:rFonts w:ascii="Palatino Linotype" w:eastAsia="Palatino Linotype" w:hAnsi="Palatino Linotype" w:cs="Palatino Linotype"/>
        </w:rPr>
        <w:t>Procedibilidad</w:t>
      </w:r>
      <w:proofErr w:type="spellEnd"/>
      <w:r w:rsidRPr="00E63AD5">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emitió su respuesta a la solicitud planteada por el solicitante el veinticuatro de octubre del año dos mil veintidós y la parte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 xml:space="preserve"> presentó su recurso de revisión el mismo día hábil en que tuvo conocimiento de la respuesta impugnada.</w:t>
      </w:r>
    </w:p>
    <w:p w:rsidR="004D0F5F" w:rsidRPr="00E63AD5" w:rsidRDefault="009750A5">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En este sentido, al considerar la fecha en que se formuló la solicitud y la fecha en que respondió a esta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w:t>
      </w:r>
      <w:r w:rsidRPr="00E63AD5">
        <w:rPr>
          <w:rFonts w:ascii="Palatino Linotype" w:eastAsia="Palatino Linotype" w:hAnsi="Palatino Linotype" w:cs="Palatino Linotype"/>
        </w:rPr>
        <w:lastRenderedPageBreak/>
        <w:t>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4D0F5F" w:rsidRPr="00E63AD5" w:rsidRDefault="009750A5">
      <w:pPr>
        <w:spacing w:before="120" w:after="120"/>
        <w:ind w:left="851" w:right="902"/>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E63AD5">
        <w:rPr>
          <w:rFonts w:ascii="Palatino Linotype" w:eastAsia="Palatino Linotype" w:hAnsi="Palatino Linotype" w:cs="Palatino Linotype"/>
          <w:i/>
          <w:sz w:val="22"/>
          <w:szCs w:val="22"/>
        </w:rPr>
        <w:t>.</w:t>
      </w:r>
    </w:p>
    <w:p w:rsidR="004D0F5F" w:rsidRPr="00E63AD5" w:rsidRDefault="009750A5">
      <w:pPr>
        <w:spacing w:before="120" w:after="120"/>
        <w:ind w:left="851" w:right="902"/>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4D0F5F" w:rsidRPr="00E63AD5" w:rsidRDefault="009750A5">
      <w:pPr>
        <w:spacing w:before="240" w:after="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Por cuanto hace a la </w:t>
      </w:r>
      <w:proofErr w:type="spellStart"/>
      <w:r w:rsidRPr="00E63AD5">
        <w:rPr>
          <w:rFonts w:ascii="Palatino Linotype" w:eastAsia="Palatino Linotype" w:hAnsi="Palatino Linotype" w:cs="Palatino Linotype"/>
        </w:rPr>
        <w:t>procedibilidad</w:t>
      </w:r>
      <w:proofErr w:type="spellEnd"/>
      <w:r w:rsidRPr="00E63AD5">
        <w:rPr>
          <w:rFonts w:ascii="Palatino Linotype" w:eastAsia="Palatino Linotype" w:hAnsi="Palatino Linotype" w:cs="Palatino Linotype"/>
        </w:rPr>
        <w:t xml:space="preserve"> del recurso de revisión, es de suma importancia señalar que la parte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 xml:space="preserve">, no proporcionó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w:t>
      </w:r>
      <w:r w:rsidRPr="00E63AD5">
        <w:rPr>
          <w:rFonts w:ascii="Palatino Linotype" w:eastAsia="Palatino Linotype" w:hAnsi="Palatino Linotype" w:cs="Palatino Linotype"/>
        </w:rPr>
        <w:lastRenderedPageBreak/>
        <w:t>Ley de Transparencia y Acceso a la Información Pública del Estado de México y Municipios que establece lo siguiente:</w:t>
      </w:r>
    </w:p>
    <w:p w:rsidR="004D0F5F" w:rsidRPr="00E63AD5" w:rsidRDefault="009750A5">
      <w:pPr>
        <w:spacing w:before="240" w:after="240" w:line="276" w:lineRule="auto"/>
        <w:ind w:left="851" w:right="902"/>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Las solicitudes anónimas</w:t>
      </w:r>
      <w:r w:rsidRPr="00E63AD5">
        <w:rPr>
          <w:rFonts w:ascii="Palatino Linotype" w:eastAsia="Palatino Linotype" w:hAnsi="Palatino Linotype" w:cs="Palatino Linotype"/>
          <w:i/>
          <w:sz w:val="22"/>
          <w:szCs w:val="22"/>
        </w:rPr>
        <w:t xml:space="preserve">, con nombre incompleto o seudónimo </w:t>
      </w:r>
      <w:r w:rsidRPr="00E63AD5">
        <w:rPr>
          <w:rFonts w:ascii="Palatino Linotype" w:eastAsia="Palatino Linotype" w:hAnsi="Palatino Linotype" w:cs="Palatino Linotype"/>
          <w:b/>
          <w:i/>
          <w:sz w:val="22"/>
          <w:szCs w:val="22"/>
        </w:rPr>
        <w:t>serán procedentes para su trámite por parte del sujeto obligado ante quien se presente</w:t>
      </w:r>
      <w:r w:rsidRPr="00E63AD5">
        <w:rPr>
          <w:rFonts w:ascii="Palatino Linotype" w:eastAsia="Palatino Linotype" w:hAnsi="Palatino Linotype" w:cs="Palatino Linotype"/>
          <w:i/>
          <w:sz w:val="22"/>
          <w:szCs w:val="22"/>
        </w:rPr>
        <w:t>. No podrá requerirse información adicional con motivo del nombre proporcionado por el solicitante."(Sic)</w:t>
      </w:r>
    </w:p>
    <w:p w:rsidR="004D0F5F" w:rsidRPr="00E63AD5" w:rsidRDefault="009750A5">
      <w:pPr>
        <w:spacing w:before="240" w:after="240" w:line="360" w:lineRule="auto"/>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rsidR="004D0F5F" w:rsidRPr="00E63AD5" w:rsidRDefault="009750A5">
      <w:pPr>
        <w:ind w:left="1276" w:right="1752"/>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 xml:space="preserve">Artículo 179. </w:t>
      </w:r>
      <w:r w:rsidRPr="00E63AD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4D0F5F" w:rsidRPr="00E63AD5" w:rsidRDefault="009750A5">
      <w:pPr>
        <w:ind w:left="1276" w:right="1752"/>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p>
    <w:p w:rsidR="004D0F5F" w:rsidRPr="00E63AD5" w:rsidRDefault="009750A5">
      <w:pPr>
        <w:ind w:left="1276" w:right="1752"/>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V. La entrega de información incompleta…” (Sic)</w:t>
      </w:r>
    </w:p>
    <w:p w:rsidR="0091514E" w:rsidRPr="00E63AD5" w:rsidRDefault="009750A5" w:rsidP="0091514E">
      <w:pPr>
        <w:spacing w:before="280" w:after="28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color w:val="000000"/>
        </w:rPr>
        <w:t xml:space="preserve">Tercero. </w:t>
      </w:r>
      <w:r w:rsidR="0091514E" w:rsidRPr="00E63AD5">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0091514E" w:rsidRPr="00E63AD5">
        <w:rPr>
          <w:rFonts w:ascii="Palatino Linotype" w:eastAsia="Palatino Linotype" w:hAnsi="Palatino Linotype" w:cs="Palatino Linotype"/>
          <w:b/>
        </w:rPr>
        <w:t xml:space="preserve">verificar si la respuesta como </w:t>
      </w:r>
      <w:r w:rsidR="0091514E" w:rsidRPr="00E63AD5">
        <w:rPr>
          <w:rFonts w:ascii="Palatino Linotype" w:eastAsia="Palatino Linotype" w:hAnsi="Palatino Linotype" w:cs="Palatino Linotype"/>
          <w:b/>
        </w:rPr>
        <w:lastRenderedPageBreak/>
        <w:t xml:space="preserve">informe justificado, otorgados por el SUJETO OBLIGADO es adecuada y suficiente para satisfacer el derecho de acceso a la información pública </w:t>
      </w:r>
      <w:r w:rsidR="0091514E" w:rsidRPr="00E63AD5">
        <w:rPr>
          <w:rFonts w:ascii="Palatino Linotype" w:eastAsia="Palatino Linotype" w:hAnsi="Palatino Linotype" w:cs="Palatino Linotype"/>
        </w:rPr>
        <w:t xml:space="preserve">del </w:t>
      </w:r>
      <w:r w:rsidR="0091514E" w:rsidRPr="00E63AD5">
        <w:rPr>
          <w:rFonts w:ascii="Palatino Linotype" w:eastAsia="Palatino Linotype" w:hAnsi="Palatino Linotype" w:cs="Palatino Linotype"/>
          <w:b/>
        </w:rPr>
        <w:t>RECURRENTE</w:t>
      </w:r>
      <w:r w:rsidR="0091514E" w:rsidRPr="00E63AD5">
        <w:rPr>
          <w:rFonts w:ascii="Palatino Linotype" w:eastAsia="Palatino Linotype" w:hAnsi="Palatino Linotype" w:cs="Palatino Linotype"/>
        </w:rPr>
        <w:t>, o en su defecto, en caso de ser procedente, ordenar la entrega de información.</w:t>
      </w:r>
    </w:p>
    <w:p w:rsidR="0091514E" w:rsidRPr="00E63AD5" w:rsidRDefault="0091514E" w:rsidP="0091514E">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color w:val="000000"/>
        </w:rPr>
        <w:t xml:space="preserve">Cuarto. </w:t>
      </w:r>
      <w:r w:rsidRPr="00E63AD5">
        <w:rPr>
          <w:rFonts w:ascii="Palatino Linotype" w:eastAsia="Palatino Linotype" w:hAnsi="Palatino Linotype" w:cs="Palatino Linotype"/>
          <w:b/>
        </w:rPr>
        <w:t xml:space="preserve">Estudio de fondo del asunto. </w:t>
      </w:r>
      <w:r w:rsidRPr="00E63AD5">
        <w:rPr>
          <w:rFonts w:ascii="Palatino Linotype" w:eastAsia="Palatino Linotype" w:hAnsi="Palatino Linotype" w:cs="Palatino Linotype"/>
        </w:rPr>
        <w:t xml:space="preserve">Es conveniente analizar si la respuesta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1514E" w:rsidRPr="00E63AD5" w:rsidRDefault="0091514E" w:rsidP="0091514E">
      <w:pPr>
        <w:spacing w:before="240"/>
        <w:ind w:left="709" w:right="760"/>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Artículo 4</w:t>
      </w:r>
      <w:r w:rsidRPr="00E63AD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1514E" w:rsidRPr="00E63AD5" w:rsidRDefault="0091514E" w:rsidP="0091514E">
      <w:pPr>
        <w:ind w:left="709" w:right="760"/>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63AD5">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E63AD5">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rsidR="0091514E" w:rsidRPr="00E63AD5" w:rsidRDefault="0091514E" w:rsidP="0091514E">
      <w:pPr>
        <w:ind w:left="709" w:right="760"/>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63AD5">
        <w:rPr>
          <w:rFonts w:ascii="Palatino Linotype" w:eastAsia="Palatino Linotype" w:hAnsi="Palatino Linotype" w:cs="Palatino Linotype"/>
          <w:i/>
          <w:sz w:val="22"/>
          <w:szCs w:val="22"/>
        </w:rPr>
        <w:t>.”(Sic)</w:t>
      </w:r>
    </w:p>
    <w:p w:rsidR="0091514E" w:rsidRPr="00E63AD5" w:rsidRDefault="0091514E" w:rsidP="0091514E">
      <w:pPr>
        <w:spacing w:line="360" w:lineRule="auto"/>
        <w:jc w:val="both"/>
        <w:rPr>
          <w:rFonts w:ascii="Palatino Linotype" w:eastAsia="Palatino Linotype" w:hAnsi="Palatino Linotype" w:cs="Palatino Linotype"/>
        </w:rPr>
      </w:pPr>
    </w:p>
    <w:p w:rsidR="0091514E" w:rsidRPr="00E63AD5" w:rsidRDefault="0091514E" w:rsidP="0091514E">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91514E" w:rsidRPr="00E63AD5" w:rsidRDefault="0091514E" w:rsidP="0091514E">
      <w:pPr>
        <w:spacing w:line="360" w:lineRule="auto"/>
        <w:jc w:val="both"/>
        <w:rPr>
          <w:rFonts w:ascii="Palatino Linotype" w:eastAsia="Palatino Linotype" w:hAnsi="Palatino Linotype" w:cs="Palatino Linotype"/>
        </w:rPr>
      </w:pPr>
    </w:p>
    <w:p w:rsidR="0091514E" w:rsidRPr="00E63AD5" w:rsidRDefault="0091514E" w:rsidP="0091514E">
      <w:pPr>
        <w:ind w:left="567" w:right="758"/>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“Artículo 12.-</w:t>
      </w:r>
      <w:r w:rsidRPr="00E63AD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91514E" w:rsidRPr="00E63AD5" w:rsidRDefault="0091514E" w:rsidP="0091514E">
      <w:pPr>
        <w:ind w:left="567" w:right="758"/>
        <w:jc w:val="both"/>
        <w:rPr>
          <w:rFonts w:ascii="Palatino Linotype" w:eastAsia="Palatino Linotype" w:hAnsi="Palatino Linotype" w:cs="Palatino Linotype"/>
          <w:i/>
          <w:sz w:val="22"/>
          <w:szCs w:val="22"/>
        </w:rPr>
      </w:pPr>
    </w:p>
    <w:p w:rsidR="0091514E" w:rsidRPr="00E63AD5" w:rsidRDefault="0091514E" w:rsidP="0091514E">
      <w:pPr>
        <w:ind w:left="567" w:right="758"/>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63AD5">
        <w:rPr>
          <w:rFonts w:ascii="Palatino Linotype" w:eastAsia="Palatino Linotype" w:hAnsi="Palatino Linotype" w:cs="Palatino Linotype"/>
          <w:i/>
          <w:sz w:val="22"/>
          <w:szCs w:val="22"/>
        </w:rPr>
        <w:t xml:space="preserve">. </w:t>
      </w:r>
      <w:r w:rsidRPr="00E63AD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91514E" w:rsidRPr="00E63AD5" w:rsidRDefault="0091514E" w:rsidP="0091514E">
      <w:pPr>
        <w:spacing w:line="360" w:lineRule="auto"/>
        <w:ind w:right="-93"/>
        <w:jc w:val="both"/>
        <w:rPr>
          <w:rFonts w:ascii="Palatino Linotype" w:eastAsia="Palatino Linotype" w:hAnsi="Palatino Linotype" w:cs="Palatino Linotype"/>
          <w:color w:val="000000"/>
        </w:rPr>
      </w:pPr>
    </w:p>
    <w:p w:rsidR="0091514E" w:rsidRPr="00E63AD5" w:rsidRDefault="0091514E" w:rsidP="0091514E">
      <w:pPr>
        <w:spacing w:line="360" w:lineRule="auto"/>
        <w:ind w:right="-93"/>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w:t>
      </w:r>
      <w:r w:rsidRPr="00E63AD5">
        <w:rPr>
          <w:rFonts w:ascii="Palatino Linotype" w:eastAsia="Palatino Linotype" w:hAnsi="Palatino Linotype" w:cs="Palatino Linotype"/>
          <w:color w:val="000000"/>
        </w:rPr>
        <w:lastRenderedPageBreak/>
        <w:t xml:space="preserve">proporcionar la información que se les requiera sin necesidad de resumirla, efectuar procedimientos para obtenerla, calcular y practicar investigaciones; en otras palabras, que los Sujetos Obligados </w:t>
      </w:r>
      <w:r w:rsidRPr="00E63AD5">
        <w:rPr>
          <w:rFonts w:ascii="Palatino Linotype" w:eastAsia="Palatino Linotype" w:hAnsi="Palatino Linotype" w:cs="Palatino Linotype"/>
        </w:rPr>
        <w:t>sólo</w:t>
      </w:r>
      <w:r w:rsidRPr="00E63AD5">
        <w:rPr>
          <w:rFonts w:ascii="Palatino Linotype" w:eastAsia="Palatino Linotype" w:hAnsi="Palatino Linotype" w:cs="Palatino Linotype"/>
          <w:color w:val="000000"/>
        </w:rPr>
        <w:t xml:space="preserve"> se </w:t>
      </w:r>
      <w:r w:rsidRPr="00E63AD5">
        <w:rPr>
          <w:rFonts w:ascii="Palatino Linotype" w:eastAsia="Palatino Linotype" w:hAnsi="Palatino Linotype" w:cs="Palatino Linotype"/>
        </w:rPr>
        <w:t>concretarán</w:t>
      </w:r>
      <w:r w:rsidRPr="00E63AD5">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rsidR="0091514E" w:rsidRPr="00E63AD5" w:rsidRDefault="0091514E" w:rsidP="0091514E">
      <w:pPr>
        <w:spacing w:line="360" w:lineRule="auto"/>
        <w:ind w:right="-93"/>
        <w:jc w:val="both"/>
        <w:rPr>
          <w:rFonts w:ascii="Palatino Linotype" w:eastAsia="Palatino Linotype" w:hAnsi="Palatino Linotype" w:cs="Palatino Linotype"/>
          <w:color w:val="000000"/>
        </w:rPr>
      </w:pPr>
    </w:p>
    <w:p w:rsidR="0091514E" w:rsidRPr="00E63AD5" w:rsidRDefault="0091514E" w:rsidP="0091514E">
      <w:pPr>
        <w:spacing w:line="360" w:lineRule="auto"/>
        <w:jc w:val="both"/>
        <w:rPr>
          <w:rFonts w:ascii="Palatino Linotype" w:eastAsia="Palatino Linotype" w:hAnsi="Palatino Linotype" w:cs="Palatino Linotype"/>
          <w:b/>
          <w:color w:val="000000"/>
        </w:rPr>
      </w:pPr>
      <w:r w:rsidRPr="00E63AD5">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sidRPr="00E63AD5">
        <w:rPr>
          <w:rFonts w:ascii="Palatino Linotype" w:eastAsia="Palatino Linotype" w:hAnsi="Palatino Linotype" w:cs="Palatino Linotype"/>
          <w:b/>
          <w:color w:val="000000"/>
        </w:rPr>
        <w:t xml:space="preserve"> </w:t>
      </w:r>
    </w:p>
    <w:p w:rsidR="0091514E" w:rsidRPr="00E63AD5" w:rsidRDefault="0091514E" w:rsidP="0091514E">
      <w:pPr>
        <w:ind w:left="851" w:right="850"/>
        <w:jc w:val="both"/>
        <w:rPr>
          <w:rFonts w:ascii="Palatino Linotype" w:eastAsia="Palatino Linotype" w:hAnsi="Palatino Linotype" w:cs="Palatino Linotype"/>
          <w:color w:val="000000"/>
        </w:rPr>
      </w:pPr>
    </w:p>
    <w:p w:rsidR="0091514E" w:rsidRPr="00E63AD5" w:rsidRDefault="0091514E" w:rsidP="0091514E">
      <w:pPr>
        <w:ind w:left="851" w:right="901"/>
        <w:jc w:val="both"/>
        <w:rPr>
          <w:rFonts w:ascii="Palatino Linotype" w:eastAsia="Palatino Linotype" w:hAnsi="Palatino Linotype" w:cs="Palatino Linotype"/>
          <w:i/>
          <w:color w:val="000000"/>
          <w:sz w:val="22"/>
          <w:szCs w:val="22"/>
        </w:rPr>
      </w:pPr>
      <w:r w:rsidRPr="00E63AD5">
        <w:rPr>
          <w:rFonts w:ascii="Palatino Linotype" w:eastAsia="Palatino Linotype" w:hAnsi="Palatino Linotype" w:cs="Palatino Linotype"/>
          <w:i/>
          <w:color w:val="000000"/>
          <w:sz w:val="22"/>
          <w:szCs w:val="22"/>
        </w:rPr>
        <w:t>“</w:t>
      </w:r>
      <w:r w:rsidRPr="00E63AD5">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E63AD5">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1514E" w:rsidRPr="00E63AD5" w:rsidRDefault="0091514E" w:rsidP="0091514E">
      <w:pPr>
        <w:ind w:left="851" w:right="901"/>
        <w:jc w:val="both"/>
        <w:rPr>
          <w:rFonts w:ascii="Palatino Linotype" w:eastAsia="Palatino Linotype" w:hAnsi="Palatino Linotype" w:cs="Palatino Linotype"/>
          <w:i/>
          <w:color w:val="000000"/>
          <w:sz w:val="22"/>
          <w:szCs w:val="22"/>
        </w:rPr>
      </w:pPr>
      <w:r w:rsidRPr="00E63AD5">
        <w:rPr>
          <w:rFonts w:ascii="Palatino Linotype" w:eastAsia="Palatino Linotype" w:hAnsi="Palatino Linotype" w:cs="Palatino Linotype"/>
          <w:i/>
          <w:color w:val="000000"/>
          <w:sz w:val="22"/>
          <w:szCs w:val="22"/>
        </w:rPr>
        <w:t xml:space="preserve">Resoluciones: </w:t>
      </w:r>
    </w:p>
    <w:p w:rsidR="0091514E" w:rsidRPr="00E63AD5" w:rsidRDefault="0091514E" w:rsidP="0091514E">
      <w:pPr>
        <w:ind w:left="851" w:right="901"/>
        <w:jc w:val="both"/>
        <w:rPr>
          <w:rFonts w:ascii="Palatino Linotype" w:eastAsia="Palatino Linotype" w:hAnsi="Palatino Linotype" w:cs="Palatino Linotype"/>
          <w:i/>
          <w:color w:val="000000"/>
          <w:sz w:val="22"/>
          <w:szCs w:val="22"/>
        </w:rPr>
      </w:pPr>
      <w:r w:rsidRPr="00E63AD5">
        <w:rPr>
          <w:rFonts w:ascii="Noto Sans Symbols" w:eastAsia="Noto Sans Symbols" w:hAnsi="Noto Sans Symbols" w:cs="Noto Sans Symbols"/>
          <w:i/>
          <w:color w:val="000000"/>
          <w:sz w:val="22"/>
          <w:szCs w:val="22"/>
        </w:rPr>
        <w:t>∙</w:t>
      </w:r>
      <w:r w:rsidRPr="00E63AD5">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91514E" w:rsidRPr="00E63AD5" w:rsidRDefault="0091514E" w:rsidP="0091514E">
      <w:pPr>
        <w:ind w:left="851" w:right="901"/>
        <w:jc w:val="both"/>
        <w:rPr>
          <w:rFonts w:ascii="Palatino Linotype" w:eastAsia="Palatino Linotype" w:hAnsi="Palatino Linotype" w:cs="Palatino Linotype"/>
          <w:i/>
          <w:color w:val="000000"/>
          <w:sz w:val="22"/>
          <w:szCs w:val="22"/>
        </w:rPr>
      </w:pPr>
      <w:r w:rsidRPr="00E63AD5">
        <w:rPr>
          <w:rFonts w:ascii="Noto Sans Symbols" w:eastAsia="Noto Sans Symbols" w:hAnsi="Noto Sans Symbols" w:cs="Noto Sans Symbols"/>
          <w:i/>
          <w:color w:val="000000"/>
          <w:sz w:val="22"/>
          <w:szCs w:val="22"/>
        </w:rPr>
        <w:t>∙</w:t>
      </w:r>
      <w:r w:rsidRPr="00E63AD5">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rsidR="0091514E" w:rsidRPr="00E63AD5" w:rsidRDefault="0091514E" w:rsidP="0091514E">
      <w:pPr>
        <w:ind w:left="851" w:right="901"/>
        <w:jc w:val="both"/>
        <w:rPr>
          <w:rFonts w:ascii="Palatino Linotype" w:eastAsia="Palatino Linotype" w:hAnsi="Palatino Linotype" w:cs="Palatino Linotype"/>
          <w:i/>
          <w:color w:val="000000"/>
          <w:sz w:val="22"/>
          <w:szCs w:val="22"/>
        </w:rPr>
      </w:pPr>
      <w:r w:rsidRPr="00E63AD5">
        <w:rPr>
          <w:rFonts w:ascii="Noto Sans Symbols" w:eastAsia="Noto Sans Symbols" w:hAnsi="Noto Sans Symbols" w:cs="Noto Sans Symbols"/>
          <w:i/>
          <w:color w:val="000000"/>
          <w:sz w:val="22"/>
          <w:szCs w:val="22"/>
        </w:rPr>
        <w:t>∙</w:t>
      </w:r>
      <w:r w:rsidRPr="00E63AD5">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Mora.”(Sic)</w:t>
      </w:r>
    </w:p>
    <w:p w:rsidR="0091514E" w:rsidRPr="00E63AD5" w:rsidRDefault="0091514E" w:rsidP="0091514E">
      <w:pPr>
        <w:spacing w:line="360" w:lineRule="auto"/>
        <w:ind w:right="-93"/>
        <w:jc w:val="both"/>
        <w:rPr>
          <w:rFonts w:ascii="Palatino Linotype" w:eastAsia="Palatino Linotype" w:hAnsi="Palatino Linotype" w:cs="Palatino Linotype"/>
          <w:color w:val="000000"/>
        </w:rPr>
      </w:pPr>
    </w:p>
    <w:p w:rsidR="0091514E" w:rsidRPr="00E63AD5" w:rsidRDefault="0091514E" w:rsidP="0091514E">
      <w:pPr>
        <w:spacing w:line="360" w:lineRule="auto"/>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rPr>
        <w:t xml:space="preserve">En esa tesitura, el artículo 24 en su último párrafo de la Ley de la Materia, dispone que los Sujetos Obligados </w:t>
      </w:r>
      <w:r w:rsidRPr="00E63AD5">
        <w:rPr>
          <w:rFonts w:ascii="Palatino Linotype" w:eastAsia="Palatino Linotype" w:hAnsi="Palatino Linotype" w:cs="Palatino Linotype"/>
          <w:color w:val="000000"/>
        </w:rPr>
        <w:t xml:space="preserve">sólo proporcionarán la información pública que </w:t>
      </w:r>
      <w:r w:rsidRPr="00E63AD5">
        <w:rPr>
          <w:rFonts w:ascii="Palatino Linotype" w:eastAsia="Palatino Linotype" w:hAnsi="Palatino Linotype" w:cs="Palatino Linotype"/>
        </w:rPr>
        <w:t>generen</w:t>
      </w:r>
      <w:r w:rsidRPr="00E63AD5">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1514E" w:rsidRPr="00E63AD5" w:rsidRDefault="0091514E" w:rsidP="0091514E">
      <w:pPr>
        <w:spacing w:line="360" w:lineRule="auto"/>
        <w:jc w:val="both"/>
        <w:rPr>
          <w:rFonts w:ascii="Palatino Linotype" w:eastAsia="Palatino Linotype" w:hAnsi="Palatino Linotype" w:cs="Palatino Linotype"/>
          <w:color w:val="000000"/>
        </w:rPr>
      </w:pPr>
    </w:p>
    <w:p w:rsidR="0091514E" w:rsidRPr="00E63AD5" w:rsidRDefault="0091514E" w:rsidP="0091514E">
      <w:pPr>
        <w:spacing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91514E" w:rsidRPr="00E63AD5" w:rsidRDefault="0091514E" w:rsidP="0091514E">
      <w:pPr>
        <w:spacing w:line="360" w:lineRule="auto"/>
        <w:ind w:right="49"/>
        <w:jc w:val="both"/>
        <w:rPr>
          <w:rFonts w:ascii="Palatino Linotype" w:eastAsia="Palatino Linotype" w:hAnsi="Palatino Linotype" w:cs="Palatino Linotype"/>
        </w:rPr>
      </w:pPr>
    </w:p>
    <w:p w:rsidR="0091514E" w:rsidRPr="00E63AD5" w:rsidRDefault="0091514E" w:rsidP="0091514E">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E63AD5">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1514E" w:rsidRPr="00E63AD5" w:rsidRDefault="0091514E" w:rsidP="0091514E">
      <w:pPr>
        <w:ind w:left="851" w:right="899"/>
        <w:jc w:val="both"/>
        <w:rPr>
          <w:rFonts w:ascii="Palatino Linotype" w:eastAsia="Palatino Linotype" w:hAnsi="Palatino Linotype" w:cs="Palatino Linotype"/>
          <w:i/>
          <w:sz w:val="22"/>
          <w:szCs w:val="22"/>
        </w:rPr>
      </w:pPr>
    </w:p>
    <w:p w:rsidR="0091514E" w:rsidRPr="00E63AD5" w:rsidRDefault="0091514E" w:rsidP="0091514E">
      <w:pPr>
        <w:ind w:left="851" w:right="89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 xml:space="preserve">Artículo 3. </w:t>
      </w:r>
      <w:r w:rsidRPr="00E63AD5">
        <w:rPr>
          <w:rFonts w:ascii="Palatino Linotype" w:eastAsia="Palatino Linotype" w:hAnsi="Palatino Linotype" w:cs="Palatino Linotype"/>
          <w:i/>
          <w:sz w:val="22"/>
          <w:szCs w:val="22"/>
        </w:rPr>
        <w:t>Para los efectos de la presente Ley se entenderá por:</w:t>
      </w:r>
    </w:p>
    <w:p w:rsidR="0091514E" w:rsidRPr="00E63AD5" w:rsidRDefault="0091514E" w:rsidP="0091514E">
      <w:pPr>
        <w:ind w:left="851" w:right="89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p>
    <w:p w:rsidR="0091514E" w:rsidRPr="00E63AD5" w:rsidRDefault="0091514E" w:rsidP="0091514E">
      <w:pPr>
        <w:ind w:left="851" w:right="899"/>
        <w:jc w:val="both"/>
        <w:rPr>
          <w:rFonts w:ascii="Palatino Linotype" w:eastAsia="Palatino Linotype" w:hAnsi="Palatino Linotype" w:cs="Palatino Linotype"/>
          <w:i/>
          <w:color w:val="000000"/>
          <w:sz w:val="22"/>
          <w:szCs w:val="22"/>
        </w:rPr>
      </w:pPr>
      <w:r w:rsidRPr="00E63AD5">
        <w:rPr>
          <w:rFonts w:ascii="Palatino Linotype" w:eastAsia="Palatino Linotype" w:hAnsi="Palatino Linotype" w:cs="Palatino Linotype"/>
          <w:b/>
          <w:i/>
          <w:color w:val="000000"/>
          <w:sz w:val="22"/>
          <w:szCs w:val="22"/>
        </w:rPr>
        <w:t>XI. Documento:</w:t>
      </w:r>
      <w:r w:rsidRPr="00E63AD5">
        <w:rPr>
          <w:rFonts w:ascii="Palatino Linotype" w:eastAsia="Palatino Linotype" w:hAnsi="Palatino Linotype" w:cs="Palatino Linotype"/>
          <w:i/>
          <w:color w:val="000000"/>
          <w:sz w:val="22"/>
          <w:szCs w:val="22"/>
        </w:rPr>
        <w:t xml:space="preserve"> Los expedientes, reportes, estudios, actas</w:t>
      </w:r>
      <w:r w:rsidRPr="00E63AD5">
        <w:rPr>
          <w:rFonts w:ascii="Palatino Linotype" w:eastAsia="Palatino Linotype" w:hAnsi="Palatino Linotype" w:cs="Palatino Linotype"/>
          <w:b/>
          <w:i/>
          <w:color w:val="000000"/>
          <w:sz w:val="22"/>
          <w:szCs w:val="22"/>
        </w:rPr>
        <w:t>,</w:t>
      </w:r>
      <w:r w:rsidRPr="00E63AD5">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91514E" w:rsidRPr="00E63AD5" w:rsidRDefault="0091514E" w:rsidP="0091514E">
      <w:pPr>
        <w:ind w:left="851" w:right="899"/>
        <w:jc w:val="both"/>
        <w:rPr>
          <w:rFonts w:ascii="Palatino Linotype" w:eastAsia="Palatino Linotype" w:hAnsi="Palatino Linotype" w:cs="Palatino Linotype"/>
          <w:sz w:val="22"/>
          <w:szCs w:val="22"/>
        </w:rPr>
      </w:pPr>
    </w:p>
    <w:p w:rsidR="0091514E" w:rsidRPr="00E63AD5" w:rsidRDefault="0091514E" w:rsidP="0091514E">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1514E" w:rsidRPr="00E63AD5" w:rsidRDefault="0091514E" w:rsidP="0091514E">
      <w:pPr>
        <w:ind w:left="851" w:right="899"/>
        <w:jc w:val="both"/>
        <w:rPr>
          <w:rFonts w:ascii="Palatino Linotype" w:eastAsia="Palatino Linotype" w:hAnsi="Palatino Linotype" w:cs="Palatino Linotype"/>
        </w:rPr>
      </w:pPr>
    </w:p>
    <w:p w:rsidR="0091514E" w:rsidRPr="00E63AD5" w:rsidRDefault="0091514E" w:rsidP="0091514E">
      <w:pPr>
        <w:ind w:left="851" w:right="899"/>
        <w:jc w:val="both"/>
        <w:rPr>
          <w:rFonts w:ascii="Palatino Linotype" w:eastAsia="Palatino Linotype" w:hAnsi="Palatino Linotype" w:cs="Palatino Linotype"/>
          <w:b/>
          <w:i/>
          <w:sz w:val="22"/>
          <w:szCs w:val="22"/>
        </w:rPr>
      </w:pPr>
      <w:r w:rsidRPr="00E63AD5">
        <w:rPr>
          <w:rFonts w:ascii="Palatino Linotype" w:eastAsia="Palatino Linotype" w:hAnsi="Palatino Linotype" w:cs="Palatino Linotype"/>
          <w:b/>
          <w:sz w:val="22"/>
          <w:szCs w:val="22"/>
        </w:rPr>
        <w:t>“</w:t>
      </w:r>
      <w:r w:rsidRPr="00E63AD5">
        <w:rPr>
          <w:rFonts w:ascii="Palatino Linotype" w:eastAsia="Palatino Linotype" w:hAnsi="Palatino Linotype" w:cs="Palatino Linotype"/>
          <w:b/>
          <w:i/>
          <w:sz w:val="22"/>
          <w:szCs w:val="22"/>
        </w:rPr>
        <w:t>CRITERIO 0002-11</w:t>
      </w:r>
    </w:p>
    <w:p w:rsidR="0091514E" w:rsidRPr="00E63AD5" w:rsidRDefault="0091514E" w:rsidP="0091514E">
      <w:pPr>
        <w:ind w:left="851" w:right="89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63AD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E63AD5">
        <w:rPr>
          <w:rFonts w:ascii="Palatino Linotype" w:eastAsia="Palatino Linotype" w:hAnsi="Palatino Linotype" w:cs="Palatino Linotype"/>
          <w:i/>
          <w:sz w:val="22"/>
          <w:szCs w:val="22"/>
        </w:rPr>
        <w:lastRenderedPageBreak/>
        <w:t>órganos u organismos públicos, en virtud del ejercicio de sus funciones de derecho público, sin importar su fuente, soporte o fecha de elaboración.</w:t>
      </w:r>
    </w:p>
    <w:p w:rsidR="0091514E" w:rsidRPr="00E63AD5" w:rsidRDefault="0091514E" w:rsidP="0091514E">
      <w:pPr>
        <w:ind w:left="851" w:right="89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En consecuencia el acceso a la información se refiere a que se cumplan cualquiera de los siguientes tres supuestos:</w:t>
      </w:r>
    </w:p>
    <w:p w:rsidR="0091514E" w:rsidRPr="00E63AD5" w:rsidRDefault="0091514E" w:rsidP="0091514E">
      <w:pPr>
        <w:ind w:left="851" w:right="89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91514E" w:rsidRPr="00E63AD5" w:rsidRDefault="0091514E" w:rsidP="0091514E">
      <w:pPr>
        <w:ind w:left="851" w:right="899"/>
        <w:jc w:val="both"/>
        <w:rPr>
          <w:rFonts w:ascii="Palatino Linotype" w:eastAsia="Palatino Linotype" w:hAnsi="Palatino Linotype" w:cs="Palatino Linotype"/>
          <w:b/>
          <w:i/>
          <w:sz w:val="22"/>
          <w:szCs w:val="22"/>
        </w:rPr>
      </w:pPr>
      <w:r w:rsidRPr="00E63AD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91514E" w:rsidRPr="00E63AD5" w:rsidRDefault="0091514E" w:rsidP="0091514E">
      <w:pPr>
        <w:ind w:left="851" w:right="899"/>
        <w:jc w:val="both"/>
        <w:rPr>
          <w:rFonts w:ascii="Palatino Linotype" w:eastAsia="Palatino Linotype" w:hAnsi="Palatino Linotype" w:cs="Palatino Linotype"/>
          <w:b/>
          <w:i/>
          <w:sz w:val="22"/>
          <w:szCs w:val="22"/>
        </w:rPr>
      </w:pPr>
      <w:r w:rsidRPr="00E63AD5">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rsidR="0091514E" w:rsidRPr="00E63AD5" w:rsidRDefault="0091514E" w:rsidP="0091514E">
      <w:pPr>
        <w:ind w:right="899"/>
        <w:jc w:val="both"/>
        <w:rPr>
          <w:rFonts w:ascii="Palatino Linotype" w:eastAsia="Palatino Linotype" w:hAnsi="Palatino Linotype" w:cs="Palatino Linotype"/>
          <w:b/>
          <w:i/>
          <w:sz w:val="22"/>
          <w:szCs w:val="22"/>
        </w:rPr>
      </w:pPr>
    </w:p>
    <w:p w:rsidR="004D0F5F" w:rsidRPr="00E63AD5" w:rsidRDefault="009750A5">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Así, del análisis de la solicitud de información motivo del recurso de revisión que ahora se resuelve, se advierte que el particular requirió al Organismo Público Descentralizado para la Prestación de Los Servicios de Agua Potable Alcantarillado y Saneamiento del Municipio de Tlalnepantla de Baz, lo siguiente</w:t>
      </w:r>
      <w:r w:rsidR="00795BE0" w:rsidRPr="00E63AD5">
        <w:rPr>
          <w:rFonts w:ascii="Palatino Linotype" w:eastAsia="Palatino Linotype" w:hAnsi="Palatino Linotype" w:cs="Palatino Linotype"/>
        </w:rPr>
        <w:t xml:space="preserve">: </w:t>
      </w:r>
    </w:p>
    <w:p w:rsidR="004D0F5F" w:rsidRPr="00E63AD5" w:rsidRDefault="009750A5">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sidRPr="00E63AD5">
        <w:rPr>
          <w:rFonts w:ascii="Palatino Linotype" w:eastAsia="Palatino Linotype" w:hAnsi="Palatino Linotype" w:cs="Palatino Linotype"/>
          <w:b/>
          <w:color w:val="000000"/>
        </w:rPr>
        <w:t>Número de cuenta, estados de cuenta, instituciones bancarias, y saldos con los que cuenta su organismo.</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rPr>
        <w:t xml:space="preserve">En respuesta, </w:t>
      </w:r>
      <w:r w:rsidRPr="00E63AD5">
        <w:rPr>
          <w:rFonts w:ascii="Palatino Linotype" w:eastAsia="Palatino Linotype" w:hAnsi="Palatino Linotype" w:cs="Palatino Linotype"/>
          <w:color w:val="000000"/>
        </w:rPr>
        <w:t xml:space="preserve">el Subdirector de Finanzas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entregó el número de cuenta bancaria, la institución bancaria y el saldo, como se observa en la siguiente imagen que se inserta a continuación:</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noProof/>
          <w:lang w:val="es-MX"/>
        </w:rPr>
        <w:lastRenderedPageBreak/>
        <w:drawing>
          <wp:inline distT="0" distB="0" distL="0" distR="0">
            <wp:extent cx="5607050" cy="1549400"/>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2359" t="31785" r="13894" b="44074"/>
                    <a:stretch>
                      <a:fillRect/>
                    </a:stretch>
                  </pic:blipFill>
                  <pic:spPr>
                    <a:xfrm>
                      <a:off x="0" y="0"/>
                      <a:ext cx="5607050" cy="1549400"/>
                    </a:xfrm>
                    <a:prstGeom prst="rect">
                      <a:avLst/>
                    </a:prstGeom>
                    <a:ln/>
                  </pic:spPr>
                </pic:pic>
              </a:graphicData>
            </a:graphic>
          </wp:inline>
        </w:drawing>
      </w:r>
    </w:p>
    <w:p w:rsidR="004D0F5F" w:rsidRPr="00E63AD5" w:rsidRDefault="00ED200D">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b/>
        </w:rPr>
        <w:t xml:space="preserve">Asimismo, </w:t>
      </w:r>
      <w:r w:rsidR="009750A5" w:rsidRPr="00E63AD5">
        <w:rPr>
          <w:rFonts w:ascii="Palatino Linotype" w:eastAsia="Palatino Linotype" w:hAnsi="Palatino Linotype" w:cs="Palatino Linotype"/>
        </w:rPr>
        <w:t xml:space="preserve">el Subdirector </w:t>
      </w:r>
      <w:r w:rsidR="009750A5" w:rsidRPr="00E63AD5">
        <w:rPr>
          <w:rFonts w:ascii="Palatino Linotype" w:eastAsia="Palatino Linotype" w:hAnsi="Palatino Linotype" w:cs="Palatino Linotype"/>
          <w:color w:val="000000"/>
        </w:rPr>
        <w:t xml:space="preserve">de Finanzas del </w:t>
      </w:r>
      <w:r w:rsidR="009750A5" w:rsidRPr="00E63AD5">
        <w:rPr>
          <w:rFonts w:ascii="Palatino Linotype" w:eastAsia="Palatino Linotype" w:hAnsi="Palatino Linotype" w:cs="Palatino Linotype"/>
          <w:b/>
          <w:color w:val="000000"/>
        </w:rPr>
        <w:t xml:space="preserve">SUJETO OBLIGADO, </w:t>
      </w:r>
      <w:r w:rsidR="009750A5" w:rsidRPr="00E63AD5">
        <w:rPr>
          <w:rFonts w:ascii="Palatino Linotype" w:eastAsia="Palatino Linotype" w:hAnsi="Palatino Linotype" w:cs="Palatino Linotype"/>
          <w:color w:val="000000"/>
        </w:rPr>
        <w:t>adjuntó a su respuesta los estados de cuenta correspondientes al mes de septiembre en modo magnético, conforme a lo siguiente:</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22">
        <w:r w:rsidRPr="00E63AD5">
          <w:rPr>
            <w:rFonts w:ascii="Palatino Linotype" w:eastAsia="Palatino Linotype" w:hAnsi="Palatino Linotype" w:cs="Palatino Linotype"/>
            <w:color w:val="000000"/>
          </w:rPr>
          <w:t>CTA 2207 BANORTE.pdf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Banorte,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23">
        <w:r w:rsidRPr="00E63AD5">
          <w:rPr>
            <w:rFonts w:ascii="Palatino Linotype" w:eastAsia="Palatino Linotype" w:hAnsi="Palatino Linotype" w:cs="Palatino Linotype"/>
            <w:color w:val="000000"/>
          </w:rPr>
          <w:t>CTA 8892 AZTECA.pdf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Banco Azteca,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24">
        <w:r w:rsidRPr="00E63AD5">
          <w:rPr>
            <w:rFonts w:ascii="Palatino Linotype" w:eastAsia="Palatino Linotype" w:hAnsi="Palatino Linotype" w:cs="Palatino Linotype"/>
            <w:color w:val="000000"/>
          </w:rPr>
          <w:t>CTA 3056 SANTANDER.pdf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Santander,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lastRenderedPageBreak/>
        <w:t>“</w:t>
      </w:r>
      <w:hyperlink r:id="rId25">
        <w:r w:rsidRPr="00E63AD5">
          <w:rPr>
            <w:rFonts w:ascii="Palatino Linotype" w:eastAsia="Palatino Linotype" w:hAnsi="Palatino Linotype" w:cs="Palatino Linotype"/>
            <w:color w:val="000000"/>
          </w:rPr>
          <w:t>CTA 2783 BBVA.pdf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BBVA,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26">
        <w:r w:rsidRPr="00E63AD5">
          <w:rPr>
            <w:rFonts w:ascii="Palatino Linotype" w:eastAsia="Palatino Linotype" w:hAnsi="Palatino Linotype" w:cs="Palatino Linotype"/>
            <w:color w:val="000000"/>
          </w:rPr>
          <w:t>CTA 9608 BANAMEX.pdf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expedido por la institución bancaria denominada BANAMEX, con fecha de corte al 30 de septiembre del 2022.</w:t>
      </w:r>
    </w:p>
    <w:p w:rsidR="004D0F5F" w:rsidRPr="00E63AD5" w:rsidRDefault="009750A5">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w:t>
      </w:r>
      <w:hyperlink r:id="rId27">
        <w:r w:rsidRPr="00E63AD5">
          <w:rPr>
            <w:rFonts w:ascii="Palatino Linotype" w:eastAsia="Palatino Linotype" w:hAnsi="Palatino Linotype" w:cs="Palatino Linotype"/>
            <w:color w:val="000000"/>
          </w:rPr>
          <w:t>CTA 6258 SCOTIABANK.pdf</w:t>
        </w:r>
      </w:hyperlink>
      <w:r w:rsidRPr="00E63AD5">
        <w:rPr>
          <w:rFonts w:ascii="Palatino Linotype" w:eastAsia="Palatino Linotype" w:hAnsi="Palatino Linotype" w:cs="Palatino Linotype"/>
          <w:color w:val="000000"/>
        </w:rPr>
        <w:t xml:space="preserve">”, el cual contiene el estado de cuenta bancaria a nombre del </w:t>
      </w:r>
      <w:r w:rsidRPr="00E63AD5">
        <w:rPr>
          <w:rFonts w:ascii="Palatino Linotype" w:eastAsia="Palatino Linotype" w:hAnsi="Palatino Linotype" w:cs="Palatino Linotype"/>
          <w:b/>
          <w:color w:val="000000"/>
        </w:rPr>
        <w:t>SUJETO OBLIGADO</w:t>
      </w:r>
      <w:r w:rsidR="006B10ED" w:rsidRPr="00E63AD5">
        <w:rPr>
          <w:rFonts w:ascii="Palatino Linotype" w:eastAsia="Palatino Linotype" w:hAnsi="Palatino Linotype" w:cs="Palatino Linotype"/>
          <w:color w:val="000000"/>
        </w:rPr>
        <w:t xml:space="preserve">, </w:t>
      </w:r>
      <w:r w:rsidRPr="00E63AD5">
        <w:rPr>
          <w:rFonts w:ascii="Palatino Linotype" w:eastAsia="Palatino Linotype" w:hAnsi="Palatino Linotype" w:cs="Palatino Linotype"/>
          <w:color w:val="000000"/>
        </w:rPr>
        <w:t>expedido por la institución bancaria denominada SCOTIABANK, con fecha de corte al 30 de septiembre del 2022.</w:t>
      </w:r>
    </w:p>
    <w:p w:rsidR="00AC1105" w:rsidRPr="00E63AD5" w:rsidRDefault="00ED200D" w:rsidP="00ED200D">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Sin embargo</w:t>
      </w:r>
      <w:r w:rsidR="006B10ED" w:rsidRPr="00E63AD5">
        <w:rPr>
          <w:rFonts w:ascii="Palatino Linotype" w:eastAsia="Palatino Linotype" w:hAnsi="Palatino Linotype" w:cs="Palatino Linotype"/>
          <w:color w:val="000000"/>
        </w:rPr>
        <w:t>,</w:t>
      </w:r>
      <w:r w:rsidRPr="00E63AD5">
        <w:rPr>
          <w:rFonts w:ascii="Palatino Linotype" w:eastAsia="Palatino Linotype" w:hAnsi="Palatino Linotype" w:cs="Palatino Linotype"/>
          <w:color w:val="000000"/>
        </w:rPr>
        <w:t xml:space="preserve"> el particular de sus motivos de inconfo</w:t>
      </w:r>
      <w:r w:rsidR="00AC1105" w:rsidRPr="00E63AD5">
        <w:rPr>
          <w:rFonts w:ascii="Palatino Linotype" w:eastAsia="Palatino Linotype" w:hAnsi="Palatino Linotype" w:cs="Palatino Linotype"/>
          <w:color w:val="000000"/>
        </w:rPr>
        <w:t xml:space="preserve">rmidad se advierte que se quejó por: </w:t>
      </w:r>
    </w:p>
    <w:p w:rsidR="00AC1105" w:rsidRPr="00E63AD5" w:rsidRDefault="00AC1105" w:rsidP="00AC1105">
      <w:pPr>
        <w:pStyle w:val="Prrafodelista"/>
        <w:numPr>
          <w:ilvl w:val="0"/>
          <w:numId w:val="3"/>
        </w:num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 xml:space="preserve">Remiten como cuenta 4 </w:t>
      </w:r>
      <w:r w:rsidR="00B7263E" w:rsidRPr="00E63AD5">
        <w:rPr>
          <w:rFonts w:ascii="Palatino Linotype" w:eastAsia="Palatino Linotype" w:hAnsi="Palatino Linotype" w:cs="Palatino Linotype"/>
          <w:color w:val="000000"/>
        </w:rPr>
        <w:t>dígitos</w:t>
      </w:r>
      <w:r w:rsidRPr="00E63AD5">
        <w:rPr>
          <w:rFonts w:ascii="Palatino Linotype" w:eastAsia="Palatino Linotype" w:hAnsi="Palatino Linotype" w:cs="Palatino Linotype"/>
          <w:color w:val="000000"/>
        </w:rPr>
        <w:t xml:space="preserve"> siendo incompleta la información</w:t>
      </w:r>
      <w:r w:rsidR="005F7CC6" w:rsidRPr="00E63AD5">
        <w:rPr>
          <w:rFonts w:ascii="Palatino Linotype" w:eastAsia="Palatino Linotype" w:hAnsi="Palatino Linotype" w:cs="Palatino Linotype"/>
          <w:color w:val="000000"/>
        </w:rPr>
        <w:t>.</w:t>
      </w:r>
    </w:p>
    <w:p w:rsidR="004A69F9" w:rsidRPr="00E63AD5" w:rsidRDefault="00AC1105" w:rsidP="00AC1105">
      <w:pPr>
        <w:pStyle w:val="Prrafodelista"/>
        <w:numPr>
          <w:ilvl w:val="0"/>
          <w:numId w:val="3"/>
        </w:num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 xml:space="preserve">No remiten cuentas de recursos propios ni de </w:t>
      </w:r>
      <w:r w:rsidR="004A69F9" w:rsidRPr="00E63AD5">
        <w:rPr>
          <w:rFonts w:ascii="Palatino Linotype" w:eastAsia="Palatino Linotype" w:hAnsi="Palatino Linotype" w:cs="Palatino Linotype"/>
          <w:color w:val="000000"/>
        </w:rPr>
        <w:t>recursos federales y estatales</w:t>
      </w:r>
    </w:p>
    <w:p w:rsidR="00AC1105" w:rsidRPr="00E63AD5" w:rsidRDefault="004A69F9" w:rsidP="00AC1105">
      <w:pPr>
        <w:pStyle w:val="Prrafodelista"/>
        <w:numPr>
          <w:ilvl w:val="0"/>
          <w:numId w:val="3"/>
        </w:num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M</w:t>
      </w:r>
      <w:r w:rsidR="00AC1105" w:rsidRPr="00E63AD5">
        <w:rPr>
          <w:rFonts w:ascii="Palatino Linotype" w:eastAsia="Palatino Linotype" w:hAnsi="Palatino Linotype" w:cs="Palatino Linotype"/>
          <w:color w:val="000000"/>
        </w:rPr>
        <w:t>andan estados de cuenta que no dicen nada</w:t>
      </w:r>
    </w:p>
    <w:p w:rsidR="009E2CFF" w:rsidRPr="00E63AD5" w:rsidRDefault="00B7263E" w:rsidP="009E2CFF">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Antes de analizar los motivos de inconformidad antes enlistados, de</w:t>
      </w:r>
      <w:r w:rsidR="009E2CFF" w:rsidRPr="00E63AD5">
        <w:rPr>
          <w:rFonts w:ascii="Palatino Linotype" w:eastAsia="Palatino Linotype" w:hAnsi="Palatino Linotype" w:cs="Palatino Linotype"/>
        </w:rPr>
        <w:t xml:space="preserve"> los </w:t>
      </w:r>
      <w:r w:rsidRPr="00E63AD5">
        <w:rPr>
          <w:rFonts w:ascii="Palatino Linotype" w:eastAsia="Palatino Linotype" w:hAnsi="Palatino Linotype" w:cs="Palatino Linotype"/>
        </w:rPr>
        <w:t xml:space="preserve">mismos </w:t>
      </w:r>
      <w:r w:rsidR="009E2CFF" w:rsidRPr="00E63AD5">
        <w:rPr>
          <w:rFonts w:ascii="Palatino Linotype" w:eastAsia="Palatino Linotype" w:hAnsi="Palatino Linotype" w:cs="Palatino Linotype"/>
        </w:rPr>
        <w:t xml:space="preserve">motivos de inconformidad del </w:t>
      </w:r>
      <w:r w:rsidR="009E2CFF" w:rsidRPr="00E63AD5">
        <w:rPr>
          <w:rFonts w:ascii="Palatino Linotype" w:eastAsia="Palatino Linotype" w:hAnsi="Palatino Linotype" w:cs="Palatino Linotype"/>
          <w:b/>
        </w:rPr>
        <w:t>RECURRENTE</w:t>
      </w:r>
      <w:r w:rsidR="009E2CFF" w:rsidRPr="00E63AD5">
        <w:rPr>
          <w:rFonts w:ascii="Palatino Linotype" w:eastAsia="Palatino Linotype" w:hAnsi="Palatino Linotype" w:cs="Palatino Linotype"/>
        </w:rPr>
        <w:t xml:space="preserve">, se advierte que está conforme los </w:t>
      </w:r>
      <w:r w:rsidR="009E2CFF" w:rsidRPr="00E63AD5">
        <w:rPr>
          <w:rFonts w:ascii="Palatino Linotype" w:eastAsia="Palatino Linotype" w:hAnsi="Palatino Linotype" w:cs="Palatino Linotype"/>
          <w:b/>
        </w:rPr>
        <w:t>saldos e instituciones bancarias</w:t>
      </w:r>
      <w:r w:rsidR="009E2CFF" w:rsidRPr="00E63AD5">
        <w:rPr>
          <w:rFonts w:ascii="Palatino Linotype" w:eastAsia="Palatino Linotype" w:hAnsi="Palatino Linotype" w:cs="Palatino Linotype"/>
        </w:rPr>
        <w:t>, entregado</w:t>
      </w:r>
      <w:r w:rsidR="00C217A1" w:rsidRPr="00E63AD5">
        <w:rPr>
          <w:rFonts w:ascii="Palatino Linotype" w:eastAsia="Palatino Linotype" w:hAnsi="Palatino Linotype" w:cs="Palatino Linotype"/>
        </w:rPr>
        <w:t>s en respuesta</w:t>
      </w:r>
      <w:r w:rsidR="009E2CFF" w:rsidRPr="00E63AD5">
        <w:rPr>
          <w:rFonts w:ascii="Palatino Linotype" w:eastAsia="Palatino Linotype" w:hAnsi="Palatino Linotype" w:cs="Palatino Linotype"/>
        </w:rPr>
        <w:t xml:space="preserve">; por consiguiente, cuando el solicitante no expresa razón o motivo de inconformidad en contra de todos los </w:t>
      </w:r>
      <w:r w:rsidR="009E2CFF" w:rsidRPr="00E63AD5">
        <w:rPr>
          <w:rFonts w:ascii="Palatino Linotype" w:eastAsia="Palatino Linotype" w:hAnsi="Palatino Linotype" w:cs="Palatino Linotype"/>
        </w:rPr>
        <w:lastRenderedPageBreak/>
        <w:t>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9E2CFF" w:rsidRPr="00E63AD5" w:rsidRDefault="009E2CFF" w:rsidP="00B7263E">
      <w:pPr>
        <w:spacing w:before="240" w:after="240"/>
        <w:ind w:left="426" w:right="616"/>
        <w:contextualSpacing/>
        <w:jc w:val="both"/>
        <w:rPr>
          <w:rFonts w:ascii="Palatino Linotype" w:eastAsia="Palatino Linotype" w:hAnsi="Palatino Linotype" w:cs="Palatino Linotype"/>
          <w:sz w:val="22"/>
          <w:szCs w:val="22"/>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REVISIÓN EN AMPARO. LOS RESOLUTIVOS NO COMBATIDOS DEBEN DECLARARSE FIRMES</w:t>
      </w:r>
      <w:r w:rsidRPr="00E63AD5">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B7263E" w:rsidRPr="00E63AD5" w:rsidRDefault="00B7263E" w:rsidP="009E2CFF">
      <w:pPr>
        <w:spacing w:before="240" w:after="240" w:line="360" w:lineRule="auto"/>
        <w:contextualSpacing/>
        <w:jc w:val="both"/>
        <w:rPr>
          <w:rFonts w:ascii="Palatino Linotype" w:eastAsia="Palatino Linotype" w:hAnsi="Palatino Linotype" w:cs="Palatino Linotype"/>
        </w:rPr>
      </w:pPr>
    </w:p>
    <w:p w:rsidR="009E2CFF" w:rsidRPr="00E63AD5" w:rsidRDefault="009E2CFF" w:rsidP="009E2CFF">
      <w:pPr>
        <w:spacing w:before="240" w:after="240" w:line="360" w:lineRule="auto"/>
        <w:contextualSpacing/>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Esto es, la parte de la solicitud sobre la que no se expresó inconformidad, debe declararse consentida por el hoy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r w:rsidR="00B7263E" w:rsidRPr="00E63AD5">
        <w:rPr>
          <w:rFonts w:ascii="Palatino Linotype" w:eastAsia="Palatino Linotype" w:hAnsi="Palatino Linotype" w:cs="Palatino Linotype"/>
        </w:rPr>
        <w:t>, s</w:t>
      </w:r>
      <w:r w:rsidRPr="00E63AD5">
        <w:rPr>
          <w:rFonts w:ascii="Palatino Linotype" w:eastAsia="Palatino Linotype" w:hAnsi="Palatino Linotype" w:cs="Palatino Linotype"/>
        </w:rPr>
        <w:t>irve de sustento a lo anterior, por analogía, la tesis jurisprudencial número VI.3o.C. J/60, publicada en el Semanario Judicial de la Federación y su Gaceta bajo el número de registro 176,608 que a la letra dice:</w:t>
      </w:r>
    </w:p>
    <w:p w:rsidR="00B7263E" w:rsidRPr="00E63AD5" w:rsidRDefault="00B7263E" w:rsidP="009E2CFF">
      <w:pPr>
        <w:spacing w:before="240" w:after="240" w:line="360" w:lineRule="auto"/>
        <w:contextualSpacing/>
        <w:jc w:val="both"/>
        <w:rPr>
          <w:rFonts w:ascii="Palatino Linotype" w:eastAsia="Palatino Linotype" w:hAnsi="Palatino Linotype" w:cs="Palatino Linotype"/>
        </w:rPr>
      </w:pPr>
    </w:p>
    <w:p w:rsidR="009E2CFF" w:rsidRPr="00E63AD5" w:rsidRDefault="009E2CFF" w:rsidP="00B7263E">
      <w:pPr>
        <w:spacing w:before="240" w:after="240"/>
        <w:ind w:left="426" w:right="616"/>
        <w:contextualSpacing/>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 xml:space="preserve">“ACTOS CONSENTIDOS. SON LOS QUE NO SE IMPUGNAN MEDIANTE EL RECURSO IDÓNEO. Debe reputarse como consentido el acto que no se impugnó por el </w:t>
      </w:r>
      <w:r w:rsidRPr="00E63AD5">
        <w:rPr>
          <w:rFonts w:ascii="Palatino Linotype" w:eastAsia="Palatino Linotype" w:hAnsi="Palatino Linotype" w:cs="Palatino Linotype"/>
          <w:i/>
          <w:sz w:val="22"/>
          <w:szCs w:val="22"/>
        </w:rPr>
        <w:lastRenderedPageBreak/>
        <w:t>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B7263E" w:rsidRPr="00E63AD5" w:rsidRDefault="00B7263E" w:rsidP="00B7263E">
      <w:pPr>
        <w:spacing w:before="240" w:after="240"/>
        <w:ind w:left="426" w:right="616"/>
        <w:contextualSpacing/>
        <w:jc w:val="both"/>
        <w:rPr>
          <w:rFonts w:ascii="Palatino Linotype" w:eastAsia="Palatino Linotype" w:hAnsi="Palatino Linotype" w:cs="Palatino Linotype"/>
          <w:i/>
          <w:sz w:val="22"/>
          <w:szCs w:val="22"/>
        </w:rPr>
      </w:pPr>
    </w:p>
    <w:p w:rsidR="004A69F9" w:rsidRPr="00E63AD5" w:rsidRDefault="00ED200D" w:rsidP="00826C24">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Ahora bien, </w:t>
      </w:r>
      <w:r w:rsidR="004A69F9" w:rsidRPr="00E63AD5">
        <w:rPr>
          <w:rFonts w:ascii="Palatino Linotype" w:eastAsia="Palatino Linotype" w:hAnsi="Palatino Linotype" w:cs="Palatino Linotype"/>
        </w:rPr>
        <w:t xml:space="preserve">en cuanto al motivo de inconformidad del </w:t>
      </w:r>
      <w:r w:rsidR="004A69F9" w:rsidRPr="00E63AD5">
        <w:rPr>
          <w:rFonts w:ascii="Palatino Linotype" w:eastAsia="Palatino Linotype" w:hAnsi="Palatino Linotype" w:cs="Palatino Linotype"/>
          <w:b/>
        </w:rPr>
        <w:t>RECURRENTE</w:t>
      </w:r>
      <w:r w:rsidR="004A69F9" w:rsidRPr="00E63AD5">
        <w:rPr>
          <w:rFonts w:ascii="Palatino Linotype" w:eastAsia="Palatino Linotype" w:hAnsi="Palatino Linotype" w:cs="Palatino Linotype"/>
        </w:rPr>
        <w:t xml:space="preserve">, en donde señaló </w:t>
      </w:r>
      <w:r w:rsidR="004A69F9" w:rsidRPr="00E63AD5">
        <w:rPr>
          <w:rFonts w:ascii="Palatino Linotype" w:eastAsia="Palatino Linotype" w:hAnsi="Palatino Linotype" w:cs="Palatino Linotype"/>
          <w:u w:val="single"/>
        </w:rPr>
        <w:t>“…</w:t>
      </w:r>
      <w:r w:rsidR="004A69F9" w:rsidRPr="00E63AD5">
        <w:rPr>
          <w:rFonts w:ascii="Palatino Linotype" w:eastAsia="Palatino Linotype" w:hAnsi="Palatino Linotype" w:cs="Palatino Linotype"/>
          <w:b/>
          <w:u w:val="single"/>
        </w:rPr>
        <w:t>no remiten cuentas de recursos propios ni de recursos federales y estatales…</w:t>
      </w:r>
      <w:r w:rsidR="004A69F9" w:rsidRPr="00E63AD5">
        <w:rPr>
          <w:rFonts w:ascii="Palatino Linotype" w:eastAsia="Palatino Linotype" w:hAnsi="Palatino Linotype" w:cs="Palatino Linotype"/>
        </w:rPr>
        <w:t xml:space="preserve">”(Sic), constituyen nuevos requerimientos de información, configurándose así lo que se conoce como </w:t>
      </w:r>
      <w:r w:rsidR="004A69F9" w:rsidRPr="00E63AD5">
        <w:rPr>
          <w:rFonts w:ascii="Palatino Linotype" w:eastAsia="Palatino Linotype" w:hAnsi="Palatino Linotype" w:cs="Palatino Linotype"/>
          <w:i/>
        </w:rPr>
        <w:t xml:space="preserve">plus </w:t>
      </w:r>
      <w:proofErr w:type="spellStart"/>
      <w:r w:rsidR="004A69F9" w:rsidRPr="00E63AD5">
        <w:rPr>
          <w:rFonts w:ascii="Palatino Linotype" w:eastAsia="Palatino Linotype" w:hAnsi="Palatino Linotype" w:cs="Palatino Linotype"/>
          <w:i/>
        </w:rPr>
        <w:t>petitio</w:t>
      </w:r>
      <w:proofErr w:type="spellEnd"/>
      <w:r w:rsidR="004A69F9" w:rsidRPr="00E63AD5">
        <w:rPr>
          <w:rFonts w:ascii="Palatino Linotype" w:eastAsia="Palatino Linotype" w:hAnsi="Palatino Linotype" w:cs="Palatino Linotype"/>
          <w:b/>
          <w:i/>
        </w:rPr>
        <w:t xml:space="preserve">, </w:t>
      </w:r>
      <w:r w:rsidR="004A69F9" w:rsidRPr="00E63AD5">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004A69F9" w:rsidRPr="00E63AD5">
        <w:rPr>
          <w:rFonts w:ascii="Palatino Linotype" w:eastAsia="Palatino Linotype" w:hAnsi="Palatino Linotype" w:cs="Palatino Linotype"/>
          <w:b/>
        </w:rPr>
        <w:t>RECURRENTE</w:t>
      </w:r>
      <w:r w:rsidR="004A69F9" w:rsidRPr="00E63AD5">
        <w:rPr>
          <w:rFonts w:ascii="Palatino Linotype" w:eastAsia="Palatino Linotype" w:hAnsi="Palatino Linotype" w:cs="Palatino Linotype"/>
        </w:rPr>
        <w:t xml:space="preserve"> amplíe su solicitud en el Recurso de Revisión, </w:t>
      </w:r>
      <w:r w:rsidR="004A69F9" w:rsidRPr="00E63AD5">
        <w:rPr>
          <w:rFonts w:ascii="Palatino Linotype" w:eastAsia="Palatino Linotype" w:hAnsi="Palatino Linotype" w:cs="Palatino Linotype"/>
          <w:b/>
          <w:u w:val="single"/>
        </w:rPr>
        <w:t xml:space="preserve">únicamente respecto de los nuevos contenidos; </w:t>
      </w:r>
      <w:r w:rsidR="004A69F9" w:rsidRPr="00E63AD5">
        <w:rPr>
          <w:rFonts w:ascii="Palatino Linotype" w:eastAsia="Palatino Linotype" w:hAnsi="Palatino Linotype" w:cs="Palatino Linotype"/>
        </w:rPr>
        <w:t xml:space="preserve">cuestión que tuvo lugar en el presente caso, pues la parte </w:t>
      </w:r>
      <w:r w:rsidR="004A69F9" w:rsidRPr="00E63AD5">
        <w:rPr>
          <w:rFonts w:ascii="Palatino Linotype" w:eastAsia="Palatino Linotype" w:hAnsi="Palatino Linotype" w:cs="Palatino Linotype"/>
          <w:b/>
        </w:rPr>
        <w:t>RECURRENTE</w:t>
      </w:r>
      <w:r w:rsidR="004A69F9" w:rsidRPr="00E63AD5">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rsidR="004A69F9" w:rsidRPr="00E63AD5" w:rsidRDefault="004A69F9" w:rsidP="004A69F9">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En este tenor, es posible determinar que para el caso que nos ocupa, los argumentos formulados como motivos o razones de inconformidad referidos, son una ampliación a la solicitud inicial y corresponden a nuevos requerimientos de información, que no se encuentran relacionados con lo solicitado en un primer momento; por lo que se actualiza el supuesto de improcedencia previsto en el </w:t>
      </w:r>
      <w:r w:rsidRPr="00E63AD5">
        <w:rPr>
          <w:rFonts w:ascii="Palatino Linotype" w:eastAsia="Palatino Linotype" w:hAnsi="Palatino Linotype" w:cs="Palatino Linotype"/>
        </w:rPr>
        <w:lastRenderedPageBreak/>
        <w:t>artículo 191 fracción VII de la Ley de Transparencia y Acceso a la Información Pública del Estado de México y Municipios; que prevé que son improcedentes los Recursos de Revisión en los que se plantean ampliaciones a las solicitudes iniciales.</w:t>
      </w:r>
    </w:p>
    <w:p w:rsidR="004A69F9" w:rsidRPr="00E63AD5" w:rsidRDefault="004A69F9" w:rsidP="004A69F9">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En este orden de ideas, una vez formulada su solicitud inicial,</w:t>
      </w:r>
      <w:r w:rsidRPr="00E63AD5">
        <w:rPr>
          <w:rFonts w:ascii="Palatino Linotype" w:eastAsia="Palatino Linotype" w:hAnsi="Palatino Linotype" w:cs="Palatino Linotype"/>
          <w:i/>
        </w:rPr>
        <w:t xml:space="preserve"> </w:t>
      </w:r>
      <w:r w:rsidRPr="00E63AD5">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4A69F9" w:rsidRPr="00E63AD5" w:rsidRDefault="004A69F9" w:rsidP="004A69F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rsidR="004A69F9" w:rsidRPr="00E63AD5" w:rsidRDefault="004A69F9" w:rsidP="004A69F9">
      <w:pPr>
        <w:spacing w:before="240" w:after="240"/>
        <w:ind w:left="851" w:right="900"/>
        <w:jc w:val="both"/>
        <w:rPr>
          <w:rFonts w:ascii="Palatino Linotype" w:eastAsia="Palatino Linotype" w:hAnsi="Palatino Linotype" w:cs="Palatino Linotype"/>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E63AD5">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E63AD5">
        <w:rPr>
          <w:rFonts w:ascii="Palatino Linotype" w:eastAsia="Palatino Linotype" w:hAnsi="Palatino Linotype" w:cs="Palatino Linotype"/>
          <w:b/>
          <w:i/>
          <w:sz w:val="22"/>
          <w:szCs w:val="22"/>
        </w:rPr>
        <w:t>.</w:t>
      </w:r>
      <w:r w:rsidRPr="00E63AD5">
        <w:rPr>
          <w:rFonts w:ascii="Palatino Linotype" w:eastAsia="Palatino Linotype" w:hAnsi="Palatino Linotype" w:cs="Palatino Linotype"/>
          <w:i/>
          <w:sz w:val="22"/>
          <w:szCs w:val="22"/>
        </w:rPr>
        <w:t>”</w:t>
      </w:r>
      <w:r w:rsidR="00B7263E" w:rsidRPr="00E63AD5">
        <w:rPr>
          <w:rFonts w:ascii="Palatino Linotype" w:eastAsia="Palatino Linotype" w:hAnsi="Palatino Linotype" w:cs="Palatino Linotype"/>
          <w:i/>
          <w:sz w:val="22"/>
          <w:szCs w:val="22"/>
        </w:rPr>
        <w:t>(Sic)</w:t>
      </w:r>
    </w:p>
    <w:p w:rsidR="006B10ED" w:rsidRPr="00E63AD5" w:rsidRDefault="006B10ED" w:rsidP="00B7263E">
      <w:pPr>
        <w:spacing w:before="240" w:line="360" w:lineRule="auto"/>
        <w:ind w:right="49"/>
        <w:jc w:val="both"/>
        <w:rPr>
          <w:rFonts w:ascii="Palatino Linotype" w:eastAsia="Palatino Linotype" w:hAnsi="Palatino Linotype" w:cs="Palatino Linotype"/>
        </w:rPr>
      </w:pPr>
    </w:p>
    <w:p w:rsidR="006B10ED" w:rsidRPr="00E63AD5" w:rsidRDefault="006B10ED" w:rsidP="006B10ED">
      <w:pPr>
        <w:spacing w:before="240" w:line="360" w:lineRule="auto"/>
        <w:ind w:right="49"/>
        <w:jc w:val="both"/>
        <w:rPr>
          <w:rFonts w:ascii="Palatino Linotype" w:eastAsia="Palatino Linotype" w:hAnsi="Palatino Linotype" w:cs="Palatino Linotype"/>
          <w:b/>
        </w:rPr>
      </w:pPr>
      <w:r w:rsidRPr="00E63AD5">
        <w:rPr>
          <w:rFonts w:ascii="Palatino Linotype" w:eastAsia="Palatino Linotype" w:hAnsi="Palatino Linotype" w:cs="Palatino Linotype"/>
        </w:rPr>
        <w:lastRenderedPageBreak/>
        <w:t>Respecto al motivo de inconformidad relativo a</w:t>
      </w:r>
      <w:r w:rsidRPr="00E63AD5">
        <w:rPr>
          <w:rFonts w:ascii="Palatino Linotype" w:eastAsia="Palatino Linotype" w:hAnsi="Palatino Linotype" w:cs="Palatino Linotype"/>
          <w:color w:val="FF0000"/>
        </w:rPr>
        <w:t xml:space="preserve"> </w:t>
      </w:r>
      <w:r w:rsidRPr="00E63AD5">
        <w:rPr>
          <w:rFonts w:ascii="Palatino Linotype" w:eastAsia="Palatino Linotype" w:hAnsi="Palatino Linotype" w:cs="Palatino Linotype"/>
        </w:rPr>
        <w:t xml:space="preserve">que sólo </w:t>
      </w:r>
      <w:r w:rsidRPr="00E63AD5">
        <w:rPr>
          <w:rFonts w:ascii="Palatino Linotype" w:eastAsia="Palatino Linotype" w:hAnsi="Palatino Linotype" w:cs="Palatino Linotype"/>
          <w:b/>
        </w:rPr>
        <w:t>remiten como cuenta 4 dígitos siendo incompleta la información.</w:t>
      </w:r>
    </w:p>
    <w:p w:rsidR="006B10ED" w:rsidRPr="00E63AD5" w:rsidRDefault="006B10ED" w:rsidP="006B10ED">
      <w:pPr>
        <w:spacing w:before="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rPr>
        <w:t xml:space="preserve">En respuesta, </w:t>
      </w:r>
      <w:r w:rsidRPr="00E63AD5">
        <w:rPr>
          <w:rFonts w:ascii="Palatino Linotype" w:eastAsia="Palatino Linotype" w:hAnsi="Palatino Linotype" w:cs="Palatino Linotype"/>
          <w:color w:val="000000"/>
        </w:rPr>
        <w:t xml:space="preserve">el Subdirector de Finanzas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en efecto entregó el número de cuenta bancaria, integrada por 4 dígitos, como se observa en la siguiente imagen que se inserta a continuación:</w:t>
      </w:r>
    </w:p>
    <w:p w:rsidR="006B10ED" w:rsidRPr="00E63AD5" w:rsidRDefault="006B10ED" w:rsidP="006B10ED">
      <w:pPr>
        <w:spacing w:before="240" w:line="360" w:lineRule="auto"/>
        <w:ind w:right="49"/>
        <w:jc w:val="both"/>
        <w:rPr>
          <w:rFonts w:ascii="Palatino Linotype" w:eastAsia="Palatino Linotype" w:hAnsi="Palatino Linotype" w:cs="Palatino Linotype"/>
          <w:color w:val="000000"/>
        </w:rPr>
      </w:pPr>
      <w:r w:rsidRPr="00E63AD5">
        <w:rPr>
          <w:noProof/>
          <w:lang w:val="es-MX"/>
        </w:rPr>
        <w:drawing>
          <wp:inline distT="0" distB="0" distL="0" distR="0" wp14:anchorId="458985EA" wp14:editId="47E32B70">
            <wp:extent cx="5607050" cy="1549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32359" t="31785" r="13894" b="44074"/>
                    <a:stretch>
                      <a:fillRect/>
                    </a:stretch>
                  </pic:blipFill>
                  <pic:spPr>
                    <a:xfrm>
                      <a:off x="0" y="0"/>
                      <a:ext cx="5607050" cy="1549400"/>
                    </a:xfrm>
                    <a:prstGeom prst="rect">
                      <a:avLst/>
                    </a:prstGeom>
                    <a:ln/>
                  </pic:spPr>
                </pic:pic>
              </a:graphicData>
            </a:graphic>
          </wp:inline>
        </w:drawing>
      </w:r>
    </w:p>
    <w:p w:rsidR="006B10ED" w:rsidRPr="00E63AD5" w:rsidRDefault="006B10ED" w:rsidP="006B10ED">
      <w:pPr>
        <w:spacing w:before="240" w:after="240" w:line="360" w:lineRule="auto"/>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color w:val="000000"/>
        </w:rPr>
        <w:t xml:space="preserve">No obstante, mediante informe justificado el Subdirector de Finanzas del </w:t>
      </w:r>
      <w:r w:rsidRPr="00E63AD5">
        <w:rPr>
          <w:rFonts w:ascii="Palatino Linotype" w:eastAsia="Palatino Linotype" w:hAnsi="Palatino Linotype" w:cs="Palatino Linotype"/>
          <w:b/>
          <w:color w:val="000000"/>
        </w:rPr>
        <w:t>SUJETO OBLIGADO</w:t>
      </w:r>
      <w:r w:rsidRPr="00E63AD5">
        <w:rPr>
          <w:rFonts w:ascii="Palatino Linotype" w:eastAsia="Palatino Linotype" w:hAnsi="Palatino Linotype" w:cs="Palatino Linotype"/>
          <w:color w:val="000000"/>
        </w:rPr>
        <w:t>, entregó el número de cuenta bancaria a diez dígitos, como se advierte a continuación:</w:t>
      </w:r>
    </w:p>
    <w:p w:rsidR="006B10ED" w:rsidRPr="00E63AD5" w:rsidRDefault="006B10ED" w:rsidP="006B10ED">
      <w:pPr>
        <w:spacing w:line="360" w:lineRule="auto"/>
        <w:jc w:val="both"/>
        <w:rPr>
          <w:rFonts w:ascii="Palatino Linotype" w:eastAsia="Palatino Linotype" w:hAnsi="Palatino Linotype" w:cs="Palatino Linotype"/>
        </w:rPr>
      </w:pPr>
      <w:r w:rsidRPr="00E63AD5">
        <w:rPr>
          <w:noProof/>
          <w:lang w:val="es-MX"/>
        </w:rPr>
        <w:drawing>
          <wp:inline distT="0" distB="0" distL="0" distR="0" wp14:anchorId="710641D3" wp14:editId="18182933">
            <wp:extent cx="5753100" cy="147955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41412" t="40836" r="24642" b="37840"/>
                    <a:stretch>
                      <a:fillRect/>
                    </a:stretch>
                  </pic:blipFill>
                  <pic:spPr>
                    <a:xfrm>
                      <a:off x="0" y="0"/>
                      <a:ext cx="5753100" cy="1479550"/>
                    </a:xfrm>
                    <a:prstGeom prst="rect">
                      <a:avLst/>
                    </a:prstGeom>
                    <a:ln/>
                  </pic:spPr>
                </pic:pic>
              </a:graphicData>
            </a:graphic>
          </wp:inline>
        </w:drawing>
      </w:r>
    </w:p>
    <w:p w:rsidR="006B10ED" w:rsidRPr="00E63AD5" w:rsidRDefault="006B10ED" w:rsidP="006B10ED">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 xml:space="preserve">Colmando con ello el derecho de acceso a la información pública del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 xml:space="preserve">, por corresponder con la información solicitada; en razón de que el área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que proporcionó la información, fue la Subdirector </w:t>
      </w:r>
      <w:r w:rsidRPr="00E63AD5">
        <w:rPr>
          <w:rFonts w:ascii="Palatino Linotype" w:eastAsia="Palatino Linotype" w:hAnsi="Palatino Linotype" w:cs="Palatino Linotype"/>
          <w:color w:val="000000"/>
        </w:rPr>
        <w:t>de Finanzas</w:t>
      </w:r>
      <w:r w:rsidRPr="00E63AD5">
        <w:rPr>
          <w:rFonts w:ascii="Palatino Linotype" w:eastAsia="Palatino Linotype" w:hAnsi="Palatino Linotype" w:cs="Palatino Linotype"/>
        </w:rPr>
        <w:t xml:space="preserve">, que en términos de lo señalado por el artículo 47 del Reglamento Interno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que señala:</w:t>
      </w:r>
    </w:p>
    <w:p w:rsidR="006B10ED" w:rsidRPr="00E63AD5" w:rsidRDefault="006B10ED" w:rsidP="006B10ED">
      <w:pPr>
        <w:spacing w:after="120" w:line="360" w:lineRule="auto"/>
        <w:jc w:val="both"/>
        <w:rPr>
          <w:rFonts w:ascii="Palatino Linotype" w:eastAsia="Palatino Linotype" w:hAnsi="Palatino Linotype" w:cs="Palatino Linotype"/>
        </w:rPr>
      </w:pPr>
      <w:r w:rsidRPr="00E63AD5">
        <w:rPr>
          <w:noProof/>
          <w:lang w:val="es-MX"/>
        </w:rPr>
        <w:drawing>
          <wp:inline distT="0" distB="0" distL="0" distR="0" wp14:anchorId="0151D8E3" wp14:editId="3BFA29CC">
            <wp:extent cx="5715717" cy="3538552"/>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l="33333" t="26146" r="17151" b="20978"/>
                    <a:stretch>
                      <a:fillRect/>
                    </a:stretch>
                  </pic:blipFill>
                  <pic:spPr>
                    <a:xfrm>
                      <a:off x="0" y="0"/>
                      <a:ext cx="5715717" cy="3538552"/>
                    </a:xfrm>
                    <a:prstGeom prst="rect">
                      <a:avLst/>
                    </a:prstGeom>
                    <a:ln/>
                  </pic:spPr>
                </pic:pic>
              </a:graphicData>
            </a:graphic>
          </wp:inline>
        </w:drawing>
      </w:r>
      <w:r w:rsidRPr="00E63AD5">
        <w:rPr>
          <w:rFonts w:ascii="Palatino Linotype" w:eastAsia="Palatino Linotype" w:hAnsi="Palatino Linotype" w:cs="Palatino Linotype"/>
        </w:rPr>
        <w:t xml:space="preserve"> </w:t>
      </w:r>
    </w:p>
    <w:p w:rsidR="006B10ED" w:rsidRPr="00E63AD5" w:rsidRDefault="006B10ED" w:rsidP="006B10ED">
      <w:pPr>
        <w:spacing w:after="12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Siendo el área competente para conocer de la solicitud, ya que la información solicitada por el particular en efecto corresponde a información, generada, poseída o administrada por el área que proporcionó respuesta.</w:t>
      </w:r>
    </w:p>
    <w:p w:rsidR="006B10ED" w:rsidRPr="00E63AD5" w:rsidRDefault="006B10ED" w:rsidP="006B10ED">
      <w:pPr>
        <w:spacing w:after="12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En este sentido, toda vez que el área competente dio respuesta a la solicitud de información,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6B10ED" w:rsidRPr="00E63AD5" w:rsidRDefault="006B10ED" w:rsidP="006B10ED">
      <w:pPr>
        <w:spacing w:before="120" w:after="120"/>
        <w:ind w:left="851" w:right="85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E63AD5">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6B10ED" w:rsidRPr="00E63AD5" w:rsidRDefault="006B10ED" w:rsidP="006B10ED">
      <w:pPr>
        <w:spacing w:line="360" w:lineRule="auto"/>
        <w:jc w:val="both"/>
        <w:rPr>
          <w:rFonts w:ascii="Palatino Linotype" w:eastAsia="Palatino Linotype" w:hAnsi="Palatino Linotype" w:cs="Palatino Linotype"/>
        </w:rPr>
      </w:pPr>
    </w:p>
    <w:p w:rsidR="006B10ED" w:rsidRPr="00E63AD5" w:rsidRDefault="006B10ED" w:rsidP="006B10ED">
      <w:pPr>
        <w:spacing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De lo anterior, este Organismo </w:t>
      </w:r>
      <w:proofErr w:type="spellStart"/>
      <w:r w:rsidRPr="00E63AD5">
        <w:rPr>
          <w:rFonts w:ascii="Palatino Linotype" w:eastAsia="Palatino Linotype" w:hAnsi="Palatino Linotype" w:cs="Palatino Linotype"/>
        </w:rPr>
        <w:t>Resolutor</w:t>
      </w:r>
      <w:proofErr w:type="spellEnd"/>
      <w:r w:rsidRPr="00E63AD5">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w:t>
      </w:r>
      <w:r w:rsidRPr="00E63AD5">
        <w:rPr>
          <w:rFonts w:ascii="Palatino Linotype" w:eastAsia="Palatino Linotype" w:hAnsi="Palatino Linotype" w:cs="Palatino Linotype"/>
        </w:rPr>
        <w:lastRenderedPageBreak/>
        <w:t>de México y Municipios garantizando los principios de imparcialidad y legalidad en el procedimiento de impugnación y resolución del recurso planteado.</w:t>
      </w:r>
    </w:p>
    <w:p w:rsidR="005F7CC6" w:rsidRPr="00E63AD5" w:rsidRDefault="006D180F" w:rsidP="00B7263E">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t>Finalmente</w:t>
      </w:r>
      <w:r w:rsidR="00B7263E" w:rsidRPr="00E63AD5">
        <w:rPr>
          <w:rFonts w:ascii="Palatino Linotype" w:eastAsia="Palatino Linotype" w:hAnsi="Palatino Linotype" w:cs="Palatino Linotype"/>
        </w:rPr>
        <w:t xml:space="preserve">, </w:t>
      </w:r>
      <w:r w:rsidR="00826C24" w:rsidRPr="00E63AD5">
        <w:rPr>
          <w:rFonts w:ascii="Palatino Linotype" w:eastAsia="Palatino Linotype" w:hAnsi="Palatino Linotype" w:cs="Palatino Linotype"/>
          <w:color w:val="000000"/>
        </w:rPr>
        <w:t xml:space="preserve">respecto al punto de la inconformidad relativo a </w:t>
      </w:r>
      <w:r w:rsidR="009E2CFF" w:rsidRPr="00E63AD5">
        <w:rPr>
          <w:rFonts w:ascii="Palatino Linotype" w:eastAsia="Palatino Linotype" w:hAnsi="Palatino Linotype" w:cs="Palatino Linotype"/>
          <w:color w:val="000000"/>
        </w:rPr>
        <w:t>“</w:t>
      </w:r>
      <w:r w:rsidR="009E57DE" w:rsidRPr="00E63AD5">
        <w:rPr>
          <w:rFonts w:ascii="Palatino Linotype" w:eastAsia="Palatino Linotype" w:hAnsi="Palatino Linotype" w:cs="Palatino Linotype"/>
          <w:b/>
          <w:color w:val="000000"/>
          <w:u w:val="single"/>
        </w:rPr>
        <w:t>Mandan estados de cuenta que no dicen nada</w:t>
      </w:r>
      <w:r w:rsidR="009E2CFF" w:rsidRPr="00E63AD5">
        <w:rPr>
          <w:rFonts w:ascii="Palatino Linotype" w:eastAsia="Palatino Linotype" w:hAnsi="Palatino Linotype" w:cs="Palatino Linotype"/>
          <w:b/>
          <w:color w:val="000000"/>
          <w:u w:val="single"/>
        </w:rPr>
        <w:t>”</w:t>
      </w:r>
      <w:r w:rsidR="00B7263E" w:rsidRPr="00E63AD5">
        <w:rPr>
          <w:rFonts w:ascii="Palatino Linotype" w:eastAsia="Palatino Linotype" w:hAnsi="Palatino Linotype" w:cs="Palatino Linotype"/>
          <w:color w:val="000000"/>
        </w:rPr>
        <w:t>, es importante recordar que</w:t>
      </w:r>
      <w:r w:rsidR="00B7263E" w:rsidRPr="00E63AD5">
        <w:rPr>
          <w:rFonts w:ascii="Palatino Linotype" w:eastAsia="Palatino Linotype" w:hAnsi="Palatino Linotype" w:cs="Palatino Linotype"/>
        </w:rPr>
        <w:t xml:space="preserve"> el </w:t>
      </w:r>
      <w:r w:rsidR="00B7263E" w:rsidRPr="00E63AD5">
        <w:rPr>
          <w:rFonts w:ascii="Palatino Linotype" w:eastAsia="Palatino Linotype" w:hAnsi="Palatino Linotype" w:cs="Palatino Linotype"/>
          <w:b/>
        </w:rPr>
        <w:t>SUJETO OBLIGADO</w:t>
      </w:r>
      <w:r w:rsidR="00B7263E" w:rsidRPr="00E63AD5">
        <w:rPr>
          <w:rFonts w:ascii="Palatino Linotype" w:eastAsia="Palatino Linotype" w:hAnsi="Palatino Linotype" w:cs="Palatino Linotype"/>
        </w:rPr>
        <w:t xml:space="preserve">, en respuesta, entregó a través de su Subdirector de Finanzas del </w:t>
      </w:r>
      <w:r w:rsidR="00B7263E" w:rsidRPr="00E63AD5">
        <w:rPr>
          <w:rFonts w:ascii="Palatino Linotype" w:eastAsia="Palatino Linotype" w:hAnsi="Palatino Linotype" w:cs="Palatino Linotype"/>
          <w:b/>
        </w:rPr>
        <w:t>SUJETO OBLIGADO</w:t>
      </w:r>
      <w:r w:rsidR="00B7263E" w:rsidRPr="00E63AD5">
        <w:rPr>
          <w:rFonts w:ascii="Palatino Linotype" w:eastAsia="Palatino Linotype" w:hAnsi="Palatino Linotype" w:cs="Palatino Linotype"/>
        </w:rPr>
        <w:t>, los estados de cuenta correspondientes al mes de septiembre del año 2022, con las instituciones bancarias denominadas Banorte, Banco Azteca, Santander, BBVA, BANAMEX y SCO</w:t>
      </w:r>
      <w:r w:rsidR="005F7CC6" w:rsidRPr="00E63AD5">
        <w:rPr>
          <w:rFonts w:ascii="Palatino Linotype" w:eastAsia="Palatino Linotype" w:hAnsi="Palatino Linotype" w:cs="Palatino Linotype"/>
        </w:rPr>
        <w:t xml:space="preserve">TIABANK, dentro de los cuales podemos observar, </w:t>
      </w:r>
      <w:r w:rsidRPr="00E63AD5">
        <w:rPr>
          <w:rFonts w:ascii="Palatino Linotype" w:eastAsia="Palatino Linotype" w:hAnsi="Palatino Linotype" w:cs="Palatino Linotype"/>
        </w:rPr>
        <w:t xml:space="preserve">que los mismos son incompletos, </w:t>
      </w:r>
      <w:r w:rsidR="005F7CC6" w:rsidRPr="00E63AD5">
        <w:rPr>
          <w:rFonts w:ascii="Palatino Linotype" w:eastAsia="Palatino Linotype" w:hAnsi="Palatino Linotype" w:cs="Palatino Linotype"/>
        </w:rPr>
        <w:t xml:space="preserve">por ejemplo en el Estado de Cuenta de </w:t>
      </w:r>
      <w:r w:rsidRPr="00E63AD5">
        <w:rPr>
          <w:rFonts w:ascii="Palatino Linotype" w:eastAsia="Palatino Linotype" w:hAnsi="Palatino Linotype" w:cs="Palatino Linotype"/>
        </w:rPr>
        <w:t>la Institución Bancaria Banorte</w:t>
      </w:r>
      <w:r w:rsidR="005F7CC6" w:rsidRPr="00E63AD5">
        <w:rPr>
          <w:rFonts w:ascii="Palatino Linotype" w:eastAsia="Palatino Linotype" w:hAnsi="Palatino Linotype" w:cs="Palatino Linotype"/>
        </w:rPr>
        <w:t>:</w:t>
      </w:r>
    </w:p>
    <w:p w:rsidR="006D180F" w:rsidRPr="00E63AD5" w:rsidRDefault="006D180F" w:rsidP="00B7263E">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12395</wp:posOffset>
                </wp:positionH>
                <wp:positionV relativeFrom="paragraph">
                  <wp:posOffset>78508</wp:posOffset>
                </wp:positionV>
                <wp:extent cx="5551714" cy="3366655"/>
                <wp:effectExtent l="38100" t="19050" r="68580" b="81915"/>
                <wp:wrapNone/>
                <wp:docPr id="5" name="Conector recto 5"/>
                <wp:cNvGraphicFramePr/>
                <a:graphic xmlns:a="http://schemas.openxmlformats.org/drawingml/2006/main">
                  <a:graphicData uri="http://schemas.microsoft.com/office/word/2010/wordprocessingShape">
                    <wps:wsp>
                      <wps:cNvCnPr/>
                      <wps:spPr>
                        <a:xfrm>
                          <a:off x="0" y="0"/>
                          <a:ext cx="5551714" cy="33666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31CE53"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6.2pt" to="438.15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" strokecolor="black [3200]" strokeweight="2pt">
                <v:shadow on="t" color="black" opacity="24903f" origin=",.5" offset="0,.55556mm"/>
              </v:line>
            </w:pict>
          </mc:Fallback>
        </mc:AlternateContent>
      </w:r>
    </w:p>
    <w:p w:rsidR="006D180F" w:rsidRPr="00E63AD5" w:rsidRDefault="006D180F" w:rsidP="00B7263E">
      <w:pPr>
        <w:spacing w:before="240" w:line="360" w:lineRule="auto"/>
        <w:ind w:right="49"/>
        <w:jc w:val="both"/>
        <w:rPr>
          <w:noProof/>
          <w:lang w:val="es-MX"/>
        </w:rPr>
      </w:pPr>
    </w:p>
    <w:p w:rsidR="006D180F" w:rsidRPr="00E63AD5" w:rsidRDefault="006D180F" w:rsidP="00B7263E">
      <w:pPr>
        <w:spacing w:before="240" w:line="360" w:lineRule="auto"/>
        <w:ind w:right="49"/>
        <w:jc w:val="both"/>
        <w:rPr>
          <w:rFonts w:ascii="Palatino Linotype" w:eastAsia="Palatino Linotype" w:hAnsi="Palatino Linotype" w:cs="Palatino Linotype"/>
        </w:rPr>
      </w:pPr>
      <w:r w:rsidRPr="00E63AD5">
        <w:rPr>
          <w:noProof/>
          <w:lang w:val="es-MX"/>
        </w:rPr>
        <w:lastRenderedPageBreak/>
        <mc:AlternateContent>
          <mc:Choice Requires="wps">
            <w:drawing>
              <wp:anchor distT="0" distB="0" distL="114300" distR="114300" simplePos="0" relativeHeight="251660288" behindDoc="0" locked="0" layoutInCell="1" allowOverlap="1">
                <wp:simplePos x="0" y="0"/>
                <wp:positionH relativeFrom="column">
                  <wp:posOffset>5379720</wp:posOffset>
                </wp:positionH>
                <wp:positionV relativeFrom="paragraph">
                  <wp:posOffset>5885650</wp:posOffset>
                </wp:positionV>
                <wp:extent cx="249381" cy="284637"/>
                <wp:effectExtent l="57150" t="19050" r="0" b="96520"/>
                <wp:wrapNone/>
                <wp:docPr id="6" name="Flecha izquierda 6"/>
                <wp:cNvGraphicFramePr/>
                <a:graphic xmlns:a="http://schemas.openxmlformats.org/drawingml/2006/main">
                  <a:graphicData uri="http://schemas.microsoft.com/office/word/2010/wordprocessingShape">
                    <wps:wsp>
                      <wps:cNvSpPr/>
                      <wps:spPr>
                        <a:xfrm>
                          <a:off x="0" y="0"/>
                          <a:ext cx="249381" cy="28463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F385D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6" o:spid="_x0000_s1026" type="#_x0000_t66" style="position:absolute;margin-left:423.6pt;margin-top:463.45pt;width:19.65pt;height:22.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E63AD5">
        <w:rPr>
          <w:noProof/>
          <w:lang w:val="es-MX"/>
        </w:rPr>
        <w:drawing>
          <wp:inline distT="0" distB="0" distL="0" distR="0" wp14:anchorId="45DA142B" wp14:editId="242A3CE8">
            <wp:extent cx="5438140" cy="625829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3181" t="15048" r="28568" b="13045"/>
                    <a:stretch/>
                  </pic:blipFill>
                  <pic:spPr bwMode="auto">
                    <a:xfrm>
                      <a:off x="0" y="0"/>
                      <a:ext cx="5454223" cy="6276805"/>
                    </a:xfrm>
                    <a:prstGeom prst="rect">
                      <a:avLst/>
                    </a:prstGeom>
                    <a:ln>
                      <a:noFill/>
                    </a:ln>
                    <a:extLst>
                      <a:ext uri="{53640926-AAD7-44D8-BBD7-CCE9431645EC}">
                        <a14:shadowObscured xmlns:a14="http://schemas.microsoft.com/office/drawing/2010/main"/>
                      </a:ext>
                    </a:extLst>
                  </pic:spPr>
                </pic:pic>
              </a:graphicData>
            </a:graphic>
          </wp:inline>
        </w:drawing>
      </w:r>
    </w:p>
    <w:p w:rsidR="005F7CC6" w:rsidRPr="00E63AD5" w:rsidRDefault="006D180F" w:rsidP="00B7263E">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Se adv</w:t>
      </w:r>
      <w:r w:rsidR="0011188F" w:rsidRPr="00E63AD5">
        <w:rPr>
          <w:rFonts w:ascii="Palatino Linotype" w:eastAsia="Palatino Linotype" w:hAnsi="Palatino Linotype" w:cs="Palatino Linotype"/>
        </w:rPr>
        <w:t>ierte que se integra de cuatro h</w:t>
      </w:r>
      <w:r w:rsidRPr="00E63AD5">
        <w:rPr>
          <w:rFonts w:ascii="Palatino Linotype" w:eastAsia="Palatino Linotype" w:hAnsi="Palatino Linotype" w:cs="Palatino Linotype"/>
        </w:rPr>
        <w:t xml:space="preserve">ojas y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sólo remitió </w:t>
      </w:r>
      <w:r w:rsidR="009E5EA8" w:rsidRPr="00E63AD5">
        <w:rPr>
          <w:rFonts w:ascii="Palatino Linotype" w:eastAsia="Palatino Linotype" w:hAnsi="Palatino Linotype" w:cs="Palatino Linotype"/>
        </w:rPr>
        <w:t>una</w:t>
      </w:r>
      <w:r w:rsidR="0011188F" w:rsidRPr="00E63AD5">
        <w:rPr>
          <w:rFonts w:ascii="Palatino Linotype" w:eastAsia="Palatino Linotype" w:hAnsi="Palatino Linotype" w:cs="Palatino Linotype"/>
        </w:rPr>
        <w:t xml:space="preserve"> h</w:t>
      </w:r>
      <w:r w:rsidR="009E5EA8" w:rsidRPr="00E63AD5">
        <w:rPr>
          <w:rFonts w:ascii="Palatino Linotype" w:eastAsia="Palatino Linotype" w:hAnsi="Palatino Linotype" w:cs="Palatino Linotype"/>
        </w:rPr>
        <w:t>oja</w:t>
      </w:r>
      <w:r w:rsidR="0011188F" w:rsidRPr="00E63AD5">
        <w:rPr>
          <w:rFonts w:ascii="Palatino Linotype" w:eastAsia="Palatino Linotype" w:hAnsi="Palatino Linotype" w:cs="Palatino Linotype"/>
        </w:rPr>
        <w:t xml:space="preserve"> o caratula del estado cuenta</w:t>
      </w:r>
      <w:r w:rsidRPr="00E63AD5">
        <w:rPr>
          <w:rFonts w:ascii="Palatino Linotype" w:eastAsia="Palatino Linotype" w:hAnsi="Palatino Linotype" w:cs="Palatino Linotype"/>
        </w:rPr>
        <w:t>, lo que es incompleto.</w:t>
      </w:r>
    </w:p>
    <w:p w:rsidR="006D180F" w:rsidRPr="00E63AD5" w:rsidRDefault="006D180F" w:rsidP="00B7263E">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t>Estado de cuenta Banco Azteca, se observa lo siguiente:</w:t>
      </w:r>
    </w:p>
    <w:p w:rsidR="006D180F" w:rsidRPr="00E63AD5" w:rsidRDefault="006D180F" w:rsidP="00B7263E">
      <w:pPr>
        <w:spacing w:before="240" w:line="360" w:lineRule="auto"/>
        <w:ind w:right="49"/>
        <w:jc w:val="both"/>
        <w:rPr>
          <w:rFonts w:ascii="Palatino Linotype" w:eastAsia="Palatino Linotype" w:hAnsi="Palatino Linotype" w:cs="Palatino Linotype"/>
        </w:rPr>
      </w:pPr>
      <w:r w:rsidRPr="00E63AD5">
        <w:rPr>
          <w:noProof/>
          <w:lang w:val="es-MX"/>
        </w:rPr>
        <w:drawing>
          <wp:inline distT="0" distB="0" distL="0" distR="0" wp14:anchorId="1A0AFE01" wp14:editId="44E4E7DA">
            <wp:extent cx="5504180" cy="5058888"/>
            <wp:effectExtent l="0" t="0" r="127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094" t="13920" r="23082" b="9493"/>
                    <a:stretch/>
                  </pic:blipFill>
                  <pic:spPr bwMode="auto">
                    <a:xfrm>
                      <a:off x="0" y="0"/>
                      <a:ext cx="5517649" cy="5071267"/>
                    </a:xfrm>
                    <a:prstGeom prst="rect">
                      <a:avLst/>
                    </a:prstGeom>
                    <a:ln>
                      <a:noFill/>
                    </a:ln>
                    <a:extLst>
                      <a:ext uri="{53640926-AAD7-44D8-BBD7-CCE9431645EC}">
                        <a14:shadowObscured xmlns:a14="http://schemas.microsoft.com/office/drawing/2010/main"/>
                      </a:ext>
                    </a:extLst>
                  </pic:spPr>
                </pic:pic>
              </a:graphicData>
            </a:graphic>
          </wp:inline>
        </w:drawing>
      </w:r>
    </w:p>
    <w:p w:rsidR="006D180F" w:rsidRPr="00E63AD5" w:rsidRDefault="006D180F" w:rsidP="00B7263E">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 xml:space="preserve">En donde se observan depósitos </w:t>
      </w:r>
      <w:r w:rsidR="009E5EA8" w:rsidRPr="00E63AD5">
        <w:rPr>
          <w:rFonts w:ascii="Palatino Linotype" w:eastAsia="Palatino Linotype" w:hAnsi="Palatino Linotype" w:cs="Palatino Linotype"/>
        </w:rPr>
        <w:t xml:space="preserve">y retiros, sin que conste el movimiento bancario, lo que no satisface el derecho de acceso a la información pública del </w:t>
      </w:r>
      <w:r w:rsidR="009E5EA8" w:rsidRPr="00E63AD5">
        <w:rPr>
          <w:rFonts w:ascii="Palatino Linotype" w:eastAsia="Palatino Linotype" w:hAnsi="Palatino Linotype" w:cs="Palatino Linotype"/>
          <w:b/>
        </w:rPr>
        <w:t>RECURRENTE</w:t>
      </w:r>
      <w:r w:rsidR="009E5EA8" w:rsidRPr="00E63AD5">
        <w:rPr>
          <w:rFonts w:ascii="Palatino Linotype" w:eastAsia="Palatino Linotype" w:hAnsi="Palatino Linotype" w:cs="Palatino Linotype"/>
        </w:rPr>
        <w:t>.</w:t>
      </w:r>
    </w:p>
    <w:p w:rsidR="009E5EA8" w:rsidRPr="00E63AD5" w:rsidRDefault="009E5EA8" w:rsidP="00B7263E">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Estado de cuenta </w:t>
      </w:r>
      <w:r w:rsidR="006D180F" w:rsidRPr="00E63AD5">
        <w:rPr>
          <w:rFonts w:ascii="Palatino Linotype" w:eastAsia="Palatino Linotype" w:hAnsi="Palatino Linotype" w:cs="Palatino Linotype"/>
        </w:rPr>
        <w:t xml:space="preserve">Santander, </w:t>
      </w:r>
      <w:r w:rsidRPr="00E63AD5">
        <w:rPr>
          <w:rFonts w:ascii="Palatino Linotype" w:eastAsia="Palatino Linotype" w:hAnsi="Palatino Linotype" w:cs="Palatino Linotype"/>
        </w:rPr>
        <w:t>se observa lo siguiente:</w:t>
      </w:r>
    </w:p>
    <w:p w:rsidR="009E5EA8" w:rsidRPr="00E63AD5" w:rsidRDefault="0011188F" w:rsidP="00B7263E">
      <w:pPr>
        <w:spacing w:before="240" w:line="360" w:lineRule="auto"/>
        <w:ind w:right="49"/>
        <w:jc w:val="both"/>
        <w:rPr>
          <w:rFonts w:ascii="Palatino Linotype" w:eastAsia="Palatino Linotype" w:hAnsi="Palatino Linotype" w:cs="Palatino Linotype"/>
        </w:rPr>
      </w:pPr>
      <w:r w:rsidRPr="00E63AD5">
        <w:rPr>
          <w:noProof/>
          <w:lang w:val="es-MX"/>
        </w:rPr>
        <mc:AlternateContent>
          <mc:Choice Requires="wps">
            <w:drawing>
              <wp:anchor distT="0" distB="0" distL="114300" distR="114300" simplePos="0" relativeHeight="251662336" behindDoc="0" locked="0" layoutInCell="1" allowOverlap="1" wp14:anchorId="4053D2FF" wp14:editId="6AD26364">
                <wp:simplePos x="0" y="0"/>
                <wp:positionH relativeFrom="column">
                  <wp:posOffset>3829792</wp:posOffset>
                </wp:positionH>
                <wp:positionV relativeFrom="paragraph">
                  <wp:posOffset>1212891</wp:posOffset>
                </wp:positionV>
                <wp:extent cx="249381" cy="284637"/>
                <wp:effectExtent l="57150" t="19050" r="0" b="96520"/>
                <wp:wrapNone/>
                <wp:docPr id="9" name="Flecha izquierda 9"/>
                <wp:cNvGraphicFramePr/>
                <a:graphic xmlns:a="http://schemas.openxmlformats.org/drawingml/2006/main">
                  <a:graphicData uri="http://schemas.microsoft.com/office/word/2010/wordprocessingShape">
                    <wps:wsp>
                      <wps:cNvSpPr/>
                      <wps:spPr>
                        <a:xfrm>
                          <a:off x="0" y="0"/>
                          <a:ext cx="249381" cy="28463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A77EFC" id="Flecha izquierda 9" o:spid="_x0000_s1026" type="#_x0000_t66" style="position:absolute;margin-left:301.55pt;margin-top:95.5pt;width:19.65pt;height:2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9E5EA8" w:rsidRPr="00E63AD5">
        <w:rPr>
          <w:noProof/>
          <w:lang w:val="es-MX"/>
        </w:rPr>
        <w:drawing>
          <wp:inline distT="0" distB="0" distL="0" distR="0" wp14:anchorId="0545C44A" wp14:editId="6D8C4C0F">
            <wp:extent cx="5454490" cy="5058888"/>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722" t="16178" r="22326" b="5160"/>
                    <a:stretch/>
                  </pic:blipFill>
                  <pic:spPr bwMode="auto">
                    <a:xfrm>
                      <a:off x="0" y="0"/>
                      <a:ext cx="5486413" cy="5088496"/>
                    </a:xfrm>
                    <a:prstGeom prst="rect">
                      <a:avLst/>
                    </a:prstGeom>
                    <a:ln>
                      <a:noFill/>
                    </a:ln>
                    <a:extLst>
                      <a:ext uri="{53640926-AAD7-44D8-BBD7-CCE9431645EC}">
                        <a14:shadowObscured xmlns:a14="http://schemas.microsoft.com/office/drawing/2010/main"/>
                      </a:ext>
                    </a:extLst>
                  </pic:spPr>
                </pic:pic>
              </a:graphicData>
            </a:graphic>
          </wp:inline>
        </w:drawing>
      </w:r>
    </w:p>
    <w:p w:rsidR="009E5EA8" w:rsidRPr="00E63AD5" w:rsidRDefault="009E5EA8" w:rsidP="009E5EA8">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Se adviert</w:t>
      </w:r>
      <w:r w:rsidR="0011188F" w:rsidRPr="00E63AD5">
        <w:rPr>
          <w:rFonts w:ascii="Palatino Linotype" w:eastAsia="Palatino Linotype" w:hAnsi="Palatino Linotype" w:cs="Palatino Linotype"/>
        </w:rPr>
        <w:t>e que se integra de cuatro hojas</w:t>
      </w:r>
      <w:r w:rsidRPr="00E63AD5">
        <w:rPr>
          <w:rFonts w:ascii="Palatino Linotype" w:eastAsia="Palatino Linotype" w:hAnsi="Palatino Linotype" w:cs="Palatino Linotype"/>
        </w:rPr>
        <w:t xml:space="preserve"> y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sólo remitió una</w:t>
      </w:r>
      <w:r w:rsidR="0011188F" w:rsidRPr="00E63AD5">
        <w:rPr>
          <w:rFonts w:ascii="Palatino Linotype" w:eastAsia="Palatino Linotype" w:hAnsi="Palatino Linotype" w:cs="Palatino Linotype"/>
        </w:rPr>
        <w:t xml:space="preserve"> hoja o caratula del estado cuenta</w:t>
      </w:r>
      <w:r w:rsidRPr="00E63AD5">
        <w:rPr>
          <w:rFonts w:ascii="Palatino Linotype" w:eastAsia="Palatino Linotype" w:hAnsi="Palatino Linotype" w:cs="Palatino Linotype"/>
        </w:rPr>
        <w:t>, lo que es incompleto.</w:t>
      </w:r>
      <w:r w:rsidR="0011188F" w:rsidRPr="00E63AD5">
        <w:rPr>
          <w:noProof/>
          <w:lang w:val="es-MX"/>
        </w:rPr>
        <w:t xml:space="preserve"> </w:t>
      </w:r>
    </w:p>
    <w:p w:rsidR="009E5EA8" w:rsidRPr="00E63AD5" w:rsidRDefault="009E5EA8" w:rsidP="00B7263E">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Estado de cuenta </w:t>
      </w:r>
      <w:r w:rsidR="006D180F" w:rsidRPr="00E63AD5">
        <w:rPr>
          <w:rFonts w:ascii="Palatino Linotype" w:eastAsia="Palatino Linotype" w:hAnsi="Palatino Linotype" w:cs="Palatino Linotype"/>
        </w:rPr>
        <w:t xml:space="preserve">BBVA, </w:t>
      </w:r>
      <w:r w:rsidR="0011188F" w:rsidRPr="00E63AD5">
        <w:rPr>
          <w:rFonts w:ascii="Palatino Linotype" w:eastAsia="Palatino Linotype" w:hAnsi="Palatino Linotype" w:cs="Palatino Linotype"/>
        </w:rPr>
        <w:t>en donde se observa:</w:t>
      </w:r>
    </w:p>
    <w:p w:rsidR="0011188F" w:rsidRPr="00E63AD5" w:rsidRDefault="0011188F" w:rsidP="00B7263E">
      <w:pPr>
        <w:spacing w:before="240" w:line="360" w:lineRule="auto"/>
        <w:ind w:right="49"/>
        <w:jc w:val="both"/>
        <w:rPr>
          <w:rFonts w:ascii="Palatino Linotype" w:eastAsia="Palatino Linotype" w:hAnsi="Palatino Linotype" w:cs="Palatino Linotype"/>
        </w:rPr>
      </w:pPr>
      <w:r w:rsidRPr="00E63AD5">
        <w:rPr>
          <w:noProof/>
          <w:lang w:val="es-MX"/>
        </w:rPr>
        <mc:AlternateContent>
          <mc:Choice Requires="wps">
            <w:drawing>
              <wp:anchor distT="0" distB="0" distL="114300" distR="114300" simplePos="0" relativeHeight="251664384" behindDoc="0" locked="0" layoutInCell="1" allowOverlap="1" wp14:anchorId="3EA3A1A5" wp14:editId="267D071E">
                <wp:simplePos x="0" y="0"/>
                <wp:positionH relativeFrom="margin">
                  <wp:align>right</wp:align>
                </wp:positionH>
                <wp:positionV relativeFrom="paragraph">
                  <wp:posOffset>309995</wp:posOffset>
                </wp:positionV>
                <wp:extent cx="249381" cy="284637"/>
                <wp:effectExtent l="57150" t="19050" r="0" b="96520"/>
                <wp:wrapNone/>
                <wp:docPr id="12" name="Flecha izquierda 12"/>
                <wp:cNvGraphicFramePr/>
                <a:graphic xmlns:a="http://schemas.openxmlformats.org/drawingml/2006/main">
                  <a:graphicData uri="http://schemas.microsoft.com/office/word/2010/wordprocessingShape">
                    <wps:wsp>
                      <wps:cNvSpPr/>
                      <wps:spPr>
                        <a:xfrm>
                          <a:off x="0" y="0"/>
                          <a:ext cx="249381" cy="28463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8DE0F" id="Flecha izquierda 12" o:spid="_x0000_s1026" type="#_x0000_t66" style="position:absolute;margin-left:-31.55pt;margin-top:24.4pt;width:19.65pt;height:22.4pt;z-index:25166438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" adj="10800" fillcolor="#4f81bd [3204]" strokecolor="#4579b8 [3044]">
                <v:fill color2="#a7bfde [1620]" rotate="t" angle="180" focus="100%" type="gradient">
                  <o:fill v:ext="view" type="gradientUnscaled"/>
                </v:fill>
                <v:shadow on="t" color="black" opacity="22937f" origin=",.5" offset="0,.63889mm"/>
                <w10:wrap anchorx="margin"/>
              </v:shape>
            </w:pict>
          </mc:Fallback>
        </mc:AlternateContent>
      </w:r>
      <w:r w:rsidRPr="00E63AD5">
        <w:rPr>
          <w:noProof/>
          <w:lang w:val="es-MX"/>
        </w:rPr>
        <w:drawing>
          <wp:inline distT="0" distB="0" distL="0" distR="0" wp14:anchorId="7AD2A3E8" wp14:editId="404E1E32">
            <wp:extent cx="5461202" cy="5023262"/>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7033" t="16553" r="22657" b="7997"/>
                    <a:stretch/>
                  </pic:blipFill>
                  <pic:spPr bwMode="auto">
                    <a:xfrm>
                      <a:off x="0" y="0"/>
                      <a:ext cx="5481123" cy="5041586"/>
                    </a:xfrm>
                    <a:prstGeom prst="rect">
                      <a:avLst/>
                    </a:prstGeom>
                    <a:ln>
                      <a:noFill/>
                    </a:ln>
                    <a:extLst>
                      <a:ext uri="{53640926-AAD7-44D8-BBD7-CCE9431645EC}">
                        <a14:shadowObscured xmlns:a14="http://schemas.microsoft.com/office/drawing/2010/main"/>
                      </a:ext>
                    </a:extLst>
                  </pic:spPr>
                </pic:pic>
              </a:graphicData>
            </a:graphic>
          </wp:inline>
        </w:drawing>
      </w:r>
    </w:p>
    <w:p w:rsidR="0011188F" w:rsidRPr="00E63AD5" w:rsidRDefault="0011188F" w:rsidP="0011188F">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 xml:space="preserve">Que se integra de diez páginas y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sólo remitió una página o caratula del estado cuenta, lo que es incompleto.</w:t>
      </w:r>
      <w:r w:rsidRPr="00E63AD5">
        <w:rPr>
          <w:noProof/>
          <w:lang w:val="es-MX"/>
        </w:rPr>
        <w:t xml:space="preserve"> </w:t>
      </w:r>
    </w:p>
    <w:p w:rsidR="009E5EA8" w:rsidRPr="00E63AD5" w:rsidRDefault="009E5EA8" w:rsidP="00B7263E">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Estado de cuenta BANAMEX, </w:t>
      </w:r>
      <w:r w:rsidR="0011188F" w:rsidRPr="00E63AD5">
        <w:rPr>
          <w:rFonts w:ascii="Palatino Linotype" w:eastAsia="Palatino Linotype" w:hAnsi="Palatino Linotype" w:cs="Palatino Linotype"/>
        </w:rPr>
        <w:t xml:space="preserve">en donde se observa: </w:t>
      </w:r>
    </w:p>
    <w:p w:rsidR="009E5EA8" w:rsidRPr="00E63AD5" w:rsidRDefault="0011188F" w:rsidP="00B7263E">
      <w:pPr>
        <w:spacing w:before="240" w:line="360" w:lineRule="auto"/>
        <w:ind w:right="49"/>
        <w:jc w:val="both"/>
        <w:rPr>
          <w:rFonts w:ascii="Palatino Linotype" w:eastAsia="Palatino Linotype" w:hAnsi="Palatino Linotype" w:cs="Palatino Linotype"/>
        </w:rPr>
      </w:pPr>
      <w:r w:rsidRPr="00E63AD5">
        <w:rPr>
          <w:noProof/>
          <w:lang w:val="es-MX"/>
        </w:rPr>
        <mc:AlternateContent>
          <mc:Choice Requires="wps">
            <w:drawing>
              <wp:anchor distT="0" distB="0" distL="114300" distR="114300" simplePos="0" relativeHeight="251666432" behindDoc="0" locked="0" layoutInCell="1" allowOverlap="1" wp14:anchorId="3EA3A1A5" wp14:editId="267D071E">
                <wp:simplePos x="0" y="0"/>
                <wp:positionH relativeFrom="column">
                  <wp:posOffset>5142016</wp:posOffset>
                </wp:positionH>
                <wp:positionV relativeFrom="paragraph">
                  <wp:posOffset>430877</wp:posOffset>
                </wp:positionV>
                <wp:extent cx="249381" cy="284637"/>
                <wp:effectExtent l="57150" t="19050" r="0" b="96520"/>
                <wp:wrapNone/>
                <wp:docPr id="13" name="Flecha izquierda 13"/>
                <wp:cNvGraphicFramePr/>
                <a:graphic xmlns:a="http://schemas.openxmlformats.org/drawingml/2006/main">
                  <a:graphicData uri="http://schemas.microsoft.com/office/word/2010/wordprocessingShape">
                    <wps:wsp>
                      <wps:cNvSpPr/>
                      <wps:spPr>
                        <a:xfrm>
                          <a:off x="0" y="0"/>
                          <a:ext cx="249381" cy="284637"/>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D859D" id="Flecha izquierda 13" o:spid="_x0000_s1026" type="#_x0000_t66" style="position:absolute;margin-left:404.9pt;margin-top:33.95pt;width:19.65pt;height:2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Pr="00E63AD5">
        <w:rPr>
          <w:noProof/>
          <w:lang w:val="es-MX"/>
        </w:rPr>
        <w:drawing>
          <wp:inline distT="0" distB="0" distL="0" distR="0" wp14:anchorId="68DE212F" wp14:editId="029B7953">
            <wp:extent cx="5467985" cy="517764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9576" t="14672" r="26034" b="4971"/>
                    <a:stretch/>
                  </pic:blipFill>
                  <pic:spPr bwMode="auto">
                    <a:xfrm>
                      <a:off x="0" y="0"/>
                      <a:ext cx="5481696" cy="5190624"/>
                    </a:xfrm>
                    <a:prstGeom prst="rect">
                      <a:avLst/>
                    </a:prstGeom>
                    <a:ln>
                      <a:noFill/>
                    </a:ln>
                    <a:extLst>
                      <a:ext uri="{53640926-AAD7-44D8-BBD7-CCE9431645EC}">
                        <a14:shadowObscured xmlns:a14="http://schemas.microsoft.com/office/drawing/2010/main"/>
                      </a:ext>
                    </a:extLst>
                  </pic:spPr>
                </pic:pic>
              </a:graphicData>
            </a:graphic>
          </wp:inline>
        </w:drawing>
      </w:r>
    </w:p>
    <w:p w:rsidR="0011188F" w:rsidRPr="00E63AD5" w:rsidRDefault="0011188F" w:rsidP="0011188F">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 xml:space="preserve">Que se integra de veinticuatro páginas y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sólo remitió una página o caratula del estado cuenta, lo que es incompleto.</w:t>
      </w:r>
      <w:r w:rsidRPr="00E63AD5">
        <w:rPr>
          <w:noProof/>
          <w:lang w:val="es-MX"/>
        </w:rPr>
        <w:t xml:space="preserve"> </w:t>
      </w:r>
    </w:p>
    <w:p w:rsidR="006D180F" w:rsidRPr="00E63AD5" w:rsidRDefault="009E5EA8" w:rsidP="00B7263E">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t>Estado de cuenta</w:t>
      </w:r>
      <w:r w:rsidR="006D180F" w:rsidRPr="00E63AD5">
        <w:rPr>
          <w:rFonts w:ascii="Palatino Linotype" w:eastAsia="Palatino Linotype" w:hAnsi="Palatino Linotype" w:cs="Palatino Linotype"/>
        </w:rPr>
        <w:t xml:space="preserve"> SCOTIABANK</w:t>
      </w:r>
      <w:r w:rsidR="0011188F" w:rsidRPr="00E63AD5">
        <w:rPr>
          <w:rFonts w:ascii="Palatino Linotype" w:eastAsia="Palatino Linotype" w:hAnsi="Palatino Linotype" w:cs="Palatino Linotype"/>
        </w:rPr>
        <w:t>, en donde se advierte:</w:t>
      </w:r>
    </w:p>
    <w:p w:rsidR="0011188F" w:rsidRPr="00E63AD5" w:rsidRDefault="0011188F" w:rsidP="00B7263E">
      <w:pPr>
        <w:spacing w:before="240" w:line="360" w:lineRule="auto"/>
        <w:ind w:right="49"/>
        <w:jc w:val="both"/>
        <w:rPr>
          <w:rFonts w:ascii="Palatino Linotype" w:eastAsia="Palatino Linotype" w:hAnsi="Palatino Linotype" w:cs="Palatino Linotype"/>
        </w:rPr>
      </w:pPr>
      <w:r w:rsidRPr="00E63AD5">
        <w:rPr>
          <w:noProof/>
          <w:lang w:val="es-MX"/>
        </w:rPr>
        <w:drawing>
          <wp:inline distT="0" distB="0" distL="0" distR="0" wp14:anchorId="307AE69A" wp14:editId="1825EEC0">
            <wp:extent cx="5283293" cy="499951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732" t="16742" r="22962" b="7608"/>
                    <a:stretch/>
                  </pic:blipFill>
                  <pic:spPr bwMode="auto">
                    <a:xfrm>
                      <a:off x="0" y="0"/>
                      <a:ext cx="5312780" cy="5027414"/>
                    </a:xfrm>
                    <a:prstGeom prst="rect">
                      <a:avLst/>
                    </a:prstGeom>
                    <a:ln>
                      <a:noFill/>
                    </a:ln>
                    <a:extLst>
                      <a:ext uri="{53640926-AAD7-44D8-BBD7-CCE9431645EC}">
                        <a14:shadowObscured xmlns:a14="http://schemas.microsoft.com/office/drawing/2010/main"/>
                      </a:ext>
                    </a:extLst>
                  </pic:spPr>
                </pic:pic>
              </a:graphicData>
            </a:graphic>
          </wp:inline>
        </w:drawing>
      </w:r>
    </w:p>
    <w:p w:rsidR="0011188F" w:rsidRPr="00E63AD5" w:rsidRDefault="0011188F" w:rsidP="0011188F">
      <w:pPr>
        <w:spacing w:before="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 xml:space="preserve">Que se integra de catorce páginas y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sólo remitió una página o caratula del estado cuenta, lo que es incompleto.</w:t>
      </w:r>
      <w:r w:rsidRPr="00E63AD5">
        <w:rPr>
          <w:noProof/>
          <w:lang w:val="es-MX"/>
        </w:rPr>
        <w:t xml:space="preserve"> </w:t>
      </w:r>
    </w:p>
    <w:p w:rsidR="00D00E93" w:rsidRPr="00E63AD5" w:rsidRDefault="0011188F" w:rsidP="00D00E93">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rPr>
      </w:pPr>
      <w:r w:rsidRPr="00E63AD5">
        <w:rPr>
          <w:rFonts w:ascii="Palatino Linotype" w:eastAsia="Palatino Linotype" w:hAnsi="Palatino Linotype" w:cs="Palatino Linotype"/>
        </w:rPr>
        <w:t xml:space="preserve">En consecuencia, la respuesta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w:t>
      </w:r>
      <w:r w:rsidR="00D00E93" w:rsidRPr="00E63AD5">
        <w:rPr>
          <w:rFonts w:ascii="Palatino Linotype" w:eastAsia="Palatino Linotype" w:hAnsi="Palatino Linotype" w:cs="Palatino Linotype"/>
        </w:rPr>
        <w:t>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D00E93" w:rsidRPr="00E63AD5" w:rsidRDefault="00D00E93" w:rsidP="00D00E93">
      <w:pPr>
        <w:spacing w:before="80" w:after="240"/>
        <w:ind w:left="567" w:right="900"/>
        <w:jc w:val="both"/>
        <w:rPr>
          <w:rFonts w:ascii="Palatino Linotype" w:eastAsia="Palatino Linotype" w:hAnsi="Palatino Linotype" w:cs="Palatino Linotype"/>
          <w:i/>
          <w:color w:val="000000"/>
          <w:sz w:val="22"/>
          <w:szCs w:val="22"/>
        </w:rPr>
      </w:pPr>
      <w:r w:rsidRPr="00E63AD5">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E63AD5">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63AD5">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E63AD5">
        <w:rPr>
          <w:rFonts w:ascii="Palatino Linotype" w:eastAsia="Palatino Linotype" w:hAnsi="Palatino Linotype" w:cs="Palatino Linotype"/>
          <w:i/>
          <w:color w:val="000000"/>
          <w:sz w:val="22"/>
          <w:szCs w:val="22"/>
        </w:rPr>
        <w:t xml:space="preserve">; mientras que </w:t>
      </w:r>
      <w:r w:rsidRPr="00E63AD5">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E63AD5">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D00E93" w:rsidRPr="00E63AD5" w:rsidRDefault="00D00E93" w:rsidP="00D00E93">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Razones por las cuales lo procedente es ordenar los Estados de Cuentas </w:t>
      </w:r>
      <w:r w:rsidR="00E5359B" w:rsidRPr="00E63AD5">
        <w:rPr>
          <w:rFonts w:ascii="Palatino Linotype" w:eastAsia="Palatino Linotype" w:hAnsi="Palatino Linotype" w:cs="Palatino Linotype"/>
        </w:rPr>
        <w:t xml:space="preserve">Bancarios </w:t>
      </w:r>
      <w:r w:rsidRPr="00E63AD5">
        <w:rPr>
          <w:rFonts w:ascii="Palatino Linotype" w:eastAsia="Palatino Linotype" w:hAnsi="Palatino Linotype" w:cs="Palatino Linotype"/>
        </w:rPr>
        <w:t>remitidos en respuesta de manera comp</w:t>
      </w:r>
      <w:r w:rsidR="002B678F" w:rsidRPr="00E63AD5">
        <w:rPr>
          <w:rFonts w:ascii="Palatino Linotype" w:eastAsia="Palatino Linotype" w:hAnsi="Palatino Linotype" w:cs="Palatino Linotype"/>
        </w:rPr>
        <w:t>leta, de ser el caso</w:t>
      </w:r>
      <w:r w:rsidRPr="00E63AD5">
        <w:rPr>
          <w:rFonts w:ascii="Palatino Linotype" w:eastAsia="Palatino Linotype" w:hAnsi="Palatino Linotype" w:cs="Palatino Linotype"/>
        </w:rPr>
        <w:t xml:space="preserve"> en versión pública conforme a lo señalado por el considerando quinto del presente fallo. </w:t>
      </w:r>
    </w:p>
    <w:p w:rsidR="00E5359B" w:rsidRPr="00E63AD5" w:rsidRDefault="00E5359B" w:rsidP="00E5359B">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lastRenderedPageBreak/>
        <w:t xml:space="preserve">Quinto. Versión Pública. </w:t>
      </w:r>
      <w:r w:rsidRPr="00E63AD5">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 xml:space="preserve"> sin menoscabar el derecho a la protección de los datos personales de terceros.</w:t>
      </w:r>
    </w:p>
    <w:p w:rsidR="00E5359B" w:rsidRPr="00E63AD5" w:rsidRDefault="00E5359B" w:rsidP="00E5359B">
      <w:pPr>
        <w:spacing w:line="360" w:lineRule="auto"/>
        <w:jc w:val="both"/>
        <w:rPr>
          <w:rFonts w:ascii="Palatino Linotype" w:eastAsia="Palatino Linotype" w:hAnsi="Palatino Linotype" w:cs="Palatino Linotype"/>
        </w:rPr>
      </w:pPr>
    </w:p>
    <w:p w:rsidR="00E5359B" w:rsidRPr="00E63AD5" w:rsidRDefault="00E5359B" w:rsidP="00E5359B">
      <w:pPr>
        <w:spacing w:after="240" w:line="360" w:lineRule="auto"/>
        <w:ind w:right="50"/>
        <w:jc w:val="both"/>
        <w:rPr>
          <w:rFonts w:ascii="Palatino Linotype" w:eastAsia="Palatino Linotype" w:hAnsi="Palatino Linotype" w:cs="Palatino Linotype"/>
        </w:rPr>
      </w:pPr>
      <w:r w:rsidRPr="00E63AD5">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E5359B" w:rsidRPr="00E63AD5" w:rsidRDefault="00E5359B" w:rsidP="00E5359B">
      <w:pPr>
        <w:ind w:left="993" w:right="1041"/>
        <w:jc w:val="both"/>
        <w:rPr>
          <w:rFonts w:ascii="Palatino Linotype" w:eastAsia="Palatino Linotype" w:hAnsi="Palatino Linotype" w:cs="Palatino Linotype"/>
          <w:b/>
          <w:i/>
          <w:sz w:val="22"/>
          <w:szCs w:val="22"/>
        </w:rPr>
      </w:pPr>
      <w:r w:rsidRPr="00E63AD5">
        <w:rPr>
          <w:rFonts w:ascii="Palatino Linotype" w:eastAsia="Palatino Linotype" w:hAnsi="Palatino Linotype" w:cs="Palatino Linotype"/>
          <w:b/>
          <w:i/>
          <w:sz w:val="22"/>
          <w:szCs w:val="22"/>
        </w:rPr>
        <w:t xml:space="preserve"> “Artículo 3. Para los efectos de la presente Ley se entenderá por:</w:t>
      </w:r>
    </w:p>
    <w:p w:rsidR="00E5359B" w:rsidRPr="00E63AD5" w:rsidRDefault="00E5359B" w:rsidP="00E5359B">
      <w:pPr>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IX. Datos personales:</w:t>
      </w:r>
      <w:r w:rsidRPr="00E63AD5">
        <w:rPr>
          <w:rFonts w:ascii="Palatino Linotype" w:eastAsia="Palatino Linotype" w:hAnsi="Palatino Linotype" w:cs="Palatino Linotype"/>
          <w:i/>
          <w:sz w:val="22"/>
          <w:szCs w:val="22"/>
        </w:rPr>
        <w:t xml:space="preserve"> </w:t>
      </w:r>
      <w:r w:rsidRPr="00E63AD5">
        <w:rPr>
          <w:rFonts w:ascii="Palatino Linotype" w:eastAsia="Palatino Linotype" w:hAnsi="Palatino Linotype" w:cs="Palatino Linotype"/>
          <w:b/>
          <w:i/>
          <w:sz w:val="22"/>
          <w:szCs w:val="22"/>
        </w:rPr>
        <w:t>La información concerniente a una persona, identificada o identificable</w:t>
      </w:r>
      <w:r w:rsidRPr="00E63AD5">
        <w:rPr>
          <w:rFonts w:ascii="Palatino Linotype" w:eastAsia="Palatino Linotype" w:hAnsi="Palatino Linotype" w:cs="Palatino Linotype"/>
          <w:i/>
          <w:sz w:val="22"/>
          <w:szCs w:val="22"/>
        </w:rPr>
        <w:t xml:space="preserve"> según lo dispuesto por la Ley de Protección de Datos Personales del Estado de México;</w:t>
      </w:r>
    </w:p>
    <w:p w:rsidR="00E5359B" w:rsidRPr="00E63AD5" w:rsidRDefault="00E5359B" w:rsidP="00E5359B">
      <w:pPr>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XX. Información clasificada:</w:t>
      </w:r>
      <w:r w:rsidRPr="00E63AD5">
        <w:rPr>
          <w:rFonts w:ascii="Palatino Linotype" w:eastAsia="Palatino Linotype" w:hAnsi="Palatino Linotype" w:cs="Palatino Linotype"/>
          <w:i/>
          <w:sz w:val="22"/>
          <w:szCs w:val="22"/>
        </w:rPr>
        <w:t xml:space="preserve"> Aquella considerada por la presente Ley como reservada o confidencial;</w:t>
      </w:r>
    </w:p>
    <w:p w:rsidR="00E5359B" w:rsidRPr="00E63AD5" w:rsidRDefault="00E5359B" w:rsidP="00E5359B">
      <w:pPr>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XXXII. Protección de Datos Personales:</w:t>
      </w:r>
      <w:r w:rsidRPr="00E63AD5">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E5359B" w:rsidRPr="00E63AD5" w:rsidRDefault="00E5359B" w:rsidP="00E5359B">
      <w:pPr>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lastRenderedPageBreak/>
        <w:t>XLV. Versión pública</w:t>
      </w:r>
      <w:r w:rsidRPr="00E63AD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E5359B" w:rsidRPr="00E63AD5" w:rsidRDefault="00E5359B" w:rsidP="00E5359B">
      <w:pPr>
        <w:ind w:left="993" w:right="1041"/>
        <w:jc w:val="both"/>
        <w:rPr>
          <w:rFonts w:ascii="Palatino Linotype" w:eastAsia="Palatino Linotype" w:hAnsi="Palatino Linotype" w:cs="Palatino Linotype"/>
          <w:i/>
          <w:sz w:val="22"/>
          <w:szCs w:val="22"/>
        </w:rPr>
      </w:pPr>
    </w:p>
    <w:p w:rsidR="00E5359B" w:rsidRPr="00E63AD5" w:rsidRDefault="00E5359B" w:rsidP="00E5359B">
      <w:pPr>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“Artículo 6.</w:t>
      </w:r>
      <w:r w:rsidRPr="00E63AD5">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5359B" w:rsidRPr="00E63AD5" w:rsidRDefault="00E5359B" w:rsidP="00E5359B">
      <w:pPr>
        <w:ind w:left="993" w:right="1041"/>
        <w:jc w:val="both"/>
        <w:rPr>
          <w:rFonts w:ascii="Palatino Linotype" w:eastAsia="Palatino Linotype" w:hAnsi="Palatino Linotype" w:cs="Palatino Linotype"/>
          <w:i/>
          <w:sz w:val="22"/>
          <w:szCs w:val="22"/>
        </w:rPr>
      </w:pPr>
    </w:p>
    <w:p w:rsidR="00E5359B" w:rsidRPr="00E63AD5" w:rsidRDefault="00E5359B" w:rsidP="00E5359B">
      <w:pPr>
        <w:ind w:left="993" w:right="1041"/>
        <w:jc w:val="both"/>
        <w:rPr>
          <w:rFonts w:ascii="Palatino Linotype" w:eastAsia="Palatino Linotype" w:hAnsi="Palatino Linotype" w:cs="Palatino Linotype"/>
          <w:b/>
          <w:i/>
          <w:sz w:val="22"/>
          <w:szCs w:val="22"/>
        </w:rPr>
      </w:pPr>
      <w:r w:rsidRPr="00E63AD5">
        <w:rPr>
          <w:rFonts w:ascii="Palatino Linotype" w:eastAsia="Palatino Linotype" w:hAnsi="Palatino Linotype" w:cs="Palatino Linotype"/>
          <w:b/>
          <w:i/>
          <w:sz w:val="22"/>
          <w:szCs w:val="22"/>
        </w:rPr>
        <w:t>“Artículo 137.</w:t>
      </w:r>
      <w:r w:rsidRPr="00E63AD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5359B" w:rsidRPr="00E63AD5" w:rsidRDefault="00E5359B" w:rsidP="00E5359B">
      <w:pPr>
        <w:ind w:left="993" w:right="1041"/>
        <w:jc w:val="both"/>
        <w:rPr>
          <w:rFonts w:ascii="Palatino Linotype" w:eastAsia="Palatino Linotype" w:hAnsi="Palatino Linotype" w:cs="Palatino Linotype"/>
          <w:b/>
          <w:i/>
          <w:sz w:val="22"/>
          <w:szCs w:val="22"/>
        </w:rPr>
      </w:pPr>
    </w:p>
    <w:p w:rsidR="00E5359B" w:rsidRPr="00E63AD5" w:rsidRDefault="00E5359B" w:rsidP="00E5359B">
      <w:pPr>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“Artículo 143</w:t>
      </w:r>
      <w:r w:rsidRPr="00E63AD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E5359B" w:rsidRPr="00E63AD5" w:rsidRDefault="00E5359B" w:rsidP="00E5359B">
      <w:pPr>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I.</w:t>
      </w:r>
      <w:r w:rsidRPr="00E63AD5">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E5359B" w:rsidRPr="00E63AD5" w:rsidRDefault="00E5359B" w:rsidP="00E5359B">
      <w:pPr>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E5359B" w:rsidRPr="00E63AD5" w:rsidRDefault="00E5359B" w:rsidP="00E5359B">
      <w:pPr>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E5359B" w:rsidRPr="00E63AD5" w:rsidRDefault="00E5359B" w:rsidP="00E5359B">
      <w:pPr>
        <w:ind w:left="993" w:right="1041"/>
        <w:jc w:val="both"/>
        <w:rPr>
          <w:rFonts w:ascii="Palatino Linotype" w:eastAsia="Palatino Linotype" w:hAnsi="Palatino Linotype" w:cs="Palatino Linotype"/>
          <w:i/>
          <w:sz w:val="22"/>
          <w:szCs w:val="22"/>
        </w:rPr>
      </w:pPr>
    </w:p>
    <w:p w:rsidR="00E5359B" w:rsidRPr="00E63AD5" w:rsidRDefault="00E5359B" w:rsidP="00E5359B">
      <w:pPr>
        <w:spacing w:line="360" w:lineRule="auto"/>
        <w:ind w:right="51"/>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sidRPr="00E63AD5">
        <w:rPr>
          <w:rFonts w:ascii="Palatino Linotype" w:eastAsia="Palatino Linotype" w:hAnsi="Palatino Linotype" w:cs="Palatino Linotype"/>
        </w:rPr>
        <w:lastRenderedPageBreak/>
        <w:t>interés público como información que debe ser clasificada, se hará la entrega del mismo, testando las secciones o datos que deban ser clasificados; por ende el</w:t>
      </w:r>
      <w:r w:rsidRPr="00E63AD5">
        <w:rPr>
          <w:rFonts w:ascii="Palatino Linotype" w:eastAsia="Palatino Linotype" w:hAnsi="Palatino Linotype" w:cs="Palatino Linotype"/>
          <w:b/>
        </w:rPr>
        <w:t xml:space="preserve"> SUJETO OBLIGADO</w:t>
      </w:r>
      <w:r w:rsidRPr="00E63AD5">
        <w:rPr>
          <w:rFonts w:ascii="Palatino Linotype" w:eastAsia="Palatino Linotype" w:hAnsi="Palatino Linotype" w:cs="Palatino Linotype"/>
        </w:rPr>
        <w:t xml:space="preserve"> deberá proceder a testar los datos personales que se encuentren contenidos en los documentos a entregar por parte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E5359B" w:rsidRPr="00E63AD5" w:rsidRDefault="00E5359B" w:rsidP="00E5359B">
      <w:pPr>
        <w:spacing w:line="360" w:lineRule="auto"/>
        <w:ind w:right="51"/>
        <w:jc w:val="both"/>
        <w:rPr>
          <w:rFonts w:ascii="Palatino Linotype" w:eastAsia="Palatino Linotype" w:hAnsi="Palatino Linotype" w:cs="Palatino Linotype"/>
        </w:rPr>
      </w:pPr>
    </w:p>
    <w:p w:rsidR="00E5359B" w:rsidRPr="00E63AD5" w:rsidRDefault="00E5359B" w:rsidP="00E5359B">
      <w:pPr>
        <w:spacing w:line="360" w:lineRule="auto"/>
        <w:ind w:right="50"/>
        <w:jc w:val="both"/>
        <w:rPr>
          <w:rFonts w:ascii="Palatino Linotype" w:eastAsia="Palatino Linotype" w:hAnsi="Palatino Linotype" w:cs="Palatino Linotype"/>
        </w:rPr>
      </w:pPr>
      <w:r w:rsidRPr="00E63AD5">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E5359B" w:rsidRPr="00E63AD5" w:rsidRDefault="00E5359B" w:rsidP="00E5359B">
      <w:pPr>
        <w:autoSpaceDE w:val="0"/>
        <w:autoSpaceDN w:val="0"/>
        <w:adjustRightInd w:val="0"/>
        <w:spacing w:before="240" w:after="240" w:line="360" w:lineRule="auto"/>
        <w:jc w:val="both"/>
        <w:rPr>
          <w:rFonts w:ascii="Palatino Linotype" w:hAnsi="Palatino Linotype" w:cs="Arial"/>
        </w:rPr>
      </w:pPr>
      <w:r w:rsidRPr="00E63AD5">
        <w:rPr>
          <w:rFonts w:ascii="Palatino Linotype" w:hAnsi="Palatino Linotype" w:cs="Arial"/>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E63AD5">
        <w:rPr>
          <w:rFonts w:ascii="Palatino Linotype" w:hAnsi="Palatino Linotype" w:cs="Arial"/>
        </w:rPr>
        <w:t>homoclave</w:t>
      </w:r>
      <w:proofErr w:type="spellEnd"/>
      <w:r w:rsidRPr="00E63AD5">
        <w:rPr>
          <w:rFonts w:ascii="Palatino Linotype" w:hAnsi="Palatino Linotype" w:cs="Arial"/>
        </w:rPr>
        <w:t xml:space="preserve">, </w:t>
      </w:r>
      <w:r w:rsidRPr="00E63AD5">
        <w:rPr>
          <w:rFonts w:ascii="Palatino Linotype" w:hAnsi="Palatino Linotype" w:cs="Arial"/>
        </w:rPr>
        <w:lastRenderedPageBreak/>
        <w:t>por lo que para su obtención es necesario acreditar ante la autoridad fiscal previamente la identidad de la persona, su fecha de nacimiento, entre otros aspectos.</w:t>
      </w:r>
    </w:p>
    <w:p w:rsidR="00E5359B" w:rsidRPr="00E63AD5" w:rsidRDefault="00E5359B" w:rsidP="00E5359B">
      <w:pPr>
        <w:spacing w:before="240" w:after="240" w:line="360" w:lineRule="auto"/>
        <w:jc w:val="both"/>
        <w:rPr>
          <w:rFonts w:ascii="Palatino Linotype" w:hAnsi="Palatino Linotype" w:cs="Arial"/>
        </w:rPr>
      </w:pPr>
      <w:r w:rsidRPr="00E63AD5">
        <w:rPr>
          <w:rFonts w:ascii="Palatino Linotype" w:hAnsi="Palatino Linotype" w:cs="Aria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E5359B" w:rsidRPr="00E63AD5" w:rsidRDefault="00E5359B" w:rsidP="00E5359B">
      <w:pPr>
        <w:spacing w:before="240" w:after="240" w:line="360" w:lineRule="auto"/>
        <w:jc w:val="both"/>
        <w:rPr>
          <w:rFonts w:ascii="Palatino Linotype" w:hAnsi="Palatino Linotype" w:cs="Arial"/>
        </w:rPr>
      </w:pPr>
      <w:r w:rsidRPr="00E63AD5">
        <w:rPr>
          <w:rFonts w:ascii="Palatino Linotype" w:hAnsi="Palatino Linotype" w:cs="Arial"/>
        </w:rPr>
        <w:t xml:space="preserve">Lo anterior es compartido por el Instituto </w:t>
      </w:r>
      <w:r w:rsidRPr="00E63AD5">
        <w:rPr>
          <w:rFonts w:ascii="Palatino Linotype" w:hAnsi="Palatino Linotype" w:cs="Arial"/>
          <w:bCs/>
          <w:shd w:val="clear" w:color="auto" w:fill="FFFFFF"/>
        </w:rPr>
        <w:t xml:space="preserve">Nacional de Transparencia, Acceso a la Información y Protección de Datos Personales, INAI, a través del Criterio 19/17, </w:t>
      </w:r>
      <w:r w:rsidRPr="00E63AD5">
        <w:rPr>
          <w:rFonts w:ascii="Palatino Linotype" w:hAnsi="Palatino Linotype" w:cs="Arial"/>
        </w:rPr>
        <w:t>el cual es del tenor literal siguiente:</w:t>
      </w:r>
    </w:p>
    <w:p w:rsidR="00E5359B" w:rsidRPr="00E63AD5" w:rsidRDefault="00E5359B" w:rsidP="00E5359B">
      <w:pPr>
        <w:autoSpaceDE w:val="0"/>
        <w:autoSpaceDN w:val="0"/>
        <w:adjustRightInd w:val="0"/>
        <w:ind w:left="851" w:right="900"/>
        <w:jc w:val="both"/>
        <w:rPr>
          <w:rFonts w:ascii="Palatino Linotype" w:hAnsi="Palatino Linotype" w:cs="Arial"/>
          <w:bCs/>
          <w:i/>
          <w:sz w:val="22"/>
          <w:szCs w:val="22"/>
        </w:rPr>
      </w:pPr>
      <w:r w:rsidRPr="00E63AD5">
        <w:rPr>
          <w:rFonts w:ascii="Palatino Linotype" w:hAnsi="Palatino Linotype" w:cs="Arial"/>
          <w:b/>
          <w:bCs/>
          <w:i/>
          <w:sz w:val="22"/>
          <w:szCs w:val="22"/>
        </w:rPr>
        <w:t>“Registro Federal de Contribuyentes (RFC) de personas físicas</w:t>
      </w:r>
      <w:r w:rsidRPr="00E63AD5">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rsidR="00E5359B" w:rsidRPr="00E63AD5" w:rsidRDefault="00E5359B" w:rsidP="00E5359B">
      <w:pPr>
        <w:spacing w:line="360" w:lineRule="auto"/>
        <w:ind w:right="50"/>
        <w:jc w:val="both"/>
        <w:rPr>
          <w:rFonts w:ascii="Palatino Linotype" w:hAnsi="Palatino Linotype" w:cs="Arial"/>
        </w:rPr>
      </w:pPr>
    </w:p>
    <w:p w:rsidR="00E5359B" w:rsidRPr="00E63AD5" w:rsidRDefault="00E5359B" w:rsidP="00E5359B">
      <w:pPr>
        <w:spacing w:line="360" w:lineRule="auto"/>
        <w:ind w:right="50"/>
        <w:jc w:val="both"/>
        <w:rPr>
          <w:rFonts w:ascii="Palatino Linotype" w:hAnsi="Palatino Linotype" w:cs="Arial"/>
        </w:rPr>
      </w:pPr>
      <w:r w:rsidRPr="00E63AD5">
        <w:rPr>
          <w:rFonts w:ascii="Palatino Linotype" w:hAnsi="Palatino Linotype" w:cs="Arial"/>
        </w:rPr>
        <w:t xml:space="preserve">Así, el Registro Federal de Contribuyentes, RFC, se vincula al nombre de su titular y permite identificar la edad de la persona, su fecha de nacimiento, así como su </w:t>
      </w:r>
      <w:proofErr w:type="spellStart"/>
      <w:r w:rsidRPr="00E63AD5">
        <w:rPr>
          <w:rFonts w:ascii="Palatino Linotype" w:hAnsi="Palatino Linotype" w:cs="Arial"/>
        </w:rPr>
        <w:t>homoclave</w:t>
      </w:r>
      <w:proofErr w:type="spellEnd"/>
      <w:r w:rsidRPr="00E63AD5">
        <w:rPr>
          <w:rFonts w:ascii="Palatino Linotype" w:hAnsi="Palatino Linotype" w:cs="Arial"/>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w:t>
      </w:r>
      <w:r w:rsidRPr="00E63AD5">
        <w:rPr>
          <w:rFonts w:ascii="Palatino Linotype" w:hAnsi="Palatino Linotype" w:cs="Arial"/>
        </w:rPr>
        <w:lastRenderedPageBreak/>
        <w:t>Personales en Posesión de los Sujetos Obligados del Estado de México y Municipios; sin embargo, para el caso específico de proveedores, la información debe ser pública, pues permite garantizar el cumplimiento de obligaciones fiscales de la persona que recibió recursos públicos, por tanto dicho dato no puede ser clasificado, pues su publicidad abona a la transparencia y a la rendición de cuentas. Por lo que el RFC de los proveedores de algún servicio o producto, deberá ser público ya que no actualiza el supuesto jurídico 143 fracción I de la Ley de Transparencia y Acceso a la Información Pública del Estado de México y Municipios, ya sean personas físicas o jurídico colectivas.</w:t>
      </w:r>
    </w:p>
    <w:p w:rsidR="00E5359B" w:rsidRPr="00E63AD5" w:rsidRDefault="00E5359B" w:rsidP="00E5359B">
      <w:pPr>
        <w:spacing w:line="360" w:lineRule="auto"/>
        <w:ind w:right="50"/>
        <w:jc w:val="both"/>
        <w:rPr>
          <w:rFonts w:ascii="Palatino Linotype" w:hAnsi="Palatino Linotype" w:cs="Arial"/>
        </w:rPr>
      </w:pPr>
    </w:p>
    <w:p w:rsidR="00E5359B" w:rsidRPr="00E63AD5" w:rsidRDefault="00E5359B" w:rsidP="00E5359B">
      <w:pPr>
        <w:autoSpaceDE w:val="0"/>
        <w:autoSpaceDN w:val="0"/>
        <w:adjustRightInd w:val="0"/>
        <w:spacing w:line="360" w:lineRule="auto"/>
        <w:jc w:val="both"/>
        <w:rPr>
          <w:rFonts w:ascii="Palatino Linotype" w:hAnsi="Palatino Linotype"/>
        </w:rPr>
      </w:pPr>
      <w:r w:rsidRPr="00E63AD5">
        <w:rPr>
          <w:rFonts w:ascii="Palatino Linotype" w:hAnsi="Palatino Linotype" w:cs="Arial"/>
        </w:rPr>
        <w:t>En cuanto al número de cuenta bancaria y clave interbancaria, de proveedores o personas físicas, es</w:t>
      </w:r>
      <w:r w:rsidRPr="00E63AD5">
        <w:rPr>
          <w:rFonts w:ascii="Palatino Linotype" w:hAnsi="Palatino Linotype"/>
        </w:rPr>
        <w:t xml:space="preserve"> información considera como confidencial ya que es información que atañe a su patrimonio, lo que se sustenta con el criterio número 10/17 emitido por el Instituto Nacional de Transparencia, que señala:</w:t>
      </w:r>
    </w:p>
    <w:p w:rsidR="00E5359B" w:rsidRPr="00E63AD5" w:rsidRDefault="00E5359B" w:rsidP="00E5359B">
      <w:pPr>
        <w:autoSpaceDE w:val="0"/>
        <w:autoSpaceDN w:val="0"/>
        <w:adjustRightInd w:val="0"/>
        <w:spacing w:line="360" w:lineRule="auto"/>
        <w:jc w:val="both"/>
        <w:rPr>
          <w:rFonts w:ascii="Palatino Linotype" w:hAnsi="Palatino Linotype"/>
          <w:color w:val="FF0000"/>
        </w:rPr>
      </w:pPr>
    </w:p>
    <w:p w:rsidR="00E5359B" w:rsidRPr="00E63AD5" w:rsidRDefault="00E5359B" w:rsidP="00E5359B">
      <w:pPr>
        <w:shd w:val="clear" w:color="auto" w:fill="FFFFFF"/>
        <w:spacing w:before="240" w:after="240" w:line="288" w:lineRule="atLeast"/>
        <w:ind w:left="851" w:right="851"/>
        <w:contextualSpacing/>
        <w:jc w:val="both"/>
        <w:rPr>
          <w:rFonts w:ascii="Palatino Linotype" w:hAnsi="Palatino Linotype"/>
          <w:i/>
          <w:iCs/>
          <w:sz w:val="22"/>
          <w:szCs w:val="22"/>
        </w:rPr>
      </w:pPr>
      <w:r w:rsidRPr="00E63AD5">
        <w:rPr>
          <w:rFonts w:ascii="Palatino Linotype" w:hAnsi="Palatino Linotype"/>
          <w:i/>
          <w:iCs/>
          <w:sz w:val="22"/>
          <w:szCs w:val="22"/>
        </w:rPr>
        <w:t xml:space="preserve">“Cuentas bancarias y/o CLABE interbancaria de personas físicas y morales privadas. </w:t>
      </w:r>
    </w:p>
    <w:p w:rsidR="00E5359B" w:rsidRPr="00E63AD5" w:rsidRDefault="00E5359B" w:rsidP="00E5359B">
      <w:pPr>
        <w:shd w:val="clear" w:color="auto" w:fill="FFFFFF"/>
        <w:spacing w:before="240" w:after="240" w:line="288" w:lineRule="atLeast"/>
        <w:ind w:left="851" w:right="851"/>
        <w:contextualSpacing/>
        <w:jc w:val="both"/>
        <w:rPr>
          <w:rFonts w:ascii="Palatino Linotype" w:hAnsi="Palatino Linotype"/>
          <w:i/>
          <w:iCs/>
          <w:sz w:val="22"/>
          <w:szCs w:val="22"/>
        </w:rPr>
      </w:pPr>
      <w:r w:rsidRPr="00E63AD5">
        <w:rPr>
          <w:rFonts w:ascii="Palatino Linotype" w:hAnsi="Palatino Linotype"/>
          <w:i/>
          <w:iCs/>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w:t>
      </w:r>
      <w:r w:rsidRPr="00E63AD5">
        <w:rPr>
          <w:rFonts w:ascii="Palatino Linotype" w:hAnsi="Palatino Linotype"/>
          <w:i/>
          <w:iCs/>
          <w:sz w:val="22"/>
          <w:szCs w:val="22"/>
        </w:rPr>
        <w:lastRenderedPageBreak/>
        <w:t xml:space="preserve">a la Información Pública y 113 de la Ley Federal de Transparencia y Acceso a la Información Pública. Resoluciones: </w:t>
      </w:r>
    </w:p>
    <w:p w:rsidR="00E5359B" w:rsidRPr="00E63AD5" w:rsidRDefault="00E5359B" w:rsidP="00E5359B">
      <w:pPr>
        <w:shd w:val="clear" w:color="auto" w:fill="FFFFFF"/>
        <w:spacing w:before="240" w:after="240" w:line="288" w:lineRule="atLeast"/>
        <w:ind w:left="851" w:right="851"/>
        <w:contextualSpacing/>
        <w:jc w:val="both"/>
        <w:rPr>
          <w:rFonts w:ascii="Palatino Linotype" w:hAnsi="Palatino Linotype"/>
          <w:i/>
          <w:iCs/>
          <w:sz w:val="22"/>
          <w:szCs w:val="22"/>
        </w:rPr>
      </w:pPr>
      <w:r w:rsidRPr="00E63AD5">
        <w:rPr>
          <w:rFonts w:ascii="Palatino Linotype" w:hAnsi="Palatino Linotype"/>
          <w:i/>
          <w:iCs/>
          <w:sz w:val="22"/>
          <w:szCs w:val="22"/>
        </w:rPr>
        <w:sym w:font="Symbol" w:char="F0B7"/>
      </w:r>
      <w:r w:rsidRPr="00E63AD5">
        <w:rPr>
          <w:rFonts w:ascii="Palatino Linotype" w:hAnsi="Palatino Linotype"/>
          <w:i/>
          <w:iCs/>
          <w:sz w:val="22"/>
          <w:szCs w:val="22"/>
        </w:rPr>
        <w:t xml:space="preserve"> RRA 1276/16 Grupo Aeroportuario de la Ciudad de México. S.A. de C.V. 01 de noviembre de 2016. Por unanimidad. Comisionada Ponente Areli Cano Guadiana. </w:t>
      </w:r>
    </w:p>
    <w:p w:rsidR="00E5359B" w:rsidRPr="00E63AD5" w:rsidRDefault="00E5359B" w:rsidP="00E5359B">
      <w:pPr>
        <w:shd w:val="clear" w:color="auto" w:fill="FFFFFF"/>
        <w:spacing w:before="240" w:after="240" w:line="288" w:lineRule="atLeast"/>
        <w:ind w:left="851" w:right="851"/>
        <w:contextualSpacing/>
        <w:jc w:val="both"/>
        <w:rPr>
          <w:rFonts w:ascii="Palatino Linotype" w:hAnsi="Palatino Linotype"/>
          <w:i/>
          <w:iCs/>
          <w:sz w:val="22"/>
          <w:szCs w:val="22"/>
        </w:rPr>
      </w:pPr>
      <w:r w:rsidRPr="00E63AD5">
        <w:rPr>
          <w:rFonts w:ascii="Palatino Linotype" w:hAnsi="Palatino Linotype"/>
          <w:i/>
          <w:iCs/>
          <w:sz w:val="22"/>
          <w:szCs w:val="22"/>
        </w:rPr>
        <w:sym w:font="Symbol" w:char="F0B7"/>
      </w:r>
      <w:r w:rsidRPr="00E63AD5">
        <w:rPr>
          <w:rFonts w:ascii="Palatino Linotype" w:hAnsi="Palatino Linotype"/>
          <w:i/>
          <w:iCs/>
          <w:sz w:val="22"/>
          <w:szCs w:val="22"/>
        </w:rPr>
        <w:t xml:space="preserve"> RRA 3527/16 Servicio de Administración Tributaria. 07 de diciembre de 2016. Por unanimidad. Comisionada Ponente Ximena Puente de la Mora. </w:t>
      </w:r>
    </w:p>
    <w:p w:rsidR="00E5359B" w:rsidRPr="00E63AD5" w:rsidRDefault="00E5359B" w:rsidP="00E5359B">
      <w:pPr>
        <w:shd w:val="clear" w:color="auto" w:fill="FFFFFF"/>
        <w:spacing w:before="240" w:after="240" w:line="288" w:lineRule="atLeast"/>
        <w:ind w:left="851" w:right="851"/>
        <w:contextualSpacing/>
        <w:jc w:val="both"/>
        <w:rPr>
          <w:rFonts w:ascii="Palatino Linotype" w:hAnsi="Palatino Linotype"/>
          <w:i/>
          <w:iCs/>
          <w:sz w:val="22"/>
          <w:szCs w:val="22"/>
        </w:rPr>
      </w:pPr>
      <w:r w:rsidRPr="00E63AD5">
        <w:rPr>
          <w:rFonts w:ascii="Palatino Linotype" w:hAnsi="Palatino Linotype"/>
          <w:i/>
          <w:iCs/>
          <w:sz w:val="22"/>
          <w:szCs w:val="22"/>
        </w:rPr>
        <w:sym w:font="Symbol" w:char="F0B7"/>
      </w:r>
      <w:r w:rsidRPr="00E63AD5">
        <w:rPr>
          <w:rFonts w:ascii="Palatino Linotype" w:hAnsi="Palatino Linotype"/>
          <w:i/>
          <w:iCs/>
          <w:sz w:val="22"/>
          <w:szCs w:val="22"/>
        </w:rPr>
        <w:t xml:space="preserve"> RRA 4404/16 Partido del Trabajo. 01 de febrero de 2017. Por unanimidad. Comisionado Ponente Francisco Acuña Llamas.” (Sic)</w:t>
      </w:r>
    </w:p>
    <w:p w:rsidR="00E5359B" w:rsidRPr="00E63AD5" w:rsidRDefault="00E5359B" w:rsidP="00E5359B">
      <w:pPr>
        <w:spacing w:line="360" w:lineRule="auto"/>
        <w:ind w:right="50"/>
        <w:jc w:val="both"/>
        <w:rPr>
          <w:rFonts w:ascii="Palatino Linotype" w:eastAsia="Palatino Linotype" w:hAnsi="Palatino Linotype" w:cs="Palatino Linotype"/>
        </w:rPr>
      </w:pPr>
    </w:p>
    <w:p w:rsidR="00E5359B" w:rsidRPr="00E63AD5" w:rsidRDefault="00E5359B" w:rsidP="00E5359B">
      <w:pPr>
        <w:spacing w:line="360" w:lineRule="auto"/>
        <w:ind w:right="51"/>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E5359B" w:rsidRPr="00E63AD5" w:rsidRDefault="00E5359B" w:rsidP="00E5359B">
      <w:pPr>
        <w:spacing w:line="360" w:lineRule="auto"/>
        <w:ind w:right="51"/>
        <w:jc w:val="both"/>
        <w:rPr>
          <w:rFonts w:ascii="Palatino Linotype" w:eastAsia="Palatino Linotype" w:hAnsi="Palatino Linotype" w:cs="Palatino Linotype"/>
        </w:rPr>
      </w:pPr>
    </w:p>
    <w:p w:rsidR="00E5359B" w:rsidRPr="00E63AD5" w:rsidRDefault="00E5359B" w:rsidP="00E5359B">
      <w:pPr>
        <w:ind w:left="992" w:right="1043"/>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“Artículo 49.</w:t>
      </w:r>
      <w:r w:rsidRPr="00E63AD5">
        <w:rPr>
          <w:rFonts w:ascii="Palatino Linotype" w:eastAsia="Palatino Linotype" w:hAnsi="Palatino Linotype" w:cs="Palatino Linotype"/>
          <w:i/>
          <w:sz w:val="22"/>
          <w:szCs w:val="22"/>
        </w:rPr>
        <w:t xml:space="preserve"> </w:t>
      </w:r>
      <w:r w:rsidRPr="00E63AD5">
        <w:rPr>
          <w:rFonts w:ascii="Palatino Linotype" w:eastAsia="Palatino Linotype" w:hAnsi="Palatino Linotype" w:cs="Palatino Linotype"/>
          <w:b/>
          <w:i/>
          <w:sz w:val="22"/>
          <w:szCs w:val="22"/>
        </w:rPr>
        <w:t>Los Comités de Transparencia</w:t>
      </w:r>
      <w:r w:rsidRPr="00E63AD5">
        <w:rPr>
          <w:rFonts w:ascii="Palatino Linotype" w:eastAsia="Palatino Linotype" w:hAnsi="Palatino Linotype" w:cs="Palatino Linotype"/>
          <w:i/>
          <w:sz w:val="22"/>
          <w:szCs w:val="22"/>
        </w:rPr>
        <w:t xml:space="preserve"> tendrán las siguientes atribuciones:</w:t>
      </w:r>
    </w:p>
    <w:p w:rsidR="00E5359B" w:rsidRPr="00E63AD5" w:rsidRDefault="00E5359B" w:rsidP="00E5359B">
      <w:pPr>
        <w:ind w:left="992" w:right="1043"/>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VIII. Aprobar, modificar o revocar la clasificación de la información</w:t>
      </w:r>
      <w:r w:rsidRPr="00E63AD5">
        <w:rPr>
          <w:rFonts w:ascii="Palatino Linotype" w:eastAsia="Palatino Linotype" w:hAnsi="Palatino Linotype" w:cs="Palatino Linotype"/>
          <w:i/>
          <w:sz w:val="22"/>
          <w:szCs w:val="22"/>
        </w:rPr>
        <w:t>…”</w:t>
      </w:r>
    </w:p>
    <w:p w:rsidR="00E5359B" w:rsidRPr="00E63AD5" w:rsidRDefault="00E5359B" w:rsidP="00E5359B">
      <w:pPr>
        <w:ind w:left="992" w:right="1043"/>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Artículo 53.</w:t>
      </w:r>
      <w:r w:rsidRPr="00E63AD5">
        <w:rPr>
          <w:rFonts w:ascii="Palatino Linotype" w:eastAsia="Palatino Linotype" w:hAnsi="Palatino Linotype" w:cs="Palatino Linotype"/>
          <w:i/>
          <w:sz w:val="22"/>
          <w:szCs w:val="22"/>
        </w:rPr>
        <w:t xml:space="preserve"> Las </w:t>
      </w:r>
      <w:r w:rsidRPr="00E63AD5">
        <w:rPr>
          <w:rFonts w:ascii="Palatino Linotype" w:eastAsia="Palatino Linotype" w:hAnsi="Palatino Linotype" w:cs="Palatino Linotype"/>
          <w:b/>
          <w:i/>
          <w:sz w:val="22"/>
          <w:szCs w:val="22"/>
        </w:rPr>
        <w:t>Unidades de Transparencia</w:t>
      </w:r>
      <w:r w:rsidRPr="00E63AD5">
        <w:rPr>
          <w:rFonts w:ascii="Palatino Linotype" w:eastAsia="Palatino Linotype" w:hAnsi="Palatino Linotype" w:cs="Palatino Linotype"/>
          <w:i/>
          <w:sz w:val="22"/>
          <w:szCs w:val="22"/>
        </w:rPr>
        <w:t xml:space="preserve"> tendrán las siguientes </w:t>
      </w:r>
      <w:r w:rsidRPr="00E63AD5">
        <w:rPr>
          <w:rFonts w:ascii="Palatino Linotype" w:eastAsia="Palatino Linotype" w:hAnsi="Palatino Linotype" w:cs="Palatino Linotype"/>
          <w:b/>
          <w:i/>
          <w:sz w:val="22"/>
          <w:szCs w:val="22"/>
        </w:rPr>
        <w:t>funciones</w:t>
      </w:r>
      <w:r w:rsidRPr="00E63AD5">
        <w:rPr>
          <w:rFonts w:ascii="Palatino Linotype" w:eastAsia="Palatino Linotype" w:hAnsi="Palatino Linotype" w:cs="Palatino Linotype"/>
          <w:i/>
          <w:sz w:val="22"/>
          <w:szCs w:val="22"/>
        </w:rPr>
        <w:t>:</w:t>
      </w:r>
    </w:p>
    <w:p w:rsidR="00E5359B" w:rsidRPr="00E63AD5" w:rsidRDefault="00E5359B" w:rsidP="00E5359B">
      <w:pPr>
        <w:ind w:left="992" w:right="1043"/>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X. Presentar ante el Comité, el proyecto de clasificación de información</w:t>
      </w:r>
      <w:r w:rsidRPr="00E63AD5">
        <w:rPr>
          <w:rFonts w:ascii="Palatino Linotype" w:eastAsia="Palatino Linotype" w:hAnsi="Palatino Linotype" w:cs="Palatino Linotype"/>
          <w:i/>
          <w:sz w:val="22"/>
          <w:szCs w:val="22"/>
        </w:rPr>
        <w:t xml:space="preserve">…” </w:t>
      </w:r>
    </w:p>
    <w:p w:rsidR="00E5359B" w:rsidRPr="00E63AD5" w:rsidRDefault="00E5359B" w:rsidP="00E5359B">
      <w:pPr>
        <w:ind w:left="992" w:right="1043"/>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“Artículo 59.</w:t>
      </w:r>
      <w:r w:rsidRPr="00E63AD5">
        <w:rPr>
          <w:rFonts w:ascii="Palatino Linotype" w:eastAsia="Palatino Linotype" w:hAnsi="Palatino Linotype" w:cs="Palatino Linotype"/>
          <w:i/>
          <w:sz w:val="22"/>
          <w:szCs w:val="22"/>
        </w:rPr>
        <w:t xml:space="preserve"> Los </w:t>
      </w:r>
      <w:r w:rsidRPr="00E63AD5">
        <w:rPr>
          <w:rFonts w:ascii="Palatino Linotype" w:eastAsia="Palatino Linotype" w:hAnsi="Palatino Linotype" w:cs="Palatino Linotype"/>
          <w:b/>
          <w:i/>
          <w:sz w:val="22"/>
          <w:szCs w:val="22"/>
        </w:rPr>
        <w:t>servidores públicos habilitados</w:t>
      </w:r>
      <w:r w:rsidRPr="00E63AD5">
        <w:rPr>
          <w:rFonts w:ascii="Palatino Linotype" w:eastAsia="Palatino Linotype" w:hAnsi="Palatino Linotype" w:cs="Palatino Linotype"/>
          <w:i/>
          <w:sz w:val="22"/>
          <w:szCs w:val="22"/>
        </w:rPr>
        <w:t xml:space="preserve"> tendrán las </w:t>
      </w:r>
      <w:r w:rsidRPr="00E63AD5">
        <w:rPr>
          <w:rFonts w:ascii="Palatino Linotype" w:eastAsia="Palatino Linotype" w:hAnsi="Palatino Linotype" w:cs="Palatino Linotype"/>
          <w:b/>
          <w:i/>
          <w:sz w:val="22"/>
          <w:szCs w:val="22"/>
        </w:rPr>
        <w:t>funciones</w:t>
      </w:r>
      <w:r w:rsidRPr="00E63AD5">
        <w:rPr>
          <w:rFonts w:ascii="Palatino Linotype" w:eastAsia="Palatino Linotype" w:hAnsi="Palatino Linotype" w:cs="Palatino Linotype"/>
          <w:i/>
          <w:sz w:val="22"/>
          <w:szCs w:val="22"/>
        </w:rPr>
        <w:t xml:space="preserve"> siguientes:</w:t>
      </w:r>
    </w:p>
    <w:p w:rsidR="00E5359B" w:rsidRPr="00E63AD5" w:rsidRDefault="00E5359B" w:rsidP="00E5359B">
      <w:pPr>
        <w:ind w:left="992" w:right="1043"/>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E63AD5">
        <w:rPr>
          <w:rFonts w:ascii="Palatino Linotype" w:eastAsia="Palatino Linotype" w:hAnsi="Palatino Linotype" w:cs="Palatino Linotype"/>
          <w:i/>
          <w:sz w:val="22"/>
          <w:szCs w:val="22"/>
        </w:rPr>
        <w:t>, la cual tendrá los fundamentos y argumentos en que se basa dicha propuesta…”</w:t>
      </w:r>
    </w:p>
    <w:p w:rsidR="00E5359B" w:rsidRPr="00E63AD5" w:rsidRDefault="00E5359B" w:rsidP="00E5359B">
      <w:pPr>
        <w:ind w:left="992" w:right="1043"/>
        <w:jc w:val="both"/>
        <w:rPr>
          <w:rFonts w:ascii="Palatino Linotype" w:eastAsia="Palatino Linotype" w:hAnsi="Palatino Linotype" w:cs="Palatino Linotype"/>
          <w:i/>
          <w:sz w:val="22"/>
          <w:szCs w:val="22"/>
        </w:rPr>
      </w:pPr>
    </w:p>
    <w:p w:rsidR="00E5359B" w:rsidRPr="00E63AD5" w:rsidRDefault="00E5359B" w:rsidP="00E5359B">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E5359B" w:rsidRPr="00E63AD5" w:rsidRDefault="00E5359B" w:rsidP="00E5359B">
      <w:pPr>
        <w:spacing w:line="360" w:lineRule="auto"/>
        <w:jc w:val="both"/>
        <w:rPr>
          <w:rFonts w:ascii="Palatino Linotype" w:eastAsia="Palatino Linotype" w:hAnsi="Palatino Linotype" w:cs="Palatino Linotype"/>
        </w:rPr>
      </w:pPr>
    </w:p>
    <w:p w:rsidR="00E5359B" w:rsidRPr="00E63AD5" w:rsidRDefault="00E5359B" w:rsidP="00E5359B">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E5359B" w:rsidRPr="00E63AD5" w:rsidRDefault="00E5359B" w:rsidP="00E5359B">
      <w:pPr>
        <w:spacing w:line="360" w:lineRule="auto"/>
        <w:jc w:val="both"/>
        <w:rPr>
          <w:rFonts w:ascii="Palatino Linotype" w:eastAsia="Palatino Linotype" w:hAnsi="Palatino Linotype" w:cs="Palatino Linotype"/>
        </w:rPr>
      </w:pPr>
    </w:p>
    <w:p w:rsidR="00E5359B" w:rsidRPr="00E63AD5" w:rsidRDefault="00E5359B" w:rsidP="00E5359B">
      <w:pPr>
        <w:spacing w:after="240"/>
        <w:ind w:left="993" w:right="1041"/>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Artículo 149.</w:t>
      </w:r>
      <w:r w:rsidRPr="00E63AD5">
        <w:rPr>
          <w:rFonts w:ascii="Palatino Linotype" w:eastAsia="Palatino Linotype" w:hAnsi="Palatino Linotype" w:cs="Palatino Linotype"/>
          <w:i/>
          <w:sz w:val="22"/>
          <w:szCs w:val="22"/>
        </w:rPr>
        <w:t xml:space="preserve"> El </w:t>
      </w:r>
      <w:r w:rsidRPr="00E63AD5">
        <w:rPr>
          <w:rFonts w:ascii="Palatino Linotype" w:eastAsia="Palatino Linotype" w:hAnsi="Palatino Linotype" w:cs="Palatino Linotype"/>
          <w:b/>
          <w:i/>
          <w:sz w:val="22"/>
          <w:szCs w:val="22"/>
        </w:rPr>
        <w:t>acuerdo que clasifique la información como confidencial</w:t>
      </w:r>
      <w:r w:rsidRPr="00E63AD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E5359B" w:rsidRPr="00E63AD5" w:rsidRDefault="00E5359B" w:rsidP="00E5359B">
      <w:pPr>
        <w:spacing w:before="240" w:after="240"/>
        <w:ind w:left="993" w:right="1041"/>
        <w:jc w:val="both"/>
        <w:rPr>
          <w:rFonts w:ascii="Palatino Linotype" w:eastAsia="Palatino Linotype" w:hAnsi="Palatino Linotype" w:cs="Palatino Linotype"/>
          <w:i/>
          <w:sz w:val="22"/>
          <w:szCs w:val="22"/>
        </w:rPr>
      </w:pPr>
    </w:p>
    <w:p w:rsidR="00E5359B" w:rsidRPr="00E63AD5" w:rsidRDefault="00E5359B" w:rsidP="00E5359B">
      <w:pPr>
        <w:spacing w:before="240" w:after="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 xml:space="preserve">Es decir,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E5359B" w:rsidRPr="00E63AD5" w:rsidRDefault="00E5359B" w:rsidP="00E5359B">
      <w:pPr>
        <w:spacing w:before="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Al respecto, se destaca que la versión pública que elabore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debe cumplir con las formalidades exigidas en la Ley; es decir, resulta necesario que el Comité de Transparencia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63AD5">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E63AD5">
        <w:rPr>
          <w:rFonts w:ascii="Palatino Linotype" w:eastAsia="Palatino Linotype" w:hAnsi="Palatino Linotype" w:cs="Palatino Linotype"/>
        </w:rPr>
        <w:t xml:space="preserve">, publicados en el Diario Oficial de la Federación en fecha quince de abril del año dos mil dieciséis, mediante Acuerdo </w:t>
      </w:r>
      <w:r w:rsidRPr="00E63AD5">
        <w:rPr>
          <w:rFonts w:ascii="Palatino Linotype" w:eastAsia="Palatino Linotype" w:hAnsi="Palatino Linotype" w:cs="Palatino Linotype"/>
        </w:rPr>
        <w:lastRenderedPageBreak/>
        <w:t>del Consejo Nacional del Sistema Nacional de Transparencia, Acceso a la Información Pública y Protección de Datos Personales, que literalmente expresan:</w:t>
      </w:r>
    </w:p>
    <w:p w:rsidR="00E5359B" w:rsidRPr="00E63AD5" w:rsidRDefault="00E5359B" w:rsidP="00E5359B">
      <w:pPr>
        <w:ind w:left="709" w:right="709"/>
        <w:jc w:val="both"/>
        <w:rPr>
          <w:rFonts w:ascii="Palatino Linotype" w:eastAsia="Palatino Linotype" w:hAnsi="Palatino Linotype" w:cs="Palatino Linotype"/>
          <w:b/>
          <w:i/>
          <w:sz w:val="22"/>
          <w:szCs w:val="22"/>
        </w:rPr>
      </w:pPr>
    </w:p>
    <w:p w:rsidR="00E5359B" w:rsidRPr="00E63AD5" w:rsidRDefault="00E5359B" w:rsidP="00E5359B">
      <w:pPr>
        <w:ind w:left="709" w:right="709"/>
        <w:jc w:val="both"/>
        <w:rPr>
          <w:rFonts w:ascii="Palatino Linotype" w:eastAsia="Palatino Linotype" w:hAnsi="Palatino Linotype" w:cs="Palatino Linotype"/>
          <w:b/>
          <w:i/>
          <w:sz w:val="22"/>
          <w:szCs w:val="22"/>
        </w:rPr>
      </w:pPr>
      <w:r w:rsidRPr="00E63AD5">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r w:rsidRPr="00E63AD5">
        <w:rPr>
          <w:rFonts w:ascii="Palatino Linotype" w:eastAsia="Palatino Linotype" w:hAnsi="Palatino Linotype" w:cs="Palatino Linotype"/>
          <w:b/>
          <w:i/>
          <w:sz w:val="22"/>
          <w:szCs w:val="22"/>
        </w:rPr>
        <w:t>Segundo.-</w:t>
      </w:r>
      <w:r w:rsidRPr="00E63AD5">
        <w:rPr>
          <w:rFonts w:ascii="Palatino Linotype" w:eastAsia="Palatino Linotype" w:hAnsi="Palatino Linotype" w:cs="Palatino Linotype"/>
          <w:i/>
          <w:sz w:val="22"/>
          <w:szCs w:val="22"/>
        </w:rPr>
        <w:t xml:space="preserve"> Para efectos de los presentes Lineamientos Generales, se entenderá por:</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XVIII.</w:t>
      </w:r>
      <w:r w:rsidRPr="00E63AD5">
        <w:rPr>
          <w:rFonts w:ascii="Palatino Linotype" w:eastAsia="Palatino Linotype" w:hAnsi="Palatino Linotype" w:cs="Palatino Linotype"/>
          <w:i/>
          <w:sz w:val="22"/>
          <w:szCs w:val="22"/>
        </w:rPr>
        <w:t xml:space="preserve"> </w:t>
      </w:r>
      <w:r w:rsidRPr="00E63AD5">
        <w:rPr>
          <w:rFonts w:ascii="Palatino Linotype" w:eastAsia="Palatino Linotype" w:hAnsi="Palatino Linotype" w:cs="Palatino Linotype"/>
          <w:b/>
          <w:i/>
          <w:sz w:val="22"/>
          <w:szCs w:val="22"/>
        </w:rPr>
        <w:t>Versión pública:</w:t>
      </w:r>
      <w:r w:rsidRPr="00E63AD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63AD5">
        <w:rPr>
          <w:rFonts w:ascii="Palatino Linotype" w:eastAsia="Palatino Linotype" w:hAnsi="Palatino Linotype" w:cs="Palatino Linotype"/>
          <w:b/>
          <w:i/>
          <w:sz w:val="22"/>
          <w:szCs w:val="22"/>
          <w:u w:val="single"/>
        </w:rPr>
        <w:t>fundando y motivando la</w:t>
      </w:r>
      <w:r w:rsidRPr="00E63AD5">
        <w:rPr>
          <w:rFonts w:ascii="Palatino Linotype" w:eastAsia="Palatino Linotype" w:hAnsi="Palatino Linotype" w:cs="Palatino Linotype"/>
          <w:i/>
          <w:sz w:val="22"/>
          <w:szCs w:val="22"/>
        </w:rPr>
        <w:t xml:space="preserve"> reserva o </w:t>
      </w:r>
      <w:r w:rsidRPr="00E63AD5">
        <w:rPr>
          <w:rFonts w:ascii="Palatino Linotype" w:eastAsia="Palatino Linotype" w:hAnsi="Palatino Linotype" w:cs="Palatino Linotype"/>
          <w:b/>
          <w:i/>
          <w:sz w:val="22"/>
          <w:szCs w:val="22"/>
          <w:u w:val="single"/>
        </w:rPr>
        <w:t>confidencialidad</w:t>
      </w:r>
      <w:r w:rsidRPr="00E63AD5">
        <w:rPr>
          <w:rFonts w:ascii="Palatino Linotype" w:eastAsia="Palatino Linotype" w:hAnsi="Palatino Linotype" w:cs="Palatino Linotype"/>
          <w:i/>
          <w:sz w:val="22"/>
          <w:szCs w:val="22"/>
        </w:rPr>
        <w:t>, a través de la resolución que para tal efecto emita el Comité de Transparencia.</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Cuarto.</w:t>
      </w:r>
      <w:r w:rsidRPr="00E63AD5">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Quinto.</w:t>
      </w:r>
      <w:r w:rsidRPr="00E63AD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Sexto.</w:t>
      </w:r>
      <w:r w:rsidRPr="00E63AD5">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Séptimo.</w:t>
      </w:r>
      <w:r w:rsidRPr="00E63AD5">
        <w:rPr>
          <w:rFonts w:ascii="Palatino Linotype" w:eastAsia="Palatino Linotype" w:hAnsi="Palatino Linotype" w:cs="Palatino Linotype"/>
          <w:i/>
          <w:sz w:val="22"/>
          <w:szCs w:val="22"/>
        </w:rPr>
        <w:t xml:space="preserve"> La clasificación de la información se llevará a cabo en el momento en que:</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lastRenderedPageBreak/>
        <w:t>I.</w:t>
      </w:r>
      <w:r w:rsidRPr="00E63AD5">
        <w:rPr>
          <w:rFonts w:ascii="Palatino Linotype" w:eastAsia="Palatino Linotype" w:hAnsi="Palatino Linotype" w:cs="Palatino Linotype"/>
          <w:i/>
          <w:sz w:val="22"/>
          <w:szCs w:val="22"/>
        </w:rPr>
        <w:t xml:space="preserve"> Se reciba una solicitud de acceso a la información;</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II.</w:t>
      </w:r>
      <w:r w:rsidRPr="00E63AD5">
        <w:rPr>
          <w:rFonts w:ascii="Palatino Linotype" w:eastAsia="Palatino Linotype" w:hAnsi="Palatino Linotype" w:cs="Palatino Linotype"/>
          <w:i/>
          <w:sz w:val="22"/>
          <w:szCs w:val="22"/>
        </w:rPr>
        <w:t xml:space="preserve"> Se determine mediante resolución de autoridad competente, o</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III.</w:t>
      </w:r>
      <w:r w:rsidRPr="00E63AD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Octavo.</w:t>
      </w:r>
      <w:r w:rsidRPr="00E63AD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Noveno.</w:t>
      </w:r>
      <w:r w:rsidRPr="00E63AD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Décimo.</w:t>
      </w:r>
      <w:r w:rsidRPr="00E63AD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Décimo primero.</w:t>
      </w:r>
      <w:r w:rsidRPr="00E63AD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p>
    <w:p w:rsidR="00E5359B" w:rsidRPr="00E63AD5" w:rsidRDefault="00E5359B" w:rsidP="00E5359B">
      <w:pPr>
        <w:ind w:left="709" w:right="709"/>
        <w:jc w:val="center"/>
        <w:rPr>
          <w:rFonts w:ascii="Palatino Linotype" w:eastAsia="Palatino Linotype" w:hAnsi="Palatino Linotype" w:cs="Palatino Linotype"/>
          <w:b/>
          <w:i/>
          <w:sz w:val="22"/>
          <w:szCs w:val="22"/>
        </w:rPr>
      </w:pPr>
      <w:r w:rsidRPr="00E63AD5">
        <w:rPr>
          <w:rFonts w:ascii="Palatino Linotype" w:eastAsia="Palatino Linotype" w:hAnsi="Palatino Linotype" w:cs="Palatino Linotype"/>
          <w:b/>
          <w:i/>
          <w:sz w:val="22"/>
          <w:szCs w:val="22"/>
        </w:rPr>
        <w:t>CAPÍTULO VIII</w:t>
      </w:r>
    </w:p>
    <w:p w:rsidR="00E5359B" w:rsidRPr="00E63AD5" w:rsidRDefault="00E5359B" w:rsidP="00E5359B">
      <w:pPr>
        <w:ind w:left="709" w:right="709"/>
        <w:jc w:val="center"/>
        <w:rPr>
          <w:rFonts w:ascii="Palatino Linotype" w:eastAsia="Palatino Linotype" w:hAnsi="Palatino Linotype" w:cs="Palatino Linotype"/>
          <w:b/>
          <w:i/>
          <w:sz w:val="22"/>
          <w:szCs w:val="22"/>
        </w:rPr>
      </w:pPr>
      <w:r w:rsidRPr="00E63AD5">
        <w:rPr>
          <w:rFonts w:ascii="Palatino Linotype" w:eastAsia="Palatino Linotype" w:hAnsi="Palatino Linotype" w:cs="Palatino Linotype"/>
          <w:b/>
          <w:i/>
          <w:sz w:val="22"/>
          <w:szCs w:val="22"/>
        </w:rPr>
        <w:t>DE LA LEYENDA DE CLASIFICACIÓN</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 xml:space="preserve">Quincuagésimo. </w:t>
      </w:r>
      <w:r w:rsidRPr="00E63AD5">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E63AD5">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E5359B" w:rsidRPr="00E63AD5" w:rsidRDefault="00E5359B" w:rsidP="00E5359B">
      <w:pPr>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i/>
          <w:sz w:val="22"/>
          <w:szCs w:val="22"/>
        </w:rPr>
        <w:t>[…]</w:t>
      </w:r>
    </w:p>
    <w:p w:rsidR="00E5359B" w:rsidRPr="00E63AD5" w:rsidRDefault="00E5359B" w:rsidP="00E5359B">
      <w:pPr>
        <w:spacing w:after="160"/>
        <w:ind w:left="709" w:right="709"/>
        <w:jc w:val="both"/>
        <w:rPr>
          <w:rFonts w:ascii="Palatino Linotype" w:eastAsia="Palatino Linotype" w:hAnsi="Palatino Linotype" w:cs="Palatino Linotype"/>
          <w:i/>
          <w:sz w:val="22"/>
          <w:szCs w:val="22"/>
        </w:rPr>
      </w:pPr>
      <w:r w:rsidRPr="00E63AD5">
        <w:rPr>
          <w:rFonts w:ascii="Palatino Linotype" w:eastAsia="Palatino Linotype" w:hAnsi="Palatino Linotype" w:cs="Palatino Linotype"/>
          <w:b/>
          <w:i/>
          <w:sz w:val="22"/>
          <w:szCs w:val="22"/>
        </w:rPr>
        <w:t xml:space="preserve">Quincuagésimo tercero. </w:t>
      </w:r>
      <w:r w:rsidRPr="00E63AD5">
        <w:rPr>
          <w:rFonts w:ascii="Palatino Linotype" w:eastAsia="Palatino Linotype" w:hAnsi="Palatino Linotype" w:cs="Palatino Linotype"/>
          <w:b/>
          <w:i/>
          <w:sz w:val="22"/>
          <w:szCs w:val="22"/>
          <w:u w:val="single"/>
        </w:rPr>
        <w:t>El formato para señalar la clasificación parcial de un documento</w:t>
      </w:r>
      <w:r w:rsidRPr="00E63AD5">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E5359B" w:rsidRPr="00E63AD5" w:rsidTr="004C6034">
        <w:trPr>
          <w:jc w:val="center"/>
        </w:trPr>
        <w:tc>
          <w:tcPr>
            <w:tcW w:w="1159" w:type="dxa"/>
            <w:tcBorders>
              <w:top w:val="nil"/>
              <w:left w:val="nil"/>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b/>
                <w:i/>
              </w:rPr>
            </w:pPr>
            <w:r w:rsidRPr="00E63AD5">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b/>
                <w:i/>
              </w:rPr>
            </w:pPr>
            <w:r w:rsidRPr="00E63AD5">
              <w:rPr>
                <w:rFonts w:ascii="Palatino Linotype" w:eastAsia="Palatino Linotype" w:hAnsi="Palatino Linotype" w:cs="Palatino Linotype"/>
                <w:b/>
                <w:i/>
              </w:rPr>
              <w:t>Dónde:</w:t>
            </w:r>
          </w:p>
        </w:tc>
      </w:tr>
      <w:tr w:rsidR="00E5359B" w:rsidRPr="00E63AD5" w:rsidTr="004C6034">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jc w:val="center"/>
              <w:rPr>
                <w:rFonts w:ascii="Palatino Linotype" w:eastAsia="Palatino Linotype" w:hAnsi="Palatino Linotype" w:cs="Palatino Linotype"/>
                <w:b/>
                <w:i/>
              </w:rPr>
            </w:pPr>
            <w:r w:rsidRPr="00E63AD5">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Se anotará la fecha en la que el Comité de Transparencia confirmó la clasificación del documento, en su caso.</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Se señalará el nombre del área del cual es titular quien clasifica.</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sidRPr="00E63AD5">
              <w:rPr>
                <w:rFonts w:ascii="Palatino Linotype" w:eastAsia="Palatino Linotype" w:hAnsi="Palatino Linotype" w:cs="Palatino Linotype"/>
                <w:i/>
              </w:rPr>
              <w:t>anotarán</w:t>
            </w:r>
            <w:proofErr w:type="gramEnd"/>
            <w:r w:rsidRPr="00E63AD5">
              <w:rPr>
                <w:rFonts w:ascii="Palatino Linotype" w:eastAsia="Palatino Linotype" w:hAnsi="Palatino Linotype" w:cs="Palatino Linotype"/>
                <w:i/>
              </w:rPr>
              <w:t xml:space="preserve"> todas las páginas que lo conforman. Si el documento no contiene información reservada, se tachará este apartado.</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Se anotará el número de años o meses por los que se mantendrá el documento o las partes del mismo como reservado.</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Se señalará el nombre del ordenamiento, el o los artículos, fracción(es), párrafo(s) con base en los cuales se sustente la reserva.</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Rúbrica autógrafa de quien clasifica.</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both"/>
              <w:rPr>
                <w:rFonts w:ascii="Palatino Linotype" w:eastAsia="Palatino Linotype" w:hAnsi="Palatino Linotype" w:cs="Palatino Linotype"/>
                <w:i/>
              </w:rPr>
            </w:pPr>
            <w:r w:rsidRPr="00E63AD5">
              <w:rPr>
                <w:rFonts w:ascii="Palatino Linotype" w:eastAsia="Palatino Linotype" w:hAnsi="Palatino Linotype" w:cs="Palatino Linotype"/>
                <w:i/>
              </w:rPr>
              <w:t>Se anotará la fecha en que se desclasifica el documento.</w:t>
            </w:r>
          </w:p>
        </w:tc>
      </w:tr>
      <w:tr w:rsidR="00E5359B" w:rsidRPr="00E63AD5" w:rsidTr="004C6034">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E5359B" w:rsidRPr="00E63AD5" w:rsidRDefault="00E5359B" w:rsidP="004C6034">
            <w:pPr>
              <w:jc w:val="center"/>
              <w:rPr>
                <w:rFonts w:ascii="Palatino Linotype" w:eastAsia="Palatino Linotype" w:hAnsi="Palatino Linotype" w:cs="Palatino Linotype"/>
                <w:i/>
              </w:rPr>
            </w:pPr>
            <w:r w:rsidRPr="00E63AD5">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E5359B" w:rsidRPr="00E63AD5" w:rsidRDefault="00E5359B" w:rsidP="004C6034">
            <w:pPr>
              <w:rPr>
                <w:rFonts w:ascii="Palatino Linotype" w:eastAsia="Palatino Linotype" w:hAnsi="Palatino Linotype" w:cs="Palatino Linotype"/>
                <w:i/>
              </w:rPr>
            </w:pPr>
            <w:r w:rsidRPr="00E63AD5">
              <w:rPr>
                <w:rFonts w:ascii="Palatino Linotype" w:eastAsia="Palatino Linotype" w:hAnsi="Palatino Linotype" w:cs="Palatino Linotype"/>
                <w:i/>
              </w:rPr>
              <w:t>Rúbrica autógrafa de quien desclasifica.</w:t>
            </w:r>
          </w:p>
        </w:tc>
      </w:tr>
    </w:tbl>
    <w:p w:rsidR="00E5359B" w:rsidRPr="00E63AD5" w:rsidRDefault="00E5359B" w:rsidP="00E5359B">
      <w:pPr>
        <w:spacing w:before="240" w:line="360" w:lineRule="auto"/>
        <w:ind w:right="51"/>
        <w:jc w:val="both"/>
        <w:rPr>
          <w:rFonts w:ascii="Palatino Linotype" w:eastAsia="Palatino Linotype" w:hAnsi="Palatino Linotype" w:cs="Palatino Linotype"/>
        </w:rPr>
      </w:pPr>
    </w:p>
    <w:p w:rsidR="00E5359B" w:rsidRPr="00E63AD5" w:rsidRDefault="00E5359B" w:rsidP="00E5359B">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rsidR="00E5359B" w:rsidRPr="00E63AD5" w:rsidRDefault="00E5359B" w:rsidP="00E5359B">
      <w:pPr>
        <w:spacing w:line="360" w:lineRule="auto"/>
        <w:jc w:val="both"/>
        <w:rPr>
          <w:rFonts w:ascii="Palatino Linotype" w:eastAsia="Palatino Linotype" w:hAnsi="Palatino Linotype" w:cs="Palatino Linotype"/>
        </w:rPr>
      </w:pPr>
    </w:p>
    <w:p w:rsidR="00E5359B" w:rsidRPr="00E63AD5" w:rsidRDefault="00E5359B" w:rsidP="00E5359B">
      <w:pPr>
        <w:shd w:val="clear" w:color="auto" w:fill="FFFFFF"/>
        <w:spacing w:line="360" w:lineRule="auto"/>
        <w:ind w:right="51"/>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w:t>
      </w:r>
    </w:p>
    <w:p w:rsidR="00E5359B" w:rsidRPr="00E63AD5" w:rsidRDefault="00E5359B" w:rsidP="00E5359B">
      <w:pPr>
        <w:spacing w:line="360" w:lineRule="auto"/>
        <w:jc w:val="both"/>
        <w:rPr>
          <w:rFonts w:ascii="Palatino Linotype" w:eastAsia="Palatino Linotype" w:hAnsi="Palatino Linotype" w:cs="Palatino Linotype"/>
        </w:rPr>
      </w:pPr>
    </w:p>
    <w:p w:rsidR="00E5359B" w:rsidRPr="00E63AD5" w:rsidRDefault="00E5359B" w:rsidP="00E5359B">
      <w:pPr>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w:t>
      </w:r>
      <w:r w:rsidRPr="00E63AD5">
        <w:rPr>
          <w:rFonts w:ascii="Palatino Linotype" w:eastAsia="Palatino Linotype" w:hAnsi="Palatino Linotype" w:cs="Palatino Linotype"/>
        </w:rPr>
        <w:lastRenderedPageBreak/>
        <w:t>suprima aquella información relacionada con la vida privada de los servidores públicos.</w:t>
      </w:r>
    </w:p>
    <w:p w:rsidR="004D0F5F" w:rsidRPr="00E63AD5" w:rsidRDefault="004D0F5F">
      <w:pPr>
        <w:ind w:left="567" w:right="567"/>
        <w:jc w:val="both"/>
        <w:rPr>
          <w:rFonts w:ascii="Palatino Linotype" w:eastAsia="Palatino Linotype" w:hAnsi="Palatino Linotype" w:cs="Palatino Linotype"/>
          <w:i/>
          <w:sz w:val="22"/>
          <w:szCs w:val="22"/>
        </w:rPr>
      </w:pPr>
    </w:p>
    <w:p w:rsidR="004D0F5F" w:rsidRPr="00E63AD5" w:rsidRDefault="009750A5">
      <w:pPr>
        <w:spacing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4D0F5F" w:rsidRPr="00E63AD5" w:rsidRDefault="009750A5">
      <w:pPr>
        <w:spacing w:before="240" w:line="360" w:lineRule="auto"/>
        <w:ind w:left="360"/>
        <w:jc w:val="center"/>
        <w:rPr>
          <w:rFonts w:ascii="Palatino Linotype" w:eastAsia="Palatino Linotype" w:hAnsi="Palatino Linotype" w:cs="Palatino Linotype"/>
          <w:b/>
        </w:rPr>
      </w:pPr>
      <w:r w:rsidRPr="00E63AD5">
        <w:rPr>
          <w:rFonts w:ascii="Palatino Linotype" w:eastAsia="Palatino Linotype" w:hAnsi="Palatino Linotype" w:cs="Palatino Linotype"/>
          <w:b/>
        </w:rPr>
        <w:t>III.R E S U E L V E:</w:t>
      </w:r>
    </w:p>
    <w:p w:rsidR="00E5359B" w:rsidRPr="00E63AD5" w:rsidRDefault="00E5359B" w:rsidP="00E5359B">
      <w:pPr>
        <w:spacing w:after="240" w:line="360" w:lineRule="auto"/>
        <w:jc w:val="both"/>
        <w:rPr>
          <w:rFonts w:ascii="Palatino Linotype" w:eastAsia="Palatino Linotype" w:hAnsi="Palatino Linotype" w:cs="Palatino Linotype"/>
        </w:rPr>
      </w:pPr>
      <w:bookmarkStart w:id="5" w:name="_heading=h.3znysh7" w:colFirst="0" w:colLast="0"/>
      <w:bookmarkEnd w:id="5"/>
      <w:r w:rsidRPr="00E63AD5">
        <w:rPr>
          <w:rFonts w:ascii="Palatino Linotype" w:eastAsia="Palatino Linotype" w:hAnsi="Palatino Linotype" w:cs="Palatino Linotype"/>
          <w:b/>
        </w:rPr>
        <w:t xml:space="preserve">Primero. </w:t>
      </w:r>
      <w:r w:rsidRPr="00E63AD5">
        <w:rPr>
          <w:rFonts w:ascii="Palatino Linotype" w:eastAsia="Palatino Linotype" w:hAnsi="Palatino Linotype" w:cs="Palatino Linotype"/>
        </w:rPr>
        <w:t xml:space="preserve">Resultan parcialmente fundadas las razones o motivos de inconformidad hechos valer por la parte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 xml:space="preserve">, en el recurso de revisión </w:t>
      </w:r>
      <w:r w:rsidRPr="00E63AD5">
        <w:rPr>
          <w:rFonts w:ascii="Palatino Linotype" w:eastAsia="Palatino Linotype" w:hAnsi="Palatino Linotype" w:cs="Palatino Linotype"/>
          <w:b/>
        </w:rPr>
        <w:t>15764/INFOEM/IP/RR/2022</w:t>
      </w:r>
      <w:r w:rsidRPr="00E63AD5">
        <w:rPr>
          <w:rFonts w:ascii="Palatino Linotype" w:eastAsia="Palatino Linotype" w:hAnsi="Palatino Linotype" w:cs="Palatino Linotype"/>
        </w:rPr>
        <w:t xml:space="preserve">; por lo que, en términos del considerando </w:t>
      </w:r>
      <w:r w:rsidRPr="00E63AD5">
        <w:rPr>
          <w:rFonts w:ascii="Palatino Linotype" w:eastAsia="Palatino Linotype" w:hAnsi="Palatino Linotype" w:cs="Palatino Linotype"/>
          <w:b/>
        </w:rPr>
        <w:t xml:space="preserve">Cuarto </w:t>
      </w:r>
      <w:r w:rsidRPr="00E63AD5">
        <w:rPr>
          <w:rFonts w:ascii="Palatino Linotype" w:eastAsia="Palatino Linotype" w:hAnsi="Palatino Linotype" w:cs="Palatino Linotype"/>
        </w:rPr>
        <w:t xml:space="preserve">de esta resolución, se </w:t>
      </w:r>
      <w:r w:rsidRPr="00E63AD5">
        <w:rPr>
          <w:rFonts w:ascii="Palatino Linotype" w:eastAsia="Palatino Linotype" w:hAnsi="Palatino Linotype" w:cs="Palatino Linotype"/>
          <w:b/>
        </w:rPr>
        <w:t xml:space="preserve">MODIFICA </w:t>
      </w:r>
      <w:r w:rsidRPr="00E63AD5">
        <w:rPr>
          <w:rFonts w:ascii="Palatino Linotype" w:eastAsia="Palatino Linotype" w:hAnsi="Palatino Linotype" w:cs="Palatino Linotype"/>
        </w:rPr>
        <w:t xml:space="preserve">la respuesta emitida por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w:t>
      </w:r>
    </w:p>
    <w:p w:rsidR="00E5359B" w:rsidRPr="00E63AD5" w:rsidRDefault="00E5359B" w:rsidP="00E5359B">
      <w:pPr>
        <w:spacing w:before="240" w:after="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b/>
        </w:rPr>
        <w:t xml:space="preserve">Segundo. </w:t>
      </w:r>
      <w:r w:rsidRPr="00E63AD5">
        <w:rPr>
          <w:rFonts w:ascii="Palatino Linotype" w:eastAsia="Palatino Linotype" w:hAnsi="Palatino Linotype" w:cs="Palatino Linotype"/>
        </w:rPr>
        <w:t xml:space="preserve">Se </w:t>
      </w:r>
      <w:r w:rsidRPr="00E63AD5">
        <w:rPr>
          <w:rFonts w:ascii="Palatino Linotype" w:eastAsia="Palatino Linotype" w:hAnsi="Palatino Linotype" w:cs="Palatino Linotype"/>
          <w:b/>
        </w:rPr>
        <w:t xml:space="preserve">Ordena </w:t>
      </w:r>
      <w:r w:rsidRPr="00E63AD5">
        <w:rPr>
          <w:rFonts w:ascii="Palatino Linotype" w:eastAsia="Palatino Linotype" w:hAnsi="Palatino Linotype" w:cs="Palatino Linotype"/>
        </w:rPr>
        <w:t xml:space="preserve">al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a que, en términos del considerando </w:t>
      </w:r>
      <w:r w:rsidRPr="00E63AD5">
        <w:rPr>
          <w:rFonts w:ascii="Palatino Linotype" w:eastAsia="Palatino Linotype" w:hAnsi="Palatino Linotype" w:cs="Palatino Linotype"/>
          <w:b/>
        </w:rPr>
        <w:t xml:space="preserve">Cuarto </w:t>
      </w:r>
      <w:r w:rsidRPr="00E63AD5">
        <w:rPr>
          <w:rFonts w:ascii="Palatino Linotype" w:eastAsia="Palatino Linotype" w:hAnsi="Palatino Linotype" w:cs="Palatino Linotype"/>
        </w:rPr>
        <w:t xml:space="preserve">y </w:t>
      </w:r>
      <w:r w:rsidRPr="00E63AD5">
        <w:rPr>
          <w:rFonts w:ascii="Palatino Linotype" w:eastAsia="Palatino Linotype" w:hAnsi="Palatino Linotype" w:cs="Palatino Linotype"/>
          <w:b/>
        </w:rPr>
        <w:t xml:space="preserve">Quinto </w:t>
      </w:r>
      <w:r w:rsidRPr="00E63AD5">
        <w:rPr>
          <w:rFonts w:ascii="Palatino Linotype" w:eastAsia="Palatino Linotype" w:hAnsi="Palatino Linotype" w:cs="Palatino Linotype"/>
        </w:rPr>
        <w:t xml:space="preserve">de esta resolución, haga entrega al </w:t>
      </w:r>
      <w:r w:rsidRPr="00E63AD5">
        <w:rPr>
          <w:rFonts w:ascii="Palatino Linotype" w:eastAsia="Palatino Linotype" w:hAnsi="Palatino Linotype" w:cs="Palatino Linotype"/>
          <w:b/>
        </w:rPr>
        <w:t>RECURRENTE</w:t>
      </w:r>
      <w:r w:rsidRPr="00E63AD5">
        <w:rPr>
          <w:rFonts w:ascii="Palatino Linotype" w:eastAsia="Palatino Linotype" w:hAnsi="Palatino Linotype" w:cs="Palatino Linotype"/>
        </w:rPr>
        <w:t xml:space="preserve"> vía SAIMEX</w:t>
      </w:r>
      <w:r w:rsidRPr="00E63AD5">
        <w:rPr>
          <w:rFonts w:ascii="Palatino Linotype" w:eastAsia="Palatino Linotype" w:hAnsi="Palatino Linotype" w:cs="Palatino Linotype"/>
          <w:b/>
        </w:rPr>
        <w:t xml:space="preserve">, </w:t>
      </w:r>
      <w:r w:rsidR="002B678F" w:rsidRPr="00E63AD5">
        <w:rPr>
          <w:rFonts w:ascii="Palatino Linotype" w:eastAsia="Palatino Linotype" w:hAnsi="Palatino Linotype" w:cs="Palatino Linotype"/>
        </w:rPr>
        <w:t xml:space="preserve">de ser el caso </w:t>
      </w:r>
      <w:r w:rsidRPr="00E63AD5">
        <w:rPr>
          <w:rFonts w:ascii="Palatino Linotype" w:eastAsia="Palatino Linotype" w:hAnsi="Palatino Linotype" w:cs="Palatino Linotype"/>
        </w:rPr>
        <w:t>en versión pública, de lo siguiente:</w:t>
      </w:r>
    </w:p>
    <w:p w:rsidR="00A73348" w:rsidRPr="00E63AD5" w:rsidRDefault="00A73348" w:rsidP="008C7858">
      <w:pPr>
        <w:pStyle w:val="Prrafodelista"/>
        <w:numPr>
          <w:ilvl w:val="0"/>
          <w:numId w:val="6"/>
        </w:numPr>
        <w:spacing w:before="240" w:after="240" w:line="360" w:lineRule="auto"/>
        <w:ind w:right="49"/>
        <w:jc w:val="both"/>
        <w:rPr>
          <w:rFonts w:ascii="Palatino Linotype" w:eastAsia="Palatino Linotype" w:hAnsi="Palatino Linotype" w:cs="Palatino Linotype"/>
        </w:rPr>
      </w:pPr>
      <w:r w:rsidRPr="00E63AD5">
        <w:rPr>
          <w:rFonts w:ascii="Palatino Linotype" w:eastAsia="Palatino Linotype" w:hAnsi="Palatino Linotype" w:cs="Palatino Linotype"/>
        </w:rPr>
        <w:t>Los Estados de Cuentas Bancarios remitidos en respuesta de manera completa.</w:t>
      </w:r>
    </w:p>
    <w:p w:rsidR="00E5359B" w:rsidRPr="00E63AD5" w:rsidRDefault="00E5359B" w:rsidP="00E5359B">
      <w:pPr>
        <w:spacing w:line="360" w:lineRule="auto"/>
        <w:jc w:val="both"/>
        <w:rPr>
          <w:rFonts w:ascii="Palatino Linotype" w:eastAsia="Palatino Linotype" w:hAnsi="Palatino Linotype" w:cs="Palatino Linotype"/>
        </w:rPr>
      </w:pPr>
    </w:p>
    <w:p w:rsidR="00E5359B" w:rsidRPr="00E63AD5" w:rsidRDefault="00E5359B" w:rsidP="00E5359B">
      <w:pPr>
        <w:spacing w:line="360" w:lineRule="auto"/>
        <w:jc w:val="both"/>
        <w:rPr>
          <w:rFonts w:ascii="Palatino Linotype" w:eastAsia="Palatino Linotype" w:hAnsi="Palatino Linotype" w:cs="Palatino Linotype"/>
          <w:i/>
        </w:rPr>
      </w:pPr>
      <w:r w:rsidRPr="00E63AD5">
        <w:rPr>
          <w:rFonts w:ascii="Palatino Linotype" w:eastAsia="Palatino Linotype" w:hAnsi="Palatino Linotype" w:cs="Palatino Linotype"/>
          <w:i/>
        </w:rPr>
        <w:lastRenderedPageBreak/>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E63AD5">
        <w:rPr>
          <w:rFonts w:ascii="Palatino Linotype" w:eastAsia="Palatino Linotype" w:hAnsi="Palatino Linotype" w:cs="Palatino Linotype"/>
          <w:b/>
          <w:i/>
        </w:rPr>
        <w:t>RECURRENTE</w:t>
      </w:r>
      <w:r w:rsidRPr="00E63AD5">
        <w:rPr>
          <w:rFonts w:ascii="Palatino Linotype" w:eastAsia="Palatino Linotype" w:hAnsi="Palatino Linotype" w:cs="Palatino Linotype"/>
          <w:i/>
        </w:rPr>
        <w:t>, mismo que igualmente hará de su conocimiento.</w:t>
      </w:r>
    </w:p>
    <w:p w:rsidR="00E5359B" w:rsidRPr="00E63AD5" w:rsidRDefault="00E5359B" w:rsidP="00E5359B">
      <w:pPr>
        <w:spacing w:line="360" w:lineRule="auto"/>
        <w:jc w:val="both"/>
        <w:rPr>
          <w:rFonts w:ascii="Palatino Linotype" w:eastAsia="Palatino Linotype" w:hAnsi="Palatino Linotype" w:cs="Palatino Linotype"/>
        </w:rPr>
      </w:pPr>
    </w:p>
    <w:p w:rsidR="00E5359B" w:rsidRPr="00E63AD5" w:rsidRDefault="00E5359B" w:rsidP="00E5359B">
      <w:pPr>
        <w:tabs>
          <w:tab w:val="left" w:pos="5019"/>
        </w:tabs>
        <w:spacing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t>Tercero. Notifíquese vía SAIMEX</w:t>
      </w:r>
      <w:r w:rsidRPr="00E63AD5">
        <w:rPr>
          <w:rFonts w:ascii="Palatino Linotype" w:eastAsia="Palatino Linotype" w:hAnsi="Palatino Linotype" w:cs="Palatino Linotype"/>
        </w:rPr>
        <w:t xml:space="preserve">, al Responsable de la Unidad de Transparencia del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5359B" w:rsidRPr="00E63AD5" w:rsidRDefault="00E5359B" w:rsidP="00E5359B">
      <w:pPr>
        <w:spacing w:before="240" w:after="240" w:line="360" w:lineRule="auto"/>
        <w:jc w:val="both"/>
        <w:rPr>
          <w:rFonts w:ascii="Palatino Linotype" w:eastAsia="Palatino Linotype" w:hAnsi="Palatino Linotype" w:cs="Palatino Linotype"/>
        </w:rPr>
      </w:pPr>
      <w:r w:rsidRPr="00E63AD5">
        <w:rPr>
          <w:rFonts w:ascii="Palatino Linotype" w:eastAsia="Palatino Linotype" w:hAnsi="Palatino Linotype" w:cs="Palatino Linotype"/>
          <w:b/>
        </w:rPr>
        <w:t>Cuarto. Notifíquese vía SAIMEX</w:t>
      </w:r>
      <w:r w:rsidRPr="00E63AD5">
        <w:rPr>
          <w:rFonts w:ascii="Palatino Linotype" w:eastAsia="Palatino Linotype" w:hAnsi="Palatino Linotype" w:cs="Palatino Linotype"/>
        </w:rPr>
        <w:t>, a la parte recurrente</w:t>
      </w:r>
      <w:r w:rsidRPr="00E63AD5">
        <w:rPr>
          <w:rFonts w:ascii="Palatino Linotype" w:eastAsia="Palatino Linotype" w:hAnsi="Palatino Linotype" w:cs="Palatino Linotype"/>
          <w:b/>
        </w:rPr>
        <w:t xml:space="preserve"> </w:t>
      </w:r>
      <w:r w:rsidRPr="00E63AD5">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E5359B" w:rsidRPr="00E63AD5" w:rsidRDefault="00E5359B" w:rsidP="00E5359B">
      <w:pPr>
        <w:spacing w:after="240" w:line="360" w:lineRule="auto"/>
        <w:jc w:val="both"/>
        <w:rPr>
          <w:rFonts w:ascii="Palatino Linotype" w:eastAsia="Palatino Linotype" w:hAnsi="Palatino Linotype" w:cs="Palatino Linotype"/>
          <w:b/>
        </w:rPr>
      </w:pPr>
      <w:r w:rsidRPr="00E63AD5">
        <w:rPr>
          <w:rFonts w:ascii="Palatino Linotype" w:eastAsia="Palatino Linotype" w:hAnsi="Palatino Linotype" w:cs="Palatino Linotype"/>
          <w:b/>
        </w:rPr>
        <w:t>Quinto.</w:t>
      </w:r>
      <w:r w:rsidRPr="00E63AD5">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sidRPr="00E63AD5">
        <w:rPr>
          <w:rFonts w:ascii="Palatino Linotype" w:eastAsia="Palatino Linotype" w:hAnsi="Palatino Linotype" w:cs="Palatino Linotype"/>
        </w:rPr>
        <w:lastRenderedPageBreak/>
        <w:t xml:space="preserve">procedente, el </w:t>
      </w:r>
      <w:r w:rsidRPr="00E63AD5">
        <w:rPr>
          <w:rFonts w:ascii="Palatino Linotype" w:eastAsia="Palatino Linotype" w:hAnsi="Palatino Linotype" w:cs="Palatino Linotype"/>
          <w:b/>
        </w:rPr>
        <w:t>SUJETO OBLIGADO</w:t>
      </w:r>
      <w:r w:rsidRPr="00E63AD5">
        <w:rPr>
          <w:rFonts w:ascii="Palatino Linotype" w:eastAsia="Palatino Linotype" w:hAnsi="Palatino Linotype" w:cs="Palatino Linotype"/>
        </w:rPr>
        <w:t xml:space="preserve"> de manera fundada y motivada, podrá solicitar una ampliación de plazo para el cumplimiento de la presente resolución.</w:t>
      </w:r>
    </w:p>
    <w:p w:rsidR="004D0F5F" w:rsidRDefault="009750A5">
      <w:pPr>
        <w:spacing w:before="240" w:after="240" w:line="360" w:lineRule="auto"/>
        <w:ind w:right="51"/>
        <w:jc w:val="both"/>
        <w:rPr>
          <w:rFonts w:ascii="Palatino Linotype" w:eastAsia="Palatino Linotype" w:hAnsi="Palatino Linotype" w:cs="Palatino Linotype"/>
        </w:rPr>
      </w:pPr>
      <w:r w:rsidRPr="00E63AD5">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F3222E" w:rsidRPr="00E63AD5">
        <w:rPr>
          <w:rFonts w:ascii="Palatino Linotype" w:eastAsia="Palatino Linotype" w:hAnsi="Palatino Linotype" w:cs="Palatino Linotype"/>
        </w:rPr>
        <w:t>TERCERA</w:t>
      </w:r>
      <w:r w:rsidRPr="00E63AD5">
        <w:rPr>
          <w:rFonts w:ascii="Palatino Linotype" w:eastAsia="Palatino Linotype" w:hAnsi="Palatino Linotype" w:cs="Palatino Linotype"/>
        </w:rPr>
        <w:t xml:space="preserve"> SESIÓN ORDINARIA CELEBRADA EL </w:t>
      </w:r>
      <w:r w:rsidR="00F3222E" w:rsidRPr="00E63AD5">
        <w:rPr>
          <w:rFonts w:ascii="Palatino Linotype" w:eastAsia="Palatino Linotype" w:hAnsi="Palatino Linotype" w:cs="Palatino Linotype"/>
        </w:rPr>
        <w:t>DOCE DE ABRIL</w:t>
      </w:r>
      <w:r w:rsidRPr="00E63AD5">
        <w:rPr>
          <w:rFonts w:ascii="Palatino Linotype" w:eastAsia="Palatino Linotype" w:hAnsi="Palatino Linotype" w:cs="Palatino Linotype"/>
        </w:rPr>
        <w:t xml:space="preserve"> DE DOS MIL VEINTITRÉS, ANTE EL SECRETARIO TÉCNICO DEL PLENO ALEXIS TAPIA RAMÍREZ.</w:t>
      </w:r>
    </w:p>
    <w:p w:rsidR="0026455E" w:rsidRDefault="0026455E">
      <w:pPr>
        <w:spacing w:before="240" w:after="240" w:line="360" w:lineRule="auto"/>
        <w:ind w:right="51"/>
        <w:jc w:val="both"/>
        <w:rPr>
          <w:rFonts w:ascii="Palatino Linotype" w:eastAsia="Palatino Linotype" w:hAnsi="Palatino Linotype" w:cs="Palatino Linotype"/>
        </w:rPr>
      </w:pPr>
    </w:p>
    <w:p w:rsidR="0026455E" w:rsidRDefault="0026455E">
      <w:pPr>
        <w:spacing w:before="240" w:after="240" w:line="360" w:lineRule="auto"/>
        <w:ind w:right="51"/>
        <w:jc w:val="both"/>
        <w:rPr>
          <w:rFonts w:ascii="Palatino Linotype" w:eastAsia="Palatino Linotype" w:hAnsi="Palatino Linotype" w:cs="Palatino Linotype"/>
        </w:rPr>
      </w:pPr>
    </w:p>
    <w:p w:rsidR="0026455E" w:rsidRDefault="0026455E">
      <w:pPr>
        <w:spacing w:before="240" w:after="240" w:line="360" w:lineRule="auto"/>
        <w:ind w:right="51"/>
        <w:jc w:val="both"/>
        <w:rPr>
          <w:rFonts w:ascii="Palatino Linotype" w:eastAsia="Palatino Linotype" w:hAnsi="Palatino Linotype" w:cs="Palatino Linotype"/>
        </w:rPr>
      </w:pPr>
    </w:p>
    <w:p w:rsidR="0026455E" w:rsidRDefault="0026455E">
      <w:pPr>
        <w:spacing w:before="240" w:after="240" w:line="360" w:lineRule="auto"/>
        <w:ind w:right="51"/>
        <w:jc w:val="both"/>
        <w:rPr>
          <w:rFonts w:ascii="Palatino Linotype" w:eastAsia="Palatino Linotype" w:hAnsi="Palatino Linotype" w:cs="Palatino Linotype"/>
        </w:rPr>
      </w:pPr>
    </w:p>
    <w:p w:rsidR="0026455E" w:rsidRDefault="0026455E">
      <w:pPr>
        <w:spacing w:before="240" w:after="240" w:line="360" w:lineRule="auto"/>
        <w:ind w:right="51"/>
        <w:jc w:val="both"/>
        <w:rPr>
          <w:rFonts w:ascii="Palatino Linotype" w:eastAsia="Palatino Linotype" w:hAnsi="Palatino Linotype" w:cs="Palatino Linotype"/>
        </w:rPr>
      </w:pPr>
    </w:p>
    <w:p w:rsidR="0026455E" w:rsidRDefault="0026455E">
      <w:pPr>
        <w:spacing w:before="240" w:after="240" w:line="360" w:lineRule="auto"/>
        <w:ind w:right="51"/>
        <w:jc w:val="both"/>
        <w:rPr>
          <w:rFonts w:ascii="Palatino Linotype" w:eastAsia="Palatino Linotype" w:hAnsi="Palatino Linotype" w:cs="Palatino Linotype"/>
        </w:rPr>
      </w:pPr>
    </w:p>
    <w:p w:rsidR="0026455E" w:rsidRDefault="0026455E">
      <w:pPr>
        <w:spacing w:before="240" w:after="240" w:line="360" w:lineRule="auto"/>
        <w:ind w:right="51"/>
        <w:jc w:val="both"/>
        <w:rPr>
          <w:rFonts w:ascii="Palatino Linotype" w:eastAsia="Palatino Linotype" w:hAnsi="Palatino Linotype" w:cs="Palatino Linotype"/>
        </w:rPr>
      </w:pPr>
    </w:p>
    <w:p w:rsidR="0026455E" w:rsidRDefault="0026455E">
      <w:pPr>
        <w:spacing w:before="240" w:after="240" w:line="360" w:lineRule="auto"/>
        <w:ind w:right="51"/>
        <w:jc w:val="both"/>
        <w:rPr>
          <w:rFonts w:ascii="Palatino Linotype" w:eastAsia="Palatino Linotype" w:hAnsi="Palatino Linotype" w:cs="Palatino Linotype"/>
        </w:rPr>
      </w:pPr>
    </w:p>
    <w:p w:rsidR="0026455E" w:rsidRDefault="0026455E">
      <w:pPr>
        <w:spacing w:before="240" w:after="240" w:line="360" w:lineRule="auto"/>
        <w:ind w:right="51"/>
        <w:jc w:val="both"/>
        <w:rPr>
          <w:rFonts w:ascii="Palatino Linotype" w:eastAsia="Palatino Linotype" w:hAnsi="Palatino Linotype" w:cs="Palatino Linotype"/>
        </w:rPr>
      </w:pPr>
    </w:p>
    <w:sectPr w:rsidR="0026455E">
      <w:headerReference w:type="default" r:id="rId35"/>
      <w:footerReference w:type="default" r:id="rId36"/>
      <w:headerReference w:type="first" r:id="rId37"/>
      <w:footerReference w:type="first" r:id="rId3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436" w:rsidRDefault="005C1436">
      <w:r>
        <w:separator/>
      </w:r>
    </w:p>
  </w:endnote>
  <w:endnote w:type="continuationSeparator" w:id="0">
    <w:p w:rsidR="005C1436" w:rsidRDefault="005C1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F5F" w:rsidRDefault="009750A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64A1E">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64A1E">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rsidR="004D0F5F" w:rsidRDefault="004D0F5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F5F" w:rsidRDefault="009750A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34E7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34E70">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rsidR="004D0F5F" w:rsidRDefault="004D0F5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436" w:rsidRDefault="005C1436">
      <w:r>
        <w:separator/>
      </w:r>
    </w:p>
  </w:footnote>
  <w:footnote w:type="continuationSeparator" w:id="0">
    <w:p w:rsidR="005C1436" w:rsidRDefault="005C1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F5F" w:rsidRDefault="009750A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-1080131</wp:posOffset>
          </wp:positionH>
          <wp:positionV relativeFrom="paragraph">
            <wp:posOffset>-488311</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4D0F5F">
      <w:tc>
        <w:tcPr>
          <w:tcW w:w="2489" w:type="dxa"/>
          <w:shd w:val="clear" w:color="auto" w:fill="auto"/>
        </w:tcPr>
        <w:p w:rsidR="004D0F5F" w:rsidRDefault="009750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4D0F5F" w:rsidRDefault="009750A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15764/INFOEM/IP/RR/2022</w:t>
          </w:r>
        </w:p>
      </w:tc>
    </w:tr>
    <w:tr w:rsidR="004D0F5F">
      <w:trPr>
        <w:trHeight w:val="228"/>
      </w:trPr>
      <w:tc>
        <w:tcPr>
          <w:tcW w:w="2489" w:type="dxa"/>
          <w:shd w:val="clear" w:color="auto" w:fill="auto"/>
          <w:vAlign w:val="center"/>
        </w:tcPr>
        <w:p w:rsidR="004D0F5F" w:rsidRDefault="009750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4D0F5F" w:rsidRDefault="009750A5">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4D0F5F">
      <w:tc>
        <w:tcPr>
          <w:tcW w:w="2489" w:type="dxa"/>
          <w:shd w:val="clear" w:color="auto" w:fill="auto"/>
          <w:vAlign w:val="center"/>
        </w:tcPr>
        <w:p w:rsidR="004D0F5F" w:rsidRDefault="009750A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4D0F5F" w:rsidRDefault="009750A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D0F5F" w:rsidRDefault="009750A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F5F" w:rsidRDefault="004D0F5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4D0F5F">
      <w:tc>
        <w:tcPr>
          <w:tcW w:w="2551" w:type="dxa"/>
          <w:shd w:val="clear" w:color="auto" w:fill="auto"/>
          <w:vAlign w:val="center"/>
        </w:tcPr>
        <w:p w:rsidR="004D0F5F" w:rsidRDefault="009750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4D0F5F" w:rsidRDefault="009750A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15764/INFOEM/IP/RR/2022</w:t>
          </w:r>
        </w:p>
      </w:tc>
    </w:tr>
    <w:tr w:rsidR="004D0F5F">
      <w:trPr>
        <w:trHeight w:val="130"/>
      </w:trPr>
      <w:tc>
        <w:tcPr>
          <w:tcW w:w="2551" w:type="dxa"/>
          <w:shd w:val="clear" w:color="auto" w:fill="auto"/>
          <w:vAlign w:val="center"/>
        </w:tcPr>
        <w:p w:rsidR="004D0F5F" w:rsidRDefault="009750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4D0F5F" w:rsidRDefault="00134E70" w:rsidP="00134E7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 XXXXXXXXXX</w:t>
          </w:r>
        </w:p>
      </w:tc>
    </w:tr>
    <w:tr w:rsidR="004D0F5F">
      <w:trPr>
        <w:trHeight w:val="228"/>
      </w:trPr>
      <w:tc>
        <w:tcPr>
          <w:tcW w:w="2551" w:type="dxa"/>
          <w:shd w:val="clear" w:color="auto" w:fill="auto"/>
          <w:vAlign w:val="center"/>
        </w:tcPr>
        <w:p w:rsidR="004D0F5F" w:rsidRDefault="009750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4D0F5F" w:rsidRDefault="009750A5">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p>
      </w:tc>
    </w:tr>
    <w:tr w:rsidR="004D0F5F">
      <w:tc>
        <w:tcPr>
          <w:tcW w:w="2551" w:type="dxa"/>
          <w:shd w:val="clear" w:color="auto" w:fill="auto"/>
          <w:vAlign w:val="center"/>
        </w:tcPr>
        <w:p w:rsidR="004D0F5F" w:rsidRDefault="009750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4D0F5F" w:rsidRDefault="009750A5">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D0F5F" w:rsidRDefault="009750A5">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-1089656</wp:posOffset>
          </wp:positionH>
          <wp:positionV relativeFrom="paragraph">
            <wp:posOffset>-1169666</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6236D"/>
    <w:multiLevelType w:val="hybridMultilevel"/>
    <w:tmpl w:val="8254522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764D71"/>
    <w:multiLevelType w:val="hybridMultilevel"/>
    <w:tmpl w:val="51ACC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FCE6884"/>
    <w:multiLevelType w:val="multilevel"/>
    <w:tmpl w:val="ACA6D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03061DC"/>
    <w:multiLevelType w:val="multilevel"/>
    <w:tmpl w:val="0D5AAF20"/>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2A40856"/>
    <w:multiLevelType w:val="hybridMultilevel"/>
    <w:tmpl w:val="38441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B4922C6"/>
    <w:multiLevelType w:val="hybridMultilevel"/>
    <w:tmpl w:val="8254522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F5F"/>
    <w:rsid w:val="0011188F"/>
    <w:rsid w:val="00134E70"/>
    <w:rsid w:val="001A7EC9"/>
    <w:rsid w:val="00203ACE"/>
    <w:rsid w:val="00236F52"/>
    <w:rsid w:val="0026455E"/>
    <w:rsid w:val="002B678F"/>
    <w:rsid w:val="002C5961"/>
    <w:rsid w:val="004477E3"/>
    <w:rsid w:val="004A69F9"/>
    <w:rsid w:val="004D0F5F"/>
    <w:rsid w:val="004E21B2"/>
    <w:rsid w:val="005627FD"/>
    <w:rsid w:val="005A070F"/>
    <w:rsid w:val="005A7B97"/>
    <w:rsid w:val="005B54D2"/>
    <w:rsid w:val="005C1436"/>
    <w:rsid w:val="005F7CC6"/>
    <w:rsid w:val="00677B68"/>
    <w:rsid w:val="006B10ED"/>
    <w:rsid w:val="006D180F"/>
    <w:rsid w:val="00795BE0"/>
    <w:rsid w:val="00826C24"/>
    <w:rsid w:val="008A5AAC"/>
    <w:rsid w:val="0091514E"/>
    <w:rsid w:val="009750A5"/>
    <w:rsid w:val="009E2CFF"/>
    <w:rsid w:val="009E57DE"/>
    <w:rsid w:val="009E5EA8"/>
    <w:rsid w:val="00A16CF2"/>
    <w:rsid w:val="00A4186C"/>
    <w:rsid w:val="00A73348"/>
    <w:rsid w:val="00A74175"/>
    <w:rsid w:val="00AC1105"/>
    <w:rsid w:val="00B06A55"/>
    <w:rsid w:val="00B64A1E"/>
    <w:rsid w:val="00B7263E"/>
    <w:rsid w:val="00C217A1"/>
    <w:rsid w:val="00D00E93"/>
    <w:rsid w:val="00D54B65"/>
    <w:rsid w:val="00DD133D"/>
    <w:rsid w:val="00E517A3"/>
    <w:rsid w:val="00E5359B"/>
    <w:rsid w:val="00E63AD5"/>
    <w:rsid w:val="00ED200D"/>
    <w:rsid w:val="00F3222E"/>
    <w:rsid w:val="00F660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49A28-CF1C-41C2-9FC1-1EF98B1F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969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612755.page" TargetMode="External"/><Relationship Id="rId18" Type="http://schemas.openxmlformats.org/officeDocument/2006/relationships/hyperlink" Target="https://saimex.org.mx/saimex/solicitud/downloadAttach/1612760.page" TargetMode="External"/><Relationship Id="rId26" Type="http://schemas.openxmlformats.org/officeDocument/2006/relationships/hyperlink" Target="https://saimex.org.mx/saimex/solicitud/downloadAttach/1612759.page"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saimex.org.mx/saimex/solicitud/downloadAttach/1612759.page" TargetMode="External"/><Relationship Id="rId25" Type="http://schemas.openxmlformats.org/officeDocument/2006/relationships/hyperlink" Target="https://saimex.org.mx/saimex/solicitud/downloadAttach/1612758.page" TargetMode="External"/><Relationship Id="rId33" Type="http://schemas.openxmlformats.org/officeDocument/2006/relationships/image" Target="media/image9.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aimex.org.mx/saimex/solicitud/downloadAttach/1612758.page" TargetMode="External"/><Relationship Id="rId20" Type="http://schemas.openxmlformats.org/officeDocument/2006/relationships/image" Target="media/image5.pn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612754.page" TargetMode="External"/><Relationship Id="rId24" Type="http://schemas.openxmlformats.org/officeDocument/2006/relationships/hyperlink" Target="https://saimex.org.mx/saimex/solicitud/downloadAttach/1612757.page" TargetMode="Externa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aimex.org.mx/saimex/solicitud/downloadAttach/1612757.page" TargetMode="External"/><Relationship Id="rId23" Type="http://schemas.openxmlformats.org/officeDocument/2006/relationships/hyperlink" Target="https://saimex.org.mx/saimex/solicitud/downloadAttach/1612756.page" TargetMode="External"/><Relationship Id="rId28" Type="http://schemas.openxmlformats.org/officeDocument/2006/relationships/image" Target="media/image3.png"/><Relationship Id="rId36" Type="http://schemas.openxmlformats.org/officeDocument/2006/relationships/footer" Target="footer1.xml"/><Relationship Id="rId10" Type="http://schemas.openxmlformats.org/officeDocument/2006/relationships/hyperlink" Target="https://saimex.org.mx/saimex/solicitud/downloadAttach/1602032.page" TargetMode="External"/><Relationship Id="rId19" Type="http://schemas.openxmlformats.org/officeDocument/2006/relationships/hyperlink" Target="https://saimex.org.mx/saimex/solicitud/downloadAttach/1623578.page"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saimex.org.mx/saimex/solicitud/downloadAttach/1602031.page" TargetMode="External"/><Relationship Id="rId14" Type="http://schemas.openxmlformats.org/officeDocument/2006/relationships/hyperlink" Target="https://saimex.org.mx/saimex/solicitud/downloadAttach/1612756.page" TargetMode="External"/><Relationship Id="rId22" Type="http://schemas.openxmlformats.org/officeDocument/2006/relationships/hyperlink" Target="https://saimex.org.mx/saimex/solicitud/downloadAttach/1612755.page" TargetMode="External"/><Relationship Id="rId27" Type="http://schemas.openxmlformats.org/officeDocument/2006/relationships/hyperlink" Target="https://saimex.org.mx/saimex/solicitud/downloadAttach/1612760.page" TargetMode="External"/><Relationship Id="rId30" Type="http://schemas.openxmlformats.org/officeDocument/2006/relationships/image" Target="media/image6.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jZ6CRhSlS51ffOZOY5zKiFafoQ==">AMUW2mXiEZqro1BYV8OQMt48z2hzjAiGrcn4HAP4dGLyF0Lk00bA/5nyN+AtWHbEzZzqaBMhUYppYGnD5EVbMAoVMsvKGGQOxSTH9CCayq6WitkDoZzGp1mLhet8lQT4zDuPXuOzg2VSXtJ4rpcWo2b46nTSngwYHhDmOnU3NjoFUnNFDJ1m3dg=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0FBDF6-EF98-476C-875F-9209F65FC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10250</Words>
  <Characters>56381</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2023-04-14T16:58:00Z</cp:lastPrinted>
  <dcterms:created xsi:type="dcterms:W3CDTF">2023-04-25T18:16:00Z</dcterms:created>
  <dcterms:modified xsi:type="dcterms:W3CDTF">2023-04-25T18:16:00Z</dcterms:modified>
</cp:coreProperties>
</file>