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11C7B563" w:rsidR="009417CA" w:rsidRPr="00B460A9" w:rsidRDefault="009417CA" w:rsidP="00DA29A0">
      <w:pPr>
        <w:tabs>
          <w:tab w:val="left" w:pos="3465"/>
        </w:tabs>
        <w:spacing w:line="360" w:lineRule="auto"/>
        <w:jc w:val="both"/>
        <w:rPr>
          <w:rFonts w:ascii="Palatino Linotype" w:hAnsi="Palatino Linotype"/>
        </w:rPr>
      </w:pPr>
      <w:r w:rsidRPr="00B460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7196B" w:rsidRPr="008E526A">
        <w:rPr>
          <w:rFonts w:ascii="Palatino Linotype" w:hAnsi="Palatino Linotype"/>
        </w:rPr>
        <w:t>veinticuatro</w:t>
      </w:r>
      <w:r w:rsidR="00C27F60" w:rsidRPr="008E526A">
        <w:rPr>
          <w:rFonts w:ascii="Palatino Linotype" w:hAnsi="Palatino Linotype"/>
        </w:rPr>
        <w:t xml:space="preserve"> </w:t>
      </w:r>
      <w:r w:rsidR="008E526A">
        <w:rPr>
          <w:rFonts w:ascii="Palatino Linotype" w:hAnsi="Palatino Linotype"/>
        </w:rPr>
        <w:t xml:space="preserve">(24) </w:t>
      </w:r>
      <w:r w:rsidR="00C27F60" w:rsidRPr="008E526A">
        <w:rPr>
          <w:rFonts w:ascii="Palatino Linotype" w:hAnsi="Palatino Linotype"/>
        </w:rPr>
        <w:t>de may</w:t>
      </w:r>
      <w:r w:rsidR="0084667D" w:rsidRPr="008E526A">
        <w:rPr>
          <w:rFonts w:ascii="Palatino Linotype" w:hAnsi="Palatino Linotype"/>
        </w:rPr>
        <w:t>o</w:t>
      </w:r>
      <w:r w:rsidR="00D07F3B" w:rsidRPr="008E526A">
        <w:rPr>
          <w:rFonts w:ascii="Palatino Linotype" w:hAnsi="Palatino Linotype"/>
        </w:rPr>
        <w:t xml:space="preserve"> </w:t>
      </w:r>
      <w:r w:rsidRPr="008E526A">
        <w:rPr>
          <w:rFonts w:ascii="Palatino Linotype" w:hAnsi="Palatino Linotype"/>
        </w:rPr>
        <w:t xml:space="preserve">de dos mil </w:t>
      </w:r>
      <w:r w:rsidR="00B9126C" w:rsidRPr="008E526A">
        <w:rPr>
          <w:rFonts w:ascii="Palatino Linotype" w:hAnsi="Palatino Linotype"/>
        </w:rPr>
        <w:t>veintitrés</w:t>
      </w:r>
      <w:r w:rsidRPr="008E526A">
        <w:rPr>
          <w:rFonts w:ascii="Palatino Linotype" w:hAnsi="Palatino Linotype"/>
        </w:rPr>
        <w:t>.</w:t>
      </w:r>
    </w:p>
    <w:p w14:paraId="2ED1CC5D" w14:textId="77777777" w:rsidR="00BE1923" w:rsidRPr="00B460A9" w:rsidRDefault="00BE1923" w:rsidP="00DA29A0">
      <w:pPr>
        <w:tabs>
          <w:tab w:val="left" w:pos="3465"/>
        </w:tabs>
        <w:spacing w:line="360" w:lineRule="auto"/>
        <w:jc w:val="both"/>
        <w:rPr>
          <w:rFonts w:ascii="Palatino Linotype" w:hAnsi="Palatino Linotype"/>
        </w:rPr>
      </w:pPr>
    </w:p>
    <w:p w14:paraId="06D978F5" w14:textId="6AB9EA70" w:rsidR="002D0241" w:rsidRPr="00B460A9" w:rsidRDefault="009417CA" w:rsidP="00DA29A0">
      <w:pPr>
        <w:spacing w:line="360" w:lineRule="auto"/>
        <w:jc w:val="both"/>
        <w:rPr>
          <w:rFonts w:ascii="Palatino Linotype" w:hAnsi="Palatino Linotype"/>
        </w:rPr>
      </w:pPr>
      <w:r w:rsidRPr="00B460A9">
        <w:rPr>
          <w:rFonts w:ascii="Palatino Linotype" w:hAnsi="Palatino Linotype"/>
          <w:b/>
        </w:rPr>
        <w:t>VISTO</w:t>
      </w:r>
      <w:r w:rsidR="00734AFD">
        <w:rPr>
          <w:rFonts w:ascii="Palatino Linotype" w:hAnsi="Palatino Linotype"/>
          <w:b/>
        </w:rPr>
        <w:t>S</w:t>
      </w:r>
      <w:r w:rsidRPr="00B460A9">
        <w:rPr>
          <w:rFonts w:ascii="Palatino Linotype" w:hAnsi="Palatino Linotype"/>
        </w:rPr>
        <w:t xml:space="preserve"> l</w:t>
      </w:r>
      <w:r w:rsidR="00734AFD">
        <w:rPr>
          <w:rFonts w:ascii="Palatino Linotype" w:hAnsi="Palatino Linotype"/>
        </w:rPr>
        <w:t>os</w:t>
      </w:r>
      <w:r w:rsidRPr="00B460A9">
        <w:rPr>
          <w:rFonts w:ascii="Palatino Linotype" w:hAnsi="Palatino Linotype"/>
        </w:rPr>
        <w:t xml:space="preserve"> expediente</w:t>
      </w:r>
      <w:r w:rsidR="00734AFD">
        <w:rPr>
          <w:rFonts w:ascii="Palatino Linotype" w:hAnsi="Palatino Linotype"/>
        </w:rPr>
        <w:t>s</w:t>
      </w:r>
      <w:r w:rsidRPr="00B460A9">
        <w:rPr>
          <w:rFonts w:ascii="Palatino Linotype" w:hAnsi="Palatino Linotype"/>
        </w:rPr>
        <w:t xml:space="preserve"> elec</w:t>
      </w:r>
      <w:r w:rsidR="004B0B13" w:rsidRPr="00B460A9">
        <w:rPr>
          <w:rFonts w:ascii="Palatino Linotype" w:hAnsi="Palatino Linotype"/>
        </w:rPr>
        <w:t>trónico</w:t>
      </w:r>
      <w:r w:rsidR="00734AFD">
        <w:rPr>
          <w:rFonts w:ascii="Palatino Linotype" w:hAnsi="Palatino Linotype"/>
        </w:rPr>
        <w:t>s</w:t>
      </w:r>
      <w:r w:rsidR="004B0B13" w:rsidRPr="00B460A9">
        <w:rPr>
          <w:rFonts w:ascii="Palatino Linotype" w:hAnsi="Palatino Linotype"/>
        </w:rPr>
        <w:t xml:space="preserve"> formado</w:t>
      </w:r>
      <w:r w:rsidR="00734AFD">
        <w:rPr>
          <w:rFonts w:ascii="Palatino Linotype" w:hAnsi="Palatino Linotype"/>
        </w:rPr>
        <w:t>s</w:t>
      </w:r>
      <w:r w:rsidR="004B0B13" w:rsidRPr="00B460A9">
        <w:rPr>
          <w:rFonts w:ascii="Palatino Linotype" w:hAnsi="Palatino Linotype"/>
        </w:rPr>
        <w:t xml:space="preserve"> con motivo de</w:t>
      </w:r>
      <w:r w:rsidR="00734AFD">
        <w:rPr>
          <w:rFonts w:ascii="Palatino Linotype" w:hAnsi="Palatino Linotype"/>
        </w:rPr>
        <w:t xml:space="preserve"> </w:t>
      </w:r>
      <w:r w:rsidR="004B0B13" w:rsidRPr="00B460A9">
        <w:rPr>
          <w:rFonts w:ascii="Palatino Linotype" w:hAnsi="Palatino Linotype"/>
        </w:rPr>
        <w:t>l</w:t>
      </w:r>
      <w:r w:rsidR="00734AFD">
        <w:rPr>
          <w:rFonts w:ascii="Palatino Linotype" w:hAnsi="Palatino Linotype"/>
        </w:rPr>
        <w:t>os</w:t>
      </w:r>
      <w:r w:rsidR="004B0B13" w:rsidRPr="00B460A9">
        <w:rPr>
          <w:rFonts w:ascii="Palatino Linotype" w:hAnsi="Palatino Linotype"/>
        </w:rPr>
        <w:t xml:space="preserve"> R</w:t>
      </w:r>
      <w:r w:rsidRPr="00B460A9">
        <w:rPr>
          <w:rFonts w:ascii="Palatino Linotype" w:hAnsi="Palatino Linotype"/>
        </w:rPr>
        <w:t>ecurso</w:t>
      </w:r>
      <w:r w:rsidR="00734AFD">
        <w:rPr>
          <w:rFonts w:ascii="Palatino Linotype" w:hAnsi="Palatino Linotype"/>
        </w:rPr>
        <w:t>s</w:t>
      </w:r>
      <w:r w:rsidRPr="00B460A9">
        <w:rPr>
          <w:rFonts w:ascii="Palatino Linotype" w:hAnsi="Palatino Linotype"/>
        </w:rPr>
        <w:t xml:space="preserve"> de </w:t>
      </w:r>
      <w:r w:rsidR="004B0B13" w:rsidRPr="00B460A9">
        <w:rPr>
          <w:rFonts w:ascii="Palatino Linotype" w:hAnsi="Palatino Linotype"/>
        </w:rPr>
        <w:t>R</w:t>
      </w:r>
      <w:r w:rsidRPr="00B460A9">
        <w:rPr>
          <w:rFonts w:ascii="Palatino Linotype" w:hAnsi="Palatino Linotype"/>
        </w:rPr>
        <w:t xml:space="preserve">evisión </w:t>
      </w:r>
      <w:r w:rsidR="00734AFD" w:rsidRPr="00734AFD">
        <w:rPr>
          <w:rFonts w:ascii="Palatino Linotype" w:hAnsi="Palatino Linotype"/>
          <w:b/>
        </w:rPr>
        <w:t>0</w:t>
      </w:r>
      <w:r w:rsidR="00FC35C1">
        <w:rPr>
          <w:rFonts w:ascii="Palatino Linotype" w:hAnsi="Palatino Linotype"/>
          <w:b/>
        </w:rPr>
        <w:t>216</w:t>
      </w:r>
      <w:r w:rsidR="00734AFD" w:rsidRPr="00734AFD">
        <w:rPr>
          <w:rFonts w:ascii="Palatino Linotype" w:hAnsi="Palatino Linotype"/>
          <w:b/>
        </w:rPr>
        <w:t>8/INFOEM/IP/RR/2023</w:t>
      </w:r>
      <w:r w:rsidR="00FC35C1">
        <w:rPr>
          <w:rFonts w:ascii="Palatino Linotype" w:hAnsi="Palatino Linotype"/>
          <w:b/>
        </w:rPr>
        <w:t xml:space="preserve"> </w:t>
      </w:r>
      <w:r w:rsidR="00734AFD" w:rsidRPr="00FC35C1">
        <w:rPr>
          <w:rFonts w:ascii="Palatino Linotype" w:hAnsi="Palatino Linotype"/>
        </w:rPr>
        <w:t>y</w:t>
      </w:r>
      <w:r w:rsidR="00734AFD" w:rsidRPr="00734AFD">
        <w:rPr>
          <w:rFonts w:ascii="Palatino Linotype" w:hAnsi="Palatino Linotype"/>
          <w:b/>
        </w:rPr>
        <w:t xml:space="preserve"> 0</w:t>
      </w:r>
      <w:r w:rsidR="00FC35C1">
        <w:rPr>
          <w:rFonts w:ascii="Palatino Linotype" w:hAnsi="Palatino Linotype"/>
          <w:b/>
        </w:rPr>
        <w:t>2172</w:t>
      </w:r>
      <w:r w:rsidR="00734AFD" w:rsidRPr="00734AFD">
        <w:rPr>
          <w:rFonts w:ascii="Palatino Linotype" w:hAnsi="Palatino Linotype"/>
          <w:b/>
        </w:rPr>
        <w:t>/INFOEM/IP/RR/2023</w:t>
      </w:r>
      <w:r w:rsidR="00734AFD">
        <w:rPr>
          <w:rFonts w:ascii="Palatino Linotype" w:hAnsi="Palatino Linotype"/>
          <w:b/>
        </w:rPr>
        <w:t xml:space="preserve"> acumulados</w:t>
      </w:r>
      <w:r w:rsidRPr="00B460A9">
        <w:rPr>
          <w:rFonts w:ascii="Palatino Linotype" w:hAnsi="Palatino Linotype"/>
          <w:b/>
        </w:rPr>
        <w:t>,</w:t>
      </w:r>
      <w:r w:rsidRPr="00B460A9">
        <w:rPr>
          <w:rFonts w:ascii="Palatino Linotype" w:hAnsi="Palatino Linotype" w:cs="Arial"/>
          <w:b/>
          <w:bCs/>
        </w:rPr>
        <w:t xml:space="preserve"> </w:t>
      </w:r>
      <w:r w:rsidRPr="00B460A9">
        <w:rPr>
          <w:rFonts w:ascii="Palatino Linotype" w:hAnsi="Palatino Linotype"/>
        </w:rPr>
        <w:t>promovido</w:t>
      </w:r>
      <w:r w:rsidR="00734AFD">
        <w:rPr>
          <w:rFonts w:ascii="Palatino Linotype" w:hAnsi="Palatino Linotype"/>
        </w:rPr>
        <w:t>s</w:t>
      </w:r>
      <w:r w:rsidRPr="00B460A9">
        <w:rPr>
          <w:rFonts w:ascii="Palatino Linotype" w:hAnsi="Palatino Linotype"/>
        </w:rPr>
        <w:t xml:space="preserve"> por</w:t>
      </w:r>
      <w:r w:rsidR="00A5272E" w:rsidRPr="00B460A9">
        <w:rPr>
          <w:rFonts w:ascii="Palatino Linotype" w:hAnsi="Palatino Linotype"/>
        </w:rPr>
        <w:t xml:space="preserve"> </w:t>
      </w:r>
      <w:r w:rsidR="00331C71">
        <w:rPr>
          <w:rFonts w:ascii="Palatino Linotype" w:hAnsi="Palatino Linotype"/>
          <w:b/>
        </w:rPr>
        <w:t>XXXXXXX</w:t>
      </w:r>
      <w:r w:rsidR="006A2E51" w:rsidRPr="00B460A9">
        <w:rPr>
          <w:rFonts w:ascii="Palatino Linotype" w:hAnsi="Palatino Linotype"/>
          <w:b/>
        </w:rPr>
        <w:t>,</w:t>
      </w:r>
      <w:r w:rsidR="008B13E3" w:rsidRPr="00B460A9">
        <w:rPr>
          <w:rFonts w:ascii="Palatino Linotype" w:hAnsi="Palatino Linotype"/>
        </w:rPr>
        <w:t xml:space="preserve"> a través de</w:t>
      </w:r>
      <w:r w:rsidR="00150024" w:rsidRPr="00B460A9">
        <w:rPr>
          <w:rFonts w:ascii="Palatino Linotype" w:hAnsi="Palatino Linotype"/>
        </w:rPr>
        <w:t xml:space="preserve">l </w:t>
      </w:r>
      <w:r w:rsidR="008B13E3" w:rsidRPr="00B460A9">
        <w:rPr>
          <w:rFonts w:ascii="Palatino Linotype" w:hAnsi="Palatino Linotype"/>
        </w:rPr>
        <w:t>Sistema de Acceso a la Información Mexiquense</w:t>
      </w:r>
      <w:r w:rsidRPr="00B460A9">
        <w:rPr>
          <w:rFonts w:ascii="Palatino Linotype" w:hAnsi="Palatino Linotype"/>
        </w:rPr>
        <w:t xml:space="preserve"> </w:t>
      </w:r>
      <w:r w:rsidRPr="00B460A9">
        <w:rPr>
          <w:rFonts w:ascii="Palatino Linotype" w:hAnsi="Palatino Linotype"/>
          <w:b/>
        </w:rPr>
        <w:t>(</w:t>
      </w:r>
      <w:r w:rsidR="008B13E3" w:rsidRPr="00B460A9">
        <w:rPr>
          <w:rFonts w:ascii="Palatino Linotype" w:hAnsi="Palatino Linotype"/>
          <w:b/>
        </w:rPr>
        <w:t>SAIMEX</w:t>
      </w:r>
      <w:r w:rsidRPr="00B460A9">
        <w:rPr>
          <w:rFonts w:ascii="Palatino Linotype" w:hAnsi="Palatino Linotype"/>
          <w:b/>
        </w:rPr>
        <w:t>)</w:t>
      </w:r>
      <w:r w:rsidRPr="00B460A9">
        <w:rPr>
          <w:rFonts w:ascii="Palatino Linotype" w:hAnsi="Palatino Linotype"/>
        </w:rPr>
        <w:t xml:space="preserve">, </w:t>
      </w:r>
      <w:r w:rsidR="00150024" w:rsidRPr="00B460A9">
        <w:rPr>
          <w:rFonts w:ascii="Palatino Linotype" w:hAnsi="Palatino Linotype"/>
        </w:rPr>
        <w:t xml:space="preserve">a quien </w:t>
      </w:r>
      <w:r w:rsidR="00A5272E" w:rsidRPr="00B460A9">
        <w:rPr>
          <w:rFonts w:ascii="Palatino Linotype" w:hAnsi="Palatino Linotype"/>
        </w:rPr>
        <w:t>en lo sucesivo</w:t>
      </w:r>
      <w:r w:rsidRPr="00B460A9">
        <w:rPr>
          <w:rFonts w:ascii="Palatino Linotype" w:hAnsi="Palatino Linotype"/>
        </w:rPr>
        <w:t xml:space="preserve"> se le identificará como </w:t>
      </w:r>
      <w:r w:rsidR="00A5272E" w:rsidRPr="00B460A9">
        <w:rPr>
          <w:rFonts w:ascii="Palatino Linotype" w:hAnsi="Palatino Linotype"/>
          <w:b/>
        </w:rPr>
        <w:t>L</w:t>
      </w:r>
      <w:r w:rsidR="00C27F60">
        <w:rPr>
          <w:rFonts w:ascii="Palatino Linotype" w:hAnsi="Palatino Linotype"/>
          <w:b/>
        </w:rPr>
        <w:t>A</w:t>
      </w:r>
      <w:r w:rsidRPr="00B460A9">
        <w:rPr>
          <w:rFonts w:ascii="Palatino Linotype" w:hAnsi="Palatino Linotype"/>
          <w:b/>
        </w:rPr>
        <w:t xml:space="preserve"> </w:t>
      </w:r>
      <w:r w:rsidRPr="00B460A9">
        <w:rPr>
          <w:rFonts w:ascii="Palatino Linotype" w:hAnsi="Palatino Linotype" w:cs="Arial"/>
          <w:b/>
        </w:rPr>
        <w:t>RECURRENTE</w:t>
      </w:r>
      <w:r w:rsidRPr="00B460A9">
        <w:rPr>
          <w:rFonts w:ascii="Palatino Linotype" w:hAnsi="Palatino Linotype" w:cs="Arial"/>
        </w:rPr>
        <w:t xml:space="preserve">, en contra de la respuesta del </w:t>
      </w:r>
      <w:r w:rsidR="00FC35C1">
        <w:rPr>
          <w:rFonts w:ascii="Palatino Linotype" w:hAnsi="Palatino Linotype" w:cs="Arial"/>
          <w:b/>
        </w:rPr>
        <w:t>Ayuntamiento de San Felipe del Progreso</w:t>
      </w:r>
      <w:r w:rsidRPr="00B460A9">
        <w:rPr>
          <w:rFonts w:ascii="Palatino Linotype" w:hAnsi="Palatino Linotype" w:cs="Arial"/>
          <w:b/>
        </w:rPr>
        <w:t>,</w:t>
      </w:r>
      <w:r w:rsidRPr="00B460A9">
        <w:rPr>
          <w:rFonts w:ascii="Palatino Linotype" w:hAnsi="Palatino Linotype"/>
          <w:b/>
        </w:rPr>
        <w:t xml:space="preserve"> </w:t>
      </w:r>
      <w:r w:rsidRPr="00B460A9">
        <w:rPr>
          <w:rFonts w:ascii="Palatino Linotype" w:hAnsi="Palatino Linotype"/>
        </w:rPr>
        <w:t xml:space="preserve">en </w:t>
      </w:r>
      <w:r w:rsidR="00B54758">
        <w:rPr>
          <w:rFonts w:ascii="Palatino Linotype" w:hAnsi="Palatino Linotype"/>
        </w:rPr>
        <w:t>adelante</w:t>
      </w:r>
      <w:r w:rsidRPr="00B460A9">
        <w:rPr>
          <w:rFonts w:ascii="Palatino Linotype" w:hAnsi="Palatino Linotype"/>
        </w:rPr>
        <w:t xml:space="preserve"> </w:t>
      </w:r>
      <w:r w:rsidRPr="00B460A9">
        <w:rPr>
          <w:rFonts w:ascii="Palatino Linotype" w:hAnsi="Palatino Linotype"/>
          <w:b/>
        </w:rPr>
        <w:t>EL SUJETO OBLIGADO</w:t>
      </w:r>
      <w:r w:rsidRPr="00B460A9">
        <w:rPr>
          <w:rFonts w:ascii="Palatino Linotype" w:hAnsi="Palatino Linotype"/>
        </w:rPr>
        <w:t>, se procede a dictar la presente resolución, con base en los siguientes:</w:t>
      </w:r>
      <w:bookmarkStart w:id="0" w:name="_Toc85733154"/>
    </w:p>
    <w:p w14:paraId="4922EEF9" w14:textId="77777777" w:rsidR="002D0241" w:rsidRPr="00B460A9" w:rsidRDefault="002D0241" w:rsidP="00DA29A0">
      <w:pPr>
        <w:spacing w:line="360" w:lineRule="auto"/>
        <w:jc w:val="both"/>
        <w:rPr>
          <w:rFonts w:ascii="Palatino Linotype" w:hAnsi="Palatino Linotype"/>
        </w:rPr>
      </w:pPr>
    </w:p>
    <w:p w14:paraId="6D4F2D4C" w14:textId="60020912" w:rsidR="009417CA" w:rsidRPr="00B460A9" w:rsidRDefault="009417CA" w:rsidP="00DA29A0">
      <w:pPr>
        <w:spacing w:line="360" w:lineRule="auto"/>
        <w:jc w:val="center"/>
        <w:rPr>
          <w:rFonts w:ascii="Palatino Linotype" w:hAnsi="Palatino Linotype"/>
          <w:b/>
          <w:color w:val="000000" w:themeColor="text1"/>
          <w:lang w:val="es-ES"/>
        </w:rPr>
      </w:pPr>
      <w:r w:rsidRPr="00B460A9">
        <w:rPr>
          <w:rFonts w:ascii="Palatino Linotype" w:hAnsi="Palatino Linotype"/>
          <w:b/>
          <w:color w:val="000000" w:themeColor="text1"/>
          <w:lang w:val="es-ES"/>
        </w:rPr>
        <w:t>A N T E C E D E N T E S</w:t>
      </w:r>
      <w:bookmarkEnd w:id="0"/>
    </w:p>
    <w:p w14:paraId="07B8C422" w14:textId="77777777" w:rsidR="008A269D" w:rsidRPr="00B460A9" w:rsidRDefault="008A269D" w:rsidP="00DA29A0">
      <w:pPr>
        <w:spacing w:line="360" w:lineRule="auto"/>
        <w:rPr>
          <w:rFonts w:ascii="Palatino Linotype" w:hAnsi="Palatino Linotype"/>
          <w:lang w:val="es-ES" w:eastAsia="es-ES"/>
        </w:rPr>
      </w:pPr>
    </w:p>
    <w:p w14:paraId="6C73856D" w14:textId="353EB3EC" w:rsidR="009417CA" w:rsidRPr="00B460A9" w:rsidRDefault="00A37D32" w:rsidP="00FC35C1">
      <w:pPr>
        <w:pStyle w:val="Prrafodelista"/>
        <w:numPr>
          <w:ilvl w:val="0"/>
          <w:numId w:val="7"/>
        </w:numPr>
        <w:spacing w:line="360" w:lineRule="auto"/>
        <w:ind w:left="0" w:firstLine="0"/>
        <w:jc w:val="both"/>
        <w:rPr>
          <w:rFonts w:ascii="Palatino Linotype" w:eastAsia="Calibri" w:hAnsi="Palatino Linotype" w:cs="Arial"/>
        </w:rPr>
      </w:pPr>
      <w:r>
        <w:rPr>
          <w:rFonts w:ascii="Palatino Linotype" w:eastAsia="Calibri" w:hAnsi="Palatino Linotype" w:cs="Arial"/>
        </w:rPr>
        <w:t>El día veintitrés</w:t>
      </w:r>
      <w:r w:rsidR="002066C9">
        <w:rPr>
          <w:rFonts w:ascii="Palatino Linotype" w:eastAsia="Calibri" w:hAnsi="Palatino Linotype" w:cs="Arial"/>
        </w:rPr>
        <w:t xml:space="preserve"> de </w:t>
      </w:r>
      <w:r>
        <w:rPr>
          <w:rFonts w:ascii="Palatino Linotype" w:eastAsia="Calibri" w:hAnsi="Palatino Linotype" w:cs="Arial"/>
        </w:rPr>
        <w:t>marz</w:t>
      </w:r>
      <w:r w:rsidR="002066C9">
        <w:rPr>
          <w:rFonts w:ascii="Palatino Linotype" w:eastAsia="Calibri" w:hAnsi="Palatino Linotype" w:cs="Arial"/>
        </w:rPr>
        <w:t>o de dos mil veintitrés</w:t>
      </w:r>
      <w:r w:rsidR="009417CA" w:rsidRPr="00B460A9">
        <w:rPr>
          <w:rFonts w:ascii="Palatino Linotype" w:hAnsi="Palatino Linotype"/>
          <w:b/>
        </w:rPr>
        <w:t xml:space="preserve">, </w:t>
      </w:r>
      <w:r w:rsidR="009417CA" w:rsidRPr="00B460A9">
        <w:rPr>
          <w:rFonts w:ascii="Palatino Linotype" w:eastAsia="Calibri" w:hAnsi="Palatino Linotype" w:cs="Arial"/>
        </w:rPr>
        <w:t xml:space="preserve">se presentó ante el </w:t>
      </w:r>
      <w:r w:rsidR="009417CA" w:rsidRPr="00B460A9">
        <w:rPr>
          <w:rFonts w:ascii="Palatino Linotype" w:eastAsia="Calibri" w:hAnsi="Palatino Linotype" w:cs="Arial"/>
          <w:b/>
        </w:rPr>
        <w:t>SUJETO OBLIGADO</w:t>
      </w:r>
      <w:r w:rsidR="009417CA" w:rsidRPr="00B460A9">
        <w:rPr>
          <w:rFonts w:ascii="Palatino Linotype" w:eastAsia="Calibri" w:hAnsi="Palatino Linotype" w:cs="Arial"/>
        </w:rPr>
        <w:t xml:space="preserve"> vía </w:t>
      </w:r>
      <w:r w:rsidR="008B13E3" w:rsidRPr="00B460A9">
        <w:rPr>
          <w:rFonts w:ascii="Palatino Linotype" w:eastAsia="Calibri" w:hAnsi="Palatino Linotype" w:cs="Arial"/>
          <w:b/>
        </w:rPr>
        <w:t>SAIMEX</w:t>
      </w:r>
      <w:r w:rsidR="009417CA" w:rsidRPr="00B460A9">
        <w:rPr>
          <w:rFonts w:ascii="Palatino Linotype" w:eastAsia="Calibri" w:hAnsi="Palatino Linotype" w:cs="Arial"/>
        </w:rPr>
        <w:t>, la</w:t>
      </w:r>
      <w:r w:rsidR="004D0714">
        <w:rPr>
          <w:rFonts w:ascii="Palatino Linotype" w:eastAsia="Calibri" w:hAnsi="Palatino Linotype" w:cs="Arial"/>
        </w:rPr>
        <w:t>s</w:t>
      </w:r>
      <w:r w:rsidR="009417CA" w:rsidRPr="00B460A9">
        <w:rPr>
          <w:rFonts w:ascii="Palatino Linotype" w:eastAsia="Calibri" w:hAnsi="Palatino Linotype" w:cs="Arial"/>
        </w:rPr>
        <w:t xml:space="preserve"> solicitud</w:t>
      </w:r>
      <w:r w:rsidR="004D0714">
        <w:rPr>
          <w:rFonts w:ascii="Palatino Linotype" w:eastAsia="Calibri" w:hAnsi="Palatino Linotype" w:cs="Arial"/>
        </w:rPr>
        <w:t>es</w:t>
      </w:r>
      <w:r w:rsidR="009417CA" w:rsidRPr="00B460A9">
        <w:rPr>
          <w:rFonts w:ascii="Palatino Linotype" w:eastAsia="Calibri" w:hAnsi="Palatino Linotype" w:cs="Arial"/>
        </w:rPr>
        <w:t xml:space="preserve"> de información pública registrada</w:t>
      </w:r>
      <w:r w:rsidR="004D0714">
        <w:rPr>
          <w:rFonts w:ascii="Palatino Linotype" w:eastAsia="Calibri" w:hAnsi="Palatino Linotype" w:cs="Arial"/>
        </w:rPr>
        <w:t xml:space="preserve">s con </w:t>
      </w:r>
      <w:r w:rsidR="009417CA" w:rsidRPr="00B460A9">
        <w:rPr>
          <w:rFonts w:ascii="Palatino Linotype" w:eastAsia="Calibri" w:hAnsi="Palatino Linotype" w:cs="Arial"/>
        </w:rPr>
        <w:t>l</w:t>
      </w:r>
      <w:r w:rsidR="004D0714">
        <w:rPr>
          <w:rFonts w:ascii="Palatino Linotype" w:eastAsia="Calibri" w:hAnsi="Palatino Linotype" w:cs="Arial"/>
        </w:rPr>
        <w:t>os</w:t>
      </w:r>
      <w:r w:rsidR="009417CA" w:rsidRPr="00B460A9">
        <w:rPr>
          <w:rFonts w:ascii="Palatino Linotype" w:eastAsia="Calibri" w:hAnsi="Palatino Linotype" w:cs="Arial"/>
        </w:rPr>
        <w:t xml:space="preserve"> número</w:t>
      </w:r>
      <w:r w:rsidR="004D0714">
        <w:rPr>
          <w:rFonts w:ascii="Palatino Linotype" w:eastAsia="Calibri" w:hAnsi="Palatino Linotype" w:cs="Arial"/>
        </w:rPr>
        <w:t>s</w:t>
      </w:r>
      <w:r w:rsidR="009417CA" w:rsidRPr="00B460A9">
        <w:rPr>
          <w:rFonts w:ascii="Palatino Linotype" w:hAnsi="Palatino Linotype"/>
          <w:b/>
          <w:bCs/>
          <w:color w:val="000000" w:themeColor="text1"/>
        </w:rPr>
        <w:t xml:space="preserve"> </w:t>
      </w:r>
      <w:r w:rsidR="00FC35C1" w:rsidRPr="00FC35C1">
        <w:rPr>
          <w:rFonts w:ascii="Palatino Linotype" w:hAnsi="Palatino Linotype"/>
          <w:b/>
          <w:bCs/>
          <w:color w:val="000000" w:themeColor="text1"/>
        </w:rPr>
        <w:t xml:space="preserve">00018/FELIPRO/IP/2023 </w:t>
      </w:r>
      <w:r w:rsidR="00FC35C1" w:rsidRPr="00A37D32">
        <w:rPr>
          <w:rFonts w:ascii="Palatino Linotype" w:hAnsi="Palatino Linotype"/>
          <w:bCs/>
          <w:color w:val="000000" w:themeColor="text1"/>
        </w:rPr>
        <w:t>y</w:t>
      </w:r>
      <w:r w:rsidR="00FC35C1" w:rsidRPr="00FC35C1">
        <w:rPr>
          <w:rFonts w:ascii="Palatino Linotype" w:hAnsi="Palatino Linotype"/>
          <w:b/>
          <w:bCs/>
          <w:color w:val="000000" w:themeColor="text1"/>
        </w:rPr>
        <w:t xml:space="preserve"> 00019/FELIPRO/IP/2023</w:t>
      </w:r>
      <w:r w:rsidR="009417CA" w:rsidRPr="00B460A9">
        <w:rPr>
          <w:rFonts w:ascii="Palatino Linotype" w:hAnsi="Palatino Linotype"/>
          <w:b/>
          <w:bCs/>
          <w:color w:val="000000" w:themeColor="text1"/>
        </w:rPr>
        <w:t>,</w:t>
      </w:r>
      <w:r w:rsidR="009417CA" w:rsidRPr="00B460A9">
        <w:rPr>
          <w:rFonts w:ascii="Palatino Linotype" w:eastAsia="Calibri" w:hAnsi="Palatino Linotype" w:cs="Arial"/>
        </w:rPr>
        <w:t xml:space="preserve"> mediante la</w:t>
      </w:r>
      <w:r w:rsidR="004D0714">
        <w:rPr>
          <w:rFonts w:ascii="Palatino Linotype" w:eastAsia="Calibri" w:hAnsi="Palatino Linotype" w:cs="Arial"/>
        </w:rPr>
        <w:t>s</w:t>
      </w:r>
      <w:r w:rsidR="009417CA" w:rsidRPr="00B460A9">
        <w:rPr>
          <w:rFonts w:ascii="Palatino Linotype" w:eastAsia="Calibri" w:hAnsi="Palatino Linotype" w:cs="Arial"/>
        </w:rPr>
        <w:t xml:space="preserve"> cual</w:t>
      </w:r>
      <w:r w:rsidR="004D0714">
        <w:rPr>
          <w:rFonts w:ascii="Palatino Linotype" w:eastAsia="Calibri" w:hAnsi="Palatino Linotype" w:cs="Arial"/>
        </w:rPr>
        <w:t>es</w:t>
      </w:r>
      <w:r w:rsidR="009417CA" w:rsidRPr="00B460A9">
        <w:rPr>
          <w:rFonts w:ascii="Palatino Linotype" w:eastAsia="Calibri" w:hAnsi="Palatino Linotype" w:cs="Arial"/>
        </w:rPr>
        <w:t xml:space="preserve"> se solicitó la siguiente información:</w:t>
      </w:r>
    </w:p>
    <w:p w14:paraId="54912EC1" w14:textId="77777777" w:rsidR="00150024" w:rsidRPr="00B460A9" w:rsidRDefault="00150024" w:rsidP="00DA29A0">
      <w:pPr>
        <w:pStyle w:val="Prrafodelista"/>
        <w:spacing w:line="360" w:lineRule="auto"/>
        <w:ind w:left="0"/>
        <w:jc w:val="both"/>
        <w:rPr>
          <w:rFonts w:ascii="Palatino Linotype" w:eastAsia="Calibri" w:hAnsi="Palatino Linotype" w:cs="Arial"/>
        </w:rPr>
      </w:pPr>
    </w:p>
    <w:p w14:paraId="0C51ABE4" w14:textId="334242E2" w:rsidR="004D0714" w:rsidRPr="004D0714" w:rsidRDefault="004D0714" w:rsidP="004D0714">
      <w:pPr>
        <w:pStyle w:val="Prrafodelista"/>
        <w:spacing w:line="360" w:lineRule="auto"/>
        <w:ind w:left="426" w:right="474"/>
        <w:jc w:val="both"/>
        <w:rPr>
          <w:rFonts w:ascii="Palatino Linotype" w:eastAsia="Calibri" w:hAnsi="Palatino Linotype" w:cs="Arial"/>
          <w:i/>
        </w:rPr>
      </w:pPr>
      <w:r>
        <w:rPr>
          <w:rFonts w:ascii="Palatino Linotype" w:eastAsia="Calibri" w:hAnsi="Palatino Linotype" w:cs="Arial"/>
          <w:i/>
        </w:rPr>
        <w:t>“</w:t>
      </w:r>
      <w:r w:rsidR="00FC35C1" w:rsidRPr="00FC35C1">
        <w:rPr>
          <w:rFonts w:ascii="Palatino Linotype" w:eastAsia="Calibri" w:hAnsi="Palatino Linotype" w:cs="Arial"/>
          <w:i/>
        </w:rPr>
        <w:t xml:space="preserve">Existe un Centro de Salud que se ubica en Rancho Guadalupe, San Lucas Ocotepec, San Felipe del Progreso, el edifico fue terminado e inaugurado pero no se </w:t>
      </w:r>
      <w:r w:rsidR="00FC35C1" w:rsidRPr="00FC35C1">
        <w:rPr>
          <w:rFonts w:ascii="Palatino Linotype" w:eastAsia="Calibri" w:hAnsi="Palatino Linotype" w:cs="Arial"/>
          <w:i/>
        </w:rPr>
        <w:lastRenderedPageBreak/>
        <w:t>encuentra funcionando, por ello le solicito a bien me informe: 1. Documento donde conste el costo total que se destinó a dicho centro de salud, y especificar de manera detallada los gastos erogados para su construcción y equipamiento, documentado. 2. Conocer cuándo entrará en operaciones dicho centro y cuáles son los inconvenientes que existen para poder habilitarlo para que funcione.</w:t>
      </w:r>
      <w:r>
        <w:rPr>
          <w:rFonts w:ascii="Palatino Linotype" w:eastAsia="Calibri" w:hAnsi="Palatino Linotype" w:cs="Arial"/>
          <w:i/>
        </w:rPr>
        <w:t>”</w:t>
      </w:r>
    </w:p>
    <w:p w14:paraId="343C0758" w14:textId="77777777" w:rsidR="004D0714" w:rsidRPr="004D0714" w:rsidRDefault="004D0714" w:rsidP="004D0714">
      <w:pPr>
        <w:pStyle w:val="Prrafodelista"/>
        <w:spacing w:line="360" w:lineRule="auto"/>
        <w:ind w:left="426" w:right="474"/>
        <w:jc w:val="both"/>
        <w:rPr>
          <w:rFonts w:ascii="Palatino Linotype" w:eastAsia="Calibri" w:hAnsi="Palatino Linotype" w:cs="Arial"/>
          <w:i/>
        </w:rPr>
      </w:pPr>
    </w:p>
    <w:p w14:paraId="7DF299AD" w14:textId="5A514DBB" w:rsidR="004D0714" w:rsidRPr="004D0714" w:rsidRDefault="004D0714" w:rsidP="004D0714">
      <w:pPr>
        <w:pStyle w:val="Prrafodelista"/>
        <w:spacing w:line="360" w:lineRule="auto"/>
        <w:ind w:left="426" w:right="474"/>
        <w:jc w:val="both"/>
        <w:rPr>
          <w:rFonts w:ascii="Palatino Linotype" w:eastAsia="Calibri" w:hAnsi="Palatino Linotype" w:cs="Arial"/>
          <w:i/>
        </w:rPr>
      </w:pPr>
      <w:r>
        <w:rPr>
          <w:rFonts w:ascii="Palatino Linotype" w:eastAsia="Calibri" w:hAnsi="Palatino Linotype" w:cs="Arial"/>
          <w:i/>
        </w:rPr>
        <w:t>“</w:t>
      </w:r>
      <w:r w:rsidR="00FC35C1" w:rsidRPr="00FC35C1">
        <w:rPr>
          <w:rFonts w:ascii="Palatino Linotype" w:eastAsia="Calibri" w:hAnsi="Palatino Linotype" w:cs="Arial"/>
          <w:i/>
        </w:rPr>
        <w:t>1. Deseo conocer los horarios de atención médica del Centro de Salud de San Nicolás Guadalupe en San Felipe del Progreso. 2. El nombre de todo el personal que atiende dicha clínica y sus horarios de laborales. 3. Conocer cuál es el procedimiento para iniciar una queja a un médico por acoso y malos tratos hacia los pacientes, y 4. Existe dentro de la normatividad de supervisión a clínicas o centros de salud, visitas sorpresa. 5. Cuáles son los mecanismos de control mediante el cual se supervisa que el personal médico cumpla con sus horarios y la autoridad responsable de la supervisión, así como sus datos de contacto.</w:t>
      </w:r>
      <w:r>
        <w:rPr>
          <w:rFonts w:ascii="Palatino Linotype" w:eastAsia="Calibri" w:hAnsi="Palatino Linotype" w:cs="Arial"/>
          <w:i/>
        </w:rPr>
        <w:t>”</w:t>
      </w:r>
    </w:p>
    <w:p w14:paraId="5EFE7277" w14:textId="77777777" w:rsidR="004D0714" w:rsidRPr="004D0714" w:rsidRDefault="004D0714" w:rsidP="004D0714">
      <w:pPr>
        <w:pStyle w:val="Prrafodelista"/>
        <w:spacing w:line="360" w:lineRule="auto"/>
        <w:ind w:left="426" w:right="474"/>
        <w:jc w:val="both"/>
        <w:rPr>
          <w:rFonts w:ascii="Palatino Linotype" w:eastAsia="Calibri" w:hAnsi="Palatino Linotype" w:cs="Arial"/>
          <w:i/>
        </w:rPr>
      </w:pPr>
    </w:p>
    <w:p w14:paraId="68853047" w14:textId="5137819A" w:rsidR="009417CA"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B460A9">
        <w:rPr>
          <w:rFonts w:ascii="Palatino Linotype" w:eastAsia="Calibri" w:hAnsi="Palatino Linotype" w:cs="Arial"/>
          <w:b/>
        </w:rPr>
        <w:t>Modalidad de entrega</w:t>
      </w:r>
      <w:r w:rsidRPr="00B460A9">
        <w:rPr>
          <w:rFonts w:ascii="Palatino Linotype" w:eastAsia="Calibri" w:hAnsi="Palatino Linotype" w:cs="Arial"/>
        </w:rPr>
        <w:t xml:space="preserve">: </w:t>
      </w:r>
      <w:r w:rsidR="00D07F3B" w:rsidRPr="00B460A9">
        <w:rPr>
          <w:rFonts w:ascii="Palatino Linotype" w:eastAsia="Calibri" w:hAnsi="Palatino Linotype" w:cs="Arial"/>
        </w:rPr>
        <w:t>Vía SAIMEX.</w:t>
      </w:r>
    </w:p>
    <w:p w14:paraId="25731F53" w14:textId="77777777" w:rsidR="004D0714" w:rsidRDefault="004D0714" w:rsidP="004D0714">
      <w:pPr>
        <w:pStyle w:val="Prrafodelista"/>
        <w:spacing w:line="360" w:lineRule="auto"/>
        <w:ind w:left="709" w:right="474"/>
        <w:contextualSpacing/>
        <w:jc w:val="both"/>
        <w:rPr>
          <w:rFonts w:ascii="Palatino Linotype" w:eastAsia="Calibri" w:hAnsi="Palatino Linotype" w:cs="Arial"/>
        </w:rPr>
      </w:pPr>
    </w:p>
    <w:p w14:paraId="13D460AE" w14:textId="2C3E46F3" w:rsidR="00A75E97" w:rsidRPr="00A75E97" w:rsidRDefault="00A75E97" w:rsidP="00A75E97">
      <w:pPr>
        <w:pStyle w:val="Prrafodelista"/>
        <w:numPr>
          <w:ilvl w:val="0"/>
          <w:numId w:val="7"/>
        </w:numPr>
        <w:spacing w:line="360" w:lineRule="auto"/>
        <w:ind w:left="0" w:firstLine="0"/>
        <w:jc w:val="both"/>
        <w:rPr>
          <w:rFonts w:ascii="Palatino Linotype" w:eastAsiaTheme="minorEastAsia" w:hAnsi="Palatino Linotype" w:cs="Arial"/>
          <w:i/>
          <w:lang w:val="es-ES_tradnl"/>
        </w:rPr>
      </w:pPr>
      <w:r>
        <w:rPr>
          <w:rFonts w:ascii="Palatino Linotype" w:eastAsiaTheme="minorEastAsia" w:hAnsi="Palatino Linotype" w:cs="Arial"/>
          <w:lang w:val="es-ES_tradnl"/>
        </w:rPr>
        <w:t xml:space="preserve">El once de abril de dos mil veintitrés, el </w:t>
      </w:r>
      <w:r>
        <w:rPr>
          <w:rFonts w:ascii="Palatino Linotype" w:eastAsiaTheme="minorEastAsia" w:hAnsi="Palatino Linotype" w:cs="Arial"/>
          <w:b/>
          <w:lang w:val="es-ES_tradnl"/>
        </w:rPr>
        <w:t>SUJETO OBLIGADO</w:t>
      </w:r>
      <w:r>
        <w:rPr>
          <w:rFonts w:ascii="Palatino Linotype" w:eastAsiaTheme="minorEastAsia" w:hAnsi="Palatino Linotype" w:cs="Arial"/>
          <w:lang w:val="es-ES_tradnl"/>
        </w:rPr>
        <w:t xml:space="preserve"> en respuesta a la solicitud de información </w:t>
      </w:r>
      <w:r w:rsidRPr="00A75E97">
        <w:rPr>
          <w:rFonts w:ascii="Palatino Linotype" w:eastAsiaTheme="minorEastAsia" w:hAnsi="Palatino Linotype" w:cs="Arial"/>
          <w:lang w:val="es-ES_tradnl"/>
        </w:rPr>
        <w:t>00019/FELIPRO/IP/2023</w:t>
      </w:r>
      <w:r>
        <w:rPr>
          <w:rFonts w:ascii="Palatino Linotype" w:eastAsiaTheme="minorEastAsia" w:hAnsi="Palatino Linotype" w:cs="Arial"/>
          <w:lang w:val="es-ES_tradnl"/>
        </w:rPr>
        <w:t xml:space="preserve">, informó que el </w:t>
      </w:r>
      <w:r w:rsidRPr="00A75E97">
        <w:rPr>
          <w:rFonts w:ascii="Palatino Linotype" w:eastAsiaTheme="minorEastAsia" w:hAnsi="Palatino Linotype" w:cs="Arial"/>
          <w:lang w:val="es-ES_tradnl"/>
        </w:rPr>
        <w:t>Ayuntamiento de San Felipe del Progreso es diverso del Instituto de Salud del Estado de México</w:t>
      </w:r>
      <w:r>
        <w:rPr>
          <w:rFonts w:ascii="Palatino Linotype" w:eastAsiaTheme="minorEastAsia" w:hAnsi="Palatino Linotype" w:cs="Arial"/>
          <w:lang w:val="es-ES_tradnl"/>
        </w:rPr>
        <w:t>.</w:t>
      </w:r>
    </w:p>
    <w:p w14:paraId="558DBDB0" w14:textId="77777777" w:rsidR="00A75E97" w:rsidRPr="00A75E97" w:rsidRDefault="00A75E97" w:rsidP="00A75E97">
      <w:pPr>
        <w:pStyle w:val="Prrafodelista"/>
        <w:spacing w:line="360" w:lineRule="auto"/>
        <w:ind w:left="0"/>
        <w:jc w:val="both"/>
        <w:rPr>
          <w:rFonts w:ascii="Palatino Linotype" w:eastAsiaTheme="minorEastAsia" w:hAnsi="Palatino Linotype" w:cs="Arial"/>
          <w:i/>
          <w:lang w:val="es-ES_tradnl"/>
        </w:rPr>
      </w:pPr>
    </w:p>
    <w:p w14:paraId="23AC9A00" w14:textId="77775E1F" w:rsidR="00FC35C1" w:rsidRPr="00FC35C1" w:rsidRDefault="00A75E97" w:rsidP="00FC35C1">
      <w:pPr>
        <w:pStyle w:val="Prrafodelista"/>
        <w:numPr>
          <w:ilvl w:val="0"/>
          <w:numId w:val="7"/>
        </w:numPr>
        <w:spacing w:line="360" w:lineRule="auto"/>
        <w:ind w:left="0" w:firstLine="0"/>
        <w:jc w:val="both"/>
        <w:rPr>
          <w:rFonts w:ascii="Palatino Linotype" w:hAnsi="Palatino Linotype"/>
        </w:rPr>
      </w:pPr>
      <w:r>
        <w:rPr>
          <w:rFonts w:ascii="Palatino Linotype" w:eastAsia="Calibri" w:hAnsi="Palatino Linotype" w:cs="Arial"/>
          <w:lang w:val="es-AR"/>
        </w:rPr>
        <w:t>El veinticinco de abril de dos mil veintitrés</w:t>
      </w:r>
      <w:r w:rsidR="00FC35C1">
        <w:rPr>
          <w:rFonts w:ascii="Palatino Linotype" w:hAnsi="Palatino Linotype"/>
        </w:rPr>
        <w:t xml:space="preserve">, </w:t>
      </w:r>
      <w:r>
        <w:rPr>
          <w:rFonts w:ascii="Palatino Linotype" w:hAnsi="Palatino Linotype"/>
        </w:rPr>
        <w:t xml:space="preserve">la solicitante </w:t>
      </w:r>
      <w:r w:rsidR="00FC35C1">
        <w:rPr>
          <w:rFonts w:ascii="Palatino Linotype" w:hAnsi="Palatino Linotype"/>
        </w:rPr>
        <w:t xml:space="preserve">interpuso recurso de revisión en contra de la respuesta emitida a la solicitud de información </w:t>
      </w:r>
      <w:r w:rsidR="00FC35C1" w:rsidRPr="00FC35C1">
        <w:rPr>
          <w:rFonts w:ascii="Palatino Linotype" w:hAnsi="Palatino Linotype"/>
        </w:rPr>
        <w:lastRenderedPageBreak/>
        <w:t>00019/FELIPRO/IP/2023</w:t>
      </w:r>
      <w:r w:rsidR="00FC35C1" w:rsidRPr="00D1725C">
        <w:rPr>
          <w:rFonts w:ascii="Palatino Linotype" w:hAnsi="Palatino Linotype" w:cs="Arial"/>
        </w:rPr>
        <w:t xml:space="preserve">, </w:t>
      </w:r>
      <w:r w:rsidR="00FC35C1">
        <w:rPr>
          <w:rFonts w:ascii="Palatino Linotype" w:hAnsi="Palatino Linotype" w:cs="Arial"/>
        </w:rPr>
        <w:t>señalando las siguientes razones o motivos de inconformidad:</w:t>
      </w:r>
    </w:p>
    <w:p w14:paraId="399BED5D" w14:textId="77777777" w:rsidR="0098010B" w:rsidRDefault="0098010B" w:rsidP="0098010B">
      <w:pPr>
        <w:pStyle w:val="Prrafodelista"/>
        <w:spacing w:line="360" w:lineRule="auto"/>
        <w:ind w:left="644" w:right="567"/>
        <w:contextualSpacing/>
        <w:jc w:val="both"/>
        <w:rPr>
          <w:rFonts w:ascii="Palatino Linotype" w:hAnsi="Palatino Linotype"/>
          <w:b/>
          <w:i/>
        </w:rPr>
      </w:pPr>
    </w:p>
    <w:p w14:paraId="0DD0ECE9" w14:textId="77777777" w:rsidR="0098010B" w:rsidRPr="00D1725C" w:rsidRDefault="0098010B" w:rsidP="0098010B">
      <w:pPr>
        <w:pStyle w:val="Prrafodelista"/>
        <w:spacing w:line="360" w:lineRule="auto"/>
        <w:ind w:left="644" w:right="567"/>
        <w:contextualSpacing/>
        <w:jc w:val="both"/>
        <w:rPr>
          <w:rFonts w:ascii="Palatino Linotype" w:hAnsi="Palatino Linotype" w:cs="Arial"/>
          <w:i/>
        </w:rPr>
      </w:pPr>
      <w:r w:rsidRPr="00D1725C">
        <w:rPr>
          <w:rFonts w:ascii="Palatino Linotype" w:hAnsi="Palatino Linotype"/>
          <w:b/>
          <w:i/>
        </w:rPr>
        <w:t>ACTO IMPUGNADO</w:t>
      </w:r>
    </w:p>
    <w:p w14:paraId="231D7014" w14:textId="57C4F29A" w:rsidR="0098010B" w:rsidRDefault="0098010B" w:rsidP="0098010B">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r w:rsidRPr="00FC35C1">
        <w:rPr>
          <w:rFonts w:ascii="Palatino Linotype" w:hAnsi="Palatino Linotype"/>
          <w:i/>
          <w:color w:val="000000"/>
        </w:rPr>
        <w:t>RESPUESTA</w:t>
      </w:r>
      <w:r>
        <w:rPr>
          <w:rFonts w:ascii="Palatino Linotype" w:hAnsi="Palatino Linotype"/>
          <w:i/>
          <w:color w:val="000000"/>
        </w:rPr>
        <w:t>”</w:t>
      </w:r>
    </w:p>
    <w:p w14:paraId="760D019D" w14:textId="77777777" w:rsidR="0098010B" w:rsidRDefault="0098010B" w:rsidP="0098010B">
      <w:pPr>
        <w:pStyle w:val="Prrafodelista"/>
        <w:spacing w:line="360" w:lineRule="auto"/>
        <w:ind w:left="644" w:right="567"/>
        <w:contextualSpacing/>
        <w:jc w:val="both"/>
        <w:rPr>
          <w:rFonts w:ascii="Palatino Linotype" w:hAnsi="Palatino Linotype"/>
          <w:b/>
          <w:i/>
        </w:rPr>
      </w:pPr>
    </w:p>
    <w:p w14:paraId="3B61630B" w14:textId="77777777" w:rsidR="0098010B" w:rsidRPr="00D1725C" w:rsidRDefault="0098010B" w:rsidP="0098010B">
      <w:pPr>
        <w:pStyle w:val="Prrafodelista"/>
        <w:spacing w:line="360" w:lineRule="auto"/>
        <w:ind w:left="644" w:right="567"/>
        <w:contextualSpacing/>
        <w:jc w:val="both"/>
        <w:rPr>
          <w:rFonts w:ascii="Palatino Linotype" w:hAnsi="Palatino Linotype" w:cs="Arial"/>
          <w:b/>
          <w:i/>
        </w:rPr>
      </w:pPr>
      <w:r w:rsidRPr="00D1725C">
        <w:rPr>
          <w:rFonts w:ascii="Palatino Linotype" w:hAnsi="Palatino Linotype"/>
          <w:b/>
          <w:i/>
        </w:rPr>
        <w:t>MOTIVO DE INCONFORMIDAD</w:t>
      </w:r>
    </w:p>
    <w:p w14:paraId="2221642E" w14:textId="77777777" w:rsidR="0098010B" w:rsidRDefault="0098010B" w:rsidP="0098010B">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r w:rsidRPr="00FC35C1">
        <w:rPr>
          <w:rFonts w:ascii="Palatino Linotype" w:hAnsi="Palatino Linotype"/>
          <w:i/>
          <w:color w:val="000000"/>
        </w:rPr>
        <w:t>RESPUESTA</w:t>
      </w:r>
      <w:r>
        <w:rPr>
          <w:rFonts w:ascii="Palatino Linotype" w:hAnsi="Palatino Linotype"/>
          <w:i/>
          <w:color w:val="000000"/>
        </w:rPr>
        <w:t>”</w:t>
      </w:r>
    </w:p>
    <w:p w14:paraId="2A4D6840" w14:textId="77777777" w:rsidR="00A75E97" w:rsidRDefault="00A75E97" w:rsidP="0098010B">
      <w:pPr>
        <w:spacing w:line="360" w:lineRule="auto"/>
        <w:ind w:left="567" w:right="567"/>
        <w:jc w:val="both"/>
        <w:rPr>
          <w:rFonts w:ascii="Palatino Linotype" w:hAnsi="Palatino Linotype"/>
          <w:i/>
          <w:color w:val="000000"/>
        </w:rPr>
      </w:pPr>
    </w:p>
    <w:p w14:paraId="3B10E761" w14:textId="40CE3A29" w:rsidR="00A75E97" w:rsidRPr="00D1725C" w:rsidRDefault="00A75E97" w:rsidP="00A75E97">
      <w:pPr>
        <w:pStyle w:val="Prrafodelista"/>
        <w:numPr>
          <w:ilvl w:val="0"/>
          <w:numId w:val="7"/>
        </w:numPr>
        <w:spacing w:line="360" w:lineRule="auto"/>
        <w:ind w:left="0" w:firstLine="0"/>
        <w:jc w:val="both"/>
        <w:rPr>
          <w:rFonts w:ascii="Palatino Linotype" w:eastAsiaTheme="minorEastAsia" w:hAnsi="Palatino Linotype" w:cs="Arial"/>
          <w:i/>
          <w:lang w:val="es-ES_tradnl"/>
        </w:rPr>
      </w:pPr>
      <w:r>
        <w:rPr>
          <w:rFonts w:ascii="Palatino Linotype" w:eastAsia="Calibri" w:hAnsi="Palatino Linotype" w:cs="Arial"/>
          <w:lang w:val="es-AR"/>
        </w:rPr>
        <w:t>En misma fecha</w:t>
      </w:r>
      <w:r w:rsidRPr="00D1725C">
        <w:rPr>
          <w:rFonts w:ascii="Palatino Linotype" w:hAnsi="Palatino Linotype" w:cs="Arial"/>
        </w:rPr>
        <w:t xml:space="preserve">, </w:t>
      </w:r>
      <w:r>
        <w:rPr>
          <w:rFonts w:ascii="Palatino Linotype" w:hAnsi="Palatino Linotype" w:cs="Arial"/>
        </w:rPr>
        <w:t>también se interpuso</w:t>
      </w:r>
      <w:r w:rsidRPr="00D1725C">
        <w:rPr>
          <w:rFonts w:ascii="Palatino Linotype" w:hAnsi="Palatino Linotype" w:cs="Arial"/>
        </w:rPr>
        <w:t xml:space="preserve"> el recurso de revisión, </w:t>
      </w:r>
      <w:r w:rsidR="00FD5338">
        <w:rPr>
          <w:rFonts w:ascii="Palatino Linotype" w:hAnsi="Palatino Linotype" w:cs="Arial"/>
        </w:rPr>
        <w:t>ante</w:t>
      </w:r>
      <w:r w:rsidRPr="00D1725C">
        <w:rPr>
          <w:rFonts w:ascii="Palatino Linotype" w:hAnsi="Palatino Linotype" w:cs="Arial"/>
        </w:rPr>
        <w:t xml:space="preserve"> la falta de respuesta</w:t>
      </w:r>
      <w:r>
        <w:rPr>
          <w:rFonts w:ascii="Palatino Linotype" w:hAnsi="Palatino Linotype" w:cs="Arial"/>
        </w:rPr>
        <w:t xml:space="preserve"> de la solicitud de información </w:t>
      </w:r>
      <w:r w:rsidRPr="00FC35C1">
        <w:rPr>
          <w:rFonts w:ascii="Palatino Linotype" w:hAnsi="Palatino Linotype" w:cs="Arial"/>
        </w:rPr>
        <w:t>00018/FELIPRO/IP/2023</w:t>
      </w:r>
      <w:r w:rsidRPr="00D1725C">
        <w:rPr>
          <w:rFonts w:ascii="Palatino Linotype" w:hAnsi="Palatino Linotype" w:cs="Arial"/>
        </w:rPr>
        <w:t xml:space="preserve">, </w:t>
      </w:r>
      <w:r>
        <w:rPr>
          <w:rFonts w:ascii="Palatino Linotype" w:hAnsi="Palatino Linotype" w:cs="Arial"/>
        </w:rPr>
        <w:t>señalando las siguientes razones o motivos de inconformidad</w:t>
      </w:r>
      <w:bookmarkStart w:id="1" w:name="_Toc462307683"/>
      <w:bookmarkStart w:id="2" w:name="_Toc472427085"/>
      <w:bookmarkStart w:id="3" w:name="_Toc472500652"/>
      <w:r>
        <w:rPr>
          <w:rFonts w:ascii="Palatino Linotype" w:hAnsi="Palatino Linotype" w:cs="Arial"/>
        </w:rPr>
        <w:t>:</w:t>
      </w:r>
    </w:p>
    <w:p w14:paraId="128940BE" w14:textId="77777777" w:rsidR="00A75E97" w:rsidRPr="00D1725C" w:rsidRDefault="00A75E97" w:rsidP="00A75E97">
      <w:pPr>
        <w:spacing w:line="360" w:lineRule="auto"/>
        <w:contextualSpacing/>
        <w:jc w:val="both"/>
        <w:rPr>
          <w:rFonts w:ascii="Palatino Linotype" w:eastAsiaTheme="minorEastAsia" w:hAnsi="Palatino Linotype" w:cs="Arial"/>
          <w:i/>
          <w:lang w:val="es-ES_tradnl" w:eastAsia="es-ES"/>
        </w:rPr>
      </w:pPr>
    </w:p>
    <w:p w14:paraId="36857DF5" w14:textId="77777777" w:rsidR="00A75E97" w:rsidRPr="00D1725C" w:rsidRDefault="00A75E97" w:rsidP="00A75E97">
      <w:pPr>
        <w:pStyle w:val="Prrafodelista"/>
        <w:spacing w:line="360" w:lineRule="auto"/>
        <w:ind w:left="567" w:right="567"/>
        <w:contextualSpacing/>
        <w:jc w:val="both"/>
        <w:rPr>
          <w:rFonts w:ascii="Palatino Linotype" w:hAnsi="Palatino Linotype" w:cs="Arial"/>
          <w:i/>
        </w:rPr>
      </w:pPr>
      <w:r w:rsidRPr="00D1725C">
        <w:rPr>
          <w:rFonts w:ascii="Palatino Linotype" w:hAnsi="Palatino Linotype"/>
          <w:b/>
          <w:i/>
        </w:rPr>
        <w:t>ACTO IMPUGNADO</w:t>
      </w:r>
    </w:p>
    <w:p w14:paraId="3A3DFE0A" w14:textId="77777777" w:rsidR="00A75E97" w:rsidRDefault="00A75E97" w:rsidP="00A75E97">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r w:rsidRPr="00FC35C1">
        <w:rPr>
          <w:rFonts w:ascii="Palatino Linotype" w:hAnsi="Palatino Linotype"/>
          <w:i/>
          <w:color w:val="000000"/>
        </w:rPr>
        <w:t>RESPUESTA</w:t>
      </w:r>
      <w:r>
        <w:rPr>
          <w:rFonts w:ascii="Palatino Linotype" w:hAnsi="Palatino Linotype"/>
          <w:i/>
          <w:color w:val="000000"/>
        </w:rPr>
        <w:t>”</w:t>
      </w:r>
    </w:p>
    <w:p w14:paraId="45AB15BB" w14:textId="77777777" w:rsidR="00A75E97" w:rsidRDefault="00A75E97" w:rsidP="00A75E97">
      <w:pPr>
        <w:spacing w:line="360" w:lineRule="auto"/>
        <w:ind w:left="567" w:right="567"/>
        <w:jc w:val="both"/>
        <w:rPr>
          <w:rFonts w:ascii="Palatino Linotype" w:hAnsi="Palatino Linotype"/>
          <w:i/>
          <w:color w:val="000000"/>
        </w:rPr>
      </w:pPr>
    </w:p>
    <w:p w14:paraId="77479DE5" w14:textId="77777777" w:rsidR="00A75E97" w:rsidRPr="00D1725C" w:rsidRDefault="00A75E97" w:rsidP="00A75E97">
      <w:pPr>
        <w:pStyle w:val="Prrafodelista"/>
        <w:spacing w:line="360" w:lineRule="auto"/>
        <w:ind w:left="567" w:right="567"/>
        <w:contextualSpacing/>
        <w:jc w:val="both"/>
        <w:rPr>
          <w:rFonts w:ascii="Palatino Linotype" w:hAnsi="Palatino Linotype" w:cs="Arial"/>
          <w:b/>
          <w:i/>
        </w:rPr>
      </w:pPr>
      <w:r w:rsidRPr="00D1725C">
        <w:rPr>
          <w:rFonts w:ascii="Palatino Linotype" w:hAnsi="Palatino Linotype"/>
          <w:b/>
          <w:i/>
        </w:rPr>
        <w:t>MOTIVO DE INCONFORMIDAD</w:t>
      </w:r>
    </w:p>
    <w:p w14:paraId="11815959" w14:textId="77777777" w:rsidR="00A75E97" w:rsidRDefault="00A75E97" w:rsidP="00A75E97">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bookmarkEnd w:id="1"/>
      <w:bookmarkEnd w:id="2"/>
      <w:bookmarkEnd w:id="3"/>
      <w:r w:rsidRPr="00FC35C1">
        <w:rPr>
          <w:rFonts w:ascii="Palatino Linotype" w:hAnsi="Palatino Linotype"/>
          <w:i/>
          <w:color w:val="000000"/>
        </w:rPr>
        <w:t>RESPUESTA</w:t>
      </w:r>
      <w:r>
        <w:rPr>
          <w:rFonts w:ascii="Palatino Linotype" w:hAnsi="Palatino Linotype"/>
          <w:i/>
          <w:color w:val="000000"/>
        </w:rPr>
        <w:t>”</w:t>
      </w:r>
    </w:p>
    <w:p w14:paraId="2F9CC279" w14:textId="77777777" w:rsidR="00FC35C1" w:rsidRDefault="00FC35C1" w:rsidP="00FC35C1">
      <w:pPr>
        <w:pStyle w:val="Prrafodelista"/>
        <w:spacing w:line="360" w:lineRule="auto"/>
        <w:ind w:left="0"/>
        <w:jc w:val="both"/>
        <w:rPr>
          <w:rFonts w:ascii="Palatino Linotype" w:hAnsi="Palatino Linotype"/>
        </w:rPr>
      </w:pPr>
    </w:p>
    <w:p w14:paraId="2F4C2A69" w14:textId="2CBCFFBF" w:rsidR="00FE6783" w:rsidRPr="0067785D" w:rsidRDefault="00FE6783" w:rsidP="0098010B">
      <w:pPr>
        <w:pStyle w:val="Prrafodelista"/>
        <w:numPr>
          <w:ilvl w:val="0"/>
          <w:numId w:val="7"/>
        </w:numPr>
        <w:spacing w:line="360" w:lineRule="auto"/>
        <w:ind w:left="0" w:firstLine="0"/>
        <w:jc w:val="both"/>
        <w:rPr>
          <w:rFonts w:ascii="Palatino Linotype" w:hAnsi="Palatino Linotype"/>
        </w:rPr>
      </w:pPr>
      <w:r w:rsidRPr="00F22511">
        <w:rPr>
          <w:rFonts w:ascii="Palatino Linotype" w:hAnsi="Palatino Linotype"/>
        </w:rPr>
        <w:t>Consecutivamente</w:t>
      </w:r>
      <w:r w:rsidRPr="00F22511">
        <w:rPr>
          <w:rFonts w:ascii="Palatino Linotype" w:hAnsi="Palatino Linotype"/>
          <w:i/>
        </w:rPr>
        <w:t xml:space="preserve">, </w:t>
      </w:r>
      <w:r w:rsidRPr="00F22511">
        <w:rPr>
          <w:rFonts w:ascii="Palatino Linotype" w:hAnsi="Palatino Linotype"/>
        </w:rPr>
        <w:t xml:space="preserve">con fundamento en lo dispuesto por el artículo 185 fracción I de la Ley de Transparencia y Acceso a la Información Pública del Estado de </w:t>
      </w:r>
      <w:r w:rsidRPr="00FE6783">
        <w:rPr>
          <w:rFonts w:ascii="Palatino Linotype" w:hAnsi="Palatino Linotype"/>
          <w:color w:val="000000"/>
        </w:rPr>
        <w:t>México</w:t>
      </w:r>
      <w:r w:rsidRPr="00F22511">
        <w:rPr>
          <w:rFonts w:ascii="Palatino Linotype" w:hAnsi="Palatino Linotype"/>
        </w:rPr>
        <w:t xml:space="preserve"> y Municipios, los recursos de referencia, fueron turnados</w:t>
      </w:r>
      <w:r w:rsidRPr="00F22511">
        <w:rPr>
          <w:rFonts w:ascii="Palatino Linotype" w:hAnsi="Palatino Linotype"/>
          <w:b/>
        </w:rPr>
        <w:t xml:space="preserve"> </w:t>
      </w:r>
      <w:r w:rsidRPr="00F22511">
        <w:rPr>
          <w:rFonts w:ascii="Palatino Linotype" w:hAnsi="Palatino Linotype"/>
        </w:rPr>
        <w:t xml:space="preserve">a las </w:t>
      </w:r>
      <w:r w:rsidR="00FD5338">
        <w:rPr>
          <w:rFonts w:ascii="Palatino Linotype" w:hAnsi="Palatino Linotype"/>
        </w:rPr>
        <w:lastRenderedPageBreak/>
        <w:t>Comisionada</w:t>
      </w:r>
      <w:r w:rsidRPr="0098010B">
        <w:rPr>
          <w:rFonts w:ascii="Palatino Linotype" w:hAnsi="Palatino Linotype"/>
        </w:rPr>
        <w:t>s</w:t>
      </w:r>
      <w:r w:rsidRPr="00F22511">
        <w:rPr>
          <w:rFonts w:ascii="Palatino Linotype" w:hAnsi="Palatino Linotype"/>
          <w:b/>
        </w:rPr>
        <w:t xml:space="preserve"> María del Rosario Mejía Ayala</w:t>
      </w:r>
      <w:r w:rsidR="0098010B">
        <w:rPr>
          <w:rFonts w:ascii="Palatino Linotype" w:hAnsi="Palatino Linotype"/>
          <w:b/>
        </w:rPr>
        <w:t xml:space="preserve"> </w:t>
      </w:r>
      <w:r w:rsidRPr="00F22511">
        <w:rPr>
          <w:rFonts w:ascii="Palatino Linotype" w:hAnsi="Palatino Linotype"/>
        </w:rPr>
        <w:t>y</w:t>
      </w:r>
      <w:r>
        <w:rPr>
          <w:rFonts w:ascii="Palatino Linotype" w:hAnsi="Palatino Linotype"/>
        </w:rPr>
        <w:t xml:space="preserve"> </w:t>
      </w:r>
      <w:r w:rsidR="0098010B" w:rsidRPr="0098010B">
        <w:rPr>
          <w:rFonts w:ascii="Palatino Linotype" w:hAnsi="Palatino Linotype"/>
          <w:b/>
        </w:rPr>
        <w:t>Sharon Cristina Morales Martínez</w:t>
      </w:r>
      <w:r w:rsidRPr="00F22511">
        <w:rPr>
          <w:rFonts w:ascii="Palatino Linotype" w:hAnsi="Palatino Linotype"/>
          <w:b/>
        </w:rPr>
        <w:t xml:space="preserve"> </w:t>
      </w:r>
      <w:r w:rsidRPr="00F22511">
        <w:rPr>
          <w:rFonts w:ascii="Palatino Linotype" w:hAnsi="Palatino Linotype"/>
        </w:rPr>
        <w:t>respectivamente,</w:t>
      </w:r>
      <w:r w:rsidRPr="00F22511">
        <w:rPr>
          <w:rFonts w:ascii="Palatino Linotype" w:hAnsi="Palatino Linotype"/>
          <w:b/>
        </w:rPr>
        <w:t xml:space="preserve"> </w:t>
      </w:r>
      <w:r>
        <w:rPr>
          <w:rFonts w:ascii="Palatino Linotype" w:hAnsi="Palatino Linotype"/>
        </w:rPr>
        <w:t>con el objeto de su análisis.</w:t>
      </w:r>
    </w:p>
    <w:p w14:paraId="6EADCD45" w14:textId="77777777" w:rsidR="00677660" w:rsidRPr="00B460A9" w:rsidRDefault="00677660" w:rsidP="00677660">
      <w:pPr>
        <w:pStyle w:val="Prrafodelista"/>
        <w:spacing w:line="360" w:lineRule="auto"/>
        <w:ind w:left="0"/>
        <w:jc w:val="both"/>
        <w:rPr>
          <w:rFonts w:ascii="Palatino Linotype" w:eastAsia="Calibri" w:hAnsi="Palatino Linotype" w:cs="Arial"/>
        </w:rPr>
      </w:pPr>
    </w:p>
    <w:p w14:paraId="75061726" w14:textId="08E61BCD" w:rsidR="005123A8" w:rsidRDefault="00FE6783" w:rsidP="00DA29A0">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w:t>
      </w:r>
      <w:r w:rsidR="00106A17">
        <w:rPr>
          <w:rFonts w:ascii="Palatino Linotype" w:hAnsi="Palatino Linotype"/>
          <w:color w:val="000000"/>
        </w:rPr>
        <w:t>a</w:t>
      </w:r>
      <w:r>
        <w:rPr>
          <w:rFonts w:ascii="Palatino Linotype" w:hAnsi="Palatino Linotype"/>
          <w:color w:val="000000"/>
        </w:rPr>
        <w:t>s</w:t>
      </w:r>
      <w:r w:rsidR="009417CA" w:rsidRPr="00B460A9">
        <w:rPr>
          <w:rFonts w:ascii="Palatino Linotype" w:hAnsi="Palatino Linotype"/>
          <w:color w:val="000000"/>
        </w:rPr>
        <w:t xml:space="preserve"> Comisionad</w:t>
      </w:r>
      <w:r w:rsidR="00106A17">
        <w:rPr>
          <w:rFonts w:ascii="Palatino Linotype" w:hAnsi="Palatino Linotype"/>
          <w:color w:val="000000"/>
        </w:rPr>
        <w:t>a</w:t>
      </w:r>
      <w:r>
        <w:rPr>
          <w:rFonts w:ascii="Palatino Linotype" w:hAnsi="Palatino Linotype"/>
          <w:color w:val="000000"/>
        </w:rPr>
        <w:t>s</w:t>
      </w:r>
      <w:r w:rsidR="009417CA" w:rsidRPr="00B460A9">
        <w:rPr>
          <w:rFonts w:ascii="Palatino Linotype" w:hAnsi="Palatino Linotype"/>
          <w:color w:val="000000"/>
        </w:rPr>
        <w:t xml:space="preserve"> Ponente</w:t>
      </w:r>
      <w:r>
        <w:rPr>
          <w:rFonts w:ascii="Palatino Linotype" w:hAnsi="Palatino Linotype"/>
          <w:color w:val="000000"/>
        </w:rPr>
        <w:t>s de origen</w:t>
      </w:r>
      <w:r w:rsidR="009417CA" w:rsidRPr="00B460A9">
        <w:rPr>
          <w:rFonts w:ascii="Palatino Linotype" w:hAnsi="Palatino Linotype"/>
          <w:color w:val="000000"/>
        </w:rPr>
        <w:t xml:space="preserve"> con fundamento en lo dispuesto por el artículo 185 </w:t>
      </w:r>
      <w:r w:rsidR="009417CA" w:rsidRPr="00B460A9">
        <w:rPr>
          <w:rFonts w:ascii="Palatino Linotype" w:eastAsia="Calibri" w:hAnsi="Palatino Linotype" w:cs="Arial"/>
        </w:rPr>
        <w:t>fracción</w:t>
      </w:r>
      <w:r w:rsidR="009417CA" w:rsidRPr="00B460A9">
        <w:rPr>
          <w:rFonts w:ascii="Palatino Linotype" w:hAnsi="Palatino Linotype"/>
          <w:color w:val="000000"/>
        </w:rPr>
        <w:t xml:space="preserve"> II de la ley de la materia, a través de</w:t>
      </w:r>
      <w:r>
        <w:rPr>
          <w:rFonts w:ascii="Palatino Linotype" w:hAnsi="Palatino Linotype"/>
          <w:color w:val="000000"/>
        </w:rPr>
        <w:t xml:space="preserve"> </w:t>
      </w:r>
      <w:r w:rsidR="009417CA" w:rsidRPr="00B460A9">
        <w:rPr>
          <w:rFonts w:ascii="Palatino Linotype" w:hAnsi="Palatino Linotype"/>
          <w:color w:val="000000"/>
        </w:rPr>
        <w:t>l</w:t>
      </w:r>
      <w:r>
        <w:rPr>
          <w:rFonts w:ascii="Palatino Linotype" w:hAnsi="Palatino Linotype"/>
          <w:color w:val="000000"/>
        </w:rPr>
        <w:t>os</w:t>
      </w:r>
      <w:r w:rsidR="009417CA" w:rsidRPr="00B460A9">
        <w:rPr>
          <w:rFonts w:ascii="Palatino Linotype" w:hAnsi="Palatino Linotype"/>
          <w:color w:val="000000"/>
        </w:rPr>
        <w:t xml:space="preserve"> </w:t>
      </w:r>
      <w:r w:rsidR="009417CA" w:rsidRPr="00B460A9">
        <w:rPr>
          <w:rFonts w:ascii="Palatino Linotype" w:hAnsi="Palatino Linotype"/>
          <w:b/>
          <w:color w:val="000000"/>
        </w:rPr>
        <w:t>acuerdo</w:t>
      </w:r>
      <w:r>
        <w:rPr>
          <w:rFonts w:ascii="Palatino Linotype" w:hAnsi="Palatino Linotype"/>
          <w:b/>
          <w:color w:val="000000"/>
        </w:rPr>
        <w:t>s</w:t>
      </w:r>
      <w:r w:rsidR="009417CA" w:rsidRPr="00B460A9">
        <w:rPr>
          <w:rFonts w:ascii="Palatino Linotype" w:hAnsi="Palatino Linotype"/>
          <w:b/>
          <w:color w:val="000000"/>
        </w:rPr>
        <w:t xml:space="preserve"> de admisión </w:t>
      </w:r>
      <w:r w:rsidR="009417CA" w:rsidRPr="00B460A9">
        <w:rPr>
          <w:rFonts w:ascii="Palatino Linotype" w:hAnsi="Palatino Linotype"/>
          <w:color w:val="000000"/>
        </w:rPr>
        <w:t>de fecha</w:t>
      </w:r>
      <w:r>
        <w:rPr>
          <w:rFonts w:ascii="Palatino Linotype" w:hAnsi="Palatino Linotype"/>
          <w:color w:val="000000"/>
        </w:rPr>
        <w:t>s</w:t>
      </w:r>
      <w:r w:rsidR="009417CA" w:rsidRPr="00B460A9">
        <w:rPr>
          <w:rFonts w:ascii="Palatino Linotype" w:hAnsi="Palatino Linotype"/>
          <w:color w:val="000000"/>
        </w:rPr>
        <w:t xml:space="preserve"> </w:t>
      </w:r>
      <w:r w:rsidR="00106A17">
        <w:rPr>
          <w:rFonts w:ascii="Palatino Linotype" w:hAnsi="Palatino Linotype"/>
          <w:b/>
          <w:color w:val="000000"/>
        </w:rPr>
        <w:t>veintiocho de abril</w:t>
      </w:r>
      <w:r w:rsidR="0054137B" w:rsidRPr="00823B97">
        <w:rPr>
          <w:rFonts w:ascii="Palatino Linotype" w:hAnsi="Palatino Linotype"/>
          <w:b/>
          <w:color w:val="000000"/>
        </w:rPr>
        <w:t xml:space="preserve"> de dos mil veintitrés</w:t>
      </w:r>
      <w:r>
        <w:rPr>
          <w:rFonts w:ascii="Palatino Linotype" w:hAnsi="Palatino Linotype"/>
          <w:color w:val="000000"/>
        </w:rPr>
        <w:t>, pusieron</w:t>
      </w:r>
      <w:r w:rsidR="009417CA" w:rsidRPr="00B460A9">
        <w:rPr>
          <w:rFonts w:ascii="Palatino Linotype" w:hAnsi="Palatino Linotype"/>
          <w:color w:val="000000"/>
        </w:rPr>
        <w:t xml:space="preserve"> a disposición de las partes el expediente electrónico vía SAIMEX a efecto de que en un plazo máximo de siete días manifestaran lo que a </w:t>
      </w:r>
      <w:r w:rsidR="000B08A0" w:rsidRPr="00B460A9">
        <w:rPr>
          <w:rFonts w:ascii="Palatino Linotype" w:hAnsi="Palatino Linotype"/>
          <w:color w:val="000000"/>
        </w:rPr>
        <w:t xml:space="preserve">su </w:t>
      </w:r>
      <w:r w:rsidR="009417CA" w:rsidRPr="00B460A9">
        <w:rPr>
          <w:rFonts w:ascii="Palatino Linotype" w:hAnsi="Palatino Linotype"/>
          <w:color w:val="000000"/>
        </w:rPr>
        <w:t xml:space="preserve">derecho conviniera, ofrecieran pruebas y alegatos según corresponda al caso concreto, de esta forma para que el </w:t>
      </w:r>
      <w:r w:rsidR="009417CA" w:rsidRPr="00B460A9">
        <w:rPr>
          <w:rFonts w:ascii="Palatino Linotype" w:hAnsi="Palatino Linotype"/>
          <w:b/>
          <w:color w:val="000000"/>
        </w:rPr>
        <w:t xml:space="preserve">SUJETO OBLIGADO </w:t>
      </w:r>
      <w:r w:rsidR="009417CA" w:rsidRPr="00B460A9">
        <w:rPr>
          <w:rFonts w:ascii="Palatino Linotype" w:hAnsi="Palatino Linotype"/>
          <w:color w:val="000000"/>
        </w:rPr>
        <w:t>presentara el Informe Justificado procedente.</w:t>
      </w:r>
    </w:p>
    <w:p w14:paraId="2BACD430" w14:textId="77777777" w:rsidR="003C68FA" w:rsidRPr="003C68FA" w:rsidRDefault="003C68FA" w:rsidP="003C68FA">
      <w:pPr>
        <w:pStyle w:val="Prrafodelista"/>
        <w:rPr>
          <w:rFonts w:ascii="Palatino Linotype" w:hAnsi="Palatino Linotype"/>
          <w:color w:val="000000"/>
        </w:rPr>
      </w:pPr>
    </w:p>
    <w:p w14:paraId="56B39191" w14:textId="5F5A159F" w:rsidR="00FE6783" w:rsidRPr="00F22511" w:rsidRDefault="00FE6783" w:rsidP="00FE6783">
      <w:pPr>
        <w:pStyle w:val="Prrafodelista"/>
        <w:numPr>
          <w:ilvl w:val="0"/>
          <w:numId w:val="7"/>
        </w:numPr>
        <w:spacing w:line="360" w:lineRule="auto"/>
        <w:ind w:left="0" w:firstLine="0"/>
        <w:jc w:val="both"/>
        <w:rPr>
          <w:rFonts w:ascii="Palatino Linotype" w:hAnsi="Palatino Linotype"/>
        </w:rPr>
      </w:pPr>
      <w:r w:rsidRPr="00F22511">
        <w:rPr>
          <w:rFonts w:ascii="Palatino Linotype" w:hAnsi="Palatino Linotype"/>
        </w:rPr>
        <w:t>Posteriormente el Pleno de este Órgano Autónomo, en la</w:t>
      </w:r>
      <w:r w:rsidRPr="00F22511">
        <w:rPr>
          <w:rFonts w:ascii="Palatino Linotype" w:hAnsi="Palatino Linotype"/>
          <w:b/>
        </w:rPr>
        <w:t xml:space="preserve"> </w:t>
      </w:r>
      <w:r w:rsidR="00A00B1C">
        <w:rPr>
          <w:rFonts w:ascii="Palatino Linotype" w:hAnsi="Palatino Linotype"/>
          <w:b/>
        </w:rPr>
        <w:t>Décima Sexta</w:t>
      </w:r>
      <w:r w:rsidRPr="00F22511">
        <w:rPr>
          <w:rFonts w:ascii="Palatino Linotype" w:hAnsi="Palatino Linotype"/>
          <w:b/>
        </w:rPr>
        <w:t xml:space="preserve"> </w:t>
      </w:r>
      <w:r w:rsidR="00A00B1C">
        <w:rPr>
          <w:rFonts w:ascii="Palatino Linotype" w:hAnsi="Palatino Linotype"/>
          <w:b/>
        </w:rPr>
        <w:t xml:space="preserve">Sesión </w:t>
      </w:r>
      <w:r w:rsidRPr="00FE6783">
        <w:rPr>
          <w:rFonts w:ascii="Palatino Linotype" w:hAnsi="Palatino Linotype"/>
          <w:b/>
          <w:color w:val="000000"/>
        </w:rPr>
        <w:t>Ordinaria</w:t>
      </w:r>
      <w:r w:rsidRPr="00F22511">
        <w:rPr>
          <w:rFonts w:ascii="Palatino Linotype" w:hAnsi="Palatino Linotype"/>
          <w:b/>
        </w:rPr>
        <w:t xml:space="preserve"> </w:t>
      </w:r>
      <w:r w:rsidRPr="00F22511">
        <w:rPr>
          <w:rFonts w:ascii="Palatino Linotype" w:hAnsi="Palatino Linotype"/>
        </w:rPr>
        <w:t>de fecha</w:t>
      </w:r>
      <w:r w:rsidRPr="00F22511">
        <w:rPr>
          <w:rFonts w:ascii="Palatino Linotype" w:hAnsi="Palatino Linotype"/>
          <w:b/>
        </w:rPr>
        <w:t xml:space="preserve"> </w:t>
      </w:r>
      <w:r w:rsidR="00A00B1C">
        <w:rPr>
          <w:rFonts w:ascii="Palatino Linotype" w:hAnsi="Palatino Linotype"/>
          <w:b/>
        </w:rPr>
        <w:t>cuatro de mayo</w:t>
      </w:r>
      <w:r w:rsidRPr="00F22511">
        <w:rPr>
          <w:rFonts w:ascii="Palatino Linotype" w:hAnsi="Palatino Linotype"/>
        </w:rPr>
        <w:t xml:space="preserve"> </w:t>
      </w:r>
      <w:r w:rsidRPr="00F22511">
        <w:rPr>
          <w:rFonts w:ascii="Palatino Linotype" w:hAnsi="Palatino Linotype"/>
          <w:b/>
        </w:rPr>
        <w:t>de dos mil veinti</w:t>
      </w:r>
      <w:r>
        <w:rPr>
          <w:rFonts w:ascii="Palatino Linotype" w:hAnsi="Palatino Linotype"/>
          <w:b/>
        </w:rPr>
        <w:t>trés</w:t>
      </w:r>
      <w:r w:rsidRPr="00F22511">
        <w:rPr>
          <w:rFonts w:ascii="Palatino Linotype" w:hAnsi="Palatino Linotype"/>
        </w:rPr>
        <w:t xml:space="preserve">; ordenó la acumulación de los recursos de revisión </w:t>
      </w:r>
      <w:r w:rsidRPr="00FE0BCB">
        <w:rPr>
          <w:rFonts w:ascii="Palatino Linotype" w:hAnsi="Palatino Linotype"/>
        </w:rPr>
        <w:t>de mérito</w:t>
      </w:r>
      <w:r w:rsidRPr="00F22511">
        <w:rPr>
          <w:rFonts w:ascii="Palatino Linotype" w:hAnsi="Palatino Linotype"/>
        </w:rPr>
        <w:t xml:space="preserve">, a efecto de que la Ponencia de la </w:t>
      </w:r>
      <w:r w:rsidRPr="00F22511">
        <w:rPr>
          <w:rFonts w:ascii="Palatino Linotype" w:hAnsi="Palatino Linotype"/>
          <w:b/>
        </w:rPr>
        <w:t xml:space="preserve">Comisionada María del Rosario Mejía Ayala </w:t>
      </w:r>
      <w:r w:rsidRPr="00F22511">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F22511">
        <w:rPr>
          <w:rFonts w:ascii="Palatino Linotype" w:hAnsi="Palatino Linotype"/>
          <w:i/>
          <w:vertAlign w:val="superscript"/>
        </w:rPr>
        <w:footnoteReference w:id="1"/>
      </w:r>
      <w:r w:rsidRPr="00F22511">
        <w:rPr>
          <w:rFonts w:ascii="Palatino Linotype" w:hAnsi="Palatino Linotype"/>
        </w:rPr>
        <w:t>, que señala:</w:t>
      </w:r>
    </w:p>
    <w:p w14:paraId="41E445DC" w14:textId="77777777" w:rsidR="00FE6783" w:rsidRPr="00F22511" w:rsidRDefault="00FE6783" w:rsidP="00FE6783">
      <w:pPr>
        <w:pStyle w:val="Prrafodelista"/>
        <w:tabs>
          <w:tab w:val="left" w:pos="0"/>
        </w:tabs>
        <w:spacing w:line="360" w:lineRule="auto"/>
        <w:ind w:left="0" w:right="49"/>
        <w:jc w:val="both"/>
        <w:rPr>
          <w:rFonts w:ascii="Palatino Linotype" w:hAnsi="Palatino Linotype"/>
        </w:rPr>
      </w:pPr>
    </w:p>
    <w:p w14:paraId="6D58EF1F" w14:textId="77777777" w:rsidR="00FE6783" w:rsidRPr="00F22511" w:rsidRDefault="00FE6783" w:rsidP="00A00B1C">
      <w:pPr>
        <w:pStyle w:val="Prrafodelista"/>
        <w:tabs>
          <w:tab w:val="left" w:pos="426"/>
        </w:tabs>
        <w:ind w:left="567" w:right="618"/>
        <w:jc w:val="both"/>
        <w:rPr>
          <w:rFonts w:ascii="Palatino Linotype" w:hAnsi="Palatino Linotype"/>
          <w:i/>
        </w:rPr>
      </w:pPr>
      <w:r w:rsidRPr="00F22511">
        <w:rPr>
          <w:rFonts w:ascii="Palatino Linotype" w:hAnsi="Palatino Linotype"/>
          <w:b/>
          <w:i/>
        </w:rPr>
        <w:t>“ONCE.</w:t>
      </w:r>
      <w:r w:rsidRPr="00F22511">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07DA6F2D" w14:textId="77777777" w:rsidR="00FE6783" w:rsidRPr="00F22511" w:rsidRDefault="00FE6783" w:rsidP="00A00B1C">
      <w:pPr>
        <w:pStyle w:val="Prrafodelista"/>
        <w:tabs>
          <w:tab w:val="left" w:pos="426"/>
        </w:tabs>
        <w:ind w:left="567" w:right="618"/>
        <w:jc w:val="both"/>
        <w:rPr>
          <w:rFonts w:ascii="Palatino Linotype" w:hAnsi="Palatino Linotype"/>
          <w:i/>
        </w:rPr>
      </w:pPr>
      <w:r w:rsidRPr="00F22511">
        <w:rPr>
          <w:rFonts w:ascii="Palatino Linotype" w:hAnsi="Palatino Linotype"/>
          <w:i/>
        </w:rPr>
        <w:lastRenderedPageBreak/>
        <w:t>…</w:t>
      </w:r>
      <w:r w:rsidRPr="00F22511">
        <w:rPr>
          <w:rFonts w:ascii="Palatino Linotype" w:hAnsi="Palatino Linotype"/>
          <w:i/>
        </w:rPr>
        <w:tab/>
      </w:r>
    </w:p>
    <w:p w14:paraId="61E7CF03" w14:textId="77777777" w:rsidR="00FE6783" w:rsidRPr="00F22511" w:rsidRDefault="00FE6783" w:rsidP="00A00B1C">
      <w:pPr>
        <w:pStyle w:val="Prrafodelista"/>
        <w:tabs>
          <w:tab w:val="left" w:pos="426"/>
        </w:tabs>
        <w:ind w:left="567" w:right="618"/>
        <w:jc w:val="both"/>
        <w:rPr>
          <w:rFonts w:ascii="Palatino Linotype" w:hAnsi="Palatino Linotype"/>
          <w:i/>
        </w:rPr>
      </w:pPr>
      <w:r w:rsidRPr="00F22511">
        <w:rPr>
          <w:rFonts w:ascii="Palatino Linotype" w:hAnsi="Palatino Linotype"/>
          <w:i/>
        </w:rPr>
        <w:t>b) Las partes o los actos impugnados sean iguales</w:t>
      </w:r>
    </w:p>
    <w:p w14:paraId="14FD92BD" w14:textId="77777777" w:rsidR="00FE6783" w:rsidRPr="00F22511" w:rsidRDefault="00FE6783" w:rsidP="00A00B1C">
      <w:pPr>
        <w:pStyle w:val="Prrafodelista"/>
        <w:tabs>
          <w:tab w:val="left" w:pos="426"/>
        </w:tabs>
        <w:ind w:left="567" w:right="618"/>
        <w:jc w:val="both"/>
        <w:rPr>
          <w:rFonts w:ascii="Palatino Linotype" w:hAnsi="Palatino Linotype"/>
          <w:i/>
        </w:rPr>
      </w:pPr>
      <w:r w:rsidRPr="00F22511">
        <w:rPr>
          <w:rFonts w:ascii="Palatino Linotype" w:hAnsi="Palatino Linotype"/>
          <w:i/>
        </w:rPr>
        <w:t>c) Cuando se trate del mismo solicitante, el mismo SUJETO OBLIGADO, aunque se trate de solicitudes diversas;</w:t>
      </w:r>
    </w:p>
    <w:p w14:paraId="5EF31EAC" w14:textId="77777777" w:rsidR="00FE6783" w:rsidRPr="00F22511" w:rsidRDefault="00FE6783" w:rsidP="00A00B1C">
      <w:pPr>
        <w:pStyle w:val="Prrafodelista"/>
        <w:tabs>
          <w:tab w:val="left" w:pos="426"/>
        </w:tabs>
        <w:ind w:left="567" w:right="618"/>
        <w:jc w:val="both"/>
        <w:rPr>
          <w:rFonts w:ascii="Palatino Linotype" w:hAnsi="Palatino Linotype"/>
          <w:i/>
        </w:rPr>
      </w:pPr>
      <w:r w:rsidRPr="00F22511">
        <w:rPr>
          <w:rFonts w:ascii="Palatino Linotype" w:hAnsi="Palatino Linotype"/>
          <w:i/>
        </w:rPr>
        <w:t>(…)”</w:t>
      </w:r>
    </w:p>
    <w:p w14:paraId="2FEC874C" w14:textId="77777777" w:rsidR="00FE6783" w:rsidRDefault="00FE6783" w:rsidP="00FE6783">
      <w:pPr>
        <w:pStyle w:val="Prrafodelista"/>
        <w:tabs>
          <w:tab w:val="left" w:pos="426"/>
        </w:tabs>
        <w:spacing w:line="360" w:lineRule="auto"/>
        <w:ind w:left="567" w:right="616"/>
        <w:jc w:val="both"/>
        <w:rPr>
          <w:rFonts w:ascii="Palatino Linotype" w:hAnsi="Palatino Linotype"/>
        </w:rPr>
      </w:pPr>
      <w:r w:rsidRPr="00F22511">
        <w:rPr>
          <w:rFonts w:ascii="Palatino Linotype" w:hAnsi="Palatino Linotype"/>
        </w:rPr>
        <w:t>(Énfasis añadido)</w:t>
      </w:r>
    </w:p>
    <w:p w14:paraId="1F23FBC9" w14:textId="77777777" w:rsidR="00A00B1C" w:rsidRPr="00A00B1C" w:rsidRDefault="00A00B1C" w:rsidP="00A00B1C">
      <w:pPr>
        <w:tabs>
          <w:tab w:val="left" w:pos="426"/>
        </w:tabs>
        <w:spacing w:line="360" w:lineRule="auto"/>
        <w:ind w:right="616"/>
        <w:jc w:val="both"/>
        <w:rPr>
          <w:rFonts w:ascii="Palatino Linotype" w:hAnsi="Palatino Linotype"/>
        </w:rPr>
      </w:pPr>
    </w:p>
    <w:p w14:paraId="0635ABA0" w14:textId="77777777" w:rsidR="00FE6783" w:rsidRDefault="00FE6783" w:rsidP="00FE6783">
      <w:pPr>
        <w:pStyle w:val="Prrafodelista"/>
        <w:numPr>
          <w:ilvl w:val="0"/>
          <w:numId w:val="7"/>
        </w:numPr>
        <w:spacing w:line="360" w:lineRule="auto"/>
        <w:ind w:left="0" w:firstLine="0"/>
        <w:jc w:val="both"/>
        <w:rPr>
          <w:rFonts w:ascii="Palatino Linotype" w:hAnsi="Palatino Linotype"/>
        </w:rPr>
      </w:pPr>
      <w:r w:rsidRPr="00F22511">
        <w:rPr>
          <w:rFonts w:ascii="Palatino Linotype" w:hAnsi="Palatino Linotype"/>
        </w:rPr>
        <w:t>Es así que,</w:t>
      </w:r>
      <w:r w:rsidRPr="00F22511">
        <w:rPr>
          <w:rFonts w:ascii="Palatino Linotype" w:hAnsi="Palatino Linotype"/>
          <w:i/>
        </w:rPr>
        <w:t xml:space="preserve"> </w:t>
      </w:r>
      <w:r w:rsidRPr="00F22511">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738565" w14:textId="77777777" w:rsidR="00FE6783" w:rsidRPr="00F22511" w:rsidRDefault="00FE6783" w:rsidP="00FE6783">
      <w:pPr>
        <w:pStyle w:val="Prrafodelista"/>
        <w:spacing w:line="360" w:lineRule="auto"/>
        <w:ind w:left="0"/>
        <w:jc w:val="both"/>
        <w:rPr>
          <w:rFonts w:ascii="Palatino Linotype" w:hAnsi="Palatino Linotype"/>
        </w:rPr>
      </w:pPr>
    </w:p>
    <w:p w14:paraId="5405C5DB" w14:textId="77777777" w:rsidR="00FE6783" w:rsidRPr="002F2B0D" w:rsidRDefault="00FE6783" w:rsidP="00A00B1C">
      <w:pPr>
        <w:tabs>
          <w:tab w:val="left" w:pos="567"/>
        </w:tabs>
        <w:ind w:left="567" w:right="616"/>
        <w:jc w:val="center"/>
        <w:rPr>
          <w:rFonts w:ascii="Palatino Linotype" w:hAnsi="Palatino Linotype"/>
          <w:b/>
          <w:i/>
        </w:rPr>
      </w:pPr>
      <w:r w:rsidRPr="002F2B0D">
        <w:rPr>
          <w:rFonts w:ascii="Palatino Linotype" w:hAnsi="Palatino Linotype"/>
          <w:b/>
          <w:i/>
        </w:rPr>
        <w:t>Código de Procedimientos Administrativos del Estado de México.</w:t>
      </w:r>
    </w:p>
    <w:p w14:paraId="7C844D41" w14:textId="77777777" w:rsidR="00FE6783" w:rsidRPr="00F22511" w:rsidRDefault="00FE6783" w:rsidP="00A00B1C">
      <w:pPr>
        <w:ind w:left="567" w:right="616"/>
        <w:jc w:val="both"/>
        <w:rPr>
          <w:rFonts w:ascii="Palatino Linotype" w:hAnsi="Palatino Linotype"/>
          <w:i/>
        </w:rPr>
      </w:pPr>
      <w:r w:rsidRPr="002F2B0D">
        <w:rPr>
          <w:rFonts w:ascii="Palatino Linotype" w:hAnsi="Palatino Linotype"/>
          <w:b/>
          <w:i/>
        </w:rPr>
        <w:t>“Artículo 18.-</w:t>
      </w:r>
      <w:r w:rsidRPr="002F2B0D">
        <w:rPr>
          <w:rFonts w:ascii="Palatino Linotype" w:hAnsi="Palatino Linotype"/>
          <w:i/>
        </w:rPr>
        <w:t xml:space="preserve"> La autoridad administrativa o el Tribunal acordarán la</w:t>
      </w:r>
      <w:r w:rsidRPr="00F22511">
        <w:rPr>
          <w:rFonts w:ascii="Palatino Linotype" w:hAnsi="Palatino Linotype"/>
          <w:i/>
        </w:rPr>
        <w:t xml:space="preserve">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A94A9A0" w14:textId="77777777" w:rsidR="00FE6783" w:rsidRPr="00F22511" w:rsidRDefault="00FE6783" w:rsidP="00A00B1C">
      <w:pPr>
        <w:tabs>
          <w:tab w:val="left" w:pos="567"/>
        </w:tabs>
        <w:ind w:right="616"/>
        <w:jc w:val="both"/>
        <w:rPr>
          <w:rFonts w:ascii="Palatino Linotype" w:hAnsi="Palatino Linotype"/>
          <w:i/>
        </w:rPr>
      </w:pPr>
    </w:p>
    <w:p w14:paraId="343C586F" w14:textId="77777777" w:rsidR="00FE6783" w:rsidRPr="00F22511" w:rsidRDefault="00FE6783" w:rsidP="00A00B1C">
      <w:pPr>
        <w:ind w:left="567" w:right="618"/>
        <w:jc w:val="both"/>
        <w:rPr>
          <w:rFonts w:ascii="Palatino Linotype" w:hAnsi="Palatino Linotype"/>
          <w:b/>
          <w:i/>
        </w:rPr>
      </w:pPr>
      <w:r w:rsidRPr="00F22511">
        <w:rPr>
          <w:rFonts w:ascii="Palatino Linotype" w:hAnsi="Palatino Linotype"/>
          <w:b/>
          <w:i/>
        </w:rPr>
        <w:t>Ley de Transparencia y Acceso a la Información Pública del Estado de México y Municipios</w:t>
      </w:r>
    </w:p>
    <w:p w14:paraId="0A19772A" w14:textId="77777777" w:rsidR="00FE6783" w:rsidRPr="00F22511" w:rsidRDefault="00FE6783" w:rsidP="00A00B1C">
      <w:pPr>
        <w:ind w:left="567" w:right="618"/>
        <w:jc w:val="both"/>
        <w:rPr>
          <w:rFonts w:ascii="Palatino Linotype" w:hAnsi="Palatino Linotype"/>
          <w:i/>
        </w:rPr>
      </w:pPr>
      <w:r w:rsidRPr="00F22511">
        <w:rPr>
          <w:rFonts w:ascii="Palatino Linotype" w:hAnsi="Palatino Linotype"/>
          <w:b/>
          <w:i/>
        </w:rPr>
        <w:t>“Artículo 195.</w:t>
      </w:r>
      <w:r w:rsidRPr="00F22511">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DFD3BC3" w14:textId="77777777" w:rsidR="00FE6783" w:rsidRDefault="00FE6783" w:rsidP="00FE6783">
      <w:pPr>
        <w:spacing w:line="360" w:lineRule="auto"/>
        <w:ind w:left="567" w:right="-142"/>
        <w:contextualSpacing/>
        <w:jc w:val="both"/>
        <w:rPr>
          <w:rFonts w:ascii="Palatino Linotype" w:hAnsi="Palatino Linotype"/>
        </w:rPr>
      </w:pPr>
      <w:r w:rsidRPr="00F22511">
        <w:rPr>
          <w:rFonts w:ascii="Palatino Linotype" w:hAnsi="Palatino Linotype"/>
        </w:rPr>
        <w:t xml:space="preserve"> (Énfasis añadido)</w:t>
      </w:r>
    </w:p>
    <w:p w14:paraId="26EC5D4D" w14:textId="74FBDB16" w:rsidR="00FD71C1" w:rsidRPr="00B460A9" w:rsidRDefault="00A00B1C" w:rsidP="00DA29A0">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lastRenderedPageBreak/>
        <w:t>Así las cosas, e</w:t>
      </w:r>
      <w:r w:rsidR="009417CA" w:rsidRPr="00B460A9">
        <w:rPr>
          <w:rFonts w:ascii="Palatino Linotype" w:hAnsi="Palatino Linotype"/>
        </w:rPr>
        <w:t>l</w:t>
      </w:r>
      <w:r w:rsidR="004E3F0E" w:rsidRPr="00B460A9">
        <w:rPr>
          <w:rFonts w:ascii="Palatino Linotype" w:hAnsi="Palatino Linotype"/>
        </w:rPr>
        <w:t xml:space="preserve"> </w:t>
      </w:r>
      <w:r w:rsidR="009417CA" w:rsidRPr="00B460A9">
        <w:rPr>
          <w:rFonts w:ascii="Palatino Linotype" w:hAnsi="Palatino Linotype"/>
          <w:b/>
          <w:color w:val="000000"/>
        </w:rPr>
        <w:t>SUJETO</w:t>
      </w:r>
      <w:r w:rsidR="009417CA" w:rsidRPr="00B460A9">
        <w:rPr>
          <w:rFonts w:ascii="Palatino Linotype" w:hAnsi="Palatino Linotype"/>
          <w:b/>
        </w:rPr>
        <w:t xml:space="preserve"> OBLIGADO</w:t>
      </w:r>
      <w:r w:rsidR="009417CA" w:rsidRPr="00B460A9">
        <w:rPr>
          <w:rFonts w:ascii="Palatino Linotype" w:hAnsi="Palatino Linotype"/>
        </w:rPr>
        <w:t xml:space="preserve"> </w:t>
      </w:r>
      <w:r w:rsidR="00823B97">
        <w:rPr>
          <w:rFonts w:ascii="Palatino Linotype" w:hAnsi="Palatino Linotype"/>
        </w:rPr>
        <w:t>fue omiso en rendir l</w:t>
      </w:r>
      <w:r>
        <w:rPr>
          <w:rFonts w:ascii="Palatino Linotype" w:hAnsi="Palatino Linotype"/>
        </w:rPr>
        <w:t>os</w:t>
      </w:r>
      <w:r w:rsidR="00823B97">
        <w:rPr>
          <w:rFonts w:ascii="Palatino Linotype" w:hAnsi="Palatino Linotype"/>
        </w:rPr>
        <w:t xml:space="preserve"> informe</w:t>
      </w:r>
      <w:r>
        <w:rPr>
          <w:rFonts w:ascii="Palatino Linotype" w:hAnsi="Palatino Linotype"/>
        </w:rPr>
        <w:t>s</w:t>
      </w:r>
      <w:r w:rsidR="00823B97">
        <w:rPr>
          <w:rFonts w:ascii="Palatino Linotype" w:hAnsi="Palatino Linotype"/>
        </w:rPr>
        <w:t xml:space="preserve"> justificado</w:t>
      </w:r>
      <w:r>
        <w:rPr>
          <w:rFonts w:ascii="Palatino Linotype" w:hAnsi="Palatino Linotype"/>
        </w:rPr>
        <w:t>s</w:t>
      </w:r>
      <w:r w:rsidR="00823B97">
        <w:rPr>
          <w:rFonts w:ascii="Palatino Linotype" w:hAnsi="Palatino Linotype"/>
        </w:rPr>
        <w:t xml:space="preserve"> correspondiente</w:t>
      </w:r>
      <w:r>
        <w:rPr>
          <w:rFonts w:ascii="Palatino Linotype" w:hAnsi="Palatino Linotype"/>
        </w:rPr>
        <w:t>s</w:t>
      </w:r>
      <w:r w:rsidR="00417170" w:rsidRPr="00B460A9">
        <w:rPr>
          <w:rFonts w:ascii="Palatino Linotype" w:hAnsi="Palatino Linotype"/>
        </w:rPr>
        <w:t>.</w:t>
      </w:r>
      <w:r>
        <w:rPr>
          <w:rFonts w:ascii="Palatino Linotype" w:hAnsi="Palatino Linotype"/>
        </w:rPr>
        <w:t xml:space="preserve"> Por su parte </w:t>
      </w:r>
      <w:r w:rsidR="009417CA" w:rsidRPr="00B460A9">
        <w:rPr>
          <w:rFonts w:ascii="Palatino Linotype" w:hAnsi="Palatino Linotype"/>
        </w:rPr>
        <w:t>l</w:t>
      </w:r>
      <w:r>
        <w:rPr>
          <w:rFonts w:ascii="Palatino Linotype" w:hAnsi="Palatino Linotype"/>
        </w:rPr>
        <w:t>a</w:t>
      </w:r>
      <w:r w:rsidR="009417CA" w:rsidRPr="00B460A9">
        <w:rPr>
          <w:rFonts w:ascii="Palatino Linotype" w:hAnsi="Palatino Linotype"/>
        </w:rPr>
        <w:t xml:space="preserve"> </w:t>
      </w:r>
      <w:r w:rsidR="009417CA" w:rsidRPr="00B460A9">
        <w:rPr>
          <w:rFonts w:ascii="Palatino Linotype" w:hAnsi="Palatino Linotype"/>
          <w:b/>
        </w:rPr>
        <w:t>RECURRENTE</w:t>
      </w:r>
      <w:r w:rsidR="00417170" w:rsidRPr="00B460A9">
        <w:rPr>
          <w:rFonts w:ascii="Palatino Linotype" w:hAnsi="Palatino Linotype"/>
          <w:b/>
        </w:rPr>
        <w:t xml:space="preserve"> </w:t>
      </w:r>
      <w:r w:rsidR="00CB30B9" w:rsidRPr="00B460A9">
        <w:rPr>
          <w:rFonts w:ascii="Palatino Linotype" w:hAnsi="Palatino Linotype"/>
        </w:rPr>
        <w:t>dejó de realizar manifestaciones que a su derecho conviniera y asistiera.</w:t>
      </w:r>
    </w:p>
    <w:p w14:paraId="4077ECC5" w14:textId="77777777" w:rsidR="003072D8" w:rsidRPr="00B460A9" w:rsidRDefault="003072D8" w:rsidP="00DA29A0">
      <w:pPr>
        <w:pStyle w:val="Prrafodelista"/>
        <w:spacing w:line="360" w:lineRule="auto"/>
        <w:rPr>
          <w:rFonts w:ascii="Palatino Linotype" w:hAnsi="Palatino Linotype"/>
        </w:rPr>
      </w:pPr>
    </w:p>
    <w:p w14:paraId="113C43E2" w14:textId="255F5839" w:rsidR="0001134C" w:rsidRPr="0001134C" w:rsidRDefault="000B08A0" w:rsidP="0001134C">
      <w:pPr>
        <w:pStyle w:val="Prrafodelista"/>
        <w:numPr>
          <w:ilvl w:val="0"/>
          <w:numId w:val="7"/>
        </w:numPr>
        <w:spacing w:line="360" w:lineRule="auto"/>
        <w:ind w:left="0" w:firstLine="0"/>
        <w:jc w:val="both"/>
        <w:rPr>
          <w:rFonts w:ascii="Palatino Linotype" w:hAnsi="Palatino Linotype"/>
          <w:b/>
          <w:color w:val="000000" w:themeColor="text1"/>
        </w:rPr>
      </w:pPr>
      <w:r w:rsidRPr="0001134C">
        <w:rPr>
          <w:rFonts w:ascii="Palatino Linotype" w:hAnsi="Palatino Linotype"/>
        </w:rPr>
        <w:t>La</w:t>
      </w:r>
      <w:r w:rsidR="009417CA" w:rsidRPr="0001134C">
        <w:rPr>
          <w:rFonts w:ascii="Palatino Linotype" w:hAnsi="Palatino Linotype"/>
        </w:rPr>
        <w:t xml:space="preserve"> Comisionad</w:t>
      </w:r>
      <w:r w:rsidRPr="0001134C">
        <w:rPr>
          <w:rFonts w:ascii="Palatino Linotype" w:hAnsi="Palatino Linotype"/>
        </w:rPr>
        <w:t>a</w:t>
      </w:r>
      <w:r w:rsidR="009417CA" w:rsidRPr="0001134C">
        <w:rPr>
          <w:rFonts w:ascii="Palatino Linotype" w:hAnsi="Palatino Linotype"/>
        </w:rPr>
        <w:t xml:space="preserve"> Ponente mediante acuerdo de fecha</w:t>
      </w:r>
      <w:r w:rsidR="0001134C" w:rsidRPr="0001134C">
        <w:rPr>
          <w:rFonts w:ascii="Palatino Linotype" w:hAnsi="Palatino Linotype"/>
          <w:b/>
        </w:rPr>
        <w:t xml:space="preserve"> </w:t>
      </w:r>
      <w:r w:rsidR="0001134C" w:rsidRPr="0087196B">
        <w:rPr>
          <w:rFonts w:ascii="Palatino Linotype" w:hAnsi="Palatino Linotype"/>
        </w:rPr>
        <w:t>dieciséis</w:t>
      </w:r>
      <w:r w:rsidR="00823B97" w:rsidRPr="0087196B">
        <w:rPr>
          <w:rFonts w:ascii="Palatino Linotype" w:hAnsi="Palatino Linotype"/>
        </w:rPr>
        <w:t xml:space="preserve"> de ma</w:t>
      </w:r>
      <w:r w:rsidR="00A5599F" w:rsidRPr="0087196B">
        <w:rPr>
          <w:rFonts w:ascii="Palatino Linotype" w:hAnsi="Palatino Linotype"/>
        </w:rPr>
        <w:t>y</w:t>
      </w:r>
      <w:r w:rsidR="00823B97" w:rsidRPr="0087196B">
        <w:rPr>
          <w:rFonts w:ascii="Palatino Linotype" w:hAnsi="Palatino Linotype"/>
        </w:rPr>
        <w:t>o</w:t>
      </w:r>
      <w:r w:rsidR="0054137B" w:rsidRPr="0087196B">
        <w:rPr>
          <w:rFonts w:ascii="Palatino Linotype" w:hAnsi="Palatino Linotype"/>
        </w:rPr>
        <w:t xml:space="preserve"> de dos mil veintidós</w:t>
      </w:r>
      <w:r w:rsidR="003E7EB6" w:rsidRPr="0087196B">
        <w:rPr>
          <w:rFonts w:ascii="Palatino Linotype" w:hAnsi="Palatino Linotype"/>
        </w:rPr>
        <w:t>,</w:t>
      </w:r>
      <w:r w:rsidR="009417CA" w:rsidRPr="0001134C">
        <w:rPr>
          <w:rFonts w:ascii="Palatino Linotype" w:hAnsi="Palatino Linotype"/>
        </w:rPr>
        <w:t xml:space="preserve"> </w:t>
      </w:r>
      <w:r w:rsidR="00B00B6B" w:rsidRPr="0001134C">
        <w:rPr>
          <w:rFonts w:ascii="Palatino Linotype" w:hAnsi="Palatino Linotype"/>
        </w:rPr>
        <w:t xml:space="preserve">decretó </w:t>
      </w:r>
      <w:r w:rsidR="009417CA" w:rsidRPr="0001134C">
        <w:rPr>
          <w:rFonts w:ascii="Palatino Linotype" w:hAnsi="Palatino Linotype"/>
        </w:rPr>
        <w:t>el cierre de instrucción</w:t>
      </w:r>
      <w:r w:rsidR="0001134C" w:rsidRPr="0001134C">
        <w:rPr>
          <w:rFonts w:ascii="Palatino Linotype" w:hAnsi="Palatino Linotype"/>
        </w:rPr>
        <w:t xml:space="preserve"> de los expedientes</w:t>
      </w:r>
      <w:r w:rsidR="007B4CF4" w:rsidRPr="0001134C">
        <w:rPr>
          <w:rFonts w:ascii="Palatino Linotype" w:hAnsi="Palatino Linotype" w:cs="Arial"/>
        </w:rPr>
        <w:t xml:space="preserve">, </w:t>
      </w:r>
      <w:r w:rsidR="009417CA" w:rsidRPr="0001134C">
        <w:rPr>
          <w:rFonts w:ascii="Palatino Linotype" w:hAnsi="Palatino Linotype" w:cs="Arial"/>
        </w:rPr>
        <w:t>por lo que no habiendo más que hacer constar, y ---</w:t>
      </w:r>
      <w:bookmarkStart w:id="4" w:name="_Toc491791302"/>
      <w:bookmarkStart w:id="5" w:name="_Toc74778592"/>
      <w:r w:rsidR="00C2238C" w:rsidRPr="0001134C">
        <w:rPr>
          <w:rFonts w:ascii="Palatino Linotype" w:hAnsi="Palatino Linotype" w:cs="Arial"/>
        </w:rPr>
        <w:t>----</w:t>
      </w:r>
      <w:r w:rsidR="00D45675" w:rsidRPr="0001134C">
        <w:rPr>
          <w:rFonts w:ascii="Palatino Linotype" w:hAnsi="Palatino Linotype" w:cs="Arial"/>
        </w:rPr>
        <w:t>------------</w:t>
      </w:r>
      <w:bookmarkStart w:id="6" w:name="_Toc85733157"/>
      <w:r w:rsidR="0001134C">
        <w:rPr>
          <w:rFonts w:ascii="Palatino Linotype" w:hAnsi="Palatino Linotype" w:cs="Arial"/>
        </w:rPr>
        <w:t>--------------------------</w:t>
      </w:r>
      <w:r w:rsidR="00A5599F">
        <w:rPr>
          <w:rFonts w:ascii="Palatino Linotype" w:hAnsi="Palatino Linotype" w:cs="Arial"/>
        </w:rPr>
        <w:t>-------------------</w:t>
      </w:r>
    </w:p>
    <w:p w14:paraId="6669D24C" w14:textId="77777777" w:rsidR="0001134C" w:rsidRPr="000F0B37" w:rsidRDefault="0001134C" w:rsidP="000F0B37">
      <w:pPr>
        <w:rPr>
          <w:rFonts w:ascii="Palatino Linotype" w:hAnsi="Palatino Linotype"/>
          <w:b/>
          <w:color w:val="000000" w:themeColor="text1"/>
        </w:rPr>
      </w:pPr>
    </w:p>
    <w:p w14:paraId="425AF908" w14:textId="5004E248" w:rsidR="009417CA" w:rsidRPr="0001134C" w:rsidRDefault="009417CA" w:rsidP="0001134C">
      <w:pPr>
        <w:pStyle w:val="Prrafodelista"/>
        <w:spacing w:line="360" w:lineRule="auto"/>
        <w:ind w:left="0"/>
        <w:jc w:val="center"/>
        <w:rPr>
          <w:rFonts w:ascii="Palatino Linotype" w:hAnsi="Palatino Linotype"/>
          <w:b/>
          <w:color w:val="000000" w:themeColor="text1"/>
        </w:rPr>
      </w:pPr>
      <w:r w:rsidRPr="0001134C">
        <w:rPr>
          <w:rFonts w:ascii="Palatino Linotype" w:hAnsi="Palatino Linotype"/>
          <w:b/>
          <w:color w:val="000000" w:themeColor="text1"/>
        </w:rPr>
        <w:t>CONSIDERANDO</w:t>
      </w:r>
      <w:bookmarkEnd w:id="4"/>
      <w:bookmarkEnd w:id="5"/>
      <w:bookmarkEnd w:id="6"/>
    </w:p>
    <w:p w14:paraId="6B045C1B" w14:textId="77777777" w:rsidR="00BE1923" w:rsidRPr="00B460A9" w:rsidRDefault="00BE1923" w:rsidP="00DA29A0">
      <w:pPr>
        <w:pStyle w:val="Ttulo2"/>
        <w:spacing w:before="0" w:line="360" w:lineRule="auto"/>
        <w:rPr>
          <w:rFonts w:ascii="Palatino Linotype" w:hAnsi="Palatino Linotype"/>
          <w:b/>
          <w:color w:val="auto"/>
          <w:sz w:val="24"/>
          <w:szCs w:val="24"/>
        </w:rPr>
      </w:pPr>
      <w:bookmarkStart w:id="7" w:name="_Toc491791303"/>
      <w:bookmarkStart w:id="8" w:name="_Toc74778593"/>
    </w:p>
    <w:p w14:paraId="0EE6D2B8" w14:textId="77777777" w:rsidR="009417CA" w:rsidRPr="00B460A9" w:rsidRDefault="009417CA" w:rsidP="00DA29A0">
      <w:pPr>
        <w:pStyle w:val="Ttulo2"/>
        <w:spacing w:before="0" w:line="360" w:lineRule="auto"/>
        <w:rPr>
          <w:rFonts w:ascii="Palatino Linotype" w:hAnsi="Palatino Linotype"/>
          <w:b/>
          <w:color w:val="auto"/>
          <w:sz w:val="24"/>
          <w:szCs w:val="24"/>
        </w:rPr>
      </w:pPr>
      <w:bookmarkStart w:id="9" w:name="_Toc85733158"/>
      <w:r w:rsidRPr="00B460A9">
        <w:rPr>
          <w:rFonts w:ascii="Palatino Linotype" w:hAnsi="Palatino Linotype"/>
          <w:b/>
          <w:color w:val="auto"/>
          <w:sz w:val="24"/>
          <w:szCs w:val="24"/>
        </w:rPr>
        <w:t>PRIMERO. De la competencia</w:t>
      </w:r>
      <w:bookmarkEnd w:id="7"/>
      <w:bookmarkEnd w:id="8"/>
      <w:bookmarkEnd w:id="9"/>
    </w:p>
    <w:p w14:paraId="482E8AC6" w14:textId="77777777" w:rsidR="009417CA" w:rsidRPr="00B460A9" w:rsidRDefault="009417CA" w:rsidP="00DA29A0">
      <w:pPr>
        <w:spacing w:line="360" w:lineRule="auto"/>
        <w:rPr>
          <w:rFonts w:ascii="Palatino Linotype" w:hAnsi="Palatino Linotype"/>
          <w:lang w:eastAsia="en-US"/>
        </w:rPr>
      </w:pPr>
    </w:p>
    <w:p w14:paraId="3C8EB508" w14:textId="7BB93DF7" w:rsidR="009417CA" w:rsidRPr="001A1048" w:rsidRDefault="001A1048" w:rsidP="001A1048">
      <w:pPr>
        <w:pStyle w:val="Prrafodelista"/>
        <w:numPr>
          <w:ilvl w:val="0"/>
          <w:numId w:val="7"/>
        </w:numPr>
        <w:spacing w:line="360" w:lineRule="auto"/>
        <w:ind w:left="0" w:firstLine="0"/>
        <w:jc w:val="both"/>
        <w:rPr>
          <w:rFonts w:ascii="Palatino Linotype" w:hAnsi="Palatino Linotype"/>
        </w:rPr>
      </w:pPr>
      <w:r w:rsidRPr="001A1048">
        <w:rPr>
          <w:rFonts w:ascii="Palatino Linotype" w:hAnsi="Palatino Linotype"/>
        </w:rPr>
        <w:t xml:space="preserve">Este </w:t>
      </w:r>
      <w:r w:rsidRPr="001A1048">
        <w:rPr>
          <w:rFonts w:ascii="Palatino Linotype" w:eastAsia="Calibri" w:hAnsi="Palatino Linotype" w:cs="Arial"/>
        </w:rPr>
        <w:t>Instituto</w:t>
      </w:r>
      <w:r w:rsidRPr="001A1048">
        <w:rPr>
          <w:rFonts w:ascii="Palatino Linotype" w:hAnsi="Palatino Linotype"/>
        </w:rPr>
        <w:t xml:space="preserve">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w:t>
      </w:r>
      <w:r w:rsidRPr="008E526A">
        <w:rPr>
          <w:rFonts w:ascii="Palatino Linotype" w:hAnsi="Palatino Linotype"/>
        </w:rPr>
        <w:t>; 6, 9 fracciones I y XXIII,</w:t>
      </w:r>
      <w:r w:rsidRPr="001A1048">
        <w:rPr>
          <w:rFonts w:ascii="Palatino Linotype" w:hAnsi="Palatino Linotype"/>
        </w:rPr>
        <w:t xml:space="preserve"> y 11 del Reglamento Interior del Instituto de Transparencia, Acceso a la Información Pública y Protección de Datos Personales del Estado de México y Municipios.</w:t>
      </w:r>
    </w:p>
    <w:p w14:paraId="3A74BB21" w14:textId="77777777" w:rsidR="004A744E" w:rsidRPr="00B460A9"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0699770"/>
      <w:bookmarkStart w:id="11" w:name="_Toc81260548"/>
    </w:p>
    <w:p w14:paraId="775CEE32" w14:textId="50DEE960" w:rsidR="009417CA" w:rsidRPr="00B460A9"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733159"/>
      <w:r w:rsidRPr="00B460A9">
        <w:rPr>
          <w:rFonts w:ascii="Palatino Linotype" w:hAnsi="Palatino Linotype"/>
          <w:b/>
          <w:bCs/>
          <w:color w:val="000000" w:themeColor="text1"/>
        </w:rPr>
        <w:lastRenderedPageBreak/>
        <w:t>SEGUNDO.</w:t>
      </w:r>
      <w:bookmarkStart w:id="13" w:name="_Toc491791304"/>
      <w:bookmarkStart w:id="14" w:name="_Toc74778594"/>
      <w:bookmarkEnd w:id="10"/>
      <w:bookmarkEnd w:id="11"/>
      <w:r w:rsidR="009417CA" w:rsidRPr="00B460A9">
        <w:rPr>
          <w:rFonts w:ascii="Palatino Linotype" w:hAnsi="Palatino Linotype"/>
          <w:b/>
          <w:color w:val="000000" w:themeColor="text1"/>
        </w:rPr>
        <w:t xml:space="preserve"> De la oportunidad y procedencia.</w:t>
      </w:r>
      <w:bookmarkEnd w:id="12"/>
      <w:bookmarkEnd w:id="13"/>
      <w:bookmarkEnd w:id="14"/>
    </w:p>
    <w:p w14:paraId="432ADE56" w14:textId="77777777" w:rsidR="009417CA" w:rsidRPr="00B460A9" w:rsidRDefault="009417CA" w:rsidP="00DA29A0">
      <w:pPr>
        <w:spacing w:line="360" w:lineRule="auto"/>
        <w:rPr>
          <w:rFonts w:ascii="Palatino Linotype" w:hAnsi="Palatino Linotype"/>
          <w:lang w:eastAsia="en-US"/>
        </w:rPr>
      </w:pPr>
    </w:p>
    <w:p w14:paraId="1C299EFD" w14:textId="77777777" w:rsidR="00BE2CC3" w:rsidRPr="00DE26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5" w:name="_Toc521431830"/>
      <w:bookmarkStart w:id="16" w:name="_Toc27653760"/>
      <w:r w:rsidRPr="00745D07">
        <w:rPr>
          <w:rFonts w:ascii="Palatino Linotype" w:eastAsia="Calibri" w:hAnsi="Palatino Linotype" w:cs="Arial"/>
        </w:rPr>
        <w:t>Es de precisar, que la Ley de Transparencia y Acceso a la Información Pública del Estado de México y Municipios, en el artículo 178 describe la proc</w:t>
      </w:r>
      <w:r>
        <w:rPr>
          <w:rFonts w:ascii="Palatino Linotype" w:eastAsia="Calibri" w:hAnsi="Palatino Linotype" w:cs="Arial"/>
        </w:rPr>
        <w:t>edencia del recurso de revisión;</w:t>
      </w:r>
      <w:r w:rsidRPr="00745D07">
        <w:rPr>
          <w:rFonts w:ascii="Palatino Linotype" w:eastAsia="Calibri" w:hAnsi="Palatino Linotype" w:cs="Arial"/>
        </w:rPr>
        <w:t xml:space="preserve"> asimismo señala que el plazo del </w:t>
      </w:r>
      <w:r w:rsidRPr="00745D07">
        <w:rPr>
          <w:rFonts w:ascii="Palatino Linotype" w:eastAsia="Calibri" w:hAnsi="Palatino Linotype" w:cs="Arial"/>
          <w:b/>
        </w:rPr>
        <w:t>SUJETO OBLIGADO</w:t>
      </w:r>
      <w:r w:rsidRPr="00745D07">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ende, se constituye la figura jurídica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rPr>
        <w:t>178</w:t>
      </w:r>
      <w:r w:rsidRPr="00745D07">
        <w:rPr>
          <w:rFonts w:ascii="Palatino Linotype" w:eastAsia="Calibri" w:hAnsi="Palatino Linotype" w:cs="Arial"/>
        </w:rPr>
        <w:t xml:space="preserve"> segundo párrafo de </w:t>
      </w:r>
      <w:r w:rsidRPr="00745D07">
        <w:rPr>
          <w:rFonts w:ascii="Palatino Linotype" w:eastAsia="Calibri" w:hAnsi="Palatino Linotype" w:cs="Arial"/>
          <w:b/>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61F60A3F" w14:textId="77777777" w:rsidR="00BE2CC3" w:rsidRPr="00745D07"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lo que, tratándose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w:t>
      </w:r>
      <w:r w:rsidRPr="00745D07">
        <w:rPr>
          <w:rFonts w:ascii="Palatino Linotype" w:eastAsia="Calibri" w:hAnsi="Palatino Linotype" w:cs="Arial"/>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5D07">
        <w:rPr>
          <w:rFonts w:ascii="Palatino Linotype" w:eastAsia="Calibri" w:hAnsi="Palatino Linotype" w:cs="Arial"/>
          <w:i/>
        </w:rPr>
        <w:t>negativa ficta</w:t>
      </w:r>
      <w:r w:rsidRPr="00745D07">
        <w:rPr>
          <w:rFonts w:ascii="Palatino Linotype" w:eastAsia="Calibri" w:hAnsi="Palatino Linotype" w:cs="Arial"/>
        </w:rPr>
        <w:t>, que señala:</w:t>
      </w:r>
    </w:p>
    <w:p w14:paraId="4B67F838"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745D07" w:rsidRDefault="00BE2CC3" w:rsidP="00BE2CC3">
      <w:pPr>
        <w:tabs>
          <w:tab w:val="left" w:pos="7655"/>
        </w:tabs>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17689E5F" w14:textId="77777777" w:rsidR="00BE2CC3" w:rsidRPr="00745D07" w:rsidRDefault="00BE2CC3" w:rsidP="00BE2CC3">
      <w:pPr>
        <w:tabs>
          <w:tab w:val="left" w:pos="7655"/>
        </w:tabs>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745D07"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745D07">
        <w:rPr>
          <w:rFonts w:ascii="Palatino Linotype" w:hAnsi="Palatino Linotype" w:cs="Arial"/>
          <w:lang w:eastAsia="es-MX"/>
        </w:rPr>
        <w:t xml:space="preserve">Lo anterior, se explica porque la </w:t>
      </w:r>
      <w:r w:rsidRPr="00745D07">
        <w:rPr>
          <w:rFonts w:ascii="Palatino Linotype" w:hAnsi="Palatino Linotype" w:cs="Arial"/>
          <w:b/>
          <w:u w:val="single"/>
          <w:lang w:eastAsia="es-MX"/>
        </w:rPr>
        <w:t>posible ausencia</w:t>
      </w:r>
      <w:r w:rsidRPr="00745D07">
        <w:rPr>
          <w:rFonts w:ascii="Palatino Linotype" w:hAnsi="Palatino Linotype" w:cs="Arial"/>
          <w:lang w:eastAsia="es-MX"/>
        </w:rPr>
        <w:t xml:space="preserve"> de una respuesta en la solicitud constituye un acto que vulnera el derecho de manera continua y </w:t>
      </w:r>
      <w:r w:rsidRPr="00745D07">
        <w:rPr>
          <w:rFonts w:ascii="Palatino Linotype" w:hAnsi="Palatino Linotype" w:cs="Arial"/>
          <w:lang w:eastAsia="es-MX"/>
        </w:rPr>
        <w:lastRenderedPageBreak/>
        <w:t xml:space="preserve">actualizable cada día en tanto, no se emita la respuesta a la que esté impuesto el </w:t>
      </w:r>
      <w:r w:rsidRPr="00745D07">
        <w:rPr>
          <w:rFonts w:ascii="Palatino Linotype" w:hAnsi="Palatino Linotype" w:cs="Arial"/>
          <w:b/>
          <w:lang w:eastAsia="es-MX"/>
        </w:rPr>
        <w:t>SUJETO OBLIGADO</w:t>
      </w:r>
      <w:r w:rsidRPr="00745D07">
        <w:rPr>
          <w:rFonts w:ascii="Palatino Linotype" w:hAnsi="Palatino Linotype" w:cs="Arial"/>
          <w:lang w:eastAsia="es-MX"/>
        </w:rPr>
        <w:t>.</w:t>
      </w:r>
    </w:p>
    <w:p w14:paraId="31684BE4" w14:textId="77777777" w:rsidR="00EF1F88" w:rsidRDefault="00EF1F88" w:rsidP="00EF1F88">
      <w:pPr>
        <w:pStyle w:val="Prrafodelista"/>
        <w:rPr>
          <w:rFonts w:ascii="Palatino Linotype" w:eastAsiaTheme="minorEastAsia" w:hAnsi="Palatino Linotype" w:cs="Arial"/>
          <w:b/>
          <w:lang w:val="es-ES_tradnl"/>
        </w:rPr>
      </w:pPr>
    </w:p>
    <w:p w14:paraId="48DEC675" w14:textId="380B1C9D" w:rsidR="001A1048" w:rsidRPr="00E86FB3" w:rsidRDefault="001A1048" w:rsidP="001A1048">
      <w:pPr>
        <w:pStyle w:val="Prrafodelista"/>
        <w:numPr>
          <w:ilvl w:val="0"/>
          <w:numId w:val="7"/>
        </w:numPr>
        <w:spacing w:line="360" w:lineRule="auto"/>
        <w:ind w:left="0" w:firstLine="0"/>
        <w:contextualSpacing/>
        <w:jc w:val="both"/>
        <w:rPr>
          <w:rFonts w:ascii="Palatino Linotype" w:hAnsi="Palatino Linotype"/>
        </w:rPr>
      </w:pPr>
      <w:r>
        <w:rPr>
          <w:rFonts w:ascii="Palatino Linotype" w:eastAsia="Calibri" w:hAnsi="Palatino Linotype" w:cs="Arial"/>
        </w:rPr>
        <w:t xml:space="preserve">Por otro lado, el </w:t>
      </w:r>
      <w:r w:rsidRPr="00E859F4">
        <w:rPr>
          <w:rFonts w:ascii="Palatino Linotype" w:eastAsia="Calibri" w:hAnsi="Palatino Linotype" w:cs="Arial"/>
        </w:rPr>
        <w:t xml:space="preserve">medio de impugnación </w:t>
      </w:r>
      <w:r>
        <w:rPr>
          <w:rFonts w:ascii="Palatino Linotype" w:eastAsia="Calibri" w:hAnsi="Palatino Linotype" w:cs="Arial"/>
        </w:rPr>
        <w:t xml:space="preserve">tocante a la solicitud de información </w:t>
      </w:r>
      <w:r w:rsidRPr="001A1048">
        <w:rPr>
          <w:rFonts w:ascii="Palatino Linotype" w:eastAsia="Calibri" w:hAnsi="Palatino Linotype" w:cs="Arial"/>
          <w:b/>
        </w:rPr>
        <w:t>00019/FELIPRO/IP/2023</w:t>
      </w:r>
      <w:r>
        <w:rPr>
          <w:rFonts w:ascii="Palatino Linotype" w:eastAsia="Calibri" w:hAnsi="Palatino Linotype" w:cs="Arial"/>
        </w:rPr>
        <w:t xml:space="preserve">, </w:t>
      </w:r>
      <w:r w:rsidRPr="00E859F4">
        <w:rPr>
          <w:rFonts w:ascii="Palatino Linotype" w:eastAsia="Calibri" w:hAnsi="Palatino Linotype" w:cs="Arial"/>
        </w:rPr>
        <w:t xml:space="preserve">fue presentado a través del </w:t>
      </w:r>
      <w:r w:rsidRPr="00E859F4">
        <w:rPr>
          <w:rFonts w:ascii="Palatino Linotype" w:eastAsia="Calibri" w:hAnsi="Palatino Linotype" w:cs="Arial"/>
          <w:b/>
        </w:rPr>
        <w:t>SAIMEX,</w:t>
      </w:r>
      <w:r w:rsidRPr="00E859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859F4">
        <w:rPr>
          <w:rFonts w:ascii="Palatino Linotype" w:eastAsia="Calibri" w:hAnsi="Palatino Linotype" w:cs="Arial"/>
          <w:b/>
        </w:rPr>
        <w:t>SUJETO OBLIGADO</w:t>
      </w:r>
      <w:r>
        <w:rPr>
          <w:rFonts w:ascii="Palatino Linotype" w:eastAsia="Calibri" w:hAnsi="Palatino Linotype" w:cs="Arial"/>
        </w:rPr>
        <w:t xml:space="preserve"> entregó su</w:t>
      </w:r>
      <w:r w:rsidRPr="00E859F4">
        <w:rPr>
          <w:rFonts w:ascii="Palatino Linotype" w:eastAsia="Calibri" w:hAnsi="Palatino Linotype" w:cs="Arial"/>
        </w:rPr>
        <w:t xml:space="preserve"> respuesta </w:t>
      </w:r>
      <w:r>
        <w:rPr>
          <w:rFonts w:ascii="Palatino Linotype" w:eastAsia="Calibri" w:hAnsi="Palatino Linotype" w:cs="Arial"/>
        </w:rPr>
        <w:t xml:space="preserve">el </w:t>
      </w:r>
      <w:r w:rsidRPr="0087196B">
        <w:rPr>
          <w:rFonts w:ascii="Palatino Linotype" w:eastAsia="Calibri" w:hAnsi="Palatino Linotype" w:cs="Arial"/>
        </w:rPr>
        <w:t xml:space="preserve">once de abril de dos mil veintitrés, </w:t>
      </w:r>
      <w:r w:rsidRPr="0087196B">
        <w:rPr>
          <w:rFonts w:ascii="Palatino Linotype" w:hAnsi="Palatino Linotype" w:cs="Arial"/>
        </w:rPr>
        <w:t xml:space="preserve">de tal forma que el plazo para interponer el recurso de revisión transcurrió del día </w:t>
      </w:r>
      <w:r w:rsidR="0006408E" w:rsidRPr="0087196B">
        <w:rPr>
          <w:rFonts w:ascii="Palatino Linotype" w:hAnsi="Palatino Linotype" w:cs="Arial"/>
        </w:rPr>
        <w:t>doce</w:t>
      </w:r>
      <w:r w:rsidRPr="0087196B">
        <w:rPr>
          <w:rFonts w:ascii="Palatino Linotype" w:hAnsi="Palatino Linotype" w:cs="Arial"/>
        </w:rPr>
        <w:t xml:space="preserve"> de </w:t>
      </w:r>
      <w:r w:rsidR="0006408E" w:rsidRPr="0087196B">
        <w:rPr>
          <w:rFonts w:ascii="Palatino Linotype" w:hAnsi="Palatino Linotype" w:cs="Arial"/>
        </w:rPr>
        <w:t>abril</w:t>
      </w:r>
      <w:r w:rsidRPr="0087196B">
        <w:rPr>
          <w:rFonts w:ascii="Palatino Linotype" w:hAnsi="Palatino Linotype" w:cs="Arial"/>
        </w:rPr>
        <w:t xml:space="preserve"> al tres </w:t>
      </w:r>
      <w:r w:rsidR="0006408E" w:rsidRPr="0087196B">
        <w:rPr>
          <w:rFonts w:ascii="Palatino Linotype" w:hAnsi="Palatino Linotype" w:cs="Arial"/>
        </w:rPr>
        <w:t>de may</w:t>
      </w:r>
      <w:r w:rsidRPr="0087196B">
        <w:rPr>
          <w:rFonts w:ascii="Palatino Linotype" w:hAnsi="Palatino Linotype" w:cs="Arial"/>
        </w:rPr>
        <w:t>o de dos mil veintitrés</w:t>
      </w:r>
      <w:r>
        <w:rPr>
          <w:rFonts w:ascii="Palatino Linotype" w:hAnsi="Palatino Linotype" w:cs="Arial"/>
        </w:rPr>
        <w:t>; e</w:t>
      </w:r>
      <w:r w:rsidRPr="00E859F4">
        <w:rPr>
          <w:rFonts w:ascii="Palatino Linotype" w:hAnsi="Palatino Linotype" w:cs="Arial"/>
        </w:rPr>
        <w:t>n consecuencia, l</w:t>
      </w:r>
      <w:r>
        <w:rPr>
          <w:rFonts w:ascii="Palatino Linotype" w:hAnsi="Palatino Linotype" w:cs="Arial"/>
        </w:rPr>
        <w:t>a</w:t>
      </w:r>
      <w:r w:rsidRPr="00E859F4">
        <w:rPr>
          <w:rFonts w:ascii="Palatino Linotype" w:hAnsi="Palatino Linotype" w:cs="Arial"/>
        </w:rPr>
        <w:t xml:space="preserve"> ahora </w:t>
      </w:r>
      <w:r w:rsidRPr="00E859F4">
        <w:rPr>
          <w:rFonts w:ascii="Palatino Linotype" w:hAnsi="Palatino Linotype" w:cs="Arial"/>
          <w:b/>
        </w:rPr>
        <w:t>RECURRENTE</w:t>
      </w:r>
      <w:r w:rsidRPr="00E859F4">
        <w:rPr>
          <w:rFonts w:ascii="Palatino Linotype" w:hAnsi="Palatino Linotype" w:cs="Arial"/>
        </w:rPr>
        <w:t xml:space="preserve"> presentó </w:t>
      </w:r>
      <w:r>
        <w:rPr>
          <w:rFonts w:ascii="Palatino Linotype" w:hAnsi="Palatino Linotype" w:cs="Arial"/>
        </w:rPr>
        <w:t xml:space="preserve">su inconformidad el día </w:t>
      </w:r>
      <w:r w:rsidR="0006408E" w:rsidRPr="0087196B">
        <w:rPr>
          <w:rFonts w:ascii="Palatino Linotype" w:hAnsi="Palatino Linotype" w:cs="Arial"/>
        </w:rPr>
        <w:t>veinticinco</w:t>
      </w:r>
      <w:r w:rsidRPr="0087196B">
        <w:rPr>
          <w:rFonts w:ascii="Palatino Linotype" w:hAnsi="Palatino Linotype" w:cs="Arial"/>
        </w:rPr>
        <w:t xml:space="preserve"> de </w:t>
      </w:r>
      <w:r w:rsidR="0006408E" w:rsidRPr="0087196B">
        <w:rPr>
          <w:rFonts w:ascii="Palatino Linotype" w:hAnsi="Palatino Linotype" w:cs="Arial"/>
        </w:rPr>
        <w:t>abril</w:t>
      </w:r>
      <w:r w:rsidRPr="0087196B">
        <w:rPr>
          <w:rFonts w:ascii="Palatino Linotype" w:hAnsi="Palatino Linotype" w:cs="Arial"/>
        </w:rPr>
        <w:t xml:space="preserve"> de dos mil veintitrés; es</w:t>
      </w:r>
      <w:r>
        <w:rPr>
          <w:rFonts w:ascii="Palatino Linotype" w:hAnsi="Palatino Linotype" w:cs="Arial"/>
        </w:rPr>
        <w:t xml:space="preserve"> decir dentro d</w:t>
      </w:r>
      <w:r w:rsidRPr="00E859F4">
        <w:rPr>
          <w:rFonts w:ascii="Palatino Linotype" w:hAnsi="Palatino Linotype" w:cs="Arial"/>
        </w:rPr>
        <w:t>el lapso legalmente establecido para tal efecto.</w:t>
      </w:r>
    </w:p>
    <w:p w14:paraId="2570513E" w14:textId="77777777" w:rsidR="001A1048" w:rsidRPr="0062406B" w:rsidRDefault="001A1048" w:rsidP="001A1048">
      <w:pPr>
        <w:pStyle w:val="Prrafodelista"/>
        <w:spacing w:line="360" w:lineRule="auto"/>
        <w:ind w:left="0"/>
        <w:jc w:val="both"/>
        <w:rPr>
          <w:rFonts w:ascii="Palatino Linotype" w:hAnsi="Palatino Linotype"/>
        </w:rPr>
      </w:pPr>
    </w:p>
    <w:p w14:paraId="05E1F2A7" w14:textId="77777777" w:rsidR="001A1048" w:rsidRPr="00CF0D2B" w:rsidRDefault="001A1048" w:rsidP="001A5930">
      <w:pPr>
        <w:pStyle w:val="Prrafodelista"/>
        <w:numPr>
          <w:ilvl w:val="0"/>
          <w:numId w:val="7"/>
        </w:numPr>
        <w:spacing w:line="360" w:lineRule="auto"/>
        <w:ind w:left="0" w:firstLine="0"/>
        <w:contextualSpacing/>
        <w:jc w:val="both"/>
        <w:rPr>
          <w:rFonts w:ascii="Palatino Linotype" w:hAnsi="Palatino Linotype"/>
        </w:rPr>
      </w:pPr>
      <w:r>
        <w:rPr>
          <w:rFonts w:ascii="Palatino Linotype" w:eastAsia="Calibri" w:hAnsi="Palatino Linotype" w:cs="Arial"/>
        </w:rPr>
        <w:t>Asimismo, e</w:t>
      </w:r>
      <w:r w:rsidRPr="00D707F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1A5930" w:rsidRDefault="002D0241" w:rsidP="001A5930">
      <w:pPr>
        <w:spacing w:line="360" w:lineRule="auto"/>
        <w:rPr>
          <w:rFonts w:ascii="Palatino Linotype" w:hAnsi="Palatino Linotype"/>
        </w:rPr>
      </w:pPr>
    </w:p>
    <w:p w14:paraId="6AEE1235" w14:textId="10CACA4B" w:rsidR="009417CA" w:rsidRPr="00B460A9" w:rsidRDefault="00C76CBA" w:rsidP="008F287B">
      <w:pPr>
        <w:pStyle w:val="Ttulo1"/>
        <w:spacing w:before="0" w:line="360" w:lineRule="auto"/>
        <w:rPr>
          <w:rFonts w:ascii="Palatino Linotype" w:hAnsi="Palatino Linotype"/>
          <w:b/>
          <w:color w:val="000000" w:themeColor="text1"/>
          <w:sz w:val="24"/>
          <w:szCs w:val="24"/>
        </w:rPr>
      </w:pPr>
      <w:bookmarkStart w:id="17" w:name="_Toc85733160"/>
      <w:r w:rsidRPr="00B460A9">
        <w:rPr>
          <w:rFonts w:ascii="Palatino Linotype" w:hAnsi="Palatino Linotype" w:cs="Arial"/>
          <w:b/>
          <w:color w:val="000000" w:themeColor="text1"/>
          <w:sz w:val="24"/>
          <w:szCs w:val="24"/>
        </w:rPr>
        <w:t>TERCER</w:t>
      </w:r>
      <w:r w:rsidR="009417CA" w:rsidRPr="00B460A9">
        <w:rPr>
          <w:rFonts w:ascii="Palatino Linotype" w:hAnsi="Palatino Linotype" w:cs="Arial"/>
          <w:b/>
          <w:color w:val="000000" w:themeColor="text1"/>
          <w:sz w:val="24"/>
          <w:szCs w:val="24"/>
        </w:rPr>
        <w:t xml:space="preserve">O. </w:t>
      </w:r>
      <w:bookmarkEnd w:id="15"/>
      <w:bookmarkEnd w:id="16"/>
      <w:bookmarkEnd w:id="17"/>
      <w:r w:rsidR="0092573E" w:rsidRPr="00B460A9">
        <w:rPr>
          <w:rFonts w:ascii="Palatino Linotype" w:hAnsi="Palatino Linotype"/>
          <w:b/>
          <w:color w:val="000000" w:themeColor="text1"/>
          <w:sz w:val="24"/>
          <w:szCs w:val="24"/>
        </w:rPr>
        <w:t xml:space="preserve">Del planteamiento de la </w:t>
      </w:r>
      <w:r w:rsidR="0092573E" w:rsidRPr="00B460A9">
        <w:rPr>
          <w:rFonts w:ascii="Palatino Linotype" w:hAnsi="Palatino Linotype"/>
          <w:b/>
          <w:i/>
          <w:color w:val="000000" w:themeColor="text1"/>
          <w:sz w:val="24"/>
          <w:szCs w:val="24"/>
        </w:rPr>
        <w:t>Litis</w:t>
      </w:r>
      <w:r w:rsidR="0092573E" w:rsidRPr="00B460A9">
        <w:rPr>
          <w:rFonts w:ascii="Palatino Linotype" w:hAnsi="Palatino Linotype"/>
          <w:b/>
          <w:color w:val="000000" w:themeColor="text1"/>
          <w:sz w:val="24"/>
          <w:szCs w:val="24"/>
        </w:rPr>
        <w:t>.</w:t>
      </w:r>
    </w:p>
    <w:p w14:paraId="63CEAC60" w14:textId="77777777" w:rsidR="008F287B" w:rsidRPr="00B460A9" w:rsidRDefault="008F287B" w:rsidP="008F287B">
      <w:pPr>
        <w:rPr>
          <w:rFonts w:ascii="Palatino Linotype" w:hAnsi="Palatino Linotype"/>
          <w:lang w:eastAsia="es-ES"/>
        </w:rPr>
      </w:pPr>
    </w:p>
    <w:p w14:paraId="60003542" w14:textId="77777777" w:rsidR="001A5930" w:rsidRPr="00A75E97" w:rsidRDefault="00823B97" w:rsidP="001A5930">
      <w:pPr>
        <w:pStyle w:val="Prrafodelista"/>
        <w:numPr>
          <w:ilvl w:val="0"/>
          <w:numId w:val="7"/>
        </w:numPr>
        <w:spacing w:line="360" w:lineRule="auto"/>
        <w:ind w:left="0" w:firstLine="0"/>
        <w:contextualSpacing/>
        <w:jc w:val="both"/>
        <w:rPr>
          <w:rFonts w:ascii="Palatino Linotype" w:eastAsiaTheme="minorEastAsia" w:hAnsi="Palatino Linotype" w:cs="Arial"/>
          <w:b/>
          <w:lang w:val="es-ES_tradnl"/>
        </w:rPr>
      </w:pPr>
      <w:r w:rsidRPr="00DE26A6">
        <w:rPr>
          <w:rFonts w:ascii="Palatino Linotype" w:eastAsiaTheme="minorEastAsia" w:hAnsi="Palatino Linotype" w:cs="Arial"/>
          <w:lang w:val="es-ES_tradnl"/>
        </w:rPr>
        <w:t xml:space="preserve">De las constancias en el expediente al rubro indicado, se desprende que </w:t>
      </w:r>
      <w:r w:rsidR="00FC35C1">
        <w:rPr>
          <w:rFonts w:ascii="Palatino Linotype" w:eastAsiaTheme="minorEastAsia" w:hAnsi="Palatino Linotype" w:cs="Arial"/>
          <w:lang w:val="es-ES_tradnl"/>
        </w:rPr>
        <w:t>la particular</w:t>
      </w:r>
      <w:r w:rsidRPr="00DE26A6">
        <w:rPr>
          <w:rFonts w:ascii="Palatino Linotype" w:eastAsiaTheme="minorEastAsia" w:hAnsi="Palatino Linotype" w:cs="Arial"/>
          <w:lang w:val="es-ES_tradnl"/>
        </w:rPr>
        <w:t xml:space="preserve"> </w:t>
      </w:r>
      <w:r w:rsidRPr="006A2C2C">
        <w:rPr>
          <w:rFonts w:ascii="Palatino Linotype" w:eastAsia="Calibri" w:hAnsi="Palatino Linotype" w:cs="Arial"/>
          <w:lang w:val="es-ES_tradnl"/>
        </w:rPr>
        <w:t>solicitó</w:t>
      </w:r>
      <w:r w:rsidRPr="00DE26A6">
        <w:rPr>
          <w:rFonts w:ascii="Palatino Linotype" w:eastAsiaTheme="minorEastAsia" w:hAnsi="Palatino Linotype" w:cs="Arial"/>
          <w:lang w:val="es-ES_tradnl"/>
        </w:rPr>
        <w:t xml:space="preserve"> </w:t>
      </w:r>
      <w:r w:rsidRPr="001A5930">
        <w:rPr>
          <w:rFonts w:ascii="Palatino Linotype" w:eastAsia="Calibri" w:hAnsi="Palatino Linotype" w:cs="Arial"/>
        </w:rPr>
        <w:t>información</w:t>
      </w:r>
      <w:r>
        <w:rPr>
          <w:rFonts w:ascii="Palatino Linotype" w:eastAsiaTheme="minorEastAsia" w:hAnsi="Palatino Linotype" w:cs="Arial"/>
          <w:lang w:val="es-ES_tradnl"/>
        </w:rPr>
        <w:t xml:space="preserve"> </w:t>
      </w:r>
      <w:r w:rsidR="003D457D">
        <w:rPr>
          <w:rFonts w:ascii="Palatino Linotype" w:eastAsiaTheme="minorEastAsia" w:hAnsi="Palatino Linotype" w:cs="Arial"/>
          <w:lang w:val="es-ES_tradnl"/>
        </w:rPr>
        <w:t>relativa a</w:t>
      </w:r>
      <w:r w:rsidR="001A5930">
        <w:rPr>
          <w:rFonts w:ascii="Palatino Linotype" w:eastAsiaTheme="minorEastAsia" w:hAnsi="Palatino Linotype" w:cs="Arial"/>
          <w:lang w:val="es-ES_tradnl"/>
        </w:rPr>
        <w:t>:</w:t>
      </w:r>
    </w:p>
    <w:p w14:paraId="4F6D8C50" w14:textId="77777777" w:rsidR="00A75E97" w:rsidRPr="001A5930" w:rsidRDefault="00A75E97" w:rsidP="00A75E97">
      <w:pPr>
        <w:pStyle w:val="Prrafodelista"/>
        <w:spacing w:line="360" w:lineRule="auto"/>
        <w:ind w:left="0"/>
        <w:contextualSpacing/>
        <w:jc w:val="both"/>
        <w:rPr>
          <w:rFonts w:ascii="Palatino Linotype" w:eastAsiaTheme="minorEastAsia" w:hAnsi="Palatino Linotype" w:cs="Arial"/>
          <w:b/>
          <w:lang w:val="es-ES_tradnl"/>
        </w:rPr>
      </w:pPr>
    </w:p>
    <w:p w14:paraId="58A162B3" w14:textId="26BB5927" w:rsidR="001A5930" w:rsidRDefault="001A5930" w:rsidP="001A5930">
      <w:pPr>
        <w:pStyle w:val="Prrafodelista"/>
        <w:spacing w:line="360" w:lineRule="auto"/>
        <w:ind w:left="0"/>
        <w:contextualSpacing/>
        <w:jc w:val="both"/>
        <w:rPr>
          <w:rFonts w:ascii="Palatino Linotype" w:eastAsiaTheme="minorEastAsia" w:hAnsi="Palatino Linotype" w:cs="Arial"/>
          <w:b/>
          <w:lang w:val="es-ES_tradnl"/>
        </w:rPr>
      </w:pPr>
      <w:r>
        <w:rPr>
          <w:rFonts w:ascii="Palatino Linotype" w:eastAsiaTheme="minorEastAsia" w:hAnsi="Palatino Linotype" w:cs="Arial"/>
          <w:b/>
          <w:lang w:val="es-ES_tradnl"/>
        </w:rPr>
        <w:lastRenderedPageBreak/>
        <w:t>D</w:t>
      </w:r>
      <w:r w:rsidRPr="001A5930">
        <w:rPr>
          <w:rFonts w:ascii="Palatino Linotype" w:eastAsiaTheme="minorEastAsia" w:hAnsi="Palatino Linotype" w:cs="Arial"/>
          <w:b/>
          <w:lang w:val="es-ES_tradnl"/>
        </w:rPr>
        <w:t xml:space="preserve">el </w:t>
      </w:r>
      <w:r w:rsidR="0087196B" w:rsidRPr="001A5930">
        <w:rPr>
          <w:rFonts w:ascii="Palatino Linotype" w:eastAsiaTheme="minorEastAsia" w:hAnsi="Palatino Linotype" w:cs="Arial"/>
          <w:b/>
          <w:lang w:val="es-ES_tradnl"/>
        </w:rPr>
        <w:t xml:space="preserve">centro de salud </w:t>
      </w:r>
      <w:r w:rsidRPr="001A5930">
        <w:rPr>
          <w:rFonts w:ascii="Palatino Linotype" w:eastAsiaTheme="minorEastAsia" w:hAnsi="Palatino Linotype" w:cs="Arial"/>
          <w:b/>
          <w:lang w:val="es-ES_tradnl"/>
        </w:rPr>
        <w:t xml:space="preserve">ubicado en Rancho Guadalupe, San Lucas Ocotepec, San </w:t>
      </w:r>
      <w:r>
        <w:rPr>
          <w:rFonts w:ascii="Palatino Linotype" w:eastAsiaTheme="minorEastAsia" w:hAnsi="Palatino Linotype" w:cs="Arial"/>
          <w:b/>
          <w:lang w:val="es-ES_tradnl"/>
        </w:rPr>
        <w:t>Felipe del Progreso</w:t>
      </w:r>
      <w:r w:rsidRPr="001A5930">
        <w:rPr>
          <w:rFonts w:ascii="Palatino Linotype" w:eastAsiaTheme="minorEastAsia" w:hAnsi="Palatino Linotype" w:cs="Arial"/>
          <w:b/>
          <w:lang w:val="es-ES_tradnl"/>
        </w:rPr>
        <w:t>:</w:t>
      </w:r>
    </w:p>
    <w:p w14:paraId="69ABFC74" w14:textId="77777777" w:rsidR="00FD5338" w:rsidRDefault="00FD5338" w:rsidP="001A5930">
      <w:pPr>
        <w:pStyle w:val="Prrafodelista"/>
        <w:spacing w:line="360" w:lineRule="auto"/>
        <w:ind w:left="0"/>
        <w:contextualSpacing/>
        <w:jc w:val="both"/>
        <w:rPr>
          <w:rFonts w:ascii="Palatino Linotype" w:eastAsiaTheme="minorEastAsia" w:hAnsi="Palatino Linotype" w:cs="Arial"/>
          <w:b/>
          <w:lang w:val="es-ES_tradnl"/>
        </w:rPr>
      </w:pPr>
    </w:p>
    <w:p w14:paraId="5DC8B67D" w14:textId="205A2F52" w:rsidR="001A5930" w:rsidRDefault="001A5930" w:rsidP="002647C8">
      <w:pPr>
        <w:pStyle w:val="Prrafodelista"/>
        <w:numPr>
          <w:ilvl w:val="0"/>
          <w:numId w:val="37"/>
        </w:numPr>
        <w:spacing w:line="360" w:lineRule="auto"/>
        <w:contextualSpacing/>
        <w:jc w:val="both"/>
        <w:rPr>
          <w:rFonts w:ascii="Palatino Linotype" w:eastAsiaTheme="minorEastAsia" w:hAnsi="Palatino Linotype" w:cs="Arial"/>
          <w:b/>
          <w:lang w:val="es-ES_tradnl"/>
        </w:rPr>
      </w:pPr>
      <w:r w:rsidRPr="001A5930">
        <w:rPr>
          <w:rFonts w:ascii="Palatino Linotype" w:eastAsiaTheme="minorEastAsia" w:hAnsi="Palatino Linotype" w:cs="Arial"/>
          <w:b/>
          <w:lang w:val="es-ES_tradnl"/>
        </w:rPr>
        <w:t>Documento donde conste el costo total destinado al</w:t>
      </w:r>
      <w:r w:rsidR="002647C8" w:rsidRPr="001A5930">
        <w:rPr>
          <w:rFonts w:ascii="Palatino Linotype" w:eastAsiaTheme="minorEastAsia" w:hAnsi="Palatino Linotype" w:cs="Arial"/>
          <w:b/>
          <w:lang w:val="es-ES_tradnl"/>
        </w:rPr>
        <w:t xml:space="preserve"> centro de salud</w:t>
      </w:r>
      <w:r w:rsidRPr="001A5930">
        <w:rPr>
          <w:rFonts w:ascii="Palatino Linotype" w:eastAsiaTheme="minorEastAsia" w:hAnsi="Palatino Linotype" w:cs="Arial"/>
          <w:b/>
          <w:lang w:val="es-ES_tradnl"/>
        </w:rPr>
        <w:t>, del que se adviertan gastos erogados para su construcción y equipamiento</w:t>
      </w:r>
      <w:r>
        <w:rPr>
          <w:rFonts w:ascii="Palatino Linotype" w:eastAsiaTheme="minorEastAsia" w:hAnsi="Palatino Linotype" w:cs="Arial"/>
          <w:b/>
          <w:lang w:val="es-ES_tradnl"/>
        </w:rPr>
        <w:t>;</w:t>
      </w:r>
    </w:p>
    <w:p w14:paraId="1367016E" w14:textId="3EAD607D" w:rsidR="001A5930" w:rsidRDefault="001A5930" w:rsidP="002647C8">
      <w:pPr>
        <w:pStyle w:val="Prrafodelista"/>
        <w:numPr>
          <w:ilvl w:val="0"/>
          <w:numId w:val="37"/>
        </w:numPr>
        <w:spacing w:line="360" w:lineRule="auto"/>
        <w:contextualSpacing/>
        <w:jc w:val="both"/>
        <w:rPr>
          <w:rFonts w:ascii="Palatino Linotype" w:eastAsiaTheme="minorEastAsia" w:hAnsi="Palatino Linotype" w:cs="Arial"/>
          <w:b/>
          <w:lang w:val="es-ES_tradnl"/>
        </w:rPr>
      </w:pPr>
      <w:r w:rsidRPr="001A5930">
        <w:rPr>
          <w:rFonts w:ascii="Palatino Linotype" w:eastAsiaTheme="minorEastAsia" w:hAnsi="Palatino Linotype" w:cs="Arial"/>
          <w:b/>
          <w:lang w:val="es-ES_tradnl"/>
        </w:rPr>
        <w:t>Documentado</w:t>
      </w:r>
      <w:r>
        <w:rPr>
          <w:rFonts w:ascii="Palatino Linotype" w:eastAsiaTheme="minorEastAsia" w:hAnsi="Palatino Linotype" w:cs="Arial"/>
          <w:b/>
          <w:lang w:val="es-ES_tradnl"/>
        </w:rPr>
        <w:t xml:space="preserve"> donde conste la fecha en que entrará en operaciones el</w:t>
      </w:r>
      <w:r w:rsidRPr="001A5930">
        <w:rPr>
          <w:rFonts w:ascii="Palatino Linotype" w:eastAsiaTheme="minorEastAsia" w:hAnsi="Palatino Linotype" w:cs="Arial"/>
          <w:b/>
          <w:lang w:val="es-ES_tradnl"/>
        </w:rPr>
        <w:t xml:space="preserve"> </w:t>
      </w:r>
      <w:r w:rsidR="002647C8">
        <w:rPr>
          <w:rFonts w:ascii="Palatino Linotype" w:eastAsiaTheme="minorEastAsia" w:hAnsi="Palatino Linotype" w:cs="Arial"/>
          <w:b/>
          <w:lang w:val="es-ES_tradnl"/>
        </w:rPr>
        <w:t>c</w:t>
      </w:r>
      <w:r w:rsidR="002647C8" w:rsidRPr="001A5930">
        <w:rPr>
          <w:rFonts w:ascii="Palatino Linotype" w:eastAsiaTheme="minorEastAsia" w:hAnsi="Palatino Linotype" w:cs="Arial"/>
          <w:b/>
          <w:lang w:val="es-ES_tradnl"/>
        </w:rPr>
        <w:t>entro</w:t>
      </w:r>
      <w:r w:rsidR="002647C8">
        <w:rPr>
          <w:rFonts w:ascii="Palatino Linotype" w:eastAsiaTheme="minorEastAsia" w:hAnsi="Palatino Linotype" w:cs="Arial"/>
          <w:b/>
          <w:lang w:val="es-ES_tradnl"/>
        </w:rPr>
        <w:t xml:space="preserve"> de salud</w:t>
      </w:r>
      <w:r w:rsidR="002647C8" w:rsidRPr="001A5930">
        <w:rPr>
          <w:rFonts w:ascii="Palatino Linotype" w:eastAsiaTheme="minorEastAsia" w:hAnsi="Palatino Linotype" w:cs="Arial"/>
          <w:b/>
          <w:lang w:val="es-ES_tradnl"/>
        </w:rPr>
        <w:t xml:space="preserve"> </w:t>
      </w:r>
      <w:r w:rsidRPr="001A5930">
        <w:rPr>
          <w:rFonts w:ascii="Palatino Linotype" w:eastAsiaTheme="minorEastAsia" w:hAnsi="Palatino Linotype" w:cs="Arial"/>
          <w:b/>
          <w:lang w:val="es-ES_tradnl"/>
        </w:rPr>
        <w:t xml:space="preserve">y los inconvenientes que </w:t>
      </w:r>
      <w:r>
        <w:rPr>
          <w:rFonts w:ascii="Palatino Linotype" w:eastAsiaTheme="minorEastAsia" w:hAnsi="Palatino Linotype" w:cs="Arial"/>
          <w:b/>
          <w:lang w:val="es-ES_tradnl"/>
        </w:rPr>
        <w:t>de ser el caso existen para poder habilitar su funcionamiento</w:t>
      </w:r>
      <w:r w:rsidR="002647C8">
        <w:rPr>
          <w:rFonts w:ascii="Palatino Linotype" w:eastAsiaTheme="minorEastAsia" w:hAnsi="Palatino Linotype" w:cs="Arial"/>
          <w:b/>
          <w:lang w:val="es-ES_tradnl"/>
        </w:rPr>
        <w:t>;</w:t>
      </w:r>
    </w:p>
    <w:p w14:paraId="2C0C8BB6" w14:textId="77777777" w:rsidR="001A5930" w:rsidRPr="002647C8" w:rsidRDefault="001A5930" w:rsidP="002647C8">
      <w:pPr>
        <w:pStyle w:val="Prrafodelista"/>
        <w:numPr>
          <w:ilvl w:val="0"/>
          <w:numId w:val="37"/>
        </w:numPr>
        <w:spacing w:line="360" w:lineRule="auto"/>
        <w:jc w:val="both"/>
        <w:rPr>
          <w:rFonts w:ascii="Palatino Linotype" w:eastAsiaTheme="minorEastAsia" w:hAnsi="Palatino Linotype" w:cs="Arial"/>
          <w:b/>
          <w:lang w:val="es-ES_tradnl"/>
        </w:rPr>
      </w:pPr>
      <w:r w:rsidRPr="002647C8">
        <w:rPr>
          <w:rFonts w:ascii="Palatino Linotype" w:eastAsiaTheme="minorEastAsia" w:hAnsi="Palatino Linotype" w:cs="Arial"/>
          <w:b/>
          <w:lang w:val="es-ES_tradnl"/>
        </w:rPr>
        <w:t>Horarios de atención médica;</w:t>
      </w:r>
    </w:p>
    <w:p w14:paraId="7BF5BFC4" w14:textId="77777777" w:rsidR="001A5930" w:rsidRPr="002647C8" w:rsidRDefault="001A5930" w:rsidP="002647C8">
      <w:pPr>
        <w:pStyle w:val="Prrafodelista"/>
        <w:numPr>
          <w:ilvl w:val="0"/>
          <w:numId w:val="37"/>
        </w:numPr>
        <w:spacing w:line="360" w:lineRule="auto"/>
        <w:jc w:val="both"/>
        <w:rPr>
          <w:rFonts w:ascii="Palatino Linotype" w:eastAsiaTheme="minorEastAsia" w:hAnsi="Palatino Linotype" w:cs="Arial"/>
          <w:b/>
          <w:lang w:val="es-ES_tradnl"/>
        </w:rPr>
      </w:pPr>
      <w:r w:rsidRPr="002647C8">
        <w:rPr>
          <w:rFonts w:ascii="Palatino Linotype" w:eastAsiaTheme="minorEastAsia" w:hAnsi="Palatino Linotype" w:cs="Arial"/>
          <w:b/>
          <w:lang w:val="es-ES_tradnl"/>
        </w:rPr>
        <w:t>Nombre de todo el personal que atiende la clínica y sus horarios de laborales;</w:t>
      </w:r>
    </w:p>
    <w:p w14:paraId="54FD1F02" w14:textId="77777777" w:rsidR="001A5930" w:rsidRPr="002647C8" w:rsidRDefault="001A5930" w:rsidP="002647C8">
      <w:pPr>
        <w:pStyle w:val="Prrafodelista"/>
        <w:numPr>
          <w:ilvl w:val="0"/>
          <w:numId w:val="37"/>
        </w:numPr>
        <w:spacing w:line="360" w:lineRule="auto"/>
        <w:jc w:val="both"/>
        <w:rPr>
          <w:rFonts w:ascii="Palatino Linotype" w:eastAsiaTheme="minorEastAsia" w:hAnsi="Palatino Linotype" w:cs="Arial"/>
          <w:b/>
          <w:lang w:val="es-ES_tradnl"/>
        </w:rPr>
      </w:pPr>
      <w:r w:rsidRPr="002647C8">
        <w:rPr>
          <w:rFonts w:ascii="Palatino Linotype" w:eastAsiaTheme="minorEastAsia" w:hAnsi="Palatino Linotype" w:cs="Arial"/>
          <w:b/>
          <w:lang w:val="es-ES_tradnl"/>
        </w:rPr>
        <w:t>Soporte documental donde conste el procedimiento para iniciar una queja a un médico por acoso y malos tratos hacia los pacientes;</w:t>
      </w:r>
    </w:p>
    <w:p w14:paraId="1BABF3FF" w14:textId="77777777" w:rsidR="001A5930" w:rsidRPr="002647C8" w:rsidRDefault="001A5930" w:rsidP="002647C8">
      <w:pPr>
        <w:pStyle w:val="Prrafodelista"/>
        <w:numPr>
          <w:ilvl w:val="0"/>
          <w:numId w:val="37"/>
        </w:numPr>
        <w:spacing w:line="360" w:lineRule="auto"/>
        <w:jc w:val="both"/>
        <w:rPr>
          <w:rFonts w:ascii="Palatino Linotype" w:eastAsiaTheme="minorEastAsia" w:hAnsi="Palatino Linotype" w:cs="Arial"/>
          <w:b/>
          <w:lang w:val="es-ES_tradnl"/>
        </w:rPr>
      </w:pPr>
      <w:r w:rsidRPr="002647C8">
        <w:rPr>
          <w:rFonts w:ascii="Palatino Linotype" w:eastAsiaTheme="minorEastAsia" w:hAnsi="Palatino Linotype" w:cs="Arial"/>
          <w:b/>
          <w:lang w:val="es-ES_tradnl"/>
        </w:rPr>
        <w:t>Normatividad de supervisión a clínicas o centros de salud y visitas sorpresa;</w:t>
      </w:r>
    </w:p>
    <w:p w14:paraId="504F885B" w14:textId="77777777" w:rsidR="002647C8" w:rsidRPr="002647C8" w:rsidRDefault="001A5930" w:rsidP="002647C8">
      <w:pPr>
        <w:pStyle w:val="Prrafodelista"/>
        <w:numPr>
          <w:ilvl w:val="0"/>
          <w:numId w:val="37"/>
        </w:numPr>
        <w:spacing w:line="360" w:lineRule="auto"/>
        <w:jc w:val="both"/>
        <w:rPr>
          <w:rFonts w:ascii="Palatino Linotype" w:eastAsiaTheme="minorEastAsia" w:hAnsi="Palatino Linotype" w:cs="Arial"/>
          <w:b/>
          <w:lang w:val="es-ES_tradnl"/>
        </w:rPr>
      </w:pPr>
      <w:r w:rsidRPr="002647C8">
        <w:rPr>
          <w:rFonts w:ascii="Palatino Linotype" w:eastAsiaTheme="minorEastAsia" w:hAnsi="Palatino Linotype" w:cs="Arial"/>
          <w:b/>
          <w:lang w:val="es-ES_tradnl"/>
        </w:rPr>
        <w:t>Mecanismos de control mediante el cual se supervisa que el personal médico cumpl</w:t>
      </w:r>
      <w:r w:rsidR="002647C8" w:rsidRPr="002647C8">
        <w:rPr>
          <w:rFonts w:ascii="Palatino Linotype" w:eastAsiaTheme="minorEastAsia" w:hAnsi="Palatino Linotype" w:cs="Arial"/>
          <w:b/>
          <w:lang w:val="es-ES_tradnl"/>
        </w:rPr>
        <w:t>e</w:t>
      </w:r>
      <w:r w:rsidRPr="002647C8">
        <w:rPr>
          <w:rFonts w:ascii="Palatino Linotype" w:eastAsiaTheme="minorEastAsia" w:hAnsi="Palatino Linotype" w:cs="Arial"/>
          <w:b/>
          <w:lang w:val="es-ES_tradnl"/>
        </w:rPr>
        <w:t xml:space="preserve"> con horarios </w:t>
      </w:r>
      <w:r w:rsidR="002647C8" w:rsidRPr="002647C8">
        <w:rPr>
          <w:rFonts w:ascii="Palatino Linotype" w:eastAsiaTheme="minorEastAsia" w:hAnsi="Palatino Linotype" w:cs="Arial"/>
          <w:b/>
          <w:lang w:val="es-ES_tradnl"/>
        </w:rPr>
        <w:t>laborales;</w:t>
      </w:r>
    </w:p>
    <w:p w14:paraId="4B38CAFF" w14:textId="1B827052" w:rsidR="001A5930" w:rsidRPr="002647C8" w:rsidRDefault="002647C8" w:rsidP="002647C8">
      <w:pPr>
        <w:pStyle w:val="Prrafodelista"/>
        <w:numPr>
          <w:ilvl w:val="0"/>
          <w:numId w:val="37"/>
        </w:numPr>
        <w:spacing w:line="360" w:lineRule="auto"/>
        <w:jc w:val="both"/>
        <w:rPr>
          <w:rFonts w:ascii="Palatino Linotype" w:eastAsiaTheme="minorEastAsia" w:hAnsi="Palatino Linotype"/>
          <w:i/>
          <w:lang w:val="es-ES_tradnl"/>
        </w:rPr>
      </w:pPr>
      <w:r w:rsidRPr="002647C8">
        <w:rPr>
          <w:rFonts w:ascii="Palatino Linotype" w:eastAsiaTheme="minorEastAsia" w:hAnsi="Palatino Linotype" w:cs="Arial"/>
          <w:b/>
          <w:lang w:val="es-ES_tradnl"/>
        </w:rPr>
        <w:t>A</w:t>
      </w:r>
      <w:r w:rsidR="001A5930" w:rsidRPr="002647C8">
        <w:rPr>
          <w:rFonts w:ascii="Palatino Linotype" w:eastAsiaTheme="minorEastAsia" w:hAnsi="Palatino Linotype" w:cs="Arial"/>
          <w:b/>
          <w:lang w:val="es-ES_tradnl"/>
        </w:rPr>
        <w:t>utoridad responsable de la</w:t>
      </w:r>
      <w:r w:rsidRPr="002647C8">
        <w:rPr>
          <w:rFonts w:ascii="Palatino Linotype" w:eastAsiaTheme="minorEastAsia" w:hAnsi="Palatino Linotype" w:cs="Arial"/>
          <w:b/>
          <w:lang w:val="es-ES_tradnl"/>
        </w:rPr>
        <w:t>s</w:t>
      </w:r>
      <w:r w:rsidR="001A5930" w:rsidRPr="002647C8">
        <w:rPr>
          <w:rFonts w:ascii="Palatino Linotype" w:eastAsiaTheme="minorEastAsia" w:hAnsi="Palatino Linotype" w:cs="Arial"/>
          <w:b/>
          <w:lang w:val="es-ES_tradnl"/>
        </w:rPr>
        <w:t xml:space="preserve"> </w:t>
      </w:r>
      <w:r w:rsidRPr="002647C8">
        <w:rPr>
          <w:rFonts w:ascii="Palatino Linotype" w:eastAsiaTheme="minorEastAsia" w:hAnsi="Palatino Linotype" w:cs="Arial"/>
          <w:b/>
          <w:lang w:val="es-ES_tradnl"/>
        </w:rPr>
        <w:t xml:space="preserve">supervisiones y </w:t>
      </w:r>
      <w:r w:rsidR="001A5930" w:rsidRPr="002647C8">
        <w:rPr>
          <w:rFonts w:ascii="Palatino Linotype" w:eastAsiaTheme="minorEastAsia" w:hAnsi="Palatino Linotype" w:cs="Arial"/>
          <w:b/>
          <w:lang w:val="es-ES_tradnl"/>
        </w:rPr>
        <w:t>sus datos de contacto.</w:t>
      </w:r>
    </w:p>
    <w:p w14:paraId="42601407" w14:textId="77777777" w:rsidR="001A5930" w:rsidRPr="001A5930" w:rsidRDefault="001A5930" w:rsidP="002647C8">
      <w:pPr>
        <w:pStyle w:val="Prrafodelista"/>
        <w:spacing w:line="360" w:lineRule="auto"/>
        <w:ind w:left="0"/>
        <w:jc w:val="both"/>
        <w:rPr>
          <w:rFonts w:ascii="Palatino Linotype" w:eastAsiaTheme="minorEastAsia" w:hAnsi="Palatino Linotype"/>
          <w:i/>
          <w:lang w:val="es-ES_tradnl"/>
        </w:rPr>
      </w:pPr>
    </w:p>
    <w:p w14:paraId="1AD14479" w14:textId="566947EA" w:rsidR="00823B97" w:rsidRPr="00DE26A6" w:rsidRDefault="002647C8" w:rsidP="00FE6783">
      <w:pPr>
        <w:pStyle w:val="Prrafodelista"/>
        <w:numPr>
          <w:ilvl w:val="0"/>
          <w:numId w:val="7"/>
        </w:numPr>
        <w:spacing w:line="360" w:lineRule="auto"/>
        <w:ind w:left="0" w:firstLine="0"/>
        <w:jc w:val="both"/>
        <w:rPr>
          <w:rFonts w:ascii="Palatino Linotype" w:eastAsiaTheme="minorEastAsia" w:hAnsi="Palatino Linotype"/>
          <w:i/>
          <w:lang w:val="es-ES_tradnl"/>
        </w:rPr>
      </w:pPr>
      <w:r>
        <w:rPr>
          <w:rFonts w:ascii="Palatino Linotype" w:eastAsiaTheme="minorEastAsia" w:hAnsi="Palatino Linotype"/>
          <w:lang w:val="es-ES_tradnl"/>
        </w:rPr>
        <w:t>D</w:t>
      </w:r>
      <w:r w:rsidR="00823B97" w:rsidRPr="00DE26A6">
        <w:rPr>
          <w:rFonts w:ascii="Palatino Linotype" w:eastAsiaTheme="minorEastAsia" w:hAnsi="Palatino Linotype"/>
          <w:lang w:val="es-ES_tradnl"/>
        </w:rPr>
        <w:t xml:space="preserve">erivado </w:t>
      </w:r>
      <w:r w:rsidR="00823B97" w:rsidRPr="00DE26A6">
        <w:rPr>
          <w:rFonts w:ascii="Palatino Linotype" w:eastAsiaTheme="minorEastAsia" w:hAnsi="Palatino Linotype" w:cs="Arial"/>
          <w:lang w:val="es-ES_tradnl"/>
        </w:rPr>
        <w:t xml:space="preserve">de la falta de respuesta por parte del </w:t>
      </w:r>
      <w:r w:rsidR="00823B97" w:rsidRPr="00DE26A6">
        <w:rPr>
          <w:rFonts w:ascii="Palatino Linotype" w:eastAsiaTheme="minorEastAsia" w:hAnsi="Palatino Linotype" w:cs="Arial"/>
          <w:b/>
          <w:lang w:val="es-ES_tradnl"/>
        </w:rPr>
        <w:t>SUJETO OBLIGADO</w:t>
      </w:r>
      <w:r>
        <w:rPr>
          <w:rFonts w:ascii="Palatino Linotype" w:eastAsiaTheme="minorEastAsia" w:hAnsi="Palatino Linotype" w:cs="Arial"/>
          <w:b/>
          <w:lang w:val="es-ES_tradnl"/>
        </w:rPr>
        <w:t xml:space="preserve"> </w:t>
      </w:r>
      <w:r>
        <w:rPr>
          <w:rFonts w:ascii="Palatino Linotype" w:eastAsiaTheme="minorEastAsia" w:hAnsi="Palatino Linotype" w:cs="Arial"/>
          <w:lang w:val="es-ES_tradnl"/>
        </w:rPr>
        <w:t>en parte de las solicitudes</w:t>
      </w:r>
      <w:r w:rsidR="00823B97" w:rsidRPr="00DE26A6">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 xml:space="preserve">así como la declaratoria de incompetencia a otras, </w:t>
      </w:r>
      <w:r w:rsidR="00FC35C1">
        <w:rPr>
          <w:rFonts w:ascii="Palatino Linotype" w:eastAsiaTheme="minorEastAsia" w:hAnsi="Palatino Linotype" w:cs="Arial"/>
          <w:lang w:val="es-ES_tradnl"/>
        </w:rPr>
        <w:t>la particular</w:t>
      </w:r>
      <w:r w:rsidR="00823B97" w:rsidRPr="00DE26A6">
        <w:rPr>
          <w:rFonts w:ascii="Palatino Linotype" w:eastAsiaTheme="minorEastAsia" w:hAnsi="Palatino Linotype" w:cs="Arial"/>
          <w:lang w:val="es-ES_tradnl"/>
        </w:rPr>
        <w:t xml:space="preserve"> interpuso el Recurso de Revisión</w:t>
      </w:r>
      <w:r w:rsidR="00823B97" w:rsidRPr="00DE26A6">
        <w:rPr>
          <w:rFonts w:ascii="Palatino Linotype" w:hAnsi="Palatino Linotype"/>
        </w:rPr>
        <w:t>, ante este Órgano Garante para hacer valer su derecho de acceso a la información pública.</w:t>
      </w:r>
    </w:p>
    <w:p w14:paraId="55AA33E1" w14:textId="5E8135AF" w:rsidR="00823B97" w:rsidRPr="003C68FA" w:rsidRDefault="00823B97" w:rsidP="00823B97">
      <w:pPr>
        <w:pStyle w:val="Prrafodelista"/>
        <w:numPr>
          <w:ilvl w:val="0"/>
          <w:numId w:val="7"/>
        </w:numPr>
        <w:spacing w:line="360" w:lineRule="auto"/>
        <w:ind w:left="0" w:firstLine="0"/>
        <w:jc w:val="both"/>
        <w:rPr>
          <w:rFonts w:ascii="Palatino Linotype" w:eastAsia="MS Mincho" w:hAnsi="Palatino Linotype" w:cs="Arial"/>
        </w:rPr>
      </w:pPr>
      <w:r w:rsidRPr="00676142">
        <w:rPr>
          <w:rFonts w:ascii="Palatino Linotype" w:eastAsia="MS Mincho" w:hAnsi="Palatino Linotype" w:cs="Arial"/>
        </w:rPr>
        <w:lastRenderedPageBreak/>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002647C8" w:rsidRPr="002647C8">
        <w:rPr>
          <w:rFonts w:ascii="Palatino Linotype" w:eastAsia="MS Mincho" w:hAnsi="Palatino Linotype" w:cs="Arial"/>
          <w:b/>
        </w:rPr>
        <w:t>IV</w:t>
      </w:r>
      <w:r w:rsidR="002647C8">
        <w:rPr>
          <w:rFonts w:ascii="Palatino Linotype" w:eastAsia="MS Mincho" w:hAnsi="Palatino Linotype" w:cs="Arial"/>
        </w:rPr>
        <w:t xml:space="preserve"> y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w:t>
      </w:r>
      <w:r w:rsidRPr="002647C8">
        <w:rPr>
          <w:rFonts w:ascii="Palatino Linotype" w:eastAsia="MS Mincho" w:hAnsi="Palatino Linotype" w:cs="Arial"/>
          <w:b/>
        </w:rPr>
        <w:t xml:space="preserve"> de México y Municipios</w:t>
      </w:r>
      <w:r w:rsidRPr="002647C8">
        <w:rPr>
          <w:rFonts w:ascii="Palatino Linotype" w:eastAsia="MS Mincho" w:hAnsi="Palatino Linotype" w:cs="Arial"/>
        </w:rPr>
        <w:t xml:space="preserve">; </w:t>
      </w:r>
      <w:r w:rsidRPr="002647C8">
        <w:rPr>
          <w:rFonts w:ascii="Palatino Linotype" w:hAnsi="Palatino Linotype" w:cs="Arial"/>
          <w:color w:val="000000" w:themeColor="text1"/>
        </w:rPr>
        <w:t xml:space="preserve">fracción que determina la hipótesis jurídica relativa a </w:t>
      </w:r>
      <w:r w:rsidR="002647C8" w:rsidRPr="002647C8">
        <w:rPr>
          <w:rFonts w:ascii="Palatino Linotype" w:hAnsi="Palatino Linotype"/>
        </w:rPr>
        <w:t xml:space="preserve">la declaración de incompetencia por el sujeto obligado y a </w:t>
      </w:r>
      <w:r w:rsidRPr="002647C8">
        <w:rPr>
          <w:rFonts w:ascii="Palatino Linotype" w:hAnsi="Palatino Linotype" w:cs="Arial"/>
          <w:color w:val="000000" w:themeColor="text1"/>
        </w:rPr>
        <w:t xml:space="preserve">la falta </w:t>
      </w:r>
      <w:r w:rsidRPr="00676142">
        <w:rPr>
          <w:rFonts w:ascii="Palatino Linotype" w:hAnsi="Palatino Linotype" w:cs="Arial"/>
          <w:color w:val="000000" w:themeColor="text1"/>
        </w:rPr>
        <w:t xml:space="preserve">de respuesta a una solicitud de acceso a la información; </w:t>
      </w:r>
      <w:r>
        <w:rPr>
          <w:rFonts w:ascii="Palatino Linotype" w:eastAsia="MS Mincho" w:hAnsi="Palatino Linotype" w:cs="Arial"/>
        </w:rPr>
        <w:t xml:space="preserve">contexto del cual se dolió </w:t>
      </w:r>
      <w:r w:rsidRPr="00676142">
        <w:rPr>
          <w:rFonts w:ascii="Palatino Linotype" w:eastAsia="MS Mincho" w:hAnsi="Palatino Linotype" w:cs="Arial"/>
        </w:rPr>
        <w:t>l</w:t>
      </w:r>
      <w:r>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rPr>
        <w:t>; asimismo, determinar si se vulnera el derecho de acceso a la información d</w:t>
      </w:r>
      <w:r>
        <w:rPr>
          <w:rFonts w:ascii="Palatino Linotype" w:hAnsi="Palatino Linotype" w:cs="Arial"/>
          <w:color w:val="000000" w:themeColor="text1"/>
        </w:rPr>
        <w:t>e la particular</w:t>
      </w:r>
      <w:r w:rsidRPr="00676142">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rPr>
        <w:t xml:space="preserve">expedita, </w:t>
      </w:r>
      <w:r w:rsidRPr="00676142">
        <w:rPr>
          <w:rFonts w:ascii="Palatino Linotype" w:hAnsi="Palatino Linotype" w:cs="Arial"/>
          <w:color w:val="000000" w:themeColor="text1"/>
        </w:rPr>
        <w:t>completa e integral.</w:t>
      </w:r>
    </w:p>
    <w:p w14:paraId="2345AA50" w14:textId="77777777" w:rsidR="003C68FA" w:rsidRPr="003C68FA" w:rsidRDefault="003C68FA" w:rsidP="003C68FA">
      <w:pPr>
        <w:pStyle w:val="Prrafodelista"/>
        <w:rPr>
          <w:rFonts w:ascii="Palatino Linotype" w:eastAsia="MS Mincho" w:hAnsi="Palatino Linotype" w:cs="Arial"/>
        </w:rPr>
      </w:pPr>
    </w:p>
    <w:p w14:paraId="5CC58CF6" w14:textId="77777777" w:rsidR="00823B97" w:rsidRPr="00745D07" w:rsidRDefault="00823B97" w:rsidP="00823B97">
      <w:pPr>
        <w:keepNext/>
        <w:keepLines/>
        <w:spacing w:line="360" w:lineRule="auto"/>
        <w:outlineLvl w:val="0"/>
        <w:rPr>
          <w:rFonts w:ascii="Palatino Linotype" w:eastAsia="MS Gothic" w:hAnsi="Palatino Linotype"/>
          <w:b/>
        </w:rPr>
      </w:pPr>
      <w:bookmarkStart w:id="18" w:name="_Toc8390139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18"/>
    </w:p>
    <w:p w14:paraId="21BD9E4C" w14:textId="77777777" w:rsidR="00823B97" w:rsidRDefault="00823B97" w:rsidP="00823B97">
      <w:pPr>
        <w:keepNext/>
        <w:keepLines/>
        <w:spacing w:line="360" w:lineRule="auto"/>
        <w:outlineLvl w:val="0"/>
        <w:rPr>
          <w:rFonts w:ascii="Palatino Linotype" w:eastAsia="MS Gothic" w:hAnsi="Palatino Linotype"/>
        </w:rPr>
      </w:pPr>
    </w:p>
    <w:p w14:paraId="0F396C25" w14:textId="083683CA" w:rsidR="002647C8" w:rsidRPr="002647C8" w:rsidRDefault="002647C8" w:rsidP="002647C8">
      <w:pPr>
        <w:pStyle w:val="Prrafodelista"/>
        <w:numPr>
          <w:ilvl w:val="0"/>
          <w:numId w:val="7"/>
        </w:numPr>
        <w:spacing w:line="360" w:lineRule="auto"/>
        <w:ind w:left="0" w:firstLine="0"/>
        <w:jc w:val="both"/>
        <w:rPr>
          <w:rFonts w:ascii="Palatino Linotype" w:eastAsia="MS Gothic" w:hAnsi="Palatino Linotype"/>
        </w:rPr>
      </w:pPr>
      <w:r>
        <w:rPr>
          <w:rFonts w:ascii="Palatino Linotype" w:eastAsiaTheme="minorEastAsia" w:hAnsi="Palatino Linotype"/>
          <w:lang w:val="es-ES_tradnl"/>
        </w:rPr>
        <w:t xml:space="preserve">Acotada la </w:t>
      </w:r>
      <w:r w:rsidRPr="002647C8">
        <w:rPr>
          <w:rFonts w:ascii="Palatino Linotype" w:eastAsiaTheme="minorEastAsia" w:hAnsi="Palatino Linotype"/>
          <w:i/>
          <w:lang w:val="es-ES_tradnl"/>
        </w:rPr>
        <w:t>Litis</w:t>
      </w:r>
      <w:r>
        <w:rPr>
          <w:rFonts w:ascii="Palatino Linotype" w:eastAsiaTheme="minorEastAsia" w:hAnsi="Palatino Linotype"/>
          <w:lang w:val="es-ES_tradnl"/>
        </w:rPr>
        <w:t xml:space="preserve">, es necesario primeramente traer a contexto lo concerniente a la solicitud de información </w:t>
      </w:r>
      <w:r w:rsidRPr="002647C8">
        <w:rPr>
          <w:rFonts w:ascii="Palatino Linotype" w:eastAsiaTheme="minorEastAsia" w:hAnsi="Palatino Linotype"/>
          <w:lang w:val="es-ES_tradnl"/>
        </w:rPr>
        <w:t>00019/FELIPRO/IP/2023</w:t>
      </w:r>
      <w:r>
        <w:rPr>
          <w:rFonts w:ascii="Palatino Linotype" w:eastAsiaTheme="minorEastAsia" w:hAnsi="Palatino Linotype"/>
          <w:lang w:val="es-ES_tradnl"/>
        </w:rPr>
        <w:t>, a la cual recayó la siguiente respuesta:</w:t>
      </w:r>
    </w:p>
    <w:p w14:paraId="2E6A7FC0" w14:textId="77777777" w:rsidR="002647C8" w:rsidRDefault="002647C8" w:rsidP="004F058A">
      <w:pPr>
        <w:pStyle w:val="Prrafodelista"/>
        <w:spacing w:line="360" w:lineRule="auto"/>
        <w:ind w:left="0"/>
        <w:jc w:val="center"/>
        <w:rPr>
          <w:rFonts w:ascii="Palatino Linotype" w:eastAsia="MS Gothic" w:hAnsi="Palatino Linotype"/>
        </w:rPr>
      </w:pPr>
    </w:p>
    <w:p w14:paraId="52F6897F" w14:textId="2658C8FB" w:rsidR="00A75E97" w:rsidRDefault="00A75E97" w:rsidP="00A75E97">
      <w:pPr>
        <w:pStyle w:val="Prrafodelista"/>
        <w:spacing w:line="360" w:lineRule="auto"/>
        <w:ind w:left="0"/>
        <w:jc w:val="center"/>
        <w:rPr>
          <w:rFonts w:ascii="Palatino Linotype" w:eastAsia="MS Gothic" w:hAnsi="Palatino Linotype"/>
        </w:rPr>
      </w:pPr>
      <w:r>
        <w:rPr>
          <w:rFonts w:ascii="Palatino Linotype" w:eastAsia="MS Gothic" w:hAnsi="Palatino Linotype"/>
          <w:noProof/>
          <w:lang w:val="es-MX" w:eastAsia="es-MX"/>
        </w:rPr>
        <w:drawing>
          <wp:inline distT="0" distB="0" distL="0" distR="0" wp14:anchorId="763C98FE" wp14:editId="238CEC72">
            <wp:extent cx="5527343" cy="1385434"/>
            <wp:effectExtent l="19050" t="19050" r="1651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286" cy="1386422"/>
                    </a:xfrm>
                    <a:prstGeom prst="rect">
                      <a:avLst/>
                    </a:prstGeom>
                    <a:noFill/>
                    <a:ln>
                      <a:solidFill>
                        <a:schemeClr val="tx1"/>
                      </a:solidFill>
                    </a:ln>
                  </pic:spPr>
                </pic:pic>
              </a:graphicData>
            </a:graphic>
          </wp:inline>
        </w:drawing>
      </w:r>
    </w:p>
    <w:p w14:paraId="315EF4F6" w14:textId="0C7A22C4" w:rsidR="00A75E97" w:rsidRPr="00971DAA" w:rsidRDefault="00971DAA" w:rsidP="00971DAA">
      <w:pPr>
        <w:pStyle w:val="Prrafodelista"/>
        <w:numPr>
          <w:ilvl w:val="0"/>
          <w:numId w:val="7"/>
        </w:numPr>
        <w:spacing w:line="360" w:lineRule="auto"/>
        <w:ind w:left="0" w:firstLine="0"/>
        <w:jc w:val="both"/>
        <w:rPr>
          <w:rFonts w:ascii="Palatino Linotype" w:eastAsia="MS Gothic" w:hAnsi="Palatino Linotype"/>
        </w:rPr>
      </w:pPr>
      <w:r w:rsidRPr="00971DAA">
        <w:rPr>
          <w:rFonts w:ascii="Palatino Linotype" w:eastAsiaTheme="minorEastAsia" w:hAnsi="Palatino Linotype"/>
          <w:lang w:val="es-ES_tradnl"/>
        </w:rPr>
        <w:lastRenderedPageBreak/>
        <w:t xml:space="preserve">Citado lo anterior, es menester precisar que efectivamente el Instituto de Salud del Estado de México, es un Instituto que </w:t>
      </w:r>
      <w:r>
        <w:rPr>
          <w:rFonts w:ascii="Palatino Linotype" w:eastAsiaTheme="minorEastAsia" w:hAnsi="Palatino Linotype"/>
          <w:lang w:val="es-ES_tradnl"/>
        </w:rPr>
        <w:t>brinda</w:t>
      </w:r>
      <w:r w:rsidRPr="00971DAA">
        <w:rPr>
          <w:rFonts w:ascii="Palatino Linotype" w:eastAsiaTheme="minorEastAsia" w:hAnsi="Palatino Linotype"/>
          <w:lang w:val="es-ES_tradnl"/>
        </w:rPr>
        <w:t xml:space="preserve"> apoyo a personas, sectores de regiones de escasos recursos económicos y grupos vulnerables por edad, sexo o problemas de discapacidad. Apoyar a la población que no cuenta con algún tipo de seguridad social con asistencia o rehabilitación médica y de atención especializada.</w:t>
      </w:r>
    </w:p>
    <w:p w14:paraId="193C02B0" w14:textId="77777777" w:rsidR="00971DAA" w:rsidRPr="00971DAA" w:rsidRDefault="00971DAA" w:rsidP="00971DAA">
      <w:pPr>
        <w:pStyle w:val="Prrafodelista"/>
        <w:spacing w:line="360" w:lineRule="auto"/>
        <w:ind w:left="0"/>
        <w:jc w:val="both"/>
        <w:rPr>
          <w:rFonts w:ascii="Palatino Linotype" w:eastAsia="MS Gothic" w:hAnsi="Palatino Linotype"/>
        </w:rPr>
      </w:pPr>
    </w:p>
    <w:p w14:paraId="43B53195" w14:textId="7A153E12" w:rsidR="00971DAA" w:rsidRDefault="00971DAA" w:rsidP="00971DAA">
      <w:pPr>
        <w:pStyle w:val="Prrafodelista"/>
        <w:numPr>
          <w:ilvl w:val="0"/>
          <w:numId w:val="7"/>
        </w:numPr>
        <w:spacing w:line="360" w:lineRule="auto"/>
        <w:ind w:left="0" w:firstLine="0"/>
        <w:jc w:val="both"/>
        <w:rPr>
          <w:rFonts w:ascii="Palatino Linotype" w:eastAsia="MS Gothic" w:hAnsi="Palatino Linotype"/>
        </w:rPr>
      </w:pPr>
      <w:r w:rsidRPr="00971DAA">
        <w:rPr>
          <w:rFonts w:ascii="Palatino Linotype" w:eastAsia="MS Gothic" w:hAnsi="Palatino Linotype"/>
        </w:rPr>
        <w:t xml:space="preserve">Ahora bien, el Reglamento Interno </w:t>
      </w:r>
      <w:r>
        <w:rPr>
          <w:rFonts w:ascii="Palatino Linotype" w:eastAsia="MS Gothic" w:hAnsi="Palatino Linotype"/>
        </w:rPr>
        <w:t>del Instituto d</w:t>
      </w:r>
      <w:r w:rsidRPr="00971DAA">
        <w:rPr>
          <w:rFonts w:ascii="Palatino Linotype" w:eastAsia="MS Gothic" w:hAnsi="Palatino Linotype"/>
        </w:rPr>
        <w:t xml:space="preserve">e Salud </w:t>
      </w:r>
      <w:r>
        <w:rPr>
          <w:rFonts w:ascii="Palatino Linotype" w:eastAsia="MS Gothic" w:hAnsi="Palatino Linotype"/>
        </w:rPr>
        <w:t>d</w:t>
      </w:r>
      <w:r w:rsidRPr="00971DAA">
        <w:rPr>
          <w:rFonts w:ascii="Palatino Linotype" w:eastAsia="MS Gothic" w:hAnsi="Palatino Linotype"/>
        </w:rPr>
        <w:t xml:space="preserve">el Estado </w:t>
      </w:r>
      <w:r>
        <w:rPr>
          <w:rFonts w:ascii="Palatino Linotype" w:eastAsia="MS Gothic" w:hAnsi="Palatino Linotype"/>
        </w:rPr>
        <w:t>d</w:t>
      </w:r>
      <w:r w:rsidRPr="00971DAA">
        <w:rPr>
          <w:rFonts w:ascii="Palatino Linotype" w:eastAsia="MS Gothic" w:hAnsi="Palatino Linotype"/>
        </w:rPr>
        <w:t>e México, establece que es un Instituto sectorizado de la Secretaria de Salud</w:t>
      </w:r>
      <w:r w:rsidR="0087196B">
        <w:rPr>
          <w:rFonts w:ascii="Palatino Linotype" w:eastAsia="MS Gothic" w:hAnsi="Palatino Linotype"/>
        </w:rPr>
        <w:t xml:space="preserve"> del Estado de México</w:t>
      </w:r>
      <w:r w:rsidRPr="00971DAA">
        <w:rPr>
          <w:rFonts w:ascii="Palatino Linotype" w:eastAsia="MS Gothic" w:hAnsi="Palatino Linotype"/>
        </w:rPr>
        <w:t>, como se observa:</w:t>
      </w:r>
    </w:p>
    <w:p w14:paraId="16419765" w14:textId="77777777" w:rsidR="00971DAA" w:rsidRPr="002436F5" w:rsidRDefault="00971DAA" w:rsidP="002436F5">
      <w:pPr>
        <w:rPr>
          <w:rFonts w:ascii="Palatino Linotype" w:eastAsia="MS Gothic" w:hAnsi="Palatino Linotype"/>
        </w:rPr>
      </w:pPr>
    </w:p>
    <w:p w14:paraId="0305F2D5" w14:textId="785E9B42" w:rsidR="00971DAA" w:rsidRPr="00971DAA" w:rsidRDefault="00971DAA" w:rsidP="00971DAA">
      <w:pPr>
        <w:pStyle w:val="Prrafodelista"/>
        <w:ind w:left="567" w:right="616"/>
        <w:jc w:val="both"/>
        <w:rPr>
          <w:rFonts w:ascii="Palatino Linotype" w:eastAsia="MS Gothic" w:hAnsi="Palatino Linotype"/>
          <w:i/>
        </w:rPr>
      </w:pPr>
      <w:r>
        <w:rPr>
          <w:rFonts w:ascii="Palatino Linotype" w:eastAsia="MS Gothic" w:hAnsi="Palatino Linotype"/>
          <w:i/>
        </w:rPr>
        <w:t>“</w:t>
      </w:r>
      <w:r w:rsidRPr="00971DAA">
        <w:rPr>
          <w:rFonts w:ascii="Palatino Linotype" w:eastAsia="MS Gothic" w:hAnsi="Palatino Linotype"/>
          <w:i/>
        </w:rPr>
        <w:t>Artículo 3.- El Instituto está sectorizado a la Secretaría de Salud y tendrá a su cargo el despacho de los asuntos que le confieren el Código, el Reglamento de Salud del Estado de México, el presente Reglamento y los demás ordenamientos jurídicos aplicables.</w:t>
      </w:r>
      <w:r>
        <w:rPr>
          <w:rFonts w:ascii="Palatino Linotype" w:eastAsia="MS Gothic" w:hAnsi="Palatino Linotype"/>
          <w:i/>
        </w:rPr>
        <w:t>”</w:t>
      </w:r>
    </w:p>
    <w:p w14:paraId="28F6894E" w14:textId="77777777" w:rsidR="002647C8" w:rsidRDefault="002647C8" w:rsidP="00823B97">
      <w:pPr>
        <w:keepNext/>
        <w:keepLines/>
        <w:spacing w:line="360" w:lineRule="auto"/>
        <w:outlineLvl w:val="0"/>
        <w:rPr>
          <w:rFonts w:ascii="Palatino Linotype" w:eastAsia="MS Gothic" w:hAnsi="Palatino Linotype"/>
        </w:rPr>
      </w:pPr>
    </w:p>
    <w:p w14:paraId="395F23C7" w14:textId="1BFB2E67" w:rsidR="00971DAA" w:rsidRDefault="00971DAA" w:rsidP="00971DAA">
      <w:pPr>
        <w:pStyle w:val="Prrafodelista"/>
        <w:numPr>
          <w:ilvl w:val="0"/>
          <w:numId w:val="7"/>
        </w:numPr>
        <w:spacing w:line="360" w:lineRule="auto"/>
        <w:ind w:left="0" w:firstLine="0"/>
        <w:jc w:val="both"/>
        <w:rPr>
          <w:rFonts w:ascii="Palatino Linotype" w:eastAsia="MS Gothic" w:hAnsi="Palatino Linotype"/>
        </w:rPr>
      </w:pPr>
      <w:r>
        <w:rPr>
          <w:rFonts w:ascii="Palatino Linotype" w:eastAsia="MS Gothic" w:hAnsi="Palatino Linotype"/>
        </w:rPr>
        <w:t xml:space="preserve">Como se </w:t>
      </w:r>
      <w:r w:rsidR="00A37D32">
        <w:rPr>
          <w:rFonts w:ascii="Palatino Linotype" w:eastAsia="MS Gothic" w:hAnsi="Palatino Linotype"/>
        </w:rPr>
        <w:t>aprecia</w:t>
      </w:r>
      <w:r>
        <w:rPr>
          <w:rFonts w:ascii="Palatino Linotype" w:eastAsia="MS Gothic" w:hAnsi="Palatino Linotype"/>
        </w:rPr>
        <w:t>, es el Código Administrativo del Estado de México</w:t>
      </w:r>
      <w:r w:rsidR="0087196B">
        <w:rPr>
          <w:rFonts w:ascii="Palatino Linotype" w:eastAsia="MS Gothic" w:hAnsi="Palatino Linotype"/>
        </w:rPr>
        <w:t>,</w:t>
      </w:r>
      <w:r>
        <w:rPr>
          <w:rFonts w:ascii="Palatino Linotype" w:eastAsia="MS Gothic" w:hAnsi="Palatino Linotype"/>
        </w:rPr>
        <w:t xml:space="preserve"> el que contiene las facultades y atribuciones del Instituto de referencia, como se desprende de</w:t>
      </w:r>
      <w:r w:rsidR="00A37D32">
        <w:rPr>
          <w:rFonts w:ascii="Palatino Linotype" w:eastAsia="MS Gothic" w:hAnsi="Palatino Linotype"/>
        </w:rPr>
        <w:t xml:space="preserve"> sus</w:t>
      </w:r>
      <w:r>
        <w:rPr>
          <w:rFonts w:ascii="Palatino Linotype" w:eastAsia="MS Gothic" w:hAnsi="Palatino Linotype"/>
        </w:rPr>
        <w:t xml:space="preserve"> artículo </w:t>
      </w:r>
      <w:r w:rsidR="002128CB">
        <w:rPr>
          <w:rFonts w:ascii="Palatino Linotype" w:eastAsia="MS Gothic" w:hAnsi="Palatino Linotype"/>
        </w:rPr>
        <w:t>2.5 y 2.13</w:t>
      </w:r>
      <w:r>
        <w:rPr>
          <w:rFonts w:ascii="Palatino Linotype" w:eastAsia="MS Gothic" w:hAnsi="Palatino Linotype"/>
        </w:rPr>
        <w:t>,</w:t>
      </w:r>
      <w:r w:rsidR="002128CB">
        <w:rPr>
          <w:rFonts w:ascii="Palatino Linotype" w:eastAsia="MS Gothic" w:hAnsi="Palatino Linotype"/>
        </w:rPr>
        <w:t xml:space="preserve"> </w:t>
      </w:r>
      <w:r>
        <w:rPr>
          <w:rFonts w:ascii="Palatino Linotype" w:eastAsia="MS Gothic" w:hAnsi="Palatino Linotype"/>
        </w:rPr>
        <w:t>a saber:</w:t>
      </w:r>
    </w:p>
    <w:p w14:paraId="0BA052A6" w14:textId="77777777" w:rsidR="002128CB" w:rsidRDefault="002128CB" w:rsidP="002128CB">
      <w:pPr>
        <w:pStyle w:val="Prrafodelista"/>
        <w:spacing w:line="360" w:lineRule="auto"/>
        <w:ind w:left="0"/>
        <w:jc w:val="both"/>
        <w:rPr>
          <w:rFonts w:ascii="Palatino Linotype" w:eastAsia="MS Gothic" w:hAnsi="Palatino Linotype"/>
        </w:rPr>
      </w:pPr>
    </w:p>
    <w:p w14:paraId="49AEE953" w14:textId="645C59F2" w:rsidR="00971DAA" w:rsidRPr="00971DAA" w:rsidRDefault="00732BA7" w:rsidP="00971DAA">
      <w:pPr>
        <w:pStyle w:val="Prrafodelista"/>
        <w:ind w:left="425" w:right="476"/>
        <w:jc w:val="both"/>
        <w:rPr>
          <w:rFonts w:ascii="Palatino Linotype" w:eastAsia="MS Gothic" w:hAnsi="Palatino Linotype"/>
          <w:i/>
        </w:rPr>
      </w:pPr>
      <w:r>
        <w:rPr>
          <w:rFonts w:ascii="Palatino Linotype" w:eastAsia="MS Gothic" w:hAnsi="Palatino Linotype"/>
          <w:i/>
        </w:rPr>
        <w:t>“</w:t>
      </w:r>
      <w:r w:rsidR="00971DAA" w:rsidRPr="00971DAA">
        <w:rPr>
          <w:rFonts w:ascii="Palatino Linotype" w:eastAsia="MS Gothic" w:hAnsi="Palatino Linotype"/>
          <w:i/>
        </w:rPr>
        <w:t>Artículo 2.5. El Instituto de Salud del Estado de México es un organismo público descentralizado, con personalidad jurídica y patrimonio propios, que tiene por objeto la prestación de los servicios de salud en la Entidad.</w:t>
      </w:r>
    </w:p>
    <w:p w14:paraId="5639ED1E" w14:textId="77777777" w:rsidR="00971DAA" w:rsidRPr="00971DAA" w:rsidRDefault="00971DAA" w:rsidP="00971DAA">
      <w:pPr>
        <w:pStyle w:val="Prrafodelista"/>
        <w:ind w:left="425" w:right="476"/>
        <w:jc w:val="both"/>
        <w:rPr>
          <w:rFonts w:ascii="Palatino Linotype" w:eastAsia="MS Gothic" w:hAnsi="Palatino Linotype"/>
          <w:i/>
        </w:rPr>
      </w:pPr>
    </w:p>
    <w:p w14:paraId="074A7B2F"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Artículo 2.13.- Los Institutos Especializados de Salud son organismos públicos descentralizados, con personalidad jurídica y patrimonio propios, que tienen por objeto la investigación, enseñanza y prestación de servicios de alta especialidad.</w:t>
      </w:r>
    </w:p>
    <w:p w14:paraId="4F646109"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w:t>
      </w:r>
    </w:p>
    <w:p w14:paraId="58EB817E" w14:textId="77777777" w:rsidR="00971DAA" w:rsidRPr="00971DAA" w:rsidRDefault="00971DAA" w:rsidP="00971DAA">
      <w:pPr>
        <w:pStyle w:val="Prrafodelista"/>
        <w:ind w:left="425" w:right="476"/>
        <w:jc w:val="both"/>
        <w:rPr>
          <w:rFonts w:ascii="Palatino Linotype" w:eastAsia="MS Gothic" w:hAnsi="Palatino Linotype"/>
          <w:i/>
        </w:rPr>
      </w:pPr>
    </w:p>
    <w:p w14:paraId="5DD395D7"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lastRenderedPageBreak/>
        <w:t>B. Los Institutos para el cumplimiento de su objeto, tiene las atribuciones siguientes:</w:t>
      </w:r>
    </w:p>
    <w:p w14:paraId="1928357F"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I. Promover y desarrollar investigaciones científicas y tecnológicas en las áreas biomédicas, clínicas, sociomédicas y epidemiológicas;</w:t>
      </w:r>
    </w:p>
    <w:p w14:paraId="3698FB31"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II. Realizar estudios e investigaciones clínicas, epidemiológicas, experimentales, de desarrollo tecnológico y básicas, en las áreas biomédicas y sociomédicas, para la comprensión, prevención, diagnóstico y tratamiento de las enfermedades y rehabilitación de los afectados, así como promover medidas de salud;</w:t>
      </w:r>
    </w:p>
    <w:p w14:paraId="25E9472B"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III. Publicar los resultados de las investigaciones y trabajos que realice, así como difundir información técnica y científica sobre los avances que en materia de salud registre;</w:t>
      </w:r>
    </w:p>
    <w:p w14:paraId="015BF13A"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IV. Promover y realizar reuniones de intercambio científico, de carácter nacional e internacional, y celebrar convenios de coordinación, intercambio y cooperación con instituciones afines;</w:t>
      </w:r>
    </w:p>
    <w:p w14:paraId="3F41DED0"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V. Formular y ejecutar programas de estudio y cursos de capacitación, enseñanza, especialización y actualización de personal profesional, técnico y auxiliar, en sus áreas de especialización y afines, así como evaluar y reconocer el aprendizaje;</w:t>
      </w:r>
    </w:p>
    <w:p w14:paraId="5D0DB9DD"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VI. Otorgar constancias, diplomas, reconocimientos y certificados de estudios, grados y títulos, en su caso, de conformidad con las disposiciones aplicables;</w:t>
      </w:r>
    </w:p>
    <w:p w14:paraId="72A03297"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VII. Prestar servicios de salud en aspectos preventivos, curativos y de rehabilitación en sus áreas de especialización;</w:t>
      </w:r>
    </w:p>
    <w:p w14:paraId="06C1CCDC"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VIII. Proporcionar consulta externa, atención hospitalaria y servicios de urgencias a la población que requiera atención médica en sus áreas de especialización, hasta el límite de su capacidad instalada;</w:t>
      </w:r>
    </w:p>
    <w:p w14:paraId="53DCCD17"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IX. Asesorar y formular opiniones a la Secretaría cuando sean requeridos para ello;</w:t>
      </w:r>
    </w:p>
    <w:p w14:paraId="58B4DBE6"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 Asesorar y opinar en asuntos relacionados con el área de su especialización, cuando le sea solicitado por instituciones públicas de salud en el territorio del Estado;</w:t>
      </w:r>
    </w:p>
    <w:p w14:paraId="2D64D9A7"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XI. Promover acciones para la prevención de la salud, y en lo relativo a padecimientos propios de sus especialidades;</w:t>
      </w:r>
    </w:p>
    <w:p w14:paraId="10FEA001"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XII. Regular los procedimientos de selección e ingresos de los interesados en estudios de postgrado y establecer las normas para su permanencia en el Instituto de acuerdo a las disposiciones aplicables;</w:t>
      </w:r>
    </w:p>
    <w:p w14:paraId="134D1305"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XIII. Estimular al personal directivo, docente, médico y de apoyo para su superación permanente, favoreciendo la formación profesional;</w:t>
      </w:r>
    </w:p>
    <w:p w14:paraId="0EDF5354"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lastRenderedPageBreak/>
        <w:t>XIV. Fortalecer el tercer nivel de atención en las áreas de su especialización;</w:t>
      </w:r>
    </w:p>
    <w:p w14:paraId="288C6CF2"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XV. Contribuir en el abatimiento de los índices de morbilidad y mortalidad en sus áreas de especialización;</w:t>
      </w:r>
    </w:p>
    <w:p w14:paraId="2E3C58EE"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XVI. Actuar como órgano de consulta técnica y normativa en su materia, de las dependencias y organismos auxiliares del Gobierno del Estado de México;</w:t>
      </w:r>
    </w:p>
    <w:p w14:paraId="5C2C7435"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XVII. Prestar consultoría a título oneroso a personas de derecho privado;</w:t>
      </w:r>
    </w:p>
    <w:p w14:paraId="3072F59D" w14:textId="77777777"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XVIII. Coadyuvar con la Secretaría de Salud en la actualización de las estadísticas sobre la situación sanitaria de la entidad, respecto a la materia de su especialización;</w:t>
      </w:r>
    </w:p>
    <w:p w14:paraId="35558C3B" w14:textId="45455224" w:rsidR="00971DAA" w:rsidRPr="00971DAA" w:rsidRDefault="00971DAA" w:rsidP="00971DAA">
      <w:pPr>
        <w:pStyle w:val="Prrafodelista"/>
        <w:ind w:left="425" w:right="476"/>
        <w:jc w:val="both"/>
        <w:rPr>
          <w:rFonts w:ascii="Palatino Linotype" w:eastAsia="MS Gothic" w:hAnsi="Palatino Linotype"/>
          <w:i/>
        </w:rPr>
      </w:pPr>
      <w:r w:rsidRPr="00971DAA">
        <w:rPr>
          <w:rFonts w:ascii="Palatino Linotype" w:eastAsia="MS Gothic" w:hAnsi="Palatino Linotype"/>
          <w:i/>
        </w:rPr>
        <w:t>XIX. Realizar las demás actividades que les correspondan para el cumplimiento de su objeto conforme al presente ordenamiento y otras disposiciones aplicables.</w:t>
      </w:r>
    </w:p>
    <w:p w14:paraId="2DF18375" w14:textId="77777777" w:rsidR="00971DAA" w:rsidRDefault="00971DAA" w:rsidP="00971DAA">
      <w:pPr>
        <w:pStyle w:val="Prrafodelista"/>
        <w:spacing w:line="360" w:lineRule="auto"/>
        <w:ind w:left="0"/>
        <w:jc w:val="both"/>
        <w:rPr>
          <w:rFonts w:ascii="Palatino Linotype" w:eastAsia="MS Gothic" w:hAnsi="Palatino Linotype"/>
        </w:rPr>
      </w:pPr>
    </w:p>
    <w:p w14:paraId="35561902" w14:textId="4D9329A2" w:rsidR="00971DAA" w:rsidRDefault="002128CB" w:rsidP="002128CB">
      <w:pPr>
        <w:pStyle w:val="Prrafodelista"/>
        <w:numPr>
          <w:ilvl w:val="0"/>
          <w:numId w:val="7"/>
        </w:numPr>
        <w:spacing w:line="360" w:lineRule="auto"/>
        <w:ind w:left="0" w:firstLine="0"/>
        <w:jc w:val="both"/>
        <w:rPr>
          <w:rFonts w:ascii="Palatino Linotype" w:eastAsia="MS Gothic" w:hAnsi="Palatino Linotype"/>
        </w:rPr>
      </w:pPr>
      <w:r w:rsidRPr="002128CB">
        <w:rPr>
          <w:rFonts w:ascii="Palatino Linotype" w:eastAsia="MS Gothic" w:hAnsi="Palatino Linotype"/>
        </w:rPr>
        <w:t xml:space="preserve">Por su parte el </w:t>
      </w:r>
      <w:r w:rsidRPr="002128CB">
        <w:rPr>
          <w:rFonts w:ascii="Palatino Linotype" w:eastAsiaTheme="minorEastAsia" w:hAnsi="Palatino Linotype"/>
          <w:lang w:val="es-ES_tradnl"/>
        </w:rPr>
        <w:t>Ayuntamiento</w:t>
      </w:r>
      <w:r w:rsidRPr="002128CB">
        <w:rPr>
          <w:rFonts w:ascii="Palatino Linotype" w:eastAsia="MS Gothic" w:hAnsi="Palatino Linotype"/>
        </w:rPr>
        <w:t xml:space="preserve"> de San Felipe del Progreso, es </w:t>
      </w:r>
      <w:r w:rsidR="00732BA7">
        <w:rPr>
          <w:rFonts w:ascii="Palatino Linotype" w:eastAsia="MS Gothic" w:hAnsi="Palatino Linotype"/>
        </w:rPr>
        <w:t>aquel</w:t>
      </w:r>
      <w:r w:rsidRPr="002128CB">
        <w:rPr>
          <w:rFonts w:ascii="Palatino Linotype" w:eastAsia="MS Gothic" w:hAnsi="Palatino Linotype"/>
        </w:rPr>
        <w:t xml:space="preserve"> ente autónomo</w:t>
      </w:r>
      <w:r w:rsidR="00732BA7">
        <w:rPr>
          <w:rFonts w:ascii="Palatino Linotype" w:eastAsia="MS Gothic" w:hAnsi="Palatino Linotype"/>
        </w:rPr>
        <w:t xml:space="preserve">, </w:t>
      </w:r>
      <w:r w:rsidRPr="002128CB">
        <w:rPr>
          <w:rFonts w:ascii="Palatino Linotype" w:eastAsia="MS Gothic" w:hAnsi="Palatino Linotype"/>
        </w:rPr>
        <w:t>organismo máximo de gobierno en el Municipio de San Felipe del Progreso, como se desprende del artículo</w:t>
      </w:r>
      <w:r>
        <w:rPr>
          <w:rFonts w:ascii="Palatino Linotype" w:eastAsia="MS Gothic" w:hAnsi="Palatino Linotype"/>
        </w:rPr>
        <w:t xml:space="preserve"> 11</w:t>
      </w:r>
      <w:r w:rsidRPr="002128CB">
        <w:rPr>
          <w:rFonts w:ascii="Palatino Linotype" w:eastAsia="MS Gothic" w:hAnsi="Palatino Linotype"/>
        </w:rPr>
        <w:t xml:space="preserve"> de</w:t>
      </w:r>
      <w:r>
        <w:rPr>
          <w:rFonts w:ascii="Palatino Linotype" w:eastAsia="MS Gothic" w:hAnsi="Palatino Linotype"/>
        </w:rPr>
        <w:t xml:space="preserve"> su</w:t>
      </w:r>
      <w:r w:rsidRPr="002128CB">
        <w:rPr>
          <w:rFonts w:ascii="Palatino Linotype" w:eastAsia="MS Gothic" w:hAnsi="Palatino Linotype"/>
        </w:rPr>
        <w:t xml:space="preserve"> vigente Bando Municipal; y que es del tenor literal siguiente:</w:t>
      </w:r>
    </w:p>
    <w:p w14:paraId="145FF6B0" w14:textId="0E2FF49F" w:rsidR="002128CB" w:rsidRDefault="002128CB" w:rsidP="002128CB">
      <w:pPr>
        <w:pStyle w:val="Prrafodelista"/>
        <w:spacing w:line="360" w:lineRule="auto"/>
        <w:ind w:left="0"/>
        <w:jc w:val="both"/>
        <w:rPr>
          <w:rFonts w:ascii="Palatino Linotype" w:eastAsia="MS Gothic" w:hAnsi="Palatino Linotype"/>
        </w:rPr>
      </w:pPr>
    </w:p>
    <w:p w14:paraId="5B37410F" w14:textId="28DA45B9" w:rsidR="002128CB" w:rsidRDefault="002128CB" w:rsidP="002128CB">
      <w:pPr>
        <w:spacing w:line="360" w:lineRule="auto"/>
        <w:jc w:val="center"/>
        <w:rPr>
          <w:rFonts w:ascii="Palatino Linotype" w:eastAsia="MS Gothic" w:hAnsi="Palatino Linotype"/>
        </w:rPr>
      </w:pPr>
      <w:r w:rsidRPr="002128CB">
        <w:rPr>
          <w:rFonts w:ascii="Palatino Linotype" w:eastAsia="MS Gothic" w:hAnsi="Palatino Linotype"/>
          <w:noProof/>
        </w:rPr>
        <w:drawing>
          <wp:inline distT="0" distB="0" distL="0" distR="0" wp14:anchorId="58B18540" wp14:editId="40A1A5BC">
            <wp:extent cx="4995081" cy="2925383"/>
            <wp:effectExtent l="19050" t="19050" r="15240"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8215" cy="2927219"/>
                    </a:xfrm>
                    <a:prstGeom prst="rect">
                      <a:avLst/>
                    </a:prstGeom>
                    <a:ln>
                      <a:solidFill>
                        <a:schemeClr val="tx1"/>
                      </a:solidFill>
                    </a:ln>
                  </pic:spPr>
                </pic:pic>
              </a:graphicData>
            </a:graphic>
          </wp:inline>
        </w:drawing>
      </w:r>
    </w:p>
    <w:p w14:paraId="02876656" w14:textId="77777777" w:rsidR="003F6E22" w:rsidRDefault="003F6E22" w:rsidP="002436F5">
      <w:pPr>
        <w:spacing w:line="360" w:lineRule="auto"/>
        <w:rPr>
          <w:rFonts w:ascii="Palatino Linotype" w:eastAsia="MS Gothic" w:hAnsi="Palatino Linotype"/>
        </w:rPr>
      </w:pPr>
    </w:p>
    <w:p w14:paraId="5C69D2A8" w14:textId="3B6D270B" w:rsidR="003F6E22" w:rsidRDefault="003F6E22" w:rsidP="00732BA7">
      <w:pPr>
        <w:pStyle w:val="Prrafodelista"/>
        <w:numPr>
          <w:ilvl w:val="0"/>
          <w:numId w:val="7"/>
        </w:numPr>
        <w:spacing w:line="360" w:lineRule="auto"/>
        <w:ind w:left="0" w:firstLine="0"/>
        <w:jc w:val="both"/>
        <w:rPr>
          <w:rFonts w:ascii="Palatino Linotype" w:eastAsia="MS Gothic" w:hAnsi="Palatino Linotype"/>
        </w:rPr>
      </w:pPr>
      <w:r w:rsidRPr="003F6E22">
        <w:rPr>
          <w:rFonts w:ascii="Palatino Linotype" w:eastAsia="MS Gothic" w:hAnsi="Palatino Linotype"/>
        </w:rPr>
        <w:lastRenderedPageBreak/>
        <w:t xml:space="preserve">En ese contexto la </w:t>
      </w:r>
      <w:r>
        <w:rPr>
          <w:rFonts w:ascii="Palatino Linotype" w:eastAsia="MS Gothic" w:hAnsi="Palatino Linotype"/>
        </w:rPr>
        <w:t>Ley Orgánica Municipal del Estado D</w:t>
      </w:r>
      <w:r w:rsidRPr="003F6E22">
        <w:rPr>
          <w:rFonts w:ascii="Palatino Linotype" w:eastAsia="MS Gothic" w:hAnsi="Palatino Linotype"/>
        </w:rPr>
        <w:t>e México, establece que los municipios se regularan conforme a los bandos municipales que emitan, como se aprecia:</w:t>
      </w:r>
    </w:p>
    <w:p w14:paraId="1B1230D0" w14:textId="77777777" w:rsidR="00732BA7" w:rsidRDefault="00732BA7" w:rsidP="00732BA7">
      <w:pPr>
        <w:keepNext/>
        <w:keepLines/>
        <w:ind w:left="284" w:right="476"/>
        <w:jc w:val="both"/>
        <w:outlineLvl w:val="0"/>
        <w:rPr>
          <w:rFonts w:ascii="Palatino Linotype" w:eastAsia="MS Gothic" w:hAnsi="Palatino Linotype"/>
          <w:i/>
          <w:lang w:val="es-ES" w:eastAsia="es-ES"/>
        </w:rPr>
      </w:pPr>
    </w:p>
    <w:p w14:paraId="430A21CA" w14:textId="1A71C24F" w:rsidR="00971DAA" w:rsidRDefault="003F6E22" w:rsidP="002436F5">
      <w:pPr>
        <w:keepNext/>
        <w:keepLines/>
        <w:ind w:left="426" w:right="476"/>
        <w:jc w:val="both"/>
        <w:outlineLvl w:val="0"/>
        <w:rPr>
          <w:rFonts w:ascii="Palatino Linotype" w:eastAsia="MS Gothic" w:hAnsi="Palatino Linotype"/>
          <w:i/>
          <w:lang w:val="es-ES" w:eastAsia="es-ES"/>
        </w:rPr>
      </w:pPr>
      <w:r>
        <w:rPr>
          <w:rFonts w:ascii="Palatino Linotype" w:eastAsia="MS Gothic" w:hAnsi="Palatino Linotype"/>
          <w:i/>
          <w:lang w:val="es-ES" w:eastAsia="es-ES"/>
        </w:rPr>
        <w:t>“</w:t>
      </w:r>
      <w:r w:rsidRPr="003F6E22">
        <w:rPr>
          <w:rFonts w:ascii="Palatino Linotype" w:eastAsia="MS Gothic" w:hAnsi="Palatino Linotype"/>
          <w:i/>
          <w:lang w:val="es-ES" w:eastAsia="es-ES"/>
        </w:rPr>
        <w:t>Artículo 3.- Los municipios del Estado regularán su funcionamiento de conformidad con lo que establece esta Ley, los Bandos municipales, reglamentos y demás disposiciones legales aplicables.</w:t>
      </w:r>
      <w:r>
        <w:rPr>
          <w:rFonts w:ascii="Palatino Linotype" w:eastAsia="MS Gothic" w:hAnsi="Palatino Linotype"/>
          <w:i/>
          <w:lang w:val="es-ES" w:eastAsia="es-ES"/>
        </w:rPr>
        <w:t>”</w:t>
      </w:r>
    </w:p>
    <w:p w14:paraId="4B356B2A" w14:textId="77777777" w:rsidR="003F6E22" w:rsidRDefault="003F6E22" w:rsidP="003F6E22">
      <w:pPr>
        <w:keepNext/>
        <w:keepLines/>
        <w:ind w:right="474"/>
        <w:outlineLvl w:val="0"/>
        <w:rPr>
          <w:rFonts w:ascii="Palatino Linotype" w:eastAsia="MS Gothic" w:hAnsi="Palatino Linotype"/>
          <w:i/>
          <w:lang w:val="es-ES" w:eastAsia="es-ES"/>
        </w:rPr>
      </w:pPr>
    </w:p>
    <w:p w14:paraId="5B5D085E" w14:textId="3BC906B3" w:rsidR="003F6E22" w:rsidRDefault="003F6E22" w:rsidP="003F6E22">
      <w:pPr>
        <w:pStyle w:val="Prrafodelista"/>
        <w:numPr>
          <w:ilvl w:val="0"/>
          <w:numId w:val="7"/>
        </w:numPr>
        <w:spacing w:line="360" w:lineRule="auto"/>
        <w:ind w:left="0" w:firstLine="0"/>
        <w:jc w:val="both"/>
        <w:rPr>
          <w:rFonts w:ascii="Palatino Linotype" w:eastAsia="MS Gothic" w:hAnsi="Palatino Linotype"/>
        </w:rPr>
      </w:pPr>
      <w:r>
        <w:rPr>
          <w:rFonts w:ascii="Palatino Linotype" w:eastAsia="MS Gothic" w:hAnsi="Palatino Linotype"/>
        </w:rPr>
        <w:t>En esa tesitura, el vigente Bando Municipal de San Felipe del Progreso, en materia de salud, establece la siguiente competencia:</w:t>
      </w:r>
    </w:p>
    <w:p w14:paraId="05D037B3" w14:textId="77777777" w:rsidR="003F6E22" w:rsidRDefault="003F6E22" w:rsidP="003F6E22">
      <w:pPr>
        <w:pStyle w:val="Prrafodelista"/>
        <w:spacing w:line="360" w:lineRule="auto"/>
        <w:ind w:left="0"/>
        <w:jc w:val="both"/>
        <w:rPr>
          <w:rFonts w:ascii="Palatino Linotype" w:eastAsia="MS Gothic" w:hAnsi="Palatino Linotype"/>
        </w:rPr>
      </w:pPr>
    </w:p>
    <w:p w14:paraId="1FF57E22" w14:textId="7992518B" w:rsidR="003F6E22" w:rsidRDefault="003F6E22" w:rsidP="003F6E22">
      <w:pPr>
        <w:pStyle w:val="Prrafodelista"/>
        <w:spacing w:line="360" w:lineRule="auto"/>
        <w:ind w:left="0"/>
        <w:jc w:val="right"/>
        <w:rPr>
          <w:rFonts w:ascii="Palatino Linotype" w:eastAsia="MS Gothic" w:hAnsi="Palatino Linotype"/>
        </w:rPr>
      </w:pPr>
      <w:r w:rsidRPr="003F6E22">
        <w:rPr>
          <w:rFonts w:ascii="Palatino Linotype" w:eastAsia="MS Gothic" w:hAnsi="Palatino Linotype"/>
          <w:noProof/>
          <w:lang w:val="es-MX" w:eastAsia="es-MX"/>
        </w:rPr>
        <w:drawing>
          <wp:inline distT="0" distB="0" distL="0" distR="0" wp14:anchorId="7D4F3987" wp14:editId="3F3A0012">
            <wp:extent cx="5227093" cy="2881466"/>
            <wp:effectExtent l="19050" t="19050" r="12065"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9651" cy="2882876"/>
                    </a:xfrm>
                    <a:prstGeom prst="rect">
                      <a:avLst/>
                    </a:prstGeom>
                    <a:ln>
                      <a:solidFill>
                        <a:schemeClr val="tx1"/>
                      </a:solidFill>
                    </a:ln>
                  </pic:spPr>
                </pic:pic>
              </a:graphicData>
            </a:graphic>
          </wp:inline>
        </w:drawing>
      </w:r>
    </w:p>
    <w:p w14:paraId="2DB90750" w14:textId="77777777" w:rsidR="003F6E22" w:rsidRDefault="003F6E22" w:rsidP="003F6E22">
      <w:pPr>
        <w:pStyle w:val="Prrafodelista"/>
        <w:spacing w:line="360" w:lineRule="auto"/>
        <w:ind w:left="0"/>
        <w:rPr>
          <w:rFonts w:ascii="Palatino Linotype" w:eastAsia="MS Gothic" w:hAnsi="Palatino Linotype"/>
        </w:rPr>
      </w:pPr>
    </w:p>
    <w:p w14:paraId="69ABC7D0" w14:textId="6E7D6328" w:rsidR="00036988" w:rsidRDefault="00036988" w:rsidP="00036988">
      <w:pPr>
        <w:pStyle w:val="Prrafodelista"/>
        <w:numPr>
          <w:ilvl w:val="0"/>
          <w:numId w:val="7"/>
        </w:numPr>
        <w:spacing w:line="360" w:lineRule="auto"/>
        <w:ind w:left="0" w:firstLine="0"/>
        <w:jc w:val="both"/>
        <w:rPr>
          <w:rFonts w:ascii="Palatino Linotype" w:hAnsi="Palatino Linotype" w:cs="Arial"/>
        </w:rPr>
      </w:pPr>
      <w:r w:rsidRPr="00073F8F">
        <w:rPr>
          <w:rFonts w:ascii="Palatino Linotype" w:hAnsi="Palatino Linotype" w:cs="Arial"/>
        </w:rPr>
        <w:t xml:space="preserve">Con lo cual, queda de manifiesto que el </w:t>
      </w:r>
      <w:r w:rsidRPr="00073F8F">
        <w:rPr>
          <w:rFonts w:ascii="Palatino Linotype" w:hAnsi="Palatino Linotype" w:cs="Arial"/>
          <w:b/>
        </w:rPr>
        <w:t xml:space="preserve">SUJETO OBLIGADO </w:t>
      </w:r>
      <w:r>
        <w:rPr>
          <w:rFonts w:ascii="Palatino Linotype" w:hAnsi="Palatino Linotype" w:cs="Arial"/>
        </w:rPr>
        <w:t xml:space="preserve">no </w:t>
      </w:r>
      <w:r w:rsidRPr="00073F8F">
        <w:rPr>
          <w:rFonts w:ascii="Palatino Linotype" w:hAnsi="Palatino Linotype" w:cs="Arial"/>
        </w:rPr>
        <w:t xml:space="preserve">tiene </w:t>
      </w:r>
      <w:r w:rsidRPr="00036988">
        <w:rPr>
          <w:rFonts w:ascii="Palatino Linotype" w:eastAsia="MS Gothic" w:hAnsi="Palatino Linotype"/>
        </w:rPr>
        <w:t>competencia</w:t>
      </w:r>
      <w:r w:rsidRPr="00073F8F">
        <w:rPr>
          <w:rFonts w:ascii="Palatino Linotype" w:hAnsi="Palatino Linotype" w:cs="Arial"/>
        </w:rPr>
        <w:t xml:space="preserve"> para atender l</w:t>
      </w:r>
      <w:r>
        <w:rPr>
          <w:rFonts w:ascii="Palatino Linotype" w:hAnsi="Palatino Linotype" w:cs="Arial"/>
        </w:rPr>
        <w:t>os</w:t>
      </w:r>
      <w:r w:rsidRPr="00073F8F">
        <w:rPr>
          <w:rFonts w:ascii="Palatino Linotype" w:hAnsi="Palatino Linotype" w:cs="Arial"/>
        </w:rPr>
        <w:t xml:space="preserve"> requerimiento</w:t>
      </w:r>
      <w:r>
        <w:rPr>
          <w:rFonts w:ascii="Palatino Linotype" w:hAnsi="Palatino Linotype" w:cs="Arial"/>
        </w:rPr>
        <w:t>s</w:t>
      </w:r>
      <w:r w:rsidRPr="00073F8F">
        <w:rPr>
          <w:rFonts w:ascii="Palatino Linotype" w:hAnsi="Palatino Linotype" w:cs="Arial"/>
        </w:rPr>
        <w:t xml:space="preserve"> señalados por el particular, por ende no se encuentra constreñido a entregar la información requerida ante la falta de </w:t>
      </w:r>
      <w:r w:rsidRPr="00073F8F">
        <w:rPr>
          <w:rFonts w:ascii="Palatino Linotype" w:hAnsi="Palatino Linotype" w:cs="Arial"/>
        </w:rPr>
        <w:lastRenderedPageBreak/>
        <w:t>atribuciones para generar, poseer o administrar lo solicitado. Resultando aplicable el criterio 13/17 emitido por el Pleno del Instituto Nacional de Transparencia, Acceso a la Información y Protección de Datos Personales, el cual, para pronta referencia se reproduce a continuación:</w:t>
      </w:r>
    </w:p>
    <w:p w14:paraId="7E1D769D" w14:textId="77777777" w:rsidR="00036988" w:rsidRPr="00B403AD" w:rsidRDefault="00036988" w:rsidP="00036988">
      <w:pPr>
        <w:pStyle w:val="Prrafodelista"/>
        <w:rPr>
          <w:rFonts w:ascii="Palatino Linotype" w:hAnsi="Palatino Linotype" w:cs="Arial"/>
        </w:rPr>
      </w:pPr>
    </w:p>
    <w:p w14:paraId="4B5C4F22" w14:textId="77777777" w:rsidR="00036988" w:rsidRDefault="00036988" w:rsidP="00732BA7">
      <w:pPr>
        <w:pStyle w:val="Prrafodelista"/>
        <w:ind w:left="567" w:right="616"/>
        <w:jc w:val="both"/>
        <w:rPr>
          <w:rFonts w:ascii="Palatino Linotype" w:hAnsi="Palatino Linotype" w:cs="Arial"/>
          <w:i/>
        </w:rPr>
      </w:pPr>
      <w:r w:rsidRPr="00073F8F">
        <w:rPr>
          <w:rFonts w:ascii="Palatino Linotype" w:hAnsi="Palatino Linotype" w:cs="Arial"/>
          <w:b/>
          <w:i/>
        </w:rPr>
        <w:t>“Incompetencia.</w:t>
      </w:r>
      <w:r w:rsidRPr="00073F8F">
        <w:rPr>
          <w:rFonts w:ascii="Palatino Linotype" w:hAnsi="Palatino Linotype" w:cs="Arial"/>
          <w:i/>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F54ACFC" w14:textId="77777777" w:rsidR="00036988" w:rsidRPr="00073F8F" w:rsidRDefault="00036988" w:rsidP="00036988">
      <w:pPr>
        <w:pStyle w:val="Prrafodelista"/>
        <w:ind w:left="360" w:right="851"/>
        <w:jc w:val="both"/>
        <w:rPr>
          <w:rFonts w:ascii="Palatino Linotype" w:hAnsi="Palatino Linotype" w:cs="Arial"/>
          <w:i/>
        </w:rPr>
      </w:pPr>
    </w:p>
    <w:p w14:paraId="5E7D0D05" w14:textId="4BEA8FA7" w:rsidR="00036988" w:rsidRDefault="00036988" w:rsidP="00036988">
      <w:pPr>
        <w:pStyle w:val="Prrafodelista"/>
        <w:numPr>
          <w:ilvl w:val="0"/>
          <w:numId w:val="7"/>
        </w:numPr>
        <w:spacing w:line="360" w:lineRule="auto"/>
        <w:ind w:left="0" w:firstLine="0"/>
        <w:jc w:val="both"/>
        <w:rPr>
          <w:rFonts w:ascii="Palatino Linotype" w:hAnsi="Palatino Linotype" w:cs="Arial"/>
        </w:rPr>
      </w:pPr>
      <w:r w:rsidRPr="00073F8F">
        <w:rPr>
          <w:rFonts w:ascii="Palatino Linotype" w:hAnsi="Palatino Linotype" w:cs="Arial"/>
        </w:rPr>
        <w:t xml:space="preserve">Una vez precisado lo anterior, es de mencionar que el artículo 167 de la Ley de Transparencia y Acceso a la Información Pública del Estado de México y Municipios, establece que cuando las unidades de transparencia determinen la notoria incompetencia para atender la solicitud de información, deberán comunicarlo al solicitante dentro de los </w:t>
      </w:r>
      <w:r w:rsidRPr="006C313B">
        <w:rPr>
          <w:rFonts w:ascii="Palatino Linotype" w:hAnsi="Palatino Linotype" w:cs="Arial"/>
          <w:b/>
        </w:rPr>
        <w:t>tres días hábiles posteriores a la recepción de la solicitud</w:t>
      </w:r>
      <w:r w:rsidRPr="00073F8F">
        <w:rPr>
          <w:rFonts w:ascii="Palatino Linotype" w:hAnsi="Palatino Linotype" w:cs="Arial"/>
        </w:rPr>
        <w:t xml:space="preserve">, circunstancia que en el presente asunto no sucedió, </w:t>
      </w:r>
      <w:r>
        <w:rPr>
          <w:rFonts w:ascii="Palatino Linotype" w:hAnsi="Palatino Linotype" w:cs="Arial"/>
        </w:rPr>
        <w:t>toda vez que la solicitud de información se interpuso el día veintitrés de marzo de dos mil veintitrés, debiéndose notificar la incompetencia a más tardar el día veintiocho del mismo mes y año; sin embargo la declinaci</w:t>
      </w:r>
      <w:r w:rsidR="00A37D32">
        <w:rPr>
          <w:rFonts w:ascii="Palatino Linotype" w:hAnsi="Palatino Linotype" w:cs="Arial"/>
        </w:rPr>
        <w:t>ón d</w:t>
      </w:r>
      <w:r>
        <w:rPr>
          <w:rFonts w:ascii="Palatino Linotype" w:hAnsi="Palatino Linotype" w:cs="Arial"/>
        </w:rPr>
        <w:t xml:space="preserve">e incompetencia se realizó el día once de abril de de dos mil </w:t>
      </w:r>
      <w:r w:rsidR="00A37D32">
        <w:rPr>
          <w:rFonts w:ascii="Palatino Linotype" w:hAnsi="Palatino Linotype" w:cs="Arial"/>
        </w:rPr>
        <w:t>veintitrés superando el lapso temporal establecido</w:t>
      </w:r>
      <w:r>
        <w:rPr>
          <w:rFonts w:ascii="Palatino Linotype" w:hAnsi="Palatino Linotype" w:cs="Arial"/>
        </w:rPr>
        <w:t xml:space="preserve">, </w:t>
      </w:r>
      <w:r w:rsidRPr="00073F8F">
        <w:rPr>
          <w:rFonts w:ascii="Palatino Linotype" w:hAnsi="Palatino Linotype" w:cs="Arial"/>
        </w:rPr>
        <w:t>actualizándose así lo previsto en la fracción II del artículo 49 de la Ley de la Materia, que se lee a continuación:</w:t>
      </w:r>
    </w:p>
    <w:p w14:paraId="3EC65CA5" w14:textId="77777777" w:rsidR="00036988" w:rsidRDefault="00036988" w:rsidP="00036988">
      <w:pPr>
        <w:pStyle w:val="Prrafodelista"/>
        <w:ind w:left="360" w:right="851"/>
        <w:jc w:val="both"/>
        <w:rPr>
          <w:rFonts w:ascii="Palatino Linotype" w:hAnsi="Palatino Linotype" w:cs="Arial"/>
          <w:b/>
          <w:i/>
        </w:rPr>
      </w:pPr>
    </w:p>
    <w:p w14:paraId="2E4652A5" w14:textId="77777777" w:rsidR="00036988" w:rsidRPr="00073F8F" w:rsidRDefault="00036988" w:rsidP="00036988">
      <w:pPr>
        <w:pStyle w:val="Prrafodelista"/>
        <w:ind w:left="360" w:right="851"/>
        <w:jc w:val="both"/>
        <w:rPr>
          <w:rFonts w:ascii="Palatino Linotype" w:hAnsi="Palatino Linotype" w:cs="Arial"/>
          <w:i/>
        </w:rPr>
      </w:pPr>
      <w:r w:rsidRPr="00073F8F">
        <w:rPr>
          <w:rFonts w:ascii="Palatino Linotype" w:hAnsi="Palatino Linotype" w:cs="Arial"/>
          <w:b/>
          <w:i/>
        </w:rPr>
        <w:t>“Artículo 49.</w:t>
      </w:r>
      <w:r w:rsidRPr="00073F8F">
        <w:rPr>
          <w:rFonts w:ascii="Palatino Linotype" w:hAnsi="Palatino Linotype" w:cs="Arial"/>
          <w:i/>
        </w:rPr>
        <w:t xml:space="preserve"> Los Comités de Transparencia tendrán las siguientes atribuciones: </w:t>
      </w:r>
    </w:p>
    <w:p w14:paraId="5ADD6113" w14:textId="77777777" w:rsidR="00036988" w:rsidRPr="00073F8F" w:rsidRDefault="00036988" w:rsidP="00036988">
      <w:pPr>
        <w:pStyle w:val="Prrafodelista"/>
        <w:ind w:left="360" w:right="851"/>
        <w:jc w:val="both"/>
        <w:rPr>
          <w:rFonts w:ascii="Palatino Linotype" w:hAnsi="Palatino Linotype" w:cs="Arial"/>
          <w:b/>
          <w:i/>
        </w:rPr>
      </w:pPr>
      <w:r w:rsidRPr="00073F8F">
        <w:rPr>
          <w:rFonts w:ascii="Palatino Linotype" w:hAnsi="Palatino Linotype" w:cs="Arial"/>
          <w:b/>
          <w:i/>
        </w:rPr>
        <w:t>(…)</w:t>
      </w:r>
    </w:p>
    <w:p w14:paraId="79E20DA2" w14:textId="77777777" w:rsidR="00036988" w:rsidRPr="00073F8F" w:rsidRDefault="00036988" w:rsidP="00036988">
      <w:pPr>
        <w:pStyle w:val="Prrafodelista"/>
        <w:ind w:left="360" w:right="851"/>
        <w:jc w:val="both"/>
        <w:rPr>
          <w:rFonts w:ascii="Palatino Linotype" w:hAnsi="Palatino Linotype" w:cs="Arial"/>
          <w:i/>
        </w:rPr>
      </w:pPr>
      <w:r w:rsidRPr="00073F8F">
        <w:rPr>
          <w:rFonts w:ascii="Palatino Linotype" w:hAnsi="Palatino Linotype" w:cs="Arial"/>
          <w:i/>
        </w:rPr>
        <w:lastRenderedPageBreak/>
        <w:t>II. “</w:t>
      </w:r>
      <w:r w:rsidRPr="00073F8F">
        <w:rPr>
          <w:rFonts w:ascii="Palatino Linotype" w:hAnsi="Palatino Linotype" w:cs="Arial"/>
          <w:b/>
          <w:i/>
          <w:u w:val="single"/>
        </w:rPr>
        <w:t>Confirmar, modificar o revocar las determinaciones que en materia</w:t>
      </w:r>
      <w:r w:rsidRPr="00073F8F">
        <w:rPr>
          <w:rFonts w:ascii="Palatino Linotype" w:hAnsi="Palatino Linotype" w:cs="Arial"/>
          <w:i/>
        </w:rPr>
        <w:t xml:space="preserve"> de ampliación del plazo de respuesta, clasificación de la información y declaración de inexistencia o </w:t>
      </w:r>
      <w:r w:rsidRPr="00073F8F">
        <w:rPr>
          <w:rFonts w:ascii="Palatino Linotype" w:hAnsi="Palatino Linotype" w:cs="Arial"/>
          <w:b/>
          <w:i/>
          <w:u w:val="single"/>
        </w:rPr>
        <w:t>de incompetencia realicen los titulares de las áreas de los sujetos obligados</w:t>
      </w:r>
      <w:r w:rsidRPr="00073F8F">
        <w:rPr>
          <w:rFonts w:ascii="Palatino Linotype" w:hAnsi="Palatino Linotype" w:cs="Arial"/>
          <w:i/>
        </w:rPr>
        <w:t>.”</w:t>
      </w:r>
    </w:p>
    <w:p w14:paraId="70320A17" w14:textId="77777777" w:rsidR="00036988" w:rsidRPr="00073F8F" w:rsidRDefault="00036988" w:rsidP="00036988">
      <w:pPr>
        <w:pStyle w:val="Prrafodelista"/>
        <w:ind w:left="360" w:right="851"/>
        <w:jc w:val="both"/>
        <w:rPr>
          <w:rFonts w:ascii="Palatino Linotype" w:hAnsi="Palatino Linotype" w:cs="Arial"/>
          <w:i/>
        </w:rPr>
      </w:pPr>
      <w:r w:rsidRPr="00073F8F">
        <w:rPr>
          <w:rFonts w:ascii="Palatino Linotype" w:hAnsi="Palatino Linotype" w:cs="Arial"/>
          <w:i/>
        </w:rPr>
        <w:t>Énfasis añadido.</w:t>
      </w:r>
    </w:p>
    <w:p w14:paraId="5623F62E" w14:textId="77777777" w:rsidR="00A37D32" w:rsidRDefault="00A37D32" w:rsidP="00A37D32">
      <w:pPr>
        <w:pStyle w:val="Prrafodelista"/>
        <w:spacing w:line="360" w:lineRule="auto"/>
        <w:ind w:left="0"/>
        <w:jc w:val="both"/>
        <w:rPr>
          <w:rFonts w:ascii="Palatino Linotype" w:hAnsi="Palatino Linotype" w:cs="Arial"/>
        </w:rPr>
      </w:pPr>
    </w:p>
    <w:p w14:paraId="60713B29" w14:textId="77777777" w:rsidR="00036988" w:rsidRDefault="00036988" w:rsidP="00A37D32">
      <w:pPr>
        <w:pStyle w:val="Prrafodelista"/>
        <w:numPr>
          <w:ilvl w:val="0"/>
          <w:numId w:val="7"/>
        </w:numPr>
        <w:spacing w:line="360" w:lineRule="auto"/>
        <w:ind w:left="0" w:firstLine="0"/>
        <w:jc w:val="both"/>
        <w:rPr>
          <w:rFonts w:ascii="Palatino Linotype" w:hAnsi="Palatino Linotype" w:cs="Arial"/>
        </w:rPr>
      </w:pPr>
      <w:r w:rsidRPr="00073F8F">
        <w:rPr>
          <w:rFonts w:ascii="Palatino Linotype" w:hAnsi="Palatino Linotype" w:cs="Arial"/>
        </w:rPr>
        <w:t xml:space="preserve">En ese contexto, el Comité de Transparencia del </w:t>
      </w:r>
      <w:r w:rsidRPr="00073F8F">
        <w:rPr>
          <w:rFonts w:ascii="Palatino Linotype" w:hAnsi="Palatino Linotype" w:cs="Arial"/>
          <w:b/>
        </w:rPr>
        <w:t>Sujeto Obligado</w:t>
      </w:r>
      <w:r w:rsidRPr="00073F8F">
        <w:rPr>
          <w:rFonts w:ascii="Palatino Linotype" w:hAnsi="Palatino Linotype" w:cs="Arial"/>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expedites consagrados en el artículo 17 del mismo ordenamiento jurídico, al no garantizar la protección más amplia al derecho de acceso a la información de la particular, toda vez que del análisis realizado se determinó la incompetencia para atender el requerimiento. </w:t>
      </w:r>
    </w:p>
    <w:p w14:paraId="26F2560A" w14:textId="77777777" w:rsidR="00732BA7" w:rsidRDefault="00732BA7" w:rsidP="00732BA7">
      <w:pPr>
        <w:pStyle w:val="Prrafodelista"/>
        <w:spacing w:line="360" w:lineRule="auto"/>
        <w:ind w:left="0"/>
        <w:jc w:val="both"/>
        <w:rPr>
          <w:rFonts w:ascii="Palatino Linotype" w:hAnsi="Palatino Linotype" w:cs="Arial"/>
        </w:rPr>
      </w:pPr>
    </w:p>
    <w:p w14:paraId="3B4DFA66" w14:textId="02DD1878" w:rsidR="00FC6571" w:rsidRPr="0087196B" w:rsidRDefault="00732BA7" w:rsidP="001A7B01">
      <w:pPr>
        <w:pStyle w:val="Prrafodelista"/>
        <w:numPr>
          <w:ilvl w:val="0"/>
          <w:numId w:val="7"/>
        </w:numPr>
        <w:spacing w:line="360" w:lineRule="auto"/>
        <w:ind w:left="0" w:firstLine="0"/>
        <w:jc w:val="both"/>
        <w:rPr>
          <w:rFonts w:ascii="Palatino Linotype" w:eastAsia="Palatino Linotype" w:hAnsi="Palatino Linotype" w:cs="Palatino Linotype"/>
        </w:rPr>
      </w:pPr>
      <w:r w:rsidRPr="0087196B">
        <w:rPr>
          <w:rFonts w:ascii="Palatino Linotype" w:hAnsi="Palatino Linotype" w:cs="Arial"/>
        </w:rPr>
        <w:t xml:space="preserve">Seguidamente deviene la solicitud de </w:t>
      </w:r>
      <w:r w:rsidR="002552E1" w:rsidRPr="0087196B">
        <w:rPr>
          <w:rFonts w:ascii="Palatino Linotype" w:hAnsi="Palatino Linotype" w:cs="Arial"/>
        </w:rPr>
        <w:t>información número</w:t>
      </w:r>
      <w:r w:rsidRPr="0087196B">
        <w:rPr>
          <w:rFonts w:ascii="Palatino Linotype" w:hAnsi="Palatino Linotype" w:cs="Arial"/>
        </w:rPr>
        <w:t xml:space="preserve"> 00018/</w:t>
      </w:r>
      <w:r w:rsidRPr="000F784E">
        <w:rPr>
          <w:rFonts w:ascii="Palatino Linotype" w:hAnsi="Palatino Linotype" w:cs="Arial"/>
        </w:rPr>
        <w:t>FELIPRO/IP/2023</w:t>
      </w:r>
      <w:r w:rsidR="002552E1" w:rsidRPr="000F784E">
        <w:rPr>
          <w:rFonts w:ascii="Palatino Linotype" w:hAnsi="Palatino Linotype" w:cs="Arial"/>
        </w:rPr>
        <w:t>, en</w:t>
      </w:r>
      <w:r w:rsidR="00FC6571" w:rsidRPr="000F784E">
        <w:rPr>
          <w:rFonts w:ascii="Palatino Linotype" w:hAnsi="Palatino Linotype" w:cs="Arial"/>
        </w:rPr>
        <w:t xml:space="preserve"> la cual, como quedó</w:t>
      </w:r>
      <w:r w:rsidRPr="000F784E">
        <w:rPr>
          <w:rFonts w:ascii="Palatino Linotype" w:hAnsi="Palatino Linotype" w:cs="Arial"/>
        </w:rPr>
        <w:t xml:space="preserve"> de manifiesto en el apartado de antecedentes, </w:t>
      </w:r>
      <w:r w:rsidR="0087196B" w:rsidRPr="000F784E">
        <w:rPr>
          <w:rFonts w:ascii="Palatino Linotype" w:hAnsi="Palatino Linotype" w:cs="Arial"/>
        </w:rPr>
        <w:t>no existió ninguna respuesta</w:t>
      </w:r>
      <w:r w:rsidRPr="000F784E">
        <w:rPr>
          <w:rFonts w:ascii="Palatino Linotype" w:hAnsi="Palatino Linotype" w:cs="Arial"/>
        </w:rPr>
        <w:t>.</w:t>
      </w:r>
      <w:r w:rsidR="0087196B" w:rsidRPr="000F784E">
        <w:rPr>
          <w:rFonts w:ascii="Palatino Linotype" w:hAnsi="Palatino Linotype" w:cs="Arial"/>
        </w:rPr>
        <w:t xml:space="preserve"> </w:t>
      </w:r>
      <w:r w:rsidR="00FC6571" w:rsidRPr="000F784E">
        <w:rPr>
          <w:rFonts w:ascii="Palatino Linotype" w:hAnsi="Palatino Linotype" w:cs="Arial"/>
        </w:rPr>
        <w:t xml:space="preserve">No obstante, la ahora </w:t>
      </w:r>
      <w:r w:rsidR="00FC6571" w:rsidRPr="000F784E">
        <w:rPr>
          <w:rFonts w:ascii="Palatino Linotype" w:hAnsi="Palatino Linotype" w:cs="Arial"/>
          <w:b/>
        </w:rPr>
        <w:t>RECURRENTE</w:t>
      </w:r>
      <w:r w:rsidR="00FC6571" w:rsidRPr="000F784E">
        <w:rPr>
          <w:rFonts w:ascii="Palatino Linotype" w:hAnsi="Palatino Linotype" w:cs="Arial"/>
        </w:rPr>
        <w:t xml:space="preserve"> impugno la respuesta, lo cual resulta contradictorio, en virtud de no haber existido</w:t>
      </w:r>
      <w:r w:rsidR="00FC6571" w:rsidRPr="0087196B">
        <w:rPr>
          <w:rFonts w:ascii="Palatino Linotype" w:hAnsi="Palatino Linotype" w:cs="Arial"/>
        </w:rPr>
        <w:t xml:space="preserve"> respuesta alguna y haberse configurado la figura de negativa ficta</w:t>
      </w:r>
      <w:r w:rsidR="00FC6571" w:rsidRPr="0087196B">
        <w:rPr>
          <w:rFonts w:ascii="Palatino Linotype" w:eastAsia="Palatino Linotype" w:hAnsi="Palatino Linotype" w:cs="Palatino Linotype"/>
        </w:rPr>
        <w:t xml:space="preserve"> como se advierte de la siguiente captura de pantalla:</w:t>
      </w:r>
    </w:p>
    <w:p w14:paraId="4924804F" w14:textId="77777777" w:rsidR="00C70FA6" w:rsidRDefault="00C70FA6" w:rsidP="000F36FD">
      <w:pPr>
        <w:jc w:val="center"/>
        <w:rPr>
          <w:noProof/>
        </w:rPr>
      </w:pPr>
      <w:bookmarkStart w:id="19" w:name="_Toc536106972"/>
    </w:p>
    <w:p w14:paraId="1C28739A" w14:textId="77777777" w:rsidR="00C70FA6" w:rsidRDefault="00C70FA6" w:rsidP="000F36FD">
      <w:pPr>
        <w:jc w:val="center"/>
        <w:rPr>
          <w:noProof/>
        </w:rPr>
      </w:pPr>
    </w:p>
    <w:p w14:paraId="01D17080" w14:textId="2BBAAEFA" w:rsidR="000F36FD" w:rsidRPr="000F36FD" w:rsidRDefault="00C70FA6" w:rsidP="000F36FD">
      <w:pPr>
        <w:jc w:val="center"/>
        <w:rPr>
          <w:rFonts w:ascii="Palatino Linotype" w:hAnsi="Palatino Linotype" w:cs="Arial"/>
        </w:rPr>
      </w:pPr>
      <w:r>
        <w:rPr>
          <w:noProof/>
        </w:rPr>
        <w:lastRenderedPageBreak/>
        <w:drawing>
          <wp:inline distT="0" distB="0" distL="0" distR="0" wp14:anchorId="33D77C65" wp14:editId="71CE8DF2">
            <wp:extent cx="5384800" cy="109537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114" t="31579" r="34132" b="56937"/>
                    <a:stretch/>
                  </pic:blipFill>
                  <pic:spPr bwMode="auto">
                    <a:xfrm>
                      <a:off x="0" y="0"/>
                      <a:ext cx="5405330" cy="1099551"/>
                    </a:xfrm>
                    <a:prstGeom prst="rect">
                      <a:avLst/>
                    </a:prstGeom>
                    <a:ln>
                      <a:noFill/>
                    </a:ln>
                    <a:extLst>
                      <a:ext uri="{53640926-AAD7-44D8-BBD7-CCE9431645EC}">
                        <a14:shadowObscured xmlns:a14="http://schemas.microsoft.com/office/drawing/2010/main"/>
                      </a:ext>
                    </a:extLst>
                  </pic:spPr>
                </pic:pic>
              </a:graphicData>
            </a:graphic>
          </wp:inline>
        </w:drawing>
      </w:r>
    </w:p>
    <w:p w14:paraId="11684D6C" w14:textId="13BCF64D" w:rsidR="00823B97" w:rsidRDefault="00823B97" w:rsidP="0087196B">
      <w:pPr>
        <w:spacing w:line="360" w:lineRule="auto"/>
        <w:contextualSpacing/>
        <w:rPr>
          <w:rFonts w:ascii="Palatino Linotype" w:eastAsiaTheme="minorEastAsia" w:hAnsi="Palatino Linotype" w:cs="Arial"/>
          <w:lang w:val="es-ES_tradnl" w:eastAsia="es-ES"/>
        </w:rPr>
      </w:pPr>
    </w:p>
    <w:p w14:paraId="655B5950" w14:textId="48655B46" w:rsidR="00FC6571" w:rsidRPr="00E72A6C" w:rsidRDefault="000F784E"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Pr>
          <w:rFonts w:ascii="Palatino Linotype" w:hAnsi="Palatino Linotype"/>
          <w:color w:val="000000"/>
        </w:rPr>
        <w:t>Sin embargo</w:t>
      </w:r>
      <w:r w:rsidR="00E72A6C">
        <w:rPr>
          <w:rFonts w:ascii="Palatino Linotype" w:hAnsi="Palatino Linotype"/>
          <w:color w:val="000000"/>
        </w:rPr>
        <w:t xml:space="preserve"> no puede invocarse</w:t>
      </w:r>
      <w:r w:rsidR="00FC6571">
        <w:rPr>
          <w:rFonts w:ascii="Palatino Linotype" w:hAnsi="Palatino Linotype"/>
          <w:color w:val="000000"/>
        </w:rPr>
        <w:t xml:space="preserve"> la improcedencia de los motivos de inconformidad al no guardar relación con las constancias que obran en el expediente electrónico </w:t>
      </w:r>
      <w:r w:rsidR="00E72A6C">
        <w:rPr>
          <w:rFonts w:ascii="Palatino Linotype" w:hAnsi="Palatino Linotype"/>
          <w:color w:val="000000"/>
        </w:rPr>
        <w:t xml:space="preserve">en virtud que se advierte una trasgresión al derecho de la particular por la falta de respuesta lo que actualiza la figura de la </w:t>
      </w:r>
      <w:r w:rsidR="00E72A6C" w:rsidRPr="002436F5">
        <w:rPr>
          <w:rFonts w:ascii="Palatino Linotype" w:hAnsi="Palatino Linotype"/>
          <w:b/>
          <w:color w:val="000000"/>
        </w:rPr>
        <w:t>negativa ficta</w:t>
      </w:r>
      <w:r w:rsidR="00FC6571">
        <w:rPr>
          <w:rFonts w:ascii="Palatino Linotype" w:hAnsi="Palatino Linotype"/>
          <w:color w:val="000000"/>
        </w:rPr>
        <w:t>.</w:t>
      </w:r>
    </w:p>
    <w:p w14:paraId="791CE3CC" w14:textId="77777777" w:rsidR="00E72A6C" w:rsidRPr="00E72A6C" w:rsidRDefault="00E72A6C" w:rsidP="00E72A6C">
      <w:pPr>
        <w:pStyle w:val="Prrafodelista"/>
        <w:spacing w:line="360" w:lineRule="auto"/>
        <w:ind w:left="0"/>
        <w:jc w:val="both"/>
        <w:rPr>
          <w:rFonts w:ascii="Palatino Linotype" w:eastAsiaTheme="minorEastAsia" w:hAnsi="Palatino Linotype" w:cs="Arial"/>
          <w:lang w:val="es-ES_tradnl"/>
        </w:rPr>
      </w:pPr>
    </w:p>
    <w:p w14:paraId="544F5707" w14:textId="3435B5EE" w:rsidR="00E72A6C" w:rsidRPr="00745D07" w:rsidRDefault="002436F5" w:rsidP="00E72A6C">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rPr>
        <w:t xml:space="preserve">En ese sentido, es dable realizar los siguientes pronunciamientos. </w:t>
      </w:r>
      <w:r w:rsidR="00E72A6C"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00E72A6C"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02CA8189" w14:textId="77777777" w:rsidR="00E72A6C" w:rsidRPr="00745D07" w:rsidRDefault="00E72A6C" w:rsidP="00E72A6C">
      <w:pPr>
        <w:pStyle w:val="Prrafodelista"/>
        <w:spacing w:line="360" w:lineRule="auto"/>
        <w:ind w:left="0"/>
        <w:jc w:val="both"/>
        <w:rPr>
          <w:rFonts w:ascii="Palatino Linotype" w:hAnsi="Palatino Linotype"/>
          <w:b/>
          <w:i/>
        </w:rPr>
      </w:pPr>
    </w:p>
    <w:p w14:paraId="2DD81E04" w14:textId="77777777" w:rsidR="00E72A6C" w:rsidRPr="00791D91" w:rsidRDefault="00E72A6C" w:rsidP="00E72A6C">
      <w:pPr>
        <w:pStyle w:val="Prrafodelista"/>
        <w:numPr>
          <w:ilvl w:val="0"/>
          <w:numId w:val="7"/>
        </w:numPr>
        <w:spacing w:line="360" w:lineRule="auto"/>
        <w:ind w:left="0" w:firstLine="0"/>
        <w:jc w:val="both"/>
        <w:rPr>
          <w:rFonts w:ascii="Palatino Linotype" w:hAnsi="Palatino Linotype"/>
          <w:b/>
        </w:rPr>
      </w:pPr>
      <w:r w:rsidRPr="00745D0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704509A" w14:textId="77777777" w:rsidR="00E72A6C" w:rsidRPr="00791D91" w:rsidRDefault="00E72A6C" w:rsidP="00E72A6C">
      <w:pPr>
        <w:pStyle w:val="Prrafodelista"/>
        <w:rPr>
          <w:rFonts w:ascii="Palatino Linotype" w:hAnsi="Palatino Linotype"/>
          <w:b/>
        </w:rPr>
      </w:pPr>
    </w:p>
    <w:p w14:paraId="5B9509EC" w14:textId="77777777" w:rsidR="00E72A6C" w:rsidRDefault="00E72A6C" w:rsidP="00E72A6C">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2F30B935" w14:textId="77777777" w:rsidR="002436F5" w:rsidRPr="002436F5" w:rsidRDefault="002436F5" w:rsidP="002436F5">
      <w:pPr>
        <w:pStyle w:val="Prrafodelista"/>
        <w:rPr>
          <w:rFonts w:ascii="Palatino Linotype" w:hAnsi="Palatino Linotype"/>
        </w:rPr>
      </w:pPr>
    </w:p>
    <w:p w14:paraId="7FAA84BD" w14:textId="77777777" w:rsidR="00E72A6C" w:rsidRPr="00745D07" w:rsidRDefault="00E72A6C" w:rsidP="00E72A6C">
      <w:pPr>
        <w:pStyle w:val="Prrafodelista"/>
        <w:ind w:left="567"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4BB336FA" w14:textId="77777777" w:rsidR="00E72A6C" w:rsidRDefault="00E72A6C" w:rsidP="00E72A6C">
      <w:pPr>
        <w:pStyle w:val="Prrafodelista"/>
        <w:ind w:left="851" w:right="567"/>
        <w:jc w:val="both"/>
        <w:rPr>
          <w:rFonts w:ascii="Palatino Linotype" w:hAnsi="Palatino Linotype"/>
          <w:i/>
        </w:rPr>
      </w:pPr>
      <w:r w:rsidRPr="00745D07">
        <w:rPr>
          <w:rFonts w:ascii="Palatino Linotype" w:hAnsi="Palatino Linotype"/>
          <w:i/>
        </w:rPr>
        <w:t>(…)”</w:t>
      </w:r>
    </w:p>
    <w:p w14:paraId="3550F973" w14:textId="77777777" w:rsidR="00E72A6C" w:rsidRPr="00745D07" w:rsidRDefault="00E72A6C" w:rsidP="00E72A6C">
      <w:pPr>
        <w:pStyle w:val="Prrafodelista"/>
        <w:ind w:left="851" w:right="567"/>
        <w:jc w:val="both"/>
        <w:rPr>
          <w:rFonts w:ascii="Palatino Linotype" w:hAnsi="Palatino Linotype"/>
          <w:b/>
          <w:i/>
        </w:rPr>
      </w:pPr>
    </w:p>
    <w:p w14:paraId="7E7E8871" w14:textId="77777777" w:rsidR="00E72A6C" w:rsidRPr="00745D07" w:rsidRDefault="00E72A6C" w:rsidP="00E72A6C">
      <w:pPr>
        <w:pStyle w:val="Prrafodelista"/>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574544D2" w14:textId="77777777" w:rsidR="00E72A6C" w:rsidRPr="002436F5" w:rsidRDefault="00E72A6C" w:rsidP="002436F5">
      <w:pPr>
        <w:spacing w:line="360" w:lineRule="auto"/>
        <w:ind w:right="567"/>
        <w:rPr>
          <w:rFonts w:ascii="Palatino Linotype" w:hAnsi="Palatino Linotype"/>
        </w:rPr>
      </w:pPr>
    </w:p>
    <w:p w14:paraId="176E0A2D"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este caso, la solicitud de información que formuló </w:t>
      </w:r>
      <w:r>
        <w:rPr>
          <w:rFonts w:ascii="Palatino Linotype" w:eastAsiaTheme="minorEastAsia" w:hAnsi="Palatino Linotype" w:cs="Arial"/>
          <w:lang w:val="es-ES_tradnl"/>
        </w:rPr>
        <w:t>la particular</w:t>
      </w:r>
      <w:r w:rsidRPr="00745D07">
        <w:rPr>
          <w:rFonts w:ascii="Palatino Linotype" w:eastAsiaTheme="minorEastAsia" w:hAnsi="Palatino Linotype" w:cs="Arial"/>
          <w:lang w:val="es-ES_tradnl"/>
        </w:rPr>
        <w:t xml:space="preserve"> como parte de su </w:t>
      </w:r>
      <w:r w:rsidRPr="003D457D">
        <w:rPr>
          <w:rFonts w:ascii="Palatino Linotype" w:hAnsi="Palatino Linotype"/>
        </w:rPr>
        <w:t>derecho</w:t>
      </w:r>
      <w:r w:rsidRPr="00745D07">
        <w:rPr>
          <w:rFonts w:ascii="Palatino Linotype" w:eastAsiaTheme="minorEastAsia" w:hAnsi="Palatino Linotype" w:cs="Arial"/>
          <w:lang w:val="es-ES_tradnl"/>
        </w:rPr>
        <w:t xml:space="preserve"> de acceso a la información pública, no fue atendida, dado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emitir una respuesta.</w:t>
      </w:r>
    </w:p>
    <w:p w14:paraId="73892AAC" w14:textId="77777777" w:rsidR="00E72A6C" w:rsidRPr="00745D07" w:rsidRDefault="00E72A6C" w:rsidP="00E72A6C">
      <w:pPr>
        <w:spacing w:line="360" w:lineRule="auto"/>
        <w:contextualSpacing/>
        <w:jc w:val="both"/>
        <w:rPr>
          <w:rFonts w:ascii="Palatino Linotype" w:eastAsiaTheme="minorEastAsia" w:hAnsi="Palatino Linotype" w:cs="Arial"/>
          <w:lang w:val="es-ES_tradnl" w:eastAsia="es-ES"/>
        </w:rPr>
      </w:pPr>
    </w:p>
    <w:p w14:paraId="582EE482" w14:textId="0A9FF764" w:rsidR="00E72A6C" w:rsidRPr="000F36FD" w:rsidRDefault="00E72A6C" w:rsidP="005E450E">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está constreñido a dar atención a las solicitudes de información que a través del </w:t>
      </w:r>
      <w:r w:rsidRPr="00745D07">
        <w:rPr>
          <w:rFonts w:ascii="Palatino Linotype" w:eastAsiaTheme="minorEastAsia" w:hAnsi="Palatino Linotype" w:cs="Arial"/>
          <w:b/>
          <w:lang w:val="es-ES_tradnl"/>
        </w:rPr>
        <w:t>SAIMEX</w:t>
      </w:r>
      <w:r w:rsidRPr="00745D07">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45D07">
        <w:rPr>
          <w:rFonts w:ascii="Palatino Linotype" w:eastAsiaTheme="minorEastAsia" w:hAnsi="Palatino Linotype" w:cs="Arial"/>
          <w:b/>
          <w:lang w:val="es-ES_tradnl"/>
        </w:rPr>
        <w:t>SAIME</w:t>
      </w:r>
      <w:r w:rsidRPr="00745D07">
        <w:rPr>
          <w:rFonts w:ascii="Palatino Linotype" w:eastAsiaTheme="minorEastAsia" w:hAnsi="Palatino Linotype" w:cs="Arial"/>
          <w:lang w:val="es-ES_tradnl"/>
        </w:rPr>
        <w:t xml:space="preserve">X,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dar respu</w:t>
      </w:r>
      <w:r w:rsidR="005E450E">
        <w:rPr>
          <w:rFonts w:ascii="Palatino Linotype" w:eastAsiaTheme="minorEastAsia" w:hAnsi="Palatino Linotype" w:cs="Arial"/>
          <w:lang w:val="es-ES_tradnl"/>
        </w:rPr>
        <w:t>esta a la</w:t>
      </w:r>
      <w:r w:rsidRPr="00745D07">
        <w:rPr>
          <w:rFonts w:ascii="Palatino Linotype" w:eastAsiaTheme="minorEastAsia" w:hAnsi="Palatino Linotype" w:cs="Arial"/>
          <w:lang w:val="es-ES_tradnl"/>
        </w:rPr>
        <w:t xml:space="preserve"> solicitud</w:t>
      </w:r>
      <w:r w:rsidR="005E450E">
        <w:rPr>
          <w:rFonts w:ascii="Palatino Linotype" w:eastAsiaTheme="minorEastAsia" w:hAnsi="Palatino Linotype" w:cs="Arial"/>
          <w:lang w:val="es-ES_tradnl"/>
        </w:rPr>
        <w:t xml:space="preserve"> de referencia.</w:t>
      </w:r>
    </w:p>
    <w:p w14:paraId="1A014444"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hAnsi="Palatino Linotype"/>
          <w:lang w:val="es-ES_tradnl"/>
        </w:rPr>
        <w:lastRenderedPageBreak/>
        <w:t xml:space="preserve">Por lo tanto, al no haber atendido ninguno de los deberes establecidos por la norma </w:t>
      </w:r>
      <w:r w:rsidRPr="003D457D">
        <w:rPr>
          <w:rFonts w:ascii="Palatino Linotype" w:eastAsiaTheme="minorEastAsia" w:hAnsi="Palatino Linotype" w:cs="Arial"/>
          <w:lang w:val="es-ES_tradnl"/>
        </w:rPr>
        <w:t>para</w:t>
      </w:r>
      <w:r w:rsidRPr="00745D07">
        <w:rPr>
          <w:rFonts w:ascii="Palatino Linotype" w:hAnsi="Palatino Linotype"/>
          <w:lang w:val="es-ES_tradnl"/>
        </w:rPr>
        <w:t xml:space="preserve">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rPr>
        <w:t>tación al d</w:t>
      </w:r>
      <w:r w:rsidRPr="00745D07">
        <w:rPr>
          <w:rFonts w:ascii="Palatino Linotype" w:hAnsi="Palatino Linotype"/>
          <w:lang w:val="es-ES_tradnl"/>
        </w:rPr>
        <w:t>erecho.</w:t>
      </w:r>
    </w:p>
    <w:p w14:paraId="3DA4B3E7" w14:textId="77777777" w:rsidR="00E72A6C" w:rsidRPr="00745D07" w:rsidRDefault="00E72A6C" w:rsidP="00E72A6C">
      <w:pPr>
        <w:spacing w:line="360" w:lineRule="auto"/>
        <w:contextualSpacing/>
        <w:jc w:val="both"/>
        <w:rPr>
          <w:rFonts w:ascii="Palatino Linotype" w:eastAsiaTheme="minorEastAsia" w:hAnsi="Palatino Linotype" w:cs="Arial"/>
          <w:lang w:val="es-ES_tradnl" w:eastAsia="es-ES"/>
        </w:rPr>
      </w:pPr>
    </w:p>
    <w:p w14:paraId="72967E88" w14:textId="77777777" w:rsidR="00E72A6C" w:rsidRPr="00791D91" w:rsidRDefault="00E72A6C" w:rsidP="00E72A6C">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No sobra decir que, al actuar de esta forma, el </w:t>
      </w:r>
      <w:r w:rsidRPr="00745D07">
        <w:rPr>
          <w:rFonts w:ascii="Palatino Linotype" w:eastAsia="Calibri" w:hAnsi="Palatino Linotype"/>
          <w:b/>
        </w:rPr>
        <w:t>SUJETO OBLIGADO</w:t>
      </w:r>
      <w:r w:rsidRPr="00745D0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rPr>
        <w:t xml:space="preserve">en el ámbito de sus atribuciones, </w:t>
      </w:r>
      <w:r w:rsidRPr="00745D07">
        <w:rPr>
          <w:rFonts w:ascii="Palatino Linotype" w:eastAsia="Calibri" w:hAnsi="Palatino Linotype"/>
          <w:b/>
          <w:i/>
        </w:rPr>
        <w:t>de promover</w:t>
      </w:r>
      <w:r w:rsidRPr="00745D07">
        <w:rPr>
          <w:rFonts w:ascii="Palatino Linotype" w:eastAsia="Calibri" w:hAnsi="Palatino Linotype"/>
          <w:i/>
        </w:rPr>
        <w:t xml:space="preserve">, </w:t>
      </w:r>
      <w:r w:rsidRPr="00745D07">
        <w:rPr>
          <w:rFonts w:ascii="Palatino Linotype" w:eastAsia="Calibri" w:hAnsi="Palatino Linotype"/>
          <w:b/>
          <w:i/>
        </w:rPr>
        <w:t>respetar, proteger y</w:t>
      </w:r>
      <w:r w:rsidRPr="00745D07">
        <w:rPr>
          <w:rFonts w:ascii="Palatino Linotype" w:eastAsia="Calibri" w:hAnsi="Palatino Linotype"/>
          <w:i/>
        </w:rPr>
        <w:t xml:space="preserve"> </w:t>
      </w:r>
      <w:r w:rsidRPr="00745D07">
        <w:rPr>
          <w:rFonts w:ascii="Palatino Linotype" w:eastAsia="Calibri" w:hAnsi="Palatino Linotype"/>
          <w:b/>
          <w:i/>
        </w:rPr>
        <w:t>garantizar</w:t>
      </w:r>
      <w:r w:rsidRPr="00745D07">
        <w:rPr>
          <w:rFonts w:ascii="Palatino Linotype" w:eastAsia="Calibri" w:hAnsi="Palatino Linotype"/>
          <w:i/>
        </w:rPr>
        <w:t xml:space="preserve"> los derechos humanos.</w:t>
      </w:r>
      <w:r w:rsidRPr="00745D07">
        <w:rPr>
          <w:rFonts w:ascii="Palatino Linotype" w:eastAsia="Calibri" w:hAnsi="Palatino Linotype"/>
        </w:rPr>
        <w:t xml:space="preserve"> Por lo tanto, la falta de respuesta a una solicitud de acceso a la información constituye un incumplimiento del </w:t>
      </w:r>
      <w:r w:rsidRPr="00745D07">
        <w:rPr>
          <w:rFonts w:ascii="Palatino Linotype" w:eastAsia="Calibri" w:hAnsi="Palatino Linotype"/>
          <w:b/>
        </w:rPr>
        <w:t>SUJETO OBLIGADO</w:t>
      </w:r>
      <w:r w:rsidRPr="00745D07">
        <w:rPr>
          <w:rFonts w:ascii="Palatino Linotype" w:eastAsia="Calibri" w:hAnsi="Palatino Linotype"/>
        </w:rPr>
        <w:t xml:space="preserve"> a su deber de garantizar el derecho, lo que constituye una vulneración al mismo y resulta. </w:t>
      </w:r>
    </w:p>
    <w:p w14:paraId="12810A8A" w14:textId="77777777" w:rsidR="00E72A6C" w:rsidRDefault="00E72A6C" w:rsidP="00E72A6C">
      <w:pPr>
        <w:pStyle w:val="Prrafodelista"/>
        <w:rPr>
          <w:rFonts w:ascii="Palatino Linotype" w:hAnsi="Palatino Linotype" w:cs="Arial"/>
          <w:color w:val="000000"/>
        </w:rPr>
      </w:pPr>
    </w:p>
    <w:p w14:paraId="7B7E0F98"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A su vez, la </w:t>
      </w:r>
      <w:r w:rsidRPr="00745D07">
        <w:rPr>
          <w:rFonts w:ascii="Palatino Linotype" w:hAnsi="Palatino Linotype"/>
          <w:b/>
          <w:lang w:val="es-ES_tradnl"/>
        </w:rPr>
        <w:t xml:space="preserve">Ley de Transparencia y Acceso a la Información Pública del Estado de </w:t>
      </w:r>
      <w:r w:rsidRPr="000F36FD">
        <w:rPr>
          <w:rFonts w:ascii="Palatino Linotype" w:eastAsia="Calibri" w:hAnsi="Palatino Linotype"/>
        </w:rPr>
        <w:t>México</w:t>
      </w:r>
      <w:r w:rsidRPr="00745D07">
        <w:rPr>
          <w:rFonts w:ascii="Palatino Linotype" w:hAnsi="Palatino Linotype"/>
          <w:b/>
          <w:lang w:val="es-ES_tradnl"/>
        </w:rPr>
        <w:t xml:space="preserve"> y Municipios, </w:t>
      </w:r>
      <w:r w:rsidRPr="00745D0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rPr>
        <w:t xml:space="preserve"> </w:t>
      </w:r>
      <w:r w:rsidRPr="00745D07">
        <w:rPr>
          <w:rFonts w:ascii="Palatino Linotype" w:hAnsi="Palatino Linotype"/>
          <w:lang w:val="es-ES_tradnl"/>
        </w:rPr>
        <w:t xml:space="preserve">establece que </w:t>
      </w:r>
      <w:r w:rsidRPr="00745D07">
        <w:rPr>
          <w:rFonts w:ascii="Palatino Linotype" w:hAnsi="Palatino Linotype"/>
          <w:b/>
          <w:i/>
          <w:u w:val="single"/>
          <w:lang w:val="es-ES_tradnl"/>
        </w:rPr>
        <w:t>el recurso de revisión es la garantía secundaria</w:t>
      </w:r>
      <w:r w:rsidRPr="00745D07">
        <w:rPr>
          <w:rFonts w:ascii="Palatino Linotype" w:hAnsi="Palatino Linotype"/>
          <w:b/>
          <w:i/>
          <w:lang w:val="es-ES_tradnl"/>
        </w:rPr>
        <w:t xml:space="preserve"> mediante la cual se pretende reparar cualquier posible afectación al derecho de acceso a la información pública</w:t>
      </w:r>
      <w:r w:rsidRPr="00745D07">
        <w:rPr>
          <w:rFonts w:ascii="Palatino Linotype" w:hAnsi="Palatino Linotype"/>
          <w:b/>
          <w:lang w:val="es-ES_tradnl"/>
        </w:rPr>
        <w:t>, s</w:t>
      </w:r>
      <w:r w:rsidRPr="00745D07">
        <w:rPr>
          <w:rFonts w:ascii="Palatino Linotype" w:hAnsi="Palatino Linotype"/>
          <w:lang w:val="es-ES_tradnl"/>
        </w:rPr>
        <w:t xml:space="preserve">iendo éste el medio a través del cual, este Órgano Garante después de realizar el análisis al procedimiento de acceso a la información, </w:t>
      </w:r>
      <w:r w:rsidRPr="00745D07">
        <w:rPr>
          <w:rFonts w:ascii="Palatino Linotype" w:hAnsi="Palatino Linotype"/>
          <w:lang w:val="es-ES_tradnl"/>
        </w:rPr>
        <w:lastRenderedPageBreak/>
        <w:t xml:space="preserve">podrá determinar la posible afectación y de ser el caso ordenar la reparación a la violación del derecho en cuestión. </w:t>
      </w:r>
    </w:p>
    <w:p w14:paraId="2E2934A7" w14:textId="77777777" w:rsidR="00E72A6C" w:rsidRPr="00745D07" w:rsidRDefault="00E72A6C" w:rsidP="00E72A6C">
      <w:pPr>
        <w:spacing w:line="360" w:lineRule="auto"/>
        <w:contextualSpacing/>
        <w:jc w:val="both"/>
        <w:rPr>
          <w:rFonts w:ascii="Palatino Linotype" w:hAnsi="Palatino Linotype"/>
          <w:lang w:val="es-ES_tradnl" w:eastAsia="es-ES"/>
        </w:rPr>
      </w:pPr>
    </w:p>
    <w:p w14:paraId="7DD5BD03"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De acuerdo a lo dispuesto por el artículo 53 fracción II de la Ley de la materia, las </w:t>
      </w:r>
      <w:r w:rsidRPr="000F36FD">
        <w:rPr>
          <w:rFonts w:ascii="Palatino Linotype" w:hAnsi="Palatino Linotype"/>
          <w:lang w:val="es-ES_tradnl"/>
        </w:rPr>
        <w:t>unidades</w:t>
      </w:r>
      <w:r w:rsidRPr="00745D07">
        <w:rPr>
          <w:rFonts w:ascii="Palatino Linotype" w:eastAsia="Calibri" w:hAnsi="Palatino Linotype"/>
        </w:rPr>
        <w:t xml:space="preserve"> de transparencia tienen entre sus principales funciones la de recibir, tramitar y dar respuesta a las solicitudes de accesos a la información: </w:t>
      </w:r>
    </w:p>
    <w:p w14:paraId="0BC10DD6" w14:textId="77777777" w:rsidR="00E72A6C" w:rsidRPr="00745D07" w:rsidRDefault="00E72A6C" w:rsidP="00E72A6C">
      <w:pPr>
        <w:spacing w:line="360" w:lineRule="auto"/>
        <w:ind w:right="49"/>
        <w:contextualSpacing/>
        <w:jc w:val="both"/>
        <w:rPr>
          <w:rFonts w:ascii="Palatino Linotype" w:hAnsi="Palatino Linotype" w:cs="Arial"/>
          <w:color w:val="000000"/>
          <w:lang w:val="es-ES_tradnl" w:eastAsia="es-ES"/>
        </w:rPr>
      </w:pPr>
    </w:p>
    <w:p w14:paraId="083C7408" w14:textId="77777777" w:rsidR="00E72A6C" w:rsidRPr="00745D07" w:rsidRDefault="00E72A6C" w:rsidP="00E72A6C">
      <w:pPr>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123C0D9B" w14:textId="77777777" w:rsidR="00E72A6C" w:rsidRPr="00745D07" w:rsidRDefault="00E72A6C" w:rsidP="00E72A6C">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24E2BDB7" w14:textId="77777777" w:rsidR="00E72A6C" w:rsidRPr="00745D07" w:rsidRDefault="00E72A6C" w:rsidP="00E72A6C">
      <w:pPr>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2994D71F" w14:textId="77777777" w:rsidR="00E72A6C" w:rsidRPr="00745D07" w:rsidRDefault="00E72A6C" w:rsidP="00E72A6C">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4E0D783C" w14:textId="77777777" w:rsidR="00E72A6C" w:rsidRPr="002D2C83" w:rsidRDefault="00E72A6C" w:rsidP="00E72A6C">
      <w:pPr>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14:paraId="75CA6392" w14:textId="77777777" w:rsidR="00E72A6C" w:rsidRPr="00745D07" w:rsidRDefault="00E72A6C" w:rsidP="00E72A6C">
      <w:pPr>
        <w:spacing w:line="360" w:lineRule="auto"/>
        <w:contextualSpacing/>
        <w:jc w:val="both"/>
        <w:rPr>
          <w:rFonts w:ascii="Palatino Linotype" w:eastAsia="Calibri" w:hAnsi="Palatino Linotype"/>
          <w:lang w:val="es-ES_tradnl" w:eastAsia="es-ES"/>
        </w:rPr>
      </w:pPr>
    </w:p>
    <w:p w14:paraId="705AC6B5" w14:textId="35E27C43" w:rsidR="00E72A6C" w:rsidRPr="00745D07" w:rsidRDefault="00E72A6C" w:rsidP="00E72A6C">
      <w:pPr>
        <w:pStyle w:val="Prrafodelista"/>
        <w:numPr>
          <w:ilvl w:val="0"/>
          <w:numId w:val="7"/>
        </w:numPr>
        <w:spacing w:line="360" w:lineRule="auto"/>
        <w:ind w:left="0" w:firstLine="0"/>
        <w:jc w:val="both"/>
        <w:rPr>
          <w:rFonts w:ascii="Palatino Linotype" w:eastAsia="Calibri" w:hAnsi="Palatino Linotype"/>
          <w:lang w:val="es-ES_tradnl"/>
        </w:rPr>
      </w:pPr>
      <w:r w:rsidRPr="00745D07">
        <w:rPr>
          <w:rFonts w:ascii="Palatino Linotype" w:eastAsia="Calibri" w:hAnsi="Palatino Linotype"/>
          <w:lang w:val="es-ES_tradnl"/>
        </w:rPr>
        <w:t xml:space="preserve">Establecido lo anterior, resulta evidente que las razones o motivos de </w:t>
      </w:r>
      <w:r w:rsidRPr="000F36FD">
        <w:rPr>
          <w:rFonts w:ascii="Palatino Linotype" w:eastAsia="Calibri" w:hAnsi="Palatino Linotype"/>
        </w:rPr>
        <w:t>inconformidad</w:t>
      </w:r>
      <w:r w:rsidRPr="00745D07">
        <w:rPr>
          <w:rFonts w:ascii="Palatino Linotype" w:eastAsia="Calibri" w:hAnsi="Palatino Linotype"/>
          <w:lang w:val="es-ES_tradnl"/>
        </w:rPr>
        <w:t xml:space="preserve"> hechos valer en el recurso de revisión resultan </w:t>
      </w:r>
      <w:r w:rsidR="005E450E" w:rsidRPr="005E450E">
        <w:rPr>
          <w:rFonts w:ascii="Palatino Linotype" w:eastAsia="Calibri" w:hAnsi="Palatino Linotype"/>
          <w:b/>
          <w:lang w:val="es-ES_tradnl"/>
        </w:rPr>
        <w:t>parcialmente</w:t>
      </w:r>
      <w:r w:rsidR="005E450E">
        <w:rPr>
          <w:rFonts w:ascii="Palatino Linotype" w:eastAsia="Calibri" w:hAnsi="Palatino Linotype"/>
          <w:lang w:val="es-ES_tradnl"/>
        </w:rPr>
        <w:t xml:space="preserve"> </w:t>
      </w:r>
      <w:r w:rsidRPr="00745D07">
        <w:rPr>
          <w:rFonts w:ascii="Palatino Linotype" w:eastAsia="Calibri" w:hAnsi="Palatino Linotype"/>
          <w:b/>
          <w:lang w:val="es-ES_tradnl"/>
        </w:rPr>
        <w:t>fundadas y procedentes</w:t>
      </w:r>
      <w:r w:rsidRPr="00745D07">
        <w:rPr>
          <w:rFonts w:ascii="Palatino Linotype" w:eastAsia="Calibri" w:hAnsi="Palatino Linotype"/>
          <w:lang w:val="es-ES_tradnl"/>
        </w:rPr>
        <w:t xml:space="preserve">, debido a que el </w:t>
      </w:r>
      <w:r w:rsidRPr="00745D07">
        <w:rPr>
          <w:rFonts w:ascii="Palatino Linotype" w:eastAsia="Calibri" w:hAnsi="Palatino Linotype"/>
          <w:b/>
          <w:lang w:val="es-ES_tradnl"/>
        </w:rPr>
        <w:t>SUJETO OBLIGADO</w:t>
      </w:r>
      <w:r w:rsidRPr="00745D07">
        <w:rPr>
          <w:rFonts w:ascii="Palatino Linotype" w:eastAsia="Calibri" w:hAnsi="Palatino Linotype"/>
          <w:lang w:val="es-ES_tradnl"/>
        </w:rPr>
        <w:t xml:space="preserve"> fue omiso en responder la solic</w:t>
      </w:r>
      <w:r>
        <w:rPr>
          <w:rFonts w:ascii="Palatino Linotype" w:eastAsia="Calibri" w:hAnsi="Palatino Linotype"/>
          <w:lang w:val="es-ES_tradnl"/>
        </w:rPr>
        <w:t>itud de información en cuestión;</w:t>
      </w:r>
      <w:r w:rsidRPr="00745D07">
        <w:rPr>
          <w:rFonts w:ascii="Palatino Linotype" w:eastAsia="Calibri" w:hAnsi="Palatino Linotype"/>
          <w:lang w:val="es-ES_tradnl"/>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585F288" w14:textId="77777777" w:rsidR="00E72A6C" w:rsidRPr="00745D07" w:rsidRDefault="00E72A6C" w:rsidP="00E72A6C">
      <w:pPr>
        <w:spacing w:line="360" w:lineRule="auto"/>
        <w:contextualSpacing/>
        <w:rPr>
          <w:rFonts w:ascii="Palatino Linotype" w:eastAsia="Calibri" w:hAnsi="Palatino Linotype"/>
          <w:lang w:val="es-ES" w:eastAsia="es-ES"/>
        </w:rPr>
      </w:pPr>
    </w:p>
    <w:p w14:paraId="5EB63115" w14:textId="77777777" w:rsidR="00E72A6C" w:rsidRPr="002D2C83" w:rsidRDefault="00E72A6C" w:rsidP="00E72A6C">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Éste Órgano Garante, como institución pública que forma parte del Estado Mexicano y en cuya representación actúa al substanciar el recurso de rev</w:t>
      </w:r>
      <w:r>
        <w:rPr>
          <w:rFonts w:ascii="Palatino Linotype" w:eastAsia="Calibri" w:hAnsi="Palatino Linotype"/>
        </w:rPr>
        <w:t>isión, como garantía secundaria;</w:t>
      </w:r>
      <w:r w:rsidRPr="00745D07">
        <w:rPr>
          <w:rFonts w:ascii="Palatino Linotype" w:eastAsia="Calibri" w:hAnsi="Palatino Linotype"/>
        </w:rPr>
        <w:t xml:space="preserve"> es decir, como remedio materialmente jurisdiccional ante las </w:t>
      </w:r>
      <w:r w:rsidRPr="00745D07">
        <w:rPr>
          <w:rFonts w:ascii="Palatino Linotype" w:eastAsia="Calibri" w:hAnsi="Palatino Linotype"/>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745D07">
        <w:rPr>
          <w:rFonts w:ascii="Palatino Linotype" w:eastAsia="Calibri" w:hAnsi="Palatino Linotype"/>
          <w:b/>
        </w:rPr>
        <w:t>SUJETO OBLIGADO</w:t>
      </w:r>
      <w:r w:rsidRPr="00745D07">
        <w:rPr>
          <w:rFonts w:ascii="Palatino Linotype" w:eastAsia="Calibri" w:hAnsi="Palatino Linotype"/>
        </w:rPr>
        <w:t xml:space="preserve">, cumple con su alto deber de repararlo ordenando, en consecuencia, que el </w:t>
      </w:r>
      <w:r w:rsidRPr="00745D07">
        <w:rPr>
          <w:rFonts w:ascii="Palatino Linotype" w:eastAsia="Calibri" w:hAnsi="Palatino Linotype"/>
          <w:b/>
        </w:rPr>
        <w:t>SUJETO OBLIGADO</w:t>
      </w:r>
      <w:r w:rsidRPr="00745D07">
        <w:rPr>
          <w:rFonts w:ascii="Palatino Linotype" w:eastAsia="Calibri" w:hAnsi="Palatino Linotype"/>
        </w:rPr>
        <w:t xml:space="preserve"> responda a la solicitud de acceso a la información pública. </w:t>
      </w:r>
    </w:p>
    <w:p w14:paraId="0E85DF21" w14:textId="77777777" w:rsidR="00E72A6C" w:rsidRDefault="00E72A6C" w:rsidP="00E72A6C">
      <w:pPr>
        <w:pStyle w:val="Prrafodelista"/>
        <w:rPr>
          <w:rFonts w:ascii="Palatino Linotype" w:hAnsi="Palatino Linotype" w:cs="Arial"/>
          <w:color w:val="000000"/>
        </w:rPr>
      </w:pPr>
    </w:p>
    <w:p w14:paraId="40CDA910" w14:textId="77777777" w:rsidR="00E72A6C" w:rsidRPr="00745D07" w:rsidRDefault="00E72A6C" w:rsidP="00E72A6C">
      <w:pPr>
        <w:keepNext/>
        <w:keepLines/>
        <w:numPr>
          <w:ilvl w:val="0"/>
          <w:numId w:val="33"/>
        </w:numPr>
        <w:spacing w:line="360" w:lineRule="auto"/>
        <w:ind w:left="0" w:firstLine="0"/>
        <w:outlineLvl w:val="0"/>
        <w:rPr>
          <w:rFonts w:ascii="Palatino Linotype" w:hAnsi="Palatino Linotype" w:cstheme="majorBidi"/>
          <w:b/>
        </w:rPr>
      </w:pPr>
      <w:bookmarkStart w:id="20" w:name="_Toc71234381"/>
      <w:bookmarkStart w:id="21" w:name="_Toc83901399"/>
      <w:r w:rsidRPr="00745D07">
        <w:rPr>
          <w:rFonts w:ascii="Palatino Linotype" w:hAnsi="Palatino Linotype" w:cstheme="majorBidi"/>
          <w:b/>
        </w:rPr>
        <w:t>Sobre la respuesta que se emita a la solicitud.</w:t>
      </w:r>
      <w:bookmarkEnd w:id="20"/>
      <w:bookmarkEnd w:id="21"/>
    </w:p>
    <w:p w14:paraId="2CDBADDF"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hAnsi="Palatino Linotype" w:cs="Arial"/>
          <w:lang w:val="es-ES_tradnl"/>
        </w:rPr>
        <w:t xml:space="preserve">En cumplimiento a esta resolución, 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deberá dar atención </w:t>
      </w:r>
      <w:r w:rsidRPr="00745D07">
        <w:rPr>
          <w:rFonts w:ascii="Palatino Linotype" w:eastAsiaTheme="minorEastAsia" w:hAnsi="Palatino Linotype" w:cs="Arial"/>
          <w:lang w:val="es-ES_tradnl"/>
        </w:rPr>
        <w:t>a la solicitud de información, sin que sea materia de este recurso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analizar 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2A9FC70" w14:textId="77777777" w:rsidR="00E72A6C" w:rsidRPr="00745D07" w:rsidRDefault="00E72A6C" w:rsidP="00E72A6C">
      <w:pPr>
        <w:spacing w:line="360" w:lineRule="auto"/>
        <w:ind w:right="49"/>
        <w:contextualSpacing/>
        <w:jc w:val="both"/>
        <w:rPr>
          <w:rFonts w:ascii="Palatino Linotype" w:hAnsi="Palatino Linotype" w:cs="Arial"/>
          <w:b/>
          <w:lang w:val="es-ES_tradnl" w:eastAsia="es-ES"/>
        </w:rPr>
      </w:pPr>
    </w:p>
    <w:p w14:paraId="4E45FF8C"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eastAsiaTheme="minorEastAsia" w:hAnsi="Palatino Linotype" w:cs="Arial"/>
          <w:lang w:val="es-ES_tradnl"/>
        </w:rPr>
        <w:t xml:space="preserve">En este caso,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de sustanciar todo el procedimiento de acceso a la </w:t>
      </w:r>
      <w:r w:rsidRPr="000F36FD">
        <w:rPr>
          <w:rFonts w:ascii="Palatino Linotype" w:hAnsi="Palatino Linotype" w:cs="Arial"/>
          <w:lang w:val="es-ES_tradnl"/>
        </w:rPr>
        <w:t>información</w:t>
      </w:r>
      <w:r w:rsidRPr="00745D07">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6E6973CD" w14:textId="77777777" w:rsidR="00E72A6C" w:rsidRPr="00745D07" w:rsidRDefault="00E72A6C" w:rsidP="00E72A6C">
      <w:pPr>
        <w:spacing w:line="360" w:lineRule="auto"/>
        <w:ind w:right="49"/>
        <w:contextualSpacing/>
        <w:jc w:val="both"/>
        <w:rPr>
          <w:rFonts w:ascii="Palatino Linotype" w:hAnsi="Palatino Linotype" w:cs="Arial"/>
          <w:b/>
          <w:lang w:val="es-ES_tradnl" w:eastAsia="es-ES"/>
        </w:rPr>
      </w:pPr>
    </w:p>
    <w:p w14:paraId="5E8C7D6D"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Si dentro de las facultades, atribuciones y competencias no se encuentra  la de poseer la información requerida, deberá hacerlo del conocimiento d</w:t>
      </w:r>
      <w:r>
        <w:rPr>
          <w:rFonts w:ascii="Palatino Linotype" w:eastAsiaTheme="minorEastAsia" w:hAnsi="Palatino Linotype" w:cs="Arial"/>
          <w:lang w:val="es-ES_tradnl"/>
        </w:rPr>
        <w:t>e la particular</w:t>
      </w:r>
      <w:r w:rsidRPr="00745D07">
        <w:rPr>
          <w:rFonts w:ascii="Palatino Linotype" w:eastAsiaTheme="minorEastAsia" w:hAnsi="Palatino Linotype" w:cs="Arial"/>
          <w:lang w:val="es-ES_tradnl"/>
        </w:rPr>
        <w:t xml:space="preserve">  de forma clara y precisa, fundado y motivando su actuación y en su caso orientar al solicitante sobre el o los Sujetos Obligados competentes, sin pasar desapercibido que </w:t>
      </w:r>
      <w:r w:rsidRPr="00745D07">
        <w:rPr>
          <w:rFonts w:ascii="Palatino Linotype" w:eastAsiaTheme="minorEastAsia" w:hAnsi="Palatino Linotype" w:cs="Arial"/>
          <w:lang w:val="es-ES_tradn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EB4A579" w14:textId="77777777" w:rsidR="00E72A6C" w:rsidRDefault="00E72A6C" w:rsidP="00E72A6C">
      <w:pPr>
        <w:pStyle w:val="Prrafodelista"/>
        <w:rPr>
          <w:rFonts w:ascii="Palatino Linotype" w:hAnsi="Palatino Linotype" w:cs="Arial"/>
        </w:rPr>
      </w:pPr>
    </w:p>
    <w:p w14:paraId="033CFBDC" w14:textId="77777777" w:rsidR="00E72A6C" w:rsidRPr="00624D16"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Pr>
          <w:rFonts w:ascii="Palatino Linotype" w:eastAsiaTheme="minorEastAsia" w:hAnsi="Palatino Linotype" w:cs="Arial"/>
          <w:lang w:val="es-ES_tradnl"/>
        </w:rPr>
        <w:t xml:space="preserve"> Estado de México y Municipios.</w:t>
      </w:r>
    </w:p>
    <w:p w14:paraId="5596E5C9" w14:textId="77777777" w:rsidR="00E72A6C" w:rsidRDefault="00E72A6C" w:rsidP="00E72A6C">
      <w:pPr>
        <w:pStyle w:val="Prrafodelista"/>
        <w:rPr>
          <w:rFonts w:ascii="Palatino Linotype" w:hAnsi="Palatino Linotype" w:cs="Arial"/>
        </w:rPr>
      </w:pPr>
    </w:p>
    <w:p w14:paraId="18FA3913" w14:textId="77777777" w:rsidR="00E72A6C" w:rsidRPr="00A006E6"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526C4B58"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lastRenderedPageBreak/>
        <w:t xml:space="preserve">Es importante también señalar que, la respuesta que dará en cumplimiento a la presente </w:t>
      </w:r>
      <w:r w:rsidRPr="000F36FD">
        <w:rPr>
          <w:rFonts w:ascii="Palatino Linotype" w:eastAsiaTheme="minorEastAsia" w:hAnsi="Palatino Linotype" w:cs="Arial"/>
          <w:lang w:val="es-ES_tradnl"/>
        </w:rPr>
        <w:t>resolución</w:t>
      </w:r>
      <w:r w:rsidRPr="00745D07">
        <w:rPr>
          <w:rFonts w:ascii="Palatino Linotype" w:hAnsi="Palatino Linotype" w:cs="Arial"/>
          <w:lang w:val="es-ES_tradnl"/>
        </w:rPr>
        <w:t xml:space="preserve">, </w:t>
      </w:r>
      <w:r w:rsidRPr="00745D07">
        <w:rPr>
          <w:rFonts w:ascii="Palatino Linotype" w:hAnsi="Palatino Linotype" w:cs="Arial"/>
          <w:b/>
          <w:lang w:val="es-ES_tradnl"/>
        </w:rPr>
        <w:t>deberá ajustarse a lo dispuesto a los criterios y precedentes que este Órgano Garante ha resuelto y aprobado</w:t>
      </w:r>
      <w:r>
        <w:rPr>
          <w:rFonts w:ascii="Palatino Linotype" w:hAnsi="Palatino Linotype" w:cs="Arial"/>
          <w:b/>
          <w:lang w:val="es-ES_tradnl"/>
        </w:rPr>
        <w:t>;</w:t>
      </w:r>
      <w:r w:rsidRPr="00745D07">
        <w:rPr>
          <w:rFonts w:ascii="Palatino Linotype" w:hAnsi="Palatino Linotype" w:cs="Arial"/>
          <w:lang w:val="es-ES_tradnl"/>
        </w:rPr>
        <w:t xml:space="preserve"> es decir, por lo que constituye una alta responsabilidad del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1F9346B6" w14:textId="77777777" w:rsidR="00E72A6C" w:rsidRPr="00745D07" w:rsidRDefault="00E72A6C" w:rsidP="00E72A6C">
      <w:pPr>
        <w:spacing w:line="360" w:lineRule="auto"/>
        <w:contextualSpacing/>
        <w:rPr>
          <w:rFonts w:ascii="Palatino Linotype" w:hAnsi="Palatino Linotype" w:cs="Arial"/>
          <w:lang w:val="es-ES_tradnl" w:eastAsia="es-ES"/>
        </w:rPr>
      </w:pPr>
    </w:p>
    <w:p w14:paraId="700C827D" w14:textId="77777777" w:rsidR="00E72A6C"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t xml:space="preserve">Por lo que tratándose del tema o temas que se requieran en las solicitudes, el </w:t>
      </w:r>
      <w:r w:rsidRPr="00745D07">
        <w:rPr>
          <w:rFonts w:ascii="Palatino Linotype" w:hAnsi="Palatino Linotype" w:cs="Arial"/>
          <w:b/>
          <w:lang w:val="es-ES_tradnl"/>
        </w:rPr>
        <w:t xml:space="preserve">SUJETO </w:t>
      </w:r>
      <w:r w:rsidRPr="00731C59">
        <w:rPr>
          <w:rFonts w:ascii="Palatino Linotype" w:hAnsi="Palatino Linotype" w:cs="Arial"/>
          <w:b/>
          <w:lang w:val="es-ES_tradnl"/>
        </w:rPr>
        <w:t>OBLIGADO</w:t>
      </w:r>
      <w:r w:rsidRPr="00745D07">
        <w:rPr>
          <w:rFonts w:ascii="Palatino Linotype" w:hAnsi="Palatino Linotype" w:cs="Arial"/>
          <w:lang w:val="es-ES_tradnl"/>
        </w:rPr>
        <w:t xml:space="preserve"> deberá en todo momento ajustarse además de la normatividad aplicable a los asuntos, a las resoluciones aprobadas.</w:t>
      </w:r>
    </w:p>
    <w:p w14:paraId="2AF6F577" w14:textId="77777777" w:rsidR="00E72A6C" w:rsidRDefault="00E72A6C" w:rsidP="00E72A6C">
      <w:pPr>
        <w:pStyle w:val="Prrafodelista"/>
        <w:rPr>
          <w:rFonts w:ascii="Palatino Linotype" w:hAnsi="Palatino Linotype" w:cs="Arial"/>
        </w:rPr>
      </w:pPr>
    </w:p>
    <w:p w14:paraId="5F339A0A"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En consecuencia, para responder a la solicitud de acceso a la información en cuestión 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59A95A3B" w14:textId="77777777" w:rsidR="00E72A6C" w:rsidRPr="00745D07" w:rsidRDefault="00E72A6C" w:rsidP="00E72A6C">
      <w:pPr>
        <w:spacing w:line="360" w:lineRule="auto"/>
        <w:contextualSpacing/>
        <w:jc w:val="both"/>
        <w:rPr>
          <w:rFonts w:ascii="Palatino Linotype" w:eastAsiaTheme="minorEastAsia" w:hAnsi="Palatino Linotype" w:cs="Arial"/>
          <w:lang w:val="es-ES" w:eastAsia="es-ES"/>
        </w:rPr>
      </w:pPr>
    </w:p>
    <w:p w14:paraId="50F77927"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40EFA057"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es posible que esta información no se localice, bien porque no se haya generado o porque no se encuentre disponible, en el momento de su búsqueda.</w:t>
      </w:r>
    </w:p>
    <w:p w14:paraId="43E6F4E9" w14:textId="77777777" w:rsidR="00E72A6C" w:rsidRPr="00745D07" w:rsidRDefault="00E72A6C" w:rsidP="00E72A6C">
      <w:pPr>
        <w:spacing w:line="360" w:lineRule="auto"/>
        <w:contextualSpacing/>
        <w:rPr>
          <w:rFonts w:ascii="Palatino Linotype" w:eastAsiaTheme="minorEastAsia" w:hAnsi="Palatino Linotype" w:cs="Arial"/>
          <w:lang w:val="es-ES" w:eastAsia="es-ES"/>
        </w:rPr>
      </w:pPr>
    </w:p>
    <w:p w14:paraId="0E4E572E"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w:t>
      </w:r>
      <w:r>
        <w:rPr>
          <w:rFonts w:ascii="Palatino Linotype" w:eastAsiaTheme="minorEastAsia" w:hAnsi="Palatino Linotype" w:cs="Arial"/>
          <w:lang w:val="es-ES_tradnl"/>
        </w:rPr>
        <w:t>como a continuación se observa:</w:t>
      </w:r>
    </w:p>
    <w:p w14:paraId="6E732C97" w14:textId="77777777" w:rsidR="00E72A6C" w:rsidRDefault="00E72A6C" w:rsidP="00E72A6C">
      <w:pPr>
        <w:pStyle w:val="Prrafodelista"/>
        <w:rPr>
          <w:rFonts w:ascii="Palatino Linotype" w:hAnsi="Palatino Linotype" w:cs="Arial"/>
        </w:rPr>
      </w:pPr>
    </w:p>
    <w:p w14:paraId="5382957D" w14:textId="77777777" w:rsidR="00E72A6C" w:rsidRPr="00745D07" w:rsidRDefault="00E72A6C" w:rsidP="00E72A6C">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3ADC755" w14:textId="77777777" w:rsidR="00E72A6C" w:rsidRPr="00745D07" w:rsidRDefault="00E72A6C" w:rsidP="00E72A6C">
      <w:pPr>
        <w:tabs>
          <w:tab w:val="left" w:pos="8080"/>
        </w:tabs>
        <w:ind w:left="567" w:right="567"/>
        <w:contextualSpacing/>
        <w:jc w:val="both"/>
        <w:rPr>
          <w:rFonts w:ascii="Palatino Linotype" w:eastAsiaTheme="minorEastAsia" w:hAnsi="Palatino Linotype" w:cs="Arial"/>
          <w:i/>
          <w:lang w:val="es-ES_tradnl" w:eastAsia="es-ES"/>
        </w:rPr>
      </w:pPr>
    </w:p>
    <w:p w14:paraId="4CC4E96F" w14:textId="77777777" w:rsidR="00E72A6C" w:rsidRPr="00745D07" w:rsidRDefault="00E72A6C" w:rsidP="00E72A6C">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393C3432" w14:textId="77777777" w:rsidR="00E72A6C" w:rsidRPr="00745D07" w:rsidRDefault="00E72A6C" w:rsidP="00E72A6C">
      <w:pPr>
        <w:tabs>
          <w:tab w:val="left" w:pos="8080"/>
        </w:tabs>
        <w:ind w:left="567" w:right="567"/>
        <w:contextualSpacing/>
        <w:jc w:val="both"/>
        <w:rPr>
          <w:rFonts w:ascii="Palatino Linotype" w:eastAsiaTheme="minorEastAsia" w:hAnsi="Palatino Linotype" w:cs="Arial"/>
          <w:i/>
          <w:lang w:val="es-ES_tradnl" w:eastAsia="es-ES"/>
        </w:rPr>
      </w:pPr>
    </w:p>
    <w:p w14:paraId="55AB3914" w14:textId="77777777" w:rsidR="00E72A6C" w:rsidRPr="00745D07" w:rsidRDefault="00E72A6C" w:rsidP="00E72A6C">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4B9A915" w14:textId="77777777" w:rsidR="00E72A6C" w:rsidRDefault="00E72A6C" w:rsidP="00E72A6C">
      <w:pPr>
        <w:tabs>
          <w:tab w:val="left" w:pos="8080"/>
        </w:tabs>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019844ED" w14:textId="77777777" w:rsidR="00E72A6C" w:rsidRPr="00AC3D42" w:rsidRDefault="00E72A6C" w:rsidP="00E72A6C">
      <w:pPr>
        <w:tabs>
          <w:tab w:val="left" w:pos="8080"/>
        </w:tabs>
        <w:ind w:left="567" w:right="567"/>
        <w:contextualSpacing/>
        <w:jc w:val="both"/>
        <w:rPr>
          <w:rFonts w:ascii="Palatino Linotype" w:eastAsiaTheme="minorEastAsia" w:hAnsi="Palatino Linotype" w:cs="Arial"/>
          <w:lang w:val="es-ES_tradnl" w:eastAsia="es-ES"/>
        </w:rPr>
      </w:pPr>
    </w:p>
    <w:p w14:paraId="4998F7B6"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0C63E321" w14:textId="77777777" w:rsidR="00E72A6C" w:rsidRPr="00745D07" w:rsidRDefault="00E72A6C" w:rsidP="00E72A6C">
      <w:pPr>
        <w:spacing w:line="360" w:lineRule="auto"/>
        <w:ind w:right="567"/>
        <w:contextualSpacing/>
        <w:jc w:val="both"/>
        <w:rPr>
          <w:rFonts w:ascii="Palatino Linotype" w:eastAsiaTheme="minorEastAsia" w:hAnsi="Palatino Linotype" w:cs="Arial"/>
          <w:lang w:val="es-ES_tradnl" w:eastAsia="es-ES"/>
        </w:rPr>
      </w:pPr>
    </w:p>
    <w:p w14:paraId="6F0D180A" w14:textId="77777777" w:rsidR="00E72A6C" w:rsidRPr="00745D07" w:rsidRDefault="00E72A6C" w:rsidP="00E72A6C">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64603A88" w14:textId="77777777" w:rsidR="00E72A6C" w:rsidRPr="00745D07" w:rsidRDefault="00E72A6C" w:rsidP="00E72A6C">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5AB259D5" w14:textId="77777777" w:rsidR="00E72A6C" w:rsidRPr="00745D07" w:rsidRDefault="00E72A6C" w:rsidP="00E72A6C">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072D25D6" w14:textId="77777777" w:rsidR="00E72A6C" w:rsidRPr="00745D07" w:rsidRDefault="00E72A6C" w:rsidP="00E72A6C">
      <w:pPr>
        <w:spacing w:line="360" w:lineRule="auto"/>
        <w:ind w:right="709"/>
        <w:contextualSpacing/>
        <w:jc w:val="both"/>
        <w:rPr>
          <w:rFonts w:ascii="Palatino Linotype" w:eastAsiaTheme="minorEastAsia" w:hAnsi="Palatino Linotype" w:cs="Arial"/>
          <w:lang w:val="es-ES_tradnl" w:eastAsia="es-ES"/>
        </w:rPr>
      </w:pPr>
    </w:p>
    <w:p w14:paraId="6A1133F8"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En estos casos,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310397E6" w14:textId="77777777" w:rsidR="00E72A6C" w:rsidRPr="00745D07" w:rsidRDefault="00E72A6C" w:rsidP="00E72A6C">
      <w:pPr>
        <w:spacing w:line="360" w:lineRule="auto"/>
        <w:contextualSpacing/>
        <w:jc w:val="both"/>
        <w:rPr>
          <w:rFonts w:ascii="Palatino Linotype" w:eastAsiaTheme="minorEastAsia" w:hAnsi="Palatino Linotype" w:cs="Arial"/>
          <w:lang w:val="es-ES_tradnl" w:eastAsia="es-ES"/>
        </w:rPr>
      </w:pPr>
    </w:p>
    <w:p w14:paraId="71E70E1F"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segundo supuesto, que corresponde a lo señalado en su último párrafo del artículo antes referido, alude a: </w:t>
      </w:r>
    </w:p>
    <w:p w14:paraId="4815A49C" w14:textId="77777777" w:rsidR="00E72A6C" w:rsidRPr="00745D07" w:rsidRDefault="00E72A6C" w:rsidP="00E72A6C">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0158DD80" w14:textId="77777777" w:rsidR="00E72A6C" w:rsidRPr="00745D07" w:rsidRDefault="00E72A6C" w:rsidP="00E72A6C">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49362F65" w14:textId="77777777" w:rsidR="00E72A6C" w:rsidRPr="00745D07" w:rsidRDefault="00E72A6C" w:rsidP="00E72A6C">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3EC522DD" w14:textId="77777777" w:rsidR="00E72A6C" w:rsidRDefault="00E72A6C" w:rsidP="00E72A6C">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BD7502D" w14:textId="77777777" w:rsidR="00E72A6C" w:rsidRPr="00745D07" w:rsidRDefault="00E72A6C" w:rsidP="00E72A6C">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7E2BAAA8"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w:t>
      </w:r>
      <w:r w:rsidRPr="00745D07">
        <w:rPr>
          <w:rFonts w:ascii="Palatino Linotype" w:eastAsiaTheme="minorEastAsia" w:hAnsi="Palatino Linotype" w:cs="Arial"/>
          <w:lang w:val="es-ES_tradnl"/>
        </w:rPr>
        <w:lastRenderedPageBreak/>
        <w:t xml:space="preserve">inexistencia cumpliendo con las formalidades señaladas en el artículo 170 de la misma norma. </w:t>
      </w:r>
    </w:p>
    <w:p w14:paraId="6C3EE6D7" w14:textId="77777777" w:rsidR="00E72A6C" w:rsidRPr="00745D07" w:rsidRDefault="00E72A6C" w:rsidP="00E72A6C">
      <w:pPr>
        <w:spacing w:line="360" w:lineRule="auto"/>
        <w:contextualSpacing/>
        <w:rPr>
          <w:rFonts w:ascii="Palatino Linotype" w:eastAsiaTheme="minorEastAsia" w:hAnsi="Palatino Linotype" w:cs="Arial"/>
          <w:lang w:val="es-ES_tradnl" w:eastAsia="es-ES"/>
        </w:rPr>
      </w:pPr>
    </w:p>
    <w:p w14:paraId="442AB107" w14:textId="77777777" w:rsidR="00E72A6C" w:rsidRPr="00731C59"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En cualquiera de los casos, imperativamente,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rPr>
        <w:t>, pero emitiendo una respuesta.</w:t>
      </w:r>
    </w:p>
    <w:p w14:paraId="34D63B2D" w14:textId="77777777" w:rsidR="00E72A6C" w:rsidRPr="00731C59" w:rsidRDefault="00E72A6C" w:rsidP="00E72A6C">
      <w:pPr>
        <w:pStyle w:val="Prrafodelista"/>
        <w:rPr>
          <w:rFonts w:ascii="Palatino Linotype" w:hAnsi="Palatino Linotype" w:cs="Arial"/>
          <w:lang w:val="es-ES_tradnl"/>
        </w:rPr>
      </w:pPr>
    </w:p>
    <w:p w14:paraId="19A8FAD4" w14:textId="77777777" w:rsidR="00E72A6C" w:rsidRPr="00745D07" w:rsidRDefault="00E72A6C" w:rsidP="00E72A6C">
      <w:pPr>
        <w:keepNext/>
        <w:keepLines/>
        <w:spacing w:line="360" w:lineRule="auto"/>
        <w:outlineLvl w:val="1"/>
        <w:rPr>
          <w:rFonts w:ascii="Palatino Linotype" w:hAnsi="Palatino Linotype" w:cstheme="majorBidi"/>
          <w:b/>
        </w:rPr>
      </w:pPr>
      <w:bookmarkStart w:id="22" w:name="_Toc524344194"/>
      <w:bookmarkStart w:id="23" w:name="_Toc526271199"/>
      <w:bookmarkStart w:id="24" w:name="_Toc536105846"/>
      <w:bookmarkStart w:id="25" w:name="_Toc536106973"/>
      <w:bookmarkStart w:id="26" w:name="_Toc71234382"/>
      <w:bookmarkStart w:id="27" w:name="_Toc83901400"/>
      <w:r w:rsidRPr="00745D07">
        <w:rPr>
          <w:rFonts w:ascii="Palatino Linotype" w:hAnsi="Palatino Linotype" w:cstheme="majorBidi"/>
          <w:b/>
        </w:rPr>
        <w:t>IV. Análisis al que debe someterse la información antes de su entrega.</w:t>
      </w:r>
      <w:bookmarkEnd w:id="22"/>
      <w:bookmarkEnd w:id="23"/>
      <w:bookmarkEnd w:id="24"/>
      <w:bookmarkEnd w:id="25"/>
      <w:bookmarkEnd w:id="26"/>
      <w:bookmarkEnd w:id="27"/>
    </w:p>
    <w:p w14:paraId="02AB4374"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F476199"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0782E15" w14:textId="77777777" w:rsidR="00E72A6C" w:rsidRDefault="00E72A6C" w:rsidP="00E72A6C">
      <w:pPr>
        <w:pStyle w:val="Prrafodelista"/>
        <w:rPr>
          <w:rFonts w:ascii="Palatino Linotype" w:hAnsi="Palatino Linotype" w:cs="Arial"/>
        </w:rPr>
      </w:pPr>
    </w:p>
    <w:p w14:paraId="4D8CC401"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b/>
          <w:i/>
          <w:sz w:val="22"/>
          <w:lang w:eastAsia="es-ES"/>
        </w:rPr>
        <w:t>“Artículo 4.</w:t>
      </w:r>
      <w:r w:rsidRPr="005255D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483541"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2FBEC0"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7B5B82B"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41674374"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p>
    <w:p w14:paraId="3193A051"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122.</w:t>
      </w:r>
      <w:r w:rsidRPr="005255DB">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77A21D7"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7370E37C"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4CD3F698"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7AA80A72"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p>
    <w:p w14:paraId="1BA5A077"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lastRenderedPageBreak/>
        <w:t>“</w:t>
      </w:r>
      <w:r w:rsidRPr="005255DB">
        <w:rPr>
          <w:rFonts w:ascii="Palatino Linotype" w:eastAsiaTheme="minorEastAsia" w:hAnsi="Palatino Linotype" w:cs="Arial"/>
          <w:b/>
          <w:i/>
          <w:sz w:val="22"/>
          <w:lang w:eastAsia="es-ES"/>
        </w:rPr>
        <w:t>Artículo 140.</w:t>
      </w:r>
      <w:r w:rsidRPr="005255D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C09C22F"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 Comprometa la seguridad pública y cuente con un propósito genuino y un efecto demostrable;</w:t>
      </w:r>
    </w:p>
    <w:p w14:paraId="5D6B4D74"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 Pueda menoscabar la conducción de las negociaciones y relaciones internacionales;</w:t>
      </w:r>
    </w:p>
    <w:p w14:paraId="788746CF"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B47413"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IV. Ponga en riesgo la vida, la seguridad o la salud de una persona física;</w:t>
      </w:r>
    </w:p>
    <w:p w14:paraId="3DD5E6ED"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 Aquella cuya divulgación obstruya o pueda causar un serio perjuicio a:</w:t>
      </w:r>
    </w:p>
    <w:p w14:paraId="5208ECD6"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3B72A64F"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2. La recaudación de las contribuciones.</w:t>
      </w:r>
    </w:p>
    <w:p w14:paraId="3862F300"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71119B9"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7614960F"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ECDC513"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070E14B1"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23C72EA"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4113FB8"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44C63EF9" w14:textId="77777777" w:rsidR="00E72A6C" w:rsidRPr="005255DB" w:rsidRDefault="00E72A6C" w:rsidP="00E72A6C">
      <w:pPr>
        <w:ind w:left="567" w:right="618"/>
        <w:contextualSpacing/>
        <w:jc w:val="both"/>
        <w:rPr>
          <w:rFonts w:ascii="Palatino Linotype" w:eastAsiaTheme="minorEastAsia" w:hAnsi="Palatino Linotype" w:cs="Arial"/>
          <w:i/>
          <w:sz w:val="22"/>
          <w:lang w:eastAsia="es-ES"/>
        </w:rPr>
      </w:pPr>
    </w:p>
    <w:p w14:paraId="046ABB17" w14:textId="77777777" w:rsidR="00E72A6C" w:rsidRPr="005255DB" w:rsidRDefault="00E72A6C" w:rsidP="00E72A6C">
      <w:pPr>
        <w:ind w:left="567" w:right="618"/>
        <w:contextualSpacing/>
        <w:jc w:val="both"/>
        <w:rPr>
          <w:rFonts w:ascii="Palatino Linotype" w:eastAsiaTheme="minorEastAsia" w:hAnsi="Palatino Linotype" w:cs="Arial"/>
          <w:b/>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141.</w:t>
      </w:r>
      <w:r w:rsidRPr="005255DB">
        <w:rPr>
          <w:rFonts w:ascii="Palatino Linotype" w:eastAsiaTheme="minorEastAsia" w:hAnsi="Palatino Linotype" w:cs="Arial"/>
          <w:i/>
          <w:sz w:val="22"/>
          <w:lang w:eastAsia="es-ES"/>
        </w:rPr>
        <w:t xml:space="preserve"> </w:t>
      </w:r>
      <w:r w:rsidRPr="005255D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0D9812A9" w14:textId="77777777" w:rsidR="00E72A6C" w:rsidRPr="005255DB" w:rsidRDefault="00E72A6C" w:rsidP="00E72A6C">
      <w:pPr>
        <w:ind w:left="567" w:right="618"/>
        <w:contextualSpacing/>
        <w:jc w:val="both"/>
        <w:rPr>
          <w:rFonts w:ascii="Palatino Linotype" w:eastAsiaTheme="minorEastAsia" w:hAnsi="Palatino Linotype" w:cs="Arial"/>
          <w:sz w:val="22"/>
          <w:lang w:eastAsia="es-ES"/>
        </w:rPr>
      </w:pPr>
      <w:r w:rsidRPr="005255DB">
        <w:rPr>
          <w:rFonts w:ascii="Palatino Linotype" w:eastAsiaTheme="minorEastAsia" w:hAnsi="Palatino Linotype" w:cs="Arial"/>
          <w:sz w:val="22"/>
          <w:lang w:eastAsia="es-ES"/>
        </w:rPr>
        <w:t xml:space="preserve">(Énfasis añadido) </w:t>
      </w:r>
    </w:p>
    <w:p w14:paraId="1E10A4CE" w14:textId="77777777" w:rsidR="00E72A6C" w:rsidRPr="00745D07" w:rsidRDefault="00E72A6C" w:rsidP="00E72A6C">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7F8F2A48"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De estas disposiciones legales se deduce que la información clasificada como reservada no pierde su categoría de “pú</w:t>
      </w:r>
      <w:r>
        <w:rPr>
          <w:rFonts w:ascii="Palatino Linotype" w:eastAsiaTheme="minorEastAsia" w:hAnsi="Palatino Linotype" w:cs="Arial"/>
        </w:rPr>
        <w:t>blica”;</w:t>
      </w:r>
      <w:r w:rsidRPr="00745D07">
        <w:rPr>
          <w:rFonts w:ascii="Palatino Linotype" w:eastAsiaTheme="minorEastAsia" w:hAnsi="Palatino Linotype" w:cs="Arial"/>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255F5E2" w14:textId="77777777" w:rsidR="00E72A6C" w:rsidRPr="00745D07" w:rsidRDefault="00E72A6C" w:rsidP="00E72A6C">
      <w:pPr>
        <w:spacing w:line="360" w:lineRule="auto"/>
        <w:contextualSpacing/>
        <w:jc w:val="both"/>
        <w:rPr>
          <w:rFonts w:ascii="Palatino Linotype" w:eastAsiaTheme="minorEastAsia" w:hAnsi="Palatino Linotype" w:cs="Arial"/>
          <w:lang w:val="es-ES" w:eastAsia="es-ES"/>
        </w:rPr>
      </w:pPr>
    </w:p>
    <w:p w14:paraId="26C69DF8"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CA6F5C8" w14:textId="77777777" w:rsidR="00E72A6C" w:rsidRPr="00745D07" w:rsidRDefault="00E72A6C" w:rsidP="00E72A6C">
      <w:pPr>
        <w:spacing w:line="360" w:lineRule="auto"/>
        <w:contextualSpacing/>
        <w:rPr>
          <w:rFonts w:ascii="Palatino Linotype" w:eastAsiaTheme="minorEastAsia" w:hAnsi="Palatino Linotype" w:cs="Arial"/>
          <w:lang w:val="es-ES" w:eastAsia="es-ES"/>
        </w:rPr>
      </w:pPr>
    </w:p>
    <w:p w14:paraId="1C2FC676"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745D07">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FDD574F" w14:textId="77777777" w:rsidR="00E72A6C" w:rsidRPr="00745D07" w:rsidRDefault="00E72A6C" w:rsidP="00E72A6C">
      <w:pPr>
        <w:spacing w:line="360" w:lineRule="auto"/>
        <w:ind w:right="49"/>
        <w:contextualSpacing/>
        <w:jc w:val="both"/>
        <w:rPr>
          <w:rFonts w:ascii="Palatino Linotype" w:hAnsi="Palatino Linotype" w:cs="Arial"/>
          <w:lang w:val="es-ES_tradnl" w:eastAsia="es-ES"/>
        </w:rPr>
      </w:pPr>
    </w:p>
    <w:p w14:paraId="196B659E"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82611E0" w14:textId="77777777" w:rsidR="00E72A6C" w:rsidRPr="00745D07" w:rsidRDefault="00E72A6C" w:rsidP="00E72A6C">
      <w:pPr>
        <w:spacing w:line="360" w:lineRule="auto"/>
        <w:contextualSpacing/>
        <w:jc w:val="both"/>
        <w:rPr>
          <w:rFonts w:ascii="Palatino Linotype" w:eastAsiaTheme="minorEastAsia" w:hAnsi="Palatino Linotype" w:cs="Arial"/>
          <w:lang w:val="es-ES" w:eastAsia="es-ES"/>
        </w:rPr>
      </w:pPr>
    </w:p>
    <w:p w14:paraId="7788900B"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D0AF5C0" w14:textId="77777777" w:rsidR="00E72A6C" w:rsidRDefault="00E72A6C" w:rsidP="00E72A6C">
      <w:pPr>
        <w:pStyle w:val="Prrafodelista"/>
        <w:rPr>
          <w:rFonts w:ascii="Palatino Linotype" w:hAnsi="Palatino Linotype" w:cs="Arial"/>
        </w:rPr>
      </w:pPr>
    </w:p>
    <w:p w14:paraId="3882950D"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rPr>
        <w:t>De</w:t>
      </w:r>
      <w:r w:rsidRPr="00745D07">
        <w:rPr>
          <w:rFonts w:ascii="Palatino Linotype" w:eastAsiaTheme="minorEastAsia" w:hAnsi="Palatino Linotype" w:cs="Arial"/>
          <w:lang w:val="es-ES_tradnl"/>
        </w:rPr>
        <w:t xml:space="preserve"> tal manera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49CE673" w14:textId="77777777" w:rsidR="00E72A6C" w:rsidRPr="00745D07" w:rsidRDefault="00E72A6C" w:rsidP="00E72A6C">
      <w:pPr>
        <w:spacing w:line="360" w:lineRule="auto"/>
        <w:contextualSpacing/>
        <w:jc w:val="both"/>
        <w:rPr>
          <w:rFonts w:ascii="Palatino Linotype" w:eastAsiaTheme="minorEastAsia" w:hAnsi="Palatino Linotype" w:cs="Arial"/>
          <w:lang w:val="es-ES_tradnl" w:eastAsia="es-ES"/>
        </w:rPr>
      </w:pPr>
    </w:p>
    <w:p w14:paraId="12416B46"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 xml:space="preserve">Para precisar los alcances de la fundamentación y motivación a que están sujetos </w:t>
      </w:r>
      <w:r w:rsidRPr="000F36FD">
        <w:rPr>
          <w:rFonts w:ascii="Palatino Linotype" w:eastAsiaTheme="minorEastAsia" w:hAnsi="Palatino Linotype" w:cs="Arial"/>
        </w:rPr>
        <w:t>todos</w:t>
      </w:r>
      <w:r w:rsidRPr="00745D07">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w:t>
      </w:r>
      <w:r w:rsidRPr="00745D07">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72BD1752" w14:textId="77777777" w:rsidR="00E72A6C" w:rsidRPr="00745D07" w:rsidRDefault="00E72A6C" w:rsidP="00E72A6C">
      <w:pPr>
        <w:spacing w:line="360" w:lineRule="auto"/>
        <w:contextualSpacing/>
        <w:jc w:val="both"/>
        <w:rPr>
          <w:rFonts w:ascii="Palatino Linotype" w:hAnsi="Palatino Linotype" w:cs="Arial"/>
          <w:lang w:val="es-ES_tradnl"/>
        </w:rPr>
      </w:pPr>
    </w:p>
    <w:p w14:paraId="5B349C26"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0C574549" w14:textId="77777777" w:rsidR="00E72A6C" w:rsidRPr="00AC3D42" w:rsidRDefault="00E72A6C" w:rsidP="00E72A6C">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0B09AF14" w14:textId="77777777" w:rsidR="00E72A6C" w:rsidRPr="00745D07" w:rsidRDefault="00E72A6C" w:rsidP="00E72A6C">
      <w:pPr>
        <w:shd w:val="clear" w:color="auto" w:fill="FFFFFF"/>
        <w:spacing w:line="360" w:lineRule="auto"/>
        <w:contextualSpacing/>
        <w:jc w:val="both"/>
        <w:rPr>
          <w:rFonts w:ascii="Palatino Linotype" w:hAnsi="Palatino Linotype" w:cs="Arial"/>
          <w:lang w:val="es-ES_tradnl"/>
        </w:rPr>
      </w:pPr>
    </w:p>
    <w:p w14:paraId="0D8E5687" w14:textId="77777777" w:rsidR="00E72A6C" w:rsidRDefault="00E72A6C" w:rsidP="00E72A6C">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14:paraId="289A3EBA" w14:textId="77777777" w:rsidR="00E72A6C" w:rsidRPr="00745D07" w:rsidRDefault="00E72A6C" w:rsidP="00E72A6C">
      <w:pPr>
        <w:spacing w:line="360" w:lineRule="auto"/>
        <w:contextualSpacing/>
        <w:jc w:val="both"/>
        <w:rPr>
          <w:rFonts w:ascii="Palatino Linotype" w:hAnsi="Palatino Linotype" w:cs="Arial"/>
          <w:lang w:val="es-ES_tradnl"/>
        </w:rPr>
      </w:pPr>
    </w:p>
    <w:p w14:paraId="40653C90"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06D135BC" w14:textId="77777777" w:rsidR="00E72A6C" w:rsidRPr="00745D07" w:rsidRDefault="00E72A6C" w:rsidP="00E72A6C">
      <w:pPr>
        <w:spacing w:line="360" w:lineRule="auto"/>
        <w:contextualSpacing/>
        <w:jc w:val="both"/>
        <w:rPr>
          <w:rFonts w:ascii="Palatino Linotype" w:hAnsi="Palatino Linotype" w:cs="Arial"/>
          <w:lang w:val="es-ES_tradnl"/>
        </w:rPr>
      </w:pPr>
    </w:p>
    <w:p w14:paraId="23072379"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3E898F2" w14:textId="77777777" w:rsidR="00E72A6C" w:rsidRPr="00745D07" w:rsidRDefault="00E72A6C" w:rsidP="00E72A6C">
      <w:pPr>
        <w:spacing w:line="360" w:lineRule="auto"/>
        <w:contextualSpacing/>
        <w:rPr>
          <w:rFonts w:ascii="Palatino Linotype" w:hAnsi="Palatino Linotype" w:cs="Arial"/>
          <w:lang w:val="es-ES_tradnl"/>
        </w:rPr>
      </w:pPr>
    </w:p>
    <w:p w14:paraId="6D405A65"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eastAsia="es-MX"/>
        </w:rPr>
        <w:lastRenderedPageBreak/>
        <w:t xml:space="preserve">Es así que,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D8D6C4" w14:textId="77777777" w:rsidR="00E72A6C" w:rsidRPr="00745D07" w:rsidRDefault="00E72A6C" w:rsidP="00E72A6C">
      <w:pPr>
        <w:spacing w:line="360" w:lineRule="auto"/>
        <w:ind w:right="49"/>
        <w:contextualSpacing/>
        <w:jc w:val="both"/>
        <w:rPr>
          <w:rFonts w:ascii="Palatino Linotype" w:hAnsi="Palatino Linotype" w:cs="Arial"/>
          <w:lang w:val="es-ES_tradnl" w:eastAsia="es-ES"/>
        </w:rPr>
      </w:pPr>
    </w:p>
    <w:p w14:paraId="11B403A2" w14:textId="77777777" w:rsidR="00E72A6C" w:rsidRPr="00745D07" w:rsidRDefault="00E72A6C" w:rsidP="00E72A6C">
      <w:pPr>
        <w:keepNext/>
        <w:keepLines/>
        <w:spacing w:line="360" w:lineRule="auto"/>
        <w:outlineLvl w:val="0"/>
        <w:rPr>
          <w:rFonts w:ascii="Palatino Linotype" w:hAnsi="Palatino Linotype" w:cstheme="majorBidi"/>
          <w:b/>
        </w:rPr>
      </w:pPr>
      <w:bookmarkStart w:id="28" w:name="_Toc524344195"/>
      <w:bookmarkStart w:id="29" w:name="_Toc526271200"/>
      <w:bookmarkStart w:id="30" w:name="_Toc536106974"/>
      <w:bookmarkStart w:id="31" w:name="_Toc71234383"/>
      <w:bookmarkStart w:id="32" w:name="_Toc83901401"/>
      <w:r w:rsidRPr="00745D07">
        <w:rPr>
          <w:rFonts w:ascii="Palatino Linotype" w:hAnsi="Palatino Linotype" w:cstheme="majorBidi"/>
          <w:b/>
        </w:rPr>
        <w:t>QUINTO. El cumplimiento a esta resolución es susceptible de ser impugnado</w:t>
      </w:r>
      <w:bookmarkEnd w:id="28"/>
      <w:bookmarkEnd w:id="29"/>
      <w:r w:rsidRPr="00745D07">
        <w:rPr>
          <w:rFonts w:ascii="Palatino Linotype" w:hAnsi="Palatino Linotype" w:cstheme="majorBidi"/>
          <w:b/>
        </w:rPr>
        <w:t>.</w:t>
      </w:r>
      <w:bookmarkEnd w:id="30"/>
      <w:bookmarkEnd w:id="31"/>
      <w:bookmarkEnd w:id="32"/>
    </w:p>
    <w:p w14:paraId="41FC1CF1" w14:textId="77777777" w:rsidR="00E72A6C" w:rsidRPr="00745D07" w:rsidRDefault="00E72A6C" w:rsidP="00E72A6C">
      <w:pPr>
        <w:keepNext/>
        <w:keepLines/>
        <w:spacing w:line="360" w:lineRule="auto"/>
        <w:outlineLvl w:val="0"/>
        <w:rPr>
          <w:rFonts w:ascii="Palatino Linotype" w:hAnsi="Palatino Linotype" w:cstheme="majorBidi"/>
        </w:rPr>
      </w:pPr>
    </w:p>
    <w:p w14:paraId="7FEF2123"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Cabe señalar que, atento a lo dispuesto al artículo 179 de la ley de la materia, el cual </w:t>
      </w:r>
      <w:r w:rsidRPr="000F36FD">
        <w:rPr>
          <w:rFonts w:ascii="Palatino Linotype" w:hAnsi="Palatino Linotype" w:cs="Arial"/>
          <w:lang w:val="es-ES_tradnl" w:eastAsia="es-MX"/>
        </w:rPr>
        <w:t>contempla</w:t>
      </w:r>
      <w:r w:rsidRPr="00745D07">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3D748E2" w14:textId="77777777" w:rsidR="00E72A6C" w:rsidRPr="00745D07" w:rsidRDefault="00E72A6C" w:rsidP="00E72A6C">
      <w:pPr>
        <w:pStyle w:val="Prrafodelista"/>
        <w:spacing w:line="360" w:lineRule="auto"/>
        <w:ind w:left="0"/>
        <w:jc w:val="both"/>
        <w:rPr>
          <w:rFonts w:ascii="Palatino Linotype" w:eastAsiaTheme="minorEastAsia" w:hAnsi="Palatino Linotype" w:cs="Arial"/>
          <w:lang w:val="es-ES_tradnl"/>
        </w:rPr>
      </w:pPr>
    </w:p>
    <w:p w14:paraId="4513C1AB"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21F9A679"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14:paraId="01743246" w14:textId="77777777" w:rsidR="00E72A6C" w:rsidRPr="00745D07" w:rsidRDefault="00E72A6C" w:rsidP="00E72A6C">
      <w:pPr>
        <w:spacing w:line="360" w:lineRule="auto"/>
        <w:ind w:left="360"/>
        <w:contextualSpacing/>
        <w:jc w:val="both"/>
        <w:rPr>
          <w:rFonts w:ascii="Palatino Linotype" w:eastAsiaTheme="minorEastAsia" w:hAnsi="Palatino Linotype" w:cs="Arial"/>
          <w:lang w:val="es-ES_tradnl" w:eastAsia="es-ES"/>
        </w:rPr>
      </w:pPr>
    </w:p>
    <w:p w14:paraId="61B95163"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se encuadra en los supuestos que contempla el artículo 179 en sus fracciones VII y XI, mismas que señalan lo siguiente:</w:t>
      </w:r>
    </w:p>
    <w:p w14:paraId="1D743862"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lastRenderedPageBreak/>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0EA3B862"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39E54498" w14:textId="77777777" w:rsidR="00E72A6C" w:rsidRPr="00745D07" w:rsidRDefault="00E72A6C" w:rsidP="00E72A6C">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2B854F84"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34483BB1" w14:textId="77777777" w:rsidR="00E72A6C" w:rsidRPr="00745D07" w:rsidRDefault="00E72A6C" w:rsidP="00E72A6C">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5226CCBE"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35896DE4" w14:textId="77777777" w:rsidR="00E72A6C" w:rsidRPr="00745D07" w:rsidRDefault="00E72A6C" w:rsidP="00E72A6C">
      <w:pPr>
        <w:ind w:left="567" w:right="567"/>
        <w:contextualSpacing/>
        <w:jc w:val="both"/>
        <w:rPr>
          <w:rFonts w:ascii="Palatino Linotype" w:eastAsiaTheme="minorEastAsia" w:hAnsi="Palatino Linotype" w:cs="Arial"/>
          <w:i/>
          <w:lang w:val="es-ES_tradnl" w:eastAsia="es-ES"/>
        </w:rPr>
      </w:pPr>
    </w:p>
    <w:p w14:paraId="744987A3" w14:textId="77777777" w:rsidR="00E72A6C" w:rsidRPr="00AC3D42" w:rsidRDefault="00E72A6C" w:rsidP="00E72A6C">
      <w:pPr>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43E560D1" w14:textId="77777777" w:rsidR="00E72A6C" w:rsidRPr="00745D07" w:rsidRDefault="00E72A6C" w:rsidP="00E72A6C">
      <w:pPr>
        <w:spacing w:line="360" w:lineRule="auto"/>
        <w:ind w:left="360"/>
        <w:contextualSpacing/>
        <w:jc w:val="both"/>
        <w:rPr>
          <w:rFonts w:ascii="Palatino Linotype" w:eastAsiaTheme="minorEastAsia" w:hAnsi="Palatino Linotype" w:cs="Arial"/>
          <w:lang w:val="es-ES_tradnl" w:eastAsia="es-ES"/>
        </w:rPr>
      </w:pPr>
    </w:p>
    <w:p w14:paraId="51BFFB48"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ese tenor, en el asunto particular derivado de la negativa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D17CC54" w14:textId="77777777" w:rsidR="00E72A6C" w:rsidRPr="00745D07" w:rsidRDefault="00E72A6C" w:rsidP="00E72A6C">
      <w:pPr>
        <w:spacing w:line="360" w:lineRule="auto"/>
        <w:contextualSpacing/>
        <w:jc w:val="both"/>
        <w:rPr>
          <w:rFonts w:ascii="Palatino Linotype" w:eastAsiaTheme="minorEastAsia" w:hAnsi="Palatino Linotype" w:cs="Arial"/>
          <w:lang w:val="es-ES_tradnl" w:eastAsia="es-ES"/>
        </w:rPr>
      </w:pPr>
    </w:p>
    <w:p w14:paraId="25067DD2" w14:textId="77777777" w:rsidR="00E72A6C" w:rsidRPr="00745D07"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rPr>
        <w:t xml:space="preserve">sujetos obligados emiten respuesta derivada de una </w:t>
      </w:r>
      <w:r w:rsidRPr="000F36FD">
        <w:rPr>
          <w:rFonts w:ascii="Palatino Linotype" w:eastAsiaTheme="minorEastAsia" w:hAnsi="Palatino Linotype" w:cs="Arial"/>
          <w:lang w:val="es-ES_tradnl"/>
        </w:rPr>
        <w:t>resolución</w:t>
      </w:r>
      <w:r w:rsidRPr="00745D07">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745D07">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w:t>
      </w:r>
      <w:r w:rsidRPr="00745D07">
        <w:rPr>
          <w:rFonts w:ascii="Palatino Linotype" w:eastAsiaTheme="minorEastAsia" w:hAnsi="Palatino Linotype" w:cs="Arial"/>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rPr>
        <w:t>queda al alcance de la persona la interposición de un nuevo recurso de revisión</w:t>
      </w:r>
      <w:r w:rsidRPr="00745D07">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3" w:name="_Toc487739452"/>
      <w:bookmarkStart w:id="34" w:name="_Toc524344196"/>
      <w:bookmarkStart w:id="35" w:name="_Toc526271201"/>
      <w:bookmarkStart w:id="36" w:name="_Toc536106975"/>
      <w:bookmarkStart w:id="37" w:name="_Toc71234384"/>
    </w:p>
    <w:p w14:paraId="0515A9D3" w14:textId="77777777" w:rsidR="00E72A6C" w:rsidRPr="00745D07" w:rsidRDefault="00E72A6C" w:rsidP="00E72A6C">
      <w:pPr>
        <w:spacing w:line="360" w:lineRule="auto"/>
        <w:contextualSpacing/>
        <w:jc w:val="both"/>
        <w:rPr>
          <w:rFonts w:ascii="Palatino Linotype" w:eastAsiaTheme="minorEastAsia" w:hAnsi="Palatino Linotype" w:cs="Arial"/>
          <w:lang w:val="es-ES_tradnl" w:eastAsia="es-ES"/>
        </w:rPr>
      </w:pPr>
    </w:p>
    <w:p w14:paraId="2B20B089" w14:textId="77777777" w:rsidR="00E72A6C" w:rsidRPr="00C70FA6" w:rsidRDefault="00E72A6C" w:rsidP="00E72A6C">
      <w:pPr>
        <w:keepNext/>
        <w:keepLines/>
        <w:spacing w:line="360" w:lineRule="auto"/>
        <w:outlineLvl w:val="0"/>
        <w:rPr>
          <w:rFonts w:ascii="Palatino Linotype" w:eastAsia="MS Gothic" w:hAnsi="Palatino Linotype" w:cstheme="majorBidi"/>
          <w:b/>
        </w:rPr>
      </w:pPr>
      <w:bookmarkStart w:id="38" w:name="_Toc83901402"/>
      <w:r w:rsidRPr="00C70FA6">
        <w:rPr>
          <w:rFonts w:ascii="Palatino Linotype" w:eastAsiaTheme="minorEastAsia" w:hAnsi="Palatino Linotype" w:cs="Arial"/>
          <w:b/>
          <w:lang w:val="es-ES_tradnl" w:eastAsia="es-ES"/>
        </w:rPr>
        <w:t>SEXTO</w:t>
      </w:r>
      <w:r w:rsidRPr="00C70FA6">
        <w:rPr>
          <w:rFonts w:ascii="Palatino Linotype" w:eastAsia="MS Gothic" w:hAnsi="Palatino Linotype" w:cstheme="majorBidi"/>
          <w:b/>
        </w:rPr>
        <w:t>. Vista a</w:t>
      </w:r>
      <w:bookmarkEnd w:id="33"/>
      <w:r w:rsidRPr="00C70FA6">
        <w:rPr>
          <w:rFonts w:ascii="Palatino Linotype" w:eastAsia="MS Gothic" w:hAnsi="Palatino Linotype" w:cstheme="majorBidi"/>
          <w:b/>
        </w:rPr>
        <w:t>l área competente derivado del incumplimiento.</w:t>
      </w:r>
      <w:bookmarkEnd w:id="34"/>
      <w:bookmarkEnd w:id="35"/>
      <w:bookmarkEnd w:id="36"/>
      <w:bookmarkEnd w:id="37"/>
      <w:bookmarkEnd w:id="38"/>
    </w:p>
    <w:p w14:paraId="20214A0B" w14:textId="77777777" w:rsidR="00E72A6C" w:rsidRPr="00C70FA6" w:rsidRDefault="00E72A6C" w:rsidP="00E72A6C">
      <w:pPr>
        <w:spacing w:line="360" w:lineRule="auto"/>
        <w:rPr>
          <w:rFonts w:ascii="Palatino Linotype" w:eastAsiaTheme="minorEastAsia" w:hAnsi="Palatino Linotype"/>
        </w:rPr>
      </w:pPr>
    </w:p>
    <w:p w14:paraId="38224C68" w14:textId="77777777" w:rsidR="00E72A6C" w:rsidRPr="00C70FA6" w:rsidRDefault="00E72A6C" w:rsidP="00E72A6C">
      <w:pPr>
        <w:pStyle w:val="Prrafodelista"/>
        <w:numPr>
          <w:ilvl w:val="0"/>
          <w:numId w:val="7"/>
        </w:numPr>
        <w:spacing w:line="360" w:lineRule="auto"/>
        <w:ind w:left="0" w:firstLine="0"/>
        <w:jc w:val="both"/>
        <w:rPr>
          <w:rFonts w:ascii="Palatino Linotype" w:hAnsi="Palatino Linotype"/>
          <w:lang w:val="es-ES_tradnl"/>
        </w:rPr>
      </w:pPr>
      <w:r w:rsidRPr="00C70FA6">
        <w:rPr>
          <w:rFonts w:ascii="Palatino Linotype" w:eastAsiaTheme="minorEastAsia" w:hAnsi="Palatino Linotype" w:cs="Arial"/>
          <w:lang w:val="es-ES_tradnl"/>
        </w:rPr>
        <w:t>Con</w:t>
      </w:r>
      <w:r w:rsidRPr="00C70FA6">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16DA0567" w14:textId="77777777" w:rsidR="00E72A6C" w:rsidRPr="00C70FA6" w:rsidRDefault="00E72A6C" w:rsidP="00E72A6C">
      <w:pPr>
        <w:spacing w:line="360" w:lineRule="auto"/>
        <w:contextualSpacing/>
        <w:jc w:val="both"/>
        <w:rPr>
          <w:rFonts w:ascii="Palatino Linotype" w:hAnsi="Palatino Linotype"/>
          <w:lang w:val="es-ES_tradnl" w:eastAsia="es-ES"/>
        </w:rPr>
      </w:pPr>
    </w:p>
    <w:p w14:paraId="450E0F2B" w14:textId="77777777" w:rsidR="00E72A6C" w:rsidRPr="00C70FA6" w:rsidRDefault="00E72A6C" w:rsidP="00E72A6C">
      <w:pPr>
        <w:pStyle w:val="Prrafodelista"/>
        <w:ind w:left="567" w:right="567"/>
        <w:jc w:val="both"/>
        <w:rPr>
          <w:rFonts w:ascii="Palatino Linotype" w:hAnsi="Palatino Linotype"/>
          <w:i/>
        </w:rPr>
      </w:pPr>
      <w:r w:rsidRPr="00C70FA6">
        <w:rPr>
          <w:rFonts w:ascii="Palatino Linotype" w:hAnsi="Palatino Linotype"/>
          <w:b/>
          <w:i/>
        </w:rPr>
        <w:t>“Artículo 222.</w:t>
      </w:r>
      <w:r w:rsidRPr="00C70FA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4768BACA" w14:textId="77777777" w:rsidR="00E72A6C" w:rsidRPr="00C70FA6" w:rsidRDefault="00E72A6C" w:rsidP="00E72A6C">
      <w:pPr>
        <w:pStyle w:val="Prrafodelista"/>
        <w:ind w:left="567" w:right="567"/>
        <w:jc w:val="both"/>
        <w:rPr>
          <w:rFonts w:ascii="Palatino Linotype" w:hAnsi="Palatino Linotype"/>
          <w:i/>
        </w:rPr>
      </w:pPr>
      <w:r w:rsidRPr="00C70FA6">
        <w:rPr>
          <w:rFonts w:ascii="Palatino Linotype" w:hAnsi="Palatino Linotype"/>
          <w:i/>
        </w:rPr>
        <w:t>(…)</w:t>
      </w:r>
    </w:p>
    <w:p w14:paraId="17D2ACE1" w14:textId="77777777" w:rsidR="00E72A6C" w:rsidRPr="00C70FA6" w:rsidRDefault="00E72A6C" w:rsidP="00E72A6C">
      <w:pPr>
        <w:pStyle w:val="Prrafodelista"/>
        <w:ind w:left="567" w:right="567"/>
        <w:jc w:val="both"/>
        <w:rPr>
          <w:rFonts w:ascii="Palatino Linotype" w:hAnsi="Palatino Linotype"/>
          <w:i/>
        </w:rPr>
      </w:pPr>
      <w:r w:rsidRPr="00C70FA6">
        <w:rPr>
          <w:rFonts w:ascii="Palatino Linotype" w:hAnsi="Palatino Linotype"/>
          <w:b/>
          <w:i/>
        </w:rPr>
        <w:t>I. Cualquier acto u omisión que provoque la suspensión o deficiencia en la atención de las solicitudes de información</w:t>
      </w:r>
      <w:r w:rsidRPr="00C70FA6">
        <w:rPr>
          <w:rFonts w:ascii="Palatino Linotype" w:hAnsi="Palatino Linotype"/>
          <w:i/>
        </w:rPr>
        <w:t>;</w:t>
      </w:r>
    </w:p>
    <w:p w14:paraId="083EF0E2" w14:textId="77777777" w:rsidR="00E72A6C" w:rsidRPr="00C70FA6" w:rsidRDefault="00E72A6C" w:rsidP="00E72A6C">
      <w:pPr>
        <w:pStyle w:val="Prrafodelista"/>
        <w:ind w:left="567" w:right="567"/>
        <w:jc w:val="both"/>
        <w:rPr>
          <w:rFonts w:ascii="Palatino Linotype" w:hAnsi="Palatino Linotype"/>
          <w:i/>
        </w:rPr>
      </w:pPr>
      <w:r w:rsidRPr="00C70FA6">
        <w:rPr>
          <w:rFonts w:ascii="Palatino Linotype" w:hAnsi="Palatino Linotype"/>
          <w:b/>
          <w:i/>
        </w:rPr>
        <w:t>II. La falta de respuesta a las solicitudes de información en los plazos señalados en la normatividad aplicable</w:t>
      </w:r>
      <w:r w:rsidRPr="00C70FA6">
        <w:rPr>
          <w:rFonts w:ascii="Palatino Linotype" w:hAnsi="Palatino Linotype"/>
          <w:i/>
        </w:rPr>
        <w:t>;</w:t>
      </w:r>
    </w:p>
    <w:p w14:paraId="71ABC9F7" w14:textId="77777777" w:rsidR="00E72A6C" w:rsidRPr="00C70FA6" w:rsidRDefault="00E72A6C" w:rsidP="00E72A6C">
      <w:pPr>
        <w:pStyle w:val="Prrafodelista"/>
        <w:ind w:left="567" w:right="567"/>
        <w:jc w:val="both"/>
        <w:rPr>
          <w:rFonts w:ascii="Palatino Linotype" w:hAnsi="Palatino Linotype"/>
          <w:i/>
        </w:rPr>
      </w:pPr>
      <w:r w:rsidRPr="00C70FA6">
        <w:rPr>
          <w:rFonts w:ascii="Palatino Linotype" w:hAnsi="Palatino Linotype"/>
          <w:i/>
        </w:rPr>
        <w:t>(…)”</w:t>
      </w:r>
    </w:p>
    <w:p w14:paraId="66700DF3" w14:textId="77777777" w:rsidR="00E72A6C" w:rsidRPr="00C70FA6" w:rsidRDefault="00E72A6C" w:rsidP="00E72A6C">
      <w:pPr>
        <w:pStyle w:val="Prrafodelista"/>
        <w:spacing w:line="360" w:lineRule="auto"/>
        <w:ind w:left="567" w:right="567"/>
        <w:jc w:val="both"/>
        <w:rPr>
          <w:rFonts w:ascii="Palatino Linotype" w:hAnsi="Palatino Linotype"/>
        </w:rPr>
      </w:pPr>
      <w:r w:rsidRPr="00C70FA6">
        <w:rPr>
          <w:rFonts w:ascii="Palatino Linotype" w:hAnsi="Palatino Linotype"/>
        </w:rPr>
        <w:t>(Énfasis Añadido)</w:t>
      </w:r>
    </w:p>
    <w:p w14:paraId="73D421FA" w14:textId="77777777" w:rsidR="00E72A6C" w:rsidRPr="00C70FA6" w:rsidRDefault="00E72A6C" w:rsidP="00E72A6C">
      <w:pPr>
        <w:spacing w:line="360" w:lineRule="auto"/>
        <w:ind w:right="567"/>
        <w:jc w:val="both"/>
        <w:rPr>
          <w:rFonts w:ascii="Palatino Linotype" w:hAnsi="Palatino Linotype"/>
          <w:i/>
        </w:rPr>
      </w:pPr>
    </w:p>
    <w:p w14:paraId="2C2879F2" w14:textId="77777777" w:rsidR="00E72A6C" w:rsidRPr="00C70FA6" w:rsidRDefault="00E72A6C" w:rsidP="00E72A6C">
      <w:pPr>
        <w:pStyle w:val="Prrafodelista"/>
        <w:numPr>
          <w:ilvl w:val="0"/>
          <w:numId w:val="7"/>
        </w:numPr>
        <w:spacing w:line="360" w:lineRule="auto"/>
        <w:ind w:left="0" w:firstLine="0"/>
        <w:jc w:val="both"/>
        <w:rPr>
          <w:rFonts w:ascii="Palatino Linotype" w:hAnsi="Palatino Linotype"/>
          <w:lang w:val="es-ES_tradnl"/>
        </w:rPr>
      </w:pPr>
      <w:r w:rsidRPr="00C70FA6">
        <w:rPr>
          <w:rFonts w:ascii="Palatino Linotype" w:hAnsi="Palatino Linotype"/>
          <w:lang w:val="es-ES_tradnl"/>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27DAF1C9" w14:textId="77777777" w:rsidR="00E72A6C" w:rsidRPr="00C70FA6" w:rsidRDefault="00E72A6C" w:rsidP="00E72A6C">
      <w:pPr>
        <w:spacing w:line="360" w:lineRule="auto"/>
        <w:contextualSpacing/>
        <w:jc w:val="both"/>
        <w:rPr>
          <w:rFonts w:ascii="Palatino Linotype" w:hAnsi="Palatino Linotype"/>
          <w:lang w:val="es-ES_tradnl" w:eastAsia="es-ES"/>
        </w:rPr>
      </w:pPr>
    </w:p>
    <w:p w14:paraId="157A80B1" w14:textId="77777777" w:rsidR="00E72A6C" w:rsidRPr="00C70FA6" w:rsidRDefault="00E72A6C" w:rsidP="00E72A6C">
      <w:pPr>
        <w:pStyle w:val="Prrafodelista"/>
        <w:numPr>
          <w:ilvl w:val="0"/>
          <w:numId w:val="7"/>
        </w:numPr>
        <w:spacing w:line="360" w:lineRule="auto"/>
        <w:ind w:left="0" w:firstLine="0"/>
        <w:jc w:val="both"/>
        <w:rPr>
          <w:rFonts w:ascii="Palatino Linotype" w:hAnsi="Palatino Linotype"/>
          <w:lang w:val="es-ES_tradnl"/>
        </w:rPr>
      </w:pPr>
      <w:r w:rsidRPr="00C70FA6">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17A7C385" w14:textId="77777777" w:rsidR="00E72A6C" w:rsidRPr="00C70FA6" w:rsidRDefault="00E72A6C" w:rsidP="00E72A6C">
      <w:pPr>
        <w:spacing w:line="360" w:lineRule="auto"/>
        <w:contextualSpacing/>
        <w:jc w:val="both"/>
        <w:rPr>
          <w:rFonts w:ascii="Palatino Linotype" w:hAnsi="Palatino Linotype"/>
          <w:lang w:val="es-ES_tradnl" w:eastAsia="es-ES"/>
        </w:rPr>
      </w:pPr>
    </w:p>
    <w:p w14:paraId="1A048828" w14:textId="77777777" w:rsidR="00E72A6C" w:rsidRPr="00C70FA6" w:rsidRDefault="00E72A6C" w:rsidP="00E72A6C">
      <w:pPr>
        <w:pStyle w:val="Prrafodelista"/>
        <w:numPr>
          <w:ilvl w:val="0"/>
          <w:numId w:val="7"/>
        </w:numPr>
        <w:spacing w:line="360" w:lineRule="auto"/>
        <w:ind w:left="0" w:firstLine="0"/>
        <w:jc w:val="both"/>
        <w:rPr>
          <w:rFonts w:ascii="Palatino Linotype" w:hAnsi="Palatino Linotype"/>
          <w:lang w:val="es-ES_tradnl"/>
        </w:rPr>
      </w:pPr>
      <w:r w:rsidRPr="00C70FA6">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AE81AE8" w14:textId="77777777" w:rsidR="00E72A6C" w:rsidRPr="00C70FA6" w:rsidRDefault="00E72A6C" w:rsidP="00E72A6C">
      <w:pPr>
        <w:spacing w:line="360" w:lineRule="auto"/>
        <w:contextualSpacing/>
        <w:jc w:val="both"/>
        <w:rPr>
          <w:rFonts w:ascii="Palatino Linotype" w:hAnsi="Palatino Linotype"/>
          <w:lang w:val="es-ES_tradnl" w:eastAsia="es-ES"/>
        </w:rPr>
      </w:pPr>
    </w:p>
    <w:p w14:paraId="755D0ED8" w14:textId="77777777" w:rsidR="00E72A6C" w:rsidRPr="00C70FA6" w:rsidRDefault="00E72A6C" w:rsidP="00E72A6C">
      <w:pPr>
        <w:ind w:left="567" w:right="567"/>
        <w:contextualSpacing/>
        <w:jc w:val="both"/>
        <w:rPr>
          <w:rFonts w:ascii="Palatino Linotype" w:hAnsi="Palatino Linotype"/>
          <w:i/>
          <w:lang w:val="es-ES_tradnl" w:eastAsia="es-ES"/>
        </w:rPr>
      </w:pPr>
      <w:r w:rsidRPr="00C70FA6">
        <w:rPr>
          <w:rFonts w:ascii="Palatino Linotype" w:hAnsi="Palatino Linotype"/>
          <w:i/>
          <w:lang w:val="es-ES_tradnl" w:eastAsia="es-ES"/>
        </w:rPr>
        <w:t>“</w:t>
      </w:r>
      <w:r w:rsidRPr="00C70FA6">
        <w:rPr>
          <w:rFonts w:ascii="Palatino Linotype" w:hAnsi="Palatino Linotype"/>
          <w:b/>
          <w:i/>
          <w:lang w:val="es-ES_tradnl" w:eastAsia="es-ES"/>
        </w:rPr>
        <w:t>Artículo 36.</w:t>
      </w:r>
      <w:r w:rsidRPr="00C70FA6">
        <w:rPr>
          <w:rFonts w:ascii="Palatino Linotype" w:hAnsi="Palatino Linotype"/>
          <w:i/>
          <w:lang w:val="es-ES_tradnl" w:eastAsia="es-ES"/>
        </w:rPr>
        <w:t xml:space="preserve"> El Instituto tendrá, en el ámbito de su competencia, las siguientes atribuciones:</w:t>
      </w:r>
    </w:p>
    <w:p w14:paraId="0E0F6923" w14:textId="77777777" w:rsidR="00E72A6C" w:rsidRPr="00C70FA6" w:rsidRDefault="00E72A6C" w:rsidP="00E72A6C">
      <w:pPr>
        <w:ind w:left="567" w:right="567"/>
        <w:contextualSpacing/>
        <w:jc w:val="both"/>
        <w:rPr>
          <w:rFonts w:ascii="Palatino Linotype" w:hAnsi="Palatino Linotype"/>
          <w:i/>
          <w:lang w:val="es-ES_tradnl" w:eastAsia="es-ES"/>
        </w:rPr>
      </w:pPr>
      <w:r w:rsidRPr="00C70FA6">
        <w:rPr>
          <w:rFonts w:ascii="Palatino Linotype" w:hAnsi="Palatino Linotype"/>
          <w:i/>
          <w:lang w:val="es-ES_tradnl" w:eastAsia="es-ES"/>
        </w:rPr>
        <w:t>(…)</w:t>
      </w:r>
    </w:p>
    <w:p w14:paraId="00411027" w14:textId="77777777" w:rsidR="00E72A6C" w:rsidRPr="00C70FA6" w:rsidRDefault="00E72A6C" w:rsidP="00E72A6C">
      <w:pPr>
        <w:ind w:left="567" w:right="567"/>
        <w:contextualSpacing/>
        <w:jc w:val="both"/>
        <w:rPr>
          <w:rFonts w:ascii="Palatino Linotype" w:hAnsi="Palatino Linotype"/>
          <w:i/>
          <w:lang w:val="es-ES_tradnl" w:eastAsia="es-ES"/>
        </w:rPr>
      </w:pPr>
      <w:r w:rsidRPr="00C70FA6">
        <w:rPr>
          <w:rFonts w:ascii="Palatino Linotype" w:hAnsi="Palatino Linotype"/>
          <w:i/>
          <w:lang w:val="es-ES_tradnl" w:eastAsia="es-ES"/>
        </w:rPr>
        <w:t>X. Hacer del conocimiento del órgano de control interno o equivalente de cada Sujeto Obligado las infracciones a esta Ley; “</w:t>
      </w:r>
    </w:p>
    <w:p w14:paraId="5B1550A1" w14:textId="77777777" w:rsidR="00E72A6C" w:rsidRPr="00C70FA6" w:rsidRDefault="00E72A6C" w:rsidP="00E72A6C">
      <w:pPr>
        <w:ind w:left="567" w:right="567"/>
        <w:contextualSpacing/>
        <w:jc w:val="both"/>
        <w:rPr>
          <w:rFonts w:ascii="Palatino Linotype" w:hAnsi="Palatino Linotype"/>
          <w:i/>
          <w:lang w:val="es-ES_tradnl" w:eastAsia="es-ES"/>
        </w:rPr>
      </w:pPr>
      <w:r w:rsidRPr="00C70FA6">
        <w:rPr>
          <w:rFonts w:ascii="Palatino Linotype" w:hAnsi="Palatino Linotype"/>
          <w:i/>
          <w:lang w:val="es-ES_tradnl" w:eastAsia="es-ES"/>
        </w:rPr>
        <w:t>(…)”</w:t>
      </w:r>
    </w:p>
    <w:p w14:paraId="5BC30DA0" w14:textId="77777777" w:rsidR="00E72A6C" w:rsidRPr="00C70FA6" w:rsidRDefault="00E72A6C" w:rsidP="00E72A6C">
      <w:pPr>
        <w:ind w:left="567" w:right="567"/>
        <w:contextualSpacing/>
        <w:jc w:val="both"/>
        <w:rPr>
          <w:rFonts w:ascii="Palatino Linotype" w:hAnsi="Palatino Linotype"/>
          <w:lang w:val="es-ES_tradnl" w:eastAsia="es-ES"/>
        </w:rPr>
      </w:pPr>
      <w:r w:rsidRPr="00C70FA6">
        <w:rPr>
          <w:rFonts w:ascii="Palatino Linotype" w:hAnsi="Palatino Linotype"/>
          <w:lang w:val="es-ES_tradnl" w:eastAsia="es-ES"/>
        </w:rPr>
        <w:t>(Énfasis Añadido)</w:t>
      </w:r>
    </w:p>
    <w:p w14:paraId="64EE92E2" w14:textId="77777777" w:rsidR="00E72A6C" w:rsidRPr="00C70FA6" w:rsidRDefault="00E72A6C" w:rsidP="00E72A6C">
      <w:pPr>
        <w:spacing w:line="360" w:lineRule="auto"/>
        <w:contextualSpacing/>
        <w:jc w:val="both"/>
        <w:rPr>
          <w:rFonts w:ascii="Palatino Linotype" w:eastAsia="MS Mincho" w:hAnsi="Palatino Linotype" w:cs="Arial"/>
          <w:lang w:val="es-ES_tradnl" w:eastAsia="es-ES"/>
        </w:rPr>
      </w:pPr>
    </w:p>
    <w:p w14:paraId="630A1075" w14:textId="1503E2F5" w:rsidR="00E65C4A" w:rsidRDefault="00E65C4A" w:rsidP="00E65C4A">
      <w:pPr>
        <w:numPr>
          <w:ilvl w:val="0"/>
          <w:numId w:val="39"/>
        </w:numPr>
        <w:spacing w:line="360" w:lineRule="auto"/>
        <w:ind w:left="0" w:firstLine="0"/>
        <w:contextualSpacing/>
        <w:jc w:val="both"/>
        <w:rPr>
          <w:rFonts w:ascii="Palatino Linotype" w:hAnsi="Palatino Linotype" w:cs="Arial"/>
        </w:rPr>
      </w:pPr>
      <w:r w:rsidRPr="00C70FA6">
        <w:rPr>
          <w:rFonts w:ascii="Palatino Linotype" w:hAnsi="Palatino Linotype" w:cs="Arial"/>
        </w:rPr>
        <w:t>En efecto, la Secretaría técnica del Pleno hará del conocimiento del órgano de control de este Instituto de las infracciones en que el Sujeto Obligado incurrió, toda vez que la naturaleza de investigar y sancionar corre</w:t>
      </w:r>
      <w:r w:rsidRPr="008357E2">
        <w:rPr>
          <w:rFonts w:ascii="Palatino Linotype" w:hAnsi="Palatino Linotype" w:cs="Arial"/>
        </w:rPr>
        <w:t xml:space="preserve">sponde a un ente distinto a éste </w:t>
      </w:r>
      <w:r w:rsidRPr="008357E2">
        <w:rPr>
          <w:rFonts w:ascii="Palatino Linotype" w:hAnsi="Palatino Linotype" w:cs="Arial"/>
        </w:rPr>
        <w:lastRenderedPageBreak/>
        <w:t>a través de un procedimiento diferente al recurso de revisión, lo cual se encuentra previsto en la Ley de Transparencia Acceso a la Información Pública del Estado de México y Municipios específicamente en sus artículos 190 y 22</w:t>
      </w:r>
      <w:r>
        <w:rPr>
          <w:rFonts w:ascii="Palatino Linotype" w:hAnsi="Palatino Linotype" w:cs="Arial"/>
        </w:rPr>
        <w:t>3</w:t>
      </w:r>
      <w:r w:rsidRPr="008357E2">
        <w:rPr>
          <w:rFonts w:ascii="Palatino Linotype" w:hAnsi="Palatino Linotype" w:cs="Arial"/>
        </w:rPr>
        <w:t>, que señalan lo siguiente:</w:t>
      </w:r>
    </w:p>
    <w:p w14:paraId="3A37432C" w14:textId="77777777" w:rsidR="00E72A6C" w:rsidRPr="00745D07" w:rsidRDefault="00E72A6C" w:rsidP="00E72A6C">
      <w:pPr>
        <w:spacing w:line="360" w:lineRule="auto"/>
        <w:contextualSpacing/>
        <w:jc w:val="both"/>
        <w:rPr>
          <w:rFonts w:ascii="Palatino Linotype" w:eastAsia="MS Mincho" w:hAnsi="Palatino Linotype" w:cs="Arial"/>
          <w:lang w:val="es-ES_tradnl" w:eastAsia="es-ES"/>
        </w:rPr>
      </w:pPr>
    </w:p>
    <w:p w14:paraId="7518B471" w14:textId="77777777" w:rsidR="00E72A6C" w:rsidRDefault="00E72A6C" w:rsidP="00E72A6C">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CF3B80" w14:textId="77777777" w:rsidR="00E72A6C" w:rsidRDefault="00E72A6C" w:rsidP="00E72A6C">
      <w:pPr>
        <w:ind w:left="567" w:right="567"/>
        <w:contextualSpacing/>
        <w:jc w:val="both"/>
        <w:rPr>
          <w:rFonts w:ascii="Palatino Linotype" w:hAnsi="Palatino Linotype"/>
          <w:i/>
          <w:lang w:val="es-ES_tradnl" w:eastAsia="es-ES"/>
        </w:rPr>
      </w:pPr>
    </w:p>
    <w:p w14:paraId="5C2A7F6E" w14:textId="77777777" w:rsidR="00E72A6C" w:rsidRPr="00745D07" w:rsidRDefault="00E72A6C" w:rsidP="00E72A6C">
      <w:pPr>
        <w:ind w:left="567" w:right="567"/>
        <w:contextualSpacing/>
        <w:jc w:val="both"/>
        <w:rPr>
          <w:rFonts w:ascii="Palatino Linotype" w:eastAsiaTheme="minorEastAsia" w:hAnsi="Palatino Linotype"/>
          <w:i/>
          <w:lang w:val="es-ES_tradnl" w:eastAsia="es-ES"/>
        </w:rPr>
      </w:pPr>
      <w:r w:rsidRPr="00AE18A4">
        <w:rPr>
          <w:rFonts w:ascii="Palatino Linotype" w:hAnsi="Palatino Linotype"/>
          <w:b/>
          <w:i/>
          <w:lang w:val="es-ES_tradnl" w:eastAsia="es-ES"/>
        </w:rPr>
        <w:t>Artículo 223.</w:t>
      </w:r>
      <w:r w:rsidRPr="00745D07">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14:paraId="6567884F" w14:textId="77777777" w:rsidR="00E72A6C" w:rsidRPr="00745D07" w:rsidRDefault="00E72A6C" w:rsidP="00E72A6C">
      <w:pPr>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p>
    <w:p w14:paraId="4FE52760" w14:textId="77777777" w:rsidR="00E72A6C" w:rsidRDefault="00E72A6C" w:rsidP="00E72A6C">
      <w:pPr>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14:paraId="25245E33" w14:textId="77777777" w:rsidR="00E72A6C" w:rsidRPr="003E19A1" w:rsidRDefault="00E72A6C" w:rsidP="00E72A6C">
      <w:pPr>
        <w:spacing w:line="360" w:lineRule="auto"/>
        <w:ind w:left="567" w:right="567"/>
        <w:contextualSpacing/>
        <w:jc w:val="both"/>
        <w:rPr>
          <w:rFonts w:ascii="Palatino Linotype" w:eastAsiaTheme="minorEastAsia" w:hAnsi="Palatino Linotype"/>
          <w:lang w:val="es-ES_tradnl" w:eastAsia="es-ES"/>
        </w:rPr>
      </w:pPr>
    </w:p>
    <w:p w14:paraId="7F3E9993" w14:textId="77777777" w:rsidR="00E72A6C" w:rsidRDefault="00E72A6C" w:rsidP="00E72A6C">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w:t>
      </w:r>
      <w:r w:rsidRPr="000F36FD">
        <w:rPr>
          <w:rFonts w:ascii="Palatino Linotype" w:hAnsi="Palatino Linotype"/>
          <w:lang w:val="es-ES_tradnl"/>
        </w:rPr>
        <w:t>consecuencia</w:t>
      </w:r>
      <w:r w:rsidRPr="00745D07">
        <w:rPr>
          <w:rFonts w:ascii="Palatino Linotype" w:eastAsiaTheme="minorEastAsia" w:hAnsi="Palatino Linotype" w:cs="Arial"/>
          <w:lang w:val="es-ES_tradnl"/>
        </w:rPr>
        <w:t xml:space="preserve"> el recurso de revisión consiste en una garantía secundaria</w:t>
      </w:r>
      <w:r w:rsidRPr="00745D07">
        <w:rPr>
          <w:rFonts w:ascii="Palatino Linotype" w:eastAsiaTheme="minorEastAsia" w:hAnsi="Palatino Linotype" w:cs="Arial"/>
          <w:i/>
          <w:lang w:val="es-ES_tradnl"/>
        </w:rPr>
        <w:t xml:space="preserve"> de la anulabil</w:t>
      </w:r>
      <w:r w:rsidRPr="000F36FD">
        <w:rPr>
          <w:rFonts w:ascii="Palatino Linotype" w:hAnsi="Palatino Linotype"/>
          <w:lang w:val="es-ES_tradnl"/>
        </w:rPr>
        <w:t>i</w:t>
      </w:r>
      <w:r w:rsidRPr="00745D07">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rPr>
        <w:footnoteReference w:id="2"/>
      </w:r>
      <w:r w:rsidRPr="00745D07">
        <w:rPr>
          <w:rFonts w:ascii="Palatino Linotype" w:eastAsiaTheme="minorEastAsia" w:hAnsi="Palatino Linotype" w:cs="Arial"/>
          <w:lang w:val="es-ES_tradnl"/>
        </w:rPr>
        <w:t xml:space="preserve"> , esto refiere que, ante la falta de respuesta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w:t>
      </w:r>
      <w:r>
        <w:rPr>
          <w:rFonts w:ascii="Palatino Linotype" w:eastAsiaTheme="minorEastAsia" w:hAnsi="Palatino Linotype" w:cs="Arial"/>
          <w:b/>
          <w:lang w:val="es-ES_tradnl"/>
        </w:rPr>
        <w:t>EL RECURRENTE</w:t>
      </w:r>
      <w:r w:rsidRPr="00745D07">
        <w:rPr>
          <w:rFonts w:ascii="Palatino Linotype" w:eastAsiaTheme="minorEastAsia" w:hAnsi="Palatino Linotype" w:cs="Arial"/>
          <w:lang w:val="es-ES_tradnl"/>
        </w:rPr>
        <w:t xml:space="preserve"> interpuso el recurso de revisión con el objeto de que este órgano garante determine si existió una </w:t>
      </w:r>
      <w:r w:rsidRPr="00745D07">
        <w:rPr>
          <w:rFonts w:ascii="Palatino Linotype" w:eastAsiaTheme="minorEastAsia" w:hAnsi="Palatino Linotype" w:cs="Arial"/>
          <w:lang w:val="es-ES_tradnl"/>
        </w:rPr>
        <w:lastRenderedPageBreak/>
        <w:t xml:space="preserve">violación al derecho de acceso a la información pública y que esta violación sea reparada por la autoridad competente. </w:t>
      </w:r>
    </w:p>
    <w:p w14:paraId="1F968E72" w14:textId="77777777" w:rsidR="00E72A6C" w:rsidRPr="00745D07" w:rsidRDefault="00E72A6C" w:rsidP="00E72A6C">
      <w:pPr>
        <w:spacing w:line="360" w:lineRule="auto"/>
        <w:ind w:right="49"/>
        <w:contextualSpacing/>
        <w:jc w:val="both"/>
        <w:rPr>
          <w:rFonts w:ascii="Palatino Linotype" w:eastAsiaTheme="minorEastAsia" w:hAnsi="Palatino Linotype" w:cs="Arial"/>
          <w:lang w:val="es-ES_tradnl" w:eastAsia="es-ES"/>
        </w:rPr>
      </w:pPr>
    </w:p>
    <w:p w14:paraId="6DE37092" w14:textId="77777777" w:rsidR="00E72A6C" w:rsidRDefault="00E72A6C" w:rsidP="00E72A6C">
      <w:pPr>
        <w:pStyle w:val="Ttulo2"/>
        <w:spacing w:before="0" w:line="360" w:lineRule="auto"/>
        <w:rPr>
          <w:rFonts w:ascii="Palatino Linotype" w:eastAsiaTheme="minorEastAsia" w:hAnsi="Palatino Linotype"/>
          <w:b/>
          <w:color w:val="auto"/>
          <w:sz w:val="24"/>
          <w:szCs w:val="24"/>
          <w:lang w:val="es-ES_tradnl" w:eastAsia="es-ES"/>
        </w:rPr>
      </w:pPr>
      <w:bookmarkStart w:id="39" w:name="_Toc71234386"/>
      <w:bookmarkStart w:id="40" w:name="_Toc83901403"/>
      <w:r w:rsidRPr="00745D07">
        <w:rPr>
          <w:rFonts w:ascii="Palatino Linotype" w:eastAsiaTheme="minorEastAsia" w:hAnsi="Palatino Linotype"/>
          <w:b/>
          <w:color w:val="auto"/>
          <w:sz w:val="24"/>
          <w:szCs w:val="24"/>
          <w:lang w:val="es-ES_tradnl" w:eastAsia="es-ES"/>
        </w:rPr>
        <w:t>SÉPTIMO. De la versión pública.</w:t>
      </w:r>
      <w:bookmarkEnd w:id="39"/>
      <w:bookmarkEnd w:id="40"/>
    </w:p>
    <w:p w14:paraId="496283FB" w14:textId="77777777" w:rsidR="00E72A6C" w:rsidRPr="00AC3D42" w:rsidRDefault="00E72A6C" w:rsidP="00E72A6C">
      <w:pPr>
        <w:rPr>
          <w:rFonts w:eastAsiaTheme="minorEastAsia"/>
          <w:lang w:val="es-ES_tradnl" w:eastAsia="es-ES"/>
        </w:rPr>
      </w:pPr>
    </w:p>
    <w:p w14:paraId="636E003C"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0F36FD">
        <w:rPr>
          <w:rFonts w:ascii="Palatino Linotype" w:eastAsiaTheme="minorEastAsia" w:hAnsi="Palatino Linotype" w:cs="Arial"/>
          <w:lang w:val="es-ES_tradnl"/>
        </w:rPr>
        <w:t>Debe</w:t>
      </w:r>
      <w:r w:rsidRPr="00745D07">
        <w:rPr>
          <w:rFonts w:ascii="Palatino Linotype" w:eastAsia="MS Gothic" w:hAnsi="Palatino Linotype"/>
        </w:rPr>
        <w:t xml:space="preserve"> destacarse que, debido a la naturaleza de la información solicitada</w:t>
      </w:r>
      <w:r w:rsidRPr="00745D07">
        <w:rPr>
          <w:rFonts w:ascii="Palatino Linotype" w:eastAsia="MS Gothic" w:hAnsi="Palatino Linotype"/>
          <w:b/>
        </w:rPr>
        <w:t xml:space="preserve">, </w:t>
      </w:r>
      <w:r w:rsidRPr="00745D07">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b/>
          <w:u w:val="single"/>
        </w:rPr>
        <w:t>versión pública</w:t>
      </w:r>
      <w:r w:rsidRPr="00745D07">
        <w:rPr>
          <w:rFonts w:ascii="Palatino Linotype" w:eastAsia="MS Gothic" w:hAnsi="Palatino Linotype"/>
        </w:rPr>
        <w:t xml:space="preserve"> de los documentos por las consideraciones que se estimen pertinentes.</w:t>
      </w:r>
    </w:p>
    <w:p w14:paraId="0E0BE5A7" w14:textId="77777777" w:rsidR="00E72A6C" w:rsidRPr="00745D07" w:rsidRDefault="00E72A6C" w:rsidP="00E72A6C">
      <w:pPr>
        <w:pStyle w:val="Prrafodelista"/>
        <w:tabs>
          <w:tab w:val="left" w:pos="0"/>
          <w:tab w:val="left" w:pos="142"/>
        </w:tabs>
        <w:spacing w:line="360" w:lineRule="auto"/>
        <w:ind w:left="0"/>
        <w:jc w:val="both"/>
        <w:rPr>
          <w:rFonts w:ascii="Palatino Linotype" w:hAnsi="Palatino Linotype" w:cs="Arial"/>
        </w:rPr>
      </w:pPr>
    </w:p>
    <w:p w14:paraId="7975E1B3"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La </w:t>
      </w:r>
      <w:r w:rsidRPr="000F36FD">
        <w:rPr>
          <w:rFonts w:ascii="Palatino Linotype" w:eastAsiaTheme="minorEastAsia" w:hAnsi="Palatino Linotype" w:cs="Arial"/>
          <w:lang w:val="es-ES_tradnl"/>
        </w:rPr>
        <w:t>clasificación</w:t>
      </w:r>
      <w:r w:rsidRPr="00745D07">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5D07">
        <w:rPr>
          <w:rFonts w:ascii="Palatino Linotype" w:eastAsia="MS Gothic" w:hAnsi="Palatino Linotype"/>
          <w:vertAlign w:val="superscript"/>
        </w:rPr>
        <w:footnoteReference w:id="3"/>
      </w:r>
      <w:r w:rsidRPr="00745D07">
        <w:rPr>
          <w:rFonts w:ascii="Palatino Linotype" w:eastAsia="MS Gothic" w:hAnsi="Palatino Linotype"/>
        </w:rPr>
        <w:t xml:space="preserve">, aunque cualquier límite o restricción, </w:t>
      </w:r>
      <w:r w:rsidRPr="00745D07">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45D07">
        <w:rPr>
          <w:rFonts w:ascii="Palatino Linotype" w:eastAsia="MS Gothic" w:hAnsi="Palatino Linotype"/>
          <w:vertAlign w:val="superscript"/>
        </w:rPr>
        <w:footnoteReference w:id="4"/>
      </w:r>
      <w:r w:rsidRPr="00745D0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608C69" w14:textId="77777777" w:rsidR="00E72A6C" w:rsidRPr="00745D07" w:rsidRDefault="00E72A6C" w:rsidP="00E72A6C">
      <w:pPr>
        <w:pStyle w:val="Prrafodelista"/>
        <w:spacing w:line="360" w:lineRule="auto"/>
        <w:rPr>
          <w:rFonts w:ascii="Palatino Linotype" w:hAnsi="Palatino Linotype" w:cs="Arial"/>
        </w:rPr>
      </w:pPr>
    </w:p>
    <w:p w14:paraId="24F75FB4"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El </w:t>
      </w:r>
      <w:r w:rsidRPr="000F36FD">
        <w:rPr>
          <w:rFonts w:ascii="Palatino Linotype" w:eastAsia="MS Gothic" w:hAnsi="Palatino Linotype"/>
        </w:rPr>
        <w:t>grave</w:t>
      </w:r>
      <w:r w:rsidRPr="00745D07">
        <w:rPr>
          <w:rFonts w:ascii="Palatino Linotype" w:eastAsia="MS Gothic" w:hAnsi="Palatino Linotype"/>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11F41C6" w14:textId="77777777" w:rsidR="00E72A6C" w:rsidRPr="00745D07" w:rsidRDefault="00E72A6C" w:rsidP="00E72A6C">
      <w:pPr>
        <w:pStyle w:val="Prrafodelista"/>
        <w:spacing w:line="360" w:lineRule="auto"/>
        <w:rPr>
          <w:rFonts w:ascii="Palatino Linotype" w:hAnsi="Palatino Linotype" w:cs="Arial"/>
        </w:rPr>
      </w:pPr>
    </w:p>
    <w:p w14:paraId="672B2A69" w14:textId="77777777" w:rsidR="00E72A6C" w:rsidRPr="00745D07" w:rsidRDefault="00E72A6C" w:rsidP="00E72A6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1" w:name="_Toc83901404"/>
      <w:r w:rsidRPr="00745D07">
        <w:rPr>
          <w:rFonts w:ascii="Palatino Linotype" w:hAnsi="Palatino Linotype" w:cs="Arial"/>
          <w:b/>
        </w:rPr>
        <w:t>I. Requisitos previos.</w:t>
      </w:r>
      <w:bookmarkEnd w:id="41"/>
    </w:p>
    <w:p w14:paraId="7E06E40B" w14:textId="77777777" w:rsidR="00E72A6C" w:rsidRPr="00745D07" w:rsidRDefault="00E72A6C" w:rsidP="00E72A6C">
      <w:pPr>
        <w:pStyle w:val="Prrafodelista"/>
        <w:spacing w:line="360" w:lineRule="auto"/>
        <w:rPr>
          <w:rFonts w:ascii="Palatino Linotype" w:hAnsi="Palatino Linotype" w:cs="Arial"/>
        </w:rPr>
      </w:pPr>
    </w:p>
    <w:p w14:paraId="69677B65"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rPr>
        <w:t xml:space="preserve">artículos 122 y 100 de la Ley Estatal y de la Ley General, respectivamente, señalan que los sujetos obligados determinan que la información actualiza alguno </w:t>
      </w:r>
      <w:r w:rsidRPr="00745D07">
        <w:rPr>
          <w:rFonts w:ascii="Palatino Linotype" w:eastAsia="MS Gothic" w:hAnsi="Palatino Linotype"/>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1F5C635" w14:textId="77777777" w:rsidR="00E72A6C" w:rsidRPr="00745D07" w:rsidRDefault="00E72A6C" w:rsidP="00E72A6C">
      <w:pPr>
        <w:pStyle w:val="Prrafodelista"/>
        <w:tabs>
          <w:tab w:val="left" w:pos="0"/>
          <w:tab w:val="left" w:pos="142"/>
        </w:tabs>
        <w:spacing w:line="360" w:lineRule="auto"/>
        <w:ind w:left="0"/>
        <w:jc w:val="both"/>
        <w:rPr>
          <w:rFonts w:ascii="Palatino Linotype" w:hAnsi="Palatino Linotype" w:cs="Arial"/>
        </w:rPr>
      </w:pPr>
    </w:p>
    <w:p w14:paraId="0CC1A40B" w14:textId="77777777" w:rsidR="00E72A6C" w:rsidRPr="00AE18A4" w:rsidRDefault="00E72A6C" w:rsidP="00E72A6C">
      <w:pPr>
        <w:pStyle w:val="Prrafodelista"/>
        <w:numPr>
          <w:ilvl w:val="0"/>
          <w:numId w:val="7"/>
        </w:numPr>
        <w:spacing w:line="360" w:lineRule="auto"/>
        <w:ind w:left="0" w:firstLine="0"/>
        <w:jc w:val="both"/>
        <w:rPr>
          <w:rFonts w:ascii="Palatino Linotype" w:hAnsi="Palatino Linotype" w:cs="Arial"/>
        </w:rPr>
      </w:pPr>
      <w:r w:rsidRPr="000F36FD">
        <w:rPr>
          <w:rFonts w:ascii="Palatino Linotype" w:hAnsi="Palatino Linotype" w:cs="Arial"/>
        </w:rPr>
        <w:t>Además</w:t>
      </w:r>
      <w:r w:rsidRPr="00745D07">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BEE3BA" w14:textId="77777777" w:rsidR="00E72A6C" w:rsidRPr="00AE18A4" w:rsidRDefault="00E72A6C" w:rsidP="00E72A6C">
      <w:pPr>
        <w:pStyle w:val="Prrafodelista"/>
        <w:rPr>
          <w:rFonts w:ascii="Palatino Linotype" w:hAnsi="Palatino Linotype" w:cs="Arial"/>
        </w:rPr>
      </w:pPr>
    </w:p>
    <w:p w14:paraId="65335D70" w14:textId="77777777" w:rsidR="00E72A6C" w:rsidRPr="00AC3D42"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El último</w:t>
      </w:r>
      <w:r w:rsidRPr="00745D07">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745D07">
        <w:rPr>
          <w:rFonts w:ascii="Palatino Linotype" w:eastAsia="MS Gothic" w:hAnsi="Palatino Linotype"/>
          <w:b/>
          <w:u w:val="single"/>
        </w:rPr>
        <w:t>no se puede hacer un acuerdo para clasificar de manera general todos los documentos de un expediente o área</w:t>
      </w:r>
      <w:r w:rsidRPr="00A2308A">
        <w:rPr>
          <w:rFonts w:ascii="Palatino Linotype" w:eastAsia="MS Gothic" w:hAnsi="Palatino Linotype"/>
          <w:b/>
        </w:rPr>
        <w:t xml:space="preserve">,  </w:t>
      </w:r>
      <w:r w:rsidRPr="00745D07">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7E949017" w14:textId="77777777" w:rsidR="00E72A6C" w:rsidRPr="00AC3D42" w:rsidRDefault="00E72A6C" w:rsidP="00E72A6C">
      <w:pPr>
        <w:pStyle w:val="Prrafodelista"/>
        <w:rPr>
          <w:rFonts w:ascii="Palatino Linotype" w:hAnsi="Palatino Linotype" w:cs="Arial"/>
        </w:rPr>
      </w:pPr>
    </w:p>
    <w:p w14:paraId="2468AC9B" w14:textId="77777777" w:rsidR="00E72A6C" w:rsidRPr="00745D07" w:rsidRDefault="00E72A6C" w:rsidP="00E72A6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2" w:name="_Toc83901405"/>
      <w:r w:rsidRPr="00745D07">
        <w:rPr>
          <w:rFonts w:ascii="Palatino Linotype" w:hAnsi="Palatino Linotype" w:cs="Arial"/>
          <w:b/>
        </w:rPr>
        <w:t>II. Supuestos de clasificación.</w:t>
      </w:r>
      <w:bookmarkEnd w:id="42"/>
    </w:p>
    <w:p w14:paraId="5EB27FA9" w14:textId="77777777" w:rsidR="00E72A6C" w:rsidRPr="000F36FD"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lastRenderedPageBreak/>
        <w:t>Las</w:t>
      </w:r>
      <w:r w:rsidRPr="00745D07">
        <w:rPr>
          <w:rFonts w:ascii="Palatino Linotype" w:eastAsia="MS Gothic" w:hAnsi="Palatino Linotype"/>
        </w:rPr>
        <w:t xml:space="preserve"> </w:t>
      </w:r>
      <w:r w:rsidRPr="000F36FD">
        <w:rPr>
          <w:rFonts w:ascii="Palatino Linotype" w:hAnsi="Palatino Linotype" w:cs="Arial"/>
        </w:rPr>
        <w:t>disposiciones</w:t>
      </w:r>
      <w:r w:rsidRPr="00745D07">
        <w:rPr>
          <w:rFonts w:ascii="Palatino Linotype" w:eastAsia="MS Gothic" w:hAnsi="Palatino Linotype"/>
        </w:rPr>
        <w:t xml:space="preserve"> constitucionales y legales en la materia establecen los dos supuestos generales para clasificar la información: por reserva y por confidencialidad.</w:t>
      </w:r>
    </w:p>
    <w:p w14:paraId="00D86FEF" w14:textId="77777777" w:rsidR="00E72A6C" w:rsidRPr="007F3E7E"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Los artículos</w:t>
      </w:r>
      <w:r w:rsidRPr="00745D07">
        <w:rPr>
          <w:rFonts w:ascii="Palatino Linotype" w:hAnsi="Palatino Linotype" w:cs="Arial"/>
        </w:rPr>
        <w:t xml:space="preserve"> </w:t>
      </w:r>
      <w:r w:rsidRPr="00745D07">
        <w:rPr>
          <w:rFonts w:ascii="Palatino Linotype" w:eastAsia="MS Gothic" w:hAnsi="Palatino Linotype"/>
        </w:rPr>
        <w:t>143 y 116 de la Ley Estatal y de la Ley General, respectivamente, señalan los supuestos para que la información pueda ser clasificada como confidencial:</w:t>
      </w:r>
    </w:p>
    <w:p w14:paraId="0A4AC8C4" w14:textId="77777777" w:rsidR="00E72A6C" w:rsidRPr="007F3E7E" w:rsidRDefault="00E72A6C" w:rsidP="00E72A6C">
      <w:pPr>
        <w:pStyle w:val="Prrafodelista"/>
        <w:rPr>
          <w:rFonts w:ascii="Palatino Linotype" w:hAnsi="Palatino Linotype" w:cs="Arial"/>
        </w:rPr>
      </w:pPr>
    </w:p>
    <w:p w14:paraId="7204CFBB" w14:textId="77777777" w:rsidR="00E72A6C" w:rsidRPr="00745D07" w:rsidRDefault="00E72A6C" w:rsidP="00E72A6C">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DA23E0B" w14:textId="77777777" w:rsidR="00E72A6C" w:rsidRPr="00745D07" w:rsidRDefault="00E72A6C" w:rsidP="00E72A6C">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4330D08" w14:textId="77777777" w:rsidR="00E72A6C" w:rsidRPr="00745D07" w:rsidRDefault="00E72A6C" w:rsidP="00E72A6C">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587A801" w14:textId="77777777" w:rsidR="00E72A6C" w:rsidRPr="00745D07" w:rsidRDefault="00E72A6C" w:rsidP="00E72A6C">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044D567" w14:textId="77777777" w:rsidR="00E72A6C" w:rsidRPr="00745D07" w:rsidRDefault="00E72A6C" w:rsidP="00E72A6C">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BBB9C3F" w14:textId="77777777" w:rsidR="00E72A6C" w:rsidRPr="00745D07" w:rsidRDefault="00E72A6C" w:rsidP="00E72A6C">
      <w:pPr>
        <w:pStyle w:val="Prrafodelista"/>
        <w:tabs>
          <w:tab w:val="left" w:pos="0"/>
          <w:tab w:val="left" w:pos="142"/>
        </w:tabs>
        <w:spacing w:line="360" w:lineRule="auto"/>
        <w:ind w:left="0"/>
        <w:jc w:val="both"/>
        <w:rPr>
          <w:rFonts w:ascii="Palatino Linotype" w:hAnsi="Palatino Linotype" w:cs="Arial"/>
        </w:rPr>
      </w:pPr>
    </w:p>
    <w:p w14:paraId="5765EFD5"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CAE9B23" w14:textId="77777777" w:rsidR="00E72A6C" w:rsidRPr="00745D07" w:rsidRDefault="00E72A6C" w:rsidP="00E72A6C">
      <w:pPr>
        <w:pStyle w:val="Prrafodelista"/>
        <w:tabs>
          <w:tab w:val="left" w:pos="0"/>
          <w:tab w:val="left" w:pos="142"/>
        </w:tabs>
        <w:spacing w:line="360" w:lineRule="auto"/>
        <w:ind w:left="0"/>
        <w:jc w:val="both"/>
        <w:rPr>
          <w:rFonts w:ascii="Palatino Linotype" w:hAnsi="Palatino Linotype" w:cs="Arial"/>
        </w:rPr>
      </w:pPr>
    </w:p>
    <w:p w14:paraId="518288F9"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CE4824">
        <w:rPr>
          <w:rFonts w:ascii="Palatino Linotype" w:hAnsi="Palatino Linotype" w:cs="Arial"/>
        </w:rPr>
        <w:lastRenderedPageBreak/>
        <w:t>Como</w:t>
      </w:r>
      <w:r w:rsidRPr="00745D07">
        <w:rPr>
          <w:rFonts w:ascii="Palatino Linotype" w:eastAsia="MS Gothic" w:hAnsi="Palatino Linotype"/>
        </w:rPr>
        <w:t xml:space="preserve"> </w:t>
      </w:r>
      <w:r w:rsidRPr="00745D07">
        <w:rPr>
          <w:rFonts w:ascii="Palatino Linotype" w:hAnsi="Palatino Linotype" w:cs="Arial"/>
        </w:rPr>
        <w:t>c</w:t>
      </w:r>
      <w:r w:rsidRPr="00745D07">
        <w:rPr>
          <w:rFonts w:ascii="Palatino Linotype" w:eastAsia="MS Gothic" w:hAnsi="Palatino Linotype"/>
        </w:rPr>
        <w:t xml:space="preserve">onsecuencia de lo anterior, el </w:t>
      </w:r>
      <w:r w:rsidRPr="00745D07">
        <w:rPr>
          <w:rFonts w:ascii="Palatino Linotype" w:eastAsia="MS Gothic" w:hAnsi="Palatino Linotype"/>
          <w:b/>
        </w:rPr>
        <w:t>SUJETO OBLIGADO</w:t>
      </w:r>
      <w:r w:rsidRPr="00745D07">
        <w:rPr>
          <w:rFonts w:ascii="Palatino Linotype" w:eastAsia="MS Gothic" w:hAnsi="Palatino Linotype"/>
        </w:rPr>
        <w:t xml:space="preserve"> debe identificar claramente el tipo de información y hacer un juicio de subsunción o encaje</w:t>
      </w:r>
      <w:r w:rsidRPr="00745D07">
        <w:rPr>
          <w:rFonts w:ascii="Palatino Linotype" w:eastAsia="MS Gothic" w:hAnsi="Palatino Linotype"/>
          <w:vertAlign w:val="superscript"/>
        </w:rPr>
        <w:footnoteReference w:id="5"/>
      </w:r>
      <w:r w:rsidRPr="00745D07">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17CD8AA8" w14:textId="77777777" w:rsidR="00E72A6C" w:rsidRPr="00745D07" w:rsidRDefault="00E72A6C" w:rsidP="00E72A6C">
      <w:pPr>
        <w:pStyle w:val="Prrafodelista"/>
        <w:spacing w:line="360" w:lineRule="auto"/>
        <w:rPr>
          <w:rFonts w:ascii="Palatino Linotype" w:hAnsi="Palatino Linotype" w:cs="Arial"/>
        </w:rPr>
      </w:pPr>
    </w:p>
    <w:p w14:paraId="434D0C79" w14:textId="77777777" w:rsidR="00E72A6C" w:rsidRPr="00AC3D42"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rPr>
        <w:t xml:space="preserve"> los Lineamientos Generales en Materia de Clasificación y </w:t>
      </w:r>
      <w:r w:rsidRPr="00CE4824">
        <w:rPr>
          <w:rFonts w:ascii="Palatino Linotype" w:hAnsi="Palatino Linotype" w:cs="Arial"/>
        </w:rPr>
        <w:t>Desclasificación</w:t>
      </w:r>
      <w:r w:rsidRPr="00745D07">
        <w:rPr>
          <w:rFonts w:ascii="Palatino Linotype" w:eastAsia="MS Gothic" w:hAnsi="Palatino Linotype"/>
        </w:rPr>
        <w:t xml:space="preserve"> de la Información, así Como para la Elaboración de Versiones Públicas, por cuanto hace a la clasificación de la información, señalan lo siguiente:</w:t>
      </w:r>
    </w:p>
    <w:p w14:paraId="7DE455B2" w14:textId="77777777" w:rsidR="00E72A6C" w:rsidRPr="00AC3D42" w:rsidRDefault="00E72A6C" w:rsidP="00E72A6C">
      <w:pPr>
        <w:pStyle w:val="Prrafodelista"/>
        <w:rPr>
          <w:rFonts w:ascii="Palatino Linotype" w:hAnsi="Palatino Linotype" w:cs="Arial"/>
        </w:rPr>
      </w:pPr>
    </w:p>
    <w:p w14:paraId="3BB88267"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06F8342"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p>
    <w:p w14:paraId="410B4CA6"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14:paraId="698855B1"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lastRenderedPageBreak/>
        <w:t>I. La fecha de sesión del Comité de Transparencia en donde se confirmó la clasificación, en su caso;</w:t>
      </w:r>
    </w:p>
    <w:p w14:paraId="2E4C5BE4"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 El nombre del área;</w:t>
      </w:r>
    </w:p>
    <w:p w14:paraId="426E0595"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11D8F11C"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4AA679B1"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 El fundamento legal;</w:t>
      </w:r>
    </w:p>
    <w:p w14:paraId="6F974FD1"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 El periodo de reserva, y</w:t>
      </w:r>
    </w:p>
    <w:p w14:paraId="1ADE00EF" w14:textId="77777777" w:rsidR="00E72A6C"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VII. La rúbrica del titular del área.</w:t>
      </w:r>
    </w:p>
    <w:p w14:paraId="51D69BFA"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p>
    <w:p w14:paraId="312AA6C7"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C4CFBC8" w14:textId="77777777" w:rsidR="00E72A6C"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063F92E"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p>
    <w:p w14:paraId="565B252A" w14:textId="77777777" w:rsidR="00E72A6C" w:rsidRDefault="00E72A6C" w:rsidP="00E72A6C">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01AD92BB" w14:textId="77777777" w:rsidR="00E72A6C" w:rsidRPr="00745D07" w:rsidRDefault="00E72A6C" w:rsidP="00E72A6C">
      <w:pPr>
        <w:pStyle w:val="Prrafodelista"/>
        <w:tabs>
          <w:tab w:val="left" w:pos="142"/>
          <w:tab w:val="left" w:pos="284"/>
          <w:tab w:val="left" w:pos="426"/>
        </w:tabs>
        <w:ind w:left="567" w:right="567"/>
        <w:jc w:val="both"/>
        <w:rPr>
          <w:rFonts w:ascii="Palatino Linotype" w:hAnsi="Palatino Linotype" w:cs="Arial"/>
          <w:i/>
        </w:rPr>
      </w:pPr>
    </w:p>
    <w:p w14:paraId="7AE2B492" w14:textId="77777777" w:rsidR="00E72A6C" w:rsidRDefault="00E72A6C" w:rsidP="00E72A6C">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lastRenderedPageBreak/>
        <w:drawing>
          <wp:inline distT="0" distB="0" distL="0" distR="0" wp14:anchorId="705B139F" wp14:editId="710CB0FF">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363E6C" w14:textId="77777777" w:rsidR="00E72A6C" w:rsidRPr="00745D07" w:rsidRDefault="00E72A6C" w:rsidP="00E72A6C">
      <w:pPr>
        <w:pStyle w:val="Prrafodelista"/>
        <w:tabs>
          <w:tab w:val="left" w:pos="0"/>
          <w:tab w:val="left" w:pos="142"/>
        </w:tabs>
        <w:spacing w:line="360" w:lineRule="auto"/>
        <w:ind w:left="0"/>
        <w:jc w:val="center"/>
        <w:rPr>
          <w:rFonts w:ascii="Palatino Linotype" w:hAnsi="Palatino Linotype" w:cs="Arial"/>
        </w:rPr>
      </w:pPr>
    </w:p>
    <w:p w14:paraId="4A05B00B"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Pr="00745D07">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573F64AB" w14:textId="77777777" w:rsidR="00E72A6C" w:rsidRPr="00745D07" w:rsidRDefault="00E72A6C" w:rsidP="00E72A6C">
      <w:pPr>
        <w:pStyle w:val="Prrafodelista"/>
        <w:tabs>
          <w:tab w:val="left" w:pos="0"/>
          <w:tab w:val="left" w:pos="142"/>
        </w:tabs>
        <w:spacing w:line="360" w:lineRule="auto"/>
        <w:ind w:left="0"/>
        <w:jc w:val="both"/>
        <w:rPr>
          <w:rFonts w:ascii="Palatino Linotype" w:eastAsia="MS Gothic" w:hAnsi="Palatino Linotype"/>
        </w:rPr>
      </w:pPr>
    </w:p>
    <w:p w14:paraId="3605E9AF" w14:textId="77777777" w:rsidR="00E72A6C" w:rsidRPr="00745D07" w:rsidRDefault="00E72A6C" w:rsidP="00E72A6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3" w:name="_Toc51863317"/>
      <w:bookmarkStart w:id="44" w:name="_Toc52444651"/>
      <w:bookmarkStart w:id="45" w:name="_Toc57154370"/>
      <w:bookmarkStart w:id="46" w:name="_Toc65170176"/>
      <w:bookmarkStart w:id="47" w:name="_Toc66371802"/>
      <w:bookmarkStart w:id="48" w:name="_Toc67584837"/>
      <w:bookmarkStart w:id="49" w:name="_Toc70070913"/>
      <w:bookmarkStart w:id="50" w:name="_Toc70417474"/>
      <w:bookmarkStart w:id="51" w:name="_Toc71234389"/>
      <w:bookmarkStart w:id="52" w:name="_Toc83901406"/>
      <w:r w:rsidRPr="00745D07">
        <w:rPr>
          <w:rFonts w:ascii="Palatino Linotype" w:hAnsi="Palatino Linotype" w:cs="Arial"/>
          <w:b/>
        </w:rPr>
        <w:t>III. La intervención del Comité de Transparencia.</w:t>
      </w:r>
      <w:bookmarkEnd w:id="43"/>
      <w:bookmarkEnd w:id="44"/>
      <w:bookmarkEnd w:id="45"/>
      <w:bookmarkEnd w:id="46"/>
      <w:bookmarkEnd w:id="47"/>
      <w:bookmarkEnd w:id="48"/>
      <w:bookmarkEnd w:id="49"/>
      <w:bookmarkEnd w:id="50"/>
      <w:bookmarkEnd w:id="51"/>
      <w:bookmarkEnd w:id="52"/>
    </w:p>
    <w:p w14:paraId="1BE2B831" w14:textId="77777777" w:rsidR="00E72A6C" w:rsidRPr="00745D07" w:rsidRDefault="00E72A6C" w:rsidP="00E72A6C">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63C0EC91"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El Comité</w:t>
      </w:r>
      <w:r w:rsidRPr="00745D07">
        <w:rPr>
          <w:rFonts w:ascii="Palatino Linotype" w:hAnsi="Palatino Linotype" w:cs="Arial"/>
        </w:rPr>
        <w:t xml:space="preserve"> </w:t>
      </w:r>
      <w:r w:rsidRPr="00745D07">
        <w:rPr>
          <w:rFonts w:ascii="Palatino Linotype" w:eastAsia="MS Gothic" w:hAnsi="Palatino Linotype"/>
        </w:rPr>
        <w:t xml:space="preserve">de Transparencia, según lo dispuesto en los artículos 128 y 103 de la Ley </w:t>
      </w:r>
      <w:r w:rsidRPr="00CE4824">
        <w:rPr>
          <w:rFonts w:ascii="Palatino Linotype" w:hAnsi="Palatino Linotype" w:cs="Arial"/>
        </w:rPr>
        <w:t>Estatal</w:t>
      </w:r>
      <w:r w:rsidRPr="00745D07">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w:t>
      </w:r>
      <w:r w:rsidRPr="00745D07">
        <w:rPr>
          <w:rFonts w:ascii="Palatino Linotype" w:eastAsia="MS Gothic" w:hAnsi="Palatino Linotype"/>
        </w:rPr>
        <w:lastRenderedPageBreak/>
        <w:t xml:space="preserve">los Lineamientos Generales, cuenta con las facultades para </w:t>
      </w:r>
      <w:r w:rsidRPr="00745D07">
        <w:rPr>
          <w:rFonts w:ascii="Palatino Linotype" w:eastAsia="MS Gothic" w:hAnsi="Palatino Linotype"/>
          <w:b/>
          <w:u w:val="single"/>
        </w:rPr>
        <w:t>confirmar, modificar o revocar</w:t>
      </w:r>
      <w:r w:rsidRPr="00745D07">
        <w:rPr>
          <w:rFonts w:ascii="Palatino Linotype" w:eastAsia="MS Gothic" w:hAnsi="Palatino Linotype"/>
        </w:rPr>
        <w:t xml:space="preserve"> la clasificación de la información que ha hecho el titular del área que administra la información. Por lo tanto, el Comité </w:t>
      </w:r>
      <w:r w:rsidRPr="00745D07">
        <w:rPr>
          <w:rFonts w:ascii="Palatino Linotype" w:eastAsia="MS Gothic" w:hAnsi="Palatino Linotype"/>
          <w:b/>
          <w:u w:val="single"/>
        </w:rPr>
        <w:t>no aprueba</w:t>
      </w:r>
      <w:r w:rsidRPr="00745D07">
        <w:rPr>
          <w:rFonts w:ascii="Palatino Linotype" w:eastAsia="MS Gothic" w:hAnsi="Palatino Linotype"/>
        </w:rPr>
        <w:t xml:space="preserve"> la clasificación, sino que revisa lo que ha hecho el titular del área y confirma, modifica o revoca la decisión a través de un acuerdo.</w:t>
      </w:r>
    </w:p>
    <w:p w14:paraId="7B405C6D" w14:textId="77777777" w:rsidR="00E72A6C" w:rsidRPr="00745D07" w:rsidRDefault="00E72A6C" w:rsidP="00E72A6C">
      <w:pPr>
        <w:pStyle w:val="Prrafodelista"/>
        <w:tabs>
          <w:tab w:val="left" w:pos="0"/>
          <w:tab w:val="left" w:pos="142"/>
        </w:tabs>
        <w:spacing w:line="360" w:lineRule="auto"/>
        <w:ind w:left="0"/>
        <w:jc w:val="both"/>
        <w:rPr>
          <w:rFonts w:ascii="Palatino Linotype" w:hAnsi="Palatino Linotype" w:cs="Arial"/>
        </w:rPr>
      </w:pPr>
    </w:p>
    <w:p w14:paraId="6F26B50F" w14:textId="77777777" w:rsidR="00E72A6C" w:rsidRPr="000038C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745D07">
        <w:rPr>
          <w:rFonts w:ascii="Palatino Linotype" w:eastAsia="MS Gothic" w:hAnsi="Palatino Linotype"/>
          <w:b/>
          <w:u w:val="single"/>
        </w:rPr>
        <w:t>el acto reúna con los requisitos elementales</w:t>
      </w:r>
      <w:r w:rsidRPr="00745D07">
        <w:rPr>
          <w:rFonts w:ascii="Palatino Linotype" w:eastAsia="MS Gothic" w:hAnsi="Palatino Linotype"/>
        </w:rPr>
        <w:t>, entre ellos, que la autoridad que va a emitir el acto de autoridad sea la</w:t>
      </w:r>
      <w:r>
        <w:rPr>
          <w:rFonts w:ascii="Palatino Linotype" w:eastAsia="MS Gothic" w:hAnsi="Palatino Linotype"/>
        </w:rPr>
        <w:t xml:space="preserve"> legalmente facultada para ello;</w:t>
      </w:r>
      <w:r w:rsidRPr="00745D07">
        <w:rPr>
          <w:rFonts w:ascii="Palatino Linotype" w:eastAsia="MS Gothic" w:hAnsi="Palatino Linotype"/>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FCFD35" w14:textId="77777777" w:rsidR="00E72A6C" w:rsidRPr="000038C7" w:rsidRDefault="00E72A6C" w:rsidP="00E72A6C">
      <w:pPr>
        <w:pStyle w:val="Prrafodelista"/>
        <w:rPr>
          <w:rFonts w:ascii="Palatino Linotype" w:hAnsi="Palatino Linotype" w:cs="Arial"/>
        </w:rPr>
      </w:pPr>
    </w:p>
    <w:p w14:paraId="168A9E5E"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745D07">
        <w:rPr>
          <w:rFonts w:ascii="Palatino Linotype" w:eastAsia="MS Gothic" w:hAnsi="Palatino Linotype"/>
        </w:rPr>
        <w:lastRenderedPageBreak/>
        <w:t>por los titulares de áreas y que son sujetas a control, en primera instancia, por el Comité de Transparencia.</w:t>
      </w:r>
    </w:p>
    <w:p w14:paraId="5EEA33E5" w14:textId="77777777" w:rsidR="00E72A6C" w:rsidRPr="00745D07" w:rsidRDefault="00E72A6C" w:rsidP="00E72A6C">
      <w:pPr>
        <w:pStyle w:val="Prrafodelista"/>
        <w:tabs>
          <w:tab w:val="left" w:pos="142"/>
          <w:tab w:val="left" w:pos="284"/>
          <w:tab w:val="left" w:pos="426"/>
        </w:tabs>
        <w:spacing w:line="360" w:lineRule="auto"/>
        <w:ind w:left="0"/>
        <w:jc w:val="both"/>
        <w:rPr>
          <w:rFonts w:ascii="Palatino Linotype" w:hAnsi="Palatino Linotype" w:cs="Arial"/>
        </w:rPr>
      </w:pPr>
    </w:p>
    <w:p w14:paraId="59D5B76D" w14:textId="77777777" w:rsidR="00E72A6C" w:rsidRPr="00745D07" w:rsidRDefault="00E72A6C" w:rsidP="00E72A6C">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76EAA543" w14:textId="77777777" w:rsidR="00E72A6C" w:rsidRPr="00CE4824"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rPr>
        <w:t xml:space="preserve">se ha señalado antes, al hacer el juicio de subsunción o encaje entre el supuesto de hecho y la hipótesis jurídica, se debe acreditar la estricta </w:t>
      </w:r>
      <w:r w:rsidRPr="00CE4824">
        <w:rPr>
          <w:rFonts w:ascii="Palatino Linotype" w:hAnsi="Palatino Linotype" w:cs="Arial"/>
        </w:rPr>
        <w:t>correspondencia</w:t>
      </w:r>
      <w:r w:rsidRPr="00745D07">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2D30549" w14:textId="77777777" w:rsidR="00E72A6C" w:rsidRPr="00AE18A4"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7E846F" w14:textId="77777777" w:rsidR="00E72A6C" w:rsidRPr="00AE18A4" w:rsidRDefault="00E72A6C" w:rsidP="00E72A6C">
      <w:pPr>
        <w:pStyle w:val="Prrafodelista"/>
        <w:rPr>
          <w:rFonts w:ascii="Palatino Linotype" w:hAnsi="Palatino Linotype" w:cs="Arial"/>
        </w:rPr>
      </w:pPr>
    </w:p>
    <w:p w14:paraId="54AB51AB" w14:textId="77777777" w:rsidR="00E72A6C" w:rsidRPr="005C536D"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745D07">
        <w:rPr>
          <w:rFonts w:ascii="Palatino Linotype" w:eastAsia="MS Gothic" w:hAnsi="Palatino Linotype"/>
          <w:i/>
        </w:rPr>
        <w:t xml:space="preserve">la garantía de fundamentación impone a las autoridades el deber de precisar </w:t>
      </w:r>
      <w:r w:rsidRPr="00745D07">
        <w:rPr>
          <w:rFonts w:ascii="Palatino Linotype" w:eastAsia="MS Gothic" w:hAnsi="Palatino Linotype"/>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5D07">
        <w:rPr>
          <w:rFonts w:ascii="Palatino Linotype" w:eastAsia="MS Gothic" w:hAnsi="Palatino Linotype"/>
        </w:rPr>
        <w:t>...”</w:t>
      </w:r>
      <w:r w:rsidRPr="00745D07">
        <w:rPr>
          <w:rFonts w:ascii="Palatino Linotype" w:eastAsia="MS Gothic" w:hAnsi="Palatino Linotype"/>
          <w:vertAlign w:val="superscript"/>
        </w:rPr>
        <w:footnoteReference w:id="6"/>
      </w:r>
    </w:p>
    <w:p w14:paraId="4B68E191" w14:textId="77777777" w:rsidR="00E72A6C" w:rsidRDefault="00E72A6C" w:rsidP="00E72A6C">
      <w:pPr>
        <w:pStyle w:val="Prrafodelista"/>
        <w:tabs>
          <w:tab w:val="left" w:pos="0"/>
          <w:tab w:val="left" w:pos="142"/>
        </w:tabs>
        <w:spacing w:line="360" w:lineRule="auto"/>
        <w:ind w:left="0"/>
        <w:jc w:val="both"/>
        <w:rPr>
          <w:rFonts w:ascii="Palatino Linotype" w:hAnsi="Palatino Linotype" w:cs="Arial"/>
        </w:rPr>
      </w:pPr>
    </w:p>
    <w:p w14:paraId="11A2465B"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Por su parte, el intérprete judicial del país ha establecido una jurisprudencia respecto a qué debe entenderse por fundamentación y motivación, en los siguientes términos:</w:t>
      </w:r>
    </w:p>
    <w:p w14:paraId="1971B9E6" w14:textId="77777777" w:rsidR="00E72A6C" w:rsidRPr="00745D07" w:rsidRDefault="00E72A6C" w:rsidP="00E72A6C">
      <w:pPr>
        <w:pStyle w:val="Prrafodelista"/>
        <w:spacing w:line="360" w:lineRule="auto"/>
        <w:rPr>
          <w:rFonts w:ascii="Palatino Linotype" w:hAnsi="Palatino Linotype" w:cs="Arial"/>
        </w:rPr>
      </w:pPr>
    </w:p>
    <w:p w14:paraId="3AF55FCE" w14:textId="77777777" w:rsidR="00E72A6C" w:rsidRPr="00745D07" w:rsidRDefault="00E72A6C" w:rsidP="00E72A6C">
      <w:pPr>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726944F7" w14:textId="77777777" w:rsidR="00E72A6C" w:rsidRPr="00745D07" w:rsidRDefault="00E72A6C" w:rsidP="00E72A6C">
      <w:pPr>
        <w:pStyle w:val="Prrafodelista"/>
        <w:spacing w:line="360" w:lineRule="auto"/>
        <w:rPr>
          <w:rFonts w:ascii="Palatino Linotype" w:hAnsi="Palatino Linotype" w:cs="Arial"/>
        </w:rPr>
      </w:pPr>
    </w:p>
    <w:p w14:paraId="4B879D7C" w14:textId="77777777" w:rsidR="00E72A6C" w:rsidRPr="00745D0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B16B4D" w14:textId="77777777" w:rsidR="00E72A6C" w:rsidRPr="00745D07" w:rsidRDefault="00E72A6C" w:rsidP="00E72A6C">
      <w:pPr>
        <w:pStyle w:val="Prrafodelista"/>
        <w:tabs>
          <w:tab w:val="left" w:pos="0"/>
          <w:tab w:val="left" w:pos="142"/>
        </w:tabs>
        <w:spacing w:line="360" w:lineRule="auto"/>
        <w:ind w:left="0"/>
        <w:jc w:val="both"/>
        <w:rPr>
          <w:rFonts w:ascii="Palatino Linotype" w:hAnsi="Palatino Linotype" w:cs="Arial"/>
        </w:rPr>
      </w:pPr>
    </w:p>
    <w:p w14:paraId="2D6E26DD" w14:textId="77777777" w:rsidR="00E72A6C" w:rsidRPr="000038C7"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lastRenderedPageBreak/>
        <w:t xml:space="preserve">En consecuencia, la fundamentación y motivación implica que, en el acto de autoridad, </w:t>
      </w:r>
      <w:r w:rsidRPr="00CE4824">
        <w:rPr>
          <w:rFonts w:ascii="Palatino Linotype" w:hAnsi="Palatino Linotype" w:cs="Arial"/>
        </w:rPr>
        <w:t>además</w:t>
      </w:r>
      <w:r w:rsidRPr="00745D07">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5D5C778" w14:textId="77777777" w:rsidR="00E72A6C" w:rsidRPr="000038C7" w:rsidRDefault="00E72A6C" w:rsidP="00E72A6C">
      <w:pPr>
        <w:pStyle w:val="Prrafodelista"/>
        <w:rPr>
          <w:rFonts w:ascii="Palatino Linotype" w:hAnsi="Palatino Linotype" w:cs="Arial"/>
        </w:rPr>
      </w:pPr>
    </w:p>
    <w:p w14:paraId="255248F9" w14:textId="77777777" w:rsidR="00E72A6C" w:rsidRPr="00A2308A"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En </w:t>
      </w:r>
      <w:r w:rsidRPr="00CE4824">
        <w:rPr>
          <w:rFonts w:ascii="Palatino Linotype" w:eastAsia="MS Gothic" w:hAnsi="Palatino Linotype"/>
        </w:rPr>
        <w:t>ese</w:t>
      </w:r>
      <w:r w:rsidRPr="00745D07">
        <w:rPr>
          <w:rFonts w:ascii="Palatino Linotype" w:hAnsi="Palatino Linotype" w:cs="Arial"/>
        </w:rPr>
        <w:t xml:space="preserve"> </w:t>
      </w:r>
      <w:r w:rsidRPr="00745D07">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60C62E07" w14:textId="77777777" w:rsidR="00E72A6C" w:rsidRPr="00A2308A" w:rsidRDefault="00E72A6C" w:rsidP="00E72A6C">
      <w:pPr>
        <w:pStyle w:val="Prrafodelista"/>
        <w:rPr>
          <w:rFonts w:ascii="Palatino Linotype" w:hAnsi="Palatino Linotype" w:cs="Arial"/>
        </w:rPr>
      </w:pPr>
    </w:p>
    <w:p w14:paraId="2DE0BDE0" w14:textId="77777777" w:rsidR="00E72A6C" w:rsidRPr="003D490A" w:rsidRDefault="00E72A6C" w:rsidP="00E72A6C">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745D07">
        <w:rPr>
          <w:rFonts w:ascii="Palatino Linotype" w:eastAsia="MS Gothic" w:hAnsi="Palatino Linotype"/>
          <w:b/>
          <w:u w:val="single"/>
        </w:rPr>
        <w:t>para cada caso además de fundar y motivar</w:t>
      </w:r>
      <w:r w:rsidRPr="00745D0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45D07">
        <w:rPr>
          <w:rFonts w:ascii="Palatino Linotype" w:eastAsia="MS Gothic" w:hAnsi="Palatino Linotype"/>
          <w:vertAlign w:val="superscript"/>
        </w:rPr>
        <w:footnoteReference w:id="7"/>
      </w:r>
      <w:r w:rsidRPr="00745D07">
        <w:rPr>
          <w:rFonts w:ascii="Palatino Linotype" w:eastAsia="MS Gothic" w:hAnsi="Palatino Linotype"/>
        </w:rPr>
        <w:t xml:space="preserve"> del servidor público que no tienen ninguna injerencia en el tema de la transparencia y la rendición de cuentas.</w:t>
      </w:r>
    </w:p>
    <w:p w14:paraId="21E11378" w14:textId="77777777" w:rsidR="00E72A6C" w:rsidRPr="003D490A" w:rsidRDefault="00E72A6C" w:rsidP="00E72A6C">
      <w:pPr>
        <w:pStyle w:val="Prrafodelista"/>
        <w:rPr>
          <w:rFonts w:ascii="Palatino Linotype" w:hAnsi="Palatino Linotype" w:cs="Arial"/>
        </w:rPr>
      </w:pPr>
    </w:p>
    <w:bookmarkEnd w:id="19"/>
    <w:p w14:paraId="55FA8520" w14:textId="1D678183" w:rsidR="00823B97" w:rsidRPr="00745D07" w:rsidRDefault="00FC6571" w:rsidP="00E72A6C">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cs="Arial"/>
        </w:rPr>
        <w:t xml:space="preserve">Por </w:t>
      </w:r>
      <w:r w:rsidRPr="00DA29A0">
        <w:rPr>
          <w:rFonts w:ascii="Palatino Linotype" w:hAnsi="Palatino Linotype"/>
        </w:rPr>
        <w:t>lo</w:t>
      </w:r>
      <w:r w:rsidRPr="00745D07">
        <w:rPr>
          <w:rFonts w:ascii="Palatino Linotype" w:hAnsi="Palatino Linotype" w:cs="Arial"/>
        </w:rPr>
        <w:t xml:space="preserve">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14:paraId="44279404" w14:textId="6909F56F" w:rsidR="00823B97"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53" w:name="_Toc524344198"/>
      <w:bookmarkStart w:id="54" w:name="_Toc526271203"/>
      <w:bookmarkStart w:id="55" w:name="_Toc536106982"/>
      <w:bookmarkStart w:id="56" w:name="_Toc83901408"/>
      <w:r w:rsidRPr="00745D07">
        <w:rPr>
          <w:rFonts w:ascii="Palatino Linotype" w:eastAsia="Calibri" w:hAnsi="Palatino Linotype" w:cstheme="majorBidi"/>
          <w:b/>
          <w:lang w:val="es-ES" w:eastAsia="es-ES"/>
        </w:rPr>
        <w:lastRenderedPageBreak/>
        <w:t>R E S O L U T I V O S</w:t>
      </w:r>
      <w:bookmarkEnd w:id="53"/>
      <w:bookmarkEnd w:id="54"/>
      <w:bookmarkEnd w:id="55"/>
      <w:bookmarkEnd w:id="56"/>
      <w:r w:rsidRPr="00745D07">
        <w:rPr>
          <w:rFonts w:ascii="Palatino Linotype" w:eastAsia="Calibri" w:hAnsi="Palatino Linotype" w:cstheme="majorBidi"/>
          <w:b/>
          <w:lang w:val="es-ES" w:eastAsia="es-ES"/>
        </w:rPr>
        <w:t xml:space="preserve"> </w:t>
      </w:r>
    </w:p>
    <w:p w14:paraId="3D6645FB" w14:textId="77777777" w:rsidR="00823B97" w:rsidRPr="00745D07" w:rsidRDefault="00823B97" w:rsidP="00823B97">
      <w:pPr>
        <w:keepNext/>
        <w:keepLines/>
        <w:spacing w:line="360" w:lineRule="auto"/>
        <w:jc w:val="center"/>
        <w:outlineLvl w:val="0"/>
        <w:rPr>
          <w:rFonts w:ascii="Palatino Linotype" w:eastAsia="Calibri" w:hAnsi="Palatino Linotype" w:cstheme="majorBidi"/>
          <w:lang w:val="es-ES" w:eastAsia="es-ES"/>
        </w:rPr>
      </w:pPr>
    </w:p>
    <w:p w14:paraId="37C6DEE5" w14:textId="4806D4CD" w:rsidR="00A37D32" w:rsidRDefault="00A37D32" w:rsidP="00A37D32">
      <w:pPr>
        <w:spacing w:line="360" w:lineRule="auto"/>
        <w:jc w:val="both"/>
        <w:rPr>
          <w:rFonts w:ascii="Palatino Linotype" w:hAnsi="Palatino Linotype" w:cs="Arial"/>
          <w:lang w:val="es-ES"/>
        </w:rPr>
      </w:pPr>
      <w:r w:rsidRPr="00855290">
        <w:rPr>
          <w:rFonts w:ascii="Palatino Linotype" w:hAnsi="Palatino Linotype" w:cs="Arial"/>
          <w:b/>
        </w:rPr>
        <w:t>PRIMERO</w:t>
      </w:r>
      <w:r w:rsidRPr="00855290">
        <w:rPr>
          <w:rFonts w:ascii="Palatino Linotype" w:hAnsi="Palatino Linotype" w:cs="Arial"/>
          <w:lang w:val="es-ES"/>
        </w:rPr>
        <w:t>. Resultan</w:t>
      </w:r>
      <w:r w:rsidR="00B54758">
        <w:rPr>
          <w:rFonts w:ascii="Palatino Linotype" w:hAnsi="Palatino Linotype" w:cs="Arial"/>
          <w:lang w:val="es-ES"/>
        </w:rPr>
        <w:t xml:space="preserve"> </w:t>
      </w:r>
      <w:r w:rsidR="005828A4">
        <w:rPr>
          <w:rFonts w:ascii="Palatino Linotype" w:hAnsi="Palatino Linotype" w:cs="Arial"/>
          <w:lang w:val="es-ES"/>
        </w:rPr>
        <w:t>in</w:t>
      </w:r>
      <w:r w:rsidRPr="00855290">
        <w:rPr>
          <w:rFonts w:ascii="Palatino Linotype" w:hAnsi="Palatino Linotype" w:cs="Arial"/>
          <w:lang w:val="es-ES"/>
        </w:rPr>
        <w:t xml:space="preserve">fundadas las razones o motivos de inconformidad hechos valer en el Recurso de Revisión </w:t>
      </w:r>
      <w:r w:rsidR="002552E1" w:rsidRPr="002552E1">
        <w:rPr>
          <w:rFonts w:ascii="Palatino Linotype" w:hAnsi="Palatino Linotype"/>
          <w:b/>
        </w:rPr>
        <w:t>02172/INFOEM/IP/RR/2023</w:t>
      </w:r>
      <w:r w:rsidRPr="00855290">
        <w:rPr>
          <w:rFonts w:ascii="Palatino Linotype" w:hAnsi="Palatino Linotype"/>
        </w:rPr>
        <w:t>,</w:t>
      </w:r>
      <w:r w:rsidRPr="00855290">
        <w:rPr>
          <w:rFonts w:ascii="Palatino Linotype" w:hAnsi="Palatino Linotype" w:cs="Arial"/>
          <w:b/>
          <w:lang w:val="es-ES"/>
        </w:rPr>
        <w:t xml:space="preserve"> </w:t>
      </w:r>
      <w:r>
        <w:rPr>
          <w:rFonts w:ascii="Palatino Linotype" w:hAnsi="Palatino Linotype" w:cs="Arial"/>
          <w:lang w:val="es-ES"/>
        </w:rPr>
        <w:t>en términos del</w:t>
      </w:r>
      <w:r w:rsidRPr="00855290">
        <w:rPr>
          <w:rFonts w:ascii="Palatino Linotype" w:hAnsi="Palatino Linotype" w:cs="Arial"/>
          <w:lang w:val="es-ES"/>
        </w:rPr>
        <w:t xml:space="preserve"> Considerando</w:t>
      </w:r>
      <w:r w:rsidRPr="00855290">
        <w:rPr>
          <w:rFonts w:ascii="Palatino Linotype" w:hAnsi="Palatino Linotype" w:cs="Arial"/>
          <w:b/>
          <w:lang w:val="es-ES"/>
        </w:rPr>
        <w:t xml:space="preserve"> </w:t>
      </w:r>
      <w:r w:rsidR="00FD5338">
        <w:rPr>
          <w:rFonts w:ascii="Palatino Linotype" w:hAnsi="Palatino Linotype" w:cs="Arial"/>
          <w:b/>
          <w:lang w:val="es-ES"/>
        </w:rPr>
        <w:t>CUARTO</w:t>
      </w:r>
      <w:r w:rsidRPr="00855290">
        <w:rPr>
          <w:rFonts w:ascii="Palatino Linotype" w:hAnsi="Palatino Linotype" w:cs="Arial"/>
          <w:b/>
          <w:lang w:val="es-ES"/>
        </w:rPr>
        <w:t xml:space="preserve"> </w:t>
      </w:r>
      <w:r w:rsidRPr="00855290">
        <w:rPr>
          <w:rFonts w:ascii="Palatino Linotype" w:hAnsi="Palatino Linotype" w:cs="Arial"/>
          <w:lang w:val="es-ES"/>
        </w:rPr>
        <w:t xml:space="preserve">de la presente resolución. </w:t>
      </w:r>
    </w:p>
    <w:p w14:paraId="6361D945" w14:textId="77777777" w:rsidR="00A37D32" w:rsidRPr="00855290" w:rsidRDefault="00A37D32" w:rsidP="00A37D32">
      <w:pPr>
        <w:spacing w:line="360" w:lineRule="auto"/>
        <w:jc w:val="both"/>
        <w:rPr>
          <w:rFonts w:ascii="Palatino Linotype" w:hAnsi="Palatino Linotype" w:cs="Arial"/>
          <w:lang w:val="es-ES"/>
        </w:rPr>
      </w:pPr>
    </w:p>
    <w:p w14:paraId="3BD9235A" w14:textId="0801BAB3" w:rsidR="00A37D32" w:rsidRPr="00717D41" w:rsidRDefault="00A37D32" w:rsidP="00A37D32">
      <w:pPr>
        <w:autoSpaceDE w:val="0"/>
        <w:autoSpaceDN w:val="0"/>
        <w:adjustRightInd w:val="0"/>
        <w:spacing w:line="360" w:lineRule="auto"/>
        <w:ind w:right="49"/>
        <w:jc w:val="both"/>
        <w:rPr>
          <w:rFonts w:ascii="Palatino Linotype" w:hAnsi="Palatino Linotype" w:cs="Arial"/>
          <w:lang w:val="es-ES"/>
        </w:rPr>
      </w:pPr>
      <w:bookmarkStart w:id="57" w:name="_Toc503891607"/>
      <w:bookmarkStart w:id="58" w:name="_Toc511647757"/>
      <w:bookmarkStart w:id="59" w:name="_Toc511647818"/>
      <w:bookmarkStart w:id="60" w:name="_Toc477891768"/>
      <w:bookmarkStart w:id="61" w:name="_Toc477891858"/>
      <w:bookmarkStart w:id="62" w:name="_Toc481576259"/>
      <w:bookmarkStart w:id="63" w:name="_Toc492590391"/>
      <w:bookmarkStart w:id="64" w:name="_Toc462653937"/>
      <w:bookmarkStart w:id="65" w:name="_Toc453696502"/>
      <w:bookmarkStart w:id="66" w:name="_Toc454301155"/>
      <w:r w:rsidRPr="00855290">
        <w:rPr>
          <w:rFonts w:ascii="Palatino Linotype" w:hAnsi="Palatino Linotype"/>
          <w:b/>
        </w:rPr>
        <w:t>SEGUNDO.</w:t>
      </w:r>
      <w:bookmarkEnd w:id="57"/>
      <w:bookmarkEnd w:id="58"/>
      <w:bookmarkEnd w:id="59"/>
      <w:r w:rsidRPr="00855290">
        <w:rPr>
          <w:rFonts w:ascii="Palatino Linotype" w:hAnsi="Palatino Linotype"/>
          <w:b/>
        </w:rPr>
        <w:t xml:space="preserve"> </w:t>
      </w:r>
      <w:bookmarkEnd w:id="60"/>
      <w:bookmarkEnd w:id="61"/>
      <w:bookmarkEnd w:id="62"/>
      <w:bookmarkEnd w:id="63"/>
      <w:bookmarkEnd w:id="64"/>
      <w:bookmarkEnd w:id="65"/>
      <w:bookmarkEnd w:id="66"/>
      <w:r w:rsidRPr="00855290">
        <w:rPr>
          <w:rFonts w:ascii="Palatino Linotype" w:eastAsia="MS Mincho" w:hAnsi="Palatino Linotype"/>
          <w:color w:val="000000" w:themeColor="text1"/>
        </w:rPr>
        <w:t xml:space="preserve">Se </w:t>
      </w:r>
      <w:r>
        <w:rPr>
          <w:rFonts w:ascii="Palatino Linotype" w:eastAsia="MS Mincho" w:hAnsi="Palatino Linotype"/>
          <w:b/>
          <w:color w:val="000000" w:themeColor="text1"/>
        </w:rPr>
        <w:t>MODIFI</w:t>
      </w:r>
      <w:r w:rsidRPr="00855290">
        <w:rPr>
          <w:rFonts w:ascii="Palatino Linotype" w:eastAsia="MS Mincho" w:hAnsi="Palatino Linotype"/>
          <w:b/>
          <w:color w:val="000000" w:themeColor="text1"/>
        </w:rPr>
        <w:t xml:space="preserve">CA </w:t>
      </w:r>
      <w:r w:rsidRPr="00855290">
        <w:rPr>
          <w:rFonts w:ascii="Palatino Linotype" w:eastAsia="MS Mincho" w:hAnsi="Palatino Linotype"/>
          <w:color w:val="000000" w:themeColor="text1"/>
        </w:rPr>
        <w:t xml:space="preserve">la respuesta emitida por </w:t>
      </w:r>
      <w:r>
        <w:rPr>
          <w:rFonts w:ascii="Palatino Linotype" w:eastAsia="MS Mincho" w:hAnsi="Palatino Linotype"/>
          <w:color w:val="000000" w:themeColor="text1"/>
        </w:rPr>
        <w:t>e</w:t>
      </w:r>
      <w:r w:rsidRPr="00855290">
        <w:rPr>
          <w:rFonts w:ascii="Palatino Linotype" w:eastAsia="MS Mincho" w:hAnsi="Palatino Linotype"/>
          <w:color w:val="000000" w:themeColor="text1"/>
        </w:rPr>
        <w:t xml:space="preserve">l </w:t>
      </w:r>
      <w:r w:rsidR="002552E1" w:rsidRPr="002552E1">
        <w:rPr>
          <w:rFonts w:ascii="Palatino Linotype" w:hAnsi="Palatino Linotype"/>
          <w:b/>
          <w:bCs/>
          <w:color w:val="000000"/>
        </w:rPr>
        <w:t>Ayuntamiento de San Felipe del Progreso</w:t>
      </w:r>
      <w:r w:rsidRPr="00855290">
        <w:rPr>
          <w:rFonts w:ascii="Palatino Linotype" w:eastAsia="MS Mincho" w:hAnsi="Palatino Linotype"/>
          <w:b/>
          <w:color w:val="000000" w:themeColor="text1"/>
        </w:rPr>
        <w:t xml:space="preserve"> </w:t>
      </w:r>
      <w:r w:rsidRPr="00855290">
        <w:rPr>
          <w:rFonts w:ascii="Palatino Linotype" w:eastAsia="MS Mincho" w:hAnsi="Palatino Linotype"/>
          <w:color w:val="000000" w:themeColor="text1"/>
        </w:rPr>
        <w:t xml:space="preserve">y se </w:t>
      </w:r>
      <w:r w:rsidRPr="00855290">
        <w:rPr>
          <w:rFonts w:ascii="Palatino Linotype" w:eastAsia="MS Mincho" w:hAnsi="Palatino Linotype"/>
          <w:b/>
          <w:color w:val="000000" w:themeColor="text1"/>
        </w:rPr>
        <w:t>ORDENA</w:t>
      </w:r>
      <w:r w:rsidRPr="00855290">
        <w:rPr>
          <w:rFonts w:ascii="Palatino Linotype" w:eastAsia="MS Mincho" w:hAnsi="Palatino Linotype"/>
          <w:color w:val="000000" w:themeColor="text1"/>
        </w:rPr>
        <w:t xml:space="preserve"> entregar vía Sistema de Acceso a la Información Mexiquense </w:t>
      </w:r>
      <w:r w:rsidRPr="00855290">
        <w:rPr>
          <w:rFonts w:ascii="Palatino Linotype" w:eastAsia="MS Mincho" w:hAnsi="Palatino Linotype"/>
          <w:b/>
          <w:color w:val="000000" w:themeColor="text1"/>
        </w:rPr>
        <w:t>(SAIMEX)</w:t>
      </w:r>
      <w:r w:rsidRPr="00855290">
        <w:rPr>
          <w:rFonts w:ascii="Palatino Linotype" w:eastAsia="MS Mincho" w:hAnsi="Palatino Linotype"/>
          <w:color w:val="000000" w:themeColor="text1"/>
        </w:rPr>
        <w:t>,</w:t>
      </w:r>
      <w:r>
        <w:rPr>
          <w:rFonts w:ascii="Palatino Linotype" w:eastAsia="MS Mincho" w:hAnsi="Palatino Linotype"/>
          <w:color w:val="000000" w:themeColor="text1"/>
        </w:rPr>
        <w:t xml:space="preserve"> la siguiente información</w:t>
      </w:r>
      <w:r w:rsidRPr="00717D41">
        <w:rPr>
          <w:rFonts w:ascii="Palatino Linotype" w:hAnsi="Palatino Linotype" w:cs="Arial"/>
          <w:lang w:val="es-ES"/>
        </w:rPr>
        <w:t>:</w:t>
      </w:r>
    </w:p>
    <w:p w14:paraId="142E1422" w14:textId="77777777" w:rsidR="00A37D32" w:rsidRPr="00855290" w:rsidRDefault="00A37D32" w:rsidP="00A37D32">
      <w:pPr>
        <w:spacing w:line="360" w:lineRule="auto"/>
        <w:jc w:val="both"/>
        <w:rPr>
          <w:rFonts w:ascii="Palatino Linotype" w:eastAsia="MS Mincho" w:hAnsi="Palatino Linotype"/>
          <w:color w:val="000000" w:themeColor="text1"/>
        </w:rPr>
      </w:pPr>
    </w:p>
    <w:p w14:paraId="46C70710" w14:textId="6C940B0F" w:rsidR="00A37D32" w:rsidRDefault="00A37D32" w:rsidP="002552E1">
      <w:pPr>
        <w:pStyle w:val="Prrafodelista"/>
        <w:numPr>
          <w:ilvl w:val="0"/>
          <w:numId w:val="38"/>
        </w:numPr>
        <w:spacing w:line="360" w:lineRule="auto"/>
        <w:jc w:val="both"/>
        <w:rPr>
          <w:rFonts w:ascii="Palatino Linotype" w:eastAsiaTheme="minorHAnsi" w:hAnsi="Palatino Linotype" w:cs="Arial"/>
        </w:rPr>
      </w:pPr>
      <w:r w:rsidRPr="006C313B">
        <w:rPr>
          <w:rFonts w:ascii="Palatino Linotype" w:eastAsiaTheme="minorHAnsi" w:hAnsi="Palatino Linotype" w:cs="Arial"/>
        </w:rPr>
        <w:t xml:space="preserve">Acuerdo del Comité de Transparencia, en el que se declare </w:t>
      </w:r>
      <w:r>
        <w:rPr>
          <w:rFonts w:ascii="Palatino Linotype" w:eastAsiaTheme="minorHAnsi" w:hAnsi="Palatino Linotype" w:cs="Arial"/>
        </w:rPr>
        <w:t>su</w:t>
      </w:r>
      <w:r w:rsidRPr="006C313B">
        <w:rPr>
          <w:rFonts w:ascii="Palatino Linotype" w:eastAsiaTheme="minorHAnsi" w:hAnsi="Palatino Linotype" w:cs="Arial"/>
        </w:rPr>
        <w:t xml:space="preserve"> incompetencia para atender </w:t>
      </w:r>
      <w:r>
        <w:rPr>
          <w:rFonts w:ascii="Palatino Linotype" w:eastAsiaTheme="minorHAnsi" w:hAnsi="Palatino Linotype" w:cs="Arial"/>
        </w:rPr>
        <w:t xml:space="preserve">la solicitud de información </w:t>
      </w:r>
      <w:r w:rsidR="002552E1" w:rsidRPr="002552E1">
        <w:rPr>
          <w:rFonts w:ascii="Palatino Linotype" w:eastAsiaTheme="minorHAnsi" w:hAnsi="Palatino Linotype" w:cs="Arial"/>
        </w:rPr>
        <w:t>00019/FELIPRO/IP/2023</w:t>
      </w:r>
      <w:r>
        <w:rPr>
          <w:rFonts w:ascii="Palatino Linotype" w:eastAsiaTheme="minorHAnsi" w:hAnsi="Palatino Linotype" w:cs="Arial"/>
        </w:rPr>
        <w:t>.</w:t>
      </w:r>
    </w:p>
    <w:p w14:paraId="5C66B8D1" w14:textId="77777777" w:rsidR="00A37D32" w:rsidRDefault="00A37D32" w:rsidP="00A37D32">
      <w:pPr>
        <w:pStyle w:val="Prrafodelista"/>
        <w:spacing w:line="360" w:lineRule="auto"/>
        <w:jc w:val="both"/>
        <w:rPr>
          <w:rFonts w:ascii="Palatino Linotype" w:eastAsiaTheme="minorHAnsi" w:hAnsi="Palatino Linotype" w:cs="Arial"/>
        </w:rPr>
      </w:pPr>
    </w:p>
    <w:p w14:paraId="4D59F00C" w14:textId="47D0CED0" w:rsidR="005E450E" w:rsidRPr="00C70FA6" w:rsidRDefault="006C2955" w:rsidP="005E450E">
      <w:pPr>
        <w:spacing w:line="360" w:lineRule="auto"/>
        <w:jc w:val="both"/>
        <w:rPr>
          <w:rFonts w:ascii="Palatino Linotype" w:eastAsiaTheme="minorEastAsia" w:hAnsi="Palatino Linotype" w:cs="Arial"/>
          <w:bCs/>
          <w:lang w:val="es-ES_tradnl"/>
        </w:rPr>
      </w:pPr>
      <w:r w:rsidRPr="00C70FA6">
        <w:rPr>
          <w:rFonts w:ascii="Palatino Linotype" w:hAnsi="Palatino Linotype" w:cs="Arial"/>
          <w:b/>
          <w:lang w:val="es-ES_tradnl" w:eastAsia="es-ES"/>
        </w:rPr>
        <w:t>TERCE</w:t>
      </w:r>
      <w:r w:rsidR="005E450E" w:rsidRPr="00C70FA6">
        <w:rPr>
          <w:rFonts w:ascii="Palatino Linotype" w:hAnsi="Palatino Linotype" w:cs="Arial"/>
          <w:b/>
          <w:lang w:val="es-ES_tradnl" w:eastAsia="es-ES"/>
        </w:rPr>
        <w:t xml:space="preserve">RO. </w:t>
      </w:r>
      <w:r w:rsidR="005E450E" w:rsidRPr="00C70FA6">
        <w:rPr>
          <w:rFonts w:ascii="Palatino Linotype" w:hAnsi="Palatino Linotype" w:cs="Arial"/>
          <w:lang w:val="es-ES_tradnl" w:eastAsia="es-ES"/>
        </w:rPr>
        <w:t>Resultan parcialmente fundadas las</w:t>
      </w:r>
      <w:r w:rsidR="005E450E" w:rsidRPr="00C70FA6">
        <w:rPr>
          <w:rFonts w:ascii="Palatino Linotype" w:hAnsi="Palatino Linotype" w:cs="Arial"/>
          <w:b/>
          <w:lang w:val="es-ES_tradnl" w:eastAsia="es-ES"/>
        </w:rPr>
        <w:t xml:space="preserve"> </w:t>
      </w:r>
      <w:r w:rsidR="005E450E" w:rsidRPr="00C70FA6">
        <w:rPr>
          <w:rFonts w:ascii="Palatino Linotype" w:hAnsi="Palatino Linotype" w:cs="Arial"/>
          <w:lang w:val="es-ES" w:eastAsia="es-ES"/>
        </w:rPr>
        <w:t>razones y motivos de inconformidad hechos valer en el recurso de revisión</w:t>
      </w:r>
      <w:r w:rsidR="005E450E" w:rsidRPr="00C70FA6">
        <w:rPr>
          <w:rFonts w:ascii="Palatino Linotype" w:hAnsi="Palatino Linotype" w:cs="Arial"/>
          <w:b/>
          <w:bCs/>
          <w:lang w:val="es-ES_tradnl" w:eastAsia="es-ES"/>
        </w:rPr>
        <w:t xml:space="preserve"> </w:t>
      </w:r>
      <w:r w:rsidR="005E450E" w:rsidRPr="00C70FA6">
        <w:rPr>
          <w:rFonts w:ascii="Palatino Linotype" w:eastAsiaTheme="minorHAnsi" w:hAnsi="Palatino Linotype" w:cs="AppleSystemUIFontBold"/>
          <w:b/>
          <w:bCs/>
          <w:lang w:val="es-ES_tradnl" w:eastAsia="en-US"/>
        </w:rPr>
        <w:t>02168/INFOEM/IP/RR/2023</w:t>
      </w:r>
      <w:r w:rsidR="005E450E" w:rsidRPr="00C70FA6">
        <w:rPr>
          <w:rFonts w:ascii="Palatino Linotype" w:eastAsiaTheme="minorHAnsi" w:hAnsi="Palatino Linotype" w:cs="AppleSystemUIFontBold"/>
          <w:bCs/>
          <w:lang w:val="es-ES_tradnl" w:eastAsia="en-US"/>
        </w:rPr>
        <w:t xml:space="preserve"> en </w:t>
      </w:r>
      <w:r w:rsidR="005E450E" w:rsidRPr="00C70FA6">
        <w:rPr>
          <w:rFonts w:ascii="Palatino Linotype" w:eastAsiaTheme="minorEastAsia" w:hAnsi="Palatino Linotype" w:cs="Arial"/>
          <w:bCs/>
          <w:lang w:val="es-ES_tradnl"/>
        </w:rPr>
        <w:t xml:space="preserve">términos de los </w:t>
      </w:r>
      <w:r w:rsidR="005E450E" w:rsidRPr="00C70FA6">
        <w:rPr>
          <w:rFonts w:ascii="Palatino Linotype" w:eastAsiaTheme="minorEastAsia" w:hAnsi="Palatino Linotype" w:cs="Arial"/>
          <w:b/>
          <w:bCs/>
          <w:lang w:val="es-ES_tradnl"/>
        </w:rPr>
        <w:t xml:space="preserve">Considerandos Cuarto y Séptimo </w:t>
      </w:r>
      <w:r w:rsidR="005E450E" w:rsidRPr="00C70FA6">
        <w:rPr>
          <w:rFonts w:ascii="Palatino Linotype" w:eastAsiaTheme="minorEastAsia" w:hAnsi="Palatino Linotype" w:cs="Arial"/>
          <w:bCs/>
          <w:lang w:val="es-ES_tradnl"/>
        </w:rPr>
        <w:t>de la presente resolución.</w:t>
      </w:r>
    </w:p>
    <w:p w14:paraId="0E5ADDC5" w14:textId="77777777" w:rsidR="005E450E" w:rsidRPr="00C70FA6" w:rsidRDefault="005E450E" w:rsidP="005E450E">
      <w:pPr>
        <w:spacing w:line="360" w:lineRule="auto"/>
        <w:jc w:val="both"/>
        <w:rPr>
          <w:rFonts w:ascii="Palatino Linotype" w:eastAsiaTheme="minorEastAsia" w:hAnsi="Palatino Linotype" w:cs="Arial"/>
          <w:bCs/>
          <w:lang w:val="es-ES_tradnl"/>
        </w:rPr>
      </w:pPr>
    </w:p>
    <w:p w14:paraId="4EFA8723" w14:textId="3E30A37D" w:rsidR="005E450E" w:rsidRPr="00C70FA6" w:rsidRDefault="006C2955" w:rsidP="005E450E">
      <w:pPr>
        <w:spacing w:line="360" w:lineRule="auto"/>
        <w:jc w:val="both"/>
        <w:rPr>
          <w:rFonts w:ascii="Palatino Linotype" w:eastAsia="Calibri" w:hAnsi="Palatino Linotype" w:cs="Arial"/>
          <w:b/>
          <w:lang w:val="es-ES" w:eastAsia="es-ES"/>
        </w:rPr>
      </w:pPr>
      <w:r w:rsidRPr="00C70FA6">
        <w:rPr>
          <w:rFonts w:ascii="Palatino Linotype" w:eastAsia="Calibri" w:hAnsi="Palatino Linotype" w:cs="Arial"/>
          <w:b/>
          <w:bCs/>
          <w:lang w:val="es-ES" w:eastAsia="es-ES"/>
        </w:rPr>
        <w:t>CUART</w:t>
      </w:r>
      <w:r w:rsidR="005E450E" w:rsidRPr="00C70FA6">
        <w:rPr>
          <w:rFonts w:ascii="Palatino Linotype" w:eastAsia="Calibri" w:hAnsi="Palatino Linotype" w:cs="Arial"/>
          <w:b/>
          <w:bCs/>
          <w:lang w:val="es-ES" w:eastAsia="es-ES"/>
        </w:rPr>
        <w:t xml:space="preserve">O. </w:t>
      </w:r>
      <w:r w:rsidR="005E450E" w:rsidRPr="00C70FA6">
        <w:rPr>
          <w:rFonts w:ascii="Palatino Linotype" w:eastAsia="Calibri" w:hAnsi="Palatino Linotype" w:cs="Arial"/>
          <w:lang w:val="es-ES" w:eastAsia="es-ES"/>
        </w:rPr>
        <w:t xml:space="preserve">Se </w:t>
      </w:r>
      <w:r w:rsidR="005E450E" w:rsidRPr="00C70FA6">
        <w:rPr>
          <w:rFonts w:ascii="Palatino Linotype" w:eastAsia="Calibri" w:hAnsi="Palatino Linotype" w:cs="Arial"/>
          <w:b/>
          <w:lang w:val="es-ES" w:eastAsia="es-ES"/>
        </w:rPr>
        <w:t xml:space="preserve">ORDENA </w:t>
      </w:r>
      <w:r w:rsidR="005E450E" w:rsidRPr="00C70FA6">
        <w:rPr>
          <w:rFonts w:ascii="Palatino Linotype" w:eastAsia="Calibri" w:hAnsi="Palatino Linotype" w:cs="Arial"/>
          <w:lang w:val="es-ES" w:eastAsia="es-ES"/>
        </w:rPr>
        <w:t xml:space="preserve">al </w:t>
      </w:r>
      <w:r w:rsidR="005E450E" w:rsidRPr="00C70FA6">
        <w:rPr>
          <w:rFonts w:ascii="Palatino Linotype" w:eastAsia="MS Mincho" w:hAnsi="Palatino Linotype"/>
          <w:b/>
        </w:rPr>
        <w:t>Ayuntamiento de San Felipe del Progreso</w:t>
      </w:r>
      <w:r w:rsidR="005E450E" w:rsidRPr="00C70FA6">
        <w:rPr>
          <w:rFonts w:ascii="Palatino Linotype" w:eastAsia="Calibri" w:hAnsi="Palatino Linotype" w:cs="Arial"/>
          <w:lang w:val="es-ES"/>
        </w:rPr>
        <w:t xml:space="preserve"> </w:t>
      </w:r>
      <w:r w:rsidR="005E450E" w:rsidRPr="00C70FA6">
        <w:rPr>
          <w:rFonts w:ascii="Palatino Linotype" w:eastAsia="Calibri" w:hAnsi="Palatino Linotype" w:cs="Arial"/>
          <w:lang w:val="es-ES" w:eastAsia="es-ES"/>
        </w:rPr>
        <w:t>dar atención a la solicitud de información</w:t>
      </w:r>
      <w:r w:rsidR="005E450E" w:rsidRPr="00C70FA6">
        <w:rPr>
          <w:rFonts w:ascii="Palatino Linotype" w:hAnsi="Palatino Linotype"/>
        </w:rPr>
        <w:t xml:space="preserve"> </w:t>
      </w:r>
      <w:r w:rsidR="005E450E" w:rsidRPr="00C70FA6">
        <w:rPr>
          <w:rFonts w:ascii="Palatino Linotype" w:hAnsi="Palatino Linotype"/>
          <w:b/>
        </w:rPr>
        <w:t xml:space="preserve">00018/FELIPRO/IP/2023 </w:t>
      </w:r>
      <w:r w:rsidR="005E450E" w:rsidRPr="00C70FA6">
        <w:rPr>
          <w:rFonts w:ascii="Palatino Linotype" w:eastAsia="Calibri" w:hAnsi="Palatino Linotype" w:cs="Arial"/>
          <w:lang w:val="es-ES" w:eastAsia="es-ES"/>
        </w:rPr>
        <w:t xml:space="preserve">y en su caso, entregar la información vía </w:t>
      </w:r>
      <w:r w:rsidR="005E450E" w:rsidRPr="00C70FA6">
        <w:rPr>
          <w:rFonts w:ascii="Palatino Linotype" w:eastAsia="Calibri" w:hAnsi="Palatino Linotype" w:cs="Arial"/>
          <w:lang w:val="es-ES_tradnl" w:eastAsia="es-ES"/>
        </w:rPr>
        <w:t xml:space="preserve">Sistema de Acceso a Información Mexiquense </w:t>
      </w:r>
      <w:r w:rsidR="005E450E" w:rsidRPr="00C70FA6">
        <w:rPr>
          <w:rFonts w:ascii="Palatino Linotype" w:eastAsia="Calibri" w:hAnsi="Palatino Linotype" w:cs="Arial"/>
          <w:b/>
          <w:lang w:val="es-ES_tradnl" w:eastAsia="es-ES"/>
        </w:rPr>
        <w:t>(</w:t>
      </w:r>
      <w:r w:rsidR="005E450E" w:rsidRPr="00C70FA6">
        <w:rPr>
          <w:rFonts w:ascii="Palatino Linotype" w:eastAsia="Calibri" w:hAnsi="Palatino Linotype" w:cs="Arial"/>
          <w:b/>
          <w:lang w:val="es-ES" w:eastAsia="es-ES"/>
        </w:rPr>
        <w:t>SAIMEX)</w:t>
      </w:r>
      <w:r w:rsidR="005E450E" w:rsidRPr="00C70FA6">
        <w:rPr>
          <w:rFonts w:ascii="Palatino Linotype" w:eastAsia="Calibri" w:hAnsi="Palatino Linotype" w:cs="Arial"/>
          <w:lang w:val="es-ES" w:eastAsia="es-ES"/>
        </w:rPr>
        <w:t>.</w:t>
      </w:r>
    </w:p>
    <w:p w14:paraId="0B0B8441" w14:textId="77777777" w:rsidR="00823B97" w:rsidRPr="00C70FA6" w:rsidRDefault="00823B97" w:rsidP="00823B97">
      <w:pPr>
        <w:spacing w:line="360" w:lineRule="auto"/>
        <w:jc w:val="both"/>
        <w:rPr>
          <w:rFonts w:ascii="Palatino Linotype" w:eastAsia="Calibri" w:hAnsi="Palatino Linotype" w:cs="Arial"/>
          <w:lang w:val="es-ES" w:eastAsia="es-ES"/>
        </w:rPr>
      </w:pPr>
    </w:p>
    <w:p w14:paraId="53DD731A" w14:textId="7FC9FE31" w:rsidR="00823B97" w:rsidRPr="00745D07" w:rsidRDefault="006C2955"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70FA6">
        <w:rPr>
          <w:rFonts w:ascii="Palatino Linotype" w:eastAsia="Palatino Linotype" w:hAnsi="Palatino Linotype" w:cs="Palatino Linotype"/>
          <w:b/>
          <w:lang w:val="es-ES_tradnl" w:eastAsia="es-ES"/>
        </w:rPr>
        <w:t>QUIN</w:t>
      </w:r>
      <w:r w:rsidR="009759EF" w:rsidRPr="00C70FA6">
        <w:rPr>
          <w:rFonts w:ascii="Palatino Linotype" w:eastAsia="Palatino Linotype" w:hAnsi="Palatino Linotype" w:cs="Palatino Linotype"/>
          <w:b/>
          <w:lang w:val="es-ES_tradnl" w:eastAsia="es-ES"/>
        </w:rPr>
        <w:t>T</w:t>
      </w:r>
      <w:r w:rsidR="00823B97" w:rsidRPr="00C70FA6">
        <w:rPr>
          <w:rFonts w:ascii="Palatino Linotype" w:eastAsia="Palatino Linotype" w:hAnsi="Palatino Linotype" w:cs="Palatino Linotype"/>
          <w:b/>
          <w:lang w:val="es-ES_tradnl" w:eastAsia="es-ES"/>
        </w:rPr>
        <w:t xml:space="preserve">O. </w:t>
      </w:r>
      <w:r w:rsidR="009759EF" w:rsidRPr="00C70FA6">
        <w:rPr>
          <w:rFonts w:ascii="Palatino Linotype" w:hAnsi="Palatino Linotype"/>
          <w:b/>
        </w:rPr>
        <w:t xml:space="preserve">Notifíquese </w:t>
      </w:r>
      <w:r w:rsidR="009759EF" w:rsidRPr="00C70FA6">
        <w:rPr>
          <w:rFonts w:ascii="Palatino Linotype" w:hAnsi="Palatino Linotype"/>
        </w:rPr>
        <w:t>la presente resolución al Titular de la Unidad de Transparencia del Sujeto Obligado, para que conforme</w:t>
      </w:r>
      <w:r w:rsidR="009759EF" w:rsidRPr="009508E6">
        <w:rPr>
          <w:rFonts w:ascii="Palatino Linotype" w:hAnsi="Palatino Linotype"/>
        </w:rPr>
        <w:t xml:space="preserve"> al artículo 186 último </w:t>
      </w:r>
      <w:r w:rsidR="009759EF" w:rsidRPr="009508E6">
        <w:rPr>
          <w:rFonts w:ascii="Palatino Linotype" w:hAnsi="Palatino Linotype"/>
        </w:rPr>
        <w:lastRenderedPageBreak/>
        <w:t xml:space="preserve">párrafo, 189 segundo párrafo y 194 de la Ley de Transparencia y Acceso a la Información Pública del Estado de México y Municipios; dé cumplimiento a lo ordenado dentro del </w:t>
      </w:r>
      <w:r w:rsidR="009759EF" w:rsidRPr="008E526A">
        <w:rPr>
          <w:rFonts w:ascii="Palatino Linotype" w:hAnsi="Palatino Linotype"/>
          <w:b/>
        </w:rPr>
        <w:t>plazo de diez días hábiles</w:t>
      </w:r>
      <w:r w:rsidR="009759EF" w:rsidRPr="009508E6">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823B97" w:rsidRPr="00745D07">
        <w:rPr>
          <w:rFonts w:ascii="Palatino Linotype" w:eastAsiaTheme="minorEastAsia" w:hAnsi="Palatino Linotype"/>
          <w:shd w:val="clear" w:color="auto" w:fill="FFFFFF"/>
          <w:lang w:val="es-ES_tradnl" w:eastAsia="es-ES"/>
        </w:rPr>
        <w:t>.</w:t>
      </w:r>
    </w:p>
    <w:p w14:paraId="71958858" w14:textId="77777777" w:rsidR="00823B97" w:rsidRPr="00745D07" w:rsidRDefault="00823B97" w:rsidP="00823B97">
      <w:pPr>
        <w:shd w:val="clear" w:color="auto" w:fill="FFFFFF"/>
        <w:spacing w:line="360" w:lineRule="auto"/>
        <w:jc w:val="both"/>
        <w:rPr>
          <w:rFonts w:ascii="Palatino Linotype" w:hAnsi="Palatino Linotype" w:cs="Arial"/>
          <w:b/>
          <w:lang w:val="es-ES_tradnl" w:eastAsia="es-ES"/>
        </w:rPr>
      </w:pPr>
    </w:p>
    <w:p w14:paraId="2487E51B" w14:textId="0C2041CB" w:rsidR="009759EF" w:rsidRDefault="006C2955" w:rsidP="009759EF">
      <w:pPr>
        <w:spacing w:line="360" w:lineRule="auto"/>
        <w:jc w:val="both"/>
        <w:rPr>
          <w:rFonts w:ascii="Palatino Linotype" w:eastAsia="Calibri" w:hAnsi="Palatino Linotype" w:cs="Arial"/>
          <w:bCs/>
        </w:rPr>
      </w:pPr>
      <w:r>
        <w:rPr>
          <w:rFonts w:ascii="Palatino Linotype" w:hAnsi="Palatino Linotype" w:cs="Arial"/>
          <w:b/>
        </w:rPr>
        <w:t>SEX</w:t>
      </w:r>
      <w:r w:rsidR="009759EF" w:rsidRPr="008815BA">
        <w:rPr>
          <w:rFonts w:ascii="Palatino Linotype" w:hAnsi="Palatino Linotype" w:cs="Arial"/>
          <w:b/>
        </w:rPr>
        <w:t xml:space="preserve">TO. </w:t>
      </w:r>
      <w:r w:rsidR="009759EF"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9759EF" w:rsidRPr="0057514F">
        <w:rPr>
          <w:rFonts w:ascii="Palatino Linotype" w:eastAsia="Calibri" w:hAnsi="Palatino Linotype" w:cs="Arial"/>
          <w:b/>
          <w:bCs/>
        </w:rPr>
        <w:t>SUJETO OBLIGADO</w:t>
      </w:r>
      <w:r w:rsidR="009759EF" w:rsidRPr="008815BA">
        <w:rPr>
          <w:rFonts w:ascii="Palatino Linotype" w:eastAsia="Calibri" w:hAnsi="Palatino Linotype" w:cs="Arial"/>
          <w:bCs/>
        </w:rPr>
        <w:t xml:space="preserve"> de manera fundada y motivada, podrá solicitar una ampliación de plazo para el cumplimiento de la presente resolución.</w:t>
      </w:r>
    </w:p>
    <w:p w14:paraId="0C6CFF20" w14:textId="77777777" w:rsidR="009759EF" w:rsidRDefault="009759EF" w:rsidP="009759EF">
      <w:pPr>
        <w:spacing w:line="360" w:lineRule="auto"/>
        <w:jc w:val="both"/>
        <w:rPr>
          <w:rFonts w:ascii="Palatino Linotype" w:eastAsia="Calibri" w:hAnsi="Palatino Linotype" w:cs="Arial"/>
          <w:bCs/>
        </w:rPr>
      </w:pPr>
    </w:p>
    <w:p w14:paraId="4C841896" w14:textId="6BFEA034" w:rsidR="009759EF" w:rsidRDefault="006C2955" w:rsidP="009759EF">
      <w:pPr>
        <w:tabs>
          <w:tab w:val="left" w:pos="8080"/>
        </w:tabs>
        <w:spacing w:line="360" w:lineRule="auto"/>
        <w:ind w:right="49"/>
        <w:jc w:val="both"/>
        <w:rPr>
          <w:rFonts w:ascii="Palatino Linotype" w:hAnsi="Palatino Linotype"/>
          <w:lang w:val="es-ES"/>
        </w:rPr>
      </w:pPr>
      <w:bookmarkStart w:id="67" w:name="_Toc492590393"/>
      <w:bookmarkStart w:id="68" w:name="_Toc503891611"/>
      <w:bookmarkStart w:id="69" w:name="_Toc511647759"/>
      <w:bookmarkStart w:id="70" w:name="_Toc511647820"/>
      <w:r>
        <w:rPr>
          <w:rFonts w:ascii="Palatino Linotype" w:hAnsi="Palatino Linotype"/>
          <w:b/>
        </w:rPr>
        <w:t>SÉPTIMO</w:t>
      </w:r>
      <w:r w:rsidR="009759EF" w:rsidRPr="003171A7">
        <w:rPr>
          <w:rFonts w:ascii="Palatino Linotype" w:hAnsi="Palatino Linotype"/>
          <w:b/>
        </w:rPr>
        <w:t xml:space="preserve">. </w:t>
      </w:r>
      <w:r w:rsidR="009759EF" w:rsidRPr="003171A7">
        <w:rPr>
          <w:rFonts w:ascii="Palatino Linotype" w:hAnsi="Palatino Linotype"/>
        </w:rPr>
        <w:t>Notifíquese</w:t>
      </w:r>
      <w:bookmarkEnd w:id="67"/>
      <w:bookmarkEnd w:id="68"/>
      <w:bookmarkEnd w:id="69"/>
      <w:bookmarkEnd w:id="70"/>
      <w:r w:rsidR="009759EF" w:rsidRPr="003171A7">
        <w:rPr>
          <w:rFonts w:ascii="Palatino Linotype" w:hAnsi="Palatino Linotype"/>
        </w:rPr>
        <w:t xml:space="preserve"> a</w:t>
      </w:r>
      <w:r w:rsidR="009759EF">
        <w:rPr>
          <w:rFonts w:ascii="Palatino Linotype" w:hAnsi="Palatino Linotype"/>
        </w:rPr>
        <w:t xml:space="preserve"> </w:t>
      </w:r>
      <w:r w:rsidR="009759EF" w:rsidRPr="003D4B5F">
        <w:rPr>
          <w:rFonts w:ascii="Palatino Linotype" w:hAnsi="Palatino Linotype"/>
          <w:b/>
        </w:rPr>
        <w:t>EL RECURRENTE</w:t>
      </w:r>
      <w:r w:rsidR="009759EF" w:rsidRPr="003171A7">
        <w:rPr>
          <w:rFonts w:ascii="Palatino Linotype" w:hAnsi="Palatino Linotype"/>
        </w:rPr>
        <w:t xml:space="preserve"> la presente</w:t>
      </w:r>
      <w:r w:rsidR="009759EF" w:rsidRPr="003171A7">
        <w:rPr>
          <w:rFonts w:ascii="Palatino Linotype" w:hAnsi="Palatino Linotype"/>
          <w:lang w:val="es-ES"/>
        </w:rPr>
        <w:t xml:space="preserve"> resolución</w:t>
      </w:r>
      <w:r w:rsidR="009759EF">
        <w:rPr>
          <w:rFonts w:ascii="Palatino Linotype" w:hAnsi="Palatino Linotype"/>
          <w:lang w:val="es-ES"/>
        </w:rPr>
        <w:t>, vía SAIMEX.</w:t>
      </w:r>
    </w:p>
    <w:p w14:paraId="02B0018C" w14:textId="77777777" w:rsidR="009759EF" w:rsidRDefault="009759EF" w:rsidP="009759EF">
      <w:pPr>
        <w:tabs>
          <w:tab w:val="left" w:pos="8080"/>
        </w:tabs>
        <w:spacing w:line="360" w:lineRule="auto"/>
        <w:ind w:right="49"/>
        <w:jc w:val="both"/>
        <w:rPr>
          <w:rFonts w:ascii="Palatino Linotype" w:hAnsi="Palatino Linotype"/>
          <w:lang w:val="es-ES"/>
        </w:rPr>
      </w:pPr>
    </w:p>
    <w:p w14:paraId="3537FD2D" w14:textId="2D58FA3A" w:rsidR="009759EF" w:rsidRDefault="006C2955" w:rsidP="009759EF">
      <w:pPr>
        <w:shd w:val="clear" w:color="auto" w:fill="FFFFFF"/>
        <w:spacing w:line="360" w:lineRule="auto"/>
        <w:jc w:val="both"/>
        <w:rPr>
          <w:rFonts w:ascii="Palatino Linotype" w:hAnsi="Palatino Linotype"/>
          <w:lang w:val="es-ES"/>
        </w:rPr>
      </w:pPr>
      <w:r>
        <w:rPr>
          <w:rFonts w:ascii="Palatino Linotype" w:eastAsia="Calibri" w:hAnsi="Palatino Linotype"/>
          <w:b/>
          <w:lang w:eastAsia="en-US"/>
        </w:rPr>
        <w:t>OCTAV</w:t>
      </w:r>
      <w:r w:rsidR="009759EF">
        <w:rPr>
          <w:rFonts w:ascii="Palatino Linotype" w:eastAsia="Calibri" w:hAnsi="Palatino Linotype"/>
          <w:b/>
          <w:lang w:eastAsia="en-US"/>
        </w:rPr>
        <w:t>O</w:t>
      </w:r>
      <w:r w:rsidR="009759EF" w:rsidRPr="003171A7">
        <w:rPr>
          <w:rFonts w:ascii="Palatino Linotype" w:eastAsia="Calibri" w:hAnsi="Palatino Linotype"/>
          <w:b/>
          <w:lang w:eastAsia="en-US"/>
        </w:rPr>
        <w:t>.</w:t>
      </w:r>
      <w:r w:rsidR="009759EF" w:rsidRPr="003171A7">
        <w:rPr>
          <w:rFonts w:ascii="Palatino Linotype" w:eastAsia="Calibri" w:hAnsi="Palatino Linotype"/>
          <w:lang w:eastAsia="en-US"/>
        </w:rPr>
        <w:t xml:space="preserve"> </w:t>
      </w:r>
      <w:r w:rsidR="009759EF" w:rsidRPr="003171A7">
        <w:rPr>
          <w:rFonts w:ascii="Palatino Linotype" w:hAnsi="Palatino Linotype"/>
          <w:lang w:val="es-ES"/>
        </w:rPr>
        <w:t>Se hace del conocimiento de</w:t>
      </w:r>
      <w:r w:rsidR="009759EF">
        <w:rPr>
          <w:rFonts w:ascii="Palatino Linotype" w:hAnsi="Palatino Linotype"/>
          <w:lang w:val="es-ES"/>
        </w:rPr>
        <w:t xml:space="preserve"> </w:t>
      </w:r>
      <w:r w:rsidR="009759EF" w:rsidRPr="003D4B5F">
        <w:rPr>
          <w:rFonts w:ascii="Palatino Linotype" w:hAnsi="Palatino Linotype"/>
          <w:b/>
          <w:lang w:val="es-ES"/>
        </w:rPr>
        <w:t>EL RECURRENTE</w:t>
      </w:r>
      <w:r w:rsidR="009759EF" w:rsidRPr="003171A7">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759EF" w:rsidRPr="003171A7">
        <w:rPr>
          <w:rFonts w:ascii="Palatino Linotype" w:hAnsi="Palatino Linotype"/>
          <w:bCs/>
          <w:lang w:val="es-ES"/>
        </w:rPr>
        <w:t xml:space="preserve">vía juicio de </w:t>
      </w:r>
      <w:r w:rsidR="009759EF" w:rsidRPr="002B5F45">
        <w:rPr>
          <w:rFonts w:ascii="Palatino Linotype" w:hAnsi="Palatino Linotype"/>
          <w:bCs/>
          <w:lang w:val="es-ES"/>
        </w:rPr>
        <w:t>amparo</w:t>
      </w:r>
      <w:r w:rsidR="009759EF" w:rsidRPr="002B5F45">
        <w:rPr>
          <w:rFonts w:ascii="Palatino Linotype" w:hAnsi="Palatino Linotype"/>
          <w:lang w:val="es-ES"/>
        </w:rPr>
        <w:t> en los términos de las leyes aplicables.</w:t>
      </w:r>
    </w:p>
    <w:p w14:paraId="53F12F7A" w14:textId="77777777" w:rsidR="006C2955" w:rsidRDefault="006C2955" w:rsidP="009759EF">
      <w:pPr>
        <w:shd w:val="clear" w:color="auto" w:fill="FFFFFF"/>
        <w:spacing w:line="360" w:lineRule="auto"/>
        <w:jc w:val="both"/>
        <w:rPr>
          <w:rFonts w:ascii="Palatino Linotype" w:hAnsi="Palatino Linotype"/>
          <w:lang w:val="es-ES"/>
        </w:rPr>
      </w:pPr>
    </w:p>
    <w:p w14:paraId="1E7C2C30" w14:textId="054A0A80" w:rsidR="006C2955" w:rsidRPr="00C70FA6" w:rsidRDefault="006C2955" w:rsidP="006C2955">
      <w:pPr>
        <w:spacing w:line="360" w:lineRule="auto"/>
        <w:jc w:val="both"/>
        <w:rPr>
          <w:rFonts w:ascii="Palatino Linotype" w:eastAsia="MS Mincho" w:hAnsi="Palatino Linotype"/>
          <w:b/>
          <w:lang w:val="es-ES_tradnl" w:eastAsia="es-ES"/>
        </w:rPr>
      </w:pPr>
      <w:r w:rsidRPr="00C70FA6">
        <w:rPr>
          <w:rFonts w:ascii="Palatino Linotype" w:eastAsia="MS Mincho" w:hAnsi="Palatino Linotype"/>
          <w:b/>
          <w:lang w:val="es-ES_tradnl" w:eastAsia="es-ES"/>
        </w:rPr>
        <w:lastRenderedPageBreak/>
        <w:t xml:space="preserve">NOVENO. </w:t>
      </w:r>
      <w:r w:rsidR="00E65C4A" w:rsidRPr="00C70FA6">
        <w:rPr>
          <w:rFonts w:ascii="Palatino Linotype" w:eastAsia="MS Mincho" w:hAnsi="Palatino Linotype"/>
        </w:rPr>
        <w:t xml:space="preserve">Gírese oficio a la Secretaría Técnica del Pleno de este Instituto para hacer del conocimiento del Órgano Interno de Control competente </w:t>
      </w:r>
      <w:r w:rsidRPr="00C70FA6">
        <w:rPr>
          <w:rFonts w:ascii="Palatino Linotype" w:eastAsia="MS Mincho" w:hAnsi="Palatino Linotype"/>
          <w:lang w:val="es-ES_tradnl" w:eastAsia="es-ES"/>
        </w:rPr>
        <w:t xml:space="preserve">la presente resolución a fin de que en ejercicio de sus atribuciones y de conformidad al artículo 190 de la Ley de Transparencia y Acceso a la Información Pública del Estado de México y Municipios, determine lo conducente en términos del </w:t>
      </w:r>
      <w:r w:rsidRPr="00C70FA6">
        <w:rPr>
          <w:rFonts w:ascii="Palatino Linotype" w:eastAsia="MS Mincho" w:hAnsi="Palatino Linotype"/>
          <w:b/>
          <w:lang w:val="es-ES_tradnl" w:eastAsia="es-ES"/>
        </w:rPr>
        <w:t>Considerando SEXTO.</w:t>
      </w:r>
    </w:p>
    <w:p w14:paraId="53DA7EC8" w14:textId="77777777" w:rsidR="00361B07" w:rsidRPr="00C70FA6" w:rsidRDefault="00361B07" w:rsidP="006C2955">
      <w:pPr>
        <w:spacing w:line="360" w:lineRule="auto"/>
        <w:jc w:val="both"/>
        <w:rPr>
          <w:rFonts w:ascii="Palatino Linotype" w:eastAsia="MS Mincho" w:hAnsi="Palatino Linotype"/>
          <w:b/>
          <w:lang w:val="es-ES_tradnl" w:eastAsia="es-ES"/>
        </w:rPr>
      </w:pPr>
    </w:p>
    <w:p w14:paraId="62CFAADB" w14:textId="77777777" w:rsidR="00361B07" w:rsidRPr="00745D07" w:rsidRDefault="00361B07" w:rsidP="00361B07">
      <w:pPr>
        <w:spacing w:line="360" w:lineRule="auto"/>
        <w:jc w:val="both"/>
        <w:rPr>
          <w:rFonts w:ascii="Palatino Linotype" w:eastAsia="MS Mincho" w:hAnsi="Palatino Linotype"/>
          <w:lang w:val="es-ES" w:eastAsia="es-ES"/>
        </w:rPr>
      </w:pPr>
      <w:r w:rsidRPr="00C70FA6">
        <w:rPr>
          <w:rFonts w:ascii="Palatino Linotype" w:eastAsia="MS Mincho" w:hAnsi="Palatino Linotype"/>
          <w:b/>
          <w:lang w:val="es-ES_tradnl" w:eastAsia="es-ES"/>
        </w:rPr>
        <w:t xml:space="preserve">DECIMO. </w:t>
      </w:r>
      <w:r w:rsidRPr="00C70FA6">
        <w:rPr>
          <w:rFonts w:ascii="Palatino Linotype" w:eastAsia="MS Mincho" w:hAnsi="Palatino Linotype"/>
          <w:lang w:val="es-ES" w:eastAsia="es-ES"/>
        </w:rPr>
        <w:t xml:space="preserve">Hágase del conocimiento de </w:t>
      </w:r>
      <w:r w:rsidRPr="00C70FA6">
        <w:rPr>
          <w:rFonts w:ascii="Palatino Linotype" w:eastAsia="MS Mincho" w:hAnsi="Palatino Linotype"/>
          <w:b/>
          <w:lang w:val="es-ES" w:eastAsia="es-ES"/>
        </w:rPr>
        <w:t>EL RECURRENTE</w:t>
      </w:r>
      <w:r w:rsidRPr="00C70FA6">
        <w:rPr>
          <w:rFonts w:ascii="Palatino Linotype" w:eastAsia="MS Mincho" w:hAnsi="Palatino Linotype"/>
          <w:lang w:val="es-ES" w:eastAsia="es-ES"/>
        </w:rPr>
        <w:t xml:space="preserve"> que la respuesta que dé el</w:t>
      </w:r>
      <w:r w:rsidRPr="00C70FA6">
        <w:rPr>
          <w:rFonts w:ascii="Palatino Linotype" w:eastAsia="MS Mincho" w:hAnsi="Palatino Linotype"/>
          <w:b/>
          <w:lang w:val="es-ES" w:eastAsia="es-ES"/>
        </w:rPr>
        <w:t xml:space="preserve"> SUJETO OBLIGADO</w:t>
      </w:r>
      <w:r w:rsidRPr="00C70FA6">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bookmarkStart w:id="71" w:name="_GoBack"/>
      <w:bookmarkEnd w:id="71"/>
    </w:p>
    <w:p w14:paraId="33446B28" w14:textId="77777777" w:rsidR="00361B07" w:rsidRDefault="00361B07" w:rsidP="006C2955">
      <w:pPr>
        <w:spacing w:line="360" w:lineRule="auto"/>
        <w:jc w:val="both"/>
        <w:rPr>
          <w:rFonts w:ascii="Palatino Linotype" w:eastAsia="MS Mincho" w:hAnsi="Palatino Linotype"/>
          <w:b/>
          <w:lang w:val="es-ES_tradnl" w:eastAsia="es-ES"/>
        </w:rPr>
      </w:pPr>
    </w:p>
    <w:p w14:paraId="149C82E1" w14:textId="77777777" w:rsidR="003B6ED1" w:rsidRDefault="003B6ED1" w:rsidP="00823B97">
      <w:pPr>
        <w:spacing w:line="360" w:lineRule="auto"/>
        <w:jc w:val="both"/>
        <w:rPr>
          <w:rFonts w:ascii="Palatino Linotype" w:eastAsia="MS Mincho" w:hAnsi="Palatino Linotype"/>
          <w:b/>
          <w:lang w:val="es-ES_tradnl" w:eastAsia="es-ES"/>
        </w:rPr>
      </w:pPr>
    </w:p>
    <w:p w14:paraId="72F576AE" w14:textId="77777777" w:rsidR="00C8561A" w:rsidRPr="00C8561A" w:rsidRDefault="00C8561A" w:rsidP="00C8561A">
      <w:pPr>
        <w:spacing w:before="240" w:after="240" w:line="360" w:lineRule="auto"/>
        <w:ind w:firstLine="1"/>
        <w:jc w:val="both"/>
        <w:rPr>
          <w:rFonts w:ascii="Palatino Linotype" w:hAnsi="Palatino Linotype"/>
          <w:smallCaps/>
        </w:rPr>
      </w:pPr>
      <w:bookmarkStart w:id="72" w:name="_Hlk129792997"/>
      <w:r w:rsidRPr="00C8561A">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72"/>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Default="004A5F74" w:rsidP="00DA29A0">
      <w:pPr>
        <w:spacing w:line="360" w:lineRule="auto"/>
        <w:rPr>
          <w:rFonts w:ascii="Palatino Linotype" w:hAnsi="Palatino Linotype"/>
        </w:rPr>
      </w:pPr>
    </w:p>
    <w:p w14:paraId="0AE0AB52" w14:textId="77777777" w:rsidR="003B6ED1" w:rsidRDefault="003B6ED1" w:rsidP="00DA29A0">
      <w:pPr>
        <w:spacing w:line="360" w:lineRule="auto"/>
        <w:rPr>
          <w:rFonts w:ascii="Palatino Linotype" w:hAnsi="Palatino Linotype"/>
        </w:rPr>
      </w:pPr>
    </w:p>
    <w:p w14:paraId="681911C6" w14:textId="77777777" w:rsidR="003B6ED1" w:rsidRDefault="003B6ED1" w:rsidP="00DA29A0">
      <w:pPr>
        <w:spacing w:line="360" w:lineRule="auto"/>
        <w:rPr>
          <w:rFonts w:ascii="Palatino Linotype" w:hAnsi="Palatino Linotype"/>
        </w:rPr>
      </w:pPr>
    </w:p>
    <w:p w14:paraId="24CBC07C" w14:textId="77777777" w:rsidR="003B6ED1" w:rsidRDefault="003B6ED1" w:rsidP="00DA29A0">
      <w:pPr>
        <w:spacing w:line="360" w:lineRule="auto"/>
        <w:rPr>
          <w:rFonts w:ascii="Palatino Linotype" w:hAnsi="Palatino Linotype"/>
        </w:rPr>
      </w:pPr>
    </w:p>
    <w:p w14:paraId="37A40993" w14:textId="77777777" w:rsidR="003B6ED1" w:rsidRDefault="003B6ED1" w:rsidP="00DA29A0">
      <w:pPr>
        <w:spacing w:line="360" w:lineRule="auto"/>
        <w:rPr>
          <w:rFonts w:ascii="Palatino Linotype" w:hAnsi="Palatino Linotype"/>
        </w:rPr>
      </w:pPr>
    </w:p>
    <w:p w14:paraId="2B100C8B" w14:textId="77777777" w:rsidR="003B6ED1" w:rsidRPr="00B460A9" w:rsidRDefault="003B6ED1"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3"/>
      <w:footerReference w:type="default" r:id="rId14"/>
      <w:headerReference w:type="first" r:id="rId15"/>
      <w:footerReference w:type="first" r:id="rId16"/>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48B22" w14:textId="77777777" w:rsidR="00586BBC" w:rsidRDefault="00586BBC" w:rsidP="00C80F8C">
      <w:r>
        <w:separator/>
      </w:r>
    </w:p>
  </w:endnote>
  <w:endnote w:type="continuationSeparator" w:id="0">
    <w:p w14:paraId="63291033" w14:textId="77777777" w:rsidR="00586BBC" w:rsidRDefault="00586B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A00B1C" w:rsidRDefault="00A00B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70FA6">
      <w:rPr>
        <w:rFonts w:ascii="Arial" w:hAnsi="Arial" w:cs="Arial"/>
        <w:b/>
        <w:bCs/>
        <w:noProof/>
        <w:sz w:val="20"/>
        <w:szCs w:val="20"/>
      </w:rPr>
      <w:t>52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70FA6">
      <w:rPr>
        <w:rFonts w:ascii="Arial" w:hAnsi="Arial" w:cs="Arial"/>
        <w:b/>
        <w:bCs/>
        <w:noProof/>
        <w:sz w:val="20"/>
        <w:szCs w:val="20"/>
      </w:rPr>
      <w:t>52</w:t>
    </w:r>
    <w:r>
      <w:rPr>
        <w:rFonts w:ascii="Arial" w:hAnsi="Arial" w:cs="Arial"/>
        <w:b/>
        <w:bCs/>
        <w:sz w:val="20"/>
        <w:szCs w:val="20"/>
      </w:rPr>
      <w:fldChar w:fldCharType="end"/>
    </w:r>
  </w:p>
  <w:p w14:paraId="1192A578" w14:textId="77777777" w:rsidR="00A00B1C" w:rsidRDefault="00A00B1C" w:rsidP="00935A0D">
    <w:pPr>
      <w:pStyle w:val="Piedepgina"/>
      <w:rPr>
        <w:rFonts w:ascii="Times New Roman" w:hAnsi="Times New Roman" w:cs="Times New Roman"/>
      </w:rPr>
    </w:pPr>
  </w:p>
  <w:p w14:paraId="14A770F8" w14:textId="77777777" w:rsidR="00A00B1C" w:rsidRDefault="00A00B1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A00B1C" w:rsidRDefault="00A00B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70FA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70FA6">
      <w:rPr>
        <w:rFonts w:ascii="Arial" w:hAnsi="Arial" w:cs="Arial"/>
        <w:b/>
        <w:bCs/>
        <w:noProof/>
        <w:sz w:val="20"/>
        <w:szCs w:val="20"/>
      </w:rPr>
      <w:t>52</w:t>
    </w:r>
    <w:r>
      <w:rPr>
        <w:rFonts w:ascii="Arial" w:hAnsi="Arial" w:cs="Arial"/>
        <w:b/>
        <w:bCs/>
        <w:sz w:val="20"/>
        <w:szCs w:val="20"/>
      </w:rPr>
      <w:fldChar w:fldCharType="end"/>
    </w:r>
  </w:p>
  <w:p w14:paraId="5D98ABD5" w14:textId="77777777" w:rsidR="00A00B1C" w:rsidRDefault="00A00B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691B7" w14:textId="77777777" w:rsidR="00586BBC" w:rsidRDefault="00586BBC" w:rsidP="00C80F8C">
      <w:r>
        <w:separator/>
      </w:r>
    </w:p>
  </w:footnote>
  <w:footnote w:type="continuationSeparator" w:id="0">
    <w:p w14:paraId="40F7E2FA" w14:textId="77777777" w:rsidR="00586BBC" w:rsidRDefault="00586BBC" w:rsidP="00C80F8C">
      <w:r>
        <w:continuationSeparator/>
      </w:r>
    </w:p>
  </w:footnote>
  <w:footnote w:id="1">
    <w:p w14:paraId="25F7D888" w14:textId="77777777" w:rsidR="00A00B1C" w:rsidRPr="00F75272" w:rsidRDefault="00A00B1C" w:rsidP="00FE6783">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EEF18C1" w14:textId="77777777" w:rsidR="00E72A6C" w:rsidRDefault="00E72A6C" w:rsidP="00E72A6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3">
    <w:p w14:paraId="0595702B" w14:textId="77777777" w:rsidR="00E72A6C" w:rsidRDefault="00E72A6C" w:rsidP="00E72A6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0FCE31C" w14:textId="77777777" w:rsidR="00E72A6C" w:rsidRDefault="00E72A6C" w:rsidP="00E72A6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4">
    <w:p w14:paraId="10A17993" w14:textId="77777777" w:rsidR="00E72A6C" w:rsidRDefault="00E72A6C" w:rsidP="00E72A6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1DC1AC0F" w14:textId="77777777" w:rsidR="00E72A6C" w:rsidRDefault="00E72A6C" w:rsidP="00E72A6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F28302" w14:textId="77777777" w:rsidR="00E72A6C" w:rsidRDefault="00E72A6C" w:rsidP="00E72A6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798A91C" w14:textId="77777777" w:rsidR="00E72A6C" w:rsidRDefault="00E72A6C" w:rsidP="00E72A6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169C78A8" w14:textId="77777777" w:rsidR="00E72A6C" w:rsidRDefault="00E72A6C" w:rsidP="00E72A6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0BCD8493" w14:textId="77777777" w:rsidR="00E72A6C" w:rsidRDefault="00E72A6C" w:rsidP="00E72A6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663B013" w14:textId="77777777" w:rsidR="00E72A6C" w:rsidRDefault="00E72A6C" w:rsidP="00E72A6C">
      <w:pPr>
        <w:pStyle w:val="Textonotapie"/>
        <w:jc w:val="both"/>
        <w:rPr>
          <w:rFonts w:ascii="Palatino Linotype" w:hAnsi="Palatino Linotype"/>
          <w:sz w:val="18"/>
        </w:rPr>
      </w:pPr>
      <w:r>
        <w:rPr>
          <w:rFonts w:ascii="Palatino Linotype" w:hAnsi="Palatino Linotype"/>
          <w:sz w:val="18"/>
        </w:rPr>
        <w:t xml:space="preserve"> (…)</w:t>
      </w:r>
    </w:p>
    <w:p w14:paraId="1966BD58" w14:textId="77777777" w:rsidR="00E72A6C" w:rsidRDefault="00E72A6C" w:rsidP="00E72A6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A00B1C" w14:paraId="6B4E3B81" w14:textId="77777777" w:rsidTr="006D6FB0">
      <w:tc>
        <w:tcPr>
          <w:tcW w:w="2552" w:type="dxa"/>
          <w:vAlign w:val="center"/>
          <w:hideMark/>
        </w:tcPr>
        <w:p w14:paraId="0ABBC6C0" w14:textId="7C21B4C9" w:rsidR="00A00B1C" w:rsidRPr="008C5395" w:rsidRDefault="00A00B1C"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37CB620B" w:rsidR="00A00B1C" w:rsidRPr="008C5395" w:rsidRDefault="00A5599F" w:rsidP="003C68FA">
          <w:pPr>
            <w:jc w:val="both"/>
            <w:rPr>
              <w:rFonts w:ascii="Palatino Linotype" w:hAnsi="Palatino Linotype"/>
              <w:b/>
              <w:sz w:val="21"/>
              <w:szCs w:val="21"/>
              <w:lang w:val="es-ES_tradnl"/>
            </w:rPr>
          </w:pPr>
          <w:r>
            <w:rPr>
              <w:rFonts w:ascii="Palatino Linotype" w:hAnsi="Palatino Linotype" w:cs="Arial"/>
              <w:b/>
              <w:bCs/>
              <w:sz w:val="21"/>
              <w:szCs w:val="21"/>
            </w:rPr>
            <w:t>0216</w:t>
          </w:r>
          <w:r w:rsidR="00A00B1C">
            <w:rPr>
              <w:rFonts w:ascii="Palatino Linotype" w:hAnsi="Palatino Linotype" w:cs="Arial"/>
              <w:b/>
              <w:bCs/>
              <w:sz w:val="21"/>
              <w:szCs w:val="21"/>
            </w:rPr>
            <w:t>8</w:t>
          </w:r>
          <w:r w:rsidR="00A00B1C" w:rsidRPr="006D6FB0">
            <w:rPr>
              <w:rFonts w:ascii="Palatino Linotype" w:hAnsi="Palatino Linotype" w:cs="Arial"/>
              <w:b/>
              <w:bCs/>
              <w:sz w:val="21"/>
              <w:szCs w:val="21"/>
            </w:rPr>
            <w:t>/INFOEM/IP/RR/2023</w:t>
          </w:r>
          <w:r w:rsidR="008E526A">
            <w:rPr>
              <w:rFonts w:ascii="Palatino Linotype" w:hAnsi="Palatino Linotype" w:cs="Arial"/>
              <w:b/>
              <w:bCs/>
              <w:sz w:val="21"/>
              <w:szCs w:val="21"/>
            </w:rPr>
            <w:t xml:space="preserve"> y A</w:t>
          </w:r>
          <w:r w:rsidR="0025775D">
            <w:rPr>
              <w:rFonts w:ascii="Palatino Linotype" w:hAnsi="Palatino Linotype" w:cs="Arial"/>
              <w:b/>
              <w:bCs/>
              <w:sz w:val="21"/>
              <w:szCs w:val="21"/>
            </w:rPr>
            <w:t>cumulado</w:t>
          </w:r>
          <w:r w:rsidR="00B54758">
            <w:rPr>
              <w:rFonts w:ascii="Palatino Linotype" w:hAnsi="Palatino Linotype" w:cs="Arial"/>
              <w:b/>
              <w:bCs/>
              <w:sz w:val="21"/>
              <w:szCs w:val="21"/>
            </w:rPr>
            <w:t>s</w:t>
          </w:r>
        </w:p>
      </w:tc>
    </w:tr>
    <w:tr w:rsidR="00A00B1C" w14:paraId="31CB780F" w14:textId="77777777" w:rsidTr="006D6FB0">
      <w:trPr>
        <w:trHeight w:val="228"/>
      </w:trPr>
      <w:tc>
        <w:tcPr>
          <w:tcW w:w="2552" w:type="dxa"/>
          <w:vAlign w:val="center"/>
          <w:hideMark/>
        </w:tcPr>
        <w:p w14:paraId="4F49CB4A" w14:textId="6C7F970E" w:rsidR="00A00B1C" w:rsidRPr="008C5395" w:rsidRDefault="00A00B1C"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319D8D8A" w:rsidR="00A00B1C" w:rsidRPr="008C5395" w:rsidRDefault="00A00B1C" w:rsidP="006D6FB0">
          <w:pPr>
            <w:rPr>
              <w:rFonts w:ascii="Palatino Linotype" w:hAnsi="Palatino Linotype"/>
              <w:b/>
              <w:sz w:val="21"/>
              <w:szCs w:val="21"/>
              <w:lang w:val="es-ES_tradnl"/>
            </w:rPr>
          </w:pPr>
          <w:r w:rsidRPr="00A00B1C">
            <w:rPr>
              <w:rFonts w:ascii="Palatino Linotype" w:hAnsi="Palatino Linotype"/>
              <w:b/>
              <w:sz w:val="21"/>
              <w:szCs w:val="21"/>
            </w:rPr>
            <w:t>Ayuntamiento de San Felipe del Progreso</w:t>
          </w:r>
        </w:p>
      </w:tc>
    </w:tr>
    <w:tr w:rsidR="00A00B1C" w14:paraId="69050F56" w14:textId="77777777" w:rsidTr="006D6FB0">
      <w:tc>
        <w:tcPr>
          <w:tcW w:w="2552" w:type="dxa"/>
          <w:vAlign w:val="center"/>
          <w:hideMark/>
        </w:tcPr>
        <w:p w14:paraId="65C9B735" w14:textId="71CA0DD8" w:rsidR="00A00B1C" w:rsidRPr="008C5395" w:rsidRDefault="00A00B1C"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A00B1C" w:rsidRPr="008C5395" w:rsidRDefault="00A00B1C"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A00B1C" w:rsidRDefault="00A00B1C"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45DC7107">
          <wp:simplePos x="0" y="0"/>
          <wp:positionH relativeFrom="page">
            <wp:posOffset>7620</wp:posOffset>
          </wp:positionH>
          <wp:positionV relativeFrom="paragraph">
            <wp:posOffset>-1099024</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A00B1C" w:rsidRDefault="00A00B1C"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A00B1C" w14:paraId="477E149B" w14:textId="77777777" w:rsidTr="00750CDE">
      <w:tc>
        <w:tcPr>
          <w:tcW w:w="2551" w:type="dxa"/>
          <w:vAlign w:val="center"/>
          <w:hideMark/>
        </w:tcPr>
        <w:p w14:paraId="5C0586E4" w14:textId="77777777" w:rsidR="00A00B1C" w:rsidRPr="008C5395" w:rsidRDefault="00A00B1C"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46BD4B2" w:rsidR="00A00B1C" w:rsidRPr="001C1420" w:rsidRDefault="00A00B1C" w:rsidP="008E526A">
          <w:pPr>
            <w:jc w:val="both"/>
            <w:rPr>
              <w:rFonts w:ascii="Palatino Linotype" w:hAnsi="Palatino Linotype"/>
              <w:b/>
              <w:sz w:val="21"/>
              <w:szCs w:val="21"/>
              <w:lang w:val="es-ES_tradnl"/>
            </w:rPr>
          </w:pPr>
          <w:r>
            <w:rPr>
              <w:rFonts w:ascii="Palatino Linotype" w:hAnsi="Palatino Linotype" w:cs="Arial"/>
              <w:b/>
              <w:bCs/>
              <w:sz w:val="21"/>
              <w:szCs w:val="21"/>
            </w:rPr>
            <w:t>02168</w:t>
          </w:r>
          <w:r w:rsidRPr="0084667D">
            <w:rPr>
              <w:rFonts w:ascii="Palatino Linotype" w:hAnsi="Palatino Linotype" w:cs="Arial"/>
              <w:b/>
              <w:bCs/>
              <w:sz w:val="21"/>
              <w:szCs w:val="21"/>
            </w:rPr>
            <w:t>/INFOEM/IP/RR/2023</w:t>
          </w:r>
          <w:r>
            <w:rPr>
              <w:rFonts w:ascii="Palatino Linotype" w:hAnsi="Palatino Linotype" w:cs="Arial"/>
              <w:b/>
              <w:bCs/>
              <w:sz w:val="21"/>
              <w:szCs w:val="21"/>
            </w:rPr>
            <w:t xml:space="preserve"> y </w:t>
          </w:r>
          <w:r w:rsidR="008E526A">
            <w:rPr>
              <w:rFonts w:ascii="Palatino Linotype" w:hAnsi="Palatino Linotype" w:cs="Arial"/>
              <w:b/>
              <w:bCs/>
              <w:sz w:val="21"/>
              <w:szCs w:val="21"/>
            </w:rPr>
            <w:t>A</w:t>
          </w:r>
          <w:r>
            <w:rPr>
              <w:rFonts w:ascii="Palatino Linotype" w:hAnsi="Palatino Linotype" w:cs="Arial"/>
              <w:b/>
              <w:bCs/>
              <w:sz w:val="21"/>
              <w:szCs w:val="21"/>
            </w:rPr>
            <w:t>cumulado</w:t>
          </w:r>
          <w:r w:rsidR="00B54758">
            <w:rPr>
              <w:rFonts w:ascii="Palatino Linotype" w:hAnsi="Palatino Linotype" w:cs="Arial"/>
              <w:b/>
              <w:bCs/>
              <w:sz w:val="21"/>
              <w:szCs w:val="21"/>
            </w:rPr>
            <w:t>s</w:t>
          </w:r>
        </w:p>
      </w:tc>
    </w:tr>
    <w:tr w:rsidR="00A00B1C" w14:paraId="5B5BE21C" w14:textId="77777777" w:rsidTr="00750CDE">
      <w:tc>
        <w:tcPr>
          <w:tcW w:w="2551" w:type="dxa"/>
          <w:vAlign w:val="center"/>
          <w:hideMark/>
        </w:tcPr>
        <w:p w14:paraId="4AE96902" w14:textId="77777777" w:rsidR="00A00B1C" w:rsidRPr="008C5395" w:rsidRDefault="00A00B1C"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CEA2BE3" w:rsidR="00A00B1C" w:rsidRPr="001C1420" w:rsidRDefault="00331C71" w:rsidP="000A3F51">
          <w:pPr>
            <w:rPr>
              <w:rFonts w:ascii="Palatino Linotype" w:hAnsi="Palatino Linotype"/>
              <w:b/>
              <w:sz w:val="21"/>
              <w:szCs w:val="21"/>
            </w:rPr>
          </w:pPr>
          <w:r>
            <w:rPr>
              <w:rFonts w:ascii="Palatino Linotype" w:hAnsi="Palatino Linotype"/>
              <w:b/>
              <w:color w:val="000000" w:themeColor="text1"/>
              <w:sz w:val="21"/>
              <w:szCs w:val="21"/>
            </w:rPr>
            <w:t>XXXXXXX</w:t>
          </w:r>
        </w:p>
      </w:tc>
    </w:tr>
    <w:tr w:rsidR="00A00B1C" w14:paraId="22601A11" w14:textId="77777777" w:rsidTr="00750CDE">
      <w:trPr>
        <w:trHeight w:val="228"/>
      </w:trPr>
      <w:tc>
        <w:tcPr>
          <w:tcW w:w="2551" w:type="dxa"/>
          <w:vAlign w:val="center"/>
          <w:hideMark/>
        </w:tcPr>
        <w:p w14:paraId="6EFE221D" w14:textId="337D5087" w:rsidR="00A00B1C" w:rsidRPr="008C5395" w:rsidRDefault="00A00B1C"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BC9BC61" w:rsidR="00A00B1C" w:rsidRPr="001C1420" w:rsidRDefault="00A00B1C" w:rsidP="002066C9">
          <w:pPr>
            <w:ind w:left="35" w:hanging="35"/>
            <w:jc w:val="both"/>
            <w:rPr>
              <w:rFonts w:ascii="Palatino Linotype" w:hAnsi="Palatino Linotype"/>
              <w:sz w:val="21"/>
              <w:szCs w:val="21"/>
            </w:rPr>
          </w:pPr>
          <w:r w:rsidRPr="00FC35C1">
            <w:rPr>
              <w:rFonts w:ascii="Palatino Linotype" w:hAnsi="Palatino Linotype"/>
              <w:b/>
              <w:sz w:val="21"/>
              <w:szCs w:val="21"/>
            </w:rPr>
            <w:t>Ayuntamiento de San Felipe del Progreso</w:t>
          </w:r>
        </w:p>
      </w:tc>
    </w:tr>
    <w:tr w:rsidR="00A00B1C" w14:paraId="2D6C630E" w14:textId="77777777" w:rsidTr="00750CDE">
      <w:tc>
        <w:tcPr>
          <w:tcW w:w="2551" w:type="dxa"/>
          <w:vAlign w:val="center"/>
          <w:hideMark/>
        </w:tcPr>
        <w:p w14:paraId="5BD4C6DB" w14:textId="40502EEE" w:rsidR="00A00B1C" w:rsidRPr="008C5395" w:rsidRDefault="00A00B1C"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A00B1C" w:rsidRPr="001C1420" w:rsidRDefault="00A00B1C"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A00B1C" w:rsidRDefault="00A00B1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FA4"/>
    <w:multiLevelType w:val="hybridMultilevel"/>
    <w:tmpl w:val="A4F60354"/>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62D64C8"/>
    <w:multiLevelType w:val="hybridMultilevel"/>
    <w:tmpl w:val="299EEAEA"/>
    <w:lvl w:ilvl="0" w:tplc="E08271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1">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3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AEC1B9C"/>
    <w:multiLevelType w:val="hybridMultilevel"/>
    <w:tmpl w:val="BC083456"/>
    <w:lvl w:ilvl="0" w:tplc="14A2E2E0">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34"/>
  </w:num>
  <w:num w:numId="3">
    <w:abstractNumId w:val="18"/>
  </w:num>
  <w:num w:numId="4">
    <w:abstractNumId w:val="30"/>
  </w:num>
  <w:num w:numId="5">
    <w:abstractNumId w:val="26"/>
  </w:num>
  <w:num w:numId="6">
    <w:abstractNumId w:val="11"/>
  </w:num>
  <w:num w:numId="7">
    <w:abstractNumId w:val="25"/>
  </w:num>
  <w:num w:numId="8">
    <w:abstractNumId w:val="1"/>
  </w:num>
  <w:num w:numId="9">
    <w:abstractNumId w:val="13"/>
  </w:num>
  <w:num w:numId="10">
    <w:abstractNumId w:val="9"/>
  </w:num>
  <w:num w:numId="11">
    <w:abstractNumId w:val="17"/>
  </w:num>
  <w:num w:numId="12">
    <w:abstractNumId w:val="15"/>
  </w:num>
  <w:num w:numId="13">
    <w:abstractNumId w:val="28"/>
  </w:num>
  <w:num w:numId="14">
    <w:abstractNumId w:val="22"/>
  </w:num>
  <w:num w:numId="15">
    <w:abstractNumId w:val="4"/>
  </w:num>
  <w:num w:numId="16">
    <w:abstractNumId w:val="3"/>
  </w:num>
  <w:num w:numId="17">
    <w:abstractNumId w:val="31"/>
  </w:num>
  <w:num w:numId="18">
    <w:abstractNumId w:val="36"/>
  </w:num>
  <w:num w:numId="19">
    <w:abstractNumId w:val="38"/>
  </w:num>
  <w:num w:numId="20">
    <w:abstractNumId w:val="2"/>
  </w:num>
  <w:num w:numId="21">
    <w:abstractNumId w:val="37"/>
  </w:num>
  <w:num w:numId="22">
    <w:abstractNumId w:val="24"/>
  </w:num>
  <w:num w:numId="23">
    <w:abstractNumId w:val="7"/>
  </w:num>
  <w:num w:numId="24">
    <w:abstractNumId w:val="29"/>
  </w:num>
  <w:num w:numId="25">
    <w:abstractNumId w:val="27"/>
  </w:num>
  <w:num w:numId="26">
    <w:abstractNumId w:val="19"/>
  </w:num>
  <w:num w:numId="27">
    <w:abstractNumId w:val="23"/>
  </w:num>
  <w:num w:numId="28">
    <w:abstractNumId w:val="35"/>
  </w:num>
  <w:num w:numId="29">
    <w:abstractNumId w:val="8"/>
  </w:num>
  <w:num w:numId="30">
    <w:abstractNumId w:val="33"/>
  </w:num>
  <w:num w:numId="31">
    <w:abstractNumId w:val="21"/>
  </w:num>
  <w:num w:numId="32">
    <w:abstractNumId w:val="12"/>
  </w:num>
  <w:num w:numId="33">
    <w:abstractNumId w:val="6"/>
  </w:num>
  <w:num w:numId="34">
    <w:abstractNumId w:val="16"/>
  </w:num>
  <w:num w:numId="35">
    <w:abstractNumId w:val="14"/>
  </w:num>
  <w:num w:numId="36">
    <w:abstractNumId w:val="20"/>
  </w:num>
  <w:num w:numId="37">
    <w:abstractNumId w:val="32"/>
  </w:num>
  <w:num w:numId="38">
    <w:abstractNumId w:val="5"/>
  </w:num>
  <w:num w:numId="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419"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134C"/>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36988"/>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408E"/>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0B37"/>
    <w:rsid w:val="000F128B"/>
    <w:rsid w:val="000F27A3"/>
    <w:rsid w:val="000F2894"/>
    <w:rsid w:val="000F36FD"/>
    <w:rsid w:val="000F3826"/>
    <w:rsid w:val="000F570C"/>
    <w:rsid w:val="000F60B3"/>
    <w:rsid w:val="000F6198"/>
    <w:rsid w:val="000F6B89"/>
    <w:rsid w:val="000F784E"/>
    <w:rsid w:val="00100085"/>
    <w:rsid w:val="00100F0F"/>
    <w:rsid w:val="00102052"/>
    <w:rsid w:val="00103284"/>
    <w:rsid w:val="00106005"/>
    <w:rsid w:val="001061D8"/>
    <w:rsid w:val="00106A17"/>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32A5"/>
    <w:rsid w:val="0012467C"/>
    <w:rsid w:val="0012597C"/>
    <w:rsid w:val="00130D91"/>
    <w:rsid w:val="00131A23"/>
    <w:rsid w:val="00132ABE"/>
    <w:rsid w:val="001340D3"/>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048"/>
    <w:rsid w:val="001A16DE"/>
    <w:rsid w:val="001A211D"/>
    <w:rsid w:val="001A2661"/>
    <w:rsid w:val="001A294A"/>
    <w:rsid w:val="001A295C"/>
    <w:rsid w:val="001A3D0D"/>
    <w:rsid w:val="001A4110"/>
    <w:rsid w:val="001A414B"/>
    <w:rsid w:val="001A4247"/>
    <w:rsid w:val="001A4321"/>
    <w:rsid w:val="001A4AAA"/>
    <w:rsid w:val="001A523B"/>
    <w:rsid w:val="001A5930"/>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28CB"/>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36F5"/>
    <w:rsid w:val="00246016"/>
    <w:rsid w:val="00250254"/>
    <w:rsid w:val="00250CED"/>
    <w:rsid w:val="002534E4"/>
    <w:rsid w:val="0025352F"/>
    <w:rsid w:val="00255050"/>
    <w:rsid w:val="002551B1"/>
    <w:rsid w:val="002552E1"/>
    <w:rsid w:val="00256139"/>
    <w:rsid w:val="002566C3"/>
    <w:rsid w:val="00256FB1"/>
    <w:rsid w:val="002571D2"/>
    <w:rsid w:val="0025775D"/>
    <w:rsid w:val="00257994"/>
    <w:rsid w:val="0026002D"/>
    <w:rsid w:val="002612A6"/>
    <w:rsid w:val="00261EE8"/>
    <w:rsid w:val="0026350A"/>
    <w:rsid w:val="00263841"/>
    <w:rsid w:val="00263FE3"/>
    <w:rsid w:val="002647C8"/>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1C71"/>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07"/>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6ED1"/>
    <w:rsid w:val="003B700F"/>
    <w:rsid w:val="003C01FC"/>
    <w:rsid w:val="003C0E48"/>
    <w:rsid w:val="003C1156"/>
    <w:rsid w:val="003C1948"/>
    <w:rsid w:val="003C1949"/>
    <w:rsid w:val="003C26A0"/>
    <w:rsid w:val="003C5A7C"/>
    <w:rsid w:val="003C632F"/>
    <w:rsid w:val="003C68FA"/>
    <w:rsid w:val="003C7890"/>
    <w:rsid w:val="003C7EB2"/>
    <w:rsid w:val="003D0DF5"/>
    <w:rsid w:val="003D2A78"/>
    <w:rsid w:val="003D2D92"/>
    <w:rsid w:val="003D349B"/>
    <w:rsid w:val="003D3669"/>
    <w:rsid w:val="003D457D"/>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6E22"/>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843"/>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71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058A"/>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3EF"/>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8A4"/>
    <w:rsid w:val="00582972"/>
    <w:rsid w:val="00583A8F"/>
    <w:rsid w:val="00584687"/>
    <w:rsid w:val="00584C98"/>
    <w:rsid w:val="00584EBE"/>
    <w:rsid w:val="00586BBC"/>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50E"/>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0A57"/>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955"/>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2BA7"/>
    <w:rsid w:val="007339EF"/>
    <w:rsid w:val="00734AFD"/>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CE0"/>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196B"/>
    <w:rsid w:val="008721DB"/>
    <w:rsid w:val="0087270F"/>
    <w:rsid w:val="00873A70"/>
    <w:rsid w:val="00873CE7"/>
    <w:rsid w:val="00874061"/>
    <w:rsid w:val="0087462F"/>
    <w:rsid w:val="008767A9"/>
    <w:rsid w:val="0087723D"/>
    <w:rsid w:val="00880CEA"/>
    <w:rsid w:val="00880F0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4C67"/>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526A"/>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DAA"/>
    <w:rsid w:val="00971E23"/>
    <w:rsid w:val="00974EFA"/>
    <w:rsid w:val="009759EF"/>
    <w:rsid w:val="00975EB9"/>
    <w:rsid w:val="00976DAB"/>
    <w:rsid w:val="0098010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16D4"/>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0B1C"/>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3FDB"/>
    <w:rsid w:val="00A24494"/>
    <w:rsid w:val="00A249A8"/>
    <w:rsid w:val="00A26A80"/>
    <w:rsid w:val="00A27C2C"/>
    <w:rsid w:val="00A30A8F"/>
    <w:rsid w:val="00A33467"/>
    <w:rsid w:val="00A33E4D"/>
    <w:rsid w:val="00A33FC6"/>
    <w:rsid w:val="00A343BA"/>
    <w:rsid w:val="00A34CB7"/>
    <w:rsid w:val="00A358F4"/>
    <w:rsid w:val="00A36876"/>
    <w:rsid w:val="00A36D31"/>
    <w:rsid w:val="00A37D32"/>
    <w:rsid w:val="00A4078A"/>
    <w:rsid w:val="00A41A76"/>
    <w:rsid w:val="00A41BFA"/>
    <w:rsid w:val="00A42508"/>
    <w:rsid w:val="00A4602C"/>
    <w:rsid w:val="00A47B43"/>
    <w:rsid w:val="00A51515"/>
    <w:rsid w:val="00A5237E"/>
    <w:rsid w:val="00A5272E"/>
    <w:rsid w:val="00A53D6E"/>
    <w:rsid w:val="00A5599F"/>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5E97"/>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758"/>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2F4A"/>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27F60"/>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0FA6"/>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6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C7E7B"/>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37D23"/>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5C4A"/>
    <w:rsid w:val="00E6639F"/>
    <w:rsid w:val="00E6658E"/>
    <w:rsid w:val="00E66E90"/>
    <w:rsid w:val="00E671E7"/>
    <w:rsid w:val="00E67242"/>
    <w:rsid w:val="00E719A5"/>
    <w:rsid w:val="00E71DCE"/>
    <w:rsid w:val="00E72087"/>
    <w:rsid w:val="00E72338"/>
    <w:rsid w:val="00E72A6C"/>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0FE"/>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35C1"/>
    <w:rsid w:val="00FC4058"/>
    <w:rsid w:val="00FC4CC4"/>
    <w:rsid w:val="00FC5A0A"/>
    <w:rsid w:val="00FC5D55"/>
    <w:rsid w:val="00FC6429"/>
    <w:rsid w:val="00FC6571"/>
    <w:rsid w:val="00FC6FE2"/>
    <w:rsid w:val="00FC7E7D"/>
    <w:rsid w:val="00FD355F"/>
    <w:rsid w:val="00FD4C4E"/>
    <w:rsid w:val="00FD5338"/>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6783"/>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C8561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50E2-8F39-45F6-968B-0567F159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11152</Words>
  <Characters>61341</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2019-04-02T22:25:00Z</cp:lastPrinted>
  <dcterms:created xsi:type="dcterms:W3CDTF">2023-05-23T23:59:00Z</dcterms:created>
  <dcterms:modified xsi:type="dcterms:W3CDTF">2023-05-29T18:48:00Z</dcterms:modified>
</cp:coreProperties>
</file>