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veinticinco de enero de dos mil veintitrés. </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b/>
        </w:rPr>
        <w:t>VISTO</w:t>
      </w:r>
      <w:r w:rsidRPr="009F4204">
        <w:rPr>
          <w:rFonts w:ascii="Palatino Linotype" w:eastAsia="Palatino Linotype" w:hAnsi="Palatino Linotype" w:cs="Palatino Linotype"/>
        </w:rPr>
        <w:t xml:space="preserve"> el expediente formado con motivo del recurso de revisión </w:t>
      </w:r>
      <w:r w:rsidRPr="009F4204">
        <w:rPr>
          <w:rFonts w:ascii="Palatino Linotype" w:eastAsia="Palatino Linotype" w:hAnsi="Palatino Linotype" w:cs="Palatino Linotype"/>
          <w:b/>
        </w:rPr>
        <w:t>13254/INFOEM/IP/RR/2022</w:t>
      </w:r>
      <w:r w:rsidRPr="009F4204">
        <w:rPr>
          <w:rFonts w:ascii="Palatino Linotype" w:eastAsia="Palatino Linotype" w:hAnsi="Palatino Linotype" w:cs="Palatino Linotype"/>
        </w:rPr>
        <w:t xml:space="preserve">, interpuesto por </w:t>
      </w:r>
      <w:r w:rsidR="0071032A">
        <w:rPr>
          <w:rFonts w:ascii="Palatino Linotype" w:eastAsia="Palatino Linotype" w:hAnsi="Palatino Linotype" w:cs="Palatino Linotype"/>
          <w:b/>
        </w:rPr>
        <w:t>XXXXXXX XXXXX XXXXXXX</w:t>
      </w:r>
      <w:bookmarkStart w:id="0" w:name="_GoBack"/>
      <w:bookmarkEnd w:id="0"/>
      <w:r w:rsidRPr="009F4204">
        <w:rPr>
          <w:rFonts w:ascii="Palatino Linotype" w:eastAsia="Palatino Linotype" w:hAnsi="Palatino Linotype" w:cs="Palatino Linotype"/>
        </w:rPr>
        <w:t>, en lo sucesivo</w:t>
      </w:r>
      <w:r w:rsidRPr="009F4204">
        <w:rPr>
          <w:rFonts w:ascii="Palatino Linotype" w:eastAsia="Palatino Linotype" w:hAnsi="Palatino Linotype" w:cs="Palatino Linotype"/>
          <w:b/>
        </w:rPr>
        <w:t xml:space="preserve"> </w:t>
      </w:r>
      <w:r w:rsidRPr="009F4204">
        <w:rPr>
          <w:rFonts w:ascii="Palatino Linotype" w:eastAsia="Palatino Linotype" w:hAnsi="Palatino Linotype" w:cs="Palatino Linotype"/>
        </w:rPr>
        <w:t xml:space="preserve">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 xml:space="preserve"> en contra de la respuesta a su solicitud por parte del </w:t>
      </w:r>
      <w:r w:rsidRPr="009F4204">
        <w:rPr>
          <w:rFonts w:ascii="Palatino Linotype" w:eastAsia="Palatino Linotype" w:hAnsi="Palatino Linotype" w:cs="Palatino Linotype"/>
          <w:b/>
        </w:rPr>
        <w:t xml:space="preserve">Ayuntamiento de Huehuetoca, </w:t>
      </w:r>
      <w:r w:rsidRPr="009F4204">
        <w:rPr>
          <w:rFonts w:ascii="Palatino Linotype" w:eastAsia="Palatino Linotype" w:hAnsi="Palatino Linotype" w:cs="Palatino Linotype"/>
        </w:rPr>
        <w:t xml:space="preserve">en lo sucesivo el </w:t>
      </w:r>
      <w:r w:rsidRPr="009F4204">
        <w:rPr>
          <w:rFonts w:ascii="Palatino Linotype" w:eastAsia="Palatino Linotype" w:hAnsi="Palatino Linotype" w:cs="Palatino Linotype"/>
          <w:b/>
        </w:rPr>
        <w:t xml:space="preserve">Sujeto Obligado, </w:t>
      </w:r>
      <w:r w:rsidRPr="009F4204">
        <w:rPr>
          <w:rFonts w:ascii="Palatino Linotype" w:eastAsia="Palatino Linotype" w:hAnsi="Palatino Linotype" w:cs="Palatino Linotype"/>
        </w:rPr>
        <w:t xml:space="preserve">se procede a dictar la presente resolución con base en los siguientes: </w:t>
      </w:r>
    </w:p>
    <w:p w:rsidR="00DA678D" w:rsidRPr="009F4204" w:rsidRDefault="00A75E6B">
      <w:pPr>
        <w:spacing w:before="240" w:after="240" w:line="360" w:lineRule="auto"/>
        <w:jc w:val="center"/>
        <w:rPr>
          <w:rFonts w:ascii="Palatino Linotype" w:eastAsia="Palatino Linotype" w:hAnsi="Palatino Linotype" w:cs="Palatino Linotype"/>
          <w:b/>
        </w:rPr>
      </w:pPr>
      <w:r w:rsidRPr="009F4204">
        <w:rPr>
          <w:rFonts w:ascii="Palatino Linotype" w:eastAsia="Palatino Linotype" w:hAnsi="Palatino Linotype" w:cs="Palatino Linotype"/>
          <w:b/>
        </w:rPr>
        <w:t>I. A N T E C E D E N T E 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b/>
        </w:rPr>
        <w:t>1. Solicitud de acceso a la información.</w:t>
      </w:r>
      <w:r w:rsidRPr="009F4204">
        <w:rPr>
          <w:rFonts w:ascii="Palatino Linotype" w:eastAsia="Palatino Linotype" w:hAnsi="Palatino Linotype" w:cs="Palatino Linotype"/>
        </w:rPr>
        <w:t xml:space="preserve"> Con fecha </w:t>
      </w:r>
      <w:r w:rsidRPr="009F4204">
        <w:rPr>
          <w:rFonts w:ascii="Palatino Linotype" w:eastAsia="Palatino Linotype" w:hAnsi="Palatino Linotype" w:cs="Palatino Linotype"/>
          <w:b/>
        </w:rPr>
        <w:t>dos de agosto de</w:t>
      </w:r>
      <w:r w:rsidRPr="009F4204">
        <w:rPr>
          <w:rFonts w:ascii="Palatino Linotype" w:eastAsia="Palatino Linotype" w:hAnsi="Palatino Linotype" w:cs="Palatino Linotype"/>
        </w:rPr>
        <w:t xml:space="preserve"> </w:t>
      </w:r>
      <w:r w:rsidRPr="009F4204">
        <w:rPr>
          <w:rFonts w:ascii="Palatino Linotype" w:eastAsia="Palatino Linotype" w:hAnsi="Palatino Linotype" w:cs="Palatino Linotype"/>
          <w:b/>
        </w:rPr>
        <w:t>dos mil veintidós,</w:t>
      </w:r>
      <w:r w:rsidRPr="009F4204">
        <w:rPr>
          <w:rFonts w:ascii="Palatino Linotype" w:eastAsia="Palatino Linotype" w:hAnsi="Palatino Linotype" w:cs="Palatino Linotype"/>
        </w:rPr>
        <w:t xml:space="preserve"> la parte </w:t>
      </w:r>
      <w:r w:rsidRPr="009F4204">
        <w:rPr>
          <w:rFonts w:ascii="Palatino Linotype" w:eastAsia="Palatino Linotype" w:hAnsi="Palatino Linotype" w:cs="Palatino Linotype"/>
          <w:b/>
        </w:rPr>
        <w:t xml:space="preserve">Recurrente </w:t>
      </w:r>
      <w:r w:rsidRPr="009F4204">
        <w:rPr>
          <w:rFonts w:ascii="Palatino Linotype" w:eastAsia="Palatino Linotype" w:hAnsi="Palatino Linotype" w:cs="Palatino Linotype"/>
        </w:rPr>
        <w:t xml:space="preserve">presentó, a través del Sistema de Acceso a la Información Mexiquense, en lo subsecuente el </w:t>
      </w:r>
      <w:r w:rsidRPr="009F4204">
        <w:rPr>
          <w:rFonts w:ascii="Palatino Linotype" w:eastAsia="Palatino Linotype" w:hAnsi="Palatino Linotype" w:cs="Palatino Linotype"/>
          <w:b/>
        </w:rPr>
        <w:t>SAIMEX,</w:t>
      </w:r>
      <w:r w:rsidRPr="009F4204">
        <w:rPr>
          <w:rFonts w:ascii="Palatino Linotype" w:eastAsia="Palatino Linotype" w:hAnsi="Palatino Linotype" w:cs="Palatino Linotype"/>
        </w:rPr>
        <w:t xml:space="preserve"> ante 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la solicitud de acceso a la información pública, a la que se le asignó el número</w:t>
      </w:r>
      <w:r w:rsidRPr="009F4204">
        <w:rPr>
          <w:rFonts w:ascii="Palatino Linotype" w:eastAsia="Palatino Linotype" w:hAnsi="Palatino Linotype" w:cs="Palatino Linotype"/>
          <w:b/>
        </w:rPr>
        <w:t xml:space="preserve"> 00138/HUEHUETO/IP/2022, </w:t>
      </w:r>
      <w:r w:rsidRPr="009F4204">
        <w:rPr>
          <w:rFonts w:ascii="Palatino Linotype" w:eastAsia="Palatino Linotype" w:hAnsi="Palatino Linotype" w:cs="Palatino Linotype"/>
        </w:rPr>
        <w:t xml:space="preserve">mediante la cual requirió la información siguiente: </w:t>
      </w:r>
    </w:p>
    <w:p w:rsidR="00DA678D" w:rsidRPr="009F4204" w:rsidRDefault="00A75E6B">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9F4204">
        <w:rPr>
          <w:rFonts w:ascii="Palatino Linotype" w:eastAsia="Palatino Linotype" w:hAnsi="Palatino Linotype" w:cs="Palatino Linotype"/>
          <w:i/>
          <w:sz w:val="22"/>
          <w:szCs w:val="22"/>
        </w:rPr>
        <w:t xml:space="preserve">“Con fundamento en la ley federal de Transparencia y acceso a la información pública, solicito al ayuntamiento de Huehuetoca me proporcione por medio de SAIMEX, las pólizas y contratos del programa de despensas " Huehuetoca cerca de ti". Así </w:t>
      </w:r>
      <w:proofErr w:type="spellStart"/>
      <w:r w:rsidRPr="009F4204">
        <w:rPr>
          <w:rFonts w:ascii="Palatino Linotype" w:eastAsia="Palatino Linotype" w:hAnsi="Palatino Linotype" w:cs="Palatino Linotype"/>
          <w:i/>
          <w:sz w:val="22"/>
          <w:szCs w:val="22"/>
        </w:rPr>
        <w:t>cómo</w:t>
      </w:r>
      <w:proofErr w:type="spellEnd"/>
      <w:r w:rsidRPr="009F4204">
        <w:rPr>
          <w:rFonts w:ascii="Palatino Linotype" w:eastAsia="Palatino Linotype" w:hAnsi="Palatino Linotype" w:cs="Palatino Linotype"/>
          <w:i/>
          <w:sz w:val="22"/>
          <w:szCs w:val="22"/>
        </w:rPr>
        <w:t xml:space="preserve"> de las reglas de operación del mismo y los alcances que tiene.</w:t>
      </w:r>
      <w:r w:rsidRPr="009F4204">
        <w:rPr>
          <w:rFonts w:ascii="Palatino Linotype" w:eastAsia="Palatino Linotype" w:hAnsi="Palatino Linotype" w:cs="Palatino Linotype"/>
          <w:b/>
          <w:i/>
          <w:sz w:val="22"/>
          <w:szCs w:val="22"/>
        </w:rPr>
        <w:t>”</w:t>
      </w:r>
      <w:r w:rsidRPr="009F4204">
        <w:rPr>
          <w:rFonts w:ascii="Palatino Linotype" w:eastAsia="Palatino Linotype" w:hAnsi="Palatino Linotype" w:cs="Palatino Linotype"/>
          <w:i/>
          <w:sz w:val="22"/>
          <w:szCs w:val="22"/>
        </w:rPr>
        <w:t xml:space="preserve"> (</w:t>
      </w:r>
      <w:proofErr w:type="gramStart"/>
      <w:r w:rsidRPr="009F4204">
        <w:rPr>
          <w:rFonts w:ascii="Palatino Linotype" w:eastAsia="Palatino Linotype" w:hAnsi="Palatino Linotype" w:cs="Palatino Linotype"/>
          <w:i/>
          <w:sz w:val="22"/>
          <w:szCs w:val="22"/>
        </w:rPr>
        <w:t>sic</w:t>
      </w:r>
      <w:proofErr w:type="gramEnd"/>
      <w:r w:rsidRPr="009F4204">
        <w:rPr>
          <w:rFonts w:ascii="Palatino Linotype" w:eastAsia="Palatino Linotype" w:hAnsi="Palatino Linotype" w:cs="Palatino Linotype"/>
          <w:i/>
          <w:sz w:val="22"/>
          <w:szCs w:val="22"/>
        </w:rPr>
        <w:t xml:space="preserve">) </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 xml:space="preserve"> no adjuntó archivos.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b/>
        </w:rPr>
        <w:t>Modalidad de Entrega:</w:t>
      </w:r>
      <w:r w:rsidRPr="009F4204">
        <w:rPr>
          <w:rFonts w:ascii="Palatino Linotype" w:eastAsia="Palatino Linotype" w:hAnsi="Palatino Linotype" w:cs="Palatino Linotype"/>
        </w:rPr>
        <w:t xml:space="preserve"> a través </w:t>
      </w:r>
      <w:r w:rsidRPr="009F4204">
        <w:rPr>
          <w:rFonts w:ascii="Palatino Linotype" w:eastAsia="Palatino Linotype" w:hAnsi="Palatino Linotype" w:cs="Palatino Linotype"/>
          <w:b/>
        </w:rPr>
        <w:t>de SAIMEX</w:t>
      </w:r>
    </w:p>
    <w:p w:rsidR="00DA678D" w:rsidRPr="009F4204" w:rsidRDefault="00A75E6B">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9F4204">
        <w:rPr>
          <w:rFonts w:ascii="Palatino Linotype" w:eastAsia="Palatino Linotype" w:hAnsi="Palatino Linotype" w:cs="Palatino Linotype"/>
          <w:b/>
        </w:rPr>
        <w:lastRenderedPageBreak/>
        <w:t xml:space="preserve">2. Respuesta. </w:t>
      </w:r>
      <w:r w:rsidRPr="009F4204">
        <w:rPr>
          <w:rFonts w:ascii="Palatino Linotype" w:eastAsia="Palatino Linotype" w:hAnsi="Palatino Linotype" w:cs="Palatino Linotype"/>
        </w:rPr>
        <w:t>Con fecha</w:t>
      </w:r>
      <w:r w:rsidRPr="009F4204">
        <w:rPr>
          <w:rFonts w:ascii="Palatino Linotype" w:eastAsia="Palatino Linotype" w:hAnsi="Palatino Linotype" w:cs="Palatino Linotype"/>
          <w:b/>
        </w:rPr>
        <w:t xml:space="preserve"> once de agosto de dos mil veintidós</w:t>
      </w:r>
      <w:r w:rsidRPr="009F4204">
        <w:rPr>
          <w:rFonts w:ascii="Palatino Linotype" w:eastAsia="Palatino Linotype" w:hAnsi="Palatino Linotype" w:cs="Palatino Linotype"/>
        </w:rPr>
        <w:t xml:space="preserve">, el </w:t>
      </w:r>
      <w:r w:rsidRPr="009F4204">
        <w:rPr>
          <w:rFonts w:ascii="Palatino Linotype" w:eastAsia="Palatino Linotype" w:hAnsi="Palatino Linotype" w:cs="Palatino Linotype"/>
          <w:b/>
        </w:rPr>
        <w:t xml:space="preserve">Sujeto Obligado </w:t>
      </w:r>
      <w:r w:rsidRPr="009F4204">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DA678D" w:rsidRPr="009F4204" w:rsidRDefault="00A75E6B">
      <w:pPr>
        <w:spacing w:before="240" w:after="240"/>
        <w:ind w:left="851" w:right="902"/>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i/>
          <w:sz w:val="22"/>
          <w:szCs w:val="22"/>
        </w:rPr>
        <w:t>“…le expongo lo siguiente: Los alcances del programa “Huehuetoca Cerca de ti</w:t>
      </w:r>
      <w:proofErr w:type="gramStart"/>
      <w:r w:rsidRPr="009F4204">
        <w:rPr>
          <w:rFonts w:ascii="Palatino Linotype" w:eastAsia="Palatino Linotype" w:hAnsi="Palatino Linotype" w:cs="Palatino Linotype"/>
          <w:i/>
          <w:sz w:val="22"/>
          <w:szCs w:val="22"/>
        </w:rPr>
        <w:t>” ,</w:t>
      </w:r>
      <w:proofErr w:type="gramEnd"/>
      <w:r w:rsidRPr="009F4204">
        <w:rPr>
          <w:rFonts w:ascii="Palatino Linotype" w:eastAsia="Palatino Linotype" w:hAnsi="Palatino Linotype" w:cs="Palatino Linotype"/>
          <w:i/>
          <w:sz w:val="22"/>
          <w:szCs w:val="22"/>
        </w:rPr>
        <w:t xml:space="preserve"> se encuentran en diferentes numerales de las reglas de operación del mismo los que se redactan a continuación: 3. COBERTURA Y FOCALIZACIÓN. 3.1. Cobertura. El programa tendrá cobertura municipal, atendiendo a familias residentes en cualquiera de las localidades del municipio. 3.2. Focalización. La focalización fue hecha de manera territorial y por condiciones de vulnerabilidad, donde los candidatos deberán ser personas que presenten o se encuentren en algún grado de pobreza, vulnerabilidad por ingresos y/o carencia por acceso a la alimentación, posterior o anterior la pandemia por la COVID-19 y/o sus variantes, ser residentes y contar con credencial para votar con domicilio del municipio de Huehuetoca. 4. UNIVERSO DE ATENCIÓN. 4.1. Población Universo. La población potencial para el presente programa serán aquellas personas, que habiten en las localidades ubicadas dentro del territorio municipal, por lo tanto se ha determinado una población universo es de 150,654 personas aproximadamente. 4.2. Población Objetivo. Familias del municipio de Huehuetoca que requieran mejorar su alimentación y sus condiciones socioeconómicas lo denoten, que se encuentren en alguno de los indicadores siguientes por “Pobreza multidimensional: Vulnerable por carencias 25,583; Vulnerable por ingresos 30,765; Pobreza moderada 56,342; Pobreza extrema 4,291. Carencias sociales por Acceso a la alimentación 33,989” 6. 4.3. Población a Atender. El número de personas atendidas estará basados en los montos presupuestarios y capacidad operativa, la Dirección de Desarrollo Social, además de atender, preferentemente, a las personas que encuentren dentro de la Población Objetivo y cumplan con los criterios de elegibilidad del programa. 5. METAS FÍSICAS. 5.1. Cantidad de paquetes alimentarios. En el marco de la ejecución del Programa se otorgarán 7,200 paquetes alimentarios a lo largo de un año. 5.2. Familias beneficiadas. Serán apoyadas 1,800 familias que encuentren dentro de la Población Objetivo y cumplan con los criterios de elegibilidad del programa. 5.3. Número de entregas. Se realizaran 4 entregas de forma trimestral a lo largo de un año De igual forma le Anexo a la presente respuesta las reglas de operación </w:t>
      </w:r>
      <w:proofErr w:type="gramStart"/>
      <w:r w:rsidRPr="009F4204">
        <w:rPr>
          <w:rFonts w:ascii="Palatino Linotype" w:eastAsia="Palatino Linotype" w:hAnsi="Palatino Linotype" w:cs="Palatino Linotype"/>
          <w:i/>
          <w:sz w:val="22"/>
          <w:szCs w:val="22"/>
        </w:rPr>
        <w:t>del</w:t>
      </w:r>
      <w:proofErr w:type="gramEnd"/>
      <w:r w:rsidRPr="009F4204">
        <w:rPr>
          <w:rFonts w:ascii="Palatino Linotype" w:eastAsia="Palatino Linotype" w:hAnsi="Palatino Linotype" w:cs="Palatino Linotype"/>
          <w:i/>
          <w:sz w:val="22"/>
          <w:szCs w:val="22"/>
        </w:rPr>
        <w:t xml:space="preserve"> programa “Huehuetoca Cerca de ti”...” (</w:t>
      </w:r>
      <w:proofErr w:type="gramStart"/>
      <w:r w:rsidRPr="009F4204">
        <w:rPr>
          <w:rFonts w:ascii="Palatino Linotype" w:eastAsia="Palatino Linotype" w:hAnsi="Palatino Linotype" w:cs="Palatino Linotype"/>
          <w:i/>
          <w:sz w:val="22"/>
          <w:szCs w:val="22"/>
        </w:rPr>
        <w:t>sic</w:t>
      </w:r>
      <w:proofErr w:type="gramEnd"/>
      <w:r w:rsidRPr="009F4204">
        <w:rPr>
          <w:rFonts w:ascii="Palatino Linotype" w:eastAsia="Palatino Linotype" w:hAnsi="Palatino Linotype" w:cs="Palatino Linotype"/>
          <w:i/>
          <w:sz w:val="22"/>
          <w:szCs w:val="22"/>
        </w:rPr>
        <w:t>)</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El </w:t>
      </w:r>
      <w:r w:rsidRPr="009F4204">
        <w:rPr>
          <w:rFonts w:ascii="Palatino Linotype" w:eastAsia="Palatino Linotype" w:hAnsi="Palatino Linotype" w:cs="Palatino Linotype"/>
          <w:b/>
        </w:rPr>
        <w:t xml:space="preserve">Sujeto Obligado </w:t>
      </w:r>
      <w:r w:rsidRPr="009F4204">
        <w:rPr>
          <w:rFonts w:ascii="Palatino Linotype" w:eastAsia="Palatino Linotype" w:hAnsi="Palatino Linotype" w:cs="Palatino Linotype"/>
        </w:rPr>
        <w:t>adjuntó el archivo “</w:t>
      </w:r>
      <w:r w:rsidRPr="009F4204">
        <w:rPr>
          <w:rFonts w:ascii="Palatino Linotype" w:eastAsia="Palatino Linotype" w:hAnsi="Palatino Linotype" w:cs="Palatino Linotype"/>
          <w:i/>
        </w:rPr>
        <w:t>ROP CERCA DE TI.pdf</w:t>
      </w:r>
      <w:r w:rsidRPr="009F4204">
        <w:rPr>
          <w:rFonts w:ascii="Palatino Linotype" w:eastAsia="Palatino Linotype" w:hAnsi="Palatino Linotype" w:cs="Palatino Linotype"/>
        </w:rPr>
        <w:t xml:space="preserve">”, que consiste en las Reglas de Operación del programa “Huehuetoca cerca de Ti” </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b/>
        </w:rPr>
        <w:lastRenderedPageBreak/>
        <w:t xml:space="preserve">3. Interposición del recurso de revisión. </w:t>
      </w:r>
      <w:r w:rsidRPr="009F4204">
        <w:rPr>
          <w:rFonts w:ascii="Palatino Linotype" w:eastAsia="Palatino Linotype" w:hAnsi="Palatino Linotype" w:cs="Palatino Linotype"/>
        </w:rPr>
        <w:t xml:space="preserve">Inconforme con los términos de la respuesta emitida por parte del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xml:space="preserve">, </w:t>
      </w:r>
      <w:r w:rsidRPr="009F4204">
        <w:rPr>
          <w:rFonts w:ascii="Palatino Linotype" w:eastAsia="Palatino Linotype" w:hAnsi="Palatino Linotype" w:cs="Palatino Linotype"/>
          <w:b/>
        </w:rPr>
        <w:t>once de agosto de dos mil veintidós,</w:t>
      </w:r>
      <w:r w:rsidRPr="009F4204">
        <w:rPr>
          <w:rFonts w:ascii="Palatino Linotype" w:eastAsia="Palatino Linotype" w:hAnsi="Palatino Linotype" w:cs="Palatino Linotype"/>
        </w:rPr>
        <w:t xml:space="preserve"> 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 xml:space="preserve"> interpuso el recurso de revisión a través de </w:t>
      </w:r>
      <w:r w:rsidRPr="009F4204">
        <w:rPr>
          <w:rFonts w:ascii="Palatino Linotype" w:eastAsia="Palatino Linotype" w:hAnsi="Palatino Linotype" w:cs="Palatino Linotype"/>
          <w:b/>
        </w:rPr>
        <w:t xml:space="preserve">SAIMEX, </w:t>
      </w:r>
      <w:r w:rsidRPr="009F4204">
        <w:rPr>
          <w:rFonts w:ascii="Palatino Linotype" w:eastAsia="Palatino Linotype" w:hAnsi="Palatino Linotype" w:cs="Palatino Linotype"/>
        </w:rPr>
        <w:t>en donde se manifestó de la siguiente manera:</w:t>
      </w:r>
    </w:p>
    <w:p w:rsidR="00DA678D" w:rsidRPr="009F4204" w:rsidRDefault="00A75E6B">
      <w:pPr>
        <w:tabs>
          <w:tab w:val="left" w:pos="2745"/>
        </w:tabs>
        <w:spacing w:before="240" w:after="240" w:line="360" w:lineRule="auto"/>
        <w:jc w:val="both"/>
        <w:rPr>
          <w:rFonts w:ascii="Palatino Linotype" w:eastAsia="Palatino Linotype" w:hAnsi="Palatino Linotype" w:cs="Palatino Linotype"/>
          <w:b/>
        </w:rPr>
      </w:pPr>
      <w:r w:rsidRPr="009F4204">
        <w:rPr>
          <w:rFonts w:ascii="Palatino Linotype" w:eastAsia="Palatino Linotype" w:hAnsi="Palatino Linotype" w:cs="Palatino Linotype"/>
          <w:b/>
        </w:rPr>
        <w:t xml:space="preserve">Acto impugnado: </w:t>
      </w:r>
    </w:p>
    <w:p w:rsidR="00DA678D" w:rsidRPr="009F4204" w:rsidRDefault="00A75E6B">
      <w:pPr>
        <w:tabs>
          <w:tab w:val="left" w:pos="2745"/>
        </w:tabs>
        <w:spacing w:before="240" w:after="24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 xml:space="preserve">“solicito se me proporcioné la información completa ya que esto es lo que estoy solicitando Con fundamento en la ley federal de Transparencia y acceso a la información pública, solicito al ayuntamiento de Huehuetoca me proporcione por medio de SAIMEX, las pólizas y contratos del programa de despensas " Huehuetoca cerca de ti". Así </w:t>
      </w:r>
      <w:proofErr w:type="spellStart"/>
      <w:r w:rsidRPr="009F4204">
        <w:rPr>
          <w:rFonts w:ascii="Palatino Linotype" w:eastAsia="Palatino Linotype" w:hAnsi="Palatino Linotype" w:cs="Palatino Linotype"/>
          <w:i/>
          <w:sz w:val="22"/>
          <w:szCs w:val="22"/>
        </w:rPr>
        <w:t>cómo</w:t>
      </w:r>
      <w:proofErr w:type="spellEnd"/>
      <w:r w:rsidRPr="009F4204">
        <w:rPr>
          <w:rFonts w:ascii="Palatino Linotype" w:eastAsia="Palatino Linotype" w:hAnsi="Palatino Linotype" w:cs="Palatino Linotype"/>
          <w:i/>
          <w:sz w:val="22"/>
          <w:szCs w:val="22"/>
        </w:rPr>
        <w:t xml:space="preserve"> de las reglas de operación del mismo y los alcances que tiene. </w:t>
      </w:r>
      <w:proofErr w:type="gramStart"/>
      <w:r w:rsidRPr="009F4204">
        <w:rPr>
          <w:rFonts w:ascii="Palatino Linotype" w:eastAsia="Palatino Linotype" w:hAnsi="Palatino Linotype" w:cs="Palatino Linotype"/>
          <w:i/>
          <w:sz w:val="22"/>
          <w:szCs w:val="22"/>
        </w:rPr>
        <w:t>y</w:t>
      </w:r>
      <w:proofErr w:type="gramEnd"/>
      <w:r w:rsidRPr="009F4204">
        <w:rPr>
          <w:rFonts w:ascii="Palatino Linotype" w:eastAsia="Palatino Linotype" w:hAnsi="Palatino Linotype" w:cs="Palatino Linotype"/>
          <w:i/>
          <w:sz w:val="22"/>
          <w:szCs w:val="22"/>
        </w:rPr>
        <w:t xml:space="preserve"> solo me están enviando las reglas de operación y los fundamentos del programa faltan las pólizas y los contratos anexo la información que me enviaron” (sic)</w:t>
      </w:r>
    </w:p>
    <w:p w:rsidR="00DA678D" w:rsidRPr="009F4204" w:rsidRDefault="00A75E6B">
      <w:pPr>
        <w:spacing w:line="360" w:lineRule="auto"/>
        <w:jc w:val="both"/>
        <w:rPr>
          <w:rFonts w:ascii="Palatino Linotype" w:eastAsia="Palatino Linotype" w:hAnsi="Palatino Linotype" w:cs="Palatino Linotype"/>
        </w:rPr>
      </w:pPr>
      <w:bookmarkStart w:id="3" w:name="_heading=h.30j0zll" w:colFirst="0" w:colLast="0"/>
      <w:bookmarkEnd w:id="3"/>
      <w:r w:rsidRPr="009F4204">
        <w:rPr>
          <w:rFonts w:ascii="Palatino Linotype" w:eastAsia="Palatino Linotype" w:hAnsi="Palatino Linotype" w:cs="Palatino Linotype"/>
          <w:b/>
        </w:rPr>
        <w:t>Y Razones o motivos de inconformidad</w:t>
      </w:r>
      <w:r w:rsidRPr="009F4204">
        <w:rPr>
          <w:rFonts w:ascii="Palatino Linotype" w:eastAsia="Palatino Linotype" w:hAnsi="Palatino Linotype" w:cs="Palatino Linotype"/>
        </w:rPr>
        <w:t xml:space="preserve">: </w:t>
      </w:r>
    </w:p>
    <w:p w:rsidR="00DA678D" w:rsidRPr="009F4204" w:rsidRDefault="00A75E6B">
      <w:pPr>
        <w:tabs>
          <w:tab w:val="left" w:pos="2745"/>
        </w:tabs>
        <w:spacing w:before="240" w:after="24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 xml:space="preserve">“solicito se me proporcioné la información completa ya que esto es lo que estoy solicitando Con fundamento en la ley federal de Transparencia y acceso a la información pública, solicito al ayuntamiento de Huehuetoca me proporcione por medio de SAIMEX, las pólizas y contratos del programa de despensas " Huehuetoca cerca de ti". Así </w:t>
      </w:r>
      <w:proofErr w:type="spellStart"/>
      <w:r w:rsidRPr="009F4204">
        <w:rPr>
          <w:rFonts w:ascii="Palatino Linotype" w:eastAsia="Palatino Linotype" w:hAnsi="Palatino Linotype" w:cs="Palatino Linotype"/>
          <w:i/>
          <w:sz w:val="22"/>
          <w:szCs w:val="22"/>
        </w:rPr>
        <w:t>cómo</w:t>
      </w:r>
      <w:proofErr w:type="spellEnd"/>
      <w:r w:rsidRPr="009F4204">
        <w:rPr>
          <w:rFonts w:ascii="Palatino Linotype" w:eastAsia="Palatino Linotype" w:hAnsi="Palatino Linotype" w:cs="Palatino Linotype"/>
          <w:i/>
          <w:sz w:val="22"/>
          <w:szCs w:val="22"/>
        </w:rPr>
        <w:t xml:space="preserve"> de las reglas de operación del mismo y los alcances que tiene. </w:t>
      </w:r>
      <w:proofErr w:type="gramStart"/>
      <w:r w:rsidRPr="009F4204">
        <w:rPr>
          <w:rFonts w:ascii="Palatino Linotype" w:eastAsia="Palatino Linotype" w:hAnsi="Palatino Linotype" w:cs="Palatino Linotype"/>
          <w:i/>
          <w:sz w:val="22"/>
          <w:szCs w:val="22"/>
        </w:rPr>
        <w:t>y</w:t>
      </w:r>
      <w:proofErr w:type="gramEnd"/>
      <w:r w:rsidRPr="009F4204">
        <w:rPr>
          <w:rFonts w:ascii="Palatino Linotype" w:eastAsia="Palatino Linotype" w:hAnsi="Palatino Linotype" w:cs="Palatino Linotype"/>
          <w:i/>
          <w:sz w:val="22"/>
          <w:szCs w:val="22"/>
        </w:rPr>
        <w:t xml:space="preserve"> solo me están enviando las reglas de operación y los fundamentos del programa faltan las pólizas y los contratos anexo la información que me enviaron” (sic)</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b/>
        </w:rPr>
        <w:t xml:space="preserve">Anexos: </w:t>
      </w:r>
      <w:r w:rsidRPr="009F4204">
        <w:rPr>
          <w:rFonts w:ascii="Palatino Linotype" w:eastAsia="Palatino Linotype" w:hAnsi="Palatino Linotype" w:cs="Palatino Linotype"/>
        </w:rPr>
        <w:t xml:space="preserve">La parte </w:t>
      </w:r>
      <w:r w:rsidRPr="009F4204">
        <w:rPr>
          <w:rFonts w:ascii="Palatino Linotype" w:eastAsia="Palatino Linotype" w:hAnsi="Palatino Linotype" w:cs="Palatino Linotype"/>
          <w:b/>
        </w:rPr>
        <w:t xml:space="preserve">Recurrente </w:t>
      </w:r>
      <w:r w:rsidRPr="009F4204">
        <w:rPr>
          <w:rFonts w:ascii="Palatino Linotype" w:eastAsia="Palatino Linotype" w:hAnsi="Palatino Linotype" w:cs="Palatino Linotype"/>
        </w:rPr>
        <w:t>adjuntó el archivo “</w:t>
      </w:r>
      <w:r w:rsidRPr="009F4204">
        <w:rPr>
          <w:rFonts w:ascii="Palatino Linotype" w:eastAsia="Palatino Linotype" w:hAnsi="Palatino Linotype" w:cs="Palatino Linotype"/>
          <w:i/>
        </w:rPr>
        <w:t>ROP CERCA DE TI.pdf</w:t>
      </w:r>
      <w:r w:rsidRPr="009F4204">
        <w:rPr>
          <w:rFonts w:ascii="Palatino Linotype" w:eastAsia="Palatino Linotype" w:hAnsi="Palatino Linotype" w:cs="Palatino Linotype"/>
        </w:rPr>
        <w:t xml:space="preserve">”, remitido por 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xml:space="preserve"> como parte de su respuesta </w:t>
      </w:r>
    </w:p>
    <w:p w:rsidR="00DA678D" w:rsidRPr="009F4204" w:rsidRDefault="00A75E6B">
      <w:pPr>
        <w:spacing w:before="240" w:after="240" w:line="360" w:lineRule="auto"/>
        <w:ind w:right="51"/>
        <w:jc w:val="both"/>
        <w:rPr>
          <w:rFonts w:ascii="Palatino Linotype" w:eastAsia="Palatino Linotype" w:hAnsi="Palatino Linotype" w:cs="Palatino Linotype"/>
        </w:rPr>
      </w:pPr>
      <w:r w:rsidRPr="009F4204">
        <w:rPr>
          <w:rFonts w:ascii="Palatino Linotype" w:eastAsia="Palatino Linotype" w:hAnsi="Palatino Linotype" w:cs="Palatino Linotype"/>
          <w:b/>
        </w:rPr>
        <w:t xml:space="preserve">4. Turno. </w:t>
      </w:r>
      <w:r w:rsidRPr="009F420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9F4204">
        <w:rPr>
          <w:rFonts w:ascii="Palatino Linotype" w:eastAsia="Palatino Linotype" w:hAnsi="Palatino Linotype" w:cs="Palatino Linotype"/>
        </w:rPr>
        <w:lastRenderedPageBreak/>
        <w:t xml:space="preserve">del Estado de México y Municipios, a la Comisionada </w:t>
      </w:r>
      <w:r w:rsidRPr="009F4204">
        <w:rPr>
          <w:rFonts w:ascii="Palatino Linotype" w:eastAsia="Palatino Linotype" w:hAnsi="Palatino Linotype" w:cs="Palatino Linotype"/>
          <w:b/>
        </w:rPr>
        <w:t xml:space="preserve">Guadalupe Ramírez Peña, </w:t>
      </w:r>
      <w:r w:rsidRPr="009F4204">
        <w:rPr>
          <w:rFonts w:ascii="Palatino Linotype" w:eastAsia="Palatino Linotype" w:hAnsi="Palatino Linotype" w:cs="Palatino Linotype"/>
        </w:rPr>
        <w:t xml:space="preserve">a efecto de que analizara sobre su admisión o su </w:t>
      </w:r>
      <w:proofErr w:type="spellStart"/>
      <w:r w:rsidRPr="009F4204">
        <w:rPr>
          <w:rFonts w:ascii="Palatino Linotype" w:eastAsia="Palatino Linotype" w:hAnsi="Palatino Linotype" w:cs="Palatino Linotype"/>
        </w:rPr>
        <w:t>desechamiento</w:t>
      </w:r>
      <w:proofErr w:type="spellEnd"/>
      <w:r w:rsidRPr="009F4204">
        <w:rPr>
          <w:rFonts w:ascii="Palatino Linotype" w:eastAsia="Palatino Linotype" w:hAnsi="Palatino Linotype" w:cs="Palatino Linotype"/>
        </w:rPr>
        <w:t>.</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b/>
        </w:rPr>
        <w:t>5. Admisión del Recurso de revisión.</w:t>
      </w:r>
      <w:r w:rsidRPr="009F4204">
        <w:rPr>
          <w:rFonts w:ascii="Palatino Linotype" w:eastAsia="Palatino Linotype" w:hAnsi="Palatino Linotype" w:cs="Palatino Linotype"/>
        </w:rPr>
        <w:t xml:space="preserve"> Con fecha</w:t>
      </w:r>
      <w:r w:rsidRPr="009F4204">
        <w:rPr>
          <w:rFonts w:ascii="Palatino Linotype" w:eastAsia="Palatino Linotype" w:hAnsi="Palatino Linotype" w:cs="Palatino Linotype"/>
          <w:b/>
        </w:rPr>
        <w:t xml:space="preserve"> dieciséis de agosto de dos mil veintidós, </w:t>
      </w:r>
      <w:r w:rsidRPr="009F4204">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F4204">
        <w:rPr>
          <w:rFonts w:ascii="Palatino Linotype" w:eastAsia="Palatino Linotype" w:hAnsi="Palatino Linotype" w:cs="Palatino Linotype"/>
          <w:b/>
        </w:rPr>
        <w:t xml:space="preserve">Sujeto Obligado </w:t>
      </w:r>
      <w:r w:rsidRPr="009F4204">
        <w:rPr>
          <w:rFonts w:ascii="Palatino Linotype" w:eastAsia="Palatino Linotype" w:hAnsi="Palatino Linotype" w:cs="Palatino Linotype"/>
        </w:rPr>
        <w:t>presentara su informe justificado.</w:t>
      </w:r>
    </w:p>
    <w:p w:rsidR="00DA678D" w:rsidRPr="009F4204" w:rsidRDefault="00A75E6B">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9F4204">
        <w:rPr>
          <w:rFonts w:ascii="Palatino Linotype" w:eastAsia="Palatino Linotype" w:hAnsi="Palatino Linotype" w:cs="Palatino Linotype"/>
          <w:b/>
        </w:rPr>
        <w:t>6. Manifestaciones</w:t>
      </w:r>
      <w:r w:rsidRPr="009F4204">
        <w:rPr>
          <w:rFonts w:ascii="Palatino Linotype" w:eastAsia="Palatino Linotype" w:hAnsi="Palatino Linotype" w:cs="Palatino Linotype"/>
        </w:rPr>
        <w:t xml:space="preserve">. En fecha </w:t>
      </w:r>
      <w:r w:rsidRPr="009F4204">
        <w:rPr>
          <w:rFonts w:ascii="Palatino Linotype" w:eastAsia="Palatino Linotype" w:hAnsi="Palatino Linotype" w:cs="Palatino Linotype"/>
          <w:b/>
        </w:rPr>
        <w:t xml:space="preserve">veintiséis de agosto de dos mil veintidós, </w:t>
      </w:r>
      <w:r w:rsidRPr="009F4204">
        <w:rPr>
          <w:rFonts w:ascii="Palatino Linotype" w:eastAsia="Palatino Linotype" w:hAnsi="Palatino Linotype" w:cs="Palatino Linotype"/>
        </w:rPr>
        <w:t xml:space="preserve">el </w:t>
      </w:r>
      <w:r w:rsidRPr="009F4204">
        <w:rPr>
          <w:rFonts w:ascii="Palatino Linotype" w:eastAsia="Palatino Linotype" w:hAnsi="Palatino Linotype" w:cs="Palatino Linotype"/>
          <w:b/>
        </w:rPr>
        <w:t xml:space="preserve">Sujeto Obligado </w:t>
      </w:r>
      <w:r w:rsidRPr="009F4204">
        <w:rPr>
          <w:rFonts w:ascii="Palatino Linotype" w:eastAsia="Palatino Linotype" w:hAnsi="Palatino Linotype" w:cs="Palatino Linotype"/>
        </w:rPr>
        <w:t>remitió, a través del SAIMEX, el memorándum número DDS/222/2022 de fecha veinticinco de agosto de dos mil veintidós, signado por la Directora de Desarrollo Social, mediante el cual ratificó en lo sustancial la respuesta emitida en primera instancia, proporcionando en el acto los alcances del programa, asimismo, señaló que fue remitida toda la información que posee dicha unidad administrativa y, finalmente manifestó que lo conducente hubiera sido esperar la respuesta por parte de la Tesorería Municipal.</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Una vez analizado el documento, se hizo del conocimiento de 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 con la finalidad de que manifestara lo q</w:t>
      </w:r>
      <w:r w:rsidR="007E16BF" w:rsidRPr="009F4204">
        <w:rPr>
          <w:rFonts w:ascii="Palatino Linotype" w:eastAsia="Palatino Linotype" w:hAnsi="Palatino Linotype" w:cs="Palatino Linotype"/>
        </w:rPr>
        <w:t>ue a s</w:t>
      </w:r>
      <w:r w:rsidRPr="009F4204">
        <w:rPr>
          <w:rFonts w:ascii="Palatino Linotype" w:eastAsia="Palatino Linotype" w:hAnsi="Palatino Linotype" w:cs="Palatino Linotype"/>
        </w:rPr>
        <w:t>u derecho estimara conveniente, no obstante, fue omisa en ejercer dicha prerrogativa.</w:t>
      </w:r>
    </w:p>
    <w:p w:rsidR="00DA678D" w:rsidRPr="009F4204" w:rsidRDefault="00DA678D">
      <w:pPr>
        <w:spacing w:before="240" w:after="240" w:line="360" w:lineRule="auto"/>
        <w:jc w:val="both"/>
        <w:rPr>
          <w:rFonts w:ascii="Palatino Linotype" w:eastAsia="Palatino Linotype" w:hAnsi="Palatino Linotype" w:cs="Palatino Linotype"/>
        </w:rPr>
      </w:pPr>
    </w:p>
    <w:p w:rsidR="00DA678D" w:rsidRPr="009F4204" w:rsidRDefault="00DA678D">
      <w:pPr>
        <w:spacing w:before="240" w:after="240" w:line="360" w:lineRule="auto"/>
        <w:jc w:val="both"/>
        <w:rPr>
          <w:rFonts w:ascii="Palatino Linotype" w:eastAsia="Palatino Linotype" w:hAnsi="Palatino Linotype" w:cs="Palatino Linotype"/>
        </w:rPr>
      </w:pP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b/>
        </w:rPr>
        <w:lastRenderedPageBreak/>
        <w:t>7. Ampliación del término para resolver</w:t>
      </w:r>
      <w:r w:rsidRPr="009F4204">
        <w:rPr>
          <w:rFonts w:ascii="Palatino Linotype" w:eastAsia="Palatino Linotype" w:hAnsi="Palatino Linotype" w:cs="Palatino Linotype"/>
        </w:rPr>
        <w:t xml:space="preserve">. En fecha </w:t>
      </w:r>
      <w:r w:rsidRPr="009F4204">
        <w:rPr>
          <w:rFonts w:ascii="Palatino Linotype" w:eastAsia="Palatino Linotype" w:hAnsi="Palatino Linotype" w:cs="Palatino Linotype"/>
          <w:b/>
        </w:rPr>
        <w:t>ocho de noviembre de dos mil veintidós</w:t>
      </w:r>
      <w:r w:rsidRPr="009F4204">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9F4204">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rsidR="00DA678D" w:rsidRPr="009F4204" w:rsidRDefault="00A75E6B">
      <w:pPr>
        <w:spacing w:before="240" w:after="240" w:line="360" w:lineRule="auto"/>
        <w:jc w:val="both"/>
        <w:rPr>
          <w:rFonts w:ascii="Palatino Linotype" w:eastAsia="Palatino Linotype" w:hAnsi="Palatino Linotype" w:cs="Palatino Linotype"/>
          <w:strike/>
        </w:rPr>
      </w:pPr>
      <w:r w:rsidRPr="009F420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DA678D" w:rsidRPr="009F4204" w:rsidRDefault="00A75E6B">
      <w:pPr>
        <w:numPr>
          <w:ilvl w:val="0"/>
          <w:numId w:val="1"/>
        </w:num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DA678D" w:rsidRPr="009F4204" w:rsidRDefault="00A75E6B">
      <w:pPr>
        <w:numPr>
          <w:ilvl w:val="0"/>
          <w:numId w:val="1"/>
        </w:num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Actividad Procesal del interesado. Acciones u omisiones del interesado.</w:t>
      </w:r>
    </w:p>
    <w:p w:rsidR="00DA678D" w:rsidRPr="009F4204" w:rsidRDefault="00A75E6B">
      <w:pPr>
        <w:numPr>
          <w:ilvl w:val="0"/>
          <w:numId w:val="1"/>
        </w:num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Conducta de la Autoridad: Las Acciones u omisiones realizadas en el procedimiento. Así como si la autoridad actuó con la debida diligencia.</w:t>
      </w:r>
    </w:p>
    <w:p w:rsidR="00DA678D" w:rsidRPr="009F4204" w:rsidRDefault="00A75E6B">
      <w:pPr>
        <w:spacing w:before="240" w:after="240" w:line="360" w:lineRule="auto"/>
        <w:ind w:left="567"/>
        <w:jc w:val="both"/>
        <w:rPr>
          <w:rFonts w:ascii="Palatino Linotype" w:eastAsia="Palatino Linotype" w:hAnsi="Palatino Linotype" w:cs="Palatino Linotype"/>
        </w:rPr>
      </w:pPr>
      <w:r w:rsidRPr="009F4204">
        <w:rPr>
          <w:rFonts w:ascii="Palatino Linotype" w:eastAsia="Palatino Linotype" w:hAnsi="Palatino Linotype" w:cs="Palatino Linotype"/>
        </w:rPr>
        <w:t>d) La afectación generada en la situación jurídica de la persona involucrada en el proceso: Violación a sus derechos humanos.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A678D" w:rsidRPr="009F4204" w:rsidRDefault="00A75E6B">
      <w:pPr>
        <w:spacing w:before="240" w:after="240" w:line="360" w:lineRule="auto"/>
        <w:jc w:val="both"/>
        <w:rPr>
          <w:rFonts w:ascii="Palatino Linotype" w:eastAsia="Palatino Linotype" w:hAnsi="Palatino Linotype" w:cs="Palatino Linotype"/>
          <w:b/>
        </w:rPr>
      </w:pPr>
      <w:r w:rsidRPr="009F4204">
        <w:rPr>
          <w:rFonts w:ascii="Palatino Linotype" w:eastAsia="Palatino Linotype" w:hAnsi="Palatino Linotype" w:cs="Palatino Linotype"/>
        </w:rPr>
        <w:t>Argumento que encuentra sustento en la jurisprudencia P</w:t>
      </w:r>
      <w:proofErr w:type="gramStart"/>
      <w:r w:rsidRPr="009F4204">
        <w:rPr>
          <w:rFonts w:ascii="Palatino Linotype" w:eastAsia="Palatino Linotype" w:hAnsi="Palatino Linotype" w:cs="Palatino Linotype"/>
        </w:rPr>
        <w:t>./</w:t>
      </w:r>
      <w:proofErr w:type="gramEnd"/>
      <w:r w:rsidRPr="009F4204">
        <w:rPr>
          <w:rFonts w:ascii="Palatino Linotype" w:eastAsia="Palatino Linotype" w:hAnsi="Palatino Linotype" w:cs="Palatino Linotype"/>
        </w:rPr>
        <w:t xml:space="preserve">J. 32/92 emitida por el Pleno de la Suprema Corte de Justicia de la Nación de rubro </w:t>
      </w:r>
      <w:r w:rsidRPr="009F4204">
        <w:rPr>
          <w:rFonts w:ascii="Palatino Linotype" w:eastAsia="Palatino Linotype" w:hAnsi="Palatino Linotype" w:cs="Palatino Linotype"/>
          <w:i/>
        </w:rPr>
        <w:t xml:space="preserve">“TÉRMINOS </w:t>
      </w:r>
      <w:r w:rsidRPr="009F4204">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9F4204">
        <w:rPr>
          <w:rFonts w:ascii="Palatino Linotype" w:eastAsia="Palatino Linotype" w:hAnsi="Palatino Linotype" w:cs="Palatino Linotype"/>
        </w:rPr>
        <w:t>, visible en la Gaceta del Seminario Judicial de la Federación con el registro digital 205635.</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DA678D" w:rsidRPr="009F4204" w:rsidRDefault="00A75E6B">
      <w:pPr>
        <w:spacing w:before="240" w:after="240"/>
        <w:ind w:left="851" w:right="902"/>
        <w:jc w:val="both"/>
        <w:rPr>
          <w:rFonts w:ascii="Palatino Linotype" w:eastAsia="Palatino Linotype" w:hAnsi="Palatino Linotype" w:cs="Palatino Linotype"/>
          <w:sz w:val="22"/>
          <w:szCs w:val="22"/>
        </w:rPr>
      </w:pPr>
      <w:r w:rsidRPr="009F4204">
        <w:rPr>
          <w:rFonts w:ascii="Palatino Linotype" w:eastAsia="Palatino Linotype" w:hAnsi="Palatino Linotype" w:cs="Palatino Linotype"/>
        </w:rPr>
        <w:t xml:space="preserve"> </w:t>
      </w: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PLAZO RAZONABLE PARA RESOLVER. DIMENSIÓN Y EFECTOS DE ESTE CONCEPTO CUANDO SE ADUCE EXCESIVA CARGA DE TRABAJO</w:t>
      </w: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sz w:val="22"/>
          <w:szCs w:val="22"/>
        </w:rPr>
        <w:t xml:space="preserve"> consultable en el Seminario Judicial de la Federación y su gaceta, con el registro digital 2002351.</w:t>
      </w:r>
    </w:p>
    <w:p w:rsidR="00DA678D" w:rsidRPr="009F4204" w:rsidRDefault="00A75E6B">
      <w:pPr>
        <w:spacing w:before="240" w:after="240"/>
        <w:ind w:left="851" w:right="902"/>
        <w:jc w:val="both"/>
        <w:rPr>
          <w:rFonts w:ascii="Palatino Linotype" w:eastAsia="Palatino Linotype" w:hAnsi="Palatino Linotype" w:cs="Palatino Linotype"/>
          <w:sz w:val="22"/>
          <w:szCs w:val="22"/>
        </w:rPr>
      </w:pP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sz w:val="22"/>
          <w:szCs w:val="22"/>
        </w:rPr>
        <w:t xml:space="preserve">, visible en el </w:t>
      </w:r>
      <w:r w:rsidRPr="009F4204">
        <w:rPr>
          <w:rFonts w:ascii="Palatino Linotype" w:eastAsia="Palatino Linotype" w:hAnsi="Palatino Linotype" w:cs="Palatino Linotype"/>
          <w:sz w:val="22"/>
          <w:szCs w:val="22"/>
        </w:rPr>
        <w:lastRenderedPageBreak/>
        <w:t>Seminario Judicial de la Federación y su gaceta, con el registro digital 2002350.</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b/>
        </w:rPr>
        <w:t xml:space="preserve">7. Cierre de instrucción. </w:t>
      </w:r>
      <w:r w:rsidRPr="009F4204">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F4204">
        <w:rPr>
          <w:rFonts w:ascii="Palatino Linotype" w:eastAsia="Palatino Linotype" w:hAnsi="Palatino Linotype" w:cs="Palatino Linotype"/>
          <w:b/>
        </w:rPr>
        <w:t xml:space="preserve">doce de enero de dos mil veintitrés, </w:t>
      </w:r>
      <w:r w:rsidRPr="009F4204">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DA678D" w:rsidRPr="009F4204" w:rsidRDefault="00A75E6B">
      <w:pPr>
        <w:widowControl w:val="0"/>
        <w:spacing w:before="240" w:after="240" w:line="360" w:lineRule="auto"/>
        <w:jc w:val="center"/>
        <w:rPr>
          <w:rFonts w:ascii="Palatino Linotype" w:eastAsia="Palatino Linotype" w:hAnsi="Palatino Linotype" w:cs="Palatino Linotype"/>
          <w:b/>
        </w:rPr>
      </w:pPr>
      <w:r w:rsidRPr="009F4204">
        <w:rPr>
          <w:rFonts w:ascii="Palatino Linotype" w:eastAsia="Palatino Linotype" w:hAnsi="Palatino Linotype" w:cs="Palatino Linotype"/>
          <w:b/>
        </w:rPr>
        <w:t>II. C O N S I D E R A N D O 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b/>
        </w:rPr>
        <w:t>Primero. Competencia.</w:t>
      </w:r>
      <w:r w:rsidRPr="009F420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w:t>
      </w:r>
      <w:r w:rsidRPr="009F4204">
        <w:rPr>
          <w:rFonts w:ascii="Palatino Linotype" w:eastAsia="Palatino Linotype" w:hAnsi="Palatino Linotype" w:cs="Palatino Linotype"/>
        </w:rPr>
        <w:lastRenderedPageBreak/>
        <w:t>Reglamento Interior del Instituto de Transparencia, Acceso a la Información Pública y Protección de Datos Personales del Estado de México y Municipios.</w:t>
      </w:r>
    </w:p>
    <w:p w:rsidR="00DA678D" w:rsidRPr="009F4204" w:rsidRDefault="00A75E6B">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9F4204">
        <w:rPr>
          <w:rFonts w:ascii="Palatino Linotype" w:eastAsia="Palatino Linotype" w:hAnsi="Palatino Linotype" w:cs="Palatino Linotype"/>
          <w:b/>
        </w:rPr>
        <w:t xml:space="preserve">Segundo. Oportunidad y </w:t>
      </w:r>
      <w:proofErr w:type="spellStart"/>
      <w:r w:rsidRPr="009F4204">
        <w:rPr>
          <w:rFonts w:ascii="Palatino Linotype" w:eastAsia="Palatino Linotype" w:hAnsi="Palatino Linotype" w:cs="Palatino Linotype"/>
          <w:b/>
        </w:rPr>
        <w:t>Procedibilidad</w:t>
      </w:r>
      <w:proofErr w:type="spellEnd"/>
      <w:r w:rsidRPr="009F4204">
        <w:rPr>
          <w:rFonts w:ascii="Palatino Linotype" w:eastAsia="Palatino Linotype" w:hAnsi="Palatino Linotype" w:cs="Palatino Linotype"/>
          <w:b/>
        </w:rPr>
        <w:t xml:space="preserve"> del Recurso de Revisión</w:t>
      </w:r>
      <w:r w:rsidRPr="009F4204">
        <w:rPr>
          <w:rFonts w:ascii="Palatino Linotype" w:eastAsia="Palatino Linotype" w:hAnsi="Palatino Linotype" w:cs="Palatino Linotype"/>
        </w:rPr>
        <w:t xml:space="preserve">. Previo al estudio del fondo del asunto, se procede a analizar los requisitos de oportunidad y </w:t>
      </w:r>
      <w:proofErr w:type="spellStart"/>
      <w:r w:rsidRPr="009F4204">
        <w:rPr>
          <w:rFonts w:ascii="Palatino Linotype" w:eastAsia="Palatino Linotype" w:hAnsi="Palatino Linotype" w:cs="Palatino Linotype"/>
        </w:rPr>
        <w:t>procedibilidad</w:t>
      </w:r>
      <w:proofErr w:type="spellEnd"/>
      <w:r w:rsidRPr="009F420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F4204">
        <w:rPr>
          <w:rFonts w:ascii="Palatino Linotype" w:eastAsia="Palatino Linotype" w:hAnsi="Palatino Linotype" w:cs="Palatino Linotype"/>
          <w:b/>
        </w:rPr>
        <w:t xml:space="preserve">Sujeto Obligado </w:t>
      </w:r>
      <w:r w:rsidRPr="009F4204">
        <w:rPr>
          <w:rFonts w:ascii="Palatino Linotype" w:eastAsia="Palatino Linotype" w:hAnsi="Palatino Linotype" w:cs="Palatino Linotype"/>
        </w:rPr>
        <w:t xml:space="preserve">remitió la respuesta a la solicitud de información el día </w:t>
      </w:r>
      <w:r w:rsidRPr="009F4204">
        <w:rPr>
          <w:rFonts w:ascii="Palatino Linotype" w:eastAsia="Palatino Linotype" w:hAnsi="Palatino Linotype" w:cs="Palatino Linotype"/>
          <w:b/>
        </w:rPr>
        <w:t xml:space="preserve">once de agosto de dos mil veintidós, </w:t>
      </w:r>
      <w:r w:rsidRPr="009F4204">
        <w:rPr>
          <w:rFonts w:ascii="Palatino Linotype" w:eastAsia="Palatino Linotype" w:hAnsi="Palatino Linotype" w:cs="Palatino Linotype"/>
        </w:rPr>
        <w:t xml:space="preserve">mientras que el recurso de revisión interpuesto por 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 xml:space="preserve">, se tuvo por presentado el día </w:t>
      </w:r>
      <w:r w:rsidRPr="009F4204">
        <w:rPr>
          <w:rFonts w:ascii="Palatino Linotype" w:eastAsia="Palatino Linotype" w:hAnsi="Palatino Linotype" w:cs="Palatino Linotype"/>
          <w:b/>
        </w:rPr>
        <w:t>once de agosto de dos mil veintidós</w:t>
      </w:r>
      <w:r w:rsidRPr="009F4204">
        <w:rPr>
          <w:rFonts w:ascii="Palatino Linotype" w:eastAsia="Palatino Linotype" w:hAnsi="Palatino Linotype" w:cs="Palatino Linotype"/>
        </w:rPr>
        <w:t>, esto es, el mismo día en que tuvo conocimiento de la respuesta impugnada.</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w:t>
      </w:r>
      <w:proofErr w:type="gramStart"/>
      <w:r w:rsidRPr="009F4204">
        <w:rPr>
          <w:rFonts w:ascii="Palatino Linotype" w:eastAsia="Palatino Linotype" w:hAnsi="Palatino Linotype" w:cs="Palatino Linotype"/>
        </w:rPr>
        <w:lastRenderedPageBreak/>
        <w:t>Junio</w:t>
      </w:r>
      <w:proofErr w:type="gramEnd"/>
      <w:r w:rsidRPr="009F4204">
        <w:rPr>
          <w:rFonts w:ascii="Palatino Linotype" w:eastAsia="Palatino Linotype" w:hAnsi="Palatino Linotype" w:cs="Palatino Linotype"/>
        </w:rPr>
        <w:t xml:space="preserve"> de 2015, Tomo I, página 569 de la Décima época que lleva por rubro y texto los siguientes:</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9F4204">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DA678D" w:rsidRPr="009F4204" w:rsidRDefault="00A75E6B">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9F4204">
        <w:rPr>
          <w:rFonts w:ascii="Palatino Linotype" w:eastAsia="Palatino Linotype" w:hAnsi="Palatino Linotype" w:cs="Palatino Linotype"/>
        </w:rPr>
        <w:t xml:space="preserve">Al mismo tiempo, por cuanto hace a la </w:t>
      </w:r>
      <w:proofErr w:type="spellStart"/>
      <w:r w:rsidRPr="009F4204">
        <w:rPr>
          <w:rFonts w:ascii="Palatino Linotype" w:eastAsia="Palatino Linotype" w:hAnsi="Palatino Linotype" w:cs="Palatino Linotype"/>
        </w:rPr>
        <w:t>procedibilidad</w:t>
      </w:r>
      <w:proofErr w:type="spellEnd"/>
      <w:r w:rsidRPr="009F4204">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Finalmente, se advierte que resulta procedente la interposición del recurso, según lo manifestado por 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 xml:space="preserve"> en sus motivos de inconformidad, de acuerdo al artículo 179, fracción V del ordenamiento legal citado, que a la letra dice: </w:t>
      </w:r>
    </w:p>
    <w:p w:rsidR="00DA678D" w:rsidRPr="009F4204" w:rsidRDefault="00A75E6B">
      <w:pPr>
        <w:spacing w:before="120" w:after="120"/>
        <w:ind w:left="993"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Artículo 179.</w:t>
      </w:r>
      <w:r w:rsidRPr="009F420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DA678D" w:rsidRPr="009F4204" w:rsidRDefault="00A75E6B">
      <w:pPr>
        <w:spacing w:before="120" w:after="120"/>
        <w:ind w:left="1134"/>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b/>
          <w:i/>
          <w:sz w:val="22"/>
          <w:szCs w:val="22"/>
        </w:rPr>
        <w:t>...</w:t>
      </w:r>
    </w:p>
    <w:p w:rsidR="00DA678D" w:rsidRPr="009F4204" w:rsidRDefault="00A75E6B">
      <w:pPr>
        <w:spacing w:before="120" w:after="120"/>
        <w:ind w:left="1134"/>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w:t>
      </w:r>
      <w:r w:rsidRPr="009F4204">
        <w:rPr>
          <w:rFonts w:ascii="Palatino Linotype" w:eastAsia="Palatino Linotype" w:hAnsi="Palatino Linotype" w:cs="Palatino Linotype"/>
          <w:i/>
          <w:sz w:val="22"/>
          <w:szCs w:val="22"/>
        </w:rPr>
        <w:t xml:space="preserve"> La entrega de información incompleta;”</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b/>
        </w:rPr>
        <w:lastRenderedPageBreak/>
        <w:t xml:space="preserve">Tercero. Materia de la revisión. </w:t>
      </w:r>
      <w:r w:rsidRPr="009F4204">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9F4204">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9F4204">
        <w:rPr>
          <w:rFonts w:ascii="Palatino Linotype" w:eastAsia="Palatino Linotype" w:hAnsi="Palatino Linotype" w:cs="Palatino Linotype"/>
        </w:rPr>
        <w:t xml:space="preserve">de 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 o en su defecto, en caso de ser procedente, ordenar la entrega de información oportuna.</w:t>
      </w:r>
    </w:p>
    <w:p w:rsidR="00DA678D" w:rsidRPr="009F4204" w:rsidRDefault="00A75E6B">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9F4204">
        <w:rPr>
          <w:rFonts w:ascii="Palatino Linotype" w:eastAsia="Palatino Linotype" w:hAnsi="Palatino Linotype" w:cs="Palatino Linotype"/>
          <w:b/>
        </w:rPr>
        <w:t xml:space="preserve">Cuarto. Estudio del asunto. </w:t>
      </w:r>
      <w:r w:rsidRPr="009F4204">
        <w:rPr>
          <w:rFonts w:ascii="Palatino Linotype" w:eastAsia="Palatino Linotype" w:hAnsi="Palatino Linotype" w:cs="Palatino Linotype"/>
        </w:rPr>
        <w:t xml:space="preserve">Del análisis de la solicitud de información, motivo del recurso de revisión que ahora se resuelve se advierte que 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 xml:space="preserve"> requirió al </w:t>
      </w:r>
      <w:r w:rsidRPr="009F4204">
        <w:rPr>
          <w:rFonts w:ascii="Palatino Linotype" w:eastAsia="Palatino Linotype" w:hAnsi="Palatino Linotype" w:cs="Palatino Linotype"/>
          <w:b/>
        </w:rPr>
        <w:t xml:space="preserve">Sujeto Obligado </w:t>
      </w:r>
      <w:r w:rsidRPr="009F4204">
        <w:rPr>
          <w:rFonts w:ascii="Palatino Linotype" w:eastAsia="Palatino Linotype" w:hAnsi="Palatino Linotype" w:cs="Palatino Linotype"/>
        </w:rPr>
        <w:t>le proporcione, información consistente en lo siguiente:</w:t>
      </w:r>
    </w:p>
    <w:p w:rsidR="00DA678D" w:rsidRPr="009F4204" w:rsidRDefault="00A75E6B">
      <w:pPr>
        <w:spacing w:before="240" w:after="240" w:line="360"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1. Pólizas y contratos del programa de despensas "Huehuetoca cerca de Ti". </w:t>
      </w:r>
    </w:p>
    <w:p w:rsidR="00DA678D" w:rsidRPr="009F4204" w:rsidRDefault="00A75E6B">
      <w:pPr>
        <w:spacing w:before="240" w:after="240" w:line="360"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2. Reglas de operación del programa y los alcances que tiene.</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En respuesta, 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a través de la Unidad de Transparencia, hizo del conocimiento de la persona solicitante que los alcances del programa “Huehuetoca cerca de Ti” se encontraban en las reglas de operación y consisten en lo siguiente:</w:t>
      </w:r>
    </w:p>
    <w:p w:rsidR="00DA678D" w:rsidRPr="009F4204" w:rsidRDefault="00A75E6B">
      <w:pPr>
        <w:spacing w:before="240" w:after="240" w:line="276"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3. COBERTURA Y FOCALIZACIÓN. </w:t>
      </w:r>
    </w:p>
    <w:p w:rsidR="00DA678D" w:rsidRPr="009F4204" w:rsidRDefault="00A75E6B">
      <w:pPr>
        <w:spacing w:before="240" w:after="240" w:line="276"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3.1. Cobertura. El programa tendrá cobertura municipal, atendiendo a familias residentes en cualquiera de las localidades del municipio. </w:t>
      </w:r>
    </w:p>
    <w:p w:rsidR="00DA678D" w:rsidRPr="009F4204" w:rsidRDefault="00A75E6B">
      <w:pPr>
        <w:spacing w:before="240" w:after="240" w:line="276"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3.2. Focalización. La focalización fue hecha de manera territorial y por condiciones de vulnerabilidad, donde los candidatos deberán ser personas que presenten o se encuentren en algún grado de pobreza, vulnerabilidad por ingresos y/o carencia por acceso a la alimentación, posterior o anterior la </w:t>
      </w:r>
      <w:r w:rsidRPr="009F4204">
        <w:rPr>
          <w:rFonts w:ascii="Palatino Linotype" w:eastAsia="Palatino Linotype" w:hAnsi="Palatino Linotype" w:cs="Palatino Linotype"/>
        </w:rPr>
        <w:lastRenderedPageBreak/>
        <w:t>pandemia por la COVID-19 y/o sus variantes, ser residentes y contar con credencial para votar con domicilio del municipio de Huehuetoca.</w:t>
      </w:r>
    </w:p>
    <w:p w:rsidR="00DA678D" w:rsidRPr="009F4204" w:rsidRDefault="00A75E6B">
      <w:pPr>
        <w:spacing w:before="240" w:after="240" w:line="276"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4. UNIVERSO DE ATENCIÓN. </w:t>
      </w:r>
    </w:p>
    <w:p w:rsidR="00DA678D" w:rsidRPr="009F4204" w:rsidRDefault="00A75E6B">
      <w:pPr>
        <w:spacing w:before="240" w:after="240" w:line="276"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4.1. Población Universo. La población potencial para el presente programa serán aquellas personas, que habiten en las localidades ubicadas dentro del territorio municipal, por lo tanto se ha determinado una población universo es de 150,654 personas aproximadamente. </w:t>
      </w:r>
    </w:p>
    <w:p w:rsidR="00DA678D" w:rsidRPr="009F4204" w:rsidRDefault="00A75E6B">
      <w:pPr>
        <w:spacing w:before="240" w:after="240" w:line="276"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4.2. Población Objetivo. Familias del municipio de Huehuetoca que requieran mejorar su alimentación y sus condiciones socioeconómicas lo denoten, que se encuentren en alguno de los indicadores siguientes por “Pobreza multidimensional: Vulnerable por carencias 25,583; Vulnerable por ingresos 30,765; Pobreza moderada 56,342; Pobreza extrema 4,291. Carencias sociales por Acceso a la alimentación 33,989”. </w:t>
      </w:r>
    </w:p>
    <w:p w:rsidR="00DA678D" w:rsidRPr="009F4204" w:rsidRDefault="00A75E6B">
      <w:pPr>
        <w:spacing w:before="240" w:after="240" w:line="276"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4.3. Población a Atender. El número de personas atendidas estará basados en los montos presupuestarios y capacidad operativa, la Dirección de Desarrollo Social, además de atender, preferentemente, a las personas que encuentren dentro de la Población Objetivo y cumplan con los criterios de elegibilidad del programa. </w:t>
      </w:r>
    </w:p>
    <w:p w:rsidR="00DA678D" w:rsidRPr="009F4204" w:rsidRDefault="00A75E6B">
      <w:pPr>
        <w:spacing w:before="240" w:after="240" w:line="276"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5. METAS FÍSICAS. </w:t>
      </w:r>
    </w:p>
    <w:p w:rsidR="00DA678D" w:rsidRPr="009F4204" w:rsidRDefault="00A75E6B">
      <w:pPr>
        <w:spacing w:before="240" w:after="240" w:line="276"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5.1. Cantidad de paquetes alimentarios. En el marco de la ejecución del Programa se otorgarán 7,200 paquetes alimentarios a lo largo de un año. </w:t>
      </w:r>
    </w:p>
    <w:p w:rsidR="00DA678D" w:rsidRPr="009F4204" w:rsidRDefault="00A75E6B">
      <w:pPr>
        <w:spacing w:before="240" w:after="240" w:line="276"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5.2. Familias beneficiadas. Serán apoyadas 1,800 familias que encuentren dentro de la Población Objetivo y cumplan con los criterios de elegibilidad del programa. </w:t>
      </w:r>
    </w:p>
    <w:p w:rsidR="00DA678D" w:rsidRPr="009F4204" w:rsidRDefault="00A75E6B">
      <w:pPr>
        <w:spacing w:before="240" w:after="240" w:line="276" w:lineRule="auto"/>
        <w:ind w:left="284" w:right="49"/>
        <w:jc w:val="both"/>
        <w:rPr>
          <w:rFonts w:ascii="Palatino Linotype" w:eastAsia="Palatino Linotype" w:hAnsi="Palatino Linotype" w:cs="Palatino Linotype"/>
        </w:rPr>
      </w:pPr>
      <w:r w:rsidRPr="009F4204">
        <w:rPr>
          <w:rFonts w:ascii="Palatino Linotype" w:eastAsia="Palatino Linotype" w:hAnsi="Palatino Linotype" w:cs="Palatino Linotype"/>
        </w:rPr>
        <w:t>5.3. Número de entregas. Se realizaran 4 entregas de forma trimestral a lo largo de un año.</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Asimismo remitió las Reglas de Operación del programa “Huehuetoca cerca de Ti”.</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lastRenderedPageBreak/>
        <w:t>Conocida la respuesta por la persona solicitante, al no estar conforme con los términos de la misma, interpuso el recurso de revisión que nos ocupa, mediante el cual manifestó, com</w:t>
      </w:r>
      <w:r w:rsidR="007E16BF" w:rsidRPr="009F4204">
        <w:rPr>
          <w:rFonts w:ascii="Palatino Linotype" w:eastAsia="Palatino Linotype" w:hAnsi="Palatino Linotype" w:cs="Palatino Linotype"/>
        </w:rPr>
        <w:t>o motivo de inconformidad que só</w:t>
      </w:r>
      <w:r w:rsidRPr="009F4204">
        <w:rPr>
          <w:rFonts w:ascii="Palatino Linotype" w:eastAsia="Palatino Linotype" w:hAnsi="Palatino Linotype" w:cs="Palatino Linotype"/>
        </w:rPr>
        <w:t>lo le enviaron las Reglas de Operación y los fundamentos del programa, faltando las pólizas y los contratos, razón por la cual solicitó en el acto se le proporcionara la información completa.</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En este sentido, no pasa inadvertido para este Organismo Garante que los motivos de inconformidad aducidos, no versan sobre la totalidad de la información proporcionada por el </w:t>
      </w:r>
      <w:r w:rsidRPr="009F4204">
        <w:rPr>
          <w:rFonts w:ascii="Palatino Linotype" w:eastAsia="Palatino Linotype" w:hAnsi="Palatino Linotype" w:cs="Palatino Linotype"/>
          <w:b/>
        </w:rPr>
        <w:t xml:space="preserve">Sujeto Obligado, </w:t>
      </w:r>
      <w:r w:rsidRPr="009F4204">
        <w:rPr>
          <w:rFonts w:ascii="Palatino Linotype" w:eastAsia="Palatino Linotype" w:hAnsi="Palatino Linotype" w:cs="Palatino Linotype"/>
        </w:rPr>
        <w:t xml:space="preserve">pues 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 xml:space="preserve"> manifestó, de manera expresa, que no le fueron entregadas las pólizas y los contratos que fueron requeridas respecto de las despensas del programa “Huehuetoca cerca de Ti”</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En este orden de ideas, la parte de la respuesta que no fue impugnada</w:t>
      </w:r>
      <w:r w:rsidR="007E16BF" w:rsidRPr="009F4204">
        <w:rPr>
          <w:rFonts w:ascii="Palatino Linotype" w:eastAsia="Palatino Linotype" w:hAnsi="Palatino Linotype" w:cs="Palatino Linotype"/>
        </w:rPr>
        <w:t>, esto es</w:t>
      </w:r>
      <w:r w:rsidR="00736B30" w:rsidRPr="009F4204">
        <w:rPr>
          <w:rFonts w:ascii="Palatino Linotype" w:eastAsia="Palatino Linotype" w:hAnsi="Palatino Linotype" w:cs="Palatino Linotype"/>
        </w:rPr>
        <w:t xml:space="preserve"> las reglas de operación del programa "Huehuetoca cerca de Ti"  y los alcances que tiene, </w:t>
      </w:r>
      <w:r w:rsidRPr="009F4204">
        <w:rPr>
          <w:rFonts w:ascii="Palatino Linotype" w:eastAsia="Palatino Linotype" w:hAnsi="Palatino Linotype" w:cs="Palatino Linotype"/>
        </w:rPr>
        <w:t xml:space="preserve">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satisface la solicitud presentada.</w:t>
      </w:r>
    </w:p>
    <w:p w:rsidR="00DA678D" w:rsidRPr="009F4204" w:rsidRDefault="00A75E6B">
      <w:pPr>
        <w:spacing w:before="240" w:after="36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Lo anterior es así, debido a que cuando la parte Recurrente impugna la respuesta del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w:t>
      </w:r>
      <w:r w:rsidRPr="009F4204">
        <w:rPr>
          <w:rFonts w:ascii="Palatino Linotype" w:eastAsia="Palatino Linotype" w:hAnsi="Palatino Linotype" w:cs="Palatino Linotype"/>
        </w:rPr>
        <w:lastRenderedPageBreak/>
        <w:t>Jurisprudencial Número 3ª./J.7/91, Publicada en el Semanario Judicial de la Federación y su Gaceta bajo el número de registro 174,177, que establece lo siguiente:</w:t>
      </w:r>
    </w:p>
    <w:p w:rsidR="00DA678D" w:rsidRPr="009F4204" w:rsidRDefault="00A75E6B">
      <w:pPr>
        <w:spacing w:before="240" w:after="36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 xml:space="preserve">“REVISIÓN EN AMPARO. LOS RESOLUTIVOS NO COMBATIDOS DEBEN DECLARARSE FIRMES. </w:t>
      </w:r>
      <w:r w:rsidRPr="009F4204">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DA678D" w:rsidRPr="009F4204" w:rsidRDefault="00A75E6B">
      <w:pPr>
        <w:spacing w:before="240" w:after="240" w:line="360" w:lineRule="auto"/>
        <w:jc w:val="both"/>
        <w:rPr>
          <w:rFonts w:ascii="Palatino Linotype" w:eastAsia="Palatino Linotype" w:hAnsi="Palatino Linotype" w:cs="Palatino Linotype"/>
        </w:rPr>
      </w:pPr>
      <w:bookmarkStart w:id="8" w:name="_heading=h.17dp8vu" w:colFirst="0" w:colLast="0"/>
      <w:bookmarkEnd w:id="8"/>
      <w:r w:rsidRPr="009F4204">
        <w:rPr>
          <w:rFonts w:ascii="Palatino Linotype" w:eastAsia="Palatino Linotype" w:hAnsi="Palatino Linotype" w:cs="Palatino Linotype"/>
        </w:rPr>
        <w:t>Consecuentemente, se insiste, ante la falta de impugnación eficaz, la respuesta entregada debe declararse consentida por persona solicitante.</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rsidR="00DA678D" w:rsidRPr="009F4204" w:rsidRDefault="00A75E6B">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 xml:space="preserve">Actos consentidos tácitamente. Improcedencia de su análisis. </w:t>
      </w:r>
      <w:r w:rsidRPr="009F4204">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rsidR="00DA678D" w:rsidRPr="009F4204" w:rsidRDefault="00A75E6B">
      <w:pPr>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mallCaps/>
          <w:sz w:val="22"/>
          <w:szCs w:val="22"/>
        </w:rPr>
        <w:t xml:space="preserve">“ACTOS CONSENTIDOS. SON LOS QUE NO SE IMPUGNAN MEDIANTE EL RECURSO IDÓNEO. </w:t>
      </w:r>
      <w:r w:rsidRPr="009F4204">
        <w:rPr>
          <w:rFonts w:ascii="Palatino Linotype" w:eastAsia="Palatino Linotype" w:hAnsi="Palatino Linotype" w:cs="Palatino Linotype"/>
          <w:i/>
          <w:sz w:val="22"/>
          <w:szCs w:val="22"/>
        </w:rPr>
        <w:t xml:space="preserve">Debe reputarse como consentido el acto que no se impugnó por el medio establecido por la ley, ya que si se hizo uso de otro no previsto por ella o si se hace una simple manifestación de inconformidad, tales </w:t>
      </w:r>
      <w:r w:rsidRPr="009F4204">
        <w:rPr>
          <w:rFonts w:ascii="Palatino Linotype" w:eastAsia="Palatino Linotype" w:hAnsi="Palatino Linotype" w:cs="Palatino Linotype"/>
          <w:i/>
          <w:sz w:val="22"/>
          <w:szCs w:val="22"/>
        </w:rPr>
        <w:lastRenderedPageBreak/>
        <w:t>actuaciones no producen efectos jurídicos tendientes a revocar, confirmar o modificar el acto reclamado en amparo, lo que significa consentimiento del mismo por falta de impugnación eficaz.”</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Por otro lado, una vez admitido el presente recurso de revisión, en términos del artículo 185 fracción II</w:t>
      </w:r>
      <w:r w:rsidRPr="009F4204">
        <w:rPr>
          <w:rFonts w:ascii="Palatino Linotype" w:eastAsia="Palatino Linotype" w:hAnsi="Palatino Linotype" w:cs="Palatino Linotype"/>
          <w:vertAlign w:val="superscript"/>
        </w:rPr>
        <w:footnoteReference w:id="1"/>
      </w:r>
      <w:r w:rsidRPr="009F4204">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En tal sentido, a través de la Directora de Desarrollo Social 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xml:space="preserve"> ratificó en lo sustancial la respuesta emitida en primera instancia, indicando que fue remitida toda la información que posee la unidad administrativa a su cargo, finalmente refirió que la persona solicitante debió esperar la respuesta por parte de la Tesorería Municipal.</w:t>
      </w:r>
    </w:p>
    <w:p w:rsidR="00DA678D" w:rsidRPr="009F4204" w:rsidRDefault="00A75E6B">
      <w:pPr>
        <w:spacing w:before="240" w:after="240" w:line="360" w:lineRule="auto"/>
        <w:ind w:right="51"/>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w:t>
      </w:r>
      <w:r w:rsidRPr="009F4204">
        <w:rPr>
          <w:rFonts w:ascii="Palatino Linotype" w:eastAsia="Palatino Linotype" w:hAnsi="Palatino Linotype" w:cs="Palatino Linotype"/>
        </w:rPr>
        <w:lastRenderedPageBreak/>
        <w:t>generada, obtenida, adquirida, transmitida, administrada o en posesión de los Sujetos Obligados es pública, y de manera excepcional puede ser clasificada.</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rsidR="00DA678D" w:rsidRPr="009F4204" w:rsidRDefault="00A75E6B">
      <w:pPr>
        <w:spacing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DA678D" w:rsidRPr="009F4204" w:rsidRDefault="00DA678D">
      <w:pPr>
        <w:ind w:left="851" w:right="899"/>
        <w:jc w:val="both"/>
        <w:rPr>
          <w:rFonts w:ascii="Palatino Linotype" w:eastAsia="Palatino Linotype" w:hAnsi="Palatino Linotype" w:cs="Palatino Linotype"/>
          <w:i/>
        </w:rPr>
      </w:pPr>
    </w:p>
    <w:p w:rsidR="00DA678D" w:rsidRPr="009F4204" w:rsidRDefault="00A75E6B">
      <w:pPr>
        <w:ind w:left="851" w:right="899"/>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 xml:space="preserve">Artículo 3. </w:t>
      </w:r>
      <w:r w:rsidRPr="009F4204">
        <w:rPr>
          <w:rFonts w:ascii="Palatino Linotype" w:eastAsia="Palatino Linotype" w:hAnsi="Palatino Linotype" w:cs="Palatino Linotype"/>
          <w:i/>
          <w:sz w:val="22"/>
          <w:szCs w:val="22"/>
        </w:rPr>
        <w:t>Para los efectos de la presente Ley se entenderá por:</w:t>
      </w:r>
    </w:p>
    <w:p w:rsidR="00DA678D" w:rsidRPr="009F4204" w:rsidRDefault="00A75E6B">
      <w:pPr>
        <w:ind w:left="1134" w:right="899"/>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p>
    <w:p w:rsidR="00DA678D" w:rsidRPr="009F4204" w:rsidRDefault="00A75E6B">
      <w:pPr>
        <w:ind w:left="1134" w:right="899"/>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XI. Documento:</w:t>
      </w:r>
      <w:r w:rsidRPr="009F4204">
        <w:rPr>
          <w:rFonts w:ascii="Palatino Linotype" w:eastAsia="Palatino Linotype" w:hAnsi="Palatino Linotype" w:cs="Palatino Linotype"/>
          <w:i/>
          <w:sz w:val="22"/>
          <w:szCs w:val="22"/>
        </w:rPr>
        <w:t xml:space="preserve"> Los expedientes, reportes, estudios, actas</w:t>
      </w:r>
      <w:r w:rsidRPr="009F4204">
        <w:rPr>
          <w:rFonts w:ascii="Palatino Linotype" w:eastAsia="Palatino Linotype" w:hAnsi="Palatino Linotype" w:cs="Palatino Linotype"/>
          <w:b/>
          <w:i/>
          <w:sz w:val="22"/>
          <w:szCs w:val="22"/>
        </w:rPr>
        <w:t>,</w:t>
      </w:r>
      <w:r w:rsidRPr="009F420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9F4204">
        <w:rPr>
          <w:rFonts w:ascii="Palatino Linotype" w:eastAsia="Palatino Linotype" w:hAnsi="Palatino Linotype" w:cs="Palatino Linotype"/>
          <w:i/>
          <w:sz w:val="22"/>
          <w:szCs w:val="22"/>
        </w:rPr>
        <w:lastRenderedPageBreak/>
        <w:t>cualquier medio, sea escrito, impreso, sonoro, visual, electrónico, informático u holográfico…” (Sic)</w:t>
      </w:r>
    </w:p>
    <w:p w:rsidR="00DA678D" w:rsidRPr="009F4204" w:rsidRDefault="00DA678D">
      <w:pPr>
        <w:ind w:left="851" w:right="899"/>
        <w:jc w:val="both"/>
        <w:rPr>
          <w:rFonts w:ascii="Palatino Linotype" w:eastAsia="Palatino Linotype" w:hAnsi="Palatino Linotype" w:cs="Palatino Linotype"/>
          <w:sz w:val="22"/>
          <w:szCs w:val="22"/>
        </w:rPr>
      </w:pPr>
    </w:p>
    <w:p w:rsidR="00DA678D" w:rsidRPr="009F4204" w:rsidRDefault="00A75E6B">
      <w:pPr>
        <w:spacing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DA678D" w:rsidRPr="009F4204" w:rsidRDefault="00DA678D">
      <w:pPr>
        <w:ind w:left="851" w:right="899"/>
        <w:jc w:val="both"/>
        <w:rPr>
          <w:rFonts w:ascii="Palatino Linotype" w:eastAsia="Palatino Linotype" w:hAnsi="Palatino Linotype" w:cs="Palatino Linotype"/>
        </w:rPr>
      </w:pPr>
    </w:p>
    <w:p w:rsidR="00DA678D" w:rsidRPr="009F4204" w:rsidRDefault="00A75E6B">
      <w:pPr>
        <w:ind w:left="851" w:right="899"/>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sz w:val="22"/>
          <w:szCs w:val="22"/>
        </w:rPr>
        <w:t>“</w:t>
      </w:r>
      <w:r w:rsidRPr="009F420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F420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A678D" w:rsidRPr="009F4204" w:rsidRDefault="00A75E6B">
      <w:pPr>
        <w:ind w:left="851" w:right="899"/>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En consecuencia el acceso a la información se refiere a que se cumplan cualquiera de los siguientes tres supuestos:</w:t>
      </w:r>
    </w:p>
    <w:p w:rsidR="00DA678D" w:rsidRPr="009F4204" w:rsidRDefault="00A75E6B">
      <w:pPr>
        <w:ind w:left="1134" w:right="899"/>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DA678D" w:rsidRPr="009F4204" w:rsidRDefault="00A75E6B">
      <w:pPr>
        <w:ind w:left="1134" w:right="899"/>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DA678D" w:rsidRPr="009F4204" w:rsidRDefault="00A75E6B">
      <w:pPr>
        <w:ind w:left="1134" w:right="899"/>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DA678D" w:rsidRPr="009F4204" w:rsidRDefault="00A75E6B">
      <w:pPr>
        <w:spacing w:before="240" w:after="240" w:line="360" w:lineRule="auto"/>
        <w:ind w:right="51"/>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w:t>
      </w:r>
      <w:r w:rsidRPr="009F4204">
        <w:rPr>
          <w:rFonts w:ascii="Palatino Linotype" w:eastAsia="Palatino Linotype" w:hAnsi="Palatino Linotype" w:cs="Palatino Linotype"/>
        </w:rPr>
        <w:lastRenderedPageBreak/>
        <w:t>transparencia y la versión pública que emita el servidor público habilitado de cada Sujeto Obligado; como así se establece en la Ley de Transparencia y Acceso a la Información Pública del Estado de México y Municipios.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En tal sentido, en primer lugar resulta de suma importancia invocar el contenido de los artículos 162, 163, 164 y 165 de la Ley de Transparencia y Acceso a la Información Pública del Estado de México y Municipios, que rezan así:</w:t>
      </w:r>
    </w:p>
    <w:p w:rsidR="00DA678D" w:rsidRPr="009F4204" w:rsidRDefault="00A75E6B">
      <w:pPr>
        <w:spacing w:after="12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162.</w:t>
      </w:r>
      <w:r w:rsidRPr="009F4204">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rsidR="00DA678D" w:rsidRPr="009F4204" w:rsidRDefault="00A75E6B">
      <w:pPr>
        <w:spacing w:after="12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163.</w:t>
      </w:r>
      <w:r w:rsidRPr="009F4204">
        <w:rPr>
          <w:rFonts w:ascii="Palatino Linotype" w:eastAsia="Palatino Linotype" w:hAnsi="Palatino Linotype" w:cs="Palatino Linotype"/>
          <w:i/>
          <w:sz w:val="22"/>
          <w:szCs w:val="22"/>
        </w:rPr>
        <w:t xml:space="preserve"> La </w:t>
      </w:r>
      <w:r w:rsidRPr="009F4204">
        <w:rPr>
          <w:rFonts w:ascii="Palatino Linotype" w:eastAsia="Palatino Linotype" w:hAnsi="Palatino Linotype" w:cs="Palatino Linotype"/>
          <w:b/>
          <w:i/>
          <w:sz w:val="22"/>
          <w:szCs w:val="22"/>
        </w:rPr>
        <w:t>Unidad de Transparencia deberá notificar la respuesta a la solicitud al interesado en el menor tiempo posible</w:t>
      </w:r>
      <w:r w:rsidRPr="009F4204">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rsidR="00DA678D" w:rsidRPr="009F4204" w:rsidRDefault="00A75E6B">
      <w:pPr>
        <w:spacing w:after="12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DA678D" w:rsidRPr="009F4204" w:rsidRDefault="00A75E6B">
      <w:pPr>
        <w:spacing w:after="12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164.</w:t>
      </w:r>
      <w:r w:rsidRPr="009F4204">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DA678D" w:rsidRPr="009F4204" w:rsidRDefault="00A75E6B">
      <w:pPr>
        <w:spacing w:after="12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 xml:space="preserve">En cualquier caso, se deberá fundar y motivar la necesidad de ofrecer otras modalidades.  </w:t>
      </w:r>
    </w:p>
    <w:p w:rsidR="00DA678D" w:rsidRPr="009F4204" w:rsidRDefault="00A75E6B">
      <w:pPr>
        <w:spacing w:after="12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165.</w:t>
      </w:r>
      <w:r w:rsidRPr="009F4204">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Siendo la Unidad de Transparencia la responsable de hacer las notificaciones correspondientes, además de llevar a </w:t>
      </w:r>
      <w:proofErr w:type="gramStart"/>
      <w:r w:rsidRPr="009F4204">
        <w:rPr>
          <w:rFonts w:ascii="Palatino Linotype" w:eastAsia="Palatino Linotype" w:hAnsi="Palatino Linotype" w:cs="Palatino Linotype"/>
        </w:rPr>
        <w:t>cabo</w:t>
      </w:r>
      <w:r w:rsidR="000A252D" w:rsidRPr="009F4204">
        <w:rPr>
          <w:rFonts w:ascii="Palatino Linotype" w:eastAsia="Palatino Linotype" w:hAnsi="Palatino Linotype" w:cs="Palatino Linotype"/>
        </w:rPr>
        <w:t xml:space="preserve"> </w:t>
      </w:r>
      <w:r w:rsidRPr="009F4204">
        <w:rPr>
          <w:rFonts w:ascii="Palatino Linotype" w:eastAsia="Palatino Linotype" w:hAnsi="Palatino Linotype" w:cs="Palatino Linotype"/>
        </w:rPr>
        <w:t>todas</w:t>
      </w:r>
      <w:proofErr w:type="gramEnd"/>
      <w:r w:rsidRPr="009F4204">
        <w:rPr>
          <w:rFonts w:ascii="Palatino Linotype" w:eastAsia="Palatino Linotype" w:hAnsi="Palatino Linotype" w:cs="Palatino Linotype"/>
        </w:rPr>
        <w:t xml:space="preserve"> las gestiones necesarias para facilitar el acceso a la información; así la respuesta deberá ser notificada al interesado en el menor tiempo posible, que no podrá exceder de quince días hábiles, contados a partir de la presentación de la solicitud.</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En el caso concreto, derivado de las constancias que obran en el expediente electrónico en el que se actúa, se advierte que el Titular de la Unidad de Transparencia turnó la solicitud de información a Directora de Desarrollo Social, como se muestra a continuación:</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noProof/>
        </w:rPr>
        <w:lastRenderedPageBreak/>
        <w:drawing>
          <wp:inline distT="0" distB="0" distL="0" distR="0" wp14:anchorId="66A2084F" wp14:editId="7125AF2A">
            <wp:extent cx="5607050" cy="824230"/>
            <wp:effectExtent l="0" t="0" r="0" b="0"/>
            <wp:docPr id="1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07050" cy="824230"/>
                    </a:xfrm>
                    <a:prstGeom prst="rect">
                      <a:avLst/>
                    </a:prstGeom>
                    <a:ln/>
                  </pic:spPr>
                </pic:pic>
              </a:graphicData>
            </a:graphic>
          </wp:inline>
        </w:drawing>
      </w:r>
      <w:r w:rsidRPr="009F4204">
        <w:rPr>
          <w:noProof/>
        </w:rPr>
        <mc:AlternateContent>
          <mc:Choice Requires="wpg">
            <w:drawing>
              <wp:anchor distT="0" distB="0" distL="114300" distR="114300" simplePos="0" relativeHeight="251658240" behindDoc="0" locked="0" layoutInCell="1" hidden="0" allowOverlap="1" wp14:anchorId="4DBDD0BF" wp14:editId="05FE1E36">
                <wp:simplePos x="0" y="0"/>
                <wp:positionH relativeFrom="column">
                  <wp:posOffset>901700</wp:posOffset>
                </wp:positionH>
                <wp:positionV relativeFrom="paragraph">
                  <wp:posOffset>355600</wp:posOffset>
                </wp:positionV>
                <wp:extent cx="428625" cy="238125"/>
                <wp:effectExtent l="0" t="0" r="0" b="0"/>
                <wp:wrapNone/>
                <wp:docPr id="115" name="Conector recto de flecha 115"/>
                <wp:cNvGraphicFramePr/>
                <a:graphic xmlns:a="http://schemas.openxmlformats.org/drawingml/2006/main">
                  <a:graphicData uri="http://schemas.microsoft.com/office/word/2010/wordprocessingShape">
                    <wps:wsp>
                      <wps:cNvCnPr/>
                      <wps:spPr>
                        <a:xfrm rot="10800000" flipH="1">
                          <a:off x="5160263" y="3689513"/>
                          <a:ext cx="371475" cy="180975"/>
                        </a:xfrm>
                        <a:prstGeom prst="straightConnector1">
                          <a:avLst/>
                        </a:prstGeom>
                        <a:noFill/>
                        <a:ln w="5715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901700</wp:posOffset>
                </wp:positionH>
                <wp:positionV relativeFrom="paragraph">
                  <wp:posOffset>355600</wp:posOffset>
                </wp:positionV>
                <wp:extent cx="428625" cy="238125"/>
                <wp:effectExtent b="0" l="0" r="0" t="0"/>
                <wp:wrapNone/>
                <wp:docPr id="115"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428625" cy="238125"/>
                        </a:xfrm>
                        <a:prstGeom prst="rect"/>
                        <a:ln/>
                      </pic:spPr>
                    </pic:pic>
                  </a:graphicData>
                </a:graphic>
              </wp:anchor>
            </w:drawing>
          </mc:Fallback>
        </mc:AlternateContent>
      </w:r>
    </w:p>
    <w:p w:rsidR="00DA678D" w:rsidRPr="009F4204" w:rsidRDefault="00A75E6B">
      <w:pPr>
        <w:spacing w:before="240" w:after="240" w:line="360" w:lineRule="auto"/>
        <w:jc w:val="center"/>
        <w:rPr>
          <w:rFonts w:ascii="Palatino Linotype" w:eastAsia="Palatino Linotype" w:hAnsi="Palatino Linotype" w:cs="Palatino Linotype"/>
        </w:rPr>
      </w:pPr>
      <w:r w:rsidRPr="009F4204">
        <w:rPr>
          <w:rFonts w:ascii="Palatino Linotype" w:eastAsia="Palatino Linotype" w:hAnsi="Palatino Linotype" w:cs="Palatino Linotype"/>
          <w:noProof/>
        </w:rPr>
        <w:drawing>
          <wp:inline distT="0" distB="0" distL="0" distR="0" wp14:anchorId="00D9A389" wp14:editId="38636ECD">
            <wp:extent cx="3600000" cy="1791386"/>
            <wp:effectExtent l="0" t="0" r="0" b="0"/>
            <wp:docPr id="1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600000" cy="1791386"/>
                    </a:xfrm>
                    <a:prstGeom prst="rect">
                      <a:avLst/>
                    </a:prstGeom>
                    <a:ln/>
                  </pic:spPr>
                </pic:pic>
              </a:graphicData>
            </a:graphic>
          </wp:inline>
        </w:drawing>
      </w:r>
      <w:r w:rsidRPr="009F4204">
        <w:rPr>
          <w:noProof/>
        </w:rPr>
        <mc:AlternateContent>
          <mc:Choice Requires="wpg">
            <w:drawing>
              <wp:anchor distT="0" distB="0" distL="114300" distR="114300" simplePos="0" relativeHeight="251659264" behindDoc="0" locked="0" layoutInCell="1" hidden="0" allowOverlap="1" wp14:anchorId="599E7282" wp14:editId="2E9BC7D5">
                <wp:simplePos x="0" y="0"/>
                <wp:positionH relativeFrom="column">
                  <wp:posOffset>711200</wp:posOffset>
                </wp:positionH>
                <wp:positionV relativeFrom="paragraph">
                  <wp:posOffset>1422400</wp:posOffset>
                </wp:positionV>
                <wp:extent cx="457200" cy="102869"/>
                <wp:effectExtent l="0" t="0" r="0" b="0"/>
                <wp:wrapNone/>
                <wp:docPr id="116" name="Conector recto de flecha 116"/>
                <wp:cNvGraphicFramePr/>
                <a:graphic xmlns:a="http://schemas.openxmlformats.org/drawingml/2006/main">
                  <a:graphicData uri="http://schemas.microsoft.com/office/word/2010/wordprocessingShape">
                    <wps:wsp>
                      <wps:cNvCnPr/>
                      <wps:spPr>
                        <a:xfrm>
                          <a:off x="5145975" y="3757141"/>
                          <a:ext cx="400050" cy="45719"/>
                        </a:xfrm>
                        <a:prstGeom prst="straightConnector1">
                          <a:avLst/>
                        </a:prstGeom>
                        <a:noFill/>
                        <a:ln w="57150" cap="flat" cmpd="sng">
                          <a:solidFill>
                            <a:srgbClr val="C00000"/>
                          </a:solidFill>
                          <a:prstDash val="solid"/>
                          <a:round/>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711200</wp:posOffset>
                </wp:positionH>
                <wp:positionV relativeFrom="paragraph">
                  <wp:posOffset>1422400</wp:posOffset>
                </wp:positionV>
                <wp:extent cx="457200" cy="102869"/>
                <wp:effectExtent b="0" l="0" r="0" t="0"/>
                <wp:wrapNone/>
                <wp:docPr id="116"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457200" cy="102869"/>
                        </a:xfrm>
                        <a:prstGeom prst="rect"/>
                        <a:ln/>
                      </pic:spPr>
                    </pic:pic>
                  </a:graphicData>
                </a:graphic>
              </wp:anchor>
            </w:drawing>
          </mc:Fallback>
        </mc:AlternateConten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Cabe mencionar que, de conformidad con el artículo 369 del Bando Municipal de Huehuetoca, la Dirección de Desarrollo Social es la encargada de planear, coordinar, dirigir, ejecutar y evaluar las acciones e infraestructura en materia de programas sociales en beneficio de los </w:t>
      </w:r>
      <w:proofErr w:type="spellStart"/>
      <w:r w:rsidRPr="009F4204">
        <w:rPr>
          <w:rFonts w:ascii="Palatino Linotype" w:eastAsia="Palatino Linotype" w:hAnsi="Palatino Linotype" w:cs="Palatino Linotype"/>
        </w:rPr>
        <w:t>Huehuetoquenses</w:t>
      </w:r>
      <w:proofErr w:type="spellEnd"/>
      <w:r w:rsidRPr="009F4204">
        <w:rPr>
          <w:rFonts w:ascii="Palatino Linotype" w:eastAsia="Palatino Linotype" w:hAnsi="Palatino Linotype" w:cs="Palatino Linotype"/>
        </w:rPr>
        <w:t>, con la finalidad de conducir una política social que fomente, la solidaridad, la inclusión, la equidad de género y la igualdad de oportunidades a través de la creación programas municipales, sociales encaminados al mejoramiento de vida de todos los grupos vulnerables, para lo cual, se le confieren las siguientes atribuciones en el artículo 371 del Bando:</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Artículo 371.</w:t>
      </w:r>
      <w:r w:rsidRPr="009F4204">
        <w:rPr>
          <w:rFonts w:ascii="Palatino Linotype" w:eastAsia="Palatino Linotype" w:hAnsi="Palatino Linotype" w:cs="Palatino Linotype"/>
          <w:i/>
          <w:sz w:val="22"/>
          <w:szCs w:val="22"/>
        </w:rPr>
        <w:t xml:space="preserve">- La </w:t>
      </w:r>
      <w:r w:rsidRPr="009F4204">
        <w:rPr>
          <w:rFonts w:ascii="Palatino Linotype" w:eastAsia="Palatino Linotype" w:hAnsi="Palatino Linotype" w:cs="Palatino Linotype"/>
          <w:b/>
          <w:i/>
          <w:sz w:val="22"/>
          <w:szCs w:val="22"/>
        </w:rPr>
        <w:t>Dirección de Desarrollo Social</w:t>
      </w:r>
      <w:r w:rsidRPr="009F4204">
        <w:rPr>
          <w:rFonts w:ascii="Palatino Linotype" w:eastAsia="Palatino Linotype" w:hAnsi="Palatino Linotype" w:cs="Palatino Linotype"/>
          <w:i/>
          <w:sz w:val="22"/>
          <w:szCs w:val="22"/>
        </w:rPr>
        <w:t xml:space="preserve"> tiene las siguientes atribuciones.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w:t>
      </w:r>
      <w:r w:rsidRPr="009F4204">
        <w:rPr>
          <w:rFonts w:ascii="Palatino Linotype" w:eastAsia="Palatino Linotype" w:hAnsi="Palatino Linotype" w:cs="Palatino Linotype"/>
          <w:i/>
          <w:sz w:val="22"/>
          <w:szCs w:val="22"/>
        </w:rPr>
        <w:t xml:space="preserve"> Desarrollar estrategias y acciones encaminadas a ayudar a disminuir los índices de pobreza en el Municipio;</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II.</w:t>
      </w:r>
      <w:r w:rsidRPr="009F4204">
        <w:rPr>
          <w:rFonts w:ascii="Palatino Linotype" w:eastAsia="Palatino Linotype" w:hAnsi="Palatino Linotype" w:cs="Palatino Linotype"/>
          <w:i/>
          <w:sz w:val="22"/>
          <w:szCs w:val="22"/>
        </w:rPr>
        <w:t xml:space="preserve"> Gestionar ante los sectores públicos y privados, apoyos destinados a la población con rasgos de vulnerabilidad dentro del municipio y con ello contribuir a reducir su condición desfavorable;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lastRenderedPageBreak/>
        <w:t>III.</w:t>
      </w:r>
      <w:r w:rsidRPr="009F4204">
        <w:rPr>
          <w:rFonts w:ascii="Palatino Linotype" w:eastAsia="Palatino Linotype" w:hAnsi="Palatino Linotype" w:cs="Palatino Linotype"/>
          <w:i/>
          <w:sz w:val="22"/>
          <w:szCs w:val="22"/>
        </w:rPr>
        <w:t xml:space="preserve"> Establecer las acciones que se deriven de los convenios con los gobiernos federal y estatal, cuyo objeto sea el bienestar social en el municipio;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IV.</w:t>
      </w:r>
      <w:r w:rsidRPr="009F4204">
        <w:rPr>
          <w:rFonts w:ascii="Palatino Linotype" w:eastAsia="Palatino Linotype" w:hAnsi="Palatino Linotype" w:cs="Palatino Linotype"/>
          <w:i/>
          <w:sz w:val="22"/>
          <w:szCs w:val="22"/>
        </w:rPr>
        <w:t xml:space="preserve"> Gestionar, coordinar y en los casos que se requiera, operar los programas sociales y especiales, que implementen los Gobiernos Federal, Estatal y Municipal;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w:t>
      </w:r>
      <w:r w:rsidRPr="009F4204">
        <w:rPr>
          <w:rFonts w:ascii="Palatino Linotype" w:eastAsia="Palatino Linotype" w:hAnsi="Palatino Linotype" w:cs="Palatino Linotype"/>
          <w:i/>
          <w:sz w:val="22"/>
          <w:szCs w:val="22"/>
        </w:rPr>
        <w:t xml:space="preserve"> Verificar la operatividad y ejecución de las gestiones y/o programas sociales municipales en términos de lo establecido en la Ley de General de Desarrollo social;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w:t>
      </w:r>
      <w:r w:rsidRPr="009F4204">
        <w:rPr>
          <w:rFonts w:ascii="Palatino Linotype" w:eastAsia="Palatino Linotype" w:hAnsi="Palatino Linotype" w:cs="Palatino Linotype"/>
          <w:i/>
          <w:sz w:val="22"/>
          <w:szCs w:val="22"/>
        </w:rPr>
        <w:t xml:space="preserve"> Apoyar la coordinación de los programas y servicios de salud de las dependencias federales o estatales dentro del territorio municipal y de los convenios que al efecto se celebren; y</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VII.</w:t>
      </w:r>
      <w:r w:rsidRPr="009F4204">
        <w:rPr>
          <w:rFonts w:ascii="Palatino Linotype" w:eastAsia="Palatino Linotype" w:hAnsi="Palatino Linotype" w:cs="Palatino Linotype"/>
          <w:i/>
          <w:sz w:val="22"/>
          <w:szCs w:val="22"/>
        </w:rPr>
        <w:t xml:space="preserve"> Las demás que se señalen en las Leyes y Reglamentos vigentes aplicables, así como las que le encomiende el Ayuntamiento.”</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Del precepto citado no se advierte que la Dirección de Desarrollo Social cuente con atribuciones para generar, administrar o poseer contratos o pólizas toda vez que no tiene a su cargo los procesos de adquisición de bienes y/o servicios así como tampoco se encarga de controlar los egresos de los recursos públicos.</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Por otro lado, el artículo 185 del Bando Municipal de Huehuetoca, señala que la Tesorería Municipal es la dependencia administrativa, encargada de la recaudación de los ingresos municipales y </w:t>
      </w:r>
      <w:r w:rsidRPr="009F4204">
        <w:rPr>
          <w:rFonts w:ascii="Palatino Linotype" w:eastAsia="Palatino Linotype" w:hAnsi="Palatino Linotype" w:cs="Palatino Linotype"/>
          <w:b/>
        </w:rPr>
        <w:t>responsable de realizar las erogaciones que haga el Ayuntamiento</w:t>
      </w:r>
      <w:r w:rsidRPr="009F4204">
        <w:rPr>
          <w:rFonts w:ascii="Palatino Linotype" w:eastAsia="Palatino Linotype" w:hAnsi="Palatino Linotype" w:cs="Palatino Linotype"/>
        </w:rPr>
        <w:t xml:space="preserve">, por conducto de las dependencias, de conformidad con las disposiciones legales aplicables, </w:t>
      </w:r>
      <w:r w:rsidRPr="009F4204">
        <w:rPr>
          <w:rFonts w:ascii="Palatino Linotype" w:eastAsia="Palatino Linotype" w:hAnsi="Palatino Linotype" w:cs="Palatino Linotype"/>
          <w:b/>
        </w:rPr>
        <w:t>teniendo como finalidad administrar la Hacienda Pública Municipal</w:t>
      </w:r>
      <w:r w:rsidRPr="009F4204">
        <w:rPr>
          <w:rFonts w:ascii="Palatino Linotype" w:eastAsia="Palatino Linotype" w:hAnsi="Palatino Linotype" w:cs="Palatino Linotype"/>
        </w:rPr>
        <w:t xml:space="preserve">, de manera ordenada, eficaz, eficiente, honrada y transparente, enfocada a crear una cultura de pago, que se refleje en servicios que eleven la calidad de vida de los </w:t>
      </w:r>
      <w:proofErr w:type="spellStart"/>
      <w:r w:rsidRPr="009F4204">
        <w:rPr>
          <w:rFonts w:ascii="Palatino Linotype" w:eastAsia="Palatino Linotype" w:hAnsi="Palatino Linotype" w:cs="Palatino Linotype"/>
        </w:rPr>
        <w:t>Huehuetoquenses</w:t>
      </w:r>
      <w:proofErr w:type="spellEnd"/>
      <w:r w:rsidRPr="009F4204">
        <w:rPr>
          <w:rFonts w:ascii="Palatino Linotype" w:eastAsia="Palatino Linotype" w:hAnsi="Palatino Linotype" w:cs="Palatino Linotype"/>
        </w:rPr>
        <w:t>.</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lastRenderedPageBreak/>
        <w:t>En materia de egresos, la Tesorería Municipal se auxilia de la Sub Tesorería de Egresos, unidad administrativa que, de conformidad con el artículo 187 del Bando, cuenta con las siguientes atribuciones:</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Artículo 187</w:t>
      </w:r>
      <w:r w:rsidRPr="009F4204">
        <w:rPr>
          <w:rFonts w:ascii="Palatino Linotype" w:eastAsia="Palatino Linotype" w:hAnsi="Palatino Linotype" w:cs="Palatino Linotype"/>
          <w:i/>
          <w:sz w:val="22"/>
          <w:szCs w:val="22"/>
        </w:rPr>
        <w:t xml:space="preserve">.- La Tesorería Municipal para su buen funcionamiento en materia de egresos, tendrá a su cargo: </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B). Sub Tesorería de Egresos,</w:t>
      </w:r>
      <w:r w:rsidRPr="009F4204">
        <w:rPr>
          <w:rFonts w:ascii="Palatino Linotype" w:eastAsia="Palatino Linotype" w:hAnsi="Palatino Linotype" w:cs="Palatino Linotype"/>
          <w:i/>
          <w:sz w:val="22"/>
          <w:szCs w:val="22"/>
        </w:rPr>
        <w:t xml:space="preserve"> quien tendrá las siguientes facultades:</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w:t>
      </w:r>
      <w:r w:rsidRPr="009F4204">
        <w:rPr>
          <w:rFonts w:ascii="Palatino Linotype" w:eastAsia="Palatino Linotype" w:hAnsi="Palatino Linotype" w:cs="Palatino Linotype"/>
          <w:i/>
          <w:sz w:val="22"/>
          <w:szCs w:val="22"/>
        </w:rPr>
        <w:t xml:space="preserve">. Aprobar y aplicar los mecanismos y lineamientos para la aplicación y control del gasto corriente y de inversión, con base a lo establecido en los ordenamientos jurídicos y normatividad vigente;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II</w:t>
      </w:r>
      <w:r w:rsidRPr="009F4204">
        <w:rPr>
          <w:rFonts w:ascii="Palatino Linotype" w:eastAsia="Palatino Linotype" w:hAnsi="Palatino Linotype" w:cs="Palatino Linotype"/>
          <w:i/>
          <w:sz w:val="22"/>
          <w:szCs w:val="22"/>
        </w:rPr>
        <w:t>. Realizar una programación de pagos con cargo al presupuesto de egresos autorizado;</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III.</w:t>
      </w:r>
      <w:r w:rsidRPr="009F4204">
        <w:rPr>
          <w:rFonts w:ascii="Palatino Linotype" w:eastAsia="Palatino Linotype" w:hAnsi="Palatino Linotype" w:cs="Palatino Linotype"/>
          <w:i/>
          <w:sz w:val="22"/>
          <w:szCs w:val="22"/>
        </w:rPr>
        <w:t xml:space="preserve"> Coordinar con el área de la UIPPE mecanismos de control para la integración del Presupuesto de Egresos Basado en Resultados, así como establecer normas y procedimientos para el ejercicio y control del gasto;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IV. Elaborar mecanismos para regular el pago a proveedores y contratistas de bienes y servicios y obligaciones tributarias, previa autorización del titular de la Tesorería Municipal</w:t>
      </w:r>
      <w:r w:rsidRPr="009F4204">
        <w:rPr>
          <w:rFonts w:ascii="Palatino Linotype" w:eastAsia="Palatino Linotype" w:hAnsi="Palatino Linotype" w:cs="Palatino Linotype"/>
          <w:i/>
          <w:sz w:val="22"/>
          <w:szCs w:val="22"/>
        </w:rPr>
        <w:t xml:space="preserve">;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w:t>
      </w:r>
      <w:r w:rsidRPr="009F4204">
        <w:rPr>
          <w:rFonts w:ascii="Palatino Linotype" w:eastAsia="Palatino Linotype" w:hAnsi="Palatino Linotype" w:cs="Palatino Linotype"/>
          <w:i/>
          <w:sz w:val="22"/>
          <w:szCs w:val="22"/>
        </w:rPr>
        <w:t xml:space="preserve"> Vigilar el adecuado manejo de las cuentas bancarias;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w:t>
      </w:r>
      <w:r w:rsidRPr="009F4204">
        <w:rPr>
          <w:rFonts w:ascii="Palatino Linotype" w:eastAsia="Palatino Linotype" w:hAnsi="Palatino Linotype" w:cs="Palatino Linotype"/>
          <w:i/>
          <w:sz w:val="22"/>
          <w:szCs w:val="22"/>
        </w:rPr>
        <w:t xml:space="preserve"> Coordinar y supervisar la elaboración de los informes financieros trimestrales y la cuenta pública anual, revisando que su integración y soporte se lleve a cabo conforme a las disposiciones legales aplicables;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VII.</w:t>
      </w:r>
      <w:r w:rsidRPr="009F4204">
        <w:rPr>
          <w:rFonts w:ascii="Palatino Linotype" w:eastAsia="Palatino Linotype" w:hAnsi="Palatino Linotype" w:cs="Palatino Linotype"/>
          <w:i/>
          <w:sz w:val="22"/>
          <w:szCs w:val="22"/>
        </w:rPr>
        <w:t xml:space="preserve"> Presentar al Tesorero Municipal los informes trimestrales y la cuenta pública anual para su validación y aprobación;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VIII</w:t>
      </w:r>
      <w:r w:rsidRPr="009F4204">
        <w:rPr>
          <w:rFonts w:ascii="Palatino Linotype" w:eastAsia="Palatino Linotype" w:hAnsi="Palatino Linotype" w:cs="Palatino Linotype"/>
          <w:i/>
          <w:sz w:val="22"/>
          <w:szCs w:val="22"/>
        </w:rPr>
        <w:t xml:space="preserve">. Supervisión y seguimiento en la integración del presupuesto de egresos;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IX.</w:t>
      </w:r>
      <w:r w:rsidRPr="009F4204">
        <w:rPr>
          <w:rFonts w:ascii="Palatino Linotype" w:eastAsia="Palatino Linotype" w:hAnsi="Palatino Linotype" w:cs="Palatino Linotype"/>
          <w:i/>
          <w:sz w:val="22"/>
          <w:szCs w:val="22"/>
        </w:rPr>
        <w:t xml:space="preserve"> Supervisión y seguimiento en el manejo y control de la nómina; y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X</w:t>
      </w:r>
      <w:r w:rsidRPr="009F4204">
        <w:rPr>
          <w:rFonts w:ascii="Palatino Linotype" w:eastAsia="Palatino Linotype" w:hAnsi="Palatino Linotype" w:cs="Palatino Linotype"/>
          <w:i/>
          <w:sz w:val="22"/>
          <w:szCs w:val="22"/>
        </w:rPr>
        <w:t xml:space="preserve">. Las demás actividades que instruyan el Presidente Municipal o el Tesorero Municipal en el ámbito de sus atribuciones. </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Mientras que el artículo 400 del referido Bando, dispone que es la Dirección de Administración la dependencia responsable de administrar los recursos humanos, materiales, tecnológicos, financieros, y de servicios de la estructura administrativa </w:t>
      </w:r>
      <w:r w:rsidRPr="009F4204">
        <w:rPr>
          <w:rFonts w:ascii="Palatino Linotype" w:eastAsia="Palatino Linotype" w:hAnsi="Palatino Linotype" w:cs="Palatino Linotype"/>
        </w:rPr>
        <w:lastRenderedPageBreak/>
        <w:t>que conforma la Administración Pública Municipal, y asignará a esta, previa autorización del Presidente Municipal, el personal que cumpla con los perfiles que las áreas requieran para el cumplimiento de sus cargos; cumplirá con todas las atribuciones que le otorguen las disposiciones legales que regulen sus funciones</w:t>
      </w:r>
      <w:r w:rsidRPr="009F4204">
        <w:t>,</w:t>
      </w:r>
      <w:r w:rsidRPr="009F4204">
        <w:rPr>
          <w:rFonts w:ascii="Palatino Linotype" w:eastAsia="Palatino Linotype" w:hAnsi="Palatino Linotype" w:cs="Palatino Linotype"/>
        </w:rPr>
        <w:t xml:space="preserve"> para lo cual se le confieren las atribuciones que señala el artículo 401 del referido Bando, mismas que en su parte conducente, son las siguientes:</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Artículo 402</w:t>
      </w:r>
      <w:r w:rsidRPr="009F4204">
        <w:rPr>
          <w:rFonts w:ascii="Palatino Linotype" w:eastAsia="Palatino Linotype" w:hAnsi="Palatino Linotype" w:cs="Palatino Linotype"/>
          <w:i/>
          <w:sz w:val="22"/>
          <w:szCs w:val="22"/>
        </w:rPr>
        <w:t>.- La Dirección de Administración tiene las siguientes atribuciones:</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w:t>
      </w:r>
      <w:r w:rsidRPr="009F4204">
        <w:rPr>
          <w:rFonts w:ascii="Palatino Linotype" w:eastAsia="Palatino Linotype" w:hAnsi="Palatino Linotype" w:cs="Palatino Linotype"/>
          <w:i/>
          <w:sz w:val="22"/>
          <w:szCs w:val="22"/>
        </w:rPr>
        <w:t xml:space="preserve">. Formar parte del Comité de Adquisiciones de Bienes y Servicios del Ayuntamiento de Huehuetoca, así como asistir a las sesiones del mismo;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II.</w:t>
      </w:r>
      <w:r w:rsidRPr="009F4204">
        <w:rPr>
          <w:rFonts w:ascii="Palatino Linotype" w:eastAsia="Palatino Linotype" w:hAnsi="Palatino Linotype" w:cs="Palatino Linotype"/>
          <w:i/>
          <w:sz w:val="22"/>
          <w:szCs w:val="22"/>
        </w:rPr>
        <w:t xml:space="preserve"> Dar cumplimiento a los lineamientos mínimos establecido en la Ley de Contratación Pública del Estado de México y Municipios, en cuanto hace a las atribuciones que tiene el Comité de Adquisiciones de Bienes y Servicios del Ayuntamiento de Huehuetoca;</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 Celebrar los contratos en representación del Municipio de Adquisiciones, Arrendamientos y Servicios para la Administración</w:t>
      </w:r>
      <w:r w:rsidRPr="009F4204">
        <w:rPr>
          <w:rFonts w:ascii="Palatino Linotype" w:eastAsia="Palatino Linotype" w:hAnsi="Palatino Linotype" w:cs="Palatino Linotype"/>
          <w:i/>
          <w:sz w:val="22"/>
          <w:szCs w:val="22"/>
        </w:rPr>
        <w:t xml:space="preserve">, previa </w:t>
      </w:r>
      <w:proofErr w:type="spellStart"/>
      <w:r w:rsidRPr="009F4204">
        <w:rPr>
          <w:rFonts w:ascii="Palatino Linotype" w:eastAsia="Palatino Linotype" w:hAnsi="Palatino Linotype" w:cs="Palatino Linotype"/>
          <w:i/>
          <w:sz w:val="22"/>
          <w:szCs w:val="22"/>
        </w:rPr>
        <w:t>presupuestación</w:t>
      </w:r>
      <w:proofErr w:type="spellEnd"/>
      <w:r w:rsidRPr="009F4204">
        <w:rPr>
          <w:rFonts w:ascii="Palatino Linotype" w:eastAsia="Palatino Linotype" w:hAnsi="Palatino Linotype" w:cs="Palatino Linotype"/>
          <w:i/>
          <w:sz w:val="22"/>
          <w:szCs w:val="22"/>
        </w:rPr>
        <w:t xml:space="preserve"> y de conformidad con las leyes aplicables a la materia;</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w:t>
      </w:r>
      <w:r w:rsidRPr="009F4204">
        <w:rPr>
          <w:rFonts w:ascii="Palatino Linotype" w:eastAsia="Palatino Linotype" w:hAnsi="Palatino Linotype" w:cs="Palatino Linotype"/>
          <w:i/>
          <w:sz w:val="22"/>
          <w:szCs w:val="22"/>
        </w:rPr>
        <w:t xml:space="preserve"> Vigilar los procedimientos de adjudicación que realice el Comité de Adquisiciones;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VII.</w:t>
      </w:r>
      <w:r w:rsidRPr="009F4204">
        <w:rPr>
          <w:rFonts w:ascii="Palatino Linotype" w:eastAsia="Palatino Linotype" w:hAnsi="Palatino Linotype" w:cs="Palatino Linotype"/>
          <w:i/>
          <w:sz w:val="22"/>
          <w:szCs w:val="22"/>
        </w:rPr>
        <w:t xml:space="preserve"> Programar conjuntamente con las dependencias que conforman la Administración Pública Municipal, el programa de adquisiciones, arrendamientos y servicios, conforme a lo dispuesto en el Plan de Desarrollo Municipal y en el Presupuesto de Egresos;”</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Con base en lo anterior, se advierte que las áreas que cuentan con atribuciones para generar, administrar o poseer información relacionada con los contratos relacionados con el programa de despensas “Huehuetoca cerca de Ti”, así como las pólizas son la Dirección de Administración y la Tesorería Municipal, no obstante, tomando en consideración las constancias que obran en el expediente electrónico, </w:t>
      </w:r>
      <w:r w:rsidRPr="009F4204">
        <w:rPr>
          <w:rFonts w:ascii="Palatino Linotype" w:eastAsia="Palatino Linotype" w:hAnsi="Palatino Linotype" w:cs="Palatino Linotype"/>
        </w:rPr>
        <w:lastRenderedPageBreak/>
        <w:t>es de señalar que no se advirtió registro alguno que indique que la Unidad de Transparencia hubiera turnado la solicitud de información a dichas áreas para su atención, en observancia de lo previsto en los artículos 53 fracción II</w:t>
      </w:r>
      <w:r w:rsidRPr="009F4204">
        <w:rPr>
          <w:rFonts w:ascii="Palatino Linotype" w:eastAsia="Palatino Linotype" w:hAnsi="Palatino Linotype" w:cs="Palatino Linotype"/>
          <w:vertAlign w:val="superscript"/>
        </w:rPr>
        <w:footnoteReference w:id="2"/>
      </w:r>
      <w:r w:rsidRPr="009F4204">
        <w:rPr>
          <w:rFonts w:ascii="Palatino Linotype" w:eastAsia="Palatino Linotype" w:hAnsi="Palatino Linotype" w:cs="Palatino Linotype"/>
        </w:rPr>
        <w:t xml:space="preserve"> y 162</w:t>
      </w:r>
      <w:r w:rsidRPr="009F4204">
        <w:rPr>
          <w:rFonts w:ascii="Palatino Linotype" w:eastAsia="Palatino Linotype" w:hAnsi="Palatino Linotype" w:cs="Palatino Linotype"/>
          <w:vertAlign w:val="superscript"/>
        </w:rPr>
        <w:footnoteReference w:id="3"/>
      </w:r>
      <w:r w:rsidRPr="009F4204">
        <w:rPr>
          <w:rFonts w:ascii="Palatino Linotype" w:eastAsia="Palatino Linotype" w:hAnsi="Palatino Linotype" w:cs="Palatino Linotype"/>
        </w:rPr>
        <w:t xml:space="preserve"> de la Ley de Transparencia y Acceso a la Información Pública del Estado de México y Municipios.</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En este orden de ideas, se estima dable ordenar al </w:t>
      </w:r>
      <w:r w:rsidRPr="009F4204">
        <w:rPr>
          <w:rFonts w:ascii="Palatino Linotype" w:eastAsia="Palatino Linotype" w:hAnsi="Palatino Linotype" w:cs="Palatino Linotype"/>
          <w:b/>
        </w:rPr>
        <w:t xml:space="preserve">Sujeto Obligado, </w:t>
      </w:r>
      <w:r w:rsidRPr="009F4204">
        <w:rPr>
          <w:rFonts w:ascii="Palatino Linotype" w:eastAsia="Palatino Linotype" w:hAnsi="Palatino Linotype" w:cs="Palatino Linotype"/>
        </w:rPr>
        <w:t>previa búsqueda exhaustiva y razonable, la entrega, en versión pública conforme al considerando siguiente, de los contratos, así como las pólizas de egresos generadas con motivo del programa “Huehuetoca cerca de Ti”, a efecto de satisfacer el derecho de acceso a la información de la persona solicitante.</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Para tal efecto, conviene hacer alusión a lo dispuesto en la Ley de Contratación Pública del Estado de México y Municipios, la cual tiene por objeto regular los actos relativos a la </w:t>
      </w:r>
      <w:r w:rsidRPr="009F4204">
        <w:rPr>
          <w:rFonts w:ascii="Palatino Linotype" w:eastAsia="Palatino Linotype" w:hAnsi="Palatino Linotype" w:cs="Palatino Linotype"/>
          <w:b/>
          <w:u w:val="single"/>
        </w:rPr>
        <w:t xml:space="preserve">planeación, programación, </w:t>
      </w:r>
      <w:proofErr w:type="spellStart"/>
      <w:r w:rsidRPr="009F4204">
        <w:rPr>
          <w:rFonts w:ascii="Palatino Linotype" w:eastAsia="Palatino Linotype" w:hAnsi="Palatino Linotype" w:cs="Palatino Linotype"/>
          <w:b/>
          <w:u w:val="single"/>
        </w:rPr>
        <w:t>presupuestación</w:t>
      </w:r>
      <w:proofErr w:type="spellEnd"/>
      <w:r w:rsidRPr="009F4204">
        <w:rPr>
          <w:rFonts w:ascii="Palatino Linotype" w:eastAsia="Palatino Linotype" w:hAnsi="Palatino Linotype" w:cs="Palatino Linotype"/>
        </w:rPr>
        <w:t xml:space="preserve">, ejecución y control de la </w:t>
      </w:r>
      <w:r w:rsidRPr="009F4204">
        <w:rPr>
          <w:rFonts w:ascii="Palatino Linotype" w:eastAsia="Palatino Linotype" w:hAnsi="Palatino Linotype" w:cs="Palatino Linotype"/>
          <w:b/>
          <w:u w:val="single"/>
        </w:rPr>
        <w:t>adquisición</w:t>
      </w:r>
      <w:r w:rsidRPr="009F4204">
        <w:rPr>
          <w:rFonts w:ascii="Palatino Linotype" w:eastAsia="Palatino Linotype" w:hAnsi="Palatino Linotype" w:cs="Palatino Linotype"/>
        </w:rPr>
        <w:t xml:space="preserve">, enajenación y arrendamiento de bienes, y la </w:t>
      </w:r>
      <w:r w:rsidRPr="009F4204">
        <w:rPr>
          <w:rFonts w:ascii="Palatino Linotype" w:eastAsia="Palatino Linotype" w:hAnsi="Palatino Linotype" w:cs="Palatino Linotype"/>
          <w:b/>
          <w:u w:val="single"/>
        </w:rPr>
        <w:t>contratación de servicios de cualquier naturaleza, que realicen los Ayuntamientos del Estado</w:t>
      </w:r>
      <w:r w:rsidRPr="009F4204">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4.-</w:t>
      </w:r>
      <w:r w:rsidRPr="009F4204">
        <w:rPr>
          <w:rFonts w:ascii="Palatino Linotype" w:eastAsia="Palatino Linotype" w:hAnsi="Palatino Linotype" w:cs="Palatino Linotype"/>
          <w:i/>
          <w:sz w:val="22"/>
          <w:szCs w:val="22"/>
        </w:rPr>
        <w:t xml:space="preserve"> Para los efectos de esta Ley, </w:t>
      </w:r>
      <w:r w:rsidRPr="009F4204">
        <w:rPr>
          <w:rFonts w:ascii="Palatino Linotype" w:eastAsia="Palatino Linotype" w:hAnsi="Palatino Linotype" w:cs="Palatino Linotype"/>
          <w:b/>
          <w:i/>
          <w:sz w:val="22"/>
          <w:szCs w:val="22"/>
        </w:rPr>
        <w:t>en las adquisiciones, enajenaciones, arrendamientos y servicios, quedan comprendidos</w:t>
      </w:r>
      <w:r w:rsidRPr="009F4204">
        <w:rPr>
          <w:rFonts w:ascii="Palatino Linotype" w:eastAsia="Palatino Linotype" w:hAnsi="Palatino Linotype" w:cs="Palatino Linotype"/>
          <w:i/>
          <w:sz w:val="22"/>
          <w:szCs w:val="22"/>
        </w:rPr>
        <w:t>:</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lastRenderedPageBreak/>
        <w:t>I.</w:t>
      </w:r>
      <w:r w:rsidRPr="009F4204">
        <w:rPr>
          <w:rFonts w:ascii="Palatino Linotype" w:eastAsia="Palatino Linotype" w:hAnsi="Palatino Linotype" w:cs="Palatino Linotype"/>
          <w:i/>
          <w:sz w:val="22"/>
          <w:szCs w:val="22"/>
        </w:rPr>
        <w:t xml:space="preserve"> La adquisición de bienes muebles.</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II</w:t>
      </w:r>
      <w:r w:rsidRPr="009F4204">
        <w:rPr>
          <w:rFonts w:ascii="Palatino Linotype" w:eastAsia="Palatino Linotype" w:hAnsi="Palatino Linotype" w:cs="Palatino Linotype"/>
          <w:i/>
          <w:sz w:val="22"/>
          <w:szCs w:val="22"/>
        </w:rPr>
        <w:t>. La adquisición de bienes inmuebles, a través de compraventa.</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III.</w:t>
      </w:r>
      <w:r w:rsidRPr="009F4204">
        <w:rPr>
          <w:rFonts w:ascii="Palatino Linotype" w:eastAsia="Palatino Linotype" w:hAnsi="Palatino Linotype" w:cs="Palatino Linotype"/>
          <w:i/>
          <w:sz w:val="22"/>
          <w:szCs w:val="22"/>
        </w:rPr>
        <w:t xml:space="preserve"> La enajenación de bienes muebles e inmuebles.</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IV.</w:t>
      </w:r>
      <w:r w:rsidRPr="009F4204">
        <w:rPr>
          <w:rFonts w:ascii="Palatino Linotype" w:eastAsia="Palatino Linotype" w:hAnsi="Palatino Linotype" w:cs="Palatino Linotype"/>
          <w:i/>
          <w:sz w:val="22"/>
          <w:szCs w:val="22"/>
        </w:rPr>
        <w:t xml:space="preserve"> El arrendamiento de bienes muebles e inmuebles.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w:t>
      </w:r>
      <w:r w:rsidRPr="009F4204">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w:t>
      </w:r>
      <w:r w:rsidRPr="009F4204">
        <w:rPr>
          <w:rFonts w:ascii="Palatino Linotype" w:eastAsia="Palatino Linotype" w:hAnsi="Palatino Linotype" w:cs="Palatino Linotype"/>
          <w:i/>
          <w:sz w:val="22"/>
          <w:szCs w:val="22"/>
        </w:rPr>
        <w:t xml:space="preserve"> La contratación de los servicios de reconstrucción y mantenimiento de bienes muebles.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VII.</w:t>
      </w:r>
      <w:r w:rsidRPr="009F4204">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VIII.</w:t>
      </w:r>
      <w:r w:rsidRPr="009F4204">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En general, otros actos que impliquen la contratación de servicios de cualquier naturaleza</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26.-</w:t>
      </w:r>
      <w:r w:rsidRPr="009F4204">
        <w:rPr>
          <w:rFonts w:ascii="Palatino Linotype" w:eastAsia="Palatino Linotype" w:hAnsi="Palatino Linotype" w:cs="Palatino Linotype"/>
          <w:i/>
          <w:sz w:val="22"/>
          <w:szCs w:val="22"/>
        </w:rPr>
        <w:t xml:space="preserve"> </w:t>
      </w:r>
      <w:r w:rsidRPr="009F4204">
        <w:rPr>
          <w:rFonts w:ascii="Palatino Linotype" w:eastAsia="Palatino Linotype" w:hAnsi="Palatino Linotype" w:cs="Palatino Linotype"/>
          <w:b/>
          <w:i/>
          <w:sz w:val="22"/>
          <w:szCs w:val="22"/>
        </w:rPr>
        <w:t>Las adquisiciones, arrendamientos y servicios se adjudicarán a través de licitaciones públicas</w:t>
      </w:r>
      <w:r w:rsidRPr="009F4204">
        <w:rPr>
          <w:rFonts w:ascii="Palatino Linotype" w:eastAsia="Palatino Linotype" w:hAnsi="Palatino Linotype" w:cs="Palatino Linotype"/>
          <w:i/>
          <w:sz w:val="22"/>
          <w:szCs w:val="22"/>
        </w:rPr>
        <w:t xml:space="preserve">, mediante convocatoria pública. </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27.</w:t>
      </w:r>
      <w:r w:rsidRPr="009F4204">
        <w:rPr>
          <w:rFonts w:ascii="Palatino Linotype" w:eastAsia="Palatino Linotype" w:hAnsi="Palatino Linotype" w:cs="Palatino Linotype"/>
          <w:i/>
          <w:sz w:val="22"/>
          <w:szCs w:val="22"/>
        </w:rPr>
        <w:t xml:space="preserve">- La Secretaría, las entidades, los tribunales administrativos y los ayuntamientos podrán </w:t>
      </w:r>
      <w:r w:rsidRPr="009F4204">
        <w:rPr>
          <w:rFonts w:ascii="Palatino Linotype" w:eastAsia="Palatino Linotype" w:hAnsi="Palatino Linotype" w:cs="Palatino Linotype"/>
          <w:b/>
          <w:i/>
          <w:sz w:val="22"/>
          <w:szCs w:val="22"/>
        </w:rPr>
        <w:t>adjudicar adquisiciones, arrendamientos y servicios, mediante las excepciones al procedimiento de licitación</w:t>
      </w:r>
      <w:r w:rsidRPr="009F4204">
        <w:rPr>
          <w:rFonts w:ascii="Palatino Linotype" w:eastAsia="Palatino Linotype" w:hAnsi="Palatino Linotype" w:cs="Palatino Linotype"/>
          <w:i/>
          <w:sz w:val="22"/>
          <w:szCs w:val="22"/>
        </w:rPr>
        <w:t xml:space="preserve"> que a continuación se señalan:</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w:t>
      </w:r>
      <w:r w:rsidRPr="009F4204">
        <w:rPr>
          <w:rFonts w:ascii="Palatino Linotype" w:eastAsia="Palatino Linotype" w:hAnsi="Palatino Linotype" w:cs="Palatino Linotype"/>
          <w:i/>
          <w:sz w:val="22"/>
          <w:szCs w:val="22"/>
        </w:rPr>
        <w:t>. Invitación restringida.</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II.</w:t>
      </w:r>
      <w:r w:rsidRPr="009F4204">
        <w:rPr>
          <w:rFonts w:ascii="Palatino Linotype" w:eastAsia="Palatino Linotype" w:hAnsi="Palatino Linotype" w:cs="Palatino Linotype"/>
          <w:i/>
          <w:sz w:val="22"/>
          <w:szCs w:val="22"/>
        </w:rPr>
        <w:t xml:space="preserve"> Adjudicación directa.”</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lastRenderedPageBreak/>
        <w:t xml:space="preserve">Por ello, de acuerdo con el artículo 44 de la Ley de Contratación Pública del Estado de México y Municipios, las entidades públicas, entre ellas los Ayuntamientos podrán adquirir y contratar servicios mediante invitación restringida en los siguientes casos: </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44.-</w:t>
      </w:r>
      <w:r w:rsidRPr="009F4204">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w:t>
      </w:r>
      <w:r w:rsidRPr="009F4204">
        <w:rPr>
          <w:rFonts w:ascii="Palatino Linotype" w:eastAsia="Palatino Linotype" w:hAnsi="Palatino Linotype" w:cs="Palatino Linotype"/>
          <w:i/>
          <w:sz w:val="22"/>
          <w:szCs w:val="22"/>
        </w:rPr>
        <w:t xml:space="preserve"> Se hubiere declarado desierto un procedimiento de licitación, o</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II</w:t>
      </w:r>
      <w:r w:rsidRPr="009F4204">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En la invitación deberá especificarse si en el proceso de asignación aplicará la modalidad de subasta inversa.”</w:t>
      </w:r>
    </w:p>
    <w:p w:rsidR="00DA678D" w:rsidRPr="009F4204" w:rsidRDefault="00A75E6B">
      <w:pPr>
        <w:spacing w:before="240" w:after="240"/>
        <w:ind w:right="49"/>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rPr>
        <w:t>Asimismo, el artículo 46 de la Ley referida, menciona que:</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sz w:val="22"/>
          <w:szCs w:val="22"/>
        </w:rPr>
        <w:t xml:space="preserve"> “</w:t>
      </w:r>
      <w:r w:rsidRPr="009F4204">
        <w:rPr>
          <w:rFonts w:ascii="Palatino Linotype" w:eastAsia="Palatino Linotype" w:hAnsi="Palatino Linotype" w:cs="Palatino Linotype"/>
          <w:b/>
          <w:i/>
          <w:sz w:val="22"/>
          <w:szCs w:val="22"/>
        </w:rPr>
        <w:t>Artículo 46.-</w:t>
      </w:r>
      <w:r w:rsidRPr="009F4204">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rsidR="00DA678D" w:rsidRPr="009F4204" w:rsidRDefault="00A75E6B">
      <w:pPr>
        <w:spacing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rsidR="00DA678D" w:rsidRPr="009F4204" w:rsidRDefault="00A75E6B">
      <w:pPr>
        <w:tabs>
          <w:tab w:val="left" w:pos="7938"/>
        </w:tabs>
        <w:spacing w:before="120" w:after="12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48.-</w:t>
      </w:r>
      <w:r w:rsidRPr="009F4204">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rsidR="00DA678D" w:rsidRPr="009F4204" w:rsidRDefault="00A75E6B">
      <w:pPr>
        <w:tabs>
          <w:tab w:val="left" w:pos="7938"/>
        </w:tabs>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lastRenderedPageBreak/>
        <w:t>I</w:t>
      </w:r>
      <w:r w:rsidRPr="009F4204">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rsidR="00DA678D" w:rsidRPr="009F4204" w:rsidRDefault="00A75E6B">
      <w:pPr>
        <w:tabs>
          <w:tab w:val="left" w:pos="7938"/>
        </w:tabs>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II</w:t>
      </w:r>
      <w:r w:rsidRPr="009F4204">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rsidR="00DA678D" w:rsidRPr="009F4204" w:rsidRDefault="00A75E6B">
      <w:pPr>
        <w:tabs>
          <w:tab w:val="left" w:pos="7938"/>
        </w:tabs>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III.</w:t>
      </w:r>
      <w:r w:rsidRPr="009F4204">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rsidR="00DA678D" w:rsidRPr="009F4204" w:rsidRDefault="00A75E6B">
      <w:pPr>
        <w:tabs>
          <w:tab w:val="left" w:pos="7938"/>
        </w:tabs>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IV.</w:t>
      </w:r>
      <w:r w:rsidRPr="009F4204">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rsidR="00DA678D" w:rsidRPr="009F4204" w:rsidRDefault="00A75E6B">
      <w:pPr>
        <w:tabs>
          <w:tab w:val="left" w:pos="7938"/>
        </w:tabs>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w:t>
      </w:r>
      <w:r w:rsidRPr="009F4204">
        <w:rPr>
          <w:rFonts w:ascii="Palatino Linotype" w:eastAsia="Palatino Linotype" w:hAnsi="Palatino Linotype" w:cs="Palatino Linotype"/>
          <w:i/>
          <w:sz w:val="22"/>
          <w:szCs w:val="22"/>
        </w:rPr>
        <w:t>. Existan circunstancias que puedan provocar pérdidas o costos adicionales importantes al erario.</w:t>
      </w:r>
    </w:p>
    <w:p w:rsidR="00DA678D" w:rsidRPr="009F4204" w:rsidRDefault="00A75E6B">
      <w:pPr>
        <w:tabs>
          <w:tab w:val="left" w:pos="7938"/>
        </w:tabs>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w:t>
      </w:r>
      <w:r w:rsidRPr="009F4204">
        <w:rPr>
          <w:rFonts w:ascii="Palatino Linotype" w:eastAsia="Palatino Linotype" w:hAnsi="Palatino Linotype" w:cs="Palatino Linotype"/>
          <w:i/>
          <w:sz w:val="22"/>
          <w:szCs w:val="22"/>
        </w:rPr>
        <w:t>. Pueda comprometerse información de naturaleza confidencial para el Estado o municipios, por razones de seguridad pública.</w:t>
      </w:r>
    </w:p>
    <w:p w:rsidR="00DA678D" w:rsidRPr="009F4204" w:rsidRDefault="00A75E6B">
      <w:pPr>
        <w:tabs>
          <w:tab w:val="left" w:pos="7938"/>
        </w:tabs>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VII</w:t>
      </w:r>
      <w:r w:rsidRPr="009F4204">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rsidR="00DA678D" w:rsidRPr="009F4204" w:rsidRDefault="00A75E6B">
      <w:pPr>
        <w:tabs>
          <w:tab w:val="left" w:pos="7938"/>
        </w:tabs>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VIII</w:t>
      </w:r>
      <w:r w:rsidRPr="009F4204">
        <w:rPr>
          <w:rFonts w:ascii="Palatino Linotype" w:eastAsia="Palatino Linotype" w:hAnsi="Palatino Linotype" w:cs="Palatino Linotype"/>
          <w:i/>
          <w:sz w:val="22"/>
          <w:szCs w:val="22"/>
        </w:rPr>
        <w:t xml:space="preserve">.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w:t>
      </w:r>
      <w:proofErr w:type="gramStart"/>
      <w:r w:rsidRPr="009F4204">
        <w:rPr>
          <w:rFonts w:ascii="Palatino Linotype" w:eastAsia="Palatino Linotype" w:hAnsi="Palatino Linotype" w:cs="Palatino Linotype"/>
          <w:i/>
          <w:sz w:val="22"/>
          <w:szCs w:val="22"/>
        </w:rPr>
        <w:t>podrá</w:t>
      </w:r>
      <w:proofErr w:type="gramEnd"/>
      <w:r w:rsidRPr="009F4204">
        <w:rPr>
          <w:rFonts w:ascii="Palatino Linotype" w:eastAsia="Palatino Linotype" w:hAnsi="Palatino Linotype" w:cs="Palatino Linotype"/>
          <w:i/>
          <w:sz w:val="22"/>
          <w:szCs w:val="22"/>
        </w:rPr>
        <w:t xml:space="preserve"> adjudicar el contrato al licitante que haya presentado la propuesta solvente más cercana a la ganadora y así, sucesivamente. En todo caso, la diferencia de precio no deberá de ser superior al diez por ciento, respecto de la propuesta ganadora.</w:t>
      </w:r>
    </w:p>
    <w:p w:rsidR="00DA678D" w:rsidRPr="009F4204" w:rsidRDefault="00A75E6B">
      <w:pPr>
        <w:tabs>
          <w:tab w:val="left" w:pos="7938"/>
        </w:tabs>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IX</w:t>
      </w:r>
      <w:r w:rsidRPr="009F4204">
        <w:rPr>
          <w:rFonts w:ascii="Palatino Linotype" w:eastAsia="Palatino Linotype" w:hAnsi="Palatino Linotype" w:cs="Palatino Linotype"/>
          <w:i/>
          <w:sz w:val="22"/>
          <w:szCs w:val="22"/>
        </w:rPr>
        <w:t>. Se hubiere declarado desierto un procedimiento de invitación restringida.</w:t>
      </w:r>
    </w:p>
    <w:p w:rsidR="00DA678D" w:rsidRPr="009F4204" w:rsidRDefault="00A75E6B">
      <w:pPr>
        <w:tabs>
          <w:tab w:val="left" w:pos="7938"/>
        </w:tabs>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X</w:t>
      </w:r>
      <w:r w:rsidRPr="009F4204">
        <w:rPr>
          <w:rFonts w:ascii="Palatino Linotype" w:eastAsia="Palatino Linotype" w:hAnsi="Palatino Linotype" w:cs="Palatino Linotype"/>
          <w:i/>
          <w:sz w:val="22"/>
          <w:szCs w:val="22"/>
        </w:rPr>
        <w:t xml:space="preserve">. Cuando se aseguren condiciones financieras que permitan al Estado o a los municipios cumplir con la obligación de pago de manera diferida, sin que ello </w:t>
      </w:r>
      <w:r w:rsidRPr="009F4204">
        <w:rPr>
          <w:rFonts w:ascii="Palatino Linotype" w:eastAsia="Palatino Linotype" w:hAnsi="Palatino Linotype" w:cs="Palatino Linotype"/>
          <w:i/>
          <w:sz w:val="22"/>
          <w:szCs w:val="22"/>
        </w:rPr>
        <w:lastRenderedPageBreak/>
        <w:t>implique un costo financiero adicional o que habiéndolo, sea inferior al del mercado, o</w:t>
      </w:r>
    </w:p>
    <w:p w:rsidR="00DA678D" w:rsidRPr="009F4204" w:rsidRDefault="00A75E6B">
      <w:pPr>
        <w:tabs>
          <w:tab w:val="left" w:pos="7938"/>
        </w:tabs>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XI</w:t>
      </w:r>
      <w:r w:rsidRPr="009F4204">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rsidR="00DA678D" w:rsidRPr="009F4204" w:rsidRDefault="00A75E6B">
      <w:pPr>
        <w:tabs>
          <w:tab w:val="left" w:pos="7938"/>
        </w:tabs>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XII</w:t>
      </w:r>
      <w:r w:rsidRPr="009F4204">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rsidR="00DA678D" w:rsidRPr="009F4204" w:rsidRDefault="00A75E6B">
      <w:pPr>
        <w:tabs>
          <w:tab w:val="left" w:pos="7938"/>
        </w:tabs>
        <w:spacing w:before="120" w:after="12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49.-</w:t>
      </w:r>
      <w:r w:rsidRPr="009F4204">
        <w:rPr>
          <w:rFonts w:ascii="Palatino Linotype" w:eastAsia="Palatino Linotype" w:hAnsi="Palatino Linotype" w:cs="Palatino Linotype"/>
          <w:i/>
          <w:sz w:val="22"/>
          <w:szCs w:val="22"/>
        </w:rPr>
        <w:t xml:space="preserve"> El procedimiento de adjudicación directa se substanciará con arreglo a el reglamento de esta Ley.”</w:t>
      </w:r>
    </w:p>
    <w:p w:rsidR="00DA678D" w:rsidRPr="009F4204" w:rsidRDefault="00A75E6B">
      <w:pPr>
        <w:spacing w:before="240" w:after="240" w:line="360" w:lineRule="auto"/>
        <w:ind w:right="51"/>
        <w:jc w:val="both"/>
        <w:rPr>
          <w:rFonts w:ascii="Palatino Linotype" w:eastAsia="Palatino Linotype" w:hAnsi="Palatino Linotype" w:cs="Palatino Linotype"/>
        </w:rPr>
      </w:pPr>
      <w:r w:rsidRPr="009F4204">
        <w:rPr>
          <w:rFonts w:ascii="Palatino Linotype" w:eastAsia="Palatino Linotype" w:hAnsi="Palatino Linotype" w:cs="Palatino Linotype"/>
        </w:rPr>
        <w:t>Ahora bien, a través del cumplimiento a la obligación de transparencia señalada en la fracción 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incluyendo la versión pública del expediente respectivo y de los contratos celebrados, a saber:</w:t>
      </w:r>
    </w:p>
    <w:p w:rsidR="00DA678D" w:rsidRPr="009F4204" w:rsidRDefault="00A75E6B">
      <w:pPr>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Artículo 92</w:t>
      </w:r>
      <w:r w:rsidRPr="009F4204">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A678D" w:rsidRPr="009F4204" w:rsidRDefault="00A75E6B">
      <w:pPr>
        <w:tabs>
          <w:tab w:val="left" w:pos="426"/>
        </w:tabs>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p>
    <w:p w:rsidR="00DA678D" w:rsidRPr="009F4204" w:rsidRDefault="00A75E6B">
      <w:pPr>
        <w:tabs>
          <w:tab w:val="left" w:pos="426"/>
        </w:tabs>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XXIX.</w:t>
      </w:r>
      <w:r w:rsidRPr="009F4204">
        <w:rPr>
          <w:rFonts w:ascii="Palatino Linotype" w:eastAsia="Palatino Linotype" w:hAnsi="Palatino Linotype" w:cs="Palatino Linotype"/>
          <w:i/>
          <w:sz w:val="22"/>
          <w:szCs w:val="22"/>
        </w:rPr>
        <w:t xml:space="preserve"> La </w:t>
      </w:r>
      <w:r w:rsidRPr="009F4204">
        <w:rPr>
          <w:rFonts w:ascii="Palatino Linotype" w:eastAsia="Palatino Linotype" w:hAnsi="Palatino Linotype" w:cs="Palatino Linotype"/>
          <w:b/>
          <w:i/>
          <w:sz w:val="22"/>
          <w:szCs w:val="22"/>
        </w:rPr>
        <w:t xml:space="preserve">información sobre los procesos y resultados </w:t>
      </w:r>
      <w:r w:rsidRPr="009F4204">
        <w:rPr>
          <w:rFonts w:ascii="Palatino Linotype" w:eastAsia="Palatino Linotype" w:hAnsi="Palatino Linotype" w:cs="Palatino Linotype"/>
          <w:b/>
          <w:i/>
          <w:sz w:val="22"/>
          <w:szCs w:val="22"/>
          <w:u w:val="single"/>
        </w:rPr>
        <w:t xml:space="preserve">sobre procedimientos de adjudicación directa, invitación restringida y </w:t>
      </w:r>
      <w:r w:rsidRPr="009F4204">
        <w:rPr>
          <w:rFonts w:ascii="Palatino Linotype" w:eastAsia="Palatino Linotype" w:hAnsi="Palatino Linotype" w:cs="Palatino Linotype"/>
          <w:b/>
          <w:i/>
          <w:sz w:val="22"/>
          <w:szCs w:val="22"/>
          <w:u w:val="single"/>
        </w:rPr>
        <w:lastRenderedPageBreak/>
        <w:t>licitación de cualquier naturaleza</w:t>
      </w:r>
      <w:r w:rsidRPr="009F4204">
        <w:rPr>
          <w:rFonts w:ascii="Palatino Linotype" w:eastAsia="Palatino Linotype" w:hAnsi="Palatino Linotype" w:cs="Palatino Linotype"/>
          <w:i/>
          <w:sz w:val="22"/>
          <w:szCs w:val="22"/>
          <w:u w:val="single"/>
        </w:rPr>
        <w:t xml:space="preserve">, </w:t>
      </w:r>
      <w:r w:rsidRPr="009F4204">
        <w:rPr>
          <w:rFonts w:ascii="Palatino Linotype" w:eastAsia="Palatino Linotype" w:hAnsi="Palatino Linotype" w:cs="Palatino Linotype"/>
          <w:b/>
          <w:i/>
          <w:sz w:val="22"/>
          <w:szCs w:val="22"/>
        </w:rPr>
        <w:t>incluyendo la versión pública</w:t>
      </w:r>
      <w:r w:rsidRPr="009F4204">
        <w:rPr>
          <w:rFonts w:ascii="Palatino Linotype" w:eastAsia="Palatino Linotype" w:hAnsi="Palatino Linotype" w:cs="Palatino Linotype"/>
          <w:i/>
          <w:sz w:val="22"/>
          <w:szCs w:val="22"/>
        </w:rPr>
        <w:t xml:space="preserve"> del expediente respectivo y </w:t>
      </w:r>
      <w:r w:rsidRPr="009F4204">
        <w:rPr>
          <w:rFonts w:ascii="Palatino Linotype" w:eastAsia="Palatino Linotype" w:hAnsi="Palatino Linotype" w:cs="Palatino Linotype"/>
          <w:b/>
          <w:i/>
          <w:sz w:val="22"/>
          <w:szCs w:val="22"/>
        </w:rPr>
        <w:t>de los contratos celebrados</w:t>
      </w:r>
      <w:r w:rsidRPr="009F4204">
        <w:rPr>
          <w:rFonts w:ascii="Palatino Linotype" w:eastAsia="Palatino Linotype" w:hAnsi="Palatino Linotype" w:cs="Palatino Linotype"/>
          <w:i/>
          <w:sz w:val="22"/>
          <w:szCs w:val="22"/>
        </w:rPr>
        <w:t>, que deberán contener, por los menos, lo siguiente:</w:t>
      </w:r>
    </w:p>
    <w:p w:rsidR="00DA678D" w:rsidRPr="009F4204" w:rsidRDefault="00A75E6B">
      <w:pPr>
        <w:tabs>
          <w:tab w:val="left" w:pos="426"/>
        </w:tabs>
        <w:spacing w:before="120" w:after="120"/>
        <w:ind w:left="1418" w:right="902"/>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b/>
          <w:i/>
          <w:sz w:val="22"/>
          <w:szCs w:val="22"/>
        </w:rPr>
        <w:t>a) De licitaciones públicas o procedimientos de invitación restringida:</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1)</w:t>
      </w:r>
      <w:r w:rsidRPr="009F4204">
        <w:rPr>
          <w:rFonts w:ascii="Palatino Linotype" w:eastAsia="Palatino Linotype" w:hAnsi="Palatino Linotype" w:cs="Palatino Linotype"/>
          <w:i/>
          <w:sz w:val="22"/>
          <w:szCs w:val="22"/>
        </w:rPr>
        <w:t xml:space="preserve"> La convocatoria o invitación emitida, así como los fundamentos legales aplicados para llevarla a cabo;</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2)</w:t>
      </w:r>
      <w:r w:rsidRPr="009F4204">
        <w:rPr>
          <w:rFonts w:ascii="Palatino Linotype" w:eastAsia="Palatino Linotype" w:hAnsi="Palatino Linotype" w:cs="Palatino Linotype"/>
          <w:i/>
          <w:sz w:val="22"/>
          <w:szCs w:val="22"/>
        </w:rPr>
        <w:t xml:space="preserve"> Los nombres de los participantes o invitados;</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3)</w:t>
      </w:r>
      <w:r w:rsidRPr="009F4204">
        <w:rPr>
          <w:rFonts w:ascii="Palatino Linotype" w:eastAsia="Palatino Linotype" w:hAnsi="Palatino Linotype" w:cs="Palatino Linotype"/>
          <w:i/>
          <w:sz w:val="22"/>
          <w:szCs w:val="22"/>
        </w:rPr>
        <w:t xml:space="preserve"> El nombre del ganador y las razones que lo justifican;</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4)</w:t>
      </w:r>
      <w:r w:rsidRPr="009F4204">
        <w:rPr>
          <w:rFonts w:ascii="Palatino Linotype" w:eastAsia="Palatino Linotype" w:hAnsi="Palatino Linotype" w:cs="Palatino Linotype"/>
          <w:i/>
          <w:sz w:val="22"/>
          <w:szCs w:val="22"/>
        </w:rPr>
        <w:t xml:space="preserve"> El área solicitante y la responsable de su ejecución;</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5)</w:t>
      </w:r>
      <w:r w:rsidRPr="009F4204">
        <w:rPr>
          <w:rFonts w:ascii="Palatino Linotype" w:eastAsia="Palatino Linotype" w:hAnsi="Palatino Linotype" w:cs="Palatino Linotype"/>
          <w:i/>
          <w:sz w:val="22"/>
          <w:szCs w:val="22"/>
        </w:rPr>
        <w:t xml:space="preserve"> Las convocatorias e invitaciones emitidas;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6)</w:t>
      </w:r>
      <w:r w:rsidRPr="009F4204">
        <w:rPr>
          <w:rFonts w:ascii="Palatino Linotype" w:eastAsia="Palatino Linotype" w:hAnsi="Palatino Linotype" w:cs="Palatino Linotype"/>
          <w:i/>
          <w:sz w:val="22"/>
          <w:szCs w:val="22"/>
        </w:rPr>
        <w:t xml:space="preserve"> Los dictámenes y fallo de adjudicación;</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7) El contrato y, en su caso, sus anexos</w:t>
      </w:r>
      <w:r w:rsidRPr="009F4204">
        <w:rPr>
          <w:rFonts w:ascii="Palatino Linotype" w:eastAsia="Palatino Linotype" w:hAnsi="Palatino Linotype" w:cs="Palatino Linotype"/>
          <w:i/>
          <w:sz w:val="22"/>
          <w:szCs w:val="22"/>
        </w:rPr>
        <w:t xml:space="preserve">;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8)</w:t>
      </w:r>
      <w:r w:rsidRPr="009F4204">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9)</w:t>
      </w:r>
      <w:r w:rsidRPr="009F4204">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10)</w:t>
      </w:r>
      <w:r w:rsidRPr="009F4204">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11)</w:t>
      </w:r>
      <w:r w:rsidRPr="009F4204">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12)</w:t>
      </w:r>
      <w:r w:rsidRPr="009F4204">
        <w:rPr>
          <w:rFonts w:ascii="Palatino Linotype" w:eastAsia="Palatino Linotype" w:hAnsi="Palatino Linotype" w:cs="Palatino Linotype"/>
          <w:i/>
          <w:sz w:val="22"/>
          <w:szCs w:val="22"/>
        </w:rPr>
        <w:t xml:space="preserve"> Los informes de avance físico y financiero sobre las obras o servicios contratados;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13)</w:t>
      </w:r>
      <w:r w:rsidRPr="009F4204">
        <w:rPr>
          <w:rFonts w:ascii="Palatino Linotype" w:eastAsia="Palatino Linotype" w:hAnsi="Palatino Linotype" w:cs="Palatino Linotype"/>
          <w:i/>
          <w:sz w:val="22"/>
          <w:szCs w:val="22"/>
        </w:rPr>
        <w:t xml:space="preserve"> El convenio de terminación;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14)</w:t>
      </w:r>
      <w:r w:rsidRPr="009F4204">
        <w:rPr>
          <w:rFonts w:ascii="Palatino Linotype" w:eastAsia="Palatino Linotype" w:hAnsi="Palatino Linotype" w:cs="Palatino Linotype"/>
          <w:i/>
          <w:sz w:val="22"/>
          <w:szCs w:val="22"/>
        </w:rPr>
        <w:t xml:space="preserve"> El finiquito.</w:t>
      </w:r>
    </w:p>
    <w:p w:rsidR="00DA678D" w:rsidRPr="009F4204" w:rsidRDefault="00A75E6B">
      <w:pPr>
        <w:tabs>
          <w:tab w:val="left" w:pos="426"/>
        </w:tabs>
        <w:spacing w:before="120" w:after="120"/>
        <w:ind w:left="1418" w:right="902"/>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b/>
          <w:i/>
          <w:sz w:val="22"/>
          <w:szCs w:val="22"/>
        </w:rPr>
        <w:t xml:space="preserve">b) De las adjudicaciones directas: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1)</w:t>
      </w:r>
      <w:r w:rsidRPr="009F4204">
        <w:rPr>
          <w:rFonts w:ascii="Palatino Linotype" w:eastAsia="Palatino Linotype" w:hAnsi="Palatino Linotype" w:cs="Palatino Linotype"/>
          <w:i/>
          <w:sz w:val="22"/>
          <w:szCs w:val="22"/>
        </w:rPr>
        <w:t xml:space="preserve"> La propuesta enviada por el participante;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2)</w:t>
      </w:r>
      <w:r w:rsidRPr="009F4204">
        <w:rPr>
          <w:rFonts w:ascii="Palatino Linotype" w:eastAsia="Palatino Linotype" w:hAnsi="Palatino Linotype" w:cs="Palatino Linotype"/>
          <w:i/>
          <w:sz w:val="22"/>
          <w:szCs w:val="22"/>
        </w:rPr>
        <w:t xml:space="preserve"> Los motivos y fundamentos legales aplicados para llevarla a cabo;</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3)</w:t>
      </w:r>
      <w:r w:rsidRPr="009F4204">
        <w:rPr>
          <w:rFonts w:ascii="Palatino Linotype" w:eastAsia="Palatino Linotype" w:hAnsi="Palatino Linotype" w:cs="Palatino Linotype"/>
          <w:i/>
          <w:sz w:val="22"/>
          <w:szCs w:val="22"/>
        </w:rPr>
        <w:t xml:space="preserve"> La autorización del ejercicio de la opción;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b/>
          <w:i/>
          <w:sz w:val="22"/>
          <w:szCs w:val="22"/>
        </w:rPr>
        <w:t xml:space="preserve">4) </w:t>
      </w:r>
      <w:r w:rsidRPr="009F4204">
        <w:rPr>
          <w:rFonts w:ascii="Palatino Linotype" w:eastAsia="Palatino Linotype" w:hAnsi="Palatino Linotype" w:cs="Palatino Linotype"/>
          <w:i/>
          <w:sz w:val="22"/>
          <w:szCs w:val="22"/>
        </w:rPr>
        <w:t>En su caso, las cotizaciones consideradas, especificando los nombres de los proveedores y sus montos;</w:t>
      </w:r>
      <w:r w:rsidRPr="009F4204">
        <w:rPr>
          <w:rFonts w:ascii="Palatino Linotype" w:eastAsia="Palatino Linotype" w:hAnsi="Palatino Linotype" w:cs="Palatino Linotype"/>
          <w:b/>
          <w:i/>
          <w:sz w:val="22"/>
          <w:szCs w:val="22"/>
        </w:rPr>
        <w:t xml:space="preserve">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lastRenderedPageBreak/>
        <w:t>5)</w:t>
      </w:r>
      <w:r w:rsidRPr="009F4204">
        <w:rPr>
          <w:rFonts w:ascii="Palatino Linotype" w:eastAsia="Palatino Linotype" w:hAnsi="Palatino Linotype" w:cs="Palatino Linotype"/>
          <w:i/>
          <w:sz w:val="22"/>
          <w:szCs w:val="22"/>
        </w:rPr>
        <w:t xml:space="preserve"> El nombre de la persona física o jurídica colectiva adjudicada;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6)</w:t>
      </w:r>
      <w:r w:rsidRPr="009F4204">
        <w:rPr>
          <w:rFonts w:ascii="Palatino Linotype" w:eastAsia="Palatino Linotype" w:hAnsi="Palatino Linotype" w:cs="Palatino Linotype"/>
          <w:i/>
          <w:sz w:val="22"/>
          <w:szCs w:val="22"/>
        </w:rPr>
        <w:t xml:space="preserve"> La unidad administrativa solicitante y la responsable de su ejecución;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b/>
          <w:i/>
          <w:sz w:val="22"/>
          <w:szCs w:val="22"/>
        </w:rPr>
        <w:t xml:space="preserve">7) El número, fecha, el monto del contrato y el plazo de entrega o de ejecución de los servicios u obra;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8)</w:t>
      </w:r>
      <w:r w:rsidRPr="009F4204">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9)</w:t>
      </w:r>
      <w:r w:rsidRPr="009F4204">
        <w:rPr>
          <w:rFonts w:ascii="Palatino Linotype" w:eastAsia="Palatino Linotype" w:hAnsi="Palatino Linotype" w:cs="Palatino Linotype"/>
          <w:i/>
          <w:sz w:val="22"/>
          <w:szCs w:val="22"/>
        </w:rPr>
        <w:t xml:space="preserve"> Los informes de avance sobre las obras o servicios contratados;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10)</w:t>
      </w:r>
      <w:r w:rsidRPr="009F4204">
        <w:rPr>
          <w:rFonts w:ascii="Palatino Linotype" w:eastAsia="Palatino Linotype" w:hAnsi="Palatino Linotype" w:cs="Palatino Linotype"/>
          <w:i/>
          <w:sz w:val="22"/>
          <w:szCs w:val="22"/>
        </w:rPr>
        <w:t xml:space="preserve"> El convenio de terminación; y </w:t>
      </w:r>
    </w:p>
    <w:p w:rsidR="00DA678D" w:rsidRPr="009F4204" w:rsidRDefault="00A75E6B">
      <w:pPr>
        <w:tabs>
          <w:tab w:val="left" w:pos="426"/>
        </w:tabs>
        <w:spacing w:before="120" w:after="120"/>
        <w:ind w:left="170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11)</w:t>
      </w:r>
      <w:r w:rsidRPr="009F4204">
        <w:rPr>
          <w:rFonts w:ascii="Palatino Linotype" w:eastAsia="Palatino Linotype" w:hAnsi="Palatino Linotype" w:cs="Palatino Linotype"/>
          <w:i/>
          <w:sz w:val="22"/>
          <w:szCs w:val="22"/>
        </w:rPr>
        <w:t xml:space="preserve"> El finiquito;”</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rsidR="00DA678D" w:rsidRPr="009F4204" w:rsidRDefault="00A75E6B">
      <w:pPr>
        <w:spacing w:before="240" w:after="240" w:line="360" w:lineRule="auto"/>
        <w:ind w:left="426"/>
        <w:jc w:val="both"/>
        <w:rPr>
          <w:rFonts w:ascii="Palatino Linotype" w:eastAsia="Palatino Linotype" w:hAnsi="Palatino Linotype" w:cs="Palatino Linotype"/>
        </w:rPr>
      </w:pPr>
      <w:r w:rsidRPr="009F4204">
        <w:rPr>
          <w:rFonts w:ascii="Palatino Linotype" w:eastAsia="Palatino Linotype" w:hAnsi="Palatino Linotype" w:cs="Palatino Linotype"/>
        </w:rPr>
        <w:t>●</w:t>
      </w:r>
      <w:r w:rsidRPr="009F4204">
        <w:rPr>
          <w:rFonts w:ascii="Palatino Linotype" w:eastAsia="Palatino Linotype" w:hAnsi="Palatino Linotype" w:cs="Palatino Linotype"/>
          <w:sz w:val="16"/>
          <w:szCs w:val="16"/>
        </w:rPr>
        <w:t xml:space="preserve">        </w:t>
      </w:r>
      <w:r w:rsidRPr="009F4204">
        <w:rPr>
          <w:rFonts w:ascii="Palatino Linotype" w:eastAsia="Palatino Linotype" w:hAnsi="Palatino Linotype" w:cs="Palatino Linotype"/>
          <w:b/>
        </w:rPr>
        <w:t xml:space="preserve">Invitación restringida: </w:t>
      </w:r>
      <w:r w:rsidRPr="009F4204">
        <w:rPr>
          <w:rFonts w:ascii="Palatino Linotype" w:eastAsia="Palatino Linotype" w:hAnsi="Palatino Linotype" w:cs="Palatino Linotype"/>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rsidR="00DA678D" w:rsidRPr="009F4204" w:rsidRDefault="00A75E6B">
      <w:pPr>
        <w:spacing w:before="240" w:after="240" w:line="360" w:lineRule="auto"/>
        <w:ind w:left="426"/>
        <w:jc w:val="both"/>
        <w:rPr>
          <w:rFonts w:ascii="Palatino Linotype" w:eastAsia="Palatino Linotype" w:hAnsi="Palatino Linotype" w:cs="Palatino Linotype"/>
        </w:rPr>
      </w:pPr>
      <w:r w:rsidRPr="009F4204">
        <w:rPr>
          <w:rFonts w:ascii="Palatino Linotype" w:eastAsia="Palatino Linotype" w:hAnsi="Palatino Linotype" w:cs="Palatino Linotype"/>
        </w:rPr>
        <w:t>●</w:t>
      </w:r>
      <w:r w:rsidRPr="009F4204">
        <w:rPr>
          <w:rFonts w:ascii="Palatino Linotype" w:eastAsia="Palatino Linotype" w:hAnsi="Palatino Linotype" w:cs="Palatino Linotype"/>
          <w:sz w:val="16"/>
          <w:szCs w:val="16"/>
        </w:rPr>
        <w:t xml:space="preserve">        </w:t>
      </w:r>
      <w:r w:rsidRPr="009F4204">
        <w:rPr>
          <w:rFonts w:ascii="Palatino Linotype" w:eastAsia="Palatino Linotype" w:hAnsi="Palatino Linotype" w:cs="Palatino Linotype"/>
          <w:b/>
        </w:rPr>
        <w:t xml:space="preserve">Adjudicaciones directas: </w:t>
      </w:r>
      <w:r w:rsidRPr="009F4204">
        <w:rPr>
          <w:rFonts w:ascii="Palatino Linotype" w:eastAsia="Palatino Linotype" w:hAnsi="Palatino Linotype" w:cs="Palatino Linotype"/>
        </w:rPr>
        <w:t xml:space="preserve">Propuestas enviadas por el participante, motivos y fundamentos legales, autorización del ejercicio de la opción, cotizaciones </w:t>
      </w:r>
      <w:r w:rsidRPr="009F4204">
        <w:rPr>
          <w:rFonts w:ascii="Palatino Linotype" w:eastAsia="Palatino Linotype" w:hAnsi="Palatino Linotype" w:cs="Palatino Linotype"/>
        </w:rPr>
        <w:lastRenderedPageBreak/>
        <w:t xml:space="preserve">consideradas, nombre de persona física o jurídica adjudicada, número, fecha, monto del contrato, plazo de entrega o ejecución, mecanismos de vigilancia y supervisión, informes de avance sobre las obras o servicios, convenio de terminación y finiquito. </w:t>
      </w:r>
    </w:p>
    <w:p w:rsidR="00DA678D" w:rsidRPr="009F4204" w:rsidRDefault="00A75E6B">
      <w:pPr>
        <w:spacing w:before="240" w:after="240" w:line="360" w:lineRule="auto"/>
        <w:ind w:right="51"/>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Por ende, de acuerdo a los </w:t>
      </w:r>
      <w:r w:rsidRPr="009F4204">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9F4204">
        <w:rPr>
          <w:rFonts w:ascii="Palatino Linotype" w:eastAsia="Palatino Linotype" w:hAnsi="Palatino Linotype" w:cs="Palatino Linotype"/>
        </w:rPr>
        <w:t xml:space="preserve">, que deben de difundir los sujetos obligados en los portales de Internet y en la Plataforma Nacional de Transparencia, para el cumplimiento de la obligación de transparencia señalada en el artículo 70  fracción XXVIII de la </w:t>
      </w:r>
      <w:r w:rsidRPr="009F4204">
        <w:rPr>
          <w:rFonts w:ascii="Palatino Linotype" w:eastAsia="Palatino Linotype" w:hAnsi="Palatino Linotype" w:cs="Palatino Linotype"/>
          <w:i/>
        </w:rPr>
        <w:t>Ley General de Transparencia y Acceso a la Información Pública</w:t>
      </w:r>
      <w:r w:rsidRPr="009F4204">
        <w:rPr>
          <w:rFonts w:ascii="Palatino Linotype" w:eastAsia="Palatino Linotype" w:hAnsi="Palatino Linotype" w:cs="Palatino Linotype"/>
        </w:rPr>
        <w:t xml:space="preserve">, los sujetos obligados deben publicar información sobre los actos, contratos y convenios celebrados, misma que </w:t>
      </w:r>
      <w:r w:rsidRPr="009F4204">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9F4204">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r w:rsidR="006E546F" w:rsidRPr="009F4204">
        <w:rPr>
          <w:rFonts w:ascii="Palatino Linotype" w:eastAsia="Palatino Linotype" w:hAnsi="Palatino Linotype" w:cs="Palatino Linotype"/>
        </w:rPr>
        <w:t>.</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lastRenderedPageBreak/>
        <w:t xml:space="preserve">En este sentido, se colige que la información requerida por la persona solicitante versa sobre una obligación de transparencia de oficio, y que por tal motivo 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rsidR="00DA678D" w:rsidRPr="009F4204" w:rsidRDefault="00A75E6B">
      <w:pPr>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Artículo 18.</w:t>
      </w:r>
      <w:r w:rsidRPr="009F4204">
        <w:rPr>
          <w:rFonts w:ascii="Palatino Linotype" w:eastAsia="Palatino Linotype" w:hAnsi="Palatino Linotype" w:cs="Palatino Linotype"/>
          <w:i/>
          <w:sz w:val="22"/>
          <w:szCs w:val="22"/>
        </w:rPr>
        <w:t xml:space="preserve"> Los sujetos obligados </w:t>
      </w:r>
      <w:r w:rsidRPr="009F4204">
        <w:rPr>
          <w:rFonts w:ascii="Palatino Linotype" w:eastAsia="Palatino Linotype" w:hAnsi="Palatino Linotype" w:cs="Palatino Linotype"/>
          <w:b/>
          <w:i/>
          <w:sz w:val="22"/>
          <w:szCs w:val="22"/>
        </w:rPr>
        <w:t>deberán documentar todo acto</w:t>
      </w:r>
      <w:r w:rsidRPr="009F4204">
        <w:rPr>
          <w:rFonts w:ascii="Palatino Linotype" w:eastAsia="Palatino Linotype" w:hAnsi="Palatino Linotype" w:cs="Palatino Linotype"/>
          <w:i/>
          <w:sz w:val="22"/>
          <w:szCs w:val="22"/>
        </w:rPr>
        <w:t xml:space="preserve"> </w:t>
      </w:r>
      <w:r w:rsidRPr="009F4204">
        <w:rPr>
          <w:rFonts w:ascii="Palatino Linotype" w:eastAsia="Palatino Linotype" w:hAnsi="Palatino Linotype" w:cs="Palatino Linotype"/>
          <w:b/>
          <w:i/>
          <w:sz w:val="22"/>
          <w:szCs w:val="22"/>
        </w:rPr>
        <w:t>que derive del ejercicio de sus facultades, competencias o funciones</w:t>
      </w:r>
      <w:r w:rsidRPr="009F4204">
        <w:rPr>
          <w:rFonts w:ascii="Palatino Linotype" w:eastAsia="Palatino Linotype" w:hAnsi="Palatino Linotype" w:cs="Palatino Linotype"/>
          <w:i/>
          <w:sz w:val="22"/>
          <w:szCs w:val="22"/>
        </w:rPr>
        <w:t>, considerando desde su origen la eventual publicidad y reutilización de la información que generen.</w:t>
      </w:r>
    </w:p>
    <w:p w:rsidR="00DA678D" w:rsidRPr="009F4204" w:rsidRDefault="00A75E6B">
      <w:pPr>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p>
    <w:p w:rsidR="00DA678D" w:rsidRPr="009F4204" w:rsidRDefault="00A75E6B">
      <w:pPr>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24.</w:t>
      </w:r>
      <w:r w:rsidRPr="009F4204">
        <w:rPr>
          <w:rFonts w:ascii="Palatino Linotype" w:eastAsia="Palatino Linotype" w:hAnsi="Palatino Linotype" w:cs="Palatino Linotype"/>
          <w:i/>
          <w:sz w:val="22"/>
          <w:szCs w:val="22"/>
        </w:rPr>
        <w:t xml:space="preserve"> Para el cumplimiento de los objetivos de esta Ley</w:t>
      </w:r>
      <w:r w:rsidRPr="009F4204">
        <w:rPr>
          <w:rFonts w:ascii="Palatino Linotype" w:eastAsia="Palatino Linotype" w:hAnsi="Palatino Linotype" w:cs="Palatino Linotype"/>
          <w:b/>
          <w:i/>
          <w:sz w:val="22"/>
          <w:szCs w:val="22"/>
        </w:rPr>
        <w:t>, los sujetos obligados deberán cumplir con las siguientes obligaciones</w:t>
      </w:r>
      <w:r w:rsidRPr="009F4204">
        <w:rPr>
          <w:rFonts w:ascii="Palatino Linotype" w:eastAsia="Palatino Linotype" w:hAnsi="Palatino Linotype" w:cs="Palatino Linotype"/>
          <w:i/>
          <w:sz w:val="22"/>
          <w:szCs w:val="22"/>
        </w:rPr>
        <w:t>, según corresponda, de acuerdo a su naturaleza:</w:t>
      </w:r>
    </w:p>
    <w:p w:rsidR="00DA678D" w:rsidRPr="009F4204" w:rsidRDefault="00A75E6B">
      <w:pPr>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p>
    <w:p w:rsidR="00DA678D" w:rsidRPr="009F4204" w:rsidRDefault="00A75E6B">
      <w:pPr>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XXII.</w:t>
      </w:r>
      <w:r w:rsidRPr="009F4204">
        <w:rPr>
          <w:rFonts w:ascii="Palatino Linotype" w:eastAsia="Palatino Linotype" w:hAnsi="Palatino Linotype" w:cs="Palatino Linotype"/>
          <w:i/>
          <w:sz w:val="22"/>
          <w:szCs w:val="22"/>
        </w:rPr>
        <w:t xml:space="preserve"> </w:t>
      </w:r>
      <w:r w:rsidRPr="009F4204">
        <w:rPr>
          <w:rFonts w:ascii="Palatino Linotype" w:eastAsia="Palatino Linotype" w:hAnsi="Palatino Linotype" w:cs="Palatino Linotype"/>
          <w:b/>
          <w:i/>
          <w:sz w:val="22"/>
          <w:szCs w:val="22"/>
        </w:rPr>
        <w:t>Documentar todo acto que derive del ejercicio de sus facultades, competencias o funciones</w:t>
      </w:r>
      <w:r w:rsidRPr="009F4204">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Por otro lado, respecto de las pólizas, 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rsidR="00DA678D" w:rsidRPr="009F4204" w:rsidRDefault="00A75E6B">
      <w:pPr>
        <w:spacing w:before="120" w:after="120"/>
        <w:ind w:left="862" w:right="86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lastRenderedPageBreak/>
        <w:t>“</w:t>
      </w:r>
      <w:r w:rsidRPr="009F4204">
        <w:rPr>
          <w:rFonts w:ascii="Palatino Linotype" w:eastAsia="Palatino Linotype" w:hAnsi="Palatino Linotype" w:cs="Palatino Linotype"/>
          <w:b/>
          <w:i/>
          <w:sz w:val="22"/>
          <w:szCs w:val="22"/>
        </w:rPr>
        <w:t>Artículo 342.-</w:t>
      </w:r>
      <w:r w:rsidRPr="009F4204">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w:t>
      </w:r>
      <w:proofErr w:type="spellStart"/>
      <w:r w:rsidRPr="009F4204">
        <w:rPr>
          <w:rFonts w:ascii="Palatino Linotype" w:eastAsia="Palatino Linotype" w:hAnsi="Palatino Linotype" w:cs="Palatino Linotype"/>
          <w:i/>
          <w:sz w:val="22"/>
          <w:szCs w:val="22"/>
        </w:rPr>
        <w:t>presupuestación</w:t>
      </w:r>
      <w:proofErr w:type="spellEnd"/>
      <w:r w:rsidRPr="009F4204">
        <w:rPr>
          <w:rFonts w:ascii="Palatino Linotype" w:eastAsia="Palatino Linotype" w:hAnsi="Palatino Linotype" w:cs="Palatino Linotype"/>
          <w:i/>
          <w:sz w:val="22"/>
          <w:szCs w:val="22"/>
        </w:rPr>
        <w:t>, evaluación y contabilidad gubernamental.</w:t>
      </w:r>
    </w:p>
    <w:p w:rsidR="00DA678D" w:rsidRPr="009F4204" w:rsidRDefault="00A75E6B">
      <w:pPr>
        <w:spacing w:before="120" w:after="120"/>
        <w:ind w:left="862" w:right="86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En el caso de los municipios,</w:t>
      </w:r>
      <w:r w:rsidRPr="009F4204">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9F4204">
        <w:rPr>
          <w:rFonts w:ascii="Palatino Linotype" w:eastAsia="Palatino Linotype" w:hAnsi="Palatino Linotype" w:cs="Palatino Linotype"/>
          <w:b/>
          <w:i/>
          <w:sz w:val="22"/>
          <w:szCs w:val="22"/>
        </w:rPr>
        <w:t xml:space="preserve">planeación, programación, </w:t>
      </w:r>
      <w:proofErr w:type="spellStart"/>
      <w:r w:rsidRPr="009F4204">
        <w:rPr>
          <w:rFonts w:ascii="Palatino Linotype" w:eastAsia="Palatino Linotype" w:hAnsi="Palatino Linotype" w:cs="Palatino Linotype"/>
          <w:b/>
          <w:i/>
          <w:sz w:val="22"/>
          <w:szCs w:val="22"/>
        </w:rPr>
        <w:t>presupuestación</w:t>
      </w:r>
      <w:proofErr w:type="spellEnd"/>
      <w:r w:rsidRPr="009F4204">
        <w:rPr>
          <w:rFonts w:ascii="Palatino Linotype" w:eastAsia="Palatino Linotype" w:hAnsi="Palatino Linotype" w:cs="Palatino Linotype"/>
          <w:b/>
          <w:i/>
          <w:sz w:val="22"/>
          <w:szCs w:val="22"/>
        </w:rPr>
        <w:t>, evaluación y contabilidad gubernamental</w:t>
      </w:r>
      <w:r w:rsidRPr="009F4204">
        <w:rPr>
          <w:rFonts w:ascii="Palatino Linotype" w:eastAsia="Palatino Linotype" w:hAnsi="Palatino Linotype" w:cs="Palatino Linotype"/>
          <w:i/>
          <w:sz w:val="22"/>
          <w:szCs w:val="22"/>
        </w:rPr>
        <w:t>, que se aprueben en el marco del Sistema de Coordinación Hacendaria del Estado de México.</w:t>
      </w:r>
    </w:p>
    <w:p w:rsidR="00DA678D" w:rsidRPr="009F4204" w:rsidRDefault="00A75E6B">
      <w:pPr>
        <w:spacing w:before="120" w:after="120"/>
        <w:ind w:left="862" w:right="86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343.-</w:t>
      </w:r>
      <w:r w:rsidRPr="009F4204">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DA678D" w:rsidRPr="009F4204" w:rsidRDefault="00A75E6B">
      <w:pPr>
        <w:spacing w:before="120" w:after="120"/>
        <w:ind w:left="862" w:right="86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rsidR="00DA678D" w:rsidRPr="009F4204" w:rsidRDefault="00A75E6B">
      <w:pPr>
        <w:spacing w:before="120" w:after="120"/>
        <w:ind w:left="862" w:right="862"/>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9F4204">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9F4204">
        <w:rPr>
          <w:rFonts w:ascii="Palatino Linotype" w:eastAsia="Palatino Linotype" w:hAnsi="Palatino Linotype" w:cs="Palatino Linotype"/>
          <w:b/>
          <w:i/>
          <w:sz w:val="22"/>
          <w:szCs w:val="22"/>
        </w:rPr>
        <w:t>.</w:t>
      </w:r>
    </w:p>
    <w:p w:rsidR="00DA678D" w:rsidRPr="009F4204" w:rsidRDefault="00A75E6B">
      <w:pPr>
        <w:spacing w:before="120" w:after="120"/>
        <w:ind w:left="862" w:right="862"/>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9F4204">
        <w:rPr>
          <w:rFonts w:ascii="Palatino Linotype" w:eastAsia="Palatino Linotype" w:hAnsi="Palatino Linotype" w:cs="Palatino Linotype"/>
          <w:i/>
          <w:sz w:val="22"/>
          <w:szCs w:val="22"/>
        </w:rPr>
        <w:t xml:space="preserve">según corresponda, así como de los órganos internos de control, </w:t>
      </w:r>
      <w:r w:rsidRPr="009F4204">
        <w:rPr>
          <w:rFonts w:ascii="Palatino Linotype" w:eastAsia="Palatino Linotype" w:hAnsi="Palatino Linotype" w:cs="Palatino Linotype"/>
          <w:b/>
          <w:i/>
          <w:sz w:val="22"/>
          <w:szCs w:val="22"/>
        </w:rPr>
        <w:t>por un término de cinco años,</w:t>
      </w:r>
      <w:r w:rsidRPr="009F4204">
        <w:rPr>
          <w:rFonts w:ascii="Palatino Linotype" w:eastAsia="Palatino Linotype" w:hAnsi="Palatino Linotype" w:cs="Palatino Linotype"/>
          <w:i/>
          <w:sz w:val="22"/>
          <w:szCs w:val="22"/>
        </w:rPr>
        <w:t xml:space="preserve"> contados a partir del ejercicio presupuestal siguiente al que corresponda,</w:t>
      </w:r>
      <w:r w:rsidRPr="009F4204">
        <w:rPr>
          <w:rFonts w:ascii="Palatino Linotype" w:eastAsia="Palatino Linotype" w:hAnsi="Palatino Linotype" w:cs="Palatino Linotype"/>
          <w:b/>
          <w:i/>
          <w:sz w:val="22"/>
          <w:szCs w:val="22"/>
        </w:rPr>
        <w:t xml:space="preserve"> en el caso de los Municipios, dicha obligación corresponderá a la Tesorería.</w:t>
      </w:r>
    </w:p>
    <w:p w:rsidR="00DA678D" w:rsidRPr="009F4204" w:rsidRDefault="00A75E6B">
      <w:pPr>
        <w:spacing w:before="120" w:after="120"/>
        <w:ind w:left="862" w:right="86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Tratándose de documentos de carácter histórico, se estará a lo dispuesto por la legislación de la materia.</w:t>
      </w:r>
    </w:p>
    <w:p w:rsidR="00DA678D" w:rsidRPr="009F4204" w:rsidRDefault="00A75E6B">
      <w:pPr>
        <w:spacing w:before="120" w:after="120"/>
        <w:ind w:left="862" w:right="86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p>
    <w:p w:rsidR="00DA678D" w:rsidRPr="009F4204" w:rsidRDefault="00A75E6B">
      <w:pPr>
        <w:spacing w:before="120" w:after="120"/>
        <w:ind w:left="862" w:right="862"/>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b/>
          <w:i/>
          <w:sz w:val="22"/>
          <w:szCs w:val="22"/>
        </w:rPr>
        <w:t>Artículo 345.-</w:t>
      </w:r>
      <w:r w:rsidRPr="009F4204">
        <w:rPr>
          <w:rFonts w:ascii="Palatino Linotype" w:eastAsia="Palatino Linotype" w:hAnsi="Palatino Linotype" w:cs="Palatino Linotype"/>
          <w:i/>
          <w:sz w:val="22"/>
          <w:szCs w:val="22"/>
        </w:rPr>
        <w:t xml:space="preserve"> </w:t>
      </w:r>
      <w:r w:rsidRPr="009F4204">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w:t>
      </w:r>
      <w:r w:rsidRPr="009F4204">
        <w:rPr>
          <w:rFonts w:ascii="Palatino Linotype" w:eastAsia="Palatino Linotype" w:hAnsi="Palatino Linotype" w:cs="Palatino Linotype"/>
          <w:b/>
          <w:i/>
          <w:sz w:val="22"/>
          <w:szCs w:val="22"/>
        </w:rPr>
        <w:lastRenderedPageBreak/>
        <w:t xml:space="preserve">la remitirán al Archivo Contable Gubernamental en un plazo que no excederá de seis meses. </w:t>
      </w:r>
      <w:r w:rsidRPr="009F4204">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9F4204">
        <w:rPr>
          <w:rFonts w:ascii="Palatino Linotype" w:eastAsia="Palatino Linotype" w:hAnsi="Palatino Linotype" w:cs="Palatino Linotype"/>
          <w:b/>
          <w:i/>
          <w:sz w:val="22"/>
          <w:szCs w:val="22"/>
        </w:rPr>
        <w:t>.</w:t>
      </w:r>
    </w:p>
    <w:p w:rsidR="00DA678D" w:rsidRPr="009F4204" w:rsidRDefault="00A75E6B">
      <w:pPr>
        <w:spacing w:before="120" w:after="120"/>
        <w:ind w:left="862" w:right="86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9F4204">
        <w:rPr>
          <w:rFonts w:ascii="Palatino Linotype" w:eastAsia="Palatino Linotype" w:hAnsi="Palatino Linotype" w:cs="Palatino Linotype"/>
          <w:b/>
          <w:i/>
          <w:sz w:val="22"/>
          <w:szCs w:val="22"/>
        </w:rPr>
        <w:t>deberán estar agregados en forma electrónica a cada póliza de registro contable</w:t>
      </w:r>
      <w:r w:rsidRPr="009F4204">
        <w:rPr>
          <w:rFonts w:ascii="Palatino Linotype" w:eastAsia="Palatino Linotype" w:hAnsi="Palatino Linotype" w:cs="Palatino Linotype"/>
          <w:i/>
          <w:sz w:val="22"/>
          <w:szCs w:val="22"/>
        </w:rPr>
        <w:t>.</w:t>
      </w:r>
    </w:p>
    <w:p w:rsidR="00DA678D" w:rsidRPr="009F4204" w:rsidRDefault="00A75E6B">
      <w:pPr>
        <w:spacing w:before="120" w:after="120"/>
        <w:ind w:left="862" w:right="862"/>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9F4204">
        <w:rPr>
          <w:rFonts w:ascii="Palatino Linotype" w:eastAsia="Palatino Linotype" w:hAnsi="Palatino Linotype" w:cs="Palatino Linotype"/>
          <w:b/>
          <w:i/>
          <w:sz w:val="22"/>
          <w:szCs w:val="22"/>
        </w:rPr>
        <w:t>”</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9F4204">
        <w:rPr>
          <w:rFonts w:ascii="Palatino Linotype" w:eastAsia="Palatino Linotype" w:hAnsi="Palatino Linotype" w:cs="Palatino Linotype"/>
        </w:rPr>
        <w:t>presupuestación</w:t>
      </w:r>
      <w:proofErr w:type="spellEnd"/>
      <w:r w:rsidRPr="009F4204">
        <w:rPr>
          <w:rFonts w:ascii="Palatino Linotype" w:eastAsia="Palatino Linotype" w:hAnsi="Palatino Linotype" w:cs="Palatino Linotype"/>
        </w:rPr>
        <w:t>, evaluación y contabilidad gubernamental.</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w:t>
      </w:r>
      <w:proofErr w:type="spellStart"/>
      <w:r w:rsidRPr="009F4204">
        <w:rPr>
          <w:rFonts w:ascii="Palatino Linotype" w:eastAsia="Palatino Linotype" w:hAnsi="Palatino Linotype" w:cs="Palatino Linotype"/>
        </w:rPr>
        <w:t>Presupuestación</w:t>
      </w:r>
      <w:proofErr w:type="spellEnd"/>
      <w:r w:rsidRPr="009F4204">
        <w:rPr>
          <w:rFonts w:ascii="Palatino Linotype" w:eastAsia="Palatino Linotype" w:hAnsi="Palatino Linotype" w:cs="Palatino Linotype"/>
        </w:rPr>
        <w:t xml:space="preserve"> y Evaluación en la Administración Pública”</w:t>
      </w:r>
      <w:r w:rsidRPr="009F4204">
        <w:rPr>
          <w:rFonts w:ascii="Palatino Linotype" w:eastAsia="Palatino Linotype" w:hAnsi="Palatino Linotype" w:cs="Palatino Linotype"/>
          <w:vertAlign w:val="superscript"/>
        </w:rPr>
        <w:footnoteReference w:id="4"/>
      </w:r>
      <w:r w:rsidRPr="009F4204">
        <w:rPr>
          <w:rFonts w:ascii="Palatino Linotype" w:eastAsia="Palatino Linotype" w:hAnsi="Palatino Linotype" w:cs="Palatino Linotype"/>
        </w:rPr>
        <w:t xml:space="preserve">, elaborado por el Grupo de Trabajo de Sistemas de Información Financiera, Contable y Presupuestal de la Comisión Permanente de Funcionarios Fiscales del Instituto para el Desarrollo </w:t>
      </w:r>
      <w:r w:rsidRPr="009F4204">
        <w:rPr>
          <w:rFonts w:ascii="Palatino Linotype" w:eastAsia="Palatino Linotype" w:hAnsi="Palatino Linotype" w:cs="Palatino Linotype"/>
        </w:rPr>
        <w:lastRenderedPageBreak/>
        <w:t>Técnico de las Haciendas Públicas, INDETEC, señalan las siguientes definiciones de las palabras registro contable y registro presupuestario:</w:t>
      </w:r>
    </w:p>
    <w:p w:rsidR="00DA678D" w:rsidRPr="009F4204" w:rsidRDefault="00A75E6B">
      <w:pPr>
        <w:spacing w:before="120" w:after="120"/>
        <w:ind w:left="851" w:right="900" w:hanging="9"/>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b/>
          <w:i/>
          <w:sz w:val="22"/>
          <w:szCs w:val="22"/>
        </w:rPr>
        <w:t>“REGISTRO CONTABLE</w:t>
      </w:r>
    </w:p>
    <w:p w:rsidR="00DA678D" w:rsidRPr="009F4204" w:rsidRDefault="00A75E6B">
      <w:pPr>
        <w:spacing w:before="120" w:after="120"/>
        <w:ind w:left="851" w:right="900" w:hanging="9"/>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rsidR="00DA678D" w:rsidRPr="009F4204" w:rsidRDefault="00A75E6B">
      <w:pPr>
        <w:spacing w:before="120" w:after="120"/>
        <w:ind w:left="851" w:right="900" w:hanging="9"/>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b/>
          <w:i/>
          <w:sz w:val="22"/>
          <w:szCs w:val="22"/>
        </w:rPr>
        <w:t>“REGISTRO PRESUPUESTARIO</w:t>
      </w:r>
    </w:p>
    <w:p w:rsidR="00DA678D" w:rsidRPr="009F4204" w:rsidRDefault="00A75E6B">
      <w:pPr>
        <w:spacing w:before="120" w:after="120"/>
        <w:ind w:left="851" w:right="900" w:hanging="9"/>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rsidR="00DA678D" w:rsidRPr="009F4204" w:rsidRDefault="00A75E6B">
      <w:pPr>
        <w:spacing w:before="240" w:after="240" w:line="360" w:lineRule="auto"/>
        <w:ind w:right="51"/>
        <w:jc w:val="both"/>
        <w:rPr>
          <w:rFonts w:ascii="Palatino Linotype" w:eastAsia="Palatino Linotype" w:hAnsi="Palatino Linotype" w:cs="Palatino Linotype"/>
        </w:rPr>
      </w:pPr>
      <w:r w:rsidRPr="009F4204">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Correlativo a lo anterior, es preciso referir una definición de </w:t>
      </w:r>
      <w:r w:rsidRPr="009F4204">
        <w:rPr>
          <w:rFonts w:ascii="Palatino Linotype" w:eastAsia="Palatino Linotype" w:hAnsi="Palatino Linotype" w:cs="Palatino Linotype"/>
          <w:i/>
        </w:rPr>
        <w:t>póliza contable</w:t>
      </w:r>
      <w:r w:rsidRPr="009F4204">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rsidR="006E546F" w:rsidRPr="009F4204" w:rsidRDefault="006E546F">
      <w:pPr>
        <w:spacing w:before="120" w:after="120"/>
        <w:ind w:left="862" w:right="902"/>
        <w:jc w:val="both"/>
        <w:rPr>
          <w:rFonts w:ascii="Palatino Linotype" w:eastAsia="Palatino Linotype" w:hAnsi="Palatino Linotype" w:cs="Palatino Linotype"/>
          <w:i/>
          <w:sz w:val="22"/>
          <w:szCs w:val="22"/>
        </w:rPr>
      </w:pPr>
    </w:p>
    <w:p w:rsidR="006E546F" w:rsidRPr="009F4204" w:rsidRDefault="006E546F">
      <w:pPr>
        <w:spacing w:before="120" w:after="120"/>
        <w:ind w:left="862" w:right="902"/>
        <w:jc w:val="both"/>
        <w:rPr>
          <w:rFonts w:ascii="Palatino Linotype" w:eastAsia="Palatino Linotype" w:hAnsi="Palatino Linotype" w:cs="Palatino Linotype"/>
          <w:i/>
          <w:sz w:val="22"/>
          <w:szCs w:val="22"/>
        </w:rPr>
      </w:pPr>
    </w:p>
    <w:p w:rsidR="00DA678D" w:rsidRPr="009F4204" w:rsidRDefault="00A75E6B">
      <w:pPr>
        <w:spacing w:before="120" w:after="120"/>
        <w:ind w:left="862" w:right="902"/>
        <w:jc w:val="both"/>
        <w:rPr>
          <w:rFonts w:ascii="Palatino Linotype" w:eastAsia="Palatino Linotype" w:hAnsi="Palatino Linotype" w:cs="Palatino Linotype"/>
          <w:b/>
          <w:i/>
          <w:sz w:val="22"/>
          <w:szCs w:val="22"/>
        </w:rPr>
      </w:pPr>
      <w:r w:rsidRPr="009F4204">
        <w:rPr>
          <w:rFonts w:ascii="Palatino Linotype" w:eastAsia="Palatino Linotype" w:hAnsi="Palatino Linotype" w:cs="Palatino Linotype"/>
          <w:i/>
          <w:sz w:val="22"/>
          <w:szCs w:val="22"/>
        </w:rPr>
        <w:lastRenderedPageBreak/>
        <w:t>“</w:t>
      </w:r>
      <w:r w:rsidRPr="009F4204">
        <w:rPr>
          <w:rFonts w:ascii="Palatino Linotype" w:eastAsia="Palatino Linotype" w:hAnsi="Palatino Linotype" w:cs="Palatino Linotype"/>
          <w:b/>
          <w:i/>
          <w:sz w:val="22"/>
          <w:szCs w:val="22"/>
        </w:rPr>
        <w:t>PÓLIZA CONTABLE</w:t>
      </w:r>
    </w:p>
    <w:p w:rsidR="00DA678D" w:rsidRPr="009F4204" w:rsidRDefault="00A75E6B">
      <w:pPr>
        <w:spacing w:before="120" w:after="120"/>
        <w:ind w:left="862"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rsidR="00DA678D" w:rsidRPr="009F4204" w:rsidRDefault="00A75E6B">
      <w:pPr>
        <w:spacing w:before="240" w:after="240" w:line="360" w:lineRule="auto"/>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rPr>
        <w:t xml:space="preserve">Así, se advierte que la </w:t>
      </w:r>
      <w:r w:rsidRPr="009F4204">
        <w:rPr>
          <w:rFonts w:ascii="Palatino Linotype" w:eastAsia="Palatino Linotype" w:hAnsi="Palatino Linotype" w:cs="Palatino Linotype"/>
          <w:i/>
        </w:rPr>
        <w:t>póliza contable</w:t>
      </w:r>
      <w:r w:rsidRPr="009F4204">
        <w:rPr>
          <w:rFonts w:ascii="Palatino Linotype" w:eastAsia="Palatino Linotype" w:hAnsi="Palatino Linotype" w:cs="Palatino Linotype"/>
        </w:rPr>
        <w:t xml:space="preserve"> constituye un registro contable y presupuestal con el que cuentan los Municipios para el registro de operaciones relacionadas con </w:t>
      </w:r>
      <w:r w:rsidRPr="009F4204">
        <w:rPr>
          <w:rFonts w:ascii="Palatino Linotype" w:eastAsia="Palatino Linotype" w:hAnsi="Palatino Linotype" w:cs="Palatino Linotype"/>
          <w:u w:val="single"/>
        </w:rPr>
        <w:t>ingresos y egresos</w:t>
      </w:r>
      <w:r w:rsidRPr="009F4204">
        <w:rPr>
          <w:rFonts w:ascii="Palatino Linotype" w:eastAsia="Palatino Linotype" w:hAnsi="Palatino Linotype" w:cs="Palatino Linotype"/>
        </w:rPr>
        <w:t xml:space="preserve"> y se anexan los documentos o comprobantes que justifiquen las anotaciones y cantidades en ellas registradas, lo que permite la identificación plena de dichas operaciones.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9F4204">
        <w:rPr>
          <w:rFonts w:ascii="Palatino Linotype" w:eastAsia="Palatino Linotype" w:hAnsi="Palatino Linotype" w:cs="Palatino Linotype"/>
          <w:i/>
        </w:rPr>
        <w:t>pólizas de egresos e ingresos</w:t>
      </w:r>
      <w:r w:rsidRPr="009F4204">
        <w:rPr>
          <w:rFonts w:ascii="Palatino Linotype" w:eastAsia="Palatino Linotype" w:hAnsi="Palatino Linotype" w:cs="Palatino Linotype"/>
        </w:rPr>
        <w:t xml:space="preserve">, </w:t>
      </w:r>
      <w:r w:rsidRPr="009F4204">
        <w:rPr>
          <w:rFonts w:ascii="Palatino Linotype" w:eastAsia="Palatino Linotype" w:hAnsi="Palatino Linotype" w:cs="Palatino Linotype"/>
          <w:b/>
        </w:rPr>
        <w:t xml:space="preserve">las primeras son aquellas en las cuales </w:t>
      </w:r>
      <w:r w:rsidRPr="009F4204">
        <w:rPr>
          <w:rFonts w:ascii="Palatino Linotype" w:eastAsia="Palatino Linotype" w:hAnsi="Palatino Linotype" w:cs="Palatino Linotype"/>
          <w:b/>
          <w:u w:val="single"/>
        </w:rPr>
        <w:t>se anotan diariamente las operaciones que representan gastos, es decir, salidas de dinero</w:t>
      </w:r>
      <w:r w:rsidRPr="009F4204">
        <w:rPr>
          <w:rFonts w:ascii="Palatino Linotype" w:eastAsia="Palatino Linotype" w:hAnsi="Palatino Linotype" w:cs="Palatino Linotype"/>
        </w:rPr>
        <w:t xml:space="preserve"> para 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xml:space="preserve"> las que además, </w:t>
      </w:r>
      <w:r w:rsidRPr="009F4204">
        <w:rPr>
          <w:rFonts w:ascii="Palatino Linotype" w:eastAsia="Palatino Linotype" w:hAnsi="Palatino Linotype" w:cs="Palatino Linotype"/>
          <w:b/>
        </w:rPr>
        <w:t>deben encontrarse acompañadas de las documentales que sirven de soporte de dicho movimiento</w:t>
      </w:r>
      <w:r w:rsidRPr="009F4204">
        <w:rPr>
          <w:rFonts w:ascii="Palatino Linotype" w:eastAsia="Palatino Linotype" w:hAnsi="Palatino Linotype" w:cs="Palatino Linotype"/>
        </w:rPr>
        <w:t>, en atención a las segundas, registran todas la entradas de dinero independientemente de la modalidad, ya sea en efectivo, transferencia, cheque o pagaré, mediante la expedición de facturas.</w:t>
      </w:r>
    </w:p>
    <w:p w:rsidR="00DA678D" w:rsidRPr="009F4204" w:rsidRDefault="00A75E6B">
      <w:pPr>
        <w:spacing w:before="240" w:after="240" w:line="360" w:lineRule="auto"/>
        <w:ind w:right="51"/>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w:t>
      </w:r>
      <w:r w:rsidRPr="009F4204">
        <w:rPr>
          <w:rFonts w:ascii="Palatino Linotype" w:eastAsia="Palatino Linotype" w:hAnsi="Palatino Linotype" w:cs="Palatino Linotype"/>
        </w:rPr>
        <w:lastRenderedPageBreak/>
        <w:t xml:space="preserve">partir del ejercicio presupuestal siguiente al que corresponda, tal y como se establece en el Código Financiero del Estado de México. </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Así, se puede advertir que, de la información requerida, los documentos que pueden satisfacer el requerimiento del particular serían precisamente los registros contables acompañados de los documentos o comprobantes que justifiquen las anotaciones y cantidades en ellas registradas.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En este sentido, cabe referir que la Ley de Fiscalización Superior del Estado de México, toda vez que señala que los municipios que conforman el Estado de México, entre ellos 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es considerado como ente fiscalizable, como así lo señala el artículo 4 fracción II de la Ley de Fiscalización Superior del Estado de México, el cual señala:</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Artículo 4</w:t>
      </w:r>
      <w:r w:rsidRPr="009F4204">
        <w:rPr>
          <w:rFonts w:ascii="Palatino Linotype" w:eastAsia="Palatino Linotype" w:hAnsi="Palatino Linotype" w:cs="Palatino Linotype"/>
          <w:i/>
          <w:sz w:val="22"/>
          <w:szCs w:val="22"/>
        </w:rPr>
        <w:t>. Son sujetos de fiscalización:</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u w:val="single"/>
        </w:rPr>
        <w:t>Los municipios del Estado de México</w:t>
      </w:r>
      <w:r w:rsidRPr="009F4204">
        <w:rPr>
          <w:rFonts w:ascii="Palatino Linotype" w:eastAsia="Palatino Linotype" w:hAnsi="Palatino Linotype" w:cs="Palatino Linotype"/>
          <w:i/>
          <w:sz w:val="22"/>
          <w:szCs w:val="22"/>
        </w:rPr>
        <w:t>…”</w:t>
      </w:r>
    </w:p>
    <w:p w:rsidR="00DA678D" w:rsidRPr="009F4204" w:rsidRDefault="00A75E6B">
      <w:pPr>
        <w:spacing w:before="240" w:after="240" w:line="360" w:lineRule="auto"/>
        <w:ind w:right="49"/>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Asimismo, el ordenamiento legal referido señala en su artículo 8, fracción XI, lo siguiente: </w:t>
      </w:r>
    </w:p>
    <w:p w:rsidR="00DA678D" w:rsidRPr="009F4204" w:rsidRDefault="00A75E6B">
      <w:pPr>
        <w:spacing w:before="120" w:after="12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“Artículo 8</w:t>
      </w:r>
      <w:r w:rsidRPr="009F4204">
        <w:rPr>
          <w:rFonts w:ascii="Palatino Linotype" w:eastAsia="Palatino Linotype" w:hAnsi="Palatino Linotype" w:cs="Palatino Linotype"/>
          <w:i/>
          <w:sz w:val="22"/>
          <w:szCs w:val="22"/>
        </w:rPr>
        <w:t>. El Órgano Superior tendrá las siguientes atribuciones:</w:t>
      </w:r>
    </w:p>
    <w:p w:rsidR="00DA678D" w:rsidRPr="009F4204" w:rsidRDefault="00A75E6B">
      <w:pPr>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p>
    <w:p w:rsidR="00DA678D" w:rsidRPr="009F4204" w:rsidRDefault="00A75E6B">
      <w:pPr>
        <w:spacing w:before="120" w:after="120"/>
        <w:ind w:left="1134"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XI.</w:t>
      </w:r>
      <w:r w:rsidRPr="009F4204">
        <w:rPr>
          <w:rFonts w:ascii="Palatino Linotype" w:eastAsia="Palatino Linotype" w:hAnsi="Palatino Linotype" w:cs="Palatino Linotype"/>
          <w:i/>
          <w:sz w:val="22"/>
          <w:szCs w:val="22"/>
        </w:rPr>
        <w:t xml:space="preserve"> </w:t>
      </w:r>
      <w:r w:rsidRPr="009F4204">
        <w:rPr>
          <w:rFonts w:ascii="Palatino Linotype" w:eastAsia="Palatino Linotype" w:hAnsi="Palatino Linotype" w:cs="Palatino Linotype"/>
          <w:b/>
          <w:i/>
          <w:sz w:val="22"/>
          <w:szCs w:val="22"/>
        </w:rPr>
        <w:t>Establecer los lineamientos, criterios, procedimientos, métodos y sistemas para las acciones de control y evaluación, necesarios para la fiscalización de las cuentas públicas y los informes trimestrales</w:t>
      </w:r>
      <w:r w:rsidRPr="009F4204">
        <w:rPr>
          <w:rFonts w:ascii="Palatino Linotype" w:eastAsia="Palatino Linotype" w:hAnsi="Palatino Linotype" w:cs="Palatino Linotype"/>
          <w:i/>
          <w:sz w:val="22"/>
          <w:szCs w:val="22"/>
        </w:rPr>
        <w:t>…”</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En esta tesitura, los “Lineamientos para la integración y entrega del Informe Trimestral Municipal 2022”, emitidos por el Órgano Superior de Fiscalización del Estado de México, OSFEM, mismos que establecen los criterios, formatos y </w:t>
      </w:r>
      <w:r w:rsidRPr="009F4204">
        <w:rPr>
          <w:rFonts w:ascii="Palatino Linotype" w:eastAsia="Palatino Linotype" w:hAnsi="Palatino Linotype" w:cs="Palatino Linotype"/>
        </w:rPr>
        <w:lastRenderedPageBreak/>
        <w:t>documentación necesaria para presentar los informes trimestrales por parte de los entes fiscalizables, integrando la información en cuatro Módulos que contienen la información que se detalla a continuación:</w:t>
      </w:r>
    </w:p>
    <w:p w:rsidR="00DA678D" w:rsidRPr="009F4204" w:rsidRDefault="00A75E6B">
      <w:pPr>
        <w:spacing w:before="240" w:after="240" w:line="360" w:lineRule="auto"/>
        <w:jc w:val="center"/>
        <w:rPr>
          <w:rFonts w:ascii="Palatino Linotype" w:eastAsia="Palatino Linotype" w:hAnsi="Palatino Linotype" w:cs="Palatino Linotype"/>
        </w:rPr>
      </w:pPr>
      <w:r w:rsidRPr="009F4204">
        <w:rPr>
          <w:rFonts w:ascii="Palatino Linotype" w:eastAsia="Palatino Linotype" w:hAnsi="Palatino Linotype" w:cs="Palatino Linotype"/>
          <w:noProof/>
        </w:rPr>
        <w:drawing>
          <wp:inline distT="0" distB="0" distL="0" distR="0" wp14:anchorId="294E11B8" wp14:editId="330A836E">
            <wp:extent cx="3240000" cy="1722565"/>
            <wp:effectExtent l="0" t="0" r="0" b="0"/>
            <wp:docPr id="1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5011" b="4799"/>
                    <a:stretch>
                      <a:fillRect/>
                    </a:stretch>
                  </pic:blipFill>
                  <pic:spPr>
                    <a:xfrm>
                      <a:off x="0" y="0"/>
                      <a:ext cx="3240000" cy="1722565"/>
                    </a:xfrm>
                    <a:prstGeom prst="rect">
                      <a:avLst/>
                    </a:prstGeom>
                    <a:ln/>
                  </pic:spPr>
                </pic:pic>
              </a:graphicData>
            </a:graphic>
          </wp:inline>
        </w:drawing>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A su vez los Módulos se dividen en </w:t>
      </w:r>
      <w:proofErr w:type="spellStart"/>
      <w:r w:rsidRPr="009F4204">
        <w:rPr>
          <w:rFonts w:ascii="Palatino Linotype" w:eastAsia="Palatino Linotype" w:hAnsi="Palatino Linotype" w:cs="Palatino Linotype"/>
        </w:rPr>
        <w:t>submódulos</w:t>
      </w:r>
      <w:proofErr w:type="spellEnd"/>
      <w:r w:rsidRPr="009F4204">
        <w:rPr>
          <w:rFonts w:ascii="Palatino Linotype" w:eastAsia="Palatino Linotype" w:hAnsi="Palatino Linotype" w:cs="Palatino Linotype"/>
        </w:rPr>
        <w:t xml:space="preserve">, de los que destaca, en relación con el análisis que nos ocupa, el </w:t>
      </w:r>
      <w:proofErr w:type="spellStart"/>
      <w:r w:rsidRPr="009F4204">
        <w:rPr>
          <w:rFonts w:ascii="Palatino Linotype" w:eastAsia="Palatino Linotype" w:hAnsi="Palatino Linotype" w:cs="Palatino Linotype"/>
        </w:rPr>
        <w:t>submódulo</w:t>
      </w:r>
      <w:proofErr w:type="spellEnd"/>
      <w:r w:rsidRPr="009F4204">
        <w:rPr>
          <w:rFonts w:ascii="Palatino Linotype" w:eastAsia="Palatino Linotype" w:hAnsi="Palatino Linotype" w:cs="Palatino Linotype"/>
        </w:rPr>
        <w:t xml:space="preserve"> relativo a “Pólizas”, del Módulo 1:</w:t>
      </w:r>
    </w:p>
    <w:p w:rsidR="00DA678D" w:rsidRPr="009F4204" w:rsidRDefault="00A75E6B">
      <w:pPr>
        <w:spacing w:before="240" w:after="240" w:line="360" w:lineRule="auto"/>
        <w:jc w:val="center"/>
        <w:rPr>
          <w:rFonts w:ascii="Palatino Linotype" w:eastAsia="Palatino Linotype" w:hAnsi="Palatino Linotype" w:cs="Palatino Linotype"/>
        </w:rPr>
      </w:pPr>
      <w:r w:rsidRPr="009F4204">
        <w:rPr>
          <w:rFonts w:ascii="Palatino Linotype" w:eastAsia="Palatino Linotype" w:hAnsi="Palatino Linotype" w:cs="Palatino Linotype"/>
          <w:noProof/>
        </w:rPr>
        <w:drawing>
          <wp:inline distT="0" distB="0" distL="0" distR="0" wp14:anchorId="3560E6A8" wp14:editId="617D90BF">
            <wp:extent cx="5148000" cy="3031829"/>
            <wp:effectExtent l="0" t="0" r="0" b="0"/>
            <wp:docPr id="12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5148000" cy="3031829"/>
                    </a:xfrm>
                    <a:prstGeom prst="rect">
                      <a:avLst/>
                    </a:prstGeom>
                    <a:ln/>
                  </pic:spPr>
                </pic:pic>
              </a:graphicData>
            </a:graphic>
          </wp:inline>
        </w:drawing>
      </w:r>
      <w:r w:rsidRPr="009F4204">
        <w:rPr>
          <w:noProof/>
        </w:rPr>
        <mc:AlternateContent>
          <mc:Choice Requires="wps">
            <w:drawing>
              <wp:anchor distT="0" distB="0" distL="114300" distR="114300" simplePos="0" relativeHeight="251660288" behindDoc="0" locked="0" layoutInCell="1" hidden="0" allowOverlap="1" wp14:anchorId="2926E7CC" wp14:editId="549752FA">
                <wp:simplePos x="0" y="0"/>
                <wp:positionH relativeFrom="column">
                  <wp:posOffset>495300</wp:posOffset>
                </wp:positionH>
                <wp:positionV relativeFrom="paragraph">
                  <wp:posOffset>2235200</wp:posOffset>
                </wp:positionV>
                <wp:extent cx="4904105" cy="799465"/>
                <wp:effectExtent l="0" t="0" r="0" b="0"/>
                <wp:wrapNone/>
                <wp:docPr id="117" name="Rectángulo 117"/>
                <wp:cNvGraphicFramePr/>
                <a:graphic xmlns:a="http://schemas.openxmlformats.org/drawingml/2006/main">
                  <a:graphicData uri="http://schemas.microsoft.com/office/word/2010/wordprocessingShape">
                    <wps:wsp>
                      <wps:cNvSpPr/>
                      <wps:spPr>
                        <a:xfrm>
                          <a:off x="2908235" y="3394555"/>
                          <a:ext cx="4875530" cy="770890"/>
                        </a:xfrm>
                        <a:prstGeom prst="rect">
                          <a:avLst/>
                        </a:prstGeom>
                        <a:noFill/>
                        <a:ln w="28575" cap="flat" cmpd="sng">
                          <a:solidFill>
                            <a:srgbClr val="C00000"/>
                          </a:solidFill>
                          <a:prstDash val="solid"/>
                          <a:round/>
                          <a:headEnd type="none" w="sm" len="sm"/>
                          <a:tailEnd type="none" w="sm" len="sm"/>
                        </a:ln>
                      </wps:spPr>
                      <wps:txbx>
                        <w:txbxContent>
                          <w:p w:rsidR="00736B30" w:rsidRDefault="00736B30">
                            <w:pPr>
                              <w:textDirection w:val="btLr"/>
                            </w:pPr>
                          </w:p>
                        </w:txbxContent>
                      </wps:txbx>
                      <wps:bodyPr spcFirstLastPara="1" wrap="square" lIns="91425" tIns="91425" rIns="91425" bIns="91425" anchor="ctr" anchorCtr="0">
                        <a:noAutofit/>
                      </wps:bodyPr>
                    </wps:wsp>
                  </a:graphicData>
                </a:graphic>
              </wp:anchor>
            </w:drawing>
          </mc:Choice>
          <mc:Fallback>
            <w:pict>
              <v:rect w14:anchorId="1B846F51" id="Rectángulo 117" o:spid="_x0000_s1026" style="position:absolute;left:0;text-align:left;margin-left:39pt;margin-top:176pt;width:386.15pt;height:62.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N1MAIAAEQEAAAOAAAAZHJzL2Uyb0RvYy54bWysU1uu0zAQ/UdiD5b/adJH6ENNr1BLEdIV&#10;VFxYwNRxEkt+YbtNuhzWwsYYO+W2wAcSIh/OTHwyc+bMzPqhV5KcufPC6JKORzklXDNTCd2U9Mvn&#10;/asFJT6ArkAazUt64Z4+bF6+WHd2xSemNbLijmAQ7VedLWkbgl1lmWctV+BHxnKNl7VxCgK6rskq&#10;Bx1GVzKb5PnrrDOuss4w7j1+3Q2XdJPi1zVn4WNdex6ILClyC+l06TzGM9usYdU4sK1gVxrwDywU&#10;CI1Jn0PtIAA5OfFHKCWYM97UYcSMykxdC8ZTDVjNOP+tmqcWLE+1oDjePsvk/19Y9uF8cERU2Lvx&#10;nBINCpv0CWX7/k03J2lI/IwiddavEPtkD+7qeTRjxX3tVHxjLaQv6WSZLybTgpJLSafT5awoikFk&#10;3gfCEDBbzItiir1giJjP88UydSG7RbLOh3fcKBKNkjpkk7SF86MPmB2hPyExsTZ7IWVqpNSkQwqL&#10;Yo4EGOA81RICmspihV43KY43UlTxn/i3d81xKx05A07INo9P5Is5foHFhDvw7YBLV0NZzpx0lZK3&#10;HKq3uiLhYlFDjeNOIxuvKJEclwONhAsg5N9xSEBq5BGFH6SOVuiPPQaJ5tFUF2ydt2wvkNwj+HAA&#10;h8M7xrQ40Jjw6wkckpDvNU7McjyboCrh3nH3zvHeAc1ag3vCgqNkcLYh7c0g+ZtTMLVI3biRudLF&#10;UU0CXtcq7sK9n1C35d/8AAAA//8DAFBLAwQUAAYACAAAACEAOMvtTuAAAAAKAQAADwAAAGRycy9k&#10;b3ducmV2LnhtbEyPwU7DMBBE70j8g7VI3KhDS0maZlMBFeKAhEShd9c2Tmi8jmynSf8ec4LbrGY0&#10;+6baTLZjJ+1D6wjhdpYB0ySdaskgfH483xTAQhSkROdII5x1gE19eVGJUrmR3vVpFw1LJRRKgdDE&#10;2JecB9loK8LM9ZqS9+W8FTGd3nDlxZjKbcfnWXbPrWgpfWhEr58aLY+7wSKMfjDb1/zNHOVL2J8f&#10;+Xbfym/E66vpYQ0s6in+heEXP6FDnZgObiAVWIeQF2lKRFgs50mkQLHMFsAOCHd5vgJeV/z/hPoH&#10;AAD//wMAUEsBAi0AFAAGAAgAAAAhALaDOJL+AAAA4QEAABMAAAAAAAAAAAAAAAAAAAAAAFtDb250&#10;ZW50X1R5cGVzXS54bWxQSwECLQAUAAYACAAAACEAOP0h/9YAAACUAQAACwAAAAAAAAAAAAAAAAAv&#10;AQAAX3JlbHMvLnJlbHNQSwECLQAUAAYACAAAACEAV4RjdTACAABEBAAADgAAAAAAAAAAAAAAAAAu&#10;AgAAZHJzL2Uyb0RvYy54bWxQSwECLQAUAAYACAAAACEAOMvtTuAAAAAKAQAADwAAAAAAAAAAAAAA&#10;AACKBAAAZHJzL2Rvd25yZXYueG1sUEsFBgAAAAAEAAQA8wAAAJcFAAAAAA==&#10;" filled="f" strokecolor="#c00000" strokeweight="2.25pt">
                <v:stroke startarrowwidth="narrow" startarrowlength="short" endarrowwidth="narrow" endarrowlength="short" joinstyle="round"/>
                <v:textbox inset="2.53958mm,2.53958mm,2.53958mm,2.53958mm">
                  <w:txbxContent>
                    <w:p w:rsidR="00736B30" w:rsidRDefault="00736B30">
                      <w:pPr>
                        <w:textDirection w:val="btLr"/>
                      </w:pPr>
                    </w:p>
                  </w:txbxContent>
                </v:textbox>
              </v:rect>
            </w:pict>
          </mc:Fallback>
        </mc:AlternateConten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lastRenderedPageBreak/>
        <w:t xml:space="preserve">Como se advierte en la imagen anterior, el </w:t>
      </w:r>
      <w:proofErr w:type="spellStart"/>
      <w:r w:rsidRPr="009F4204">
        <w:rPr>
          <w:rFonts w:ascii="Palatino Linotype" w:eastAsia="Palatino Linotype" w:hAnsi="Palatino Linotype" w:cs="Palatino Linotype"/>
        </w:rPr>
        <w:t>submódulo</w:t>
      </w:r>
      <w:proofErr w:type="spellEnd"/>
      <w:r w:rsidRPr="009F4204">
        <w:rPr>
          <w:rFonts w:ascii="Palatino Linotype" w:eastAsia="Palatino Linotype" w:hAnsi="Palatino Linotype" w:cs="Palatino Linotype"/>
        </w:rPr>
        <w:t xml:space="preserve"> “Pólizas”, se integra por las pólizas de ingresos, las pólizas de diario, y las pólizas de egresos y las pólizas de cheque, cada tipo con los respectivos documentos comprobatorios, información que se debe grabar en 3 discos compactos, cada uno con un mes del trimestre.</w:t>
      </w:r>
    </w:p>
    <w:p w:rsidR="00DA678D" w:rsidRPr="009F4204" w:rsidRDefault="00A75E6B">
      <w:pPr>
        <w:spacing w:before="240" w:after="240" w:line="360" w:lineRule="auto"/>
        <w:jc w:val="both"/>
        <w:rPr>
          <w:rFonts w:ascii="Palatino Linotype" w:eastAsia="Palatino Linotype" w:hAnsi="Palatino Linotype" w:cs="Palatino Linotype"/>
        </w:rPr>
      </w:pPr>
      <w:bookmarkStart w:id="9" w:name="_heading=h.26in1rg" w:colFirst="0" w:colLast="0"/>
      <w:bookmarkEnd w:id="9"/>
      <w:r w:rsidRPr="009F4204">
        <w:rPr>
          <w:rFonts w:ascii="Palatino Linotype" w:eastAsia="Palatino Linotype" w:hAnsi="Palatino Linotype" w:cs="Palatino Linotype"/>
        </w:rPr>
        <w:t>Derivado de la interpretación del requerimiento de información, se considera que la persona solicitante se encuentra interesada en las pólizas de egresos o en las pólizas de cheque, teniendo por finalidad las primeras la de registrar cualquier operación contable en la que se produzca una salida de efectivo o erogaciones, y las segundas en caso de tratarse de una erogación que se realiza a través de un cheque, por lo que es necesario señalar que el Instructivo del Módulo 1, establece los formatos así como el instructivo de llenado para el adecuado cumplimiento de la presentación del Informe, como a continuación se ilustra para un mejor entendimiento:</w:t>
      </w:r>
    </w:p>
    <w:p w:rsidR="00DA678D" w:rsidRPr="009F4204" w:rsidRDefault="00DA678D">
      <w:pPr>
        <w:spacing w:before="240" w:after="240" w:line="360" w:lineRule="auto"/>
        <w:jc w:val="both"/>
        <w:rPr>
          <w:rFonts w:ascii="Palatino Linotype" w:eastAsia="Palatino Linotype" w:hAnsi="Palatino Linotype" w:cs="Palatino Linotype"/>
        </w:rPr>
      </w:pPr>
    </w:p>
    <w:p w:rsidR="00DA678D" w:rsidRPr="009F4204" w:rsidRDefault="00A75E6B">
      <w:pPr>
        <w:jc w:val="center"/>
        <w:rPr>
          <w:rFonts w:ascii="Palatino Linotype" w:eastAsia="Palatino Linotype" w:hAnsi="Palatino Linotype" w:cs="Palatino Linotype"/>
        </w:rPr>
      </w:pPr>
      <w:r w:rsidRPr="009F4204">
        <w:rPr>
          <w:rFonts w:ascii="Palatino Linotype" w:eastAsia="Palatino Linotype" w:hAnsi="Palatino Linotype" w:cs="Palatino Linotype"/>
          <w:noProof/>
        </w:rPr>
        <w:drawing>
          <wp:inline distT="0" distB="0" distL="0" distR="0" wp14:anchorId="4C5720CE" wp14:editId="45924C76">
            <wp:extent cx="4500000" cy="1224000"/>
            <wp:effectExtent l="0" t="0" r="0" b="0"/>
            <wp:docPr id="1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b="70028"/>
                    <a:stretch>
                      <a:fillRect/>
                    </a:stretch>
                  </pic:blipFill>
                  <pic:spPr>
                    <a:xfrm>
                      <a:off x="0" y="0"/>
                      <a:ext cx="4500000" cy="1224000"/>
                    </a:xfrm>
                    <a:prstGeom prst="rect">
                      <a:avLst/>
                    </a:prstGeom>
                    <a:ln/>
                  </pic:spPr>
                </pic:pic>
              </a:graphicData>
            </a:graphic>
          </wp:inline>
        </w:drawing>
      </w:r>
    </w:p>
    <w:p w:rsidR="00DA678D" w:rsidRPr="009F4204" w:rsidRDefault="00DA678D">
      <w:pPr>
        <w:jc w:val="center"/>
        <w:rPr>
          <w:rFonts w:ascii="Palatino Linotype" w:eastAsia="Palatino Linotype" w:hAnsi="Palatino Linotype" w:cs="Palatino Linotype"/>
        </w:rPr>
      </w:pPr>
    </w:p>
    <w:p w:rsidR="00DA678D" w:rsidRPr="009F4204" w:rsidRDefault="00DA678D">
      <w:pPr>
        <w:jc w:val="center"/>
        <w:rPr>
          <w:rFonts w:ascii="Palatino Linotype" w:eastAsia="Palatino Linotype" w:hAnsi="Palatino Linotype" w:cs="Palatino Linotype"/>
        </w:rPr>
      </w:pPr>
    </w:p>
    <w:p w:rsidR="00DA678D" w:rsidRPr="009F4204" w:rsidRDefault="00A75E6B">
      <w:pPr>
        <w:jc w:val="center"/>
        <w:rPr>
          <w:rFonts w:ascii="Palatino Linotype" w:eastAsia="Palatino Linotype" w:hAnsi="Palatino Linotype" w:cs="Palatino Linotype"/>
        </w:rPr>
      </w:pPr>
      <w:r w:rsidRPr="009F4204">
        <w:rPr>
          <w:rFonts w:ascii="Palatino Linotype" w:eastAsia="Palatino Linotype" w:hAnsi="Palatino Linotype" w:cs="Palatino Linotype"/>
          <w:noProof/>
        </w:rPr>
        <w:lastRenderedPageBreak/>
        <w:drawing>
          <wp:inline distT="0" distB="0" distL="0" distR="0" wp14:anchorId="188C2B9A" wp14:editId="54717987">
            <wp:extent cx="4680000" cy="2700000"/>
            <wp:effectExtent l="0" t="0" r="0" b="0"/>
            <wp:docPr id="1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t="32665"/>
                    <a:stretch>
                      <a:fillRect/>
                    </a:stretch>
                  </pic:blipFill>
                  <pic:spPr>
                    <a:xfrm>
                      <a:off x="0" y="0"/>
                      <a:ext cx="4680000" cy="2700000"/>
                    </a:xfrm>
                    <a:prstGeom prst="rect">
                      <a:avLst/>
                    </a:prstGeom>
                    <a:ln/>
                  </pic:spPr>
                </pic:pic>
              </a:graphicData>
            </a:graphic>
          </wp:inline>
        </w:drawing>
      </w:r>
    </w:p>
    <w:p w:rsidR="00DA678D" w:rsidRPr="009F4204" w:rsidRDefault="00DA678D">
      <w:pPr>
        <w:jc w:val="center"/>
        <w:rPr>
          <w:rFonts w:ascii="Palatino Linotype" w:eastAsia="Palatino Linotype" w:hAnsi="Palatino Linotype" w:cs="Palatino Linotype"/>
        </w:rPr>
      </w:pPr>
    </w:p>
    <w:p w:rsidR="00DA678D" w:rsidRPr="009F4204" w:rsidRDefault="00A75E6B">
      <w:pPr>
        <w:jc w:val="center"/>
        <w:rPr>
          <w:rFonts w:ascii="Palatino Linotype" w:eastAsia="Palatino Linotype" w:hAnsi="Palatino Linotype" w:cs="Palatino Linotype"/>
        </w:rPr>
      </w:pPr>
      <w:r w:rsidRPr="009F4204">
        <w:rPr>
          <w:rFonts w:ascii="Palatino Linotype" w:eastAsia="Palatino Linotype" w:hAnsi="Palatino Linotype" w:cs="Palatino Linotype"/>
          <w:noProof/>
        </w:rPr>
        <w:drawing>
          <wp:inline distT="0" distB="0" distL="0" distR="0" wp14:anchorId="20500DEE" wp14:editId="3A332DCA">
            <wp:extent cx="4500000" cy="3168000"/>
            <wp:effectExtent l="0" t="0" r="0" b="0"/>
            <wp:docPr id="12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b="42856"/>
                    <a:stretch>
                      <a:fillRect/>
                    </a:stretch>
                  </pic:blipFill>
                  <pic:spPr>
                    <a:xfrm>
                      <a:off x="0" y="0"/>
                      <a:ext cx="4500000" cy="3168000"/>
                    </a:xfrm>
                    <a:prstGeom prst="rect">
                      <a:avLst/>
                    </a:prstGeom>
                    <a:ln/>
                  </pic:spPr>
                </pic:pic>
              </a:graphicData>
            </a:graphic>
          </wp:inline>
        </w:drawing>
      </w:r>
    </w:p>
    <w:p w:rsidR="00DA678D" w:rsidRPr="009F4204" w:rsidRDefault="00DA678D">
      <w:pPr>
        <w:jc w:val="center"/>
        <w:rPr>
          <w:rFonts w:ascii="Palatino Linotype" w:eastAsia="Palatino Linotype" w:hAnsi="Palatino Linotype" w:cs="Palatino Linotype"/>
        </w:rPr>
      </w:pPr>
    </w:p>
    <w:p w:rsidR="00DA678D" w:rsidRPr="009F4204" w:rsidRDefault="00A75E6B">
      <w:pPr>
        <w:jc w:val="center"/>
        <w:rPr>
          <w:rFonts w:ascii="Palatino Linotype" w:eastAsia="Palatino Linotype" w:hAnsi="Palatino Linotype" w:cs="Palatino Linotype"/>
        </w:rPr>
      </w:pPr>
      <w:r w:rsidRPr="009F4204">
        <w:rPr>
          <w:rFonts w:ascii="Palatino Linotype" w:eastAsia="Palatino Linotype" w:hAnsi="Palatino Linotype" w:cs="Palatino Linotype"/>
          <w:noProof/>
        </w:rPr>
        <w:lastRenderedPageBreak/>
        <w:drawing>
          <wp:inline distT="0" distB="0" distL="0" distR="0" wp14:anchorId="58707F6A" wp14:editId="6ED4E7F6">
            <wp:extent cx="4500000" cy="2520000"/>
            <wp:effectExtent l="0" t="0" r="0" b="0"/>
            <wp:docPr id="1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t="57445"/>
                    <a:stretch>
                      <a:fillRect/>
                    </a:stretch>
                  </pic:blipFill>
                  <pic:spPr>
                    <a:xfrm>
                      <a:off x="0" y="0"/>
                      <a:ext cx="4500000" cy="2520000"/>
                    </a:xfrm>
                    <a:prstGeom prst="rect">
                      <a:avLst/>
                    </a:prstGeom>
                    <a:ln/>
                  </pic:spPr>
                </pic:pic>
              </a:graphicData>
            </a:graphic>
          </wp:inline>
        </w:drawing>
      </w:r>
    </w:p>
    <w:p w:rsidR="00DA678D" w:rsidRPr="009F4204" w:rsidRDefault="00A75E6B">
      <w:pPr>
        <w:jc w:val="center"/>
        <w:rPr>
          <w:rFonts w:ascii="Palatino Linotype" w:eastAsia="Palatino Linotype" w:hAnsi="Palatino Linotype" w:cs="Palatino Linotype"/>
        </w:rPr>
      </w:pPr>
      <w:r w:rsidRPr="009F4204">
        <w:rPr>
          <w:rFonts w:ascii="Palatino Linotype" w:eastAsia="Palatino Linotype" w:hAnsi="Palatino Linotype" w:cs="Palatino Linotype"/>
          <w:noProof/>
        </w:rPr>
        <w:drawing>
          <wp:inline distT="0" distB="0" distL="0" distR="0" wp14:anchorId="78D3BC21" wp14:editId="6DE53040">
            <wp:extent cx="4500000" cy="3420000"/>
            <wp:effectExtent l="0" t="0" r="0" b="0"/>
            <wp:docPr id="12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4500000" cy="3420000"/>
                    </a:xfrm>
                    <a:prstGeom prst="rect">
                      <a:avLst/>
                    </a:prstGeom>
                    <a:ln/>
                  </pic:spPr>
                </pic:pic>
              </a:graphicData>
            </a:graphic>
          </wp:inline>
        </w:drawing>
      </w:r>
    </w:p>
    <w:p w:rsidR="00DA678D" w:rsidRPr="009F4204" w:rsidRDefault="00DA678D">
      <w:pPr>
        <w:jc w:val="both"/>
        <w:rPr>
          <w:rFonts w:ascii="Palatino Linotype" w:eastAsia="Palatino Linotype" w:hAnsi="Palatino Linotype" w:cs="Palatino Linotype"/>
        </w:rPr>
      </w:pPr>
    </w:p>
    <w:p w:rsidR="00DA678D" w:rsidRPr="009F4204" w:rsidRDefault="00DA678D">
      <w:pPr>
        <w:jc w:val="both"/>
        <w:rPr>
          <w:rFonts w:ascii="Palatino Linotype" w:eastAsia="Palatino Linotype" w:hAnsi="Palatino Linotype" w:cs="Palatino Linotype"/>
        </w:rPr>
      </w:pPr>
    </w:p>
    <w:p w:rsidR="00DA678D" w:rsidRPr="009F4204" w:rsidRDefault="00A75E6B">
      <w:pPr>
        <w:spacing w:line="360" w:lineRule="auto"/>
        <w:jc w:val="center"/>
        <w:rPr>
          <w:rFonts w:ascii="Palatino Linotype" w:eastAsia="Palatino Linotype" w:hAnsi="Palatino Linotype" w:cs="Palatino Linotype"/>
        </w:rPr>
      </w:pPr>
      <w:r w:rsidRPr="009F4204">
        <w:rPr>
          <w:rFonts w:ascii="Palatino Linotype" w:eastAsia="Palatino Linotype" w:hAnsi="Palatino Linotype" w:cs="Palatino Linotype"/>
          <w:noProof/>
        </w:rPr>
        <w:drawing>
          <wp:inline distT="0" distB="0" distL="0" distR="0" wp14:anchorId="0C79079B" wp14:editId="1A257EA2">
            <wp:extent cx="5040000" cy="1141166"/>
            <wp:effectExtent l="0" t="0" r="0" b="0"/>
            <wp:docPr id="1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b="76666"/>
                    <a:stretch>
                      <a:fillRect/>
                    </a:stretch>
                  </pic:blipFill>
                  <pic:spPr>
                    <a:xfrm>
                      <a:off x="0" y="0"/>
                      <a:ext cx="5040000" cy="1141166"/>
                    </a:xfrm>
                    <a:prstGeom prst="rect">
                      <a:avLst/>
                    </a:prstGeom>
                    <a:ln/>
                  </pic:spPr>
                </pic:pic>
              </a:graphicData>
            </a:graphic>
          </wp:inline>
        </w:drawing>
      </w:r>
    </w:p>
    <w:p w:rsidR="00DA678D" w:rsidRPr="009F4204" w:rsidRDefault="00DA678D">
      <w:pPr>
        <w:spacing w:line="360" w:lineRule="auto"/>
        <w:jc w:val="center"/>
        <w:rPr>
          <w:rFonts w:ascii="Palatino Linotype" w:eastAsia="Palatino Linotype" w:hAnsi="Palatino Linotype" w:cs="Palatino Linotype"/>
        </w:rPr>
      </w:pPr>
    </w:p>
    <w:p w:rsidR="00DA678D" w:rsidRPr="009F4204" w:rsidRDefault="00A75E6B">
      <w:pPr>
        <w:spacing w:line="360" w:lineRule="auto"/>
        <w:jc w:val="center"/>
        <w:rPr>
          <w:rFonts w:ascii="Palatino Linotype" w:eastAsia="Palatino Linotype" w:hAnsi="Palatino Linotype" w:cs="Palatino Linotype"/>
        </w:rPr>
      </w:pPr>
      <w:r w:rsidRPr="009F4204">
        <w:rPr>
          <w:rFonts w:ascii="Palatino Linotype" w:eastAsia="Palatino Linotype" w:hAnsi="Palatino Linotype" w:cs="Palatino Linotype"/>
          <w:noProof/>
        </w:rPr>
        <w:drawing>
          <wp:inline distT="0" distB="0" distL="0" distR="0" wp14:anchorId="2B77BE9B" wp14:editId="2BD80B2A">
            <wp:extent cx="5040000" cy="3268323"/>
            <wp:effectExtent l="0" t="0" r="0" b="0"/>
            <wp:docPr id="1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t="30898" b="2271"/>
                    <a:stretch>
                      <a:fillRect/>
                    </a:stretch>
                  </pic:blipFill>
                  <pic:spPr>
                    <a:xfrm>
                      <a:off x="0" y="0"/>
                      <a:ext cx="5040000" cy="3268323"/>
                    </a:xfrm>
                    <a:prstGeom prst="rect">
                      <a:avLst/>
                    </a:prstGeom>
                    <a:ln/>
                  </pic:spPr>
                </pic:pic>
              </a:graphicData>
            </a:graphic>
          </wp:inline>
        </w:drawing>
      </w:r>
    </w:p>
    <w:p w:rsidR="00DA678D" w:rsidRPr="009F4204" w:rsidRDefault="00DA678D">
      <w:pPr>
        <w:spacing w:line="360" w:lineRule="auto"/>
        <w:jc w:val="center"/>
        <w:rPr>
          <w:rFonts w:ascii="Palatino Linotype" w:eastAsia="Palatino Linotype" w:hAnsi="Palatino Linotype" w:cs="Palatino Linotype"/>
        </w:rPr>
      </w:pPr>
    </w:p>
    <w:p w:rsidR="00DA678D" w:rsidRPr="009F4204" w:rsidRDefault="00A75E6B">
      <w:pPr>
        <w:spacing w:line="360" w:lineRule="auto"/>
        <w:jc w:val="center"/>
        <w:rPr>
          <w:rFonts w:ascii="Palatino Linotype" w:eastAsia="Palatino Linotype" w:hAnsi="Palatino Linotype" w:cs="Palatino Linotype"/>
        </w:rPr>
      </w:pPr>
      <w:r w:rsidRPr="009F4204">
        <w:rPr>
          <w:rFonts w:ascii="Palatino Linotype" w:eastAsia="Palatino Linotype" w:hAnsi="Palatino Linotype" w:cs="Palatino Linotype"/>
          <w:noProof/>
        </w:rPr>
        <w:drawing>
          <wp:inline distT="0" distB="0" distL="0" distR="0" wp14:anchorId="1A310F58" wp14:editId="67266893">
            <wp:extent cx="5040000" cy="1952166"/>
            <wp:effectExtent l="0" t="0" r="0" b="0"/>
            <wp:docPr id="1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t="-1" b="69736"/>
                    <a:stretch>
                      <a:fillRect/>
                    </a:stretch>
                  </pic:blipFill>
                  <pic:spPr>
                    <a:xfrm>
                      <a:off x="0" y="0"/>
                      <a:ext cx="5040000" cy="1952166"/>
                    </a:xfrm>
                    <a:prstGeom prst="rect">
                      <a:avLst/>
                    </a:prstGeom>
                    <a:ln/>
                  </pic:spPr>
                </pic:pic>
              </a:graphicData>
            </a:graphic>
          </wp:inline>
        </w:drawing>
      </w:r>
    </w:p>
    <w:p w:rsidR="00DA678D" w:rsidRPr="009F4204" w:rsidRDefault="00A75E6B">
      <w:pPr>
        <w:jc w:val="center"/>
        <w:rPr>
          <w:rFonts w:ascii="Palatino Linotype" w:eastAsia="Palatino Linotype" w:hAnsi="Palatino Linotype" w:cs="Palatino Linotype"/>
        </w:rPr>
      </w:pPr>
      <w:r w:rsidRPr="009F4204">
        <w:rPr>
          <w:rFonts w:ascii="Palatino Linotype" w:eastAsia="Palatino Linotype" w:hAnsi="Palatino Linotype" w:cs="Palatino Linotype"/>
          <w:noProof/>
        </w:rPr>
        <w:lastRenderedPageBreak/>
        <w:drawing>
          <wp:inline distT="0" distB="0" distL="0" distR="0" wp14:anchorId="4786C5CA" wp14:editId="185EAFED">
            <wp:extent cx="4464000" cy="3965612"/>
            <wp:effectExtent l="0" t="0" r="0" b="0"/>
            <wp:docPr id="1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t="29986" b="599"/>
                    <a:stretch>
                      <a:fillRect/>
                    </a:stretch>
                  </pic:blipFill>
                  <pic:spPr>
                    <a:xfrm>
                      <a:off x="0" y="0"/>
                      <a:ext cx="4464000" cy="3965612"/>
                    </a:xfrm>
                    <a:prstGeom prst="rect">
                      <a:avLst/>
                    </a:prstGeom>
                    <a:ln/>
                  </pic:spPr>
                </pic:pic>
              </a:graphicData>
            </a:graphic>
          </wp:inline>
        </w:drawing>
      </w:r>
    </w:p>
    <w:p w:rsidR="00DA678D" w:rsidRPr="009F4204" w:rsidRDefault="00A75E6B">
      <w:pPr>
        <w:spacing w:line="360" w:lineRule="auto"/>
        <w:jc w:val="center"/>
        <w:rPr>
          <w:rFonts w:ascii="Palatino Linotype" w:eastAsia="Palatino Linotype" w:hAnsi="Palatino Linotype" w:cs="Palatino Linotype"/>
        </w:rPr>
      </w:pPr>
      <w:r w:rsidRPr="009F4204">
        <w:rPr>
          <w:rFonts w:ascii="Palatino Linotype" w:eastAsia="Palatino Linotype" w:hAnsi="Palatino Linotype" w:cs="Palatino Linotype"/>
          <w:noProof/>
        </w:rPr>
        <w:drawing>
          <wp:inline distT="0" distB="0" distL="0" distR="0" wp14:anchorId="038FCCE6" wp14:editId="3EB45711">
            <wp:extent cx="4464000" cy="2012466"/>
            <wp:effectExtent l="0" t="0" r="0" b="0"/>
            <wp:docPr id="1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4464000" cy="2012466"/>
                    </a:xfrm>
                    <a:prstGeom prst="rect">
                      <a:avLst/>
                    </a:prstGeom>
                    <a:ln/>
                  </pic:spPr>
                </pic:pic>
              </a:graphicData>
            </a:graphic>
          </wp:inline>
        </w:drawing>
      </w:r>
    </w:p>
    <w:p w:rsidR="00D56FA6"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Por lo antes señalado, el </w:t>
      </w:r>
      <w:r w:rsidRPr="009F4204">
        <w:rPr>
          <w:rFonts w:ascii="Palatino Linotype" w:eastAsia="Palatino Linotype" w:hAnsi="Palatino Linotype" w:cs="Palatino Linotype"/>
          <w:b/>
        </w:rPr>
        <w:t xml:space="preserve">Sujeto Obligado, </w:t>
      </w:r>
      <w:r w:rsidRPr="009F4204">
        <w:rPr>
          <w:rFonts w:ascii="Palatino Linotype" w:eastAsia="Palatino Linotype" w:hAnsi="Palatino Linotype" w:cs="Palatino Linotype"/>
        </w:rPr>
        <w:t xml:space="preserve">a través de la Tesorería Municipal, aplica el sistema de contabilidad gubernamental para el registro contable y presupuestal de las operaciones financieras que realizan las áreas de la administración pública municipal, por lo cual se advierte que genera, administra y posee la información </w:t>
      </w:r>
      <w:r w:rsidRPr="009F4204">
        <w:rPr>
          <w:rFonts w:ascii="Palatino Linotype" w:eastAsia="Palatino Linotype" w:hAnsi="Palatino Linotype" w:cs="Palatino Linotype"/>
        </w:rPr>
        <w:lastRenderedPageBreak/>
        <w:t xml:space="preserve">solicitada por 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 siendo procedente ordenar la búsqueda exhaustiva y razonable del soporte documental que dé cuenta de lo requerido, a efecto de satisfacer el requerim</w:t>
      </w:r>
      <w:r w:rsidR="00D56FA6" w:rsidRPr="009F4204">
        <w:rPr>
          <w:rFonts w:ascii="Palatino Linotype" w:eastAsia="Palatino Linotype" w:hAnsi="Palatino Linotype" w:cs="Palatino Linotype"/>
        </w:rPr>
        <w:t>iento de la persona solicitante.</w:t>
      </w:r>
    </w:p>
    <w:p w:rsidR="00DA678D" w:rsidRPr="009F4204" w:rsidRDefault="00D56FA6">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A efectos de lo anterior, es imprescindible mencionar que de conformidad con el numeral 7.3 Temporalidad de las Reglas de Operación, dicho programa estaría vigente a partir de su aprobación por el H. Ayuntamiento hasta el cumplimiento de las disposiciones municipales para la comprobación del recurso dentro del año 2022, </w:t>
      </w:r>
      <w:r w:rsidR="00EB0327" w:rsidRPr="009F4204">
        <w:rPr>
          <w:rFonts w:ascii="Palatino Linotype" w:eastAsia="Palatino Linotype" w:hAnsi="Palatino Linotype" w:cs="Palatino Linotype"/>
        </w:rPr>
        <w:t>es decir, dicho programa municipal operó durante el ejercicio fiscal 2022, situación que se robustece a través del Primer Informe de Gobierno, mediante el cual se comunicó que 2,000 familias se beneficiaron del Programa Municipal “Huehuetoca cerca de Ti”, asimismo que se entregaron más de 7,000 apoyos alimentarios, en conjunto con el programa “Vivienda adecuada”, como se muestra a continuación:</w:t>
      </w:r>
    </w:p>
    <w:p w:rsidR="00EB0327" w:rsidRPr="009F4204" w:rsidRDefault="00EB0327" w:rsidP="00EB0327">
      <w:pPr>
        <w:spacing w:before="240" w:after="240" w:line="360" w:lineRule="auto"/>
        <w:jc w:val="center"/>
        <w:rPr>
          <w:rFonts w:ascii="Palatino Linotype" w:eastAsia="Palatino Linotype" w:hAnsi="Palatino Linotype" w:cs="Palatino Linotype"/>
        </w:rPr>
      </w:pPr>
      <w:r w:rsidRPr="009F4204">
        <w:rPr>
          <w:rFonts w:ascii="Palatino Linotype" w:eastAsia="Palatino Linotype" w:hAnsi="Palatino Linotype" w:cs="Palatino Linotype"/>
          <w:noProof/>
        </w:rPr>
        <mc:AlternateContent>
          <mc:Choice Requires="wps">
            <w:drawing>
              <wp:anchor distT="0" distB="0" distL="114300" distR="114300" simplePos="0" relativeHeight="251661312" behindDoc="0" locked="0" layoutInCell="1" allowOverlap="1" wp14:anchorId="277CF3E7" wp14:editId="7FA5BEC1">
                <wp:simplePos x="0" y="0"/>
                <wp:positionH relativeFrom="column">
                  <wp:posOffset>3958590</wp:posOffset>
                </wp:positionH>
                <wp:positionV relativeFrom="paragraph">
                  <wp:posOffset>1527175</wp:posOffset>
                </wp:positionV>
                <wp:extent cx="142875" cy="361950"/>
                <wp:effectExtent l="38100" t="38100" r="28575" b="95250"/>
                <wp:wrapNone/>
                <wp:docPr id="2" name="Cerrar llave 2"/>
                <wp:cNvGraphicFramePr/>
                <a:graphic xmlns:a="http://schemas.openxmlformats.org/drawingml/2006/main">
                  <a:graphicData uri="http://schemas.microsoft.com/office/word/2010/wordprocessingShape">
                    <wps:wsp>
                      <wps:cNvSpPr/>
                      <wps:spPr>
                        <a:xfrm>
                          <a:off x="0" y="0"/>
                          <a:ext cx="142875" cy="361950"/>
                        </a:xfrm>
                        <a:prstGeom prst="rightBrac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ABA24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2" o:spid="_x0000_s1026" type="#_x0000_t88" style="position:absolute;margin-left:311.7pt;margin-top:120.25pt;width:11.25pt;height:2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S0fwIAAF8FAAAOAAAAZHJzL2Uyb0RvYy54bWysVEtv2zAMvg/YfxB0Xx176SuoU2QpOgwo&#10;1mLt0LMiS7EAvUYpcbJfP0p23GAtUGCYDzIp8uNLJK+ud0aTrYCgnK1peTKhRFjuGmXXNf35dPvp&#10;gpIQmW2YdlbUdC8CvZ5//HDV+ZmoXOt0I4CgERtmna9pG6OfFUXgrTAsnDgvLAqlA8MisrAuGmAd&#10;Wje6qCaTs6Jz0HhwXISAtze9kM6zfSkFj/dSBhGJrinGFvMJ+Vyls5hfsdkamG8VH8Jg/xCFYcqi&#10;09HUDYuMbEC9MmUUBxecjCfcmcJJqbjIOWA25eSvbB5b5kXOBYsT/Fim8P/M8u/bByCqqWlFiWUG&#10;n2gpABgQrdlWkCpVqPNhhoqP/gEGLiCZ0t1JMOmPiZBdrup+rKrYRcLxspxWF+enlHAUfT4rL09z&#10;1YsXsIcQvwpnSCJqCmrdxi/AeEqdzdj2LkR0i4CDYrrWNp3BadXcKq0zA+vVUgPZMnzs5SR9KXoE&#10;Hqkhl6BFyqnPIlNxr0Vv9oeQWA+Mu8rucyeK0SzjXNhYDna1Re0EkxjCCJy8Dxz0E1TkLh3B5fvg&#10;EZE9OxtHsFHWwVsG4u4Qsuz1DxXo804lWLlmj60Arp+R4Pmtwve4YyE+MMChwPHBQY/3eEjtupq6&#10;gaKkdfD7rfukj72KUko6HLKahl8bBoIS/c1iF1+W02maysxMT88rZOBYsjqW2I1ZOnzaEleK55lM&#10;+lEfSAnOPOM+WCSvKGKWo++a8ggHZhn74ceNwsVikdVwEj2Ld/bR82Q8VTV12tPumYEfmjJiN393&#10;h4F81ZW9bkJat9hEJ1Vu2Ze6DvXGKc4NOWyctCaO+az1shfnfwAAAP//AwBQSwMEFAAGAAgAAAAh&#10;AIEK39rhAAAACwEAAA8AAABkcnMvZG93bnJldi54bWxMjz1PwzAQhnck/oN1SGzUIc1Hm8apAImh&#10;YkAtDIxO7MYR9jmynSb8e8xEx7t79N7z1vvFaHKRzg8WGTyuEiASOysG7Bl8frw+bID4wFFwbVEy&#10;+JEe9s3tTc0rYWc8yssp9CSGoK84AxXCWFHqOyUN9ys7Soy3s3WGhzi6ngrH5xhuNE2TpKCGDxg/&#10;KD7KFyW779NkGBzctN7Mk9cH/Hp7Pipa+va9ZOz+bnnaAQlyCf8w/OlHdWiiU2snFJ5oBkW6ziLK&#10;IM2SHEgkiizfAmnjZlvmQJuaXndofgEAAP//AwBQSwECLQAUAAYACAAAACEAtoM4kv4AAADhAQAA&#10;EwAAAAAAAAAAAAAAAAAAAAAAW0NvbnRlbnRfVHlwZXNdLnhtbFBLAQItABQABgAIAAAAIQA4/SH/&#10;1gAAAJQBAAALAAAAAAAAAAAAAAAAAC8BAABfcmVscy8ucmVsc1BLAQItABQABgAIAAAAIQDepkS0&#10;fwIAAF8FAAAOAAAAAAAAAAAAAAAAAC4CAABkcnMvZTJvRG9jLnhtbFBLAQItABQABgAIAAAAIQCB&#10;Ct/a4QAAAAsBAAAPAAAAAAAAAAAAAAAAANkEAABkcnMvZG93bnJldi54bWxQSwUGAAAAAAQABADz&#10;AAAA5wUAAAAA&#10;" adj="710" strokecolor="#c00000" strokeweight="2pt">
                <v:shadow on="t" color="black" opacity="24903f" origin=",.5" offset="0,.55556mm"/>
              </v:shape>
            </w:pict>
          </mc:Fallback>
        </mc:AlternateContent>
      </w:r>
      <w:r w:rsidRPr="009F4204">
        <w:rPr>
          <w:rFonts w:ascii="Palatino Linotype" w:eastAsia="Palatino Linotype" w:hAnsi="Palatino Linotype" w:cs="Palatino Linotype"/>
          <w:noProof/>
        </w:rPr>
        <w:drawing>
          <wp:inline distT="0" distB="0" distL="0" distR="0" wp14:anchorId="1493EA27" wp14:editId="098A8D59">
            <wp:extent cx="4140000" cy="351426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0000" cy="3514266"/>
                    </a:xfrm>
                    <a:prstGeom prst="rect">
                      <a:avLst/>
                    </a:prstGeom>
                    <a:noFill/>
                    <a:ln>
                      <a:noFill/>
                    </a:ln>
                  </pic:spPr>
                </pic:pic>
              </a:graphicData>
            </a:graphic>
          </wp:inline>
        </w:drawing>
      </w:r>
    </w:p>
    <w:p w:rsidR="00EB0327" w:rsidRPr="009F4204" w:rsidRDefault="00EB0327" w:rsidP="00D56FA6">
      <w:pPr>
        <w:spacing w:before="240" w:after="240" w:line="360" w:lineRule="auto"/>
        <w:ind w:right="51"/>
        <w:jc w:val="both"/>
        <w:rPr>
          <w:rFonts w:ascii="Palatino Linotype" w:eastAsia="Palatino Linotype" w:hAnsi="Palatino Linotype" w:cs="Palatino Linotype"/>
        </w:rPr>
      </w:pPr>
      <w:r w:rsidRPr="009F4204">
        <w:rPr>
          <w:rFonts w:ascii="Palatino Linotype" w:eastAsia="Palatino Linotype" w:hAnsi="Palatino Linotype" w:cs="Palatino Linotype"/>
        </w:rPr>
        <w:lastRenderedPageBreak/>
        <w:t xml:space="preserve">Por lo tanto, para satisfacer el derecho de acceso a la información de 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 el</w:t>
      </w:r>
      <w:r w:rsidRPr="009F4204">
        <w:rPr>
          <w:rFonts w:ascii="Palatino Linotype" w:eastAsia="Palatino Linotype" w:hAnsi="Palatino Linotype" w:cs="Palatino Linotype"/>
          <w:b/>
        </w:rPr>
        <w:t xml:space="preserve"> Sujeto Obligado</w:t>
      </w:r>
      <w:r w:rsidRPr="009F4204">
        <w:rPr>
          <w:rFonts w:ascii="Palatino Linotype" w:eastAsia="Palatino Linotype" w:hAnsi="Palatino Linotype" w:cs="Palatino Linotype"/>
        </w:rPr>
        <w:t xml:space="preserve"> deberá efectuar la búsqueda exhaustiva y razonable de los contratos y pólizas que se hubieran generado del uno de enero al dos de agosto de dos mil veintidós, con motivo </w:t>
      </w:r>
      <w:r w:rsidR="00FD35D8" w:rsidRPr="009F4204">
        <w:rPr>
          <w:rFonts w:ascii="Palatino Linotype" w:eastAsia="Palatino Linotype" w:hAnsi="Palatino Linotype" w:cs="Palatino Linotype"/>
        </w:rPr>
        <w:t>d</w:t>
      </w:r>
      <w:r w:rsidRPr="009F4204">
        <w:rPr>
          <w:rFonts w:ascii="Palatino Linotype" w:eastAsia="Palatino Linotype" w:hAnsi="Palatino Linotype" w:cs="Palatino Linotype"/>
        </w:rPr>
        <w:t xml:space="preserve">el programa municipal </w:t>
      </w:r>
      <w:r w:rsidR="00FD35D8" w:rsidRPr="009F4204">
        <w:rPr>
          <w:rFonts w:ascii="Palatino Linotype" w:eastAsia="Palatino Linotype" w:hAnsi="Palatino Linotype" w:cs="Palatino Linotype"/>
        </w:rPr>
        <w:t xml:space="preserve">de despensas </w:t>
      </w:r>
      <w:r w:rsidRPr="009F4204">
        <w:rPr>
          <w:rFonts w:ascii="Palatino Linotype" w:eastAsia="Palatino Linotype" w:hAnsi="Palatino Linotype" w:cs="Palatino Linotype"/>
        </w:rPr>
        <w:t>“Huehuetoca cerca de Ti”.</w:t>
      </w:r>
    </w:p>
    <w:p w:rsidR="00D56FA6" w:rsidRPr="009F4204" w:rsidRDefault="00D56FA6" w:rsidP="00D56FA6">
      <w:pPr>
        <w:spacing w:before="240" w:after="240" w:line="360" w:lineRule="auto"/>
        <w:ind w:right="51"/>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De lo hasta aquí expuesto, se concluye que los motivos de inconformidad de la parte </w:t>
      </w:r>
      <w:r w:rsidRPr="009F4204">
        <w:rPr>
          <w:rFonts w:ascii="Palatino Linotype" w:eastAsia="Palatino Linotype" w:hAnsi="Palatino Linotype" w:cs="Palatino Linotype"/>
          <w:b/>
        </w:rPr>
        <w:t xml:space="preserve">Recurrente </w:t>
      </w:r>
      <w:r w:rsidRPr="009F4204">
        <w:rPr>
          <w:rFonts w:ascii="Palatino Linotype" w:eastAsia="Palatino Linotype" w:hAnsi="Palatino Linotype" w:cs="Palatino Linotype"/>
        </w:rPr>
        <w:t xml:space="preserve">devienen fundados, siendo procedente </w:t>
      </w:r>
      <w:r w:rsidRPr="009F4204">
        <w:rPr>
          <w:rFonts w:ascii="Palatino Linotype" w:eastAsia="Palatino Linotype" w:hAnsi="Palatino Linotype" w:cs="Palatino Linotype"/>
          <w:i/>
        </w:rPr>
        <w:t xml:space="preserve">Modificar </w:t>
      </w:r>
      <w:r w:rsidRPr="009F4204">
        <w:rPr>
          <w:rFonts w:ascii="Palatino Linotype" w:eastAsia="Palatino Linotype" w:hAnsi="Palatino Linotype" w:cs="Palatino Linotype"/>
        </w:rPr>
        <w:t xml:space="preserve">la respuesta proporcionada por el </w:t>
      </w:r>
      <w:r w:rsidRPr="009F4204">
        <w:rPr>
          <w:rFonts w:ascii="Palatino Linotype" w:eastAsia="Palatino Linotype" w:hAnsi="Palatino Linotype" w:cs="Palatino Linotype"/>
          <w:b/>
        </w:rPr>
        <w:t xml:space="preserve">Sujeto Obligado </w:t>
      </w:r>
      <w:r w:rsidRPr="009F4204">
        <w:rPr>
          <w:rFonts w:ascii="Palatino Linotype" w:eastAsia="Palatino Linotype" w:hAnsi="Palatino Linotype" w:cs="Palatino Linotype"/>
        </w:rPr>
        <w:t>en términos del artículo 186 fracción III de la Ley de Transparencia y Acceso a la Información Pública del Estado de México y Municipios.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b/>
        </w:rPr>
        <w:t>Quinto. Versión Pública.</w:t>
      </w:r>
      <w:r w:rsidRPr="009F4204">
        <w:rPr>
          <w:rFonts w:ascii="Palatino Linotype" w:eastAsia="Palatino Linotype" w:hAnsi="Palatino Linotype" w:cs="Palatino Linotype"/>
          <w:sz w:val="28"/>
          <w:szCs w:val="28"/>
        </w:rPr>
        <w:t xml:space="preserve"> </w:t>
      </w:r>
      <w:r w:rsidRPr="009F4204">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xml:space="preserve"> deberá hacer la elaboración de la versión pública de los mismos a fin de satisfacer el derecho de acceso a la información pública de 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 xml:space="preserve"> sin menoscabo al derecho a la protección de los datos personales de terceros.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9F4204">
        <w:rPr>
          <w:rFonts w:ascii="Palatino Linotype" w:eastAsia="Palatino Linotype" w:hAnsi="Palatino Linotype" w:cs="Palatino Linotype"/>
        </w:rPr>
        <w:t>fracción</w:t>
      </w:r>
      <w:proofErr w:type="gramEnd"/>
      <w:r w:rsidRPr="009F4204">
        <w:rPr>
          <w:rFonts w:ascii="Palatino Linotype" w:eastAsia="Palatino Linotype" w:hAnsi="Palatino Linotype" w:cs="Palatino Linotype"/>
        </w:rPr>
        <w:t xml:space="preserve"> I de la Ley de Transparencia y Acceso a la Información Pública del Estado de México y Municipios que establecen:</w:t>
      </w:r>
    </w:p>
    <w:p w:rsidR="00DA678D" w:rsidRPr="009F4204" w:rsidRDefault="00A75E6B">
      <w:pPr>
        <w:spacing w:before="120" w:after="120"/>
        <w:ind w:left="851"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i/>
          <w:sz w:val="21"/>
          <w:szCs w:val="21"/>
        </w:rPr>
        <w:t>“</w:t>
      </w:r>
      <w:r w:rsidRPr="009F4204">
        <w:rPr>
          <w:rFonts w:ascii="Palatino Linotype" w:eastAsia="Palatino Linotype" w:hAnsi="Palatino Linotype" w:cs="Palatino Linotype"/>
          <w:b/>
          <w:i/>
          <w:sz w:val="21"/>
          <w:szCs w:val="21"/>
        </w:rPr>
        <w:t>Artículo 3</w:t>
      </w:r>
      <w:r w:rsidRPr="009F4204">
        <w:rPr>
          <w:rFonts w:ascii="Palatino Linotype" w:eastAsia="Palatino Linotype" w:hAnsi="Palatino Linotype" w:cs="Palatino Linotype"/>
          <w:i/>
          <w:sz w:val="21"/>
          <w:szCs w:val="21"/>
        </w:rPr>
        <w:t>. Para los efectos de la presente Ley se entenderá por:</w:t>
      </w:r>
    </w:p>
    <w:p w:rsidR="00DA678D" w:rsidRPr="009F4204" w:rsidRDefault="00A75E6B">
      <w:pPr>
        <w:spacing w:before="120" w:after="120"/>
        <w:ind w:left="1134"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i/>
          <w:sz w:val="21"/>
          <w:szCs w:val="21"/>
        </w:rPr>
        <w:t>[…]</w:t>
      </w:r>
    </w:p>
    <w:p w:rsidR="00DA678D" w:rsidRPr="009F4204" w:rsidRDefault="00A75E6B">
      <w:pPr>
        <w:spacing w:before="120" w:after="120"/>
        <w:ind w:left="1134"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lastRenderedPageBreak/>
        <w:t>IX. Datos personales</w:t>
      </w:r>
      <w:r w:rsidRPr="009F4204">
        <w:rPr>
          <w:rFonts w:ascii="Palatino Linotype" w:eastAsia="Palatino Linotype" w:hAnsi="Palatino Linotype" w:cs="Palatino Linotype"/>
          <w:i/>
          <w:sz w:val="21"/>
          <w:szCs w:val="21"/>
        </w:rPr>
        <w:t xml:space="preserve">: La información concerniente a una persona, identificada o identificable según lo dispuesto por la Ley de Protección de Datos Personales del Estado de México; </w:t>
      </w:r>
    </w:p>
    <w:p w:rsidR="00DA678D" w:rsidRPr="009F4204" w:rsidRDefault="00A75E6B">
      <w:pPr>
        <w:spacing w:before="120" w:after="120"/>
        <w:ind w:left="1134"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t>XX. Información clasificada</w:t>
      </w:r>
      <w:r w:rsidRPr="009F4204">
        <w:rPr>
          <w:rFonts w:ascii="Palatino Linotype" w:eastAsia="Palatino Linotype" w:hAnsi="Palatino Linotype" w:cs="Palatino Linotype"/>
          <w:i/>
          <w:sz w:val="21"/>
          <w:szCs w:val="21"/>
        </w:rPr>
        <w:t>: Aquella considerada por la presente Ley como reservada o confidencial;</w:t>
      </w:r>
    </w:p>
    <w:p w:rsidR="00DA678D" w:rsidRPr="009F4204" w:rsidRDefault="00A75E6B">
      <w:pPr>
        <w:spacing w:before="120" w:after="120"/>
        <w:ind w:left="1134"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t>XXI. Información confidencial</w:t>
      </w:r>
      <w:r w:rsidRPr="009F4204">
        <w:rPr>
          <w:rFonts w:ascii="Palatino Linotype" w:eastAsia="Palatino Linotype" w:hAnsi="Palatino Linotype" w:cs="Palatino Linotype"/>
          <w:i/>
          <w:sz w:val="21"/>
          <w:szCs w:val="21"/>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A678D" w:rsidRPr="009F4204" w:rsidRDefault="00A75E6B">
      <w:pPr>
        <w:spacing w:before="120" w:after="120"/>
        <w:ind w:left="1134"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t>XLV. Versión pública</w:t>
      </w:r>
      <w:r w:rsidRPr="009F4204">
        <w:rPr>
          <w:rFonts w:ascii="Palatino Linotype" w:eastAsia="Palatino Linotype" w:hAnsi="Palatino Linotype" w:cs="Palatino Linotype"/>
          <w:i/>
          <w:sz w:val="21"/>
          <w:szCs w:val="21"/>
        </w:rPr>
        <w:t>: Documento en el que se elimine, suprime o borra la información clasificada como reservada o confidencial para permitir su acceso.</w:t>
      </w:r>
    </w:p>
    <w:p w:rsidR="00DA678D" w:rsidRPr="009F4204" w:rsidRDefault="00A75E6B">
      <w:pPr>
        <w:spacing w:before="120" w:after="120"/>
        <w:ind w:left="851"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i/>
          <w:sz w:val="21"/>
          <w:szCs w:val="21"/>
        </w:rPr>
        <w:t>[…]</w:t>
      </w:r>
    </w:p>
    <w:p w:rsidR="00DA678D" w:rsidRPr="009F4204" w:rsidRDefault="00A75E6B">
      <w:pPr>
        <w:spacing w:before="120" w:after="120"/>
        <w:ind w:left="851"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t>Artículo 91.</w:t>
      </w:r>
      <w:r w:rsidRPr="009F4204">
        <w:rPr>
          <w:rFonts w:ascii="Palatino Linotype" w:eastAsia="Palatino Linotype" w:hAnsi="Palatino Linotype" w:cs="Palatino Linotype"/>
          <w:i/>
          <w:sz w:val="21"/>
          <w:szCs w:val="21"/>
        </w:rPr>
        <w:t xml:space="preserve"> El acceso a la información pública será restringido excepcionalmente, cuando ésta sea clasificada como reservada o confidencial.</w:t>
      </w:r>
    </w:p>
    <w:p w:rsidR="00DA678D" w:rsidRPr="009F4204" w:rsidRDefault="00A75E6B">
      <w:pPr>
        <w:spacing w:before="120" w:after="120"/>
        <w:ind w:left="851"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t>Artículo 132</w:t>
      </w:r>
      <w:r w:rsidRPr="009F4204">
        <w:rPr>
          <w:rFonts w:ascii="Palatino Linotype" w:eastAsia="Palatino Linotype" w:hAnsi="Palatino Linotype" w:cs="Palatino Linotype"/>
          <w:i/>
          <w:sz w:val="21"/>
          <w:szCs w:val="21"/>
        </w:rPr>
        <w:t>. La clasificación de la información se llevará a cabo en el momento en que:</w:t>
      </w:r>
    </w:p>
    <w:p w:rsidR="00DA678D" w:rsidRPr="009F4204" w:rsidRDefault="00A75E6B">
      <w:pPr>
        <w:spacing w:before="120" w:after="120"/>
        <w:ind w:left="1134"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t>I.</w:t>
      </w:r>
      <w:r w:rsidRPr="009F4204">
        <w:rPr>
          <w:rFonts w:ascii="Palatino Linotype" w:eastAsia="Palatino Linotype" w:hAnsi="Palatino Linotype" w:cs="Palatino Linotype"/>
          <w:i/>
          <w:sz w:val="21"/>
          <w:szCs w:val="21"/>
        </w:rPr>
        <w:t xml:space="preserve"> Se reciba una solicitud de acceso a la información;</w:t>
      </w:r>
    </w:p>
    <w:p w:rsidR="00DA678D" w:rsidRPr="009F4204" w:rsidRDefault="00A75E6B">
      <w:pPr>
        <w:spacing w:before="120" w:after="120"/>
        <w:ind w:left="1134"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t>II.</w:t>
      </w:r>
      <w:r w:rsidRPr="009F4204">
        <w:rPr>
          <w:rFonts w:ascii="Palatino Linotype" w:eastAsia="Palatino Linotype" w:hAnsi="Palatino Linotype" w:cs="Palatino Linotype"/>
          <w:i/>
          <w:sz w:val="21"/>
          <w:szCs w:val="21"/>
        </w:rPr>
        <w:t xml:space="preserve"> Se determine mediante resolución de autoridad competente; o</w:t>
      </w:r>
    </w:p>
    <w:p w:rsidR="00DA678D" w:rsidRPr="009F4204" w:rsidRDefault="00A75E6B">
      <w:pPr>
        <w:spacing w:before="120" w:after="120"/>
        <w:ind w:left="1134"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t>III.</w:t>
      </w:r>
      <w:r w:rsidRPr="009F4204">
        <w:rPr>
          <w:rFonts w:ascii="Palatino Linotype" w:eastAsia="Palatino Linotype" w:hAnsi="Palatino Linotype" w:cs="Palatino Linotype"/>
          <w:i/>
          <w:sz w:val="21"/>
          <w:szCs w:val="21"/>
        </w:rPr>
        <w:t xml:space="preserve"> Se generen versiones públicas para dar cumplimiento a las obligaciones de transparencia previstas en esta Ley.</w:t>
      </w:r>
    </w:p>
    <w:p w:rsidR="00DA678D" w:rsidRPr="009F4204" w:rsidRDefault="00A75E6B">
      <w:pPr>
        <w:spacing w:before="120" w:after="120"/>
        <w:ind w:left="851"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i/>
          <w:sz w:val="21"/>
          <w:szCs w:val="21"/>
        </w:rPr>
        <w:t>[…]</w:t>
      </w:r>
    </w:p>
    <w:p w:rsidR="00DA678D" w:rsidRPr="009F4204" w:rsidRDefault="00A75E6B">
      <w:pPr>
        <w:spacing w:before="120" w:after="120"/>
        <w:ind w:left="851"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t>Artículo 143.</w:t>
      </w:r>
      <w:r w:rsidRPr="009F4204">
        <w:rPr>
          <w:rFonts w:ascii="Palatino Linotype" w:eastAsia="Palatino Linotype" w:hAnsi="Palatino Linotype" w:cs="Palatino Linotype"/>
          <w:i/>
          <w:sz w:val="21"/>
          <w:szCs w:val="21"/>
        </w:rPr>
        <w:t xml:space="preserve"> Para los efectos de esta Ley se considera información confidencial, la clasificada como tal, de manera permanente, por su naturaleza, cuando:</w:t>
      </w:r>
    </w:p>
    <w:p w:rsidR="00DA678D" w:rsidRPr="009F4204" w:rsidRDefault="00A75E6B">
      <w:pPr>
        <w:spacing w:before="120" w:after="120"/>
        <w:ind w:left="1134"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t>I.</w:t>
      </w:r>
      <w:r w:rsidRPr="009F4204">
        <w:rPr>
          <w:rFonts w:ascii="Palatino Linotype" w:eastAsia="Palatino Linotype" w:hAnsi="Palatino Linotype" w:cs="Palatino Linotype"/>
          <w:i/>
          <w:sz w:val="21"/>
          <w:szCs w:val="21"/>
        </w:rPr>
        <w:t xml:space="preserve"> Se refiera a la información privada y los datos personales concernientes a una persona física o </w:t>
      </w:r>
      <w:proofErr w:type="gramStart"/>
      <w:r w:rsidRPr="009F4204">
        <w:rPr>
          <w:rFonts w:ascii="Palatino Linotype" w:eastAsia="Palatino Linotype" w:hAnsi="Palatino Linotype" w:cs="Palatino Linotype"/>
          <w:i/>
          <w:sz w:val="21"/>
          <w:szCs w:val="21"/>
        </w:rPr>
        <w:t>jurídico</w:t>
      </w:r>
      <w:proofErr w:type="gramEnd"/>
      <w:r w:rsidRPr="009F4204">
        <w:rPr>
          <w:rFonts w:ascii="Palatino Linotype" w:eastAsia="Palatino Linotype" w:hAnsi="Palatino Linotype" w:cs="Palatino Linotype"/>
          <w:i/>
          <w:sz w:val="21"/>
          <w:szCs w:val="21"/>
        </w:rPr>
        <w:t xml:space="preserve"> colectiva identificada o identificable;</w:t>
      </w:r>
    </w:p>
    <w:p w:rsidR="00DA678D" w:rsidRPr="009F4204" w:rsidRDefault="00A75E6B">
      <w:pPr>
        <w:spacing w:before="120" w:after="120"/>
        <w:ind w:left="1134"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t>II.</w:t>
      </w:r>
      <w:r w:rsidRPr="009F4204">
        <w:rPr>
          <w:rFonts w:ascii="Palatino Linotype" w:eastAsia="Palatino Linotype" w:hAnsi="Palatino Linotype" w:cs="Palatino Linotype"/>
          <w:i/>
          <w:sz w:val="21"/>
          <w:szCs w:val="2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DA678D" w:rsidRPr="009F4204" w:rsidRDefault="00A75E6B">
      <w:pPr>
        <w:spacing w:before="120" w:after="120"/>
        <w:ind w:left="1134"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b/>
          <w:i/>
          <w:sz w:val="21"/>
          <w:szCs w:val="21"/>
        </w:rPr>
        <w:t>III.</w:t>
      </w:r>
      <w:r w:rsidRPr="009F4204">
        <w:rPr>
          <w:rFonts w:ascii="Palatino Linotype" w:eastAsia="Palatino Linotype" w:hAnsi="Palatino Linotype" w:cs="Palatino Linotype"/>
          <w:i/>
          <w:sz w:val="21"/>
          <w:szCs w:val="21"/>
        </w:rPr>
        <w:t xml:space="preserve"> La que presenten los particulares a los sujetos obligados, de conformidad con lo dispuesto por las leyes o los tratados internacionales.</w:t>
      </w:r>
    </w:p>
    <w:p w:rsidR="00DA678D" w:rsidRPr="009F4204" w:rsidRDefault="00A75E6B">
      <w:pPr>
        <w:spacing w:before="120" w:after="120"/>
        <w:ind w:left="851"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i/>
          <w:sz w:val="21"/>
          <w:szCs w:val="21"/>
        </w:rPr>
        <w:t>La información confidencial no estará sujeta a temporalidad alguna y sólo podrán tener acceso a ella los titulares de la misma, sus representantes y los servidores públicos facultados para ello.</w:t>
      </w:r>
    </w:p>
    <w:p w:rsidR="00DA678D" w:rsidRPr="009F4204" w:rsidRDefault="00A75E6B">
      <w:pPr>
        <w:spacing w:before="120" w:after="120"/>
        <w:ind w:left="851" w:right="902"/>
        <w:jc w:val="both"/>
        <w:rPr>
          <w:rFonts w:ascii="Palatino Linotype" w:eastAsia="Palatino Linotype" w:hAnsi="Palatino Linotype" w:cs="Palatino Linotype"/>
          <w:i/>
          <w:sz w:val="21"/>
          <w:szCs w:val="21"/>
        </w:rPr>
      </w:pPr>
      <w:r w:rsidRPr="009F4204">
        <w:rPr>
          <w:rFonts w:ascii="Palatino Linotype" w:eastAsia="Palatino Linotype" w:hAnsi="Palatino Linotype" w:cs="Palatino Linotype"/>
          <w:i/>
          <w:sz w:val="21"/>
          <w:szCs w:val="21"/>
        </w:rPr>
        <w:lastRenderedPageBreak/>
        <w:t>No se considerará confidencial la información que se encuentre en los registros públicos o en fuentes de acceso público, ni tampoco la que sea considerada por la presente ley como información pública.”</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Quincuagésimo sexto.</w:t>
      </w:r>
      <w:r w:rsidRPr="009F4204">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Quincuagésimo séptimo.</w:t>
      </w:r>
      <w:r w:rsidRPr="009F420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w:t>
      </w:r>
      <w:r w:rsidRPr="009F420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II.</w:t>
      </w:r>
      <w:r w:rsidRPr="009F4204">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DA678D" w:rsidRPr="009F4204" w:rsidRDefault="00A75E6B">
      <w:pPr>
        <w:spacing w:before="120" w:after="120"/>
        <w:ind w:left="1134"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III.</w:t>
      </w:r>
      <w:r w:rsidRPr="009F420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internaciones suscritos por el Estado mexicano. </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Quincuagésimo octavo</w:t>
      </w:r>
      <w:r w:rsidRPr="009F4204">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la fecha de nacimiento, lugar de nacimiento, edad, estado civil, domicilio, clave de elector, numero de OCR, CURP, fotografía, el número de cuenta bancaria, que sean exclusivamente de particulares, entre otros, entre otros.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La </w:t>
      </w:r>
      <w:r w:rsidRPr="009F4204">
        <w:rPr>
          <w:rFonts w:ascii="Palatino Linotype" w:eastAsia="Palatino Linotype" w:hAnsi="Palatino Linotype" w:cs="Palatino Linotype"/>
          <w:i/>
        </w:rPr>
        <w:t xml:space="preserve">fecha de nacimiento, </w:t>
      </w:r>
      <w:r w:rsidRPr="009F4204">
        <w:rPr>
          <w:rFonts w:ascii="Palatino Linotype" w:eastAsia="Palatino Linotype" w:hAnsi="Palatino Linotype" w:cs="Palatino Linotype"/>
        </w:rPr>
        <w:t>dato o referencia del alumbramiento de una persona, su publicidad permitiría determinar el tiempo que ha vivido su titular; al ser por ello un dato personal que incide en la esfera privada de las personas, requiere de su protección.</w:t>
      </w:r>
    </w:p>
    <w:p w:rsidR="00DA678D" w:rsidRPr="009F4204" w:rsidRDefault="00A75E6B">
      <w:pPr>
        <w:spacing w:before="240" w:after="240" w:line="360" w:lineRule="auto"/>
        <w:jc w:val="both"/>
        <w:rPr>
          <w:rFonts w:ascii="Palatino Linotype" w:eastAsia="Palatino Linotype" w:hAnsi="Palatino Linotype" w:cs="Palatino Linotype"/>
          <w:i/>
        </w:rPr>
      </w:pPr>
      <w:r w:rsidRPr="009F4204">
        <w:rPr>
          <w:rFonts w:ascii="Palatino Linotype" w:eastAsia="Palatino Linotype" w:hAnsi="Palatino Linotype" w:cs="Palatino Linotype"/>
        </w:rPr>
        <w:t xml:space="preserve">El </w:t>
      </w:r>
      <w:r w:rsidRPr="009F4204">
        <w:rPr>
          <w:rFonts w:ascii="Palatino Linotype" w:eastAsia="Palatino Linotype" w:hAnsi="Palatino Linotype" w:cs="Palatino Linotype"/>
          <w:i/>
        </w:rPr>
        <w:t xml:space="preserve">lugar de nacimiento </w:t>
      </w:r>
      <w:r w:rsidRPr="009F4204">
        <w:rPr>
          <w:rFonts w:ascii="Palatino Linotype" w:eastAsia="Palatino Linotype" w:hAnsi="Palatino Linotype" w:cs="Palatino Linotype"/>
        </w:rPr>
        <w:t>revelaría el estado o país del cual es originario un individuo, lo que permitiría relacionar a una persona física identificada con su origen geográfico o territorial, por lo que se afectaría la intimidad de la persona titular de los mismos</w:t>
      </w:r>
      <w:r w:rsidRPr="009F4204">
        <w:rPr>
          <w:rFonts w:ascii="Palatino Linotype" w:eastAsia="Palatino Linotype" w:hAnsi="Palatino Linotype" w:cs="Palatino Linotype"/>
          <w:i/>
        </w:rPr>
        <w:t>.</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lastRenderedPageBreak/>
        <w:t xml:space="preserve">La </w:t>
      </w:r>
      <w:r w:rsidRPr="009F4204">
        <w:rPr>
          <w:rFonts w:ascii="Palatino Linotype" w:eastAsia="Palatino Linotype" w:hAnsi="Palatino Linotype" w:cs="Palatino Linotype"/>
          <w:i/>
        </w:rPr>
        <w:t>edad</w:t>
      </w:r>
      <w:r w:rsidRPr="009F4204">
        <w:rPr>
          <w:rFonts w:ascii="Palatino Linotype" w:eastAsia="Palatino Linotype" w:hAnsi="Palatino Linotype" w:cs="Palatino Linotype"/>
        </w:rPr>
        <w:t>, se refiere a la información natural del tiempo que ha vivido una persona, que por su propia naturaleza incide en la esfera privada la misma; si el dato corresponde a los años cumplidos por una persona física identificable, o si en el caso, a través de su composición por la referencia o data en que ocurrió el nacimiento, o meramente el año de registro, se actualiza la necesidad de protección al ser un dato personal.</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El </w:t>
      </w:r>
      <w:r w:rsidRPr="009F4204">
        <w:rPr>
          <w:rFonts w:ascii="Palatino Linotype" w:eastAsia="Palatino Linotype" w:hAnsi="Palatino Linotype" w:cs="Palatino Linotype"/>
          <w:i/>
        </w:rPr>
        <w:t xml:space="preserve">domicilio </w:t>
      </w:r>
      <w:r w:rsidRPr="009F4204">
        <w:rPr>
          <w:rFonts w:ascii="Palatino Linotype" w:eastAsia="Palatino Linotype" w:hAnsi="Palatino Linotype" w:cs="Palatino Linotype"/>
        </w:rPr>
        <w:t>al ser el lugar en donde reside habitualmente una persona física, constituye un dato personal y, por ende, confidencial, ya que su difusión podría afectar la esfera privada de la misma. Dicha información se considera confidencial, en virtud de tratarse de datos personales que reflejan cuestiones de la vida privada de las personas.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La </w:t>
      </w:r>
      <w:r w:rsidRPr="009F4204">
        <w:rPr>
          <w:rFonts w:ascii="Palatino Linotype" w:eastAsia="Palatino Linotype" w:hAnsi="Palatino Linotype" w:cs="Palatino Linotype"/>
          <w:i/>
        </w:rPr>
        <w:t>clave de elector</w:t>
      </w:r>
      <w:r w:rsidRPr="009F4204">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9F4204">
        <w:rPr>
          <w:rFonts w:ascii="Palatino Linotype" w:eastAsia="Palatino Linotype" w:hAnsi="Palatino Linotype" w:cs="Palatino Linotype"/>
        </w:rPr>
        <w:t>homoclave</w:t>
      </w:r>
      <w:proofErr w:type="spellEnd"/>
      <w:r w:rsidRPr="009F4204">
        <w:rPr>
          <w:rFonts w:ascii="Palatino Linotype" w:eastAsia="Palatino Linotype" w:hAnsi="Palatino Linotype" w:cs="Palatino Linotype"/>
        </w:rPr>
        <w:t xml:space="preserve"> que distingue a su titular de cualquier otro homónimo, por lo tanto, se trata de un dato personal que debe ser protegido.</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El </w:t>
      </w:r>
      <w:r w:rsidRPr="009F4204">
        <w:rPr>
          <w:rFonts w:ascii="Palatino Linotype" w:eastAsia="Palatino Linotype" w:hAnsi="Palatino Linotype" w:cs="Palatino Linotype"/>
          <w:i/>
        </w:rPr>
        <w:t>número de OCR</w:t>
      </w:r>
      <w:r w:rsidRPr="009F4204">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9F4204">
        <w:rPr>
          <w:rFonts w:ascii="Palatino Linotype" w:eastAsia="Palatino Linotype" w:hAnsi="Palatino Linotype" w:cs="Palatino Linotype"/>
        </w:rPr>
        <w:t>geoelectoral</w:t>
      </w:r>
      <w:proofErr w:type="spellEnd"/>
      <w:r w:rsidRPr="009F4204">
        <w:rPr>
          <w:rFonts w:ascii="Palatino Linotype" w:eastAsia="Palatino Linotype" w:hAnsi="Palatino Linotype" w:cs="Palatino Linotype"/>
        </w:rPr>
        <w:t xml:space="preserve"> ahí contenida, por lo que es susceptible de resguardarse.</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lastRenderedPageBreak/>
        <w:t xml:space="preserve">La </w:t>
      </w:r>
      <w:r w:rsidRPr="009F4204">
        <w:rPr>
          <w:rFonts w:ascii="Palatino Linotype" w:eastAsia="Palatino Linotype" w:hAnsi="Palatino Linotype" w:cs="Palatino Linotype"/>
          <w:i/>
        </w:rPr>
        <w:t xml:space="preserve">clave única del registro de población, </w:t>
      </w:r>
      <w:r w:rsidRPr="009F4204">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Respecto a la </w:t>
      </w:r>
      <w:r w:rsidRPr="009F4204">
        <w:rPr>
          <w:rFonts w:ascii="Palatino Linotype" w:eastAsia="Palatino Linotype" w:hAnsi="Palatino Linotype" w:cs="Palatino Linotype"/>
          <w:i/>
        </w:rPr>
        <w:t xml:space="preserve">fotografía, </w:t>
      </w:r>
      <w:r w:rsidRPr="009F4204">
        <w:rPr>
          <w:rFonts w:ascii="Palatino Linotype" w:eastAsia="Palatino Linotype" w:hAnsi="Palatino Linotype" w:cs="Palatino Linotype"/>
        </w:rPr>
        <w:t>constituye la reproducción fiel de la imagen de una persona, obtenida en papel a través de la impresión en un rollo o placa por medio de cámara fotográfica, o en formato digital. En este sentido, la fotografía constituye el primer elemento de la esfera personal de todo individuo, en cuanto instrumento básico de identificación y proyección exterior y factor imprescindible para su propio reconocimiento como sujeto individual; por lo tanto, es un dato personal.</w:t>
      </w:r>
    </w:p>
    <w:p w:rsidR="00DA678D" w:rsidRPr="009F4204" w:rsidRDefault="00A75E6B">
      <w:pPr>
        <w:spacing w:before="240" w:after="240" w:line="360" w:lineRule="auto"/>
        <w:ind w:right="50"/>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Igualmente, resulta importante destacar que el </w:t>
      </w:r>
      <w:r w:rsidRPr="009F4204">
        <w:rPr>
          <w:rFonts w:ascii="Palatino Linotype" w:eastAsia="Palatino Linotype" w:hAnsi="Palatino Linotype" w:cs="Palatino Linotype"/>
          <w:i/>
        </w:rPr>
        <w:t>número de cuenta bancaria</w:t>
      </w:r>
      <w:r w:rsidRPr="009F4204">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DA678D" w:rsidRPr="009F4204" w:rsidRDefault="00A75E6B">
      <w:pPr>
        <w:spacing w:before="240" w:after="240" w:line="360" w:lineRule="auto"/>
        <w:ind w:right="50"/>
        <w:jc w:val="both"/>
        <w:rPr>
          <w:rFonts w:ascii="Palatino Linotype" w:eastAsia="Palatino Linotype" w:hAnsi="Palatino Linotype" w:cs="Palatino Linotype"/>
        </w:rPr>
      </w:pPr>
      <w:r w:rsidRPr="009F4204">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DA678D" w:rsidRPr="009F4204" w:rsidRDefault="00A75E6B">
      <w:pPr>
        <w:spacing w:before="240" w:after="240" w:line="360" w:lineRule="auto"/>
        <w:ind w:right="50"/>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w:t>
      </w:r>
      <w:r w:rsidRPr="009F4204">
        <w:rPr>
          <w:rFonts w:ascii="Palatino Linotype" w:eastAsia="Palatino Linotype" w:hAnsi="Palatino Linotype" w:cs="Palatino Linotype"/>
        </w:rPr>
        <w:lastRenderedPageBreak/>
        <w:t xml:space="preserve">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DA678D" w:rsidRPr="009F4204" w:rsidRDefault="00A75E6B">
      <w:pPr>
        <w:spacing w:before="240" w:after="240" w:line="360" w:lineRule="auto"/>
        <w:ind w:right="50"/>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DA678D" w:rsidRPr="009F4204" w:rsidRDefault="00A75E6B">
      <w:pPr>
        <w:spacing w:before="240" w:after="240" w:line="360" w:lineRule="auto"/>
        <w:ind w:right="50"/>
        <w:jc w:val="both"/>
        <w:rPr>
          <w:rFonts w:ascii="Palatino Linotype" w:eastAsia="Palatino Linotype" w:hAnsi="Palatino Linotype" w:cs="Palatino Linotype"/>
        </w:rPr>
      </w:pPr>
      <w:r w:rsidRPr="009F4204">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rsidR="00DA678D" w:rsidRPr="009F4204" w:rsidRDefault="00A75E6B">
      <w:pPr>
        <w:spacing w:before="240" w:after="240" w:line="360" w:lineRule="auto"/>
        <w:ind w:right="50"/>
        <w:jc w:val="both"/>
        <w:rPr>
          <w:rFonts w:ascii="Palatino Linotype" w:eastAsia="Palatino Linotype" w:hAnsi="Palatino Linotype" w:cs="Palatino Linotype"/>
        </w:rPr>
      </w:pPr>
      <w:r w:rsidRPr="009F4204">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DA678D" w:rsidRPr="009F4204" w:rsidRDefault="00A75E6B">
      <w:pPr>
        <w:spacing w:before="240" w:after="240" w:line="360" w:lineRule="auto"/>
        <w:ind w:right="50"/>
        <w:jc w:val="both"/>
        <w:rPr>
          <w:rFonts w:ascii="Palatino Linotype" w:eastAsia="Palatino Linotype" w:hAnsi="Palatino Linotype" w:cs="Palatino Linotype"/>
        </w:rPr>
      </w:pPr>
      <w:r w:rsidRPr="009F4204">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DA678D" w:rsidRPr="009F4204" w:rsidRDefault="00A75E6B">
      <w:pPr>
        <w:spacing w:before="240" w:after="24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“Cuentas bancarias y/o CLABE interbancaria de personas físicas y morales privadas.</w:t>
      </w:r>
      <w:r w:rsidRPr="009F4204">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w:t>
      </w:r>
      <w:r w:rsidRPr="009F4204">
        <w:rPr>
          <w:rFonts w:ascii="Palatino Linotype" w:eastAsia="Palatino Linotype" w:hAnsi="Palatino Linotype" w:cs="Palatino Linotype"/>
          <w:i/>
          <w:sz w:val="22"/>
          <w:szCs w:val="22"/>
        </w:rPr>
        <w:lastRenderedPageBreak/>
        <w:t>Transparencia y Acceso a la Información Pública y 113 de la Ley Federal de Transparencia y Acceso a la Información Pública.</w:t>
      </w:r>
    </w:p>
    <w:p w:rsidR="00DA678D" w:rsidRPr="009F4204" w:rsidRDefault="00A75E6B">
      <w:pPr>
        <w:spacing w:before="240" w:after="240"/>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F4204">
        <w:rPr>
          <w:rFonts w:ascii="Palatino Linotype" w:eastAsia="Palatino Linotype" w:hAnsi="Palatino Linotype" w:cs="Palatino Linotype"/>
          <w:i/>
          <w:sz w:val="22"/>
          <w:szCs w:val="22"/>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DA678D" w:rsidRPr="009F4204" w:rsidRDefault="00A75E6B">
      <w:pPr>
        <w:spacing w:before="240" w:after="240" w:line="360" w:lineRule="auto"/>
        <w:ind w:right="50"/>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Por cuanto hace al </w:t>
      </w:r>
      <w:r w:rsidRPr="009F4204">
        <w:rPr>
          <w:rFonts w:ascii="Palatino Linotype" w:eastAsia="Palatino Linotype" w:hAnsi="Palatino Linotype" w:cs="Palatino Linotype"/>
          <w:b/>
        </w:rPr>
        <w:t xml:space="preserve">Registro Federal de Contribuyentes (RFC), </w:t>
      </w:r>
      <w:r w:rsidRPr="009F4204">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DA678D" w:rsidRPr="009F4204" w:rsidRDefault="00A75E6B">
      <w:pPr>
        <w:spacing w:before="240" w:after="240" w:line="360" w:lineRule="auto"/>
        <w:ind w:right="50"/>
        <w:jc w:val="both"/>
        <w:rPr>
          <w:rFonts w:ascii="Palatino Linotype" w:eastAsia="Palatino Linotype" w:hAnsi="Palatino Linotype" w:cs="Palatino Linotype"/>
        </w:rPr>
      </w:pPr>
      <w:r w:rsidRPr="009F4204">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DA678D" w:rsidRPr="009F4204" w:rsidRDefault="00A75E6B">
      <w:pPr>
        <w:spacing w:before="240" w:after="240" w:line="360" w:lineRule="auto"/>
        <w:ind w:right="50"/>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w:t>
      </w:r>
      <w:r w:rsidRPr="009F4204">
        <w:rPr>
          <w:rFonts w:ascii="Palatino Linotype" w:eastAsia="Palatino Linotype" w:hAnsi="Palatino Linotype" w:cs="Palatino Linotype"/>
        </w:rPr>
        <w:lastRenderedPageBreak/>
        <w:t>es la que puede generar certeza en los gobernados en que se está ejerciendo debidamente el presupuesto.</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Robustece lo anterior el criterio orientador 04/21 emitido por el Instituto Nacional de Transparencia, Acceso a la Información y Protección de Datos Personales, INAI, el cual refiere:</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 xml:space="preserve">“Registro Federal de Contribuyentes (RFC) de personas físicas proveedoras o contratistas. </w:t>
      </w:r>
      <w:r w:rsidRPr="009F4204">
        <w:rPr>
          <w:rFonts w:ascii="Palatino Linotype" w:eastAsia="Palatino Linotype" w:hAnsi="Palatino Linotype" w:cs="Palatino Linotype"/>
          <w:i/>
          <w:sz w:val="22"/>
          <w:szCs w:val="22"/>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DA678D" w:rsidRPr="009F4204" w:rsidRDefault="00A75E6B">
      <w:pPr>
        <w:spacing w:before="240" w:after="240" w:line="360" w:lineRule="auto"/>
        <w:ind w:right="50"/>
        <w:jc w:val="both"/>
        <w:rPr>
          <w:rFonts w:ascii="Palatino Linotype" w:eastAsia="Palatino Linotype" w:hAnsi="Palatino Linotype" w:cs="Palatino Linotype"/>
        </w:rPr>
      </w:pPr>
      <w:r w:rsidRPr="009F4204">
        <w:rPr>
          <w:rFonts w:ascii="Palatino Linotype" w:eastAsia="Palatino Linotype" w:hAnsi="Palatino Linotype" w:cs="Palatino Linotype"/>
        </w:rPr>
        <w:t>Relacionado con lo anterior, el nombre de las personas físicas o los representantes legales de las personas morales,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rsidR="00DA678D" w:rsidRPr="009F4204" w:rsidRDefault="00A75E6B">
      <w:pPr>
        <w:spacing w:before="240" w:after="240" w:line="360" w:lineRule="auto"/>
        <w:ind w:right="50"/>
        <w:jc w:val="both"/>
        <w:rPr>
          <w:rFonts w:ascii="Palatino Linotype" w:eastAsia="Palatino Linotype" w:hAnsi="Palatino Linotype" w:cs="Palatino Linotype"/>
        </w:rPr>
      </w:pPr>
      <w:r w:rsidRPr="009F4204">
        <w:rPr>
          <w:rFonts w:ascii="Palatino Linotype" w:eastAsia="Palatino Linotype" w:hAnsi="Palatino Linotype" w:cs="Palatino Linotype"/>
        </w:rPr>
        <w:lastRenderedPageBreak/>
        <w:t>Argumentación que guarda sustento en lo estipulado por el artículo 23 de la Ley de Transparencia y Acceso a la Información Pública del Estado de México y Municipios en su penúltimo párrafo, mismo que es del tenor literal siguiente:</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w:t>
      </w:r>
      <w:r w:rsidRPr="009F4204">
        <w:rPr>
          <w:rFonts w:ascii="Palatino Linotype" w:eastAsia="Palatino Linotype" w:hAnsi="Palatino Linotype" w:cs="Palatino Linotype"/>
          <w:b/>
          <w:i/>
          <w:sz w:val="22"/>
          <w:szCs w:val="22"/>
        </w:rPr>
        <w:t>Artículo 23.</w:t>
      </w:r>
      <w:r w:rsidRPr="009F4204">
        <w:rPr>
          <w:rFonts w:ascii="Palatino Linotype" w:eastAsia="Palatino Linotype" w:hAnsi="Palatino Linotype" w:cs="Palatino Linotype"/>
          <w:i/>
          <w:sz w:val="22"/>
          <w:szCs w:val="22"/>
        </w:rPr>
        <w:t xml:space="preserve"> (…)</w:t>
      </w:r>
    </w:p>
    <w:p w:rsidR="00DA678D" w:rsidRPr="009F4204" w:rsidRDefault="00A75E6B">
      <w:pPr>
        <w:spacing w:before="120" w:after="120"/>
        <w:ind w:left="851" w:right="902"/>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DA678D" w:rsidRPr="009F4204" w:rsidRDefault="00A75E6B">
      <w:pPr>
        <w:spacing w:before="280" w:after="28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rsidR="00DA678D" w:rsidRPr="009F4204" w:rsidRDefault="00A75E6B">
      <w:pPr>
        <w:ind w:left="851" w:right="900"/>
        <w:jc w:val="both"/>
        <w:rPr>
          <w:rFonts w:ascii="Palatino Linotype" w:eastAsia="Palatino Linotype" w:hAnsi="Palatino Linotype" w:cs="Palatino Linotype"/>
          <w:i/>
          <w:sz w:val="22"/>
          <w:szCs w:val="22"/>
        </w:rPr>
      </w:pPr>
      <w:r w:rsidRPr="009F4204">
        <w:rPr>
          <w:rFonts w:ascii="Palatino Linotype" w:eastAsia="Palatino Linotype" w:hAnsi="Palatino Linotype" w:cs="Palatino Linotype"/>
          <w:b/>
          <w:i/>
          <w:sz w:val="22"/>
          <w:szCs w:val="22"/>
        </w:rPr>
        <w:t>“Datos de identificación del representante o apoderado legal.</w:t>
      </w:r>
      <w:r w:rsidRPr="009F4204">
        <w:rPr>
          <w:rFonts w:ascii="Palatino Linotype" w:eastAsia="Palatino Linotype" w:hAnsi="Palatino Linotype" w:cs="Palatino Linotype"/>
          <w:i/>
          <w:sz w:val="22"/>
          <w:szCs w:val="22"/>
        </w:rPr>
        <w:t xml:space="preserve"> </w:t>
      </w:r>
      <w:r w:rsidRPr="009F4204">
        <w:rPr>
          <w:rFonts w:ascii="Palatino Linotype" w:eastAsia="Palatino Linotype" w:hAnsi="Palatino Linotype" w:cs="Palatino Linotype"/>
          <w:b/>
          <w:i/>
          <w:sz w:val="22"/>
          <w:szCs w:val="22"/>
        </w:rPr>
        <w:t xml:space="preserve">Naturaleza jurídica. </w:t>
      </w:r>
      <w:r w:rsidRPr="009F4204">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9F4204">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9F4204">
        <w:rPr>
          <w:rFonts w:ascii="Palatino Linotype" w:eastAsia="Palatino Linotype" w:hAnsi="Palatino Linotype" w:cs="Palatino Linotype"/>
          <w:i/>
          <w:sz w:val="22"/>
          <w:szCs w:val="22"/>
        </w:rPr>
        <w:t>.”</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Asimismo, se destaca que la versión pública que elabore 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xml:space="preserve"> debe cumplir con las formalidades exigidas en la Ley, por lo que para tal efecto emitirá el Acuerdo del Comité de Transparencia en el que se expongan los fundamentos y razonamientos que le llevaron a testar, suprimir o eliminar datos de dicho soporte documental, ya que no hacerlo implica que lo entregado no es legal ni formalmente </w:t>
      </w:r>
      <w:r w:rsidRPr="009F4204">
        <w:rPr>
          <w:rFonts w:ascii="Palatino Linotype" w:eastAsia="Palatino Linotype" w:hAnsi="Palatino Linotype" w:cs="Palatino Linotype"/>
        </w:rPr>
        <w:lastRenderedPageBreak/>
        <w:t>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9F4204">
        <w:rPr>
          <w:rFonts w:ascii="Palatino Linotype" w:eastAsia="Palatino Linotype" w:hAnsi="Palatino Linotype" w:cs="Palatino Linotype"/>
          <w:b/>
        </w:rPr>
        <w:t>Recurrente</w:t>
      </w:r>
      <w:r w:rsidRPr="009F4204">
        <w:rPr>
          <w:rFonts w:ascii="Palatino Linotype" w:eastAsia="Palatino Linotype" w:hAnsi="Palatino Linotype" w:cs="Palatino Linotype"/>
        </w:rPr>
        <w:t>.</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De este modo, la versión pública que elabore el </w:t>
      </w:r>
      <w:r w:rsidRPr="009F4204">
        <w:rPr>
          <w:rFonts w:ascii="Palatino Linotype" w:eastAsia="Palatino Linotype" w:hAnsi="Palatino Linotype" w:cs="Palatino Linotype"/>
          <w:b/>
        </w:rPr>
        <w:t xml:space="preserve">Sujeto Obligado </w:t>
      </w:r>
      <w:r w:rsidRPr="009F4204">
        <w:rPr>
          <w:rFonts w:ascii="Palatino Linotype" w:eastAsia="Palatino Linotype" w:hAnsi="Palatino Linotype" w:cs="Palatino Linotype"/>
        </w:rPr>
        <w:t>debe acompañarse del</w:t>
      </w:r>
      <w:r w:rsidRPr="009F4204">
        <w:rPr>
          <w:rFonts w:ascii="Palatino Linotype" w:eastAsia="Palatino Linotype" w:hAnsi="Palatino Linotype" w:cs="Palatino Linotype"/>
          <w:b/>
        </w:rPr>
        <w:t xml:space="preserve"> </w:t>
      </w:r>
      <w:r w:rsidRPr="009F4204">
        <w:rPr>
          <w:rFonts w:ascii="Palatino Linotype" w:eastAsia="Palatino Linotype" w:hAnsi="Palatino Linotype" w:cs="Palatino Linotype"/>
        </w:rPr>
        <w:t xml:space="preserve">Acuerdo de Clasificación que emita el Comité de Transparencia, para lo cual se deberá observar lo dispuesto en la Ley de Transparencia y Acceso a la Información Pública del Estado de México y Municipios, y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9F4204">
        <w:rPr>
          <w:rFonts w:ascii="Palatino Linotype" w:eastAsia="Palatino Linotype" w:hAnsi="Palatino Linotype" w:cs="Palatino Linotype"/>
          <w:b/>
          <w:u w:val="single"/>
        </w:rPr>
        <w:t>razones, motivos o circunstancias especiales</w:t>
      </w:r>
      <w:r w:rsidRPr="009F4204">
        <w:rPr>
          <w:rFonts w:ascii="Palatino Linotype" w:eastAsia="Palatino Linotype" w:hAnsi="Palatino Linotype" w:cs="Palatino Linotype"/>
        </w:rPr>
        <w:t xml:space="preserve"> que lo llevaron a concluir que el caso concreto, se ajustó a los supuestos previstos en la normatividad legal invocada como fundamento.</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9"/>
        <w:tblW w:w="8828" w:type="dxa"/>
        <w:tblInd w:w="-113" w:type="dxa"/>
        <w:tblLayout w:type="fixed"/>
        <w:tblLook w:val="04A0" w:firstRow="1" w:lastRow="0" w:firstColumn="1" w:lastColumn="0" w:noHBand="0" w:noVBand="1"/>
      </w:tblPr>
      <w:tblGrid>
        <w:gridCol w:w="993"/>
        <w:gridCol w:w="3421"/>
        <w:gridCol w:w="968"/>
        <w:gridCol w:w="3446"/>
      </w:tblGrid>
      <w:tr w:rsidR="009F4204" w:rsidRPr="009F4204" w:rsidTr="00EB0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DA678D" w:rsidRPr="009F4204" w:rsidRDefault="00A75E6B">
            <w:pPr>
              <w:jc w:val="center"/>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Parcial</w:t>
            </w:r>
          </w:p>
        </w:tc>
        <w:tc>
          <w:tcPr>
            <w:tcW w:w="4414" w:type="dxa"/>
            <w:gridSpan w:val="2"/>
          </w:tcPr>
          <w:p w:rsidR="00DA678D" w:rsidRPr="009F4204" w:rsidRDefault="00A75E6B">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Total</w:t>
            </w:r>
          </w:p>
        </w:tc>
      </w:tr>
      <w:tr w:rsidR="009F4204" w:rsidRPr="009F4204"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A75E6B">
            <w:pPr>
              <w:jc w:val="center"/>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Concepto</w:t>
            </w:r>
          </w:p>
        </w:tc>
        <w:tc>
          <w:tcPr>
            <w:tcW w:w="3421" w:type="dxa"/>
          </w:tcPr>
          <w:p w:rsidR="00DA678D" w:rsidRPr="009F4204" w:rsidRDefault="00A75E6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Dónde</w:t>
            </w:r>
          </w:p>
        </w:tc>
        <w:tc>
          <w:tcPr>
            <w:tcW w:w="968" w:type="dxa"/>
          </w:tcPr>
          <w:p w:rsidR="00DA678D" w:rsidRPr="009F4204" w:rsidRDefault="00A75E6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Concepto</w:t>
            </w:r>
          </w:p>
        </w:tc>
        <w:tc>
          <w:tcPr>
            <w:tcW w:w="3446" w:type="dxa"/>
          </w:tcPr>
          <w:p w:rsidR="00DA678D" w:rsidRPr="009F4204" w:rsidRDefault="00A75E6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Dónde</w:t>
            </w:r>
          </w:p>
        </w:tc>
      </w:tr>
      <w:tr w:rsidR="009F4204" w:rsidRPr="009F4204" w:rsidTr="00EB0327">
        <w:tc>
          <w:tcPr>
            <w:cnfStyle w:val="001000000000" w:firstRow="0" w:lastRow="0" w:firstColumn="1" w:lastColumn="0" w:oddVBand="0" w:evenVBand="0" w:oddHBand="0" w:evenHBand="0" w:firstRowFirstColumn="0" w:firstRowLastColumn="0" w:lastRowFirstColumn="0" w:lastRowLastColumn="0"/>
            <w:tcW w:w="8828" w:type="dxa"/>
            <w:gridSpan w:val="4"/>
          </w:tcPr>
          <w:p w:rsidR="00DA678D" w:rsidRPr="009F4204" w:rsidRDefault="00A75E6B">
            <w:pPr>
              <w:jc w:val="center"/>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Sello oficial o logotipo del sujeto obligado</w:t>
            </w:r>
          </w:p>
        </w:tc>
      </w:tr>
      <w:tr w:rsidR="009F4204" w:rsidRPr="009F4204"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A75E6B">
            <w:pPr>
              <w:jc w:val="both"/>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Fecha de clasificación</w:t>
            </w:r>
          </w:p>
        </w:tc>
        <w:tc>
          <w:tcPr>
            <w:tcW w:w="3421"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Fecha de clasificación</w:t>
            </w:r>
          </w:p>
        </w:tc>
        <w:tc>
          <w:tcPr>
            <w:tcW w:w="3446"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9F4204" w:rsidRPr="009F4204" w:rsidTr="00EB0327">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A75E6B">
            <w:pPr>
              <w:jc w:val="both"/>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lastRenderedPageBreak/>
              <w:t>Área</w:t>
            </w:r>
          </w:p>
        </w:tc>
        <w:tc>
          <w:tcPr>
            <w:tcW w:w="3421"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 señalará el nombre del área del cual es titular quien clasifica.</w:t>
            </w:r>
          </w:p>
        </w:tc>
        <w:tc>
          <w:tcPr>
            <w:tcW w:w="968"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Área</w:t>
            </w:r>
          </w:p>
        </w:tc>
        <w:tc>
          <w:tcPr>
            <w:tcW w:w="3446"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 señalará el nombre del área de la cual es el titular quien clasifica.</w:t>
            </w:r>
          </w:p>
        </w:tc>
      </w:tr>
      <w:tr w:rsidR="009F4204" w:rsidRPr="009F4204"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A75E6B">
            <w:pPr>
              <w:jc w:val="both"/>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Información reservada</w:t>
            </w:r>
          </w:p>
        </w:tc>
        <w:tc>
          <w:tcPr>
            <w:tcW w:w="3421"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9F4204">
              <w:rPr>
                <w:rFonts w:ascii="Palatino Linotype" w:eastAsia="Palatino Linotype" w:hAnsi="Palatino Linotype" w:cs="Palatino Linotype"/>
                <w:sz w:val="12"/>
                <w:szCs w:val="12"/>
              </w:rPr>
              <w:t>anotarán</w:t>
            </w:r>
            <w:proofErr w:type="gramEnd"/>
            <w:r w:rsidRPr="009F4204">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Reservado</w:t>
            </w:r>
          </w:p>
        </w:tc>
        <w:tc>
          <w:tcPr>
            <w:tcW w:w="3446"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Leyenda de información RESERVADA.</w:t>
            </w:r>
          </w:p>
        </w:tc>
      </w:tr>
      <w:tr w:rsidR="009F4204" w:rsidRPr="009F4204" w:rsidTr="00EB0327">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A75E6B">
            <w:pPr>
              <w:jc w:val="both"/>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Fundamento legal</w:t>
            </w:r>
          </w:p>
        </w:tc>
        <w:tc>
          <w:tcPr>
            <w:tcW w:w="3421"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Periodo de reserva</w:t>
            </w:r>
          </w:p>
        </w:tc>
        <w:tc>
          <w:tcPr>
            <w:tcW w:w="3446"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9F4204" w:rsidRPr="009F4204"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A75E6B">
            <w:pPr>
              <w:jc w:val="both"/>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Ampliación del periodo de reserva</w:t>
            </w:r>
          </w:p>
        </w:tc>
        <w:tc>
          <w:tcPr>
            <w:tcW w:w="3421"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Fundamento legal</w:t>
            </w:r>
          </w:p>
        </w:tc>
        <w:tc>
          <w:tcPr>
            <w:tcW w:w="3446"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9F4204" w:rsidRPr="009F4204" w:rsidTr="00EB0327">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A75E6B">
            <w:pPr>
              <w:jc w:val="both"/>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Confidencial</w:t>
            </w:r>
          </w:p>
        </w:tc>
        <w:tc>
          <w:tcPr>
            <w:tcW w:w="3421"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Ampliación del periodo de reserva</w:t>
            </w:r>
          </w:p>
        </w:tc>
        <w:tc>
          <w:tcPr>
            <w:tcW w:w="3446"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9F4204" w:rsidRPr="009F4204"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A75E6B">
            <w:pPr>
              <w:jc w:val="both"/>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Fundamento legal</w:t>
            </w:r>
          </w:p>
        </w:tc>
        <w:tc>
          <w:tcPr>
            <w:tcW w:w="3421"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Confidencial</w:t>
            </w:r>
          </w:p>
        </w:tc>
        <w:tc>
          <w:tcPr>
            <w:tcW w:w="3446"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Leyenda de información CONFIDENCIAL.</w:t>
            </w:r>
          </w:p>
        </w:tc>
      </w:tr>
      <w:tr w:rsidR="009F4204" w:rsidRPr="009F4204" w:rsidTr="00EB0327">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A75E6B">
            <w:pPr>
              <w:jc w:val="both"/>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Rúbrica del titular del área</w:t>
            </w:r>
          </w:p>
        </w:tc>
        <w:tc>
          <w:tcPr>
            <w:tcW w:w="3421"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Rúbrica autógrafa de quien clasifica.</w:t>
            </w:r>
          </w:p>
        </w:tc>
        <w:tc>
          <w:tcPr>
            <w:tcW w:w="968"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Fundamento legal</w:t>
            </w:r>
          </w:p>
        </w:tc>
        <w:tc>
          <w:tcPr>
            <w:tcW w:w="3446"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9F4204" w:rsidRPr="009F4204"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A75E6B">
            <w:pPr>
              <w:jc w:val="both"/>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Fecha de desclasificación</w:t>
            </w:r>
          </w:p>
        </w:tc>
        <w:tc>
          <w:tcPr>
            <w:tcW w:w="3421"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 anotará la fecha en que se desclasifica el documento.</w:t>
            </w:r>
          </w:p>
        </w:tc>
        <w:tc>
          <w:tcPr>
            <w:tcW w:w="968"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Rúbrica del titular del área</w:t>
            </w:r>
          </w:p>
        </w:tc>
        <w:tc>
          <w:tcPr>
            <w:tcW w:w="3446"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Rúbrica autógrafa de quien clasifica.</w:t>
            </w:r>
          </w:p>
        </w:tc>
      </w:tr>
      <w:tr w:rsidR="009F4204" w:rsidRPr="009F4204" w:rsidTr="00EB0327">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A75E6B">
            <w:pPr>
              <w:jc w:val="both"/>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Rúbrica y cargo del servidor público</w:t>
            </w:r>
          </w:p>
        </w:tc>
        <w:tc>
          <w:tcPr>
            <w:tcW w:w="3421"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Rúbrica autógrafa de quien desclasifica.</w:t>
            </w:r>
          </w:p>
        </w:tc>
        <w:tc>
          <w:tcPr>
            <w:tcW w:w="968"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Fecha de desclasificación</w:t>
            </w:r>
          </w:p>
        </w:tc>
        <w:tc>
          <w:tcPr>
            <w:tcW w:w="3446"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Se anotará la fecha en que se desclasifica.</w:t>
            </w:r>
          </w:p>
        </w:tc>
      </w:tr>
      <w:tr w:rsidR="009F4204" w:rsidRPr="009F4204" w:rsidTr="00EB0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DA678D">
            <w:pPr>
              <w:jc w:val="both"/>
              <w:rPr>
                <w:rFonts w:ascii="Palatino Linotype" w:eastAsia="Palatino Linotype" w:hAnsi="Palatino Linotype" w:cs="Palatino Linotype"/>
                <w:sz w:val="12"/>
                <w:szCs w:val="12"/>
              </w:rPr>
            </w:pPr>
          </w:p>
        </w:tc>
        <w:tc>
          <w:tcPr>
            <w:tcW w:w="3421" w:type="dxa"/>
          </w:tcPr>
          <w:p w:rsidR="00DA678D" w:rsidRPr="009F4204" w:rsidRDefault="00DA678D">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Partes o secciones reservadas o confidenciales</w:t>
            </w:r>
          </w:p>
        </w:tc>
        <w:tc>
          <w:tcPr>
            <w:tcW w:w="3446" w:type="dxa"/>
          </w:tcPr>
          <w:p w:rsidR="00DA678D" w:rsidRPr="009F4204" w:rsidRDefault="00A75E6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 xml:space="preserve">En caso que una vez desclasificado el expediente, </w:t>
            </w:r>
            <w:proofErr w:type="spellStart"/>
            <w:r w:rsidRPr="009F4204">
              <w:rPr>
                <w:rFonts w:ascii="Palatino Linotype" w:eastAsia="Palatino Linotype" w:hAnsi="Palatino Linotype" w:cs="Palatino Linotype"/>
                <w:sz w:val="12"/>
                <w:szCs w:val="12"/>
              </w:rPr>
              <w:t>subsistanpartes</w:t>
            </w:r>
            <w:proofErr w:type="spellEnd"/>
            <w:r w:rsidRPr="009F4204">
              <w:rPr>
                <w:rFonts w:ascii="Palatino Linotype" w:eastAsia="Palatino Linotype" w:hAnsi="Palatino Linotype" w:cs="Palatino Linotype"/>
                <w:sz w:val="12"/>
                <w:szCs w:val="12"/>
              </w:rPr>
              <w:t xml:space="preserve"> o secciones del mismo reservadas o confidenciales, se señalará este hecho.</w:t>
            </w:r>
          </w:p>
        </w:tc>
      </w:tr>
      <w:tr w:rsidR="009F4204" w:rsidRPr="009F4204" w:rsidTr="00EB0327">
        <w:tc>
          <w:tcPr>
            <w:cnfStyle w:val="001000000000" w:firstRow="0" w:lastRow="0" w:firstColumn="1" w:lastColumn="0" w:oddVBand="0" w:evenVBand="0" w:oddHBand="0" w:evenHBand="0" w:firstRowFirstColumn="0" w:firstRowLastColumn="0" w:lastRowFirstColumn="0" w:lastRowLastColumn="0"/>
            <w:tcW w:w="993" w:type="dxa"/>
          </w:tcPr>
          <w:p w:rsidR="00DA678D" w:rsidRPr="009F4204" w:rsidRDefault="00DA678D">
            <w:pPr>
              <w:jc w:val="both"/>
              <w:rPr>
                <w:rFonts w:ascii="Palatino Linotype" w:eastAsia="Palatino Linotype" w:hAnsi="Palatino Linotype" w:cs="Palatino Linotype"/>
                <w:sz w:val="12"/>
                <w:szCs w:val="12"/>
              </w:rPr>
            </w:pPr>
          </w:p>
        </w:tc>
        <w:tc>
          <w:tcPr>
            <w:tcW w:w="3421" w:type="dxa"/>
          </w:tcPr>
          <w:p w:rsidR="00DA678D" w:rsidRPr="009F4204" w:rsidRDefault="00DA678D">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9F4204">
              <w:rPr>
                <w:rFonts w:ascii="Palatino Linotype" w:eastAsia="Palatino Linotype" w:hAnsi="Palatino Linotype" w:cs="Palatino Linotype"/>
                <w:b/>
                <w:sz w:val="12"/>
                <w:szCs w:val="12"/>
              </w:rPr>
              <w:t>Rúbrica y cargo del servidor público</w:t>
            </w:r>
          </w:p>
        </w:tc>
        <w:tc>
          <w:tcPr>
            <w:tcW w:w="3446" w:type="dxa"/>
          </w:tcPr>
          <w:p w:rsidR="00DA678D" w:rsidRPr="009F4204" w:rsidRDefault="00A75E6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9F4204">
              <w:rPr>
                <w:rFonts w:ascii="Palatino Linotype" w:eastAsia="Palatino Linotype" w:hAnsi="Palatino Linotype" w:cs="Palatino Linotype"/>
                <w:sz w:val="12"/>
                <w:szCs w:val="12"/>
              </w:rPr>
              <w:t>Rúbrica autógrafa de quien desclasifica.</w:t>
            </w:r>
          </w:p>
        </w:tc>
      </w:tr>
    </w:tbl>
    <w:p w:rsidR="00DA678D" w:rsidRPr="009F4204" w:rsidRDefault="00A75E6B">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9F420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DA678D" w:rsidRPr="009F4204" w:rsidRDefault="00A75E6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F4204">
        <w:rPr>
          <w:rFonts w:ascii="Palatino Linotype" w:eastAsia="Palatino Linotype" w:hAnsi="Palatino Linotype" w:cs="Palatino Linotype"/>
          <w:b/>
        </w:rPr>
        <w:t>III. R E S U E L V E</w:t>
      </w:r>
    </w:p>
    <w:p w:rsidR="00DA678D" w:rsidRPr="009F4204" w:rsidRDefault="00A75E6B">
      <w:pPr>
        <w:spacing w:before="240" w:after="240" w:line="360" w:lineRule="auto"/>
        <w:jc w:val="both"/>
        <w:rPr>
          <w:rFonts w:ascii="Palatino Linotype" w:eastAsia="Palatino Linotype" w:hAnsi="Palatino Linotype" w:cs="Palatino Linotype"/>
          <w:b/>
        </w:rPr>
      </w:pPr>
      <w:bookmarkStart w:id="10" w:name="_heading=h.1fob9te" w:colFirst="0" w:colLast="0"/>
      <w:bookmarkEnd w:id="10"/>
      <w:r w:rsidRPr="009F4204">
        <w:rPr>
          <w:rFonts w:ascii="Palatino Linotype" w:eastAsia="Palatino Linotype" w:hAnsi="Palatino Linotype" w:cs="Palatino Linotype"/>
          <w:b/>
        </w:rPr>
        <w:t xml:space="preserve">Primero. </w:t>
      </w:r>
      <w:r w:rsidRPr="009F4204">
        <w:rPr>
          <w:rFonts w:ascii="Palatino Linotype" w:eastAsia="Palatino Linotype" w:hAnsi="Palatino Linotype" w:cs="Palatino Linotype"/>
        </w:rPr>
        <w:t>Resultan</w:t>
      </w:r>
      <w:r w:rsidRPr="009F4204">
        <w:rPr>
          <w:rFonts w:ascii="Palatino Linotype" w:eastAsia="Palatino Linotype" w:hAnsi="Palatino Linotype" w:cs="Palatino Linotype"/>
          <w:b/>
        </w:rPr>
        <w:t xml:space="preserve"> fundados</w:t>
      </w:r>
      <w:r w:rsidRPr="009F4204">
        <w:rPr>
          <w:rFonts w:ascii="Palatino Linotype" w:eastAsia="Palatino Linotype" w:hAnsi="Palatino Linotype" w:cs="Palatino Linotype"/>
        </w:rPr>
        <w:t xml:space="preserve"> los motivos de inconformidad hechos valer por la parte </w:t>
      </w:r>
      <w:r w:rsidRPr="009F4204">
        <w:rPr>
          <w:rFonts w:ascii="Palatino Linotype" w:eastAsia="Palatino Linotype" w:hAnsi="Palatino Linotype" w:cs="Palatino Linotype"/>
          <w:b/>
        </w:rPr>
        <w:t xml:space="preserve">Recurrente </w:t>
      </w:r>
      <w:r w:rsidRPr="009F4204">
        <w:rPr>
          <w:rFonts w:ascii="Palatino Linotype" w:eastAsia="Palatino Linotype" w:hAnsi="Palatino Linotype" w:cs="Palatino Linotype"/>
        </w:rPr>
        <w:t xml:space="preserve">en el recurso de revisión </w:t>
      </w:r>
      <w:r w:rsidRPr="009F4204">
        <w:rPr>
          <w:rFonts w:ascii="Palatino Linotype" w:eastAsia="Palatino Linotype" w:hAnsi="Palatino Linotype" w:cs="Palatino Linotype"/>
          <w:b/>
        </w:rPr>
        <w:t xml:space="preserve">13254/INFOEM/IP/RR/2022, </w:t>
      </w:r>
      <w:r w:rsidRPr="009F4204">
        <w:rPr>
          <w:rFonts w:ascii="Palatino Linotype" w:eastAsia="Palatino Linotype" w:hAnsi="Palatino Linotype" w:cs="Palatino Linotype"/>
        </w:rPr>
        <w:t xml:space="preserve">por lo que, en </w:t>
      </w:r>
      <w:r w:rsidRPr="009F4204">
        <w:rPr>
          <w:rFonts w:ascii="Palatino Linotype" w:eastAsia="Palatino Linotype" w:hAnsi="Palatino Linotype" w:cs="Palatino Linotype"/>
        </w:rPr>
        <w:lastRenderedPageBreak/>
        <w:t xml:space="preserve">términos del Considerando </w:t>
      </w:r>
      <w:r w:rsidRPr="009F4204">
        <w:rPr>
          <w:rFonts w:ascii="Palatino Linotype" w:eastAsia="Palatino Linotype" w:hAnsi="Palatino Linotype" w:cs="Palatino Linotype"/>
          <w:b/>
        </w:rPr>
        <w:t>Cuarto</w:t>
      </w:r>
      <w:r w:rsidRPr="009F4204">
        <w:rPr>
          <w:rFonts w:ascii="Palatino Linotype" w:eastAsia="Palatino Linotype" w:hAnsi="Palatino Linotype" w:cs="Palatino Linotype"/>
        </w:rPr>
        <w:t xml:space="preserve"> de la presente resolución, se</w:t>
      </w:r>
      <w:r w:rsidRPr="009F4204">
        <w:rPr>
          <w:rFonts w:ascii="Palatino Linotype" w:eastAsia="Palatino Linotype" w:hAnsi="Palatino Linotype" w:cs="Palatino Linotype"/>
          <w:b/>
        </w:rPr>
        <w:t xml:space="preserve"> Modifica </w:t>
      </w:r>
      <w:r w:rsidRPr="009F4204">
        <w:rPr>
          <w:rFonts w:ascii="Palatino Linotype" w:eastAsia="Palatino Linotype" w:hAnsi="Palatino Linotype" w:cs="Palatino Linotype"/>
        </w:rPr>
        <w:t>la respuesta</w:t>
      </w:r>
      <w:r w:rsidRPr="009F4204">
        <w:rPr>
          <w:rFonts w:ascii="Palatino Linotype" w:eastAsia="Palatino Linotype" w:hAnsi="Palatino Linotype" w:cs="Palatino Linotype"/>
          <w:b/>
        </w:rPr>
        <w:t xml:space="preserve"> </w:t>
      </w:r>
      <w:r w:rsidRPr="009F4204">
        <w:rPr>
          <w:rFonts w:ascii="Palatino Linotype" w:eastAsia="Palatino Linotype" w:hAnsi="Palatino Linotype" w:cs="Palatino Linotype"/>
        </w:rPr>
        <w:t xml:space="preserve">del </w:t>
      </w:r>
      <w:r w:rsidRPr="009F4204">
        <w:rPr>
          <w:rFonts w:ascii="Palatino Linotype" w:eastAsia="Palatino Linotype" w:hAnsi="Palatino Linotype" w:cs="Palatino Linotype"/>
          <w:b/>
        </w:rPr>
        <w:t>Sujeto Obligado.</w:t>
      </w:r>
    </w:p>
    <w:p w:rsidR="00DA678D" w:rsidRPr="009F4204" w:rsidRDefault="00A75E6B">
      <w:pPr>
        <w:spacing w:before="240" w:after="240" w:line="360" w:lineRule="auto"/>
        <w:jc w:val="both"/>
        <w:rPr>
          <w:rFonts w:ascii="Palatino Linotype" w:eastAsia="Palatino Linotype" w:hAnsi="Palatino Linotype" w:cs="Palatino Linotype"/>
        </w:rPr>
      </w:pPr>
      <w:bookmarkStart w:id="11" w:name="_heading=h.4d34og8" w:colFirst="0" w:colLast="0"/>
      <w:bookmarkEnd w:id="11"/>
      <w:r w:rsidRPr="009F4204">
        <w:rPr>
          <w:rFonts w:ascii="Palatino Linotype" w:eastAsia="Palatino Linotype" w:hAnsi="Palatino Linotype" w:cs="Palatino Linotype"/>
          <w:b/>
        </w:rPr>
        <w:t xml:space="preserve">Segundo. </w:t>
      </w:r>
      <w:r w:rsidRPr="009F4204">
        <w:rPr>
          <w:rFonts w:ascii="Palatino Linotype" w:eastAsia="Palatino Linotype" w:hAnsi="Palatino Linotype" w:cs="Palatino Linotype"/>
        </w:rPr>
        <w:t xml:space="preserve">Se </w:t>
      </w:r>
      <w:r w:rsidRPr="009F4204">
        <w:rPr>
          <w:rFonts w:ascii="Palatino Linotype" w:eastAsia="Palatino Linotype" w:hAnsi="Palatino Linotype" w:cs="Palatino Linotype"/>
          <w:b/>
        </w:rPr>
        <w:t>Ordena</w:t>
      </w:r>
      <w:r w:rsidRPr="009F4204">
        <w:rPr>
          <w:rFonts w:ascii="Palatino Linotype" w:eastAsia="Palatino Linotype" w:hAnsi="Palatino Linotype" w:cs="Palatino Linotype"/>
        </w:rPr>
        <w:t xml:space="preserve"> al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xml:space="preserve">, en términos de los Considerandos </w:t>
      </w:r>
      <w:r w:rsidRPr="009F4204">
        <w:rPr>
          <w:rFonts w:ascii="Palatino Linotype" w:eastAsia="Palatino Linotype" w:hAnsi="Palatino Linotype" w:cs="Palatino Linotype"/>
          <w:b/>
        </w:rPr>
        <w:t xml:space="preserve">Cuarto </w:t>
      </w:r>
      <w:r w:rsidRPr="009F4204">
        <w:rPr>
          <w:rFonts w:ascii="Palatino Linotype" w:eastAsia="Palatino Linotype" w:hAnsi="Palatino Linotype" w:cs="Palatino Linotype"/>
        </w:rPr>
        <w:t xml:space="preserve">y </w:t>
      </w:r>
      <w:r w:rsidRPr="009F4204">
        <w:rPr>
          <w:rFonts w:ascii="Palatino Linotype" w:eastAsia="Palatino Linotype" w:hAnsi="Palatino Linotype" w:cs="Palatino Linotype"/>
          <w:b/>
        </w:rPr>
        <w:t xml:space="preserve">Quinto </w:t>
      </w:r>
      <w:r w:rsidRPr="009F4204">
        <w:rPr>
          <w:rFonts w:ascii="Palatino Linotype" w:eastAsia="Palatino Linotype" w:hAnsi="Palatino Linotype" w:cs="Palatino Linotype"/>
        </w:rPr>
        <w:t>de esta resolución, haga entrega, vía SAIMEX, en versión pública de lo siguiente:</w:t>
      </w:r>
    </w:p>
    <w:p w:rsidR="00DA678D" w:rsidRPr="009F4204" w:rsidRDefault="00A75E6B">
      <w:pPr>
        <w:spacing w:before="240" w:after="240" w:line="360" w:lineRule="auto"/>
        <w:ind w:left="284"/>
        <w:jc w:val="both"/>
        <w:rPr>
          <w:rFonts w:ascii="Palatino Linotype" w:eastAsia="Palatino Linotype" w:hAnsi="Palatino Linotype" w:cs="Palatino Linotype"/>
        </w:rPr>
      </w:pPr>
      <w:r w:rsidRPr="009F4204">
        <w:rPr>
          <w:rFonts w:ascii="Palatino Linotype" w:eastAsia="Palatino Linotype" w:hAnsi="Palatino Linotype" w:cs="Palatino Linotype"/>
        </w:rPr>
        <w:t>Del programa de despensas “Huehuetoca cerca de Ti”:</w:t>
      </w:r>
    </w:p>
    <w:p w:rsidR="00DA678D" w:rsidRPr="009F4204" w:rsidRDefault="00A75E6B">
      <w:pPr>
        <w:spacing w:before="240" w:after="240" w:line="360" w:lineRule="auto"/>
        <w:ind w:left="567"/>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1. Contratos celebrados </w:t>
      </w:r>
      <w:r w:rsidR="00EB0327" w:rsidRPr="009F4204">
        <w:rPr>
          <w:rFonts w:ascii="Palatino Linotype" w:eastAsia="Palatino Linotype" w:hAnsi="Palatino Linotype" w:cs="Palatino Linotype"/>
        </w:rPr>
        <w:t>del uno de</w:t>
      </w:r>
      <w:r w:rsidR="00FD35D8" w:rsidRPr="009F4204">
        <w:rPr>
          <w:rFonts w:ascii="Palatino Linotype" w:eastAsia="Palatino Linotype" w:hAnsi="Palatino Linotype" w:cs="Palatino Linotype"/>
        </w:rPr>
        <w:t xml:space="preserve"> enero al dos de agosto de dos mil veintidós</w:t>
      </w:r>
      <w:r w:rsidRPr="009F4204">
        <w:rPr>
          <w:rFonts w:ascii="Palatino Linotype" w:eastAsia="Palatino Linotype" w:hAnsi="Palatino Linotype" w:cs="Palatino Linotype"/>
        </w:rPr>
        <w:t>.</w:t>
      </w:r>
      <w:r w:rsidR="003E1421" w:rsidRPr="009F4204">
        <w:rPr>
          <w:rFonts w:ascii="Palatino Linotype" w:eastAsia="Palatino Linotype" w:hAnsi="Palatino Linotype" w:cs="Palatino Linotype"/>
        </w:rPr>
        <w:t xml:space="preserve"> </w:t>
      </w:r>
    </w:p>
    <w:p w:rsidR="003E1421" w:rsidRPr="009F4204" w:rsidRDefault="00A75E6B" w:rsidP="003E1421">
      <w:pPr>
        <w:spacing w:before="240" w:after="240" w:line="360" w:lineRule="auto"/>
        <w:ind w:left="567"/>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2. Pólizas de egresos </w:t>
      </w:r>
      <w:r w:rsidR="00FD35D8" w:rsidRPr="009F4204">
        <w:rPr>
          <w:rFonts w:ascii="Palatino Linotype" w:eastAsia="Palatino Linotype" w:hAnsi="Palatino Linotype" w:cs="Palatino Linotype"/>
        </w:rPr>
        <w:t xml:space="preserve">o cheque </w:t>
      </w:r>
      <w:r w:rsidRPr="009F4204">
        <w:rPr>
          <w:rFonts w:ascii="Palatino Linotype" w:eastAsia="Palatino Linotype" w:hAnsi="Palatino Linotype" w:cs="Palatino Linotype"/>
        </w:rPr>
        <w:t>generadas</w:t>
      </w:r>
      <w:r w:rsidR="00FD35D8" w:rsidRPr="009F4204">
        <w:rPr>
          <w:rFonts w:ascii="Palatino Linotype" w:eastAsia="Palatino Linotype" w:hAnsi="Palatino Linotype" w:cs="Palatino Linotype"/>
        </w:rPr>
        <w:t xml:space="preserve"> del uno de enero al dos de agosto de dos mil veintidós.</w:t>
      </w:r>
    </w:p>
    <w:p w:rsidR="00DA678D" w:rsidRPr="009F4204" w:rsidRDefault="00A75E6B">
      <w:pPr>
        <w:spacing w:before="240" w:after="240"/>
        <w:ind w:left="284" w:right="51"/>
        <w:jc w:val="both"/>
        <w:rPr>
          <w:rFonts w:ascii="Palatino Linotype" w:eastAsia="Palatino Linotype" w:hAnsi="Palatino Linotype" w:cs="Palatino Linotype"/>
          <w:i/>
          <w:sz w:val="20"/>
          <w:szCs w:val="20"/>
        </w:rPr>
      </w:pPr>
      <w:r w:rsidRPr="009F4204">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9F4204">
        <w:rPr>
          <w:rFonts w:ascii="Palatino Linotype" w:eastAsia="Palatino Linotype" w:hAnsi="Palatino Linotype" w:cs="Palatino Linotype"/>
          <w:b/>
          <w:i/>
          <w:sz w:val="20"/>
          <w:szCs w:val="20"/>
        </w:rPr>
        <w:t>Recurrente</w:t>
      </w:r>
      <w:r w:rsidRPr="009F4204">
        <w:rPr>
          <w:rFonts w:ascii="Palatino Linotype" w:eastAsia="Palatino Linotype" w:hAnsi="Palatino Linotype" w:cs="Palatino Linotype"/>
          <w:i/>
          <w:sz w:val="20"/>
          <w:szCs w:val="20"/>
        </w:rPr>
        <w:t>.</w:t>
      </w:r>
    </w:p>
    <w:p w:rsidR="00DA678D" w:rsidRPr="009F4204" w:rsidRDefault="00A75E6B">
      <w:pPr>
        <w:spacing w:before="240" w:after="240" w:line="360" w:lineRule="auto"/>
        <w:jc w:val="both"/>
        <w:rPr>
          <w:rFonts w:ascii="Palatino Linotype" w:eastAsia="Palatino Linotype" w:hAnsi="Palatino Linotype" w:cs="Palatino Linotype"/>
          <w:b/>
        </w:rPr>
      </w:pPr>
      <w:r w:rsidRPr="009F4204">
        <w:rPr>
          <w:rFonts w:ascii="Palatino Linotype" w:eastAsia="Palatino Linotype" w:hAnsi="Palatino Linotype" w:cs="Palatino Linotype"/>
          <w:b/>
        </w:rPr>
        <w:t xml:space="preserve">Segundo. Notifíquese, </w:t>
      </w:r>
      <w:r w:rsidRPr="009F4204">
        <w:rPr>
          <w:rFonts w:ascii="Palatino Linotype" w:eastAsia="Palatino Linotype" w:hAnsi="Palatino Linotype" w:cs="Palatino Linotype"/>
        </w:rPr>
        <w:t>vía</w:t>
      </w:r>
      <w:r w:rsidRPr="009F4204">
        <w:rPr>
          <w:rFonts w:ascii="Palatino Linotype" w:eastAsia="Palatino Linotype" w:hAnsi="Palatino Linotype" w:cs="Palatino Linotype"/>
          <w:b/>
        </w:rPr>
        <w:t xml:space="preserve"> SAIMEX, </w:t>
      </w:r>
      <w:r w:rsidRPr="009F4204">
        <w:rPr>
          <w:rFonts w:ascii="Palatino Linotype" w:eastAsia="Palatino Linotype" w:hAnsi="Palatino Linotype" w:cs="Palatino Linotype"/>
        </w:rPr>
        <w:t xml:space="preserve">al Responsable de la Unidad de Transparencia del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9F4204">
        <w:rPr>
          <w:rFonts w:ascii="Palatino Linotype" w:eastAsia="Palatino Linotype" w:hAnsi="Palatino Linotype" w:cs="Palatino Linotype"/>
          <w:b/>
        </w:rPr>
        <w:t>.</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F4204">
        <w:rPr>
          <w:rFonts w:ascii="Palatino Linotype" w:eastAsia="Palatino Linotype" w:hAnsi="Palatino Linotype" w:cs="Palatino Linotype"/>
          <w:b/>
        </w:rPr>
        <w:t>Sujeto Obligado</w:t>
      </w:r>
      <w:r w:rsidRPr="009F4204">
        <w:rPr>
          <w:rFonts w:ascii="Palatino Linotype" w:eastAsia="Palatino Linotype" w:hAnsi="Palatino Linotype" w:cs="Palatino Linotype"/>
        </w:rPr>
        <w:t xml:space="preserve"> de manera fundada y motivada, podrá solicitar una ampliación de plazo para el cumplimiento de la presente resolución.</w:t>
      </w:r>
    </w:p>
    <w:p w:rsidR="00DA678D" w:rsidRPr="009F4204" w:rsidRDefault="00A75E6B">
      <w:pPr>
        <w:spacing w:before="240" w:after="240"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b/>
        </w:rPr>
        <w:lastRenderedPageBreak/>
        <w:t xml:space="preserve">Cuarto.  Notifíquese, </w:t>
      </w:r>
      <w:r w:rsidRPr="009F4204">
        <w:rPr>
          <w:rFonts w:ascii="Palatino Linotype" w:eastAsia="Palatino Linotype" w:hAnsi="Palatino Linotype" w:cs="Palatino Linotype"/>
        </w:rPr>
        <w:t xml:space="preserve">vía </w:t>
      </w:r>
      <w:r w:rsidRPr="009F4204">
        <w:rPr>
          <w:rFonts w:ascii="Palatino Linotype" w:eastAsia="Palatino Linotype" w:hAnsi="Palatino Linotype" w:cs="Palatino Linotype"/>
          <w:b/>
        </w:rPr>
        <w:t>SAIMEX</w:t>
      </w:r>
      <w:r w:rsidRPr="009F4204">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DA678D" w:rsidRPr="009F4204" w:rsidRDefault="00A75E6B">
      <w:pPr>
        <w:spacing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w:t>
      </w:r>
    </w:p>
    <w:p w:rsidR="000A252D" w:rsidRPr="009F4204" w:rsidRDefault="000A252D">
      <w:pPr>
        <w:spacing w:line="360" w:lineRule="auto"/>
        <w:jc w:val="both"/>
        <w:rPr>
          <w:rFonts w:ascii="Palatino Linotype" w:eastAsia="Palatino Linotype" w:hAnsi="Palatino Linotype" w:cs="Palatino Linotype"/>
        </w:rPr>
      </w:pPr>
      <w:r w:rsidRPr="009F4204">
        <w:rPr>
          <w:rFonts w:ascii="Palatino Linotype" w:eastAsia="Palatino Linotype" w:hAnsi="Palatino Linotype" w:cs="Palatino Linotype"/>
          <w:noProof/>
        </w:rPr>
        <mc:AlternateContent>
          <mc:Choice Requires="wps">
            <w:drawing>
              <wp:anchor distT="0" distB="0" distL="114300" distR="114300" simplePos="0" relativeHeight="251662336" behindDoc="0" locked="0" layoutInCell="1" allowOverlap="1" wp14:anchorId="235D4522" wp14:editId="4C31ECDD">
                <wp:simplePos x="0" y="0"/>
                <wp:positionH relativeFrom="margin">
                  <wp:align>right</wp:align>
                </wp:positionH>
                <wp:positionV relativeFrom="paragraph">
                  <wp:posOffset>31057</wp:posOffset>
                </wp:positionV>
                <wp:extent cx="5500255" cy="2992582"/>
                <wp:effectExtent l="38100" t="19050" r="62865" b="93980"/>
                <wp:wrapNone/>
                <wp:docPr id="3" name="Conector recto 3"/>
                <wp:cNvGraphicFramePr/>
                <a:graphic xmlns:a="http://schemas.openxmlformats.org/drawingml/2006/main">
                  <a:graphicData uri="http://schemas.microsoft.com/office/word/2010/wordprocessingShape">
                    <wps:wsp>
                      <wps:cNvCnPr/>
                      <wps:spPr>
                        <a:xfrm>
                          <a:off x="0" y="0"/>
                          <a:ext cx="5500255" cy="299258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37696" id="Conector recto 3"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9pt,2.45pt" to="815pt,2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QPSuAEAALkDAAAOAAAAZHJzL2Uyb0RvYy54bWysU8tu2zAQvBfoPxC815IVqEgEyzk4SC9F&#10;a/TxAQy1tInwhSVry3/fJSUrRVvkUPTC58zsznK5uR+tYSfAqL3r+XpVcwZO+kG7Q8+/f3t8d8tZ&#10;TMINwngHPb9A5Pfbt28259BB44/eDICMRFzszqHnx5RCV1VRHsGKuPIBHF0qj1Yk2uKhGlCcSd2a&#10;qqnr99XZ4xDQS4iRTh+mS74t+kqBTJ+VipCY6TnllsqIZXzKY7XdiO6AIhy1nNMQ/5CFFdpR0EXq&#10;QSTBfqD+Q8pqiT56lVbS28orpSUUD+RmXf/m5utRBCheqDgxLGWK/09Wfjrtkemh5zecOWHpiXb0&#10;UDJ5ZJgndpNrdA6xI+jO7XHexbDHbHhUaPNMVthY6npZ6gpjYpIO27aum7blTNJdc3fXtLdNVq1e&#10;6AFj+gDesrzoudEuGxedOH2MaYJeIcTL6UwJlFW6GMhg476AIjMUsins0kawM8hOghpgeF7PYQsy&#10;U5Q2ZiHVr5NmbKZBaa2FuH6duKBLRO/SQrTaefwbOY3XVNWEv7qevGbbT364lOco5aD+KAWdezk3&#10;4K/7Qn/5cdufAAAA//8DAFBLAwQUAAYACAAAACEAcyKDL9sAAAAGAQAADwAAAGRycy9kb3ducmV2&#10;LnhtbEyPwU7DMBBE70j8g7VIXBB1qCBNQ5wKITgg9UJBPW9jY0fE6yh2G/P3LCd6m9GsZt42m+wH&#10;cTJT7AMpuFsUIAx1QfdkFXx+vN5WIGJC0jgEMgp+TIRNe3nRYK3DTO/mtEtWcAnFGhW4lMZaytg5&#10;4zEuwmiIs68weUxsJyv1hDOX+0Eui6KUHnviBYejeXam+94dvYIuy3zjXrSd7epNbzFWe/mwVer6&#10;Kj89gkgmp/9j+MNndGiZ6RCOpKMYFPAjScH9GgSHVVkuQRzYr1jItpHn+O0vAAAA//8DAFBLAQIt&#10;ABQABgAIAAAAIQC2gziS/gAAAOEBAAATAAAAAAAAAAAAAAAAAAAAAABbQ29udGVudF9UeXBlc10u&#10;eG1sUEsBAi0AFAAGAAgAAAAhADj9If/WAAAAlAEAAAsAAAAAAAAAAAAAAAAALwEAAF9yZWxzLy5y&#10;ZWxzUEsBAi0AFAAGAAgAAAAhAGmFA9K4AQAAuQMAAA4AAAAAAAAAAAAAAAAALgIAAGRycy9lMm9E&#10;b2MueG1sUEsBAi0AFAAGAAgAAAAhAHMigy/bAAAABgEAAA8AAAAAAAAAAAAAAAAAEgQAAGRycy9k&#10;b3ducmV2LnhtbFBLBQYAAAAABAAEAPMAAAAaBQAAAAA=&#10;" strokecolor="black [3200]" strokeweight="2pt">
                <v:shadow on="t" color="black" opacity="24903f" origin=",.5" offset="0,.55556mm"/>
                <w10:wrap anchorx="margin"/>
              </v:line>
            </w:pict>
          </mc:Fallback>
        </mc:AlternateContent>
      </w:r>
    </w:p>
    <w:p w:rsidR="00DA678D" w:rsidRPr="009F4204" w:rsidRDefault="00DA678D">
      <w:pPr>
        <w:rPr>
          <w:rFonts w:ascii="Palatino Linotype" w:eastAsia="Palatino Linotype" w:hAnsi="Palatino Linotype" w:cs="Palatino Linotype"/>
        </w:rPr>
      </w:pPr>
    </w:p>
    <w:p w:rsidR="00DA678D" w:rsidRPr="009F4204" w:rsidRDefault="00DA678D">
      <w:pPr>
        <w:rPr>
          <w:rFonts w:ascii="Palatino Linotype" w:eastAsia="Palatino Linotype" w:hAnsi="Palatino Linotype" w:cs="Palatino Linotype"/>
        </w:rPr>
      </w:pPr>
    </w:p>
    <w:p w:rsidR="00DA678D" w:rsidRPr="009F4204" w:rsidRDefault="00DA678D">
      <w:pPr>
        <w:rPr>
          <w:rFonts w:ascii="Palatino Linotype" w:eastAsia="Palatino Linotype" w:hAnsi="Palatino Linotype" w:cs="Palatino Linotype"/>
        </w:rPr>
      </w:pPr>
    </w:p>
    <w:p w:rsidR="00DA678D" w:rsidRPr="009F4204" w:rsidRDefault="00DA678D">
      <w:pPr>
        <w:rPr>
          <w:rFonts w:ascii="Palatino Linotype" w:eastAsia="Palatino Linotype" w:hAnsi="Palatino Linotype" w:cs="Palatino Linotype"/>
        </w:rPr>
      </w:pPr>
    </w:p>
    <w:p w:rsidR="00DA678D" w:rsidRPr="009F4204" w:rsidRDefault="00DA678D">
      <w:pPr>
        <w:rPr>
          <w:rFonts w:ascii="Palatino Linotype" w:eastAsia="Palatino Linotype" w:hAnsi="Palatino Linotype" w:cs="Palatino Linotype"/>
        </w:rPr>
      </w:pPr>
    </w:p>
    <w:p w:rsidR="00DA678D" w:rsidRPr="009F4204" w:rsidRDefault="00DA678D">
      <w:pPr>
        <w:rPr>
          <w:rFonts w:ascii="Palatino Linotype" w:eastAsia="Palatino Linotype" w:hAnsi="Palatino Linotype" w:cs="Palatino Linotype"/>
        </w:rPr>
      </w:pPr>
    </w:p>
    <w:p w:rsidR="00DA678D" w:rsidRPr="009F4204" w:rsidRDefault="00DA678D">
      <w:pPr>
        <w:rPr>
          <w:rFonts w:ascii="Palatino Linotype" w:eastAsia="Palatino Linotype" w:hAnsi="Palatino Linotype" w:cs="Palatino Linotype"/>
        </w:rPr>
      </w:pPr>
    </w:p>
    <w:p w:rsidR="00DA678D" w:rsidRPr="009F4204" w:rsidRDefault="00DA678D">
      <w:pPr>
        <w:rPr>
          <w:rFonts w:ascii="Palatino Linotype" w:eastAsia="Palatino Linotype" w:hAnsi="Palatino Linotype" w:cs="Palatino Linotype"/>
        </w:rPr>
      </w:pPr>
    </w:p>
    <w:p w:rsidR="00DA678D" w:rsidRPr="009F4204" w:rsidRDefault="00DA678D">
      <w:pPr>
        <w:rPr>
          <w:rFonts w:ascii="Palatino Linotype" w:eastAsia="Palatino Linotype" w:hAnsi="Palatino Linotype" w:cs="Palatino Linotype"/>
        </w:rPr>
      </w:pPr>
    </w:p>
    <w:p w:rsidR="00DA678D" w:rsidRPr="009F4204" w:rsidRDefault="00DA678D">
      <w:pPr>
        <w:rPr>
          <w:rFonts w:ascii="Palatino Linotype" w:eastAsia="Palatino Linotype" w:hAnsi="Palatino Linotype" w:cs="Palatino Linotype"/>
        </w:rPr>
      </w:pPr>
    </w:p>
    <w:p w:rsidR="00DA678D" w:rsidRPr="009F4204" w:rsidRDefault="00DA678D">
      <w:pPr>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bookmarkStart w:id="12" w:name="_heading=h.3rdcrjn" w:colFirst="0" w:colLast="0"/>
      <w:bookmarkEnd w:id="12"/>
    </w:p>
    <w:p w:rsidR="00DA678D" w:rsidRPr="009F4204" w:rsidRDefault="00DA678D">
      <w:pPr>
        <w:spacing w:line="360" w:lineRule="auto"/>
        <w:jc w:val="both"/>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bookmarkStart w:id="13" w:name="_heading=h.1t3h5sf" w:colFirst="0" w:colLast="0"/>
      <w:bookmarkEnd w:id="13"/>
    </w:p>
    <w:p w:rsidR="00DA678D" w:rsidRPr="009F4204" w:rsidRDefault="00DA678D">
      <w:pPr>
        <w:spacing w:line="360" w:lineRule="auto"/>
        <w:jc w:val="both"/>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p>
    <w:p w:rsidR="00DA678D" w:rsidRPr="009F4204" w:rsidRDefault="00DA678D">
      <w:pPr>
        <w:spacing w:line="360" w:lineRule="auto"/>
        <w:jc w:val="both"/>
        <w:rPr>
          <w:rFonts w:ascii="Palatino Linotype" w:eastAsia="Palatino Linotype" w:hAnsi="Palatino Linotype" w:cs="Palatino Linotype"/>
        </w:rPr>
      </w:pPr>
    </w:p>
    <w:sectPr w:rsidR="00DA678D" w:rsidRPr="009F4204">
      <w:headerReference w:type="default" r:id="rId21"/>
      <w:footerReference w:type="default" r:id="rId22"/>
      <w:headerReference w:type="first" r:id="rId23"/>
      <w:footerReference w:type="first" r:id="rId2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FE3" w:rsidRDefault="006B5FE3">
      <w:r>
        <w:separator/>
      </w:r>
    </w:p>
  </w:endnote>
  <w:endnote w:type="continuationSeparator" w:id="0">
    <w:p w:rsidR="006B5FE3" w:rsidRDefault="006B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30" w:rsidRDefault="00736B3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426F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426F1">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rsidR="00736B30" w:rsidRDefault="00736B3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30" w:rsidRDefault="00736B3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1032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1032A">
      <w:rPr>
        <w:rFonts w:ascii="Palatino Linotype" w:eastAsia="Palatino Linotype" w:hAnsi="Palatino Linotype" w:cs="Palatino Linotype"/>
        <w:b/>
        <w:noProof/>
        <w:color w:val="000000"/>
        <w:sz w:val="20"/>
        <w:szCs w:val="20"/>
      </w:rPr>
      <w:t>59</w:t>
    </w:r>
    <w:r>
      <w:rPr>
        <w:rFonts w:ascii="Palatino Linotype" w:eastAsia="Palatino Linotype" w:hAnsi="Palatino Linotype" w:cs="Palatino Linotype"/>
        <w:b/>
        <w:color w:val="000000"/>
        <w:sz w:val="20"/>
        <w:szCs w:val="20"/>
      </w:rPr>
      <w:fldChar w:fldCharType="end"/>
    </w:r>
  </w:p>
  <w:p w:rsidR="00736B30" w:rsidRDefault="00736B3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FE3" w:rsidRDefault="006B5FE3">
      <w:r>
        <w:separator/>
      </w:r>
    </w:p>
  </w:footnote>
  <w:footnote w:type="continuationSeparator" w:id="0">
    <w:p w:rsidR="006B5FE3" w:rsidRDefault="006B5FE3">
      <w:r>
        <w:continuationSeparator/>
      </w:r>
    </w:p>
  </w:footnote>
  <w:footnote w:id="1">
    <w:p w:rsidR="00736B30" w:rsidRDefault="00736B30">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736B30" w:rsidRDefault="00736B3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736B30" w:rsidRDefault="00736B30">
      <w:pPr>
        <w:ind w:right="49"/>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53.</w:t>
      </w:r>
      <w:r>
        <w:rPr>
          <w:rFonts w:ascii="Palatino Linotype" w:eastAsia="Palatino Linotype" w:hAnsi="Palatino Linotype" w:cs="Palatino Linotype"/>
          <w:i/>
          <w:sz w:val="16"/>
          <w:szCs w:val="16"/>
        </w:rPr>
        <w:t xml:space="preserve"> Las </w:t>
      </w:r>
      <w:r>
        <w:rPr>
          <w:rFonts w:ascii="Palatino Linotype" w:eastAsia="Palatino Linotype" w:hAnsi="Palatino Linotype" w:cs="Palatino Linotype"/>
          <w:b/>
          <w:i/>
          <w:sz w:val="16"/>
          <w:szCs w:val="16"/>
        </w:rPr>
        <w:t>Unidades de Transparencia</w:t>
      </w:r>
      <w:r>
        <w:rPr>
          <w:rFonts w:ascii="Palatino Linotype" w:eastAsia="Palatino Linotype" w:hAnsi="Palatino Linotype" w:cs="Palatino Linotype"/>
          <w:i/>
          <w:sz w:val="16"/>
          <w:szCs w:val="16"/>
        </w:rPr>
        <w:t xml:space="preserve"> tendrán las siguientes funciones:</w:t>
      </w:r>
    </w:p>
    <w:p w:rsidR="00736B30" w:rsidRDefault="00736B30">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Recibir, tramitar y dar respuesta a las solicitudes de acceso a la información;</w:t>
      </w:r>
    </w:p>
  </w:footnote>
  <w:footnote w:id="3">
    <w:p w:rsidR="00736B30" w:rsidRDefault="00736B30">
      <w:pPr>
        <w:pBdr>
          <w:top w:val="nil"/>
          <w:left w:val="nil"/>
          <w:bottom w:val="nil"/>
          <w:right w:val="nil"/>
          <w:between w:val="nil"/>
        </w:pBdr>
        <w:ind w:right="49"/>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i/>
          <w:color w:val="000000"/>
          <w:sz w:val="16"/>
          <w:szCs w:val="16"/>
        </w:rPr>
        <w:t>Artículo 162.</w:t>
      </w:r>
      <w:r>
        <w:rPr>
          <w:rFonts w:ascii="Palatino Linotype" w:eastAsia="Palatino Linotype" w:hAnsi="Palatino Linotype" w:cs="Palatino Linotype"/>
          <w:i/>
          <w:color w:val="000000"/>
          <w:sz w:val="16"/>
          <w:szCs w:val="16"/>
        </w:rPr>
        <w:t xml:space="preserve"> Las </w:t>
      </w:r>
      <w:r>
        <w:rPr>
          <w:rFonts w:ascii="Palatino Linotype" w:eastAsia="Palatino Linotype" w:hAnsi="Palatino Linotype" w:cs="Palatino Linotype"/>
          <w:b/>
          <w:i/>
          <w:color w:val="000000"/>
          <w:sz w:val="16"/>
          <w:szCs w:val="16"/>
        </w:rPr>
        <w:t>unidades de transparencia</w:t>
      </w:r>
      <w:r>
        <w:rPr>
          <w:rFonts w:ascii="Palatino Linotype" w:eastAsia="Palatino Linotype" w:hAnsi="Palatino Linotype" w:cs="Palatino Linotype"/>
          <w:i/>
          <w:color w:val="000000"/>
          <w:sz w:val="16"/>
          <w:szCs w:val="16"/>
        </w:rPr>
        <w:t xml:space="preserve"> deberán </w:t>
      </w:r>
      <w:r>
        <w:rPr>
          <w:rFonts w:ascii="Palatino Linotype" w:eastAsia="Palatino Linotype" w:hAnsi="Palatino Linotype" w:cs="Palatino Linotype"/>
          <w:b/>
          <w:i/>
          <w:color w:val="000000"/>
          <w:sz w:val="16"/>
          <w:szCs w:val="16"/>
        </w:rPr>
        <w:t>garantizar que las solicitudes se turnen a todas las Áreas competentes</w:t>
      </w:r>
      <w:r>
        <w:rPr>
          <w:rFonts w:ascii="Palatino Linotype" w:eastAsia="Palatino Linotype" w:hAnsi="Palatino Linotype" w:cs="Palatino Linotype"/>
          <w:i/>
          <w:color w:val="000000"/>
          <w:sz w:val="16"/>
          <w:szCs w:val="16"/>
        </w:rPr>
        <w:t xml:space="preserve"> que </w:t>
      </w:r>
      <w:r>
        <w:rPr>
          <w:rFonts w:ascii="Palatino Linotype" w:eastAsia="Palatino Linotype" w:hAnsi="Palatino Linotype" w:cs="Palatino Linotype"/>
          <w:b/>
          <w:i/>
          <w:color w:val="000000"/>
          <w:sz w:val="16"/>
          <w:szCs w:val="16"/>
        </w:rPr>
        <w:t>cuenten con la información o deban tenerla de acuerdo a sus facultades, competencias y funciones,</w:t>
      </w:r>
      <w:r>
        <w:rPr>
          <w:rFonts w:ascii="Palatino Linotype" w:eastAsia="Palatino Linotype" w:hAnsi="Palatino Linotype" w:cs="Palatino Linotype"/>
          <w:i/>
          <w:color w:val="000000"/>
          <w:sz w:val="16"/>
          <w:szCs w:val="16"/>
        </w:rPr>
        <w:t xml:space="preserve"> con el objeto de que realicen una </w:t>
      </w:r>
      <w:r>
        <w:rPr>
          <w:rFonts w:ascii="Palatino Linotype" w:eastAsia="Palatino Linotype" w:hAnsi="Palatino Linotype" w:cs="Palatino Linotype"/>
          <w:b/>
          <w:i/>
          <w:color w:val="000000"/>
          <w:sz w:val="16"/>
          <w:szCs w:val="16"/>
        </w:rPr>
        <w:t>búsqueda exhaustiva y razonable</w:t>
      </w:r>
      <w:r>
        <w:rPr>
          <w:rFonts w:ascii="Palatino Linotype" w:eastAsia="Palatino Linotype" w:hAnsi="Palatino Linotype" w:cs="Palatino Linotype"/>
          <w:i/>
          <w:color w:val="000000"/>
          <w:sz w:val="16"/>
          <w:szCs w:val="16"/>
        </w:rPr>
        <w:t xml:space="preserve"> de la información solicitada</w:t>
      </w:r>
    </w:p>
  </w:footnote>
  <w:footnote w:id="4">
    <w:p w:rsidR="00736B30" w:rsidRDefault="00736B3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rsidR="00736B30" w:rsidRDefault="00B426F1">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736B30">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736B30">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30" w:rsidRDefault="00736B30">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-1080121</wp:posOffset>
          </wp:positionH>
          <wp:positionV relativeFrom="paragraph">
            <wp:posOffset>-488299</wp:posOffset>
          </wp:positionV>
          <wp:extent cx="7809865" cy="10165715"/>
          <wp:effectExtent l="0" t="0" r="0" b="0"/>
          <wp:wrapNone/>
          <wp:docPr id="12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736B30">
      <w:tc>
        <w:tcPr>
          <w:tcW w:w="2489" w:type="dxa"/>
          <w:shd w:val="clear" w:color="auto" w:fill="auto"/>
        </w:tcPr>
        <w:p w:rsidR="00736B30" w:rsidRDefault="00736B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36B30" w:rsidRDefault="00736B3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13254/INFOEM/IP/RR/2022</w:t>
          </w:r>
        </w:p>
      </w:tc>
    </w:tr>
    <w:tr w:rsidR="00736B30">
      <w:trPr>
        <w:trHeight w:val="228"/>
      </w:trPr>
      <w:tc>
        <w:tcPr>
          <w:tcW w:w="2489" w:type="dxa"/>
          <w:shd w:val="clear" w:color="auto" w:fill="auto"/>
          <w:vAlign w:val="center"/>
        </w:tcPr>
        <w:p w:rsidR="00736B30" w:rsidRDefault="00736B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36B30" w:rsidRDefault="00736B3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736B30">
      <w:tc>
        <w:tcPr>
          <w:tcW w:w="2489" w:type="dxa"/>
          <w:shd w:val="clear" w:color="auto" w:fill="auto"/>
          <w:vAlign w:val="center"/>
        </w:tcPr>
        <w:p w:rsidR="00736B30" w:rsidRDefault="00736B3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36B30" w:rsidRDefault="00736B3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36B30" w:rsidRDefault="00736B3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B30" w:rsidRDefault="00736B3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-1080127</wp:posOffset>
          </wp:positionH>
          <wp:positionV relativeFrom="paragraph">
            <wp:posOffset>-262870</wp:posOffset>
          </wp:positionV>
          <wp:extent cx="7809865" cy="10165715"/>
          <wp:effectExtent l="0" t="0" r="0" b="0"/>
          <wp:wrapNone/>
          <wp:docPr id="11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670" w:type="dxa"/>
      <w:tblInd w:w="3261" w:type="dxa"/>
      <w:tblLayout w:type="fixed"/>
      <w:tblLook w:val="0400" w:firstRow="0" w:lastRow="0" w:firstColumn="0" w:lastColumn="0" w:noHBand="0" w:noVBand="1"/>
    </w:tblPr>
    <w:tblGrid>
      <w:gridCol w:w="2551"/>
      <w:gridCol w:w="3119"/>
    </w:tblGrid>
    <w:tr w:rsidR="00736B30">
      <w:tc>
        <w:tcPr>
          <w:tcW w:w="2551" w:type="dxa"/>
          <w:shd w:val="clear" w:color="auto" w:fill="auto"/>
          <w:vAlign w:val="center"/>
        </w:tcPr>
        <w:p w:rsidR="00736B30" w:rsidRDefault="00736B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36B30" w:rsidRDefault="00736B3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13254/INFOEM/IP/RR/2022</w:t>
          </w:r>
        </w:p>
      </w:tc>
    </w:tr>
    <w:tr w:rsidR="00736B30">
      <w:trPr>
        <w:trHeight w:val="130"/>
      </w:trPr>
      <w:tc>
        <w:tcPr>
          <w:tcW w:w="2551" w:type="dxa"/>
          <w:shd w:val="clear" w:color="auto" w:fill="auto"/>
          <w:vAlign w:val="center"/>
        </w:tcPr>
        <w:p w:rsidR="00736B30" w:rsidRDefault="00736B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36B30" w:rsidRDefault="0071032A" w:rsidP="0071032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 XXXXXXX</w:t>
          </w:r>
        </w:p>
      </w:tc>
    </w:tr>
    <w:tr w:rsidR="00736B30">
      <w:trPr>
        <w:trHeight w:val="228"/>
      </w:trPr>
      <w:tc>
        <w:tcPr>
          <w:tcW w:w="2551" w:type="dxa"/>
          <w:shd w:val="clear" w:color="auto" w:fill="auto"/>
          <w:vAlign w:val="center"/>
        </w:tcPr>
        <w:p w:rsidR="00736B30" w:rsidRDefault="00736B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736B30" w:rsidRDefault="00736B3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736B30">
      <w:tc>
        <w:tcPr>
          <w:tcW w:w="2551" w:type="dxa"/>
          <w:shd w:val="clear" w:color="auto" w:fill="auto"/>
          <w:vAlign w:val="center"/>
        </w:tcPr>
        <w:p w:rsidR="00736B30" w:rsidRDefault="00736B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36B30" w:rsidRDefault="00736B3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36B30" w:rsidRDefault="00736B30">
    <w:pPr>
      <w:pBdr>
        <w:top w:val="nil"/>
        <w:left w:val="nil"/>
        <w:bottom w:val="nil"/>
        <w:right w:val="nil"/>
        <w:between w:val="nil"/>
      </w:pBdr>
      <w:tabs>
        <w:tab w:val="center" w:pos="4252"/>
        <w:tab w:val="right" w:pos="8504"/>
      </w:tabs>
      <w:rPr>
        <w:rFonts w:ascii="Cambria" w:eastAsia="Cambria" w:hAnsi="Cambria" w:cs="Cambria"/>
        <w:color w:val="000000"/>
      </w:rPr>
    </w:pPr>
  </w:p>
  <w:p w:rsidR="00736B30" w:rsidRDefault="00736B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A76AB8"/>
    <w:multiLevelType w:val="multilevel"/>
    <w:tmpl w:val="BC2C76D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D7D4762"/>
    <w:multiLevelType w:val="multilevel"/>
    <w:tmpl w:val="5CEE95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8D"/>
    <w:rsid w:val="000A252D"/>
    <w:rsid w:val="00284F8B"/>
    <w:rsid w:val="002F5296"/>
    <w:rsid w:val="00320570"/>
    <w:rsid w:val="003E1421"/>
    <w:rsid w:val="006B5FE3"/>
    <w:rsid w:val="006E546F"/>
    <w:rsid w:val="0071032A"/>
    <w:rsid w:val="00736B30"/>
    <w:rsid w:val="00746DB0"/>
    <w:rsid w:val="007E16BF"/>
    <w:rsid w:val="007E5816"/>
    <w:rsid w:val="007E6EEA"/>
    <w:rsid w:val="0080287D"/>
    <w:rsid w:val="009F4204"/>
    <w:rsid w:val="00A75E6B"/>
    <w:rsid w:val="00B426F1"/>
    <w:rsid w:val="00CD7E93"/>
    <w:rsid w:val="00D56FA6"/>
    <w:rsid w:val="00DA678D"/>
    <w:rsid w:val="00EB0327"/>
    <w:rsid w:val="00FD3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BFA00E-826F-4D8F-914B-B1A12194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5.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DrbMlu9OUUTYa+Nf1Kq91sbORg==">AMUW2mXOJOwCFvEmRA4cVA5PFYvQ+I5+ss5ESuujBXefOc35GE0OTRHtEeh04116bq1mVCM7Ag245atmu74QuhPnyc35T4d81kLiueFYrYgf2d8uSc9zXEYzPU+DdYCUy4ApqcOeTngF35iTL6iX5DNE7iDO0F8CiY1F9SQJGpQiFRWAsx/p6mKI+G7ryyPfxpxMx/mOfOyzWE4FQqn+61AkAIfqNnApckM7vNmnLAirX5IidpA/OB8MmGM7W15uryfypXZH/hrLAHchhprrM/U+H8Tl7UjAbfaXcygFcBuVdLIomTbpqB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14530</Words>
  <Characters>79921</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2023-01-27T16:40:00Z</cp:lastPrinted>
  <dcterms:created xsi:type="dcterms:W3CDTF">2023-01-31T23:39:00Z</dcterms:created>
  <dcterms:modified xsi:type="dcterms:W3CDTF">2023-01-31T23:39:00Z</dcterms:modified>
</cp:coreProperties>
</file>