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a veinticinco de octubre de dos mil veintitrés. </w:t>
      </w:r>
    </w:p>
    <w:p w:rsidR="0078038E" w:rsidRPr="00EB522E" w:rsidRDefault="00E53B86">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EB522E">
        <w:rPr>
          <w:rFonts w:ascii="Palatino Linotype" w:eastAsia="Palatino Linotype" w:hAnsi="Palatino Linotype" w:cs="Palatino Linotype"/>
          <w:b/>
        </w:rPr>
        <w:t>VISTO</w:t>
      </w:r>
      <w:r w:rsidRPr="00EB522E">
        <w:rPr>
          <w:rFonts w:ascii="Palatino Linotype" w:eastAsia="Palatino Linotype" w:hAnsi="Palatino Linotype" w:cs="Palatino Linotype"/>
        </w:rPr>
        <w:t xml:space="preserve"> el expediente formado con motivo del recurso de revisión </w:t>
      </w:r>
      <w:r w:rsidRPr="00EB522E">
        <w:rPr>
          <w:rFonts w:ascii="Palatino Linotype" w:eastAsia="Palatino Linotype" w:hAnsi="Palatino Linotype" w:cs="Palatino Linotype"/>
          <w:b/>
        </w:rPr>
        <w:t>03749/INFOEM/IP/RR/2023</w:t>
      </w:r>
      <w:r w:rsidRPr="00EB522E">
        <w:rPr>
          <w:rFonts w:ascii="Palatino Linotype" w:eastAsia="Palatino Linotype" w:hAnsi="Palatino Linotype" w:cs="Palatino Linotype"/>
        </w:rPr>
        <w:t xml:space="preserve">, interpuesto por </w:t>
      </w:r>
      <w:r w:rsidR="00E8124B">
        <w:rPr>
          <w:rFonts w:ascii="Palatino Linotype" w:eastAsia="Palatino Linotype" w:hAnsi="Palatino Linotype" w:cs="Palatino Linotype"/>
          <w:b/>
          <w:sz w:val="22"/>
          <w:szCs w:val="22"/>
        </w:rPr>
        <w:t>XXXXXXXX XX XXXXXXXXX XXXXXXXX XXXXXXX</w:t>
      </w:r>
      <w:r w:rsidRPr="00EB522E">
        <w:rPr>
          <w:rFonts w:ascii="Palatino Linotype" w:eastAsia="Palatino Linotype" w:hAnsi="Palatino Linotype" w:cs="Palatino Linotype"/>
          <w:b/>
        </w:rPr>
        <w:t>,</w:t>
      </w:r>
      <w:r w:rsidRPr="00EB522E">
        <w:rPr>
          <w:rFonts w:ascii="Palatino Linotype" w:eastAsia="Palatino Linotype" w:hAnsi="Palatino Linotype" w:cs="Palatino Linotype"/>
        </w:rPr>
        <w:t xml:space="preserve"> lo sucesivo se le denominara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contra de la falta respuesta a su solicitud por parte del </w:t>
      </w:r>
      <w:r w:rsidRPr="00EB522E">
        <w:rPr>
          <w:rFonts w:ascii="Palatino Linotype" w:eastAsia="Palatino Linotype" w:hAnsi="Palatino Linotype" w:cs="Palatino Linotype"/>
          <w:b/>
        </w:rPr>
        <w:t xml:space="preserve">Ayuntamiento de Ixtapaluca, </w:t>
      </w:r>
      <w:r w:rsidRPr="00EB522E">
        <w:rPr>
          <w:rFonts w:ascii="Palatino Linotype" w:eastAsia="Palatino Linotype" w:hAnsi="Palatino Linotype" w:cs="Palatino Linotype"/>
        </w:rPr>
        <w:t xml:space="preserve">en lo sucesivo el </w:t>
      </w:r>
      <w:r w:rsidRPr="00EB522E">
        <w:rPr>
          <w:rFonts w:ascii="Palatino Linotype" w:eastAsia="Palatino Linotype" w:hAnsi="Palatino Linotype" w:cs="Palatino Linotype"/>
          <w:b/>
        </w:rPr>
        <w:t xml:space="preserve">SUJETO OBLIGADO, </w:t>
      </w:r>
      <w:r w:rsidRPr="00EB522E">
        <w:rPr>
          <w:rFonts w:ascii="Palatino Linotype" w:eastAsia="Palatino Linotype" w:hAnsi="Palatino Linotype" w:cs="Palatino Linotype"/>
        </w:rPr>
        <w:t xml:space="preserve">se procede a dictar la presente resolución con base en los siguientes: </w:t>
      </w:r>
    </w:p>
    <w:p w:rsidR="0078038E" w:rsidRPr="00EB522E" w:rsidRDefault="00E53B86">
      <w:pPr>
        <w:spacing w:before="240" w:after="240" w:line="360" w:lineRule="auto"/>
        <w:jc w:val="center"/>
        <w:rPr>
          <w:rFonts w:ascii="Palatino Linotype" w:eastAsia="Palatino Linotype" w:hAnsi="Palatino Linotype" w:cs="Palatino Linotype"/>
          <w:b/>
        </w:rPr>
      </w:pPr>
      <w:r w:rsidRPr="00EB522E">
        <w:rPr>
          <w:rFonts w:ascii="Palatino Linotype" w:eastAsia="Palatino Linotype" w:hAnsi="Palatino Linotype" w:cs="Palatino Linotype"/>
          <w:b/>
        </w:rPr>
        <w:t>I. A N T E C E D E N T E 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1. Solicitud de acceso a la información.</w:t>
      </w:r>
      <w:r w:rsidRPr="00EB522E">
        <w:rPr>
          <w:rFonts w:ascii="Palatino Linotype" w:eastAsia="Palatino Linotype" w:hAnsi="Palatino Linotype" w:cs="Palatino Linotype"/>
        </w:rPr>
        <w:t xml:space="preserve"> Con fecha </w:t>
      </w:r>
      <w:r w:rsidRPr="00EB522E">
        <w:rPr>
          <w:rFonts w:ascii="Palatino Linotype" w:eastAsia="Palatino Linotype" w:hAnsi="Palatino Linotype" w:cs="Palatino Linotype"/>
          <w:b/>
        </w:rPr>
        <w:t>cinco de junio de dos mil veintitrés,</w:t>
      </w:r>
      <w:r w:rsidRPr="00EB522E">
        <w:rPr>
          <w:rFonts w:ascii="Palatino Linotype" w:eastAsia="Palatino Linotype" w:hAnsi="Palatino Linotype" w:cs="Palatino Linotype"/>
        </w:rPr>
        <w:t xml:space="preserve"> la parte </w:t>
      </w:r>
      <w:r w:rsidRPr="00EB522E">
        <w:rPr>
          <w:rFonts w:ascii="Palatino Linotype" w:eastAsia="Palatino Linotype" w:hAnsi="Palatino Linotype" w:cs="Palatino Linotype"/>
          <w:b/>
        </w:rPr>
        <w:t xml:space="preserve">RECURRENTE </w:t>
      </w:r>
      <w:r w:rsidRPr="00EB522E">
        <w:rPr>
          <w:rFonts w:ascii="Palatino Linotype" w:eastAsia="Palatino Linotype" w:hAnsi="Palatino Linotype" w:cs="Palatino Linotype"/>
        </w:rPr>
        <w:t xml:space="preserve">presentó, a través del Sistema de Acceso a la Información Mexiquense, en lo subsecuente el </w:t>
      </w:r>
      <w:r w:rsidRPr="00EB522E">
        <w:rPr>
          <w:rFonts w:ascii="Palatino Linotype" w:eastAsia="Palatino Linotype" w:hAnsi="Palatino Linotype" w:cs="Palatino Linotype"/>
          <w:b/>
        </w:rPr>
        <w:t>SAIMEX,</w:t>
      </w:r>
      <w:r w:rsidRPr="00EB522E">
        <w:rPr>
          <w:rFonts w:ascii="Palatino Linotype" w:eastAsia="Palatino Linotype" w:hAnsi="Palatino Linotype" w:cs="Palatino Linotype"/>
        </w:rPr>
        <w:t xml:space="preserve"> ante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la solicitud de acceso a la información pública, a la que se le asignó el número</w:t>
      </w:r>
      <w:r w:rsidRPr="00EB522E">
        <w:rPr>
          <w:rFonts w:ascii="Palatino Linotype" w:eastAsia="Palatino Linotype" w:hAnsi="Palatino Linotype" w:cs="Palatino Linotype"/>
          <w:b/>
        </w:rPr>
        <w:t xml:space="preserve"> 00237/IXTAPALU/IP/2023, </w:t>
      </w:r>
      <w:r w:rsidRPr="00EB522E">
        <w:rPr>
          <w:rFonts w:ascii="Palatino Linotype" w:eastAsia="Palatino Linotype" w:hAnsi="Palatino Linotype" w:cs="Palatino Linotype"/>
        </w:rPr>
        <w:t xml:space="preserve">mediante la cual requirió la información siguiente: </w:t>
      </w:r>
    </w:p>
    <w:p w:rsidR="0078038E" w:rsidRPr="00EB522E" w:rsidRDefault="00E53B86">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EB522E">
        <w:rPr>
          <w:rFonts w:ascii="Palatino Linotype" w:eastAsia="Palatino Linotype" w:hAnsi="Palatino Linotype" w:cs="Palatino Linotype"/>
          <w:i/>
          <w:sz w:val="22"/>
          <w:szCs w:val="22"/>
        </w:rPr>
        <w:t>“Personal que integra la coordinación de asesores de la Oficina de la Presidencia , que contenga nombre del titular, nombre de todas las personas que la integren, sueldos, y curriculum.” (Sic)</w:t>
      </w:r>
    </w:p>
    <w:p w:rsidR="0078038E" w:rsidRPr="00EB522E" w:rsidRDefault="0078038E">
      <w:pPr>
        <w:spacing w:before="240"/>
        <w:ind w:left="851" w:right="902"/>
        <w:jc w:val="both"/>
        <w:rPr>
          <w:rFonts w:ascii="Palatino Linotype" w:eastAsia="Palatino Linotype" w:hAnsi="Palatino Linotype" w:cs="Palatino Linotype"/>
          <w:i/>
          <w:sz w:val="22"/>
          <w:szCs w:val="22"/>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Modalidad de Entrega:</w:t>
      </w:r>
      <w:r w:rsidRPr="00EB522E">
        <w:rPr>
          <w:rFonts w:ascii="Palatino Linotype" w:eastAsia="Palatino Linotype" w:hAnsi="Palatino Linotype" w:cs="Palatino Linotype"/>
        </w:rPr>
        <w:t xml:space="preserve"> A través de SAIMEX.</w:t>
      </w:r>
    </w:p>
    <w:p w:rsidR="0078038E" w:rsidRPr="00EB522E" w:rsidRDefault="00E53B86">
      <w:pPr>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lastRenderedPageBreak/>
        <w:t xml:space="preserve">2. Respuesta. </w:t>
      </w:r>
      <w:r w:rsidRPr="00EB522E">
        <w:rPr>
          <w:rFonts w:ascii="Palatino Linotype" w:eastAsia="Palatino Linotype" w:hAnsi="Palatino Linotype" w:cs="Palatino Linotype"/>
        </w:rPr>
        <w:t xml:space="preserve">Del expediente electrónico se advierte 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fue omiso en emitir respuesta a la solicitud de acceso a la información pública, dentro del plazo de quince días otorgado por el artículo 163 de la Ley de Transparencia y Acceso a la Información Pública de la entidad.</w:t>
      </w:r>
    </w:p>
    <w:p w:rsidR="0078038E" w:rsidRPr="00EB522E" w:rsidRDefault="00E53B86">
      <w:pPr>
        <w:spacing w:before="240" w:after="240"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b/>
        </w:rPr>
        <w:t xml:space="preserve">3. Interposición del recurso de revisión. </w:t>
      </w:r>
      <w:r w:rsidRPr="00EB522E">
        <w:rPr>
          <w:rFonts w:ascii="Palatino Linotype" w:eastAsia="Palatino Linotype" w:hAnsi="Palatino Linotype" w:cs="Palatino Linotype"/>
        </w:rPr>
        <w:t xml:space="preserve">Inconforme con la falta de respuesta por parte del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el </w:t>
      </w:r>
      <w:r w:rsidRPr="00EB522E">
        <w:rPr>
          <w:rFonts w:ascii="Palatino Linotype" w:eastAsia="Palatino Linotype" w:hAnsi="Palatino Linotype" w:cs="Palatino Linotype"/>
          <w:b/>
        </w:rPr>
        <w:t>veintisiete de junio del dos mil veintitrés,</w:t>
      </w:r>
      <w:r w:rsidRPr="00EB522E">
        <w:rPr>
          <w:rFonts w:ascii="Palatino Linotype" w:eastAsia="Palatino Linotype" w:hAnsi="Palatino Linotype" w:cs="Palatino Linotype"/>
        </w:rPr>
        <w:t xml:space="preserv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interpuso el recur</w:t>
      </w:r>
      <w:bookmarkStart w:id="2" w:name="_GoBack"/>
      <w:bookmarkEnd w:id="2"/>
      <w:r w:rsidRPr="00EB522E">
        <w:rPr>
          <w:rFonts w:ascii="Palatino Linotype" w:eastAsia="Palatino Linotype" w:hAnsi="Palatino Linotype" w:cs="Palatino Linotype"/>
        </w:rPr>
        <w:t xml:space="preserve">so de revisión a través de </w:t>
      </w:r>
      <w:r w:rsidRPr="00EB522E">
        <w:rPr>
          <w:rFonts w:ascii="Palatino Linotype" w:eastAsia="Palatino Linotype" w:hAnsi="Palatino Linotype" w:cs="Palatino Linotype"/>
          <w:b/>
        </w:rPr>
        <w:t xml:space="preserve">SAIMEX, </w:t>
      </w:r>
      <w:r w:rsidRPr="00EB522E">
        <w:rPr>
          <w:rFonts w:ascii="Palatino Linotype" w:eastAsia="Palatino Linotype" w:hAnsi="Palatino Linotype" w:cs="Palatino Linotype"/>
        </w:rPr>
        <w:t>en donde se manifestó de la siguiente manera:</w:t>
      </w:r>
    </w:p>
    <w:p w:rsidR="0078038E" w:rsidRPr="00EB522E" w:rsidRDefault="00E53B86">
      <w:pPr>
        <w:tabs>
          <w:tab w:val="left" w:pos="2745"/>
        </w:tabs>
        <w:spacing w:before="240" w:after="240" w:line="360" w:lineRule="auto"/>
        <w:jc w:val="both"/>
        <w:rPr>
          <w:rFonts w:ascii="Palatino Linotype" w:eastAsia="Palatino Linotype" w:hAnsi="Palatino Linotype" w:cs="Palatino Linotype"/>
          <w:b/>
        </w:rPr>
      </w:pPr>
      <w:r w:rsidRPr="00EB522E">
        <w:rPr>
          <w:rFonts w:ascii="Palatino Linotype" w:eastAsia="Palatino Linotype" w:hAnsi="Palatino Linotype" w:cs="Palatino Linotype"/>
          <w:b/>
        </w:rPr>
        <w:t xml:space="preserve">Acto impugnado: </w:t>
      </w:r>
      <w:r w:rsidRPr="00EB522E">
        <w:rPr>
          <w:rFonts w:ascii="Palatino Linotype" w:eastAsia="Palatino Linotype" w:hAnsi="Palatino Linotype" w:cs="Palatino Linotype"/>
          <w:b/>
        </w:rPr>
        <w:tab/>
      </w:r>
    </w:p>
    <w:p w:rsidR="0078038E" w:rsidRPr="00EB522E" w:rsidRDefault="00E53B86">
      <w:pPr>
        <w:ind w:left="851"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w:t>
      </w:r>
      <w:r w:rsidRPr="00EB522E">
        <w:rPr>
          <w:rFonts w:ascii="Palatino Linotype" w:eastAsia="Palatino Linotype" w:hAnsi="Palatino Linotype" w:cs="Palatino Linotype"/>
          <w:i/>
          <w:sz w:val="22"/>
          <w:szCs w:val="22"/>
        </w:rPr>
        <w:lastRenderedPageBreak/>
        <w:t>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(Sic)</w:t>
      </w:r>
    </w:p>
    <w:p w:rsidR="0078038E" w:rsidRPr="00EB522E" w:rsidRDefault="0078038E">
      <w:pPr>
        <w:ind w:left="851" w:right="902"/>
        <w:jc w:val="both"/>
        <w:rPr>
          <w:rFonts w:ascii="Palatino Linotype" w:eastAsia="Palatino Linotype" w:hAnsi="Palatino Linotype" w:cs="Palatino Linotype"/>
          <w:i/>
          <w:sz w:val="22"/>
          <w:szCs w:val="22"/>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Y Razones o motivos de inconformidad</w:t>
      </w:r>
      <w:r w:rsidRPr="00EB522E">
        <w:rPr>
          <w:rFonts w:ascii="Palatino Linotype" w:eastAsia="Palatino Linotype" w:hAnsi="Palatino Linotype" w:cs="Palatino Linotype"/>
        </w:rPr>
        <w:t>:</w:t>
      </w:r>
    </w:p>
    <w:p w:rsidR="0078038E" w:rsidRPr="00EB522E" w:rsidRDefault="00E53B86">
      <w:pPr>
        <w:ind w:left="851" w:right="902"/>
        <w:jc w:val="both"/>
        <w:rPr>
          <w:rFonts w:ascii="Palatino Linotype" w:eastAsia="Palatino Linotype" w:hAnsi="Palatino Linotype" w:cs="Palatino Linotype"/>
          <w:i/>
          <w:sz w:val="22"/>
          <w:szCs w:val="22"/>
        </w:rPr>
      </w:pPr>
      <w:bookmarkStart w:id="3" w:name="_heading=h.30j0zll" w:colFirst="0" w:colLast="0"/>
      <w:bookmarkEnd w:id="3"/>
      <w:r w:rsidRPr="00EB522E">
        <w:rPr>
          <w:rFonts w:ascii="Palatino Linotype" w:eastAsia="Palatino Linotype" w:hAnsi="Palatino Linotype" w:cs="Palatino Linotype"/>
          <w:i/>
          <w:sz w:val="22"/>
          <w:szCs w:val="22"/>
        </w:rPr>
        <w:t xml:space="preserve">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(Sic)</w:t>
      </w:r>
    </w:p>
    <w:p w:rsidR="0078038E" w:rsidRPr="00EB522E" w:rsidRDefault="0078038E">
      <w:pPr>
        <w:spacing w:line="360" w:lineRule="auto"/>
        <w:ind w:right="51"/>
        <w:jc w:val="both"/>
        <w:rPr>
          <w:rFonts w:ascii="Palatino Linotype" w:eastAsia="Palatino Linotype" w:hAnsi="Palatino Linotype" w:cs="Palatino Linotype"/>
          <w:b/>
        </w:rPr>
      </w:pPr>
    </w:p>
    <w:p w:rsidR="0078038E" w:rsidRPr="00EB522E" w:rsidRDefault="00E53B86">
      <w:pP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b/>
        </w:rPr>
        <w:t xml:space="preserve">4. Turno. </w:t>
      </w:r>
      <w:r w:rsidRPr="00EB522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EB522E">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EB522E">
        <w:rPr>
          <w:rFonts w:ascii="Palatino Linotype" w:eastAsia="Palatino Linotype" w:hAnsi="Palatino Linotype" w:cs="Palatino Linotype"/>
          <w:b/>
        </w:rPr>
        <w:t xml:space="preserve">Guadalupe Ramírez Peña, </w:t>
      </w:r>
      <w:r w:rsidRPr="00EB522E">
        <w:rPr>
          <w:rFonts w:ascii="Palatino Linotype" w:eastAsia="Palatino Linotype" w:hAnsi="Palatino Linotype" w:cs="Palatino Linotype"/>
        </w:rPr>
        <w:t>a efecto de que analizara sobre su admisión o su desechamiento.</w:t>
      </w:r>
    </w:p>
    <w:p w:rsidR="0078038E" w:rsidRPr="00EB522E" w:rsidRDefault="0078038E">
      <w:pPr>
        <w:spacing w:line="360" w:lineRule="auto"/>
        <w:ind w:right="51"/>
        <w:jc w:val="both"/>
        <w:rPr>
          <w:rFonts w:ascii="Palatino Linotype" w:eastAsia="Palatino Linotype" w:hAnsi="Palatino Linotype" w:cs="Palatino Linotype"/>
        </w:rPr>
      </w:pPr>
    </w:p>
    <w:p w:rsidR="0078038E" w:rsidRPr="00EB522E" w:rsidRDefault="00E53B86">
      <w:pPr>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5. Admisión del Recurso de revisión.</w:t>
      </w:r>
      <w:r w:rsidRPr="00EB522E">
        <w:rPr>
          <w:rFonts w:ascii="Palatino Linotype" w:eastAsia="Palatino Linotype" w:hAnsi="Palatino Linotype" w:cs="Palatino Linotype"/>
        </w:rPr>
        <w:t xml:space="preserve"> Con fecha</w:t>
      </w:r>
      <w:r w:rsidRPr="00EB522E">
        <w:rPr>
          <w:rFonts w:ascii="Palatino Linotype" w:eastAsia="Palatino Linotype" w:hAnsi="Palatino Linotype" w:cs="Palatino Linotype"/>
          <w:b/>
        </w:rPr>
        <w:t xml:space="preserve"> treinta de junio de dos mil veintitrés, </w:t>
      </w:r>
      <w:r w:rsidRPr="00EB522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B522E">
        <w:rPr>
          <w:rFonts w:ascii="Palatino Linotype" w:eastAsia="Palatino Linotype" w:hAnsi="Palatino Linotype" w:cs="Palatino Linotype"/>
          <w:b/>
        </w:rPr>
        <w:t xml:space="preserve">SUJETO OBLIGADO </w:t>
      </w:r>
      <w:r w:rsidRPr="00EB522E">
        <w:rPr>
          <w:rFonts w:ascii="Palatino Linotype" w:eastAsia="Palatino Linotype" w:hAnsi="Palatino Linotype" w:cs="Palatino Linotype"/>
        </w:rPr>
        <w:t>presentara su informe justificado.</w:t>
      </w:r>
    </w:p>
    <w:p w:rsidR="0078038E" w:rsidRPr="00EB522E" w:rsidRDefault="00E53B86">
      <w:pPr>
        <w:widowControl w:val="0"/>
        <w:spacing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b/>
        </w:rPr>
        <w:t>6. Manifestaciones</w:t>
      </w:r>
      <w:r w:rsidRPr="00EB522E">
        <w:rPr>
          <w:rFonts w:ascii="Palatino Linotype" w:eastAsia="Palatino Linotype" w:hAnsi="Palatino Linotype" w:cs="Palatino Linotype"/>
        </w:rPr>
        <w:t xml:space="preserve">. De constancias del expediente electrónico del SAIMEX, se observa que </w:t>
      </w:r>
      <w:r w:rsidRPr="00EB522E">
        <w:rPr>
          <w:rFonts w:ascii="Palatino Linotype" w:eastAsia="Palatino Linotype" w:hAnsi="Palatino Linotype" w:cs="Palatino Linotype"/>
          <w:b/>
        </w:rPr>
        <w:t>la parte RECURRENTE</w:t>
      </w:r>
      <w:r w:rsidRPr="00EB522E">
        <w:rPr>
          <w:rFonts w:ascii="Palatino Linotype" w:eastAsia="Palatino Linotype" w:hAnsi="Palatino Linotype" w:cs="Palatino Linotype"/>
        </w:rPr>
        <w:t xml:space="preserve"> en fecha tres de julio del año en curso remitió los siguientes archivos electrónicos:</w:t>
      </w:r>
    </w:p>
    <w:p w:rsidR="0078038E" w:rsidRPr="00EB522E" w:rsidRDefault="0078038E">
      <w:pPr>
        <w:widowControl w:val="0"/>
        <w:spacing w:line="360" w:lineRule="auto"/>
        <w:ind w:right="49"/>
        <w:jc w:val="both"/>
        <w:rPr>
          <w:rFonts w:ascii="Palatino Linotype" w:eastAsia="Palatino Linotype" w:hAnsi="Palatino Linotype" w:cs="Palatino Linotype"/>
        </w:rPr>
      </w:pPr>
    </w:p>
    <w:p w:rsidR="0078038E" w:rsidRPr="00EB522E" w:rsidRDefault="00E53B86">
      <w:pPr>
        <w:widowControl w:val="0"/>
        <w:spacing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w:t>
      </w:r>
      <w:hyperlink r:id="rId8">
        <w:r w:rsidRPr="00EB522E">
          <w:rPr>
            <w:rFonts w:ascii="Palatino Linotype" w:eastAsia="Palatino Linotype" w:hAnsi="Palatino Linotype" w:cs="Palatino Linotype"/>
          </w:rPr>
          <w:t>ALEGATOS 237.pdf</w:t>
        </w:r>
      </w:hyperlink>
      <w:r w:rsidRPr="00EB522E">
        <w:rPr>
          <w:rFonts w:ascii="Palatino Linotype" w:eastAsia="Palatino Linotype" w:hAnsi="Palatino Linotype" w:cs="Palatino Linotype"/>
        </w:rPr>
        <w:t>”, “</w:t>
      </w:r>
      <w:hyperlink r:id="rId9">
        <w:r w:rsidRPr="00EB522E">
          <w:rPr>
            <w:rFonts w:ascii="Palatino Linotype" w:eastAsia="Palatino Linotype" w:hAnsi="Palatino Linotype" w:cs="Palatino Linotype"/>
          </w:rPr>
          <w:t>ALEGATOS 267 falta de respuesta.pdf</w:t>
        </w:r>
      </w:hyperlink>
      <w:r w:rsidRPr="00EB522E">
        <w:rPr>
          <w:rFonts w:ascii="Palatino Linotype" w:eastAsia="Palatino Linotype" w:hAnsi="Palatino Linotype" w:cs="Palatino Linotype"/>
        </w:rPr>
        <w:t>”, el cual contiene los alegatos de la parte RECURRENTE, mediante el cual expuso lo siguiente:</w:t>
      </w:r>
    </w:p>
    <w:p w:rsidR="0078038E" w:rsidRPr="00EB522E" w:rsidRDefault="0078038E">
      <w:pPr>
        <w:widowControl w:val="0"/>
        <w:spacing w:line="360" w:lineRule="auto"/>
        <w:ind w:right="49"/>
        <w:jc w:val="both"/>
        <w:rPr>
          <w:rFonts w:ascii="Palatino Linotype" w:eastAsia="Palatino Linotype" w:hAnsi="Palatino Linotype" w:cs="Palatino Linotype"/>
        </w:rPr>
      </w:pP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“2. AGRAVIOS: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En razón de lo anterior se interpone el recurso de revisión, en razón de conformidad con el artículo 179 fracción VII de la Ley de Transparencia y Acceso a la Información Pública del Estado de México y Municipios, en razón de que el sujeto obligado actuó en desacato a sus obligaciones en materia transparencia y acceso a la información pública, pues violentó todos los preceptos de la normatividad que garantizar el ejercicio de este derecho, y de manera alevosa y con la única finalidad de dilatar la atención a mi requerimiento, desestimó el término que establece la normatividad para la atención </w:t>
      </w:r>
      <w:r w:rsidRPr="00EB522E">
        <w:rPr>
          <w:rFonts w:ascii="Palatino Linotype" w:eastAsia="Palatino Linotype" w:hAnsi="Palatino Linotype" w:cs="Palatino Linotype"/>
          <w:i/>
          <w:sz w:val="22"/>
          <w:szCs w:val="22"/>
        </w:rPr>
        <w:lastRenderedPageBreak/>
        <w:t xml:space="preserve">a las solicitudes de información.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Es clara también la responsabilidad de la Unidad de Transparencia del sujeto obligado, al incumplir con lo establecido en el precepto legal siguiente: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Es clara la negligencia y descuido del sujeto obligado y de su Unidad de Transparencia en el desahogo de la solicitud, cuanto más al tener en cuenta que el Directorio de Servidores Públicos es una obligación de transparencia que debe tenerse disponible de manera pública en el correspondiente apartado de transparencia del sujeto obligado, incumpliendo además otros preceptos normativos que obligan a las dependencias gubernamentales a tener disponible información básica en materia de transparencia y rendición de cuentas, y que básicamente tienen que ver con el escrutinio público.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Es claro entonces, que en el caso que nos ocupa no se tiene por cumplida la obligación de transparencia, pues el sujeto obligado pudo remitir a la fuente de consulta pública de la información, siendo el caso que hace presuponer que no cuenta con estos datos disponibles, y optó por no atender el requerimiento formulado. Es de resaltarse que el ordenamiento jurídico referido, señala que la obligación de acceso a la información pública se tendrá por cumplida cuando el solicitante tenga a su disposición la información requerida, o cuando realice la consulta de la misma en el lugar en el que ésta se localice, situación que no aconteció en el caso nos ocupa.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Por lo anterior, y de acuerdo con lo que establece dicho ordenamiento jurídico, por este medio se hace efectiva la garantía por la afectación al derecho de acceso a la información pública, a través de la interposición del presente recurso de revisión.</w:t>
      </w:r>
    </w:p>
    <w:p w:rsidR="0078038E" w:rsidRPr="00EB522E" w:rsidRDefault="0078038E">
      <w:pPr>
        <w:widowControl w:val="0"/>
        <w:ind w:left="567" w:right="760"/>
        <w:jc w:val="both"/>
        <w:rPr>
          <w:rFonts w:ascii="Palatino Linotype" w:eastAsia="Palatino Linotype" w:hAnsi="Palatino Linotype" w:cs="Palatino Linotype"/>
          <w:i/>
          <w:sz w:val="22"/>
          <w:szCs w:val="22"/>
        </w:rPr>
      </w:pP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TÍTULO OCTAVO DE LA IMPUGNACIÓN EN MATERIA DE ACCESO A LA INFORMACIÓN PÚBLICA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Capítulo I Del Recurso de Revisión ante el Instituto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Artículo 176. El recurso de revisión es la garantía secundaria mediante la cual se pretende reparar cualquier posible afectación al derecho de acceso a la información pública en términos del presente y del siguiente Capítulo.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lastRenderedPageBreak/>
        <w:t xml:space="preserve">Lo anterior, en razón de que el sujeto obligado Ayuntamiento de Ixtapaluca, no dió respuesta a la solicitud de información.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Al respecto el artículo 179 fracción VII, establece: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 (…) VII. La falta de respuesta a una solicitud de acceso a la información;</w:t>
      </w:r>
    </w:p>
    <w:p w:rsidR="0078038E" w:rsidRPr="00EB522E" w:rsidRDefault="0078038E">
      <w:pPr>
        <w:widowControl w:val="0"/>
        <w:ind w:left="567" w:right="760"/>
        <w:jc w:val="both"/>
        <w:rPr>
          <w:rFonts w:ascii="Palatino Linotype" w:eastAsia="Palatino Linotype" w:hAnsi="Palatino Linotype" w:cs="Palatino Linotype"/>
          <w:i/>
          <w:sz w:val="22"/>
          <w:szCs w:val="22"/>
        </w:rPr>
      </w:pP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Por las consideraciones vertidas se solicita que en el momento procedimental oportuno el órgano garante se manifieste por ordenar la entrega inmediata de la información solicitada.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En virtud de lo anterior y de conformidad con lo dispuesto por el artículo 185 fracción IV Ley de Transparencia y Acceso a la Información Pública del Estado de México y Municipios; se ofrecen desde este momento las siguientes pruebas: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I. La documental, consistente en el presente documento que desahoga y da cumplimiento al trámite del expediente 03749/INFOEM/IP/RR/2023</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II. La presuncional, en su doble aspecto legal y humano, en todo lo que favorezca a mis intereses.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III.- La instrumental de actuaciones, en todo lo que favorezca a los intereses de los solicitantes. Por lo expuesto a Usted, atentamente solicito se sirva: </w:t>
      </w:r>
    </w:p>
    <w:p w:rsidR="0078038E" w:rsidRPr="00EB522E" w:rsidRDefault="00E53B86">
      <w:pPr>
        <w:widowControl w:val="0"/>
        <w:ind w:left="567"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Primero. - Se me tengan por presentados y admitidos los alegatos vertidos en favor del recurrente. </w:t>
      </w:r>
    </w:p>
    <w:p w:rsidR="0078038E" w:rsidRPr="00EB522E" w:rsidRDefault="00E53B86">
      <w:pPr>
        <w:widowControl w:val="0"/>
        <w:ind w:left="567" w:right="760"/>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i/>
          <w:sz w:val="22"/>
          <w:szCs w:val="22"/>
        </w:rPr>
        <w:t xml:space="preserve">Segundo. - Previo los trámites de ley correspondientes ordenar la entrega de la información. </w:t>
      </w:r>
      <w:r w:rsidRPr="00EB522E">
        <w:rPr>
          <w:rFonts w:ascii="Palatino Linotype" w:eastAsia="Palatino Linotype" w:hAnsi="Palatino Linotype" w:cs="Palatino Linotype"/>
          <w:b/>
          <w:i/>
          <w:sz w:val="22"/>
          <w:szCs w:val="22"/>
        </w:rPr>
        <w:t>Tercero.- Dar vista al Órgano Interno de Control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 Lo anterior, para los efectos legales y administrativos a que haya lugar.” (Sic)</w:t>
      </w:r>
    </w:p>
    <w:p w:rsidR="0078038E" w:rsidRPr="00EB522E" w:rsidRDefault="0078038E">
      <w:pPr>
        <w:widowControl w:val="0"/>
        <w:spacing w:line="360" w:lineRule="auto"/>
        <w:ind w:right="49"/>
        <w:jc w:val="both"/>
        <w:rPr>
          <w:rFonts w:ascii="Palatino Linotype" w:eastAsia="Palatino Linotype" w:hAnsi="Palatino Linotype" w:cs="Palatino Linotype"/>
        </w:rPr>
      </w:pPr>
    </w:p>
    <w:p w:rsidR="0078038E" w:rsidRPr="00EB522E" w:rsidRDefault="00E53B86">
      <w:pPr>
        <w:widowControl w:val="0"/>
        <w:spacing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b/>
        </w:rPr>
        <w:t>“</w:t>
      </w:r>
      <w:hyperlink r:id="rId10">
        <w:r w:rsidRPr="00EB522E">
          <w:rPr>
            <w:rFonts w:ascii="Palatino Linotype" w:eastAsia="Palatino Linotype" w:hAnsi="Palatino Linotype" w:cs="Palatino Linotype"/>
          </w:rPr>
          <w:t>Solicitud 237.pdf</w:t>
        </w:r>
      </w:hyperlink>
      <w:r w:rsidRPr="00EB522E">
        <w:rPr>
          <w:rFonts w:ascii="Palatino Linotype" w:eastAsia="Palatino Linotype" w:hAnsi="Palatino Linotype" w:cs="Palatino Linotype"/>
        </w:rPr>
        <w:t>”, el cual contiene la solicitud de acceso a la información pública número 00237/IXTAPALU/IP/2023, la cual corresponde a la señalada en el antecedente uno, como se observa en la siguiente imagen:</w:t>
      </w:r>
    </w:p>
    <w:p w:rsidR="0078038E" w:rsidRPr="00EB522E" w:rsidRDefault="00E53B86">
      <w:pPr>
        <w:widowControl w:val="0"/>
        <w:spacing w:line="360" w:lineRule="auto"/>
        <w:ind w:right="49"/>
        <w:jc w:val="both"/>
        <w:rPr>
          <w:rFonts w:ascii="Palatino Linotype" w:eastAsia="Palatino Linotype" w:hAnsi="Palatino Linotype" w:cs="Palatino Linotype"/>
        </w:rPr>
      </w:pPr>
      <w:r w:rsidRPr="00EB522E">
        <w:rPr>
          <w:noProof/>
          <w:lang w:val="es-MX"/>
        </w:rPr>
        <w:lastRenderedPageBreak/>
        <w:drawing>
          <wp:inline distT="0" distB="0" distL="0" distR="0">
            <wp:extent cx="5369068" cy="4118380"/>
            <wp:effectExtent l="0" t="0" r="0" b="0"/>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8740" t="17494" r="23903" b="6654"/>
                    <a:stretch>
                      <a:fillRect/>
                    </a:stretch>
                  </pic:blipFill>
                  <pic:spPr>
                    <a:xfrm>
                      <a:off x="0" y="0"/>
                      <a:ext cx="5369068" cy="4118380"/>
                    </a:xfrm>
                    <a:prstGeom prst="rect">
                      <a:avLst/>
                    </a:prstGeom>
                    <a:ln/>
                  </pic:spPr>
                </pic:pic>
              </a:graphicData>
            </a:graphic>
          </wp:inline>
        </w:drawing>
      </w:r>
    </w:p>
    <w:p w:rsidR="0078038E" w:rsidRPr="00EB522E" w:rsidRDefault="0078038E">
      <w:pPr>
        <w:widowControl w:val="0"/>
        <w:spacing w:line="360" w:lineRule="auto"/>
        <w:ind w:right="49"/>
        <w:jc w:val="both"/>
        <w:rPr>
          <w:rFonts w:ascii="Palatino Linotype" w:eastAsia="Palatino Linotype" w:hAnsi="Palatino Linotype" w:cs="Palatino Linotype"/>
        </w:rPr>
      </w:pPr>
    </w:p>
    <w:p w:rsidR="0078038E" w:rsidRPr="00EB522E" w:rsidRDefault="00E53B86">
      <w:pPr>
        <w:widowControl w:val="0"/>
        <w:spacing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El seis de julio del dos mil veintitrés, se recibió, a través del Sistema de Acceso a la Información Mexiquense (SAIMEX), el Informe Justificado del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a través del cual se remitió lo siguiente:</w:t>
      </w:r>
    </w:p>
    <w:p w:rsidR="0078038E" w:rsidRPr="00EB522E" w:rsidRDefault="00E53B86">
      <w:pPr>
        <w:spacing w:before="240"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w:t>
      </w:r>
      <w:hyperlink r:id="rId12">
        <w:r w:rsidRPr="00EB522E">
          <w:rPr>
            <w:rFonts w:ascii="Palatino Linotype" w:eastAsia="Palatino Linotype" w:hAnsi="Palatino Linotype" w:cs="Palatino Linotype"/>
          </w:rPr>
          <w:t>Respuesta Al RR 03749 Deribado A La Sol. 0237.pdf</w:t>
        </w:r>
      </w:hyperlink>
      <w:r w:rsidRPr="00EB522E">
        <w:rPr>
          <w:rFonts w:ascii="Palatino Linotype" w:eastAsia="Palatino Linotype" w:hAnsi="Palatino Linotype" w:cs="Palatino Linotype"/>
        </w:rPr>
        <w:t xml:space="preserve">”, el cual contiene el oficio número OF/PRES/INT/1035-II/2023, por medio del cual el Titular de la Oficina de Presidencia, informó que actualmente la Coordinación de Asesores de la Oficina de Presidencia, sólo la integra el Titular, el maestro Gerardo Amed Bueno Cardozo, quien cuenta con un nombramiento honorifico respecto a esa unidad </w:t>
      </w:r>
      <w:r w:rsidRPr="00EB522E">
        <w:rPr>
          <w:rFonts w:ascii="Palatino Linotype" w:eastAsia="Palatino Linotype" w:hAnsi="Palatino Linotype" w:cs="Palatino Linotype"/>
        </w:rPr>
        <w:lastRenderedPageBreak/>
        <w:t xml:space="preserve">administrativa, por lo que no cuenta con un sueldo, adjuntando su curriculum y nombramiento respectivo.  </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Archivos que se pusieron a la vista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rsidR="0078038E" w:rsidRPr="00EB522E" w:rsidRDefault="0078038E">
      <w:pPr>
        <w:widowControl w:val="0"/>
        <w:spacing w:line="360" w:lineRule="auto"/>
        <w:jc w:val="both"/>
        <w:rPr>
          <w:rFonts w:ascii="Palatino Linotype" w:eastAsia="Palatino Linotype" w:hAnsi="Palatino Linotype" w:cs="Palatino Linotype"/>
        </w:rPr>
      </w:pPr>
    </w:p>
    <w:p w:rsidR="0078038E" w:rsidRPr="00EB522E" w:rsidRDefault="00E53B86">
      <w:pPr>
        <w:widowControl w:val="0"/>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7.</w:t>
      </w:r>
      <w:r w:rsidRPr="00EB522E">
        <w:rPr>
          <w:rFonts w:ascii="Palatino Linotype" w:eastAsia="Palatino Linotype" w:hAnsi="Palatino Linotype" w:cs="Palatino Linotype"/>
        </w:rPr>
        <w:t xml:space="preserve"> </w:t>
      </w:r>
      <w:r w:rsidRPr="00EB522E">
        <w:rPr>
          <w:rFonts w:ascii="Palatino Linotype" w:eastAsia="Palatino Linotype" w:hAnsi="Palatino Linotype" w:cs="Palatino Linotype"/>
          <w:b/>
        </w:rPr>
        <w:t>Ampliación del plazo.</w:t>
      </w:r>
      <w:r w:rsidRPr="00EB522E">
        <w:rPr>
          <w:rFonts w:ascii="Palatino Linotype" w:eastAsia="Palatino Linotype" w:hAnsi="Palatino Linotype" w:cs="Palatino Linotype"/>
        </w:rPr>
        <w:t xml:space="preserve"> En fecha diecisiete de octubre del año dos mil veintitrés, con fundamento en el artículo 181, párrafo tercero de la Ley de Transparencia y Acceso a la Información Pública del Estado de México y Municipios, se acordó la ampliación del plazo para su resolución.</w:t>
      </w:r>
    </w:p>
    <w:p w:rsidR="0078038E" w:rsidRPr="00EB522E" w:rsidRDefault="00E53B86">
      <w:pPr>
        <w:widowControl w:val="0"/>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EB522E">
        <w:rPr>
          <w:rFonts w:ascii="Palatino Linotype" w:eastAsia="Palatino Linotype" w:hAnsi="Palatino Linotype" w:cs="Palatino Linotype"/>
        </w:rPr>
        <w:lastRenderedPageBreak/>
        <w:t>órganos jurisdiccionales federales, aplicables también en procedimientos análogos, como el que nos ocupa.</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strike/>
        </w:rPr>
      </w:pPr>
      <w:r w:rsidRPr="00EB522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numPr>
          <w:ilvl w:val="0"/>
          <w:numId w:val="1"/>
        </w:num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78038E" w:rsidRPr="00EB522E" w:rsidRDefault="0078038E">
      <w:pPr>
        <w:spacing w:line="360" w:lineRule="auto"/>
        <w:ind w:left="927"/>
        <w:jc w:val="both"/>
        <w:rPr>
          <w:rFonts w:ascii="Palatino Linotype" w:eastAsia="Palatino Linotype" w:hAnsi="Palatino Linotype" w:cs="Palatino Linotype"/>
        </w:rPr>
      </w:pPr>
    </w:p>
    <w:p w:rsidR="0078038E" w:rsidRPr="00EB522E" w:rsidRDefault="00E53B86">
      <w:pPr>
        <w:numPr>
          <w:ilvl w:val="0"/>
          <w:numId w:val="1"/>
        </w:num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Actividad Procesal del interesado. Acciones u omisiones del interesado.</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numPr>
          <w:ilvl w:val="0"/>
          <w:numId w:val="1"/>
        </w:num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78038E" w:rsidRPr="00EB522E" w:rsidRDefault="0078038E">
      <w:pPr>
        <w:spacing w:line="360" w:lineRule="auto"/>
        <w:ind w:left="708"/>
        <w:rPr>
          <w:rFonts w:ascii="Palatino Linotype" w:eastAsia="Palatino Linotype" w:hAnsi="Palatino Linotype" w:cs="Palatino Linotype"/>
        </w:rPr>
      </w:pPr>
    </w:p>
    <w:p w:rsidR="0078038E" w:rsidRPr="00EB522E" w:rsidRDefault="00E53B86">
      <w:pPr>
        <w:spacing w:line="360" w:lineRule="auto"/>
        <w:ind w:left="567"/>
        <w:jc w:val="both"/>
        <w:rPr>
          <w:rFonts w:ascii="Palatino Linotype" w:eastAsia="Palatino Linotype" w:hAnsi="Palatino Linotype" w:cs="Palatino Linotype"/>
        </w:rPr>
      </w:pPr>
      <w:r w:rsidRPr="00EB522E">
        <w:rPr>
          <w:rFonts w:ascii="Palatino Linotype" w:eastAsia="Palatino Linotype" w:hAnsi="Palatino Linotype" w:cs="Palatino Linotype"/>
        </w:rPr>
        <w:t>d) La afectación generada en la situación jurídica de la persona involucrada en el proceso: Violación a sus derechos humanos.</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b/>
        </w:rPr>
      </w:pPr>
      <w:r w:rsidRPr="00EB522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B522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B522E">
        <w:rPr>
          <w:rFonts w:ascii="Palatino Linotype" w:eastAsia="Palatino Linotype" w:hAnsi="Palatino Linotype" w:cs="Palatino Linotype"/>
        </w:rPr>
        <w:t>, visible en la Gaceta del Seminario Judicial de la Federación con el registro digital 205635.</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EB522E">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 </w:t>
      </w:r>
      <w:r w:rsidRPr="00EB522E">
        <w:rPr>
          <w:rFonts w:ascii="Palatino Linotype" w:eastAsia="Palatino Linotype" w:hAnsi="Palatino Linotype" w:cs="Palatino Linotype"/>
          <w:i/>
        </w:rPr>
        <w:t>“PLAZO RAZONABLE PARA RESOLVER. DIMENSIÓN Y EFECTOS DE ESTE CONCEPTO CUANDO SE ADUCE EXCESIVA CARGA DE TRABAJO.”</w:t>
      </w:r>
      <w:r w:rsidRPr="00EB522E">
        <w:rPr>
          <w:rFonts w:ascii="Palatino Linotype" w:eastAsia="Palatino Linotype" w:hAnsi="Palatino Linotype" w:cs="Palatino Linotype"/>
        </w:rPr>
        <w:t xml:space="preserve"> consultable en el Seminario Judicial de la Federación y su gaceta, con el registro digital 2002351.</w:t>
      </w:r>
    </w:p>
    <w:p w:rsidR="0078038E" w:rsidRPr="00EB522E" w:rsidRDefault="0078038E">
      <w:pPr>
        <w:spacing w:line="360" w:lineRule="auto"/>
        <w:jc w:val="both"/>
        <w:rPr>
          <w:rFonts w:ascii="Palatino Linotype" w:eastAsia="Palatino Linotype" w:hAnsi="Palatino Linotype" w:cs="Palatino Linotype"/>
          <w:b/>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i/>
        </w:rPr>
        <w:t>“PLAZO RAZONABLE PARA RESOLVER. CONCEPTO Y ELEMENTOS QUE LO INTEGRAN A LA LUZ DEL DERECHO INTERNACIONAL DE LOS DERECHOS HUMANOS.”</w:t>
      </w:r>
      <w:r w:rsidRPr="00EB522E">
        <w:rPr>
          <w:rFonts w:ascii="Palatino Linotype" w:eastAsia="Palatino Linotype" w:hAnsi="Palatino Linotype" w:cs="Palatino Linotype"/>
        </w:rPr>
        <w:t>, visible en el Seminario Judicial de la Federación y su gaceta, con el registro digital 2002350.</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lastRenderedPageBreak/>
        <w:t xml:space="preserve">9. Cierre de instrucción. </w:t>
      </w:r>
      <w:r w:rsidRPr="00EB522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B522E">
        <w:rPr>
          <w:rFonts w:ascii="Palatino Linotype" w:eastAsia="Palatino Linotype" w:hAnsi="Palatino Linotype" w:cs="Palatino Linotype"/>
          <w:b/>
        </w:rPr>
        <w:t>veintitrés de octubre de dos mil veintitrés</w:t>
      </w:r>
      <w:r w:rsidRPr="00EB522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78038E" w:rsidRPr="00EB522E" w:rsidRDefault="00E53B86">
      <w:pPr>
        <w:widowControl w:val="0"/>
        <w:spacing w:line="360" w:lineRule="auto"/>
        <w:jc w:val="center"/>
        <w:rPr>
          <w:rFonts w:ascii="Palatino Linotype" w:eastAsia="Palatino Linotype" w:hAnsi="Palatino Linotype" w:cs="Palatino Linotype"/>
          <w:b/>
        </w:rPr>
      </w:pPr>
      <w:r w:rsidRPr="00EB522E">
        <w:rPr>
          <w:rFonts w:ascii="Palatino Linotype" w:eastAsia="Palatino Linotype" w:hAnsi="Palatino Linotype" w:cs="Palatino Linotype"/>
          <w:b/>
        </w:rPr>
        <w:t>II. C O N S I D E R A N D O S</w:t>
      </w:r>
    </w:p>
    <w:p w:rsidR="0078038E" w:rsidRPr="00EB522E" w:rsidRDefault="0078038E">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 xml:space="preserve">Primero. Competencia. </w:t>
      </w:r>
      <w:r w:rsidRPr="00EB522E">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lastRenderedPageBreak/>
        <w:t>Segundo. Oportunidad y Procedibilidad de los Recursos de Revisión</w:t>
      </w:r>
      <w:r w:rsidRPr="00EB522E">
        <w:rPr>
          <w:rFonts w:ascii="Palatino Linotype" w:eastAsia="Palatino Linotype" w:hAnsi="Palatino Linotype" w:cs="Palatino Linotype"/>
          <w:b/>
          <w:sz w:val="28"/>
          <w:szCs w:val="28"/>
        </w:rPr>
        <w:t>.</w:t>
      </w:r>
      <w:r w:rsidRPr="00EB522E">
        <w:rPr>
          <w:rFonts w:ascii="Palatino Linotype" w:eastAsia="Palatino Linotype" w:hAnsi="Palatino Linotype" w:cs="Palatino Linotype"/>
          <w:b/>
        </w:rPr>
        <w:t xml:space="preserve"> </w:t>
      </w:r>
      <w:r w:rsidRPr="00EB522E">
        <w:rPr>
          <w:rFonts w:ascii="Palatino Linotype" w:eastAsia="Palatino Linotype" w:hAnsi="Palatino Linotype" w:cs="Palatino Linotype"/>
        </w:rPr>
        <w:t>Por cuanto hace a la oportunidad de los recursos de revisión</w:t>
      </w:r>
      <w:r w:rsidRPr="00EB522E">
        <w:rPr>
          <w:rFonts w:ascii="Palatino Linotype" w:eastAsia="Palatino Linotype" w:hAnsi="Palatino Linotype" w:cs="Palatino Linotype"/>
          <w:b/>
        </w:rPr>
        <w:t xml:space="preserve"> </w:t>
      </w:r>
      <w:r w:rsidRPr="00EB522E">
        <w:rPr>
          <w:rFonts w:ascii="Palatino Linotype" w:eastAsia="Palatino Linotype" w:hAnsi="Palatino Linotype" w:cs="Palatino Linotype"/>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 en cualquier momento.</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Derivado de lo anterior, se constituye la figura jurídica de la </w:t>
      </w:r>
      <w:r w:rsidRPr="00EB522E">
        <w:rPr>
          <w:rFonts w:ascii="Palatino Linotype" w:eastAsia="Palatino Linotype" w:hAnsi="Palatino Linotype" w:cs="Palatino Linotype"/>
          <w:b/>
        </w:rPr>
        <w:t>NEGATIVA FICTA</w:t>
      </w:r>
      <w:r w:rsidRPr="00EB522E">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 tal manera, en el presente recurso de revisión se actualizó la negativa ficta por parte del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al no haber respondido al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Si a ello se le suma lo previsto en el párrafo segundo del artículo 178, párrafo segundo</w:t>
      </w:r>
      <w:r w:rsidRPr="00EB522E">
        <w:rPr>
          <w:rFonts w:ascii="Palatino Linotype" w:eastAsia="Palatino Linotype" w:hAnsi="Palatino Linotype" w:cs="Palatino Linotype"/>
          <w:vertAlign w:val="superscript"/>
        </w:rPr>
        <w:footnoteReference w:id="1"/>
      </w:r>
      <w:r w:rsidRPr="00EB522E">
        <w:rPr>
          <w:rFonts w:ascii="Palatino Linotype" w:eastAsia="Palatino Linotype" w:hAnsi="Palatino Linotype" w:cs="Palatino Linotype"/>
        </w:rPr>
        <w:t xml:space="preserve"> de la Ley de Transparencia y Acceso a la Información Pública vigente en la entidad.</w:t>
      </w:r>
    </w:p>
    <w:p w:rsidR="0078038E" w:rsidRPr="00EB522E" w:rsidRDefault="00E53B86">
      <w:pPr>
        <w:spacing w:before="240" w:after="360" w:line="360" w:lineRule="auto"/>
        <w:jc w:val="both"/>
        <w:rPr>
          <w:i/>
        </w:rPr>
      </w:pPr>
      <w:r w:rsidRPr="00EB522E">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78038E" w:rsidRPr="00EB522E" w:rsidRDefault="00E53B86">
      <w:pPr>
        <w:spacing w:before="240" w:after="360"/>
        <w:ind w:left="851" w:right="851"/>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 xml:space="preserve">CRITERIO 0001-15 </w:t>
      </w:r>
    </w:p>
    <w:p w:rsidR="0078038E" w:rsidRPr="00EB522E" w:rsidRDefault="00E53B86">
      <w:pPr>
        <w:spacing w:before="240" w:after="360"/>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NEGATIVA FICTA. PLAZO PARA INTERPONER EL RECURSO DE REVISIÓN TRATÁNDOSE DE</w:t>
      </w:r>
      <w:r w:rsidRPr="00EB522E">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w:t>
      </w:r>
      <w:r w:rsidRPr="00EB522E">
        <w:rPr>
          <w:rFonts w:ascii="Palatino Linotype" w:eastAsia="Palatino Linotype" w:hAnsi="Palatino Linotype" w:cs="Palatino Linotype"/>
          <w:i/>
          <w:sz w:val="22"/>
          <w:szCs w:val="22"/>
        </w:rPr>
        <w:lastRenderedPageBreak/>
        <w:t>del Sujeto Obligado, momento a partir del cual deberá computarse el plazo previsto en el artículo 72 de la citada Ley.”</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cuanto hace a la procedibilidad del recurso de revisión, es de suma importancia señalar que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se identificó como un seudónimo,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8038E" w:rsidRPr="00EB522E" w:rsidRDefault="00E53B86">
      <w:pPr>
        <w:spacing w:before="240" w:after="240" w:line="276" w:lineRule="auto"/>
        <w:ind w:left="851"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Las solicitudes anónimas</w:t>
      </w:r>
      <w:r w:rsidRPr="00EB522E">
        <w:rPr>
          <w:rFonts w:ascii="Palatino Linotype" w:eastAsia="Palatino Linotype" w:hAnsi="Palatino Linotype" w:cs="Palatino Linotype"/>
          <w:i/>
          <w:sz w:val="22"/>
          <w:szCs w:val="22"/>
        </w:rPr>
        <w:t>, con nombre incompleto o seudónimo</w:t>
      </w:r>
      <w:r w:rsidRPr="00EB522E">
        <w:rPr>
          <w:rFonts w:ascii="Palatino Linotype" w:eastAsia="Palatino Linotype" w:hAnsi="Palatino Linotype" w:cs="Palatino Linotype"/>
          <w:i/>
          <w:sz w:val="44"/>
          <w:szCs w:val="44"/>
        </w:rPr>
        <w:t xml:space="preserve"> </w:t>
      </w:r>
      <w:r w:rsidRPr="00EB522E">
        <w:rPr>
          <w:rFonts w:ascii="Palatino Linotype" w:eastAsia="Palatino Linotype" w:hAnsi="Palatino Linotype" w:cs="Palatino Linotype"/>
          <w:b/>
          <w:i/>
          <w:sz w:val="22"/>
          <w:szCs w:val="22"/>
        </w:rPr>
        <w:t>serán procedentes para su trámite por parte del sujeto obligado ante quien se presente</w:t>
      </w:r>
      <w:r w:rsidRPr="00EB522E">
        <w:rPr>
          <w:rFonts w:ascii="Palatino Linotype" w:eastAsia="Palatino Linotype" w:hAnsi="Palatino Linotype" w:cs="Palatino Linotype"/>
          <w:i/>
          <w:sz w:val="22"/>
          <w:szCs w:val="22"/>
        </w:rPr>
        <w:t>. No podrá requerirse información adicional con motivo del nombre proporcionado por el solicitante."(Sic)</w:t>
      </w:r>
    </w:p>
    <w:p w:rsidR="0078038E" w:rsidRPr="00EB522E" w:rsidRDefault="00E53B86">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B522E">
        <w:rPr>
          <w:rFonts w:ascii="Palatino Linotype" w:eastAsia="Palatino Linotype" w:hAnsi="Palatino Linotype" w:cs="Palatino Linotype"/>
          <w:b/>
        </w:rPr>
        <w:t>EL</w:t>
      </w:r>
      <w:r w:rsidRPr="00EB522E">
        <w:rPr>
          <w:rFonts w:ascii="Palatino Linotype" w:eastAsia="Palatino Linotype" w:hAnsi="Palatino Linotype" w:cs="Palatino Linotype"/>
        </w:rPr>
        <w:t xml:space="preserve"> </w:t>
      </w:r>
      <w:r w:rsidRPr="00EB522E">
        <w:rPr>
          <w:rFonts w:ascii="Palatino Linotype" w:eastAsia="Palatino Linotype" w:hAnsi="Palatino Linotype" w:cs="Palatino Linotype"/>
          <w:b/>
        </w:rPr>
        <w:t>SAIMEX</w:t>
      </w:r>
      <w:r w:rsidRPr="00EB522E">
        <w:rPr>
          <w:rFonts w:ascii="Palatino Linotype" w:eastAsia="Palatino Linotype" w:hAnsi="Palatino Linotype" w:cs="Palatino Linotype"/>
        </w:rPr>
        <w:t>.</w:t>
      </w:r>
    </w:p>
    <w:p w:rsidR="0078038E" w:rsidRPr="00EB522E" w:rsidRDefault="00E53B86">
      <w:pPr>
        <w:spacing w:before="240" w:after="240" w:line="360" w:lineRule="auto"/>
        <w:jc w:val="both"/>
        <w:rPr>
          <w:rFonts w:ascii="Quattrocento Sans" w:eastAsia="Quattrocento Sans" w:hAnsi="Quattrocento Sans" w:cs="Quattrocento Sans"/>
        </w:rPr>
      </w:pPr>
      <w:r w:rsidRPr="00EB522E">
        <w:rPr>
          <w:rFonts w:ascii="Palatino Linotype" w:eastAsia="Palatino Linotype" w:hAnsi="Palatino Linotype" w:cs="Palatino Linotype"/>
        </w:rPr>
        <w:t xml:space="preserve">Ahora bien, resulta procedente la interposición del recurso de revisión, según lo aducido por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en términos del artículo 179, fracción VII del ordenamiento legal de la materia, que a la letra dice:</w:t>
      </w:r>
    </w:p>
    <w:p w:rsidR="0078038E" w:rsidRPr="00EB522E" w:rsidRDefault="00E53B86">
      <w:pPr>
        <w:spacing w:before="240" w:after="240"/>
        <w:ind w:left="993" w:right="1041"/>
        <w:jc w:val="both"/>
        <w:rPr>
          <w:rFonts w:ascii="Palatino Linotype" w:eastAsia="Palatino Linotype" w:hAnsi="Palatino Linotype" w:cs="Palatino Linotype"/>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sz w:val="22"/>
          <w:szCs w:val="22"/>
        </w:rPr>
        <w:t>Artículo 179.</w:t>
      </w:r>
      <w:r w:rsidRPr="00EB522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EB522E">
        <w:rPr>
          <w:rFonts w:ascii="Palatino Linotype" w:eastAsia="Palatino Linotype" w:hAnsi="Palatino Linotype" w:cs="Palatino Linotype"/>
          <w:sz w:val="22"/>
          <w:szCs w:val="22"/>
        </w:rPr>
        <w:t> </w:t>
      </w:r>
    </w:p>
    <w:p w:rsidR="0078038E" w:rsidRPr="00EB522E" w:rsidRDefault="00E53B86">
      <w:pPr>
        <w:numPr>
          <w:ilvl w:val="0"/>
          <w:numId w:val="3"/>
        </w:numPr>
        <w:spacing w:before="240" w:after="240"/>
        <w:ind w:right="1041" w:hanging="87"/>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lastRenderedPageBreak/>
        <w:t>La falta de respuesta a una solicitud de acceso a la información…(Sic)</w:t>
      </w:r>
    </w:p>
    <w:p w:rsidR="0078038E" w:rsidRPr="00EB522E" w:rsidRDefault="00E53B86">
      <w:pPr>
        <w:spacing w:before="240" w:after="240" w:line="360" w:lineRule="auto"/>
        <w:ind w:right="60"/>
        <w:jc w:val="both"/>
        <w:rPr>
          <w:rFonts w:ascii="Palatino Linotype" w:eastAsia="Palatino Linotype" w:hAnsi="Palatino Linotype" w:cs="Palatino Linotype"/>
          <w:b/>
        </w:rPr>
      </w:pPr>
      <w:r w:rsidRPr="00EB522E">
        <w:rPr>
          <w:rFonts w:ascii="Palatino Linotype" w:eastAsia="Palatino Linotype" w:hAnsi="Palatino Linotype" w:cs="Palatino Linotype"/>
          <w:b/>
        </w:rPr>
        <w:t xml:space="preserve">Tercero. Análisis de las causales de sobreseimiento. </w:t>
      </w:r>
      <w:r w:rsidRPr="00EB522E">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8038E" w:rsidRPr="00EB522E" w:rsidRDefault="00E53B86">
      <w:pPr>
        <w:spacing w:before="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78038E" w:rsidRPr="00EB522E" w:rsidRDefault="0078038E">
      <w:pPr>
        <w:spacing w:line="360" w:lineRule="auto"/>
        <w:jc w:val="both"/>
      </w:pPr>
    </w:p>
    <w:p w:rsidR="0078038E" w:rsidRPr="00EB522E" w:rsidRDefault="00E53B86">
      <w:pP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De manera preliminar en el caso concreto conviene analizar si se actualiza alguna de las causales de sobreseimiento del recurso de revisión.</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Como se puede observar en los antecedentes de la presente resolución,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fue omiso en emitir respuesta a la solicitud de información; sin embargo, con posterioridad mediante informe justificado remite un documento a </w:t>
      </w:r>
      <w:r w:rsidRPr="00EB522E">
        <w:rPr>
          <w:rFonts w:ascii="Palatino Linotype" w:eastAsia="Palatino Linotype" w:hAnsi="Palatino Linotype" w:cs="Palatino Linotype"/>
        </w:rPr>
        <w:lastRenderedPageBreak/>
        <w:t xml:space="preserve">través del cual pretende dar atención a la solicitud de acceso a la información número </w:t>
      </w:r>
      <w:r w:rsidRPr="00EB522E">
        <w:rPr>
          <w:rFonts w:ascii="Verdana" w:eastAsia="Verdana" w:hAnsi="Verdana" w:cs="Verdana"/>
          <w:b/>
        </w:rPr>
        <w:t> </w:t>
      </w:r>
      <w:r w:rsidRPr="00EB522E">
        <w:rPr>
          <w:rFonts w:ascii="Palatino Linotype" w:eastAsia="Palatino Linotype" w:hAnsi="Palatino Linotype" w:cs="Palatino Linotype"/>
          <w:b/>
        </w:rPr>
        <w:t>00237/IXTAPALU/IP/2023</w:t>
      </w:r>
      <w:r w:rsidRPr="00EB522E">
        <w:rPr>
          <w:rFonts w:ascii="Palatino Linotype" w:eastAsia="Palatino Linotype" w:hAnsi="Palatino Linotype" w:cs="Palatino Linotype"/>
        </w:rPr>
        <w:t xml:space="preserve">, el cual será materia de análisis en el presente considerando. </w:t>
      </w:r>
    </w:p>
    <w:p w:rsidR="0078038E" w:rsidRPr="00EB522E" w:rsidRDefault="00E53B86">
      <w:pPr>
        <w:spacing w:before="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Acotado lo anterior, con el fin de no dejar en estado de indefensión a la parte </w:t>
      </w:r>
      <w:r w:rsidRPr="00EB522E">
        <w:rPr>
          <w:rFonts w:ascii="Palatino Linotype" w:eastAsia="Palatino Linotype" w:hAnsi="Palatino Linotype" w:cs="Palatino Linotype"/>
          <w:b/>
        </w:rPr>
        <w:t>RECURRENT</w:t>
      </w:r>
      <w:r w:rsidRPr="00EB522E">
        <w:rPr>
          <w:rFonts w:ascii="Palatino Linotype" w:eastAsia="Palatino Linotype" w:hAnsi="Palatino Linotype" w:cs="Palatino Linotype"/>
        </w:rPr>
        <w:t>E, resulta oportuno señalar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78038E" w:rsidRPr="00EB522E" w:rsidRDefault="00E53B86">
      <w:pPr>
        <w:ind w:left="709"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Artículo 4</w:t>
      </w:r>
      <w:r w:rsidRPr="00EB522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8038E" w:rsidRPr="00EB522E" w:rsidRDefault="00E53B86">
      <w:pPr>
        <w:ind w:left="709" w:right="760"/>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8038E" w:rsidRPr="00EB522E" w:rsidRDefault="00E53B86">
      <w:pPr>
        <w:ind w:left="709" w:right="760"/>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 (Sic)</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EB522E">
        <w:rPr>
          <w:rFonts w:ascii="Palatino Linotype" w:eastAsia="Palatino Linotype" w:hAnsi="Palatino Linotype" w:cs="Palatino Linotype"/>
          <w:b/>
        </w:rPr>
        <w:t>artículo 12</w:t>
      </w:r>
      <w:r w:rsidRPr="00EB522E">
        <w:rPr>
          <w:rFonts w:ascii="Palatino Linotype" w:eastAsia="Palatino Linotype" w:hAnsi="Palatino Linotype" w:cs="Palatino Linotype"/>
        </w:rPr>
        <w:t xml:space="preserve"> de la Ley de Transparencia y Acceso a la Información Pública del Estado de México y Municipios, el cual a la letra dice:</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ind w:left="567" w:right="75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Artículo 12</w:t>
      </w:r>
      <w:r w:rsidRPr="00EB522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78038E" w:rsidRPr="00EB522E" w:rsidRDefault="0078038E">
      <w:pPr>
        <w:ind w:left="567" w:right="758"/>
        <w:jc w:val="both"/>
        <w:rPr>
          <w:rFonts w:ascii="Palatino Linotype" w:eastAsia="Palatino Linotype" w:hAnsi="Palatino Linotype" w:cs="Palatino Linotype"/>
          <w:i/>
          <w:sz w:val="22"/>
          <w:szCs w:val="22"/>
        </w:rPr>
      </w:pPr>
    </w:p>
    <w:p w:rsidR="0078038E" w:rsidRPr="00EB522E" w:rsidRDefault="00E53B86">
      <w:pPr>
        <w:ind w:left="567" w:right="75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B522E">
        <w:rPr>
          <w:rFonts w:ascii="Palatino Linotype" w:eastAsia="Palatino Linotype" w:hAnsi="Palatino Linotype" w:cs="Palatino Linotype"/>
          <w:b/>
        </w:rPr>
        <w:t xml:space="preserve"> </w:t>
      </w:r>
      <w:r w:rsidRPr="00EB522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B522E">
        <w:rPr>
          <w:rFonts w:ascii="Palatino Linotype" w:eastAsia="Palatino Linotype" w:hAnsi="Palatino Linotype" w:cs="Palatino Linotype"/>
          <w:i/>
        </w:rPr>
        <w:t>ad hoc</w:t>
      </w:r>
      <w:r w:rsidRPr="00EB522E">
        <w:rPr>
          <w:rFonts w:ascii="Palatino Linotype" w:eastAsia="Palatino Linotype" w:hAnsi="Palatino Linotype" w:cs="Palatino Linotype"/>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before="120" w:after="240"/>
        <w:ind w:left="1134"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lastRenderedPageBreak/>
        <w:t>09/10</w:t>
      </w:r>
    </w:p>
    <w:p w:rsidR="0078038E" w:rsidRPr="00EB522E" w:rsidRDefault="00E53B86">
      <w:pPr>
        <w:spacing w:before="120" w:after="240"/>
        <w:ind w:left="1134"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"LAS DEPENDENCIAS Y ENTIDADES NO ESTÁN OBLIGADAS A GENERAR DOCUMENTOS AD HOC PARA RESPONDER UNA SOLICITUD DE ACC ESO A LA INFORMACIÓN.</w:t>
      </w:r>
    </w:p>
    <w:p w:rsidR="0078038E" w:rsidRPr="00EB522E" w:rsidRDefault="00E53B86">
      <w:pPr>
        <w:spacing w:before="120" w:after="240"/>
        <w:ind w:left="1134"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78038E" w:rsidRPr="00EB522E" w:rsidRDefault="00E53B86">
      <w:pPr>
        <w:spacing w:before="120" w:after="240"/>
        <w:ind w:left="1134"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03/17</w:t>
      </w:r>
    </w:p>
    <w:p w:rsidR="0078038E" w:rsidRPr="00EB522E" w:rsidRDefault="00E53B86">
      <w:pPr>
        <w:spacing w:before="120" w:after="240"/>
        <w:ind w:left="1134"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“NO EXISTE OBLIGACIÓN DE ELABORAR DOCUM ENTOS AD HOC PARA ATENDER LAS SOLICITUDES DE ACCESO A LA INFORM ACIÓN.</w:t>
      </w:r>
    </w:p>
    <w:p w:rsidR="0078038E" w:rsidRPr="00EB522E" w:rsidRDefault="00E53B86">
      <w:pPr>
        <w:spacing w:before="120" w:after="240"/>
        <w:ind w:left="1134"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EB522E">
        <w:rPr>
          <w:rFonts w:ascii="Palatino Linotype" w:eastAsia="Palatino Linotype" w:hAnsi="Palatino Linotype" w:cs="Palatino Linotype"/>
        </w:rPr>
        <w:lastRenderedPageBreak/>
        <w:t>persona, lo que implica que es deber de los Sujetos Obligados, garantizar el Derecho de Acceso a la Información Pública.</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8038E" w:rsidRPr="00EB522E" w:rsidRDefault="0078038E">
      <w:pPr>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8038E" w:rsidRPr="00EB522E" w:rsidRDefault="0078038E">
      <w:pPr>
        <w:ind w:left="1134" w:right="899"/>
        <w:jc w:val="both"/>
        <w:rPr>
          <w:rFonts w:ascii="Palatino Linotype" w:eastAsia="Palatino Linotype" w:hAnsi="Palatino Linotype" w:cs="Palatino Linotype"/>
          <w:i/>
          <w:sz w:val="22"/>
          <w:szCs w:val="22"/>
        </w:rPr>
      </w:pP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 xml:space="preserve">Artículo 3. </w:t>
      </w:r>
      <w:r w:rsidRPr="00EB522E">
        <w:rPr>
          <w:rFonts w:ascii="Palatino Linotype" w:eastAsia="Palatino Linotype" w:hAnsi="Palatino Linotype" w:cs="Palatino Linotype"/>
          <w:i/>
          <w:sz w:val="22"/>
          <w:szCs w:val="22"/>
        </w:rPr>
        <w:t>Para los efectos de la presente Ley se entenderá por:</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XI. Documento:</w:t>
      </w:r>
      <w:r w:rsidRPr="00EB522E">
        <w:rPr>
          <w:rFonts w:ascii="Palatino Linotype" w:eastAsia="Palatino Linotype" w:hAnsi="Palatino Linotype" w:cs="Palatino Linotype"/>
          <w:i/>
          <w:sz w:val="22"/>
          <w:szCs w:val="22"/>
        </w:rPr>
        <w:t xml:space="preserve"> Los expedientes, reportes, estudios, </w:t>
      </w:r>
      <w:r w:rsidRPr="00EB522E">
        <w:rPr>
          <w:rFonts w:ascii="Palatino Linotype" w:eastAsia="Palatino Linotype" w:hAnsi="Palatino Linotype" w:cs="Palatino Linotype"/>
          <w:b/>
          <w:i/>
          <w:sz w:val="22"/>
          <w:szCs w:val="22"/>
        </w:rPr>
        <w:t>actas,</w:t>
      </w:r>
      <w:r w:rsidRPr="00EB522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EB522E">
        <w:rPr>
          <w:rFonts w:ascii="Palatino Linotype" w:eastAsia="Palatino Linotype" w:hAnsi="Palatino Linotype" w:cs="Palatino Linotype"/>
          <w:i/>
          <w:sz w:val="22"/>
          <w:szCs w:val="22"/>
        </w:rPr>
        <w:lastRenderedPageBreak/>
        <w:t>sin importar su fuente o fecha de elaboración. Los documentos podrán estar en cualquier medio, sea escrito, impreso, sonoro, visual, electrónico, informático u holográfico</w:t>
      </w:r>
      <w:r w:rsidRPr="00EB522E">
        <w:rPr>
          <w:rFonts w:ascii="Palatino Linotype" w:eastAsia="Palatino Linotype" w:hAnsi="Palatino Linotype" w:cs="Palatino Linotype"/>
          <w:b/>
          <w:i/>
          <w:sz w:val="22"/>
          <w:szCs w:val="22"/>
        </w:rPr>
        <w:t>…</w:t>
      </w:r>
      <w:r w:rsidRPr="00EB522E">
        <w:rPr>
          <w:rFonts w:ascii="Palatino Linotype" w:eastAsia="Palatino Linotype" w:hAnsi="Palatino Linotype" w:cs="Palatino Linotype"/>
          <w:i/>
          <w:sz w:val="22"/>
          <w:szCs w:val="22"/>
        </w:rPr>
        <w:t>”(Sic)</w:t>
      </w:r>
    </w:p>
    <w:p w:rsidR="0078038E" w:rsidRPr="00EB522E" w:rsidRDefault="0078038E">
      <w:pPr>
        <w:ind w:left="851" w:right="899"/>
        <w:jc w:val="both"/>
        <w:rPr>
          <w:rFonts w:ascii="Palatino Linotype" w:eastAsia="Palatino Linotype" w:hAnsi="Palatino Linotype" w:cs="Palatino Linotype"/>
          <w:i/>
          <w:sz w:val="22"/>
          <w:szCs w:val="22"/>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8038E" w:rsidRPr="00EB522E" w:rsidRDefault="0078038E">
      <w:pPr>
        <w:ind w:left="851" w:right="899"/>
        <w:jc w:val="both"/>
        <w:rPr>
          <w:rFonts w:ascii="Palatino Linotype" w:eastAsia="Palatino Linotype" w:hAnsi="Palatino Linotype" w:cs="Palatino Linotype"/>
        </w:rPr>
      </w:pPr>
    </w:p>
    <w:p w:rsidR="0078038E" w:rsidRPr="00EB522E" w:rsidRDefault="00E53B86">
      <w:pPr>
        <w:ind w:left="1134" w:right="899"/>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sz w:val="22"/>
          <w:szCs w:val="22"/>
        </w:rPr>
        <w:t>“</w:t>
      </w:r>
      <w:r w:rsidRPr="00EB522E">
        <w:rPr>
          <w:rFonts w:ascii="Palatino Linotype" w:eastAsia="Palatino Linotype" w:hAnsi="Palatino Linotype" w:cs="Palatino Linotype"/>
          <w:b/>
          <w:i/>
          <w:sz w:val="22"/>
          <w:szCs w:val="22"/>
        </w:rPr>
        <w:t>CRITERIO 0002-11</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B522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8038E" w:rsidRPr="00EB522E" w:rsidRDefault="00E53B86">
      <w:pPr>
        <w:ind w:left="1134" w:right="899"/>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Obligados.”(Sic)</w:t>
      </w:r>
    </w:p>
    <w:p w:rsidR="0078038E" w:rsidRPr="00EB522E" w:rsidRDefault="0078038E">
      <w:pPr>
        <w:ind w:left="1134" w:right="1041"/>
        <w:jc w:val="both"/>
        <w:rPr>
          <w:rFonts w:ascii="Palatino Linotype" w:eastAsia="Palatino Linotype" w:hAnsi="Palatino Linotype" w:cs="Palatino Linotype"/>
          <w:sz w:val="22"/>
          <w:szCs w:val="22"/>
        </w:rPr>
      </w:pPr>
    </w:p>
    <w:p w:rsidR="0078038E" w:rsidRPr="00EB522E" w:rsidRDefault="00E53B86">
      <w:pPr>
        <w:spacing w:before="280" w:after="28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 ahí 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sidRPr="00EB522E">
        <w:rPr>
          <w:rFonts w:ascii="Palatino Linotype" w:eastAsia="Palatino Linotype" w:hAnsi="Palatino Linotype" w:cs="Palatino Linotype"/>
        </w:rPr>
        <w:lastRenderedPageBreak/>
        <w:t>que obre en sus archivos; más aún si la misma se trata de una obligación de transparencia, la cual se relaciona con aquella que se genere de acuerdo con sus facultades, atribuciones señaladas por la Ley en la materia</w:t>
      </w:r>
      <w:r w:rsidRPr="00EB522E">
        <w:rPr>
          <w:rFonts w:ascii="Palatino Linotype" w:eastAsia="Palatino Linotype" w:hAnsi="Palatino Linotype" w:cs="Palatino Linotype"/>
          <w:vertAlign w:val="superscript"/>
        </w:rPr>
        <w:footnoteReference w:id="2"/>
      </w:r>
      <w:r w:rsidRPr="00EB522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B522E">
        <w:rPr>
          <w:rFonts w:ascii="Palatino Linotype" w:eastAsia="Palatino Linotype" w:hAnsi="Palatino Linotype" w:cs="Palatino Linotype"/>
          <w:vertAlign w:val="superscript"/>
        </w:rPr>
        <w:footnoteReference w:id="3"/>
      </w:r>
      <w:r w:rsidRPr="00EB522E">
        <w:rPr>
          <w:rFonts w:ascii="Palatino Linotype" w:eastAsia="Palatino Linotype" w:hAnsi="Palatino Linotype" w:cs="Palatino Linotype"/>
        </w:rPr>
        <w:t>.</w:t>
      </w:r>
    </w:p>
    <w:p w:rsidR="0078038E" w:rsidRPr="00EB522E" w:rsidRDefault="00E53B86">
      <w:pP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Así, del análisis de la solicitud de información motivo del recurso de revisión que ahora se resuelve, se advierte que la parte recurrente requirió al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le proporcionara lo siguiente:</w:t>
      </w:r>
    </w:p>
    <w:p w:rsidR="0078038E" w:rsidRPr="00EB522E" w:rsidRDefault="0078038E">
      <w:pPr>
        <w:spacing w:line="360" w:lineRule="auto"/>
        <w:ind w:right="51"/>
        <w:jc w:val="both"/>
        <w:rPr>
          <w:rFonts w:ascii="Verdana" w:eastAsia="Verdana" w:hAnsi="Verdana" w:cs="Verdana"/>
          <w:sz w:val="14"/>
          <w:szCs w:val="14"/>
        </w:rPr>
      </w:pPr>
    </w:p>
    <w:p w:rsidR="0078038E" w:rsidRPr="00EB522E" w:rsidRDefault="00E53B86">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Personal que integra la coordinación de asesores de la Oficina de la Presidencia, que contenga nombre del titular, nombre de todas las personas que la integren, sueldos, y curriculum.</w:t>
      </w:r>
    </w:p>
    <w:p w:rsidR="0078038E" w:rsidRPr="00EB522E" w:rsidRDefault="0078038E">
      <w:pPr>
        <w:spacing w:line="360" w:lineRule="auto"/>
        <w:ind w:right="51"/>
        <w:jc w:val="both"/>
        <w:rPr>
          <w:rFonts w:ascii="Verdana" w:eastAsia="Verdana" w:hAnsi="Verdana" w:cs="Verdana"/>
          <w:sz w:val="14"/>
          <w:szCs w:val="14"/>
        </w:rPr>
      </w:pPr>
    </w:p>
    <w:p w:rsidR="0078038E" w:rsidRPr="00EB522E" w:rsidRDefault="00E53B86">
      <w:pPr>
        <w:widowControl w:val="0"/>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su parte,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omitió dar respuesta al requerimiento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Inconforme por la falta de respuesta,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interpuso el presente recurso de revisión en el que señaló medularmente la falta de respuesta. </w:t>
      </w:r>
    </w:p>
    <w:p w:rsidR="0078038E" w:rsidRPr="00EB522E" w:rsidRDefault="00E53B86">
      <w:pPr>
        <w:spacing w:before="240"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Una vez notificado el recurso de revisión al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este a través del </w:t>
      </w:r>
      <w:r w:rsidRPr="00EB522E">
        <w:rPr>
          <w:rFonts w:ascii="Palatino Linotype" w:eastAsia="Palatino Linotype" w:hAnsi="Palatino Linotype" w:cs="Palatino Linotype"/>
          <w:b/>
          <w:u w:val="single"/>
        </w:rPr>
        <w:t>Titular de la Oficina de Presidencia</w:t>
      </w:r>
      <w:r w:rsidRPr="00EB522E">
        <w:rPr>
          <w:rFonts w:ascii="Palatino Linotype" w:eastAsia="Palatino Linotype" w:hAnsi="Palatino Linotype" w:cs="Palatino Linotype"/>
        </w:rPr>
        <w:t xml:space="preserve">, informó que actualmente la Coordinación de </w:t>
      </w:r>
      <w:r w:rsidRPr="00EB522E">
        <w:rPr>
          <w:rFonts w:ascii="Palatino Linotype" w:eastAsia="Palatino Linotype" w:hAnsi="Palatino Linotype" w:cs="Palatino Linotype"/>
        </w:rPr>
        <w:lastRenderedPageBreak/>
        <w:t xml:space="preserve">Asesores de la Oficina de Presidencia, sólo la integra el Titular, el maestro Gerardo Amed Bueno Cardoso, quien cuenta con un nombramiento honorifico respecto a esa unidad administrativa, por lo que no cuenta con un sueldo, adjuntando su curriculum y nombramiento respectivo.  </w:t>
      </w:r>
    </w:p>
    <w:p w:rsidR="0078038E" w:rsidRPr="00EB522E" w:rsidRDefault="00E53B86">
      <w:pPr>
        <w:spacing w:before="240"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Precisado lo anterior, es necesario señalar como se integra la Oficina de Presidencia que en términos de lo señalado por el artículo 5 del Reglamento de la Oficina de Presidencia del Ayuntamiento de Ixtapaluca, Estado de México; 2022-2024, se integra de la siguiente manera:</w:t>
      </w:r>
    </w:p>
    <w:p w:rsidR="0078038E" w:rsidRPr="00EB522E" w:rsidRDefault="0078038E">
      <w:pPr>
        <w:ind w:left="1134" w:right="899"/>
        <w:jc w:val="both"/>
        <w:rPr>
          <w:rFonts w:ascii="Palatino Linotype" w:eastAsia="Palatino Linotype" w:hAnsi="Palatino Linotype" w:cs="Palatino Linotype"/>
          <w:i/>
          <w:sz w:val="22"/>
          <w:szCs w:val="22"/>
        </w:rPr>
      </w:pP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“Artículo 5.- Además de la dirección, control y coordinación del Presidente Municipal, para el óptimo desarrollo de sus funciones la Oficina de Presidencia Municipal se integra por: </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 La o el Titular de la Oficina de la Presidencia Municipal; </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II. El o la Secretaria Particular; </w:t>
      </w:r>
    </w:p>
    <w:p w:rsidR="0078038E" w:rsidRPr="00EB522E" w:rsidRDefault="00E53B86">
      <w:pPr>
        <w:ind w:left="1134" w:right="899"/>
        <w:jc w:val="both"/>
        <w:rPr>
          <w:rFonts w:ascii="Palatino Linotype" w:eastAsia="Palatino Linotype" w:hAnsi="Palatino Linotype" w:cs="Palatino Linotype"/>
          <w:b/>
          <w:i/>
          <w:sz w:val="22"/>
          <w:szCs w:val="22"/>
          <w:u w:val="single"/>
        </w:rPr>
      </w:pPr>
      <w:r w:rsidRPr="00EB522E">
        <w:rPr>
          <w:rFonts w:ascii="Palatino Linotype" w:eastAsia="Palatino Linotype" w:hAnsi="Palatino Linotype" w:cs="Palatino Linotype"/>
          <w:b/>
          <w:i/>
          <w:sz w:val="22"/>
          <w:szCs w:val="22"/>
          <w:u w:val="single"/>
        </w:rPr>
        <w:t xml:space="preserve">III. La o el Coordinador Asesores; </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IV. La o el Coordinador Municipal de Mejora Regulatoria; </w:t>
      </w:r>
    </w:p>
    <w:p w:rsidR="0078038E" w:rsidRPr="00EB522E" w:rsidRDefault="00E53B86">
      <w:pPr>
        <w:ind w:left="1134" w:right="899"/>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V. La o el Secretario Técnico…” (Sic)</w:t>
      </w:r>
    </w:p>
    <w:p w:rsidR="0078038E" w:rsidRPr="00EB522E" w:rsidRDefault="00E53B86">
      <w:pPr>
        <w:spacing w:before="240" w:line="360" w:lineRule="auto"/>
        <w:ind w:right="49"/>
        <w:jc w:val="both"/>
        <w:rPr>
          <w:rFonts w:ascii="Palatino Linotype" w:eastAsia="Palatino Linotype" w:hAnsi="Palatino Linotype" w:cs="Palatino Linotype"/>
        </w:rPr>
      </w:pPr>
      <w:r w:rsidRPr="00EB522E">
        <w:rPr>
          <w:rFonts w:ascii="Palatino Linotype" w:eastAsia="Palatino Linotype" w:hAnsi="Palatino Linotype" w:cs="Palatino Linotype"/>
        </w:rPr>
        <w:t>Entre las que se destaca la o el Coordinador de Asesores, en ese sentido, de la respuesta otorgada en informe justificado se tiene que al área que otorgó la información fue el Titular de la Oficina de Presidencia del Ayuntamiento de Ixtapaluca, quien en términos de lo señalado por el artículo 7 y 8 del Reglamento de la Oficina de Presidencia del Ayuntamiento de Ixtapaluca, Estado de México; 2022-2024, tiene las siguientes atribuciones:</w:t>
      </w:r>
    </w:p>
    <w:p w:rsidR="0078038E" w:rsidRPr="00EB522E" w:rsidRDefault="0078038E">
      <w:pPr>
        <w:ind w:left="851" w:right="851"/>
        <w:jc w:val="both"/>
        <w:rPr>
          <w:rFonts w:ascii="Palatino Linotype" w:eastAsia="Palatino Linotype" w:hAnsi="Palatino Linotype" w:cs="Palatino Linotype"/>
          <w:i/>
          <w:sz w:val="22"/>
          <w:szCs w:val="22"/>
        </w:rPr>
      </w:pP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“Artículo 7.- A la Oficina de Presidencia le corresponde planear, organizar y supervisar las actividades del Presidente Municipal, </w:t>
      </w:r>
      <w:r w:rsidRPr="00EB522E">
        <w:rPr>
          <w:rFonts w:ascii="Palatino Linotype" w:eastAsia="Palatino Linotype" w:hAnsi="Palatino Linotype" w:cs="Palatino Linotype"/>
          <w:b/>
          <w:i/>
          <w:sz w:val="22"/>
          <w:szCs w:val="22"/>
        </w:rPr>
        <w:t>así como la atención y seguimiento de las demandas de la ciudadanía, apoyándose para ello de las todas las Dependencias que integran la Administración Pública Municipal</w:t>
      </w:r>
      <w:r w:rsidRPr="00EB522E">
        <w:rPr>
          <w:rFonts w:ascii="Palatino Linotype" w:eastAsia="Palatino Linotype" w:hAnsi="Palatino Linotype" w:cs="Palatino Linotype"/>
          <w:i/>
          <w:sz w:val="22"/>
          <w:szCs w:val="22"/>
        </w:rPr>
        <w:t xml:space="preserv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lastRenderedPageBreak/>
        <w:t xml:space="preserve">Artículo 8.- Para el despacho de los asuntos de </w:t>
      </w:r>
      <w:r w:rsidRPr="00EB522E">
        <w:rPr>
          <w:rFonts w:ascii="Palatino Linotype" w:eastAsia="Palatino Linotype" w:hAnsi="Palatino Linotype" w:cs="Palatino Linotype"/>
          <w:b/>
          <w:i/>
          <w:sz w:val="22"/>
          <w:szCs w:val="22"/>
        </w:rPr>
        <w:t>la oficina de Presidencia, su Titular contará con las siguientes atribuciones</w:t>
      </w:r>
      <w:r w:rsidRPr="00EB522E">
        <w:rPr>
          <w:rFonts w:ascii="Palatino Linotype" w:eastAsia="Palatino Linotype" w:hAnsi="Palatino Linotype" w:cs="Palatino Linotype"/>
          <w:i/>
          <w:sz w:val="22"/>
          <w:szCs w:val="22"/>
        </w:rPr>
        <w:t xml:space="preserv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 Supervisar el avance y cumplimiento de los programas de trabajo de las Dependencias de la Administración Pública Municipal;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II. Informar periódicamente al Presidente Municipal el avance y cumplimiento de los programas de trabajo de las Dependencias de la Administración Pública Municipal;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III. Coordinar las acciones de las Dependencias de la Administración Pública Municipal, de acuerdo a la instrucción del Presidente;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IV. Elaborar propuestas de mejora en materia administrativa, con el propósito de incrementar la eficiencia y eficacia en el quehacer gubernamental;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V. Coordinar y clasificar la correspondencia y documentación dirigida al Presidente Municipal para su adecuada atención; V</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 Coordinar la supervisión y revisión de documentos que deba suscribir el Presidente Municipal;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u w:val="single"/>
        </w:rPr>
        <w:t>VII. Coordinar las acciones, trabajos y actividades de la Secretaria Particular, la Coordinación de Asesores, la Secretaria Técnica y la Coordinación Municipal de Mejora Regulatoria</w:t>
      </w:r>
      <w:r w:rsidRPr="00EB522E">
        <w:rPr>
          <w:rFonts w:ascii="Palatino Linotype" w:eastAsia="Palatino Linotype" w:hAnsi="Palatino Linotype" w:cs="Palatino Linotype"/>
          <w:i/>
          <w:sz w:val="22"/>
          <w:szCs w:val="22"/>
        </w:rPr>
        <w:t xml:space="preserv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VIII. Analizar los asuntos administrativos, sociales y políticos del municipio;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IX. Presentar de manera ordenada los análisis y propuestas de solución al Presidente Municipal;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X. Distribuir la correspondencia dirigida al Presidente Municipal, a cada una de las áreas de la Administración Pública Municipal para su trámite;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XI. Ser el vínculo con los titulares de las áreas de la Administración Pública Municipal y el Presidente;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XII. Ser el vínculo con los diferentes sectores sociales y el Presidente Municipal;</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XIII. Auxiliar a las áreas administrativas internas de la Presidencia Municipal en sus funciones y actividades; y </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XIV. Las demás inherentes en el ámbito de su competencia y/o aquellas asignadas por el Presidente Municipal. (Sic)</w:t>
      </w:r>
    </w:p>
    <w:p w:rsidR="0078038E" w:rsidRPr="00EB522E" w:rsidRDefault="0078038E">
      <w:pPr>
        <w:spacing w:line="360" w:lineRule="auto"/>
        <w:ind w:right="49"/>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u w:val="single"/>
        </w:rPr>
        <w:t>Quien es la encargada de Coordinar las acciones, trabajos y actividades de la Coordinación de Asesores</w:t>
      </w:r>
      <w:r w:rsidRPr="00EB522E">
        <w:rPr>
          <w:rFonts w:ascii="Palatino Linotype" w:eastAsia="Palatino Linotype" w:hAnsi="Palatino Linotype" w:cs="Palatino Linotype"/>
        </w:rPr>
        <w:t xml:space="preserve">, en ese sentido y toda vez que dicho Titular informó que la Coordinación de Asesores sólo se integra de su titular, es que es innegable que dicha Coordinación no cuenta con más personal; circunstancia que se traduce como un hecho negativo y ante un hecho negativo debe decirse que el Pleno de este </w:t>
      </w:r>
      <w:r w:rsidRPr="00EB522E">
        <w:rPr>
          <w:rFonts w:ascii="Palatino Linotype" w:eastAsia="Palatino Linotype" w:hAnsi="Palatino Linotype" w:cs="Palatino Linotype"/>
        </w:rPr>
        <w:lastRenderedPageBreak/>
        <w:t>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78038E" w:rsidRPr="00EB522E" w:rsidRDefault="00E53B86">
      <w:pPr>
        <w:spacing w:before="120" w:after="120"/>
        <w:ind w:left="567" w:right="851"/>
        <w:jc w:val="center"/>
        <w:rPr>
          <w:rFonts w:ascii="Palatino Linotype" w:eastAsia="Palatino Linotype" w:hAnsi="Palatino Linotype" w:cs="Palatino Linotype"/>
          <w:i/>
          <w:sz w:val="22"/>
          <w:szCs w:val="22"/>
        </w:rPr>
      </w:pPr>
      <w:r w:rsidRPr="00EB522E">
        <w:rPr>
          <w:rFonts w:ascii="Palatino Linotype" w:eastAsia="Palatino Linotype" w:hAnsi="Palatino Linotype" w:cs="Palatino Linotype"/>
        </w:rPr>
        <w:t xml:space="preserve"> “</w:t>
      </w:r>
      <w:r w:rsidRPr="00EB522E">
        <w:rPr>
          <w:rFonts w:ascii="Palatino Linotype" w:eastAsia="Palatino Linotype" w:hAnsi="Palatino Linotype" w:cs="Palatino Linotype"/>
          <w:b/>
          <w:i/>
          <w:sz w:val="22"/>
          <w:szCs w:val="22"/>
        </w:rPr>
        <w:t>HECHOS NEGATIVOS, NO SON SUSCEPTIBLES DE DEMOSTRACIÓN</w:t>
      </w:r>
      <w:r w:rsidRPr="00EB522E">
        <w:rPr>
          <w:rFonts w:ascii="Palatino Linotype" w:eastAsia="Palatino Linotype" w:hAnsi="Palatino Linotype" w:cs="Palatino Linotype"/>
          <w:i/>
          <w:sz w:val="22"/>
          <w:szCs w:val="22"/>
        </w:rPr>
        <w:t>.</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78038E" w:rsidRPr="00EB522E" w:rsidRDefault="0078038E">
      <w:pPr>
        <w:ind w:left="851" w:right="851"/>
        <w:jc w:val="both"/>
        <w:rPr>
          <w:rFonts w:ascii="Palatino Linotype" w:eastAsia="Palatino Linotype" w:hAnsi="Palatino Linotype" w:cs="Palatino Linotype"/>
          <w:i/>
          <w:sz w:val="22"/>
          <w:szCs w:val="22"/>
        </w:rPr>
      </w:pPr>
    </w:p>
    <w:p w:rsidR="0078038E" w:rsidRPr="00EB522E" w:rsidRDefault="00E53B86">
      <w:pPr>
        <w:spacing w:before="120" w:after="120"/>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Colmando con ello el derecho de acceso a la información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cuanto al demás personal que conforma la Coordinación de Asesores de la Oficina de Presidencia. </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after="12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78038E" w:rsidRPr="00EB522E" w:rsidRDefault="00E53B86">
      <w:pPr>
        <w:spacing w:before="120" w:after="120"/>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B522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w:t>
      </w:r>
      <w:r w:rsidRPr="00EB522E">
        <w:rPr>
          <w:rFonts w:ascii="Palatino Linotype" w:eastAsia="Palatino Linotype" w:hAnsi="Palatino Linotype" w:cs="Palatino Linotype"/>
          <w:i/>
          <w:sz w:val="22"/>
          <w:szCs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Acotado que la Coordinación de Asesores de la Oficina de Presidencia del Ayuntamiento de Ixtapaluca, sólo se integra de su titular, se procede analizar lo demás puntos requeridos por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su solicitud de acceso a la información pública, respecto de la Coordinación de Asesores de la Oficina de Presidencia de Ixtapaluca, conforme a lo siguiente:</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b/>
        </w:rPr>
      </w:pPr>
      <w:r w:rsidRPr="00EB522E">
        <w:rPr>
          <w:rFonts w:ascii="Palatino Linotype" w:eastAsia="Palatino Linotype" w:hAnsi="Palatino Linotype" w:cs="Palatino Linotype"/>
          <w:b/>
        </w:rPr>
        <w:t>Nombre del Titular:</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El Titular de la Oficina de Presidencia del Ayuntamiento de Ixtapaluca, mediante el oficio número OF/PRES/INT/1035-II/2023, entregado en informe justificado; señaló que el Titular de la Coordinación de Asesores de la Oficina de Presidencia de </w:t>
      </w:r>
      <w:r w:rsidRPr="00EB522E">
        <w:rPr>
          <w:rFonts w:ascii="Palatino Linotype" w:eastAsia="Palatino Linotype" w:hAnsi="Palatino Linotype" w:cs="Palatino Linotype"/>
        </w:rPr>
        <w:lastRenderedPageBreak/>
        <w:t>Ixtapaluca, es el maestro Gerardo Amed Bueno Cardoso, adjuntando para acreditar la información el nombramiento respectivo, como se observa a continuación:</w:t>
      </w:r>
    </w:p>
    <w:p w:rsidR="0078038E" w:rsidRPr="00EB522E" w:rsidRDefault="00E53B86">
      <w:pPr>
        <w:spacing w:line="360" w:lineRule="auto"/>
        <w:ind w:right="-93"/>
        <w:jc w:val="both"/>
        <w:rPr>
          <w:rFonts w:ascii="Palatino Linotype" w:eastAsia="Palatino Linotype" w:hAnsi="Palatino Linotype" w:cs="Palatino Linotype"/>
        </w:rPr>
      </w:pPr>
      <w:r w:rsidRPr="00EB522E">
        <w:rPr>
          <w:noProof/>
          <w:lang w:val="es-MX"/>
        </w:rPr>
        <w:drawing>
          <wp:inline distT="0" distB="0" distL="0" distR="0">
            <wp:extent cx="5357068" cy="3673367"/>
            <wp:effectExtent l="0" t="0" r="0" b="0"/>
            <wp:docPr id="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7989" t="13543" r="26666" b="18724"/>
                    <a:stretch>
                      <a:fillRect/>
                    </a:stretch>
                  </pic:blipFill>
                  <pic:spPr>
                    <a:xfrm>
                      <a:off x="0" y="0"/>
                      <a:ext cx="5357068" cy="3673367"/>
                    </a:xfrm>
                    <a:prstGeom prst="rect">
                      <a:avLst/>
                    </a:prstGeom>
                    <a:ln/>
                  </pic:spPr>
                </pic:pic>
              </a:graphicData>
            </a:graphic>
          </wp:inline>
        </w:drawing>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Colmando con ello el derecho de acceso a la información pública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ya referido en párrafos anteriores. </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b/>
        </w:rPr>
      </w:pPr>
      <w:r w:rsidRPr="00EB522E">
        <w:rPr>
          <w:rFonts w:ascii="Palatino Linotype" w:eastAsia="Palatino Linotype" w:hAnsi="Palatino Linotype" w:cs="Palatino Linotype"/>
          <w:b/>
        </w:rPr>
        <w:t>Sueldo:</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El Titular de la Oficina de Presidencia del Ayuntamiento de Ixtapaluca, mediante el oficio número OF/PRES/INT/1035-II/2023, entregado en informe justificado; señaló que el Titular de la Coordinación de Asesores de la Oficina de Presidencia de Ixtapaluca cuenta con un nombramiento honorifico, por lo que no cuenta con un sueldo.</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No obsta mencionar que de conformidad con el Diccionario de la Lengua Española de la Real Academia Española, el concepto de “honorario” tiene las siguientes acepciones:</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“honorario, ria</w:t>
      </w: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Del lat. honorarius.</w:t>
      </w:r>
    </w:p>
    <w:p w:rsidR="0078038E" w:rsidRPr="00EB522E" w:rsidRDefault="00E53B86">
      <w:pPr>
        <w:tabs>
          <w:tab w:val="left" w:pos="8222"/>
        </w:tabs>
        <w:ind w:left="567" w:right="618"/>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i/>
          <w:sz w:val="22"/>
          <w:szCs w:val="22"/>
        </w:rPr>
        <w:t>1. adj. </w:t>
      </w:r>
      <w:r w:rsidRPr="00EB522E">
        <w:rPr>
          <w:rFonts w:ascii="Palatino Linotype" w:eastAsia="Palatino Linotype" w:hAnsi="Palatino Linotype" w:cs="Palatino Linotype"/>
          <w:b/>
          <w:i/>
          <w:sz w:val="22"/>
          <w:szCs w:val="22"/>
        </w:rPr>
        <w:t>Que sirve para honrar a alguien.</w:t>
      </w: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2. adj. Dicho de un título o de </w:t>
      </w:r>
      <w:r w:rsidRPr="00EB522E">
        <w:rPr>
          <w:rFonts w:ascii="Palatino Linotype" w:eastAsia="Palatino Linotype" w:hAnsi="Palatino Linotype" w:cs="Palatino Linotype"/>
          <w:b/>
          <w:i/>
          <w:sz w:val="22"/>
          <w:szCs w:val="22"/>
        </w:rPr>
        <w:t>un cargo</w:t>
      </w:r>
      <w:r w:rsidRPr="00EB522E">
        <w:rPr>
          <w:rFonts w:ascii="Palatino Linotype" w:eastAsia="Palatino Linotype" w:hAnsi="Palatino Linotype" w:cs="Palatino Linotype"/>
          <w:i/>
          <w:sz w:val="22"/>
          <w:szCs w:val="22"/>
        </w:rPr>
        <w:t>: </w:t>
      </w:r>
      <w:r w:rsidRPr="00EB522E">
        <w:rPr>
          <w:rFonts w:ascii="Palatino Linotype" w:eastAsia="Palatino Linotype" w:hAnsi="Palatino Linotype" w:cs="Palatino Linotype"/>
          <w:b/>
          <w:i/>
          <w:sz w:val="22"/>
          <w:szCs w:val="22"/>
        </w:rPr>
        <w:t>Que se tiene con los honores, pero sin las responsabilidades y funciones efectivas que conlleva</w:t>
      </w:r>
      <w:r w:rsidRPr="00EB522E">
        <w:rPr>
          <w:rFonts w:ascii="Palatino Linotype" w:eastAsia="Palatino Linotype" w:hAnsi="Palatino Linotype" w:cs="Palatino Linotype"/>
          <w:i/>
          <w:sz w:val="22"/>
          <w:szCs w:val="22"/>
        </w:rPr>
        <w:t>.</w:t>
      </w: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3. adj. Dicho de una persona con </w:t>
      </w:r>
      <w:r w:rsidRPr="00EB522E">
        <w:rPr>
          <w:rFonts w:ascii="Palatino Linotype" w:eastAsia="Palatino Linotype" w:hAnsi="Palatino Linotype" w:cs="Palatino Linotype"/>
          <w:b/>
          <w:i/>
          <w:sz w:val="22"/>
          <w:szCs w:val="22"/>
        </w:rPr>
        <w:t>un título o un cargo: Que tiene ese título o cargo como honorario.</w:t>
      </w:r>
      <w:r w:rsidRPr="00EB522E">
        <w:rPr>
          <w:rFonts w:ascii="Palatino Linotype" w:eastAsia="Palatino Linotype" w:hAnsi="Palatino Linotype" w:cs="Palatino Linotype"/>
          <w:i/>
          <w:sz w:val="22"/>
          <w:szCs w:val="22"/>
        </w:rPr>
        <w:t> Presidente honorario.</w:t>
      </w: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4. m. Gaje o sueldo de honor.</w:t>
      </w:r>
    </w:p>
    <w:p w:rsidR="0078038E" w:rsidRPr="00EB522E" w:rsidRDefault="00E53B86">
      <w:pPr>
        <w:tabs>
          <w:tab w:val="left" w:pos="8222"/>
        </w:tabs>
        <w:ind w:left="567" w:right="618"/>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5. m. pl. Importe de los servicios de algunas profesiones liberales.” (Sic)</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este contexto, tanto el sector público como en el privado existen fundamentalmente dos tipos de cargos; aquellos que son equivalentes a un empleo, y, por tanto, obligan a un pago de salario y las percepciones inherentes al puesto, y aquellos que se otorgan de manera simbólica por lo cual no son equiparables a un empleo. </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Estos últimos son conocidos como cargos “honoríficos” u “honorarios”, lo cual implica que quien los ocupa sólo ostenta de manera simbólica los atributos correspondientes al mismo, pero no es formalmente quien desarrolla las funciones, y por lo tanto, no labora para la institución de referencia.</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La característica más importante de un puesto de este tipo, en términos estrictamente presupuestales, es que teóricamente no representa ninguna erogación, pues se trata de un cargo honorifico; esto es, que un cargo honorifico es aquel que las personas asumen voluntariamente tareas en beneficio de la sociedad, sin recibir un pago a cambio de sus labores.</w:t>
      </w:r>
    </w:p>
    <w:p w:rsidR="0078038E" w:rsidRPr="00EB522E" w:rsidRDefault="0078038E">
      <w:pPr>
        <w:spacing w:line="360" w:lineRule="auto"/>
        <w:ind w:right="-93"/>
        <w:jc w:val="both"/>
        <w:rPr>
          <w:rFonts w:ascii="Palatino Linotype" w:eastAsia="Palatino Linotype" w:hAnsi="Palatino Linotype" w:cs="Palatino Linotype"/>
          <w:b/>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consiguiente con el pronunciamiento del Titular de la Oficina de Presidencia del Ayuntamiento de Ixtapaluca, es obvio que no tiene un sueldo y nada práctico conduciría ordenar una búsqueda exhaustiva y razonable de la información, si ya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señaló que es un cargo honorifico; máxime que de una revisión al nombramiento del Titular de la Coordinación de Asesores de la Oficina de Presidencia de Ixtapaluca, se advierte lo siguiente:</w:t>
      </w:r>
      <w:r w:rsidRPr="00EB522E">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1892300</wp:posOffset>
                </wp:positionV>
                <wp:extent cx="5391150" cy="2489200"/>
                <wp:effectExtent l="0" t="0" r="0" b="0"/>
                <wp:wrapNone/>
                <wp:docPr id="141" name="Conector recto de flecha 141"/>
                <wp:cNvGraphicFramePr/>
                <a:graphic xmlns:a="http://schemas.openxmlformats.org/drawingml/2006/main">
                  <a:graphicData uri="http://schemas.microsoft.com/office/word/2010/wordprocessingShape">
                    <wps:wsp>
                      <wps:cNvCnPr/>
                      <wps:spPr>
                        <a:xfrm>
                          <a:off x="2663125" y="2548100"/>
                          <a:ext cx="5365750" cy="246380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1892300</wp:posOffset>
                </wp:positionV>
                <wp:extent cx="5391150" cy="2489200"/>
                <wp:effectExtent b="0" l="0" r="0" t="0"/>
                <wp:wrapNone/>
                <wp:docPr id="141"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391150" cy="2489200"/>
                        </a:xfrm>
                        <a:prstGeom prst="rect"/>
                        <a:ln/>
                      </pic:spPr>
                    </pic:pic>
                  </a:graphicData>
                </a:graphic>
              </wp:anchor>
            </w:drawing>
          </mc:Fallback>
        </mc:AlternateContent>
      </w:r>
    </w:p>
    <w:p w:rsidR="0078038E" w:rsidRPr="00EB522E" w:rsidRDefault="00E53B86">
      <w:pPr>
        <w:spacing w:line="360" w:lineRule="auto"/>
        <w:ind w:right="-93"/>
        <w:jc w:val="both"/>
        <w:rPr>
          <w:rFonts w:ascii="Palatino Linotype" w:eastAsia="Palatino Linotype" w:hAnsi="Palatino Linotype" w:cs="Palatino Linotype"/>
        </w:rPr>
      </w:pPr>
      <w:r w:rsidRPr="00EB522E">
        <w:rPr>
          <w:noProof/>
          <w:lang w:val="es-MX"/>
        </w:rPr>
        <w:lastRenderedPageBreak/>
        <w:drawing>
          <wp:inline distT="0" distB="0" distL="0" distR="0">
            <wp:extent cx="5359720" cy="3889970"/>
            <wp:effectExtent l="0" t="0" r="0" b="0"/>
            <wp:docPr id="1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7989" t="13543" r="26666" b="18724"/>
                    <a:stretch>
                      <a:fillRect/>
                    </a:stretch>
                  </pic:blipFill>
                  <pic:spPr>
                    <a:xfrm>
                      <a:off x="0" y="0"/>
                      <a:ext cx="5359720" cy="3889970"/>
                    </a:xfrm>
                    <a:prstGeom prst="rect">
                      <a:avLst/>
                    </a:prstGeom>
                    <a:ln/>
                  </pic:spPr>
                </pic:pic>
              </a:graphicData>
            </a:graphic>
          </wp:inline>
        </w:drawing>
      </w:r>
      <w:r w:rsidRPr="00EB522E">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3352800</wp:posOffset>
                </wp:positionH>
                <wp:positionV relativeFrom="paragraph">
                  <wp:posOffset>2298700</wp:posOffset>
                </wp:positionV>
                <wp:extent cx="600732" cy="576172"/>
                <wp:effectExtent l="0" t="0" r="0" b="0"/>
                <wp:wrapNone/>
                <wp:docPr id="140" name="Flecha izquierda 140"/>
                <wp:cNvGraphicFramePr/>
                <a:graphic xmlns:a="http://schemas.openxmlformats.org/drawingml/2006/main">
                  <a:graphicData uri="http://schemas.microsoft.com/office/word/2010/wordprocessingShape">
                    <wps:wsp>
                      <wps:cNvSpPr/>
                      <wps:spPr>
                        <a:xfrm rot="2288031">
                          <a:off x="5105525" y="3610777"/>
                          <a:ext cx="480950" cy="338447"/>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rsidR="0078038E" w:rsidRDefault="0078038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2298700</wp:posOffset>
                </wp:positionV>
                <wp:extent cx="600732" cy="576172"/>
                <wp:effectExtent b="0" l="0" r="0" t="0"/>
                <wp:wrapNone/>
                <wp:docPr id="14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00732" cy="576172"/>
                        </a:xfrm>
                        <a:prstGeom prst="rect"/>
                        <a:ln/>
                      </pic:spPr>
                    </pic:pic>
                  </a:graphicData>
                </a:graphic>
              </wp:anchor>
            </w:drawing>
          </mc:Fallback>
        </mc:AlternateContent>
      </w: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donde se advierte que el Coordinador de Asesores de la Presidencia de Ixtapaluca, se le expidió su nombramiento por parte del Presidente Municipal del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para ejercer un cargo o puesto honorifico. </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Bajo esas líneas argumentativas, se evidencia 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se encuentra imposibilitado para atender de favorable el punto de la solicitud que se analiza y proporcionar el sueldo del Titular de la Coordinación de Asesores de la Oficina de Presidencia de Ixtapaluca, toda vez que este no pudo haber sido generado al tratarse de un cargo honorifico y por lo tanto no puede obrar en sus archivos.</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 ahí que el pronunciamiento del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se traduce como un hecho negativo y ante un hecho negativo debe decirse que el Pleno de este Órgano Garante </w:t>
      </w:r>
      <w:r w:rsidRPr="00EB522E">
        <w:rPr>
          <w:rFonts w:ascii="Palatino Linotype" w:eastAsia="Palatino Linotype" w:hAnsi="Palatino Linotype" w:cs="Palatino Linotype"/>
        </w:rPr>
        <w:lastRenderedPageBreak/>
        <w:t>ha sostenido que resulta innecesaria una declaratoria de inexistencia en términos de los artículos 19, 169 y 170 de la Ley de Transparencia y Acceso a la Información Pública del Estado de México y Municipios, resultando aplicable la siguiente tesis:</w:t>
      </w:r>
    </w:p>
    <w:p w:rsidR="0078038E" w:rsidRPr="00EB522E" w:rsidRDefault="00E53B86">
      <w:pPr>
        <w:spacing w:before="120" w:after="120"/>
        <w:ind w:left="567" w:right="851"/>
        <w:jc w:val="center"/>
        <w:rPr>
          <w:rFonts w:ascii="Palatino Linotype" w:eastAsia="Palatino Linotype" w:hAnsi="Palatino Linotype" w:cs="Palatino Linotype"/>
          <w:i/>
          <w:sz w:val="22"/>
          <w:szCs w:val="22"/>
        </w:rPr>
      </w:pPr>
      <w:r w:rsidRPr="00EB522E">
        <w:rPr>
          <w:rFonts w:ascii="Palatino Linotype" w:eastAsia="Palatino Linotype" w:hAnsi="Palatino Linotype" w:cs="Palatino Linotype"/>
        </w:rPr>
        <w:t xml:space="preserve"> “</w:t>
      </w:r>
      <w:r w:rsidRPr="00EB522E">
        <w:rPr>
          <w:rFonts w:ascii="Palatino Linotype" w:eastAsia="Palatino Linotype" w:hAnsi="Palatino Linotype" w:cs="Palatino Linotype"/>
          <w:b/>
          <w:i/>
          <w:sz w:val="22"/>
          <w:szCs w:val="22"/>
        </w:rPr>
        <w:t>HECHOS NEGATIVOS, NO SON SUSCEPTIBLES DE DEMOSTRACIÓN</w:t>
      </w:r>
      <w:r w:rsidRPr="00EB522E">
        <w:rPr>
          <w:rFonts w:ascii="Palatino Linotype" w:eastAsia="Palatino Linotype" w:hAnsi="Palatino Linotype" w:cs="Palatino Linotype"/>
          <w:i/>
          <w:sz w:val="22"/>
          <w:szCs w:val="22"/>
        </w:rPr>
        <w:t>.</w:t>
      </w:r>
    </w:p>
    <w:p w:rsidR="0078038E" w:rsidRPr="00EB522E" w:rsidRDefault="00E53B86">
      <w:pPr>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78038E" w:rsidRPr="00EB522E" w:rsidRDefault="0078038E">
      <w:pPr>
        <w:ind w:left="851" w:right="851"/>
        <w:jc w:val="both"/>
        <w:rPr>
          <w:rFonts w:ascii="Palatino Linotype" w:eastAsia="Palatino Linotype" w:hAnsi="Palatino Linotype" w:cs="Palatino Linotype"/>
          <w:i/>
          <w:sz w:val="22"/>
          <w:szCs w:val="22"/>
        </w:rPr>
      </w:pPr>
    </w:p>
    <w:p w:rsidR="0078038E" w:rsidRPr="00EB522E" w:rsidRDefault="00E53B86">
      <w:pPr>
        <w:spacing w:before="120" w:after="120"/>
        <w:ind w:left="851" w:right="851"/>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Colmando con ello el derecho de acceso a la información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en sentido negativo. </w:t>
      </w:r>
    </w:p>
    <w:p w:rsidR="0078038E" w:rsidRPr="00EB522E" w:rsidRDefault="0078038E">
      <w:pPr>
        <w:spacing w:line="360" w:lineRule="auto"/>
        <w:ind w:right="-93"/>
        <w:jc w:val="both"/>
        <w:rPr>
          <w:rFonts w:ascii="Palatino Linotype" w:eastAsia="Palatino Linotype" w:hAnsi="Palatino Linotype" w:cs="Palatino Linotype"/>
          <w:u w:val="single"/>
        </w:rPr>
      </w:pPr>
    </w:p>
    <w:p w:rsidR="0078038E" w:rsidRPr="00EB522E" w:rsidRDefault="00E53B86">
      <w:pPr>
        <w:spacing w:line="360" w:lineRule="auto"/>
        <w:ind w:right="-93"/>
        <w:jc w:val="both"/>
        <w:rPr>
          <w:rFonts w:ascii="Palatino Linotype" w:eastAsia="Palatino Linotype" w:hAnsi="Palatino Linotype" w:cs="Palatino Linotype"/>
          <w:b/>
        </w:rPr>
      </w:pPr>
      <w:r w:rsidRPr="00EB522E">
        <w:rPr>
          <w:rFonts w:ascii="Palatino Linotype" w:eastAsia="Palatino Linotype" w:hAnsi="Palatino Linotype" w:cs="Palatino Linotype"/>
          <w:b/>
        </w:rPr>
        <w:t>Curriculum:</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El Titular de la Oficina de Presidencia del Ayuntamiento de Ixtapaluca, mediante el oficio número OF/PRES/INT/1035-II/2023, entregado en informe justificado, remitió el curriculum del Titular de la Coordinación de Asesores de la Oficina de Presidencia de Ixtapaluca.</w:t>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Señalado lo anterior, sobre la naturaleza de la información solicitada, es decir sobre el curriculum vitae, debe precisarse en primer lugar, que el concepto “curriculum” corresponde a una locución latina cuyo significado es “carrera de vida”, por su lado, la Real Academia Española, lo define como a continuación se cita: </w:t>
      </w:r>
    </w:p>
    <w:p w:rsidR="0078038E" w:rsidRPr="00EB522E" w:rsidRDefault="00E53B86">
      <w:pPr>
        <w:spacing w:before="240" w:after="240" w:line="276" w:lineRule="auto"/>
        <w:ind w:left="567" w:right="758"/>
        <w:jc w:val="both"/>
        <w:rPr>
          <w:rFonts w:ascii="Palatino Linotype" w:eastAsia="Palatino Linotype" w:hAnsi="Palatino Linotype" w:cs="Palatino Linotype"/>
          <w:sz w:val="22"/>
          <w:szCs w:val="22"/>
        </w:rPr>
      </w:pPr>
      <w:r w:rsidRPr="00EB522E">
        <w:rPr>
          <w:rFonts w:ascii="Palatino Linotype" w:eastAsia="Palatino Linotype" w:hAnsi="Palatino Linotype" w:cs="Palatino Linotype"/>
          <w:sz w:val="22"/>
          <w:szCs w:val="22"/>
        </w:rPr>
        <w:lastRenderedPageBreak/>
        <w:t>“</w:t>
      </w:r>
      <w:r w:rsidRPr="00EB522E">
        <w:rPr>
          <w:rFonts w:ascii="Palatino Linotype" w:eastAsia="Palatino Linotype" w:hAnsi="Palatino Linotype" w:cs="Palatino Linotype"/>
          <w:i/>
          <w:sz w:val="22"/>
          <w:szCs w:val="22"/>
        </w:rPr>
        <w:t>Relación de los títulos, honores, cargos, trabajos realizados, datos biográficos, etc, que califican a una persona</w:t>
      </w:r>
      <w:r w:rsidRPr="00EB522E">
        <w:rPr>
          <w:rFonts w:ascii="Palatino Linotype" w:eastAsia="Palatino Linotype" w:hAnsi="Palatino Linotype" w:cs="Palatino Linotype"/>
          <w:sz w:val="22"/>
          <w:szCs w:val="22"/>
        </w:rPr>
        <w:t>” (Sic)</w:t>
      </w:r>
    </w:p>
    <w:p w:rsidR="0078038E" w:rsidRPr="00EB522E" w:rsidRDefault="00E53B86">
      <w:pPr>
        <w:spacing w:before="240"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Desde esta perspectiva, a través del currículum vite la particular puede advertir los estudios realizados o bien el nivel académico, así como la experiencia laboral del Titular de la Coordinación de Asesores de la Oficina de Presidencia de Ixtapaluca,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78038E" w:rsidRPr="00EB522E" w:rsidRDefault="00E53B86">
      <w:pPr>
        <w:spacing w:before="240" w:after="240" w:line="276" w:lineRule="auto"/>
        <w:ind w:left="567" w:right="900"/>
        <w:jc w:val="both"/>
        <w:rPr>
          <w:rFonts w:ascii="Palatino Linotype" w:eastAsia="Palatino Linotype" w:hAnsi="Palatino Linotype" w:cs="Palatino Linotype"/>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Curriculum Vitae de servidores públicos. Es obligación de los sujetos obligados otorgar acceso a versiones públicas de los mismos ante una solicitud de acceso</w:t>
      </w:r>
      <w:r w:rsidRPr="00EB522E">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w:t>
      </w:r>
      <w:r w:rsidRPr="00EB522E">
        <w:rPr>
          <w:rFonts w:ascii="Palatino Linotype" w:eastAsia="Palatino Linotype" w:hAnsi="Palatino Linotype" w:cs="Palatino Linotype"/>
          <w:i/>
          <w:sz w:val="22"/>
          <w:szCs w:val="22"/>
        </w:rPr>
        <w:lastRenderedPageBreak/>
        <w:t>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EB522E">
        <w:rPr>
          <w:rFonts w:ascii="Palatino Linotype" w:eastAsia="Palatino Linotype" w:hAnsi="Palatino Linotype" w:cs="Palatino Linotype"/>
          <w:sz w:val="22"/>
          <w:szCs w:val="22"/>
        </w:rPr>
        <w:t xml:space="preserve"> (Sic)</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del Titular de la Coordinación de Asesores de la Oficina de Presidencia de Ixtapaluca,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 </w:t>
      </w:r>
    </w:p>
    <w:p w:rsidR="0078038E" w:rsidRPr="00EB522E" w:rsidRDefault="00E53B86">
      <w:pPr>
        <w:spacing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78038E" w:rsidRPr="00EB522E" w:rsidRDefault="0078038E">
      <w:pPr>
        <w:spacing w:line="360" w:lineRule="auto"/>
        <w:ind w:right="51"/>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 xml:space="preserve">En esa tesitura, debe apuntarse que esta información constituye una obligación de transparencia, pues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ello con la finalidad de enaltecer los principios de máxima publicidad, transparencia y certeza, como lo estipula  el artículo 92, fracción XXI de la ley aplicable a la materia, que es del tenor literal siguiente: </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w:t>
      </w: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EB522E">
        <w:rPr>
          <w:rFonts w:ascii="Palatino Linotype" w:eastAsia="Palatino Linotype" w:hAnsi="Palatino Linotype" w:cs="Palatino Linotype"/>
          <w:i/>
          <w:sz w:val="22"/>
          <w:szCs w:val="22"/>
        </w:rPr>
        <w:t>, así como, en su caso, las sanciones administrativas de que haya sido objeto;”(Sic)</w:t>
      </w:r>
    </w:p>
    <w:p w:rsidR="0078038E" w:rsidRPr="00EB522E" w:rsidRDefault="0078038E">
      <w:pPr>
        <w:ind w:left="567" w:right="902"/>
        <w:jc w:val="both"/>
        <w:rPr>
          <w:rFonts w:ascii="Palatino Linotype" w:eastAsia="Palatino Linotype" w:hAnsi="Palatino Linotype" w:cs="Palatino Linotype"/>
          <w:i/>
          <w:sz w:val="22"/>
          <w:szCs w:val="22"/>
        </w:rPr>
      </w:pPr>
    </w:p>
    <w:p w:rsidR="0078038E" w:rsidRPr="00EB522E" w:rsidRDefault="00E53B86">
      <w:pPr>
        <w:spacing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78038E" w:rsidRPr="00EB522E" w:rsidRDefault="00E53B86">
      <w:pPr>
        <w:spacing w:before="240"/>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 xml:space="preserve">La información que los sujetos obligados deberán publicar en cumplimiento a la presente fracción es la curricular no confidencial relacionada con todos los(as) servidores(as) públicos(as) y/o personas que desempeñen </w:t>
      </w:r>
      <w:r w:rsidRPr="00EB522E">
        <w:rPr>
          <w:rFonts w:ascii="Palatino Linotype" w:eastAsia="Palatino Linotype" w:hAnsi="Palatino Linotype" w:cs="Palatino Linotype"/>
          <w:b/>
          <w:i/>
          <w:sz w:val="22"/>
          <w:szCs w:val="22"/>
        </w:rPr>
        <w:lastRenderedPageBreak/>
        <w:t>actualmente un empleo, cargo o comisión y/o ejerzan actos de autoridad en el sujeto obligado –desde nivel de jefe de departamento o equivalente y hasta el titular del sujeto obligado–, que permita conocer su trayectoria en el ámbito laboral y escolar</w:t>
      </w:r>
      <w:r w:rsidRPr="00EB522E">
        <w:rPr>
          <w:rFonts w:ascii="Palatino Linotype" w:eastAsia="Palatino Linotype" w:hAnsi="Palatino Linotype" w:cs="Palatino Linotype"/>
          <w:i/>
          <w:sz w:val="22"/>
          <w:szCs w:val="22"/>
        </w:rPr>
        <w:t xml:space="preserve">. </w:t>
      </w: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rsidR="0078038E" w:rsidRPr="00EB522E" w:rsidRDefault="00E53B86">
      <w:pPr>
        <w:ind w:left="567"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 xml:space="preserve">Periodo de actualización: trimestral </w:t>
      </w:r>
    </w:p>
    <w:p w:rsidR="0078038E" w:rsidRPr="00EB522E" w:rsidRDefault="00E53B86">
      <w:pPr>
        <w:ind w:left="567"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rsidR="0078038E" w:rsidRPr="00EB522E" w:rsidRDefault="00E53B86">
      <w:pPr>
        <w:ind w:left="567" w:right="902"/>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 xml:space="preserve">Conservar en el sitio de Internet: información vigente </w:t>
      </w:r>
    </w:p>
    <w:p w:rsidR="0078038E" w:rsidRPr="00EB522E" w:rsidRDefault="00E53B86">
      <w:pPr>
        <w:ind w:left="567" w:right="902"/>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Aplica a: todos los sujetos obligados</w:t>
      </w:r>
      <w:r w:rsidRPr="00EB522E">
        <w:rPr>
          <w:rFonts w:ascii="Palatino Linotype" w:eastAsia="Palatino Linotype" w:hAnsi="Palatino Linotype" w:cs="Palatino Linotype"/>
          <w:i/>
          <w:sz w:val="22"/>
          <w:szCs w:val="22"/>
        </w:rPr>
        <w:t>”(Sic)</w:t>
      </w:r>
    </w:p>
    <w:p w:rsidR="0078038E" w:rsidRPr="00EB522E" w:rsidRDefault="00E53B86">
      <w:pPr>
        <w:spacing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noProof/>
          <w:lang w:val="es-MX"/>
        </w:rPr>
        <w:drawing>
          <wp:inline distT="0" distB="0" distL="0" distR="0">
            <wp:extent cx="5672475" cy="3568292"/>
            <wp:effectExtent l="0" t="0" r="0" b="0"/>
            <wp:docPr id="1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72475" cy="3568292"/>
                    </a:xfrm>
                    <a:prstGeom prst="rect">
                      <a:avLst/>
                    </a:prstGeom>
                    <a:ln/>
                  </pic:spPr>
                </pic:pic>
              </a:graphicData>
            </a:graphic>
          </wp:inline>
        </w:drawing>
      </w:r>
    </w:p>
    <w:p w:rsidR="0078038E" w:rsidRPr="00EB522E" w:rsidRDefault="00E53B86">
      <w:pPr>
        <w:spacing w:before="240"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noProof/>
          <w:lang w:val="es-MX"/>
        </w:rPr>
        <w:lastRenderedPageBreak/>
        <w:drawing>
          <wp:inline distT="0" distB="0" distL="0" distR="0">
            <wp:extent cx="5616570" cy="3733394"/>
            <wp:effectExtent l="0" t="0" r="0" b="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6570" cy="3733394"/>
                    </a:xfrm>
                    <a:prstGeom prst="rect">
                      <a:avLst/>
                    </a:prstGeom>
                    <a:ln/>
                  </pic:spPr>
                </pic:pic>
              </a:graphicData>
            </a:graphic>
          </wp:inline>
        </w:drawing>
      </w:r>
    </w:p>
    <w:p w:rsidR="0078038E" w:rsidRPr="00EB522E" w:rsidRDefault="00E53B86">
      <w:pPr>
        <w:spacing w:before="240"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Como se aprecia en el dispositivo legal citado, lo sujetos obligados deben publicar la información curricular desde el nivel del jefe de departamento o equivalente, hasta el titular del </w:t>
      </w:r>
      <w:r w:rsidRPr="00EB522E">
        <w:rPr>
          <w:rFonts w:ascii="Palatino Linotype" w:eastAsia="Palatino Linotype" w:hAnsi="Palatino Linotype" w:cs="Palatino Linotype"/>
          <w:b/>
        </w:rPr>
        <w:t xml:space="preserve">SUJETO OBLIGADO, </w:t>
      </w:r>
      <w:r w:rsidRPr="00EB522E">
        <w:rPr>
          <w:rFonts w:ascii="Palatino Linotype" w:eastAsia="Palatino Linotype" w:hAnsi="Palatino Linotype" w:cs="Palatino Linotype"/>
        </w:rPr>
        <w:t>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rsidR="0078038E" w:rsidRPr="00EB522E" w:rsidRDefault="00E53B86">
      <w:pPr>
        <w:spacing w:line="360" w:lineRule="auto"/>
        <w:ind w:right="-93"/>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Ahora bien, del análisis al curriculum vitae remitido en informe justificado cumple con lo señalado por el artículo 92, fracción XXI  de la Ley de Transparencia y Acceso a la Información Pública del Estado de México y Municipios y  Lineamientos Técnicos </w:t>
      </w:r>
      <w:r w:rsidRPr="00EB522E">
        <w:rPr>
          <w:rFonts w:ascii="Palatino Linotype" w:eastAsia="Palatino Linotype" w:hAnsi="Palatino Linotype" w:cs="Palatino Linotype"/>
        </w:rPr>
        <w:lastRenderedPageBreak/>
        <w:t xml:space="preserve">Generales para la publicación, homologación y estandarización de la información de las obligaciones establecidas en el Título Quinto y en la fracción IV del artículo 31 de la Ley General de Transparencia y Acceso a la Información Pública, toda vez que cuenta con el nombre completo, escolaridad y su experiencia laboral de la misma, como se advierte a continuación en la siguiente imagen: </w:t>
      </w:r>
    </w:p>
    <w:p w:rsidR="0078038E" w:rsidRPr="00EB522E" w:rsidRDefault="0078038E">
      <w:pPr>
        <w:spacing w:line="360" w:lineRule="auto"/>
        <w:ind w:right="-93"/>
        <w:jc w:val="both"/>
      </w:pPr>
    </w:p>
    <w:p w:rsidR="0078038E" w:rsidRPr="00EB522E" w:rsidRDefault="00E53B86">
      <w:pPr>
        <w:spacing w:line="360" w:lineRule="auto"/>
        <w:ind w:right="-93"/>
        <w:jc w:val="both"/>
        <w:rPr>
          <w:rFonts w:ascii="Palatino Linotype" w:eastAsia="Palatino Linotype" w:hAnsi="Palatino Linotype" w:cs="Palatino Linotype"/>
        </w:rPr>
      </w:pPr>
      <w:r w:rsidRPr="00EB522E">
        <w:rPr>
          <w:noProof/>
          <w:lang w:val="es-MX"/>
        </w:rPr>
        <w:drawing>
          <wp:inline distT="0" distB="0" distL="0" distR="0">
            <wp:extent cx="5529357" cy="3513907"/>
            <wp:effectExtent l="0" t="0" r="0" b="0"/>
            <wp:docPr id="1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41802" t="18998" r="26458" b="19652"/>
                    <a:stretch>
                      <a:fillRect/>
                    </a:stretch>
                  </pic:blipFill>
                  <pic:spPr>
                    <a:xfrm>
                      <a:off x="0" y="0"/>
                      <a:ext cx="5529357" cy="3513907"/>
                    </a:xfrm>
                    <a:prstGeom prst="rect">
                      <a:avLst/>
                    </a:prstGeom>
                    <a:ln/>
                  </pic:spPr>
                </pic:pic>
              </a:graphicData>
            </a:graphic>
          </wp:inline>
        </w:drawing>
      </w:r>
    </w:p>
    <w:p w:rsidR="0078038E" w:rsidRPr="00EB522E" w:rsidRDefault="0078038E">
      <w:pPr>
        <w:spacing w:line="360" w:lineRule="auto"/>
        <w:ind w:right="-93"/>
        <w:jc w:val="both"/>
        <w:rPr>
          <w:rFonts w:ascii="Palatino Linotype" w:eastAsia="Palatino Linotype" w:hAnsi="Palatino Linotype" w:cs="Palatino Linotype"/>
        </w:rPr>
      </w:pPr>
    </w:p>
    <w:p w:rsidR="0078038E" w:rsidRPr="00EB522E" w:rsidRDefault="00E53B86">
      <w:pPr>
        <w:spacing w:before="240" w:after="240" w:line="360" w:lineRule="auto"/>
        <w:ind w:right="51"/>
        <w:jc w:val="both"/>
        <w:rPr>
          <w:rFonts w:ascii="Palatino Linotype" w:eastAsia="Palatino Linotype" w:hAnsi="Palatino Linotype" w:cs="Palatino Linotype"/>
        </w:rPr>
      </w:pPr>
      <w:r w:rsidRPr="00EB522E">
        <w:rPr>
          <w:rFonts w:ascii="Palatino Linotype" w:eastAsia="Palatino Linotype" w:hAnsi="Palatino Linotype" w:cs="Palatino Linotype"/>
        </w:rPr>
        <w:t>En razón de que la Ley de la Materia y Lineamientos, referidos, no establecen que las fichas curriculares deban contener más datos de los señalados (nombre completo, escolaridad y su experiencia laboral de la misma).</w:t>
      </w: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Colmando con ello el derecho de acceso a la información pública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además, este Organismo Garante estima conveniente señalar que </w:t>
      </w:r>
      <w:r w:rsidRPr="00EB522E">
        <w:rPr>
          <w:rFonts w:ascii="Palatino Linotype" w:eastAsia="Palatino Linotype" w:hAnsi="Palatino Linotype" w:cs="Palatino Linotype"/>
        </w:rPr>
        <w:lastRenderedPageBreak/>
        <w:t>no está facultado para manifestarse sobre la veracidad de la información proporcionada en respuesta como en alcance al informe justificado, ya que no existe precepto legal alguno en la Ley de la Materia que permita, vía recurso de revisión, se pronuncie al respecto, en términos del  Criterio 31-10 emitido por el entonces Instituto Federal de Accesos a la Información y Protección de Datos, ya enunciado en el presente considerando.</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virtud de los argumentos expuestos con anterioridad, así como del análisis realizado a las constancias que obran en el expediente electrónico del SAIMEX, identificado con el folio </w:t>
      </w:r>
      <w:r w:rsidRPr="00EB522E">
        <w:rPr>
          <w:rFonts w:ascii="Palatino Linotype" w:eastAsia="Palatino Linotype" w:hAnsi="Palatino Linotype" w:cs="Palatino Linotype"/>
          <w:b/>
        </w:rPr>
        <w:t xml:space="preserve">00237/IXTAPALU/IP/2023, </w:t>
      </w:r>
      <w:r w:rsidRPr="00EB522E">
        <w:rPr>
          <w:rFonts w:ascii="Palatino Linotype" w:eastAsia="Palatino Linotype" w:hAnsi="Palatino Linotype" w:cs="Palatino Linotype"/>
        </w:rPr>
        <w:t xml:space="preserve">se determina sobreseer el recurso de revisión número </w:t>
      </w:r>
      <w:r w:rsidRPr="00EB522E">
        <w:rPr>
          <w:rFonts w:ascii="Palatino Linotype" w:eastAsia="Palatino Linotype" w:hAnsi="Palatino Linotype" w:cs="Palatino Linotype"/>
          <w:b/>
        </w:rPr>
        <w:t xml:space="preserve">03749/INFOEM/IP/RR/2023, </w:t>
      </w:r>
      <w:r w:rsidRPr="00EB522E">
        <w:rPr>
          <w:rFonts w:ascii="Palatino Linotype" w:eastAsia="Palatino Linotype" w:hAnsi="Palatino Linotype" w:cs="Palatino Linotype"/>
        </w:rPr>
        <w:t>por actualizarse la causal de sobreseimiento prevista en la fracción III del artículo 192 de la Ley de Transparencia y Acceso a la Información Pública del Estado de México y Municipios, que dispone lo siguiente:</w:t>
      </w:r>
    </w:p>
    <w:p w:rsidR="0078038E" w:rsidRPr="00EB522E" w:rsidRDefault="00E53B86">
      <w:pPr>
        <w:spacing w:before="240"/>
        <w:ind w:left="992" w:right="1043"/>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 xml:space="preserve">“Artículo 192. </w:t>
      </w:r>
      <w:r w:rsidRPr="00EB522E">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78038E" w:rsidRPr="00EB522E" w:rsidRDefault="00E53B86">
      <w:pPr>
        <w:ind w:left="992" w:right="1043"/>
        <w:jc w:val="both"/>
        <w:rPr>
          <w:rFonts w:ascii="Palatino Linotype" w:eastAsia="Palatino Linotype" w:hAnsi="Palatino Linotype" w:cs="Palatino Linotype"/>
          <w:i/>
          <w:sz w:val="22"/>
          <w:szCs w:val="22"/>
        </w:rPr>
      </w:pPr>
      <w:r w:rsidRPr="00EB522E">
        <w:rPr>
          <w:rFonts w:ascii="Palatino Linotype" w:eastAsia="Palatino Linotype" w:hAnsi="Palatino Linotype" w:cs="Palatino Linotype"/>
          <w:b/>
          <w:i/>
          <w:sz w:val="22"/>
          <w:szCs w:val="22"/>
        </w:rPr>
        <w:t>…</w:t>
      </w:r>
    </w:p>
    <w:p w:rsidR="0078038E" w:rsidRPr="00EB522E" w:rsidRDefault="00E53B86">
      <w:pPr>
        <w:ind w:left="992" w:right="1043"/>
        <w:jc w:val="both"/>
        <w:rPr>
          <w:rFonts w:ascii="Palatino Linotype" w:eastAsia="Palatino Linotype" w:hAnsi="Palatino Linotype" w:cs="Palatino Linotype"/>
          <w:b/>
          <w:i/>
          <w:sz w:val="22"/>
          <w:szCs w:val="22"/>
        </w:rPr>
      </w:pPr>
      <w:r w:rsidRPr="00EB522E">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78038E" w:rsidRPr="00EB522E" w:rsidRDefault="0078038E">
      <w:pPr>
        <w:spacing w:line="360" w:lineRule="auto"/>
        <w:jc w:val="both"/>
        <w:rPr>
          <w:rFonts w:ascii="Palatino Linotype" w:eastAsia="Palatino Linotype" w:hAnsi="Palatino Linotype" w:cs="Palatino Linotype"/>
          <w:b/>
          <w:i/>
        </w:rPr>
      </w:pPr>
    </w:p>
    <w:p w:rsidR="0078038E" w:rsidRPr="00EB522E" w:rsidRDefault="00E53B86">
      <w:pPr>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De lo establecido en el precepto legal citado se advierte que el sobreseimiento del recurso de revisión procede en los siguientes casos: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a) Cuando el sujeto obligado modifique el acto impugnado.</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b) Cuando el sujeto obligado revoque el acto impugnado.</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Quedando en ambos casos el acto combatido sin materia o sin efectos.</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 xml:space="preserve">Como se observa de lo anterior, un acto impugnado es modificado en aquellos casos en los 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ante la omisión de dar una respuesta, emite una respuesta de manera posterior y en ésta subsana las deficiencias que hubiera tenido, quedando satisfecho el derecho subjetivo accionado por la parte recurrente.</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Por lo que hace a la revocación, esta se actualiza cuando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deja sin efectos la omisión de dar respuesta y en su lugar emite una respuesta con las características y cualidades suficientes para dejar satisfecho el ejercicio del derecho al acceso a la información pública.</w:t>
      </w:r>
    </w:p>
    <w:p w:rsidR="0078038E" w:rsidRPr="00EB522E" w:rsidRDefault="00E53B86">
      <w:pPr>
        <w:pBdr>
          <w:top w:val="nil"/>
          <w:left w:val="nil"/>
          <w:bottom w:val="nil"/>
          <w:right w:val="nil"/>
          <w:between w:val="nil"/>
        </w:pBdr>
        <w:spacing w:after="120" w:line="360" w:lineRule="auto"/>
        <w:ind w:right="96"/>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otorgó respuesta a los requerimientos formulados por el particular con la información enviada en Informe Justificado; colmando con ello el derecho de acceso a la información del particular.</w:t>
      </w:r>
    </w:p>
    <w:p w:rsidR="0078038E" w:rsidRPr="00EB522E" w:rsidRDefault="00E53B86">
      <w:pPr>
        <w:spacing w:before="240"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78038E" w:rsidRPr="00EB522E" w:rsidRDefault="00E53B86">
      <w:pPr>
        <w:spacing w:before="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tanto que, un acto impugnado queda sin materia, cuando ha sido satisfecha la pretensión de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xml:space="preserve"> de manera que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entrega una respuesta en los términos previstos en la ley, ya que a través de su informe justificado concede la totalidad de la información solicitada.</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De tal manera, es evidente que con ello queda sin materia el presente recurso de revisión, ya que la inconformidad sobre la falta de respuesta, se subsanó con la información entregada en informe justificado dentro del apartado de manifestaciones del SAIMEX.</w:t>
      </w:r>
    </w:p>
    <w:p w:rsidR="0078038E" w:rsidRPr="00EB522E" w:rsidRDefault="0078038E">
      <w:pPr>
        <w:spacing w:line="360" w:lineRule="auto"/>
        <w:jc w:val="both"/>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En resumen, el </w:t>
      </w:r>
      <w:r w:rsidRPr="00EB522E">
        <w:rPr>
          <w:rFonts w:ascii="Palatino Linotype" w:eastAsia="Palatino Linotype" w:hAnsi="Palatino Linotype" w:cs="Palatino Linotype"/>
          <w:b/>
        </w:rPr>
        <w:t>SUJETO OBLIGADO</w:t>
      </w:r>
      <w:r w:rsidRPr="00EB522E">
        <w:rPr>
          <w:rFonts w:ascii="Palatino Linotype" w:eastAsia="Palatino Linotype" w:hAnsi="Palatino Linotype" w:cs="Palatino Linotype"/>
        </w:rPr>
        <w:t xml:space="preserve"> dio respuesta a la solicitud de acceso a la información pública de la ahora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aunque ello haya sido de manera posterior; dejando con ello sin materia el presente recurso de revisión, actualizándose entonces la causal prevista en la fracción III del artículo 192 de la Ley de la Materia vigente en la Entidad, antes transcrita. </w:t>
      </w:r>
    </w:p>
    <w:p w:rsidR="0078038E" w:rsidRPr="00EB522E" w:rsidRDefault="0078038E">
      <w:pPr>
        <w:spacing w:line="360" w:lineRule="auto"/>
        <w:jc w:val="both"/>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Siendo el </w:t>
      </w:r>
      <w:r w:rsidRPr="00EB522E">
        <w:rPr>
          <w:rFonts w:ascii="Palatino Linotype" w:eastAsia="Palatino Linotype" w:hAnsi="Palatino Linotype" w:cs="Palatino Linotype"/>
          <w:i/>
        </w:rPr>
        <w:t>sobreseimiento</w:t>
      </w:r>
      <w:r w:rsidRPr="00EB522E">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EB522E">
        <w:rPr>
          <w:rFonts w:ascii="Palatino Linotype" w:eastAsia="Palatino Linotype" w:hAnsi="Palatino Linotype" w:cs="Palatino Linotype"/>
          <w:b/>
        </w:rPr>
        <w:t>RECURRENTE</w:t>
      </w:r>
      <w:r w:rsidRPr="00EB522E">
        <w:rPr>
          <w:rFonts w:ascii="Palatino Linotype" w:eastAsia="Palatino Linotype" w:hAnsi="Palatino Linotype" w:cs="Palatino Linotype"/>
        </w:rPr>
        <w:t>, los efectos del sobreseimiento son los dar por concluido los recursos administrativos sin entrar al estudio de fondo de los asuntos de que se trate; lo anterior con apoyo en el criterio del Poder Judicial de la Federación con rubro:</w:t>
      </w:r>
    </w:p>
    <w:p w:rsidR="0078038E" w:rsidRPr="00EB522E" w:rsidRDefault="0078038E">
      <w:pPr>
        <w:spacing w:line="360" w:lineRule="auto"/>
        <w:jc w:val="both"/>
      </w:pPr>
    </w:p>
    <w:p w:rsidR="0078038E" w:rsidRPr="00EB522E" w:rsidRDefault="00E53B86">
      <w:pPr>
        <w:ind w:left="567" w:right="567"/>
        <w:jc w:val="both"/>
        <w:rPr>
          <w:sz w:val="22"/>
          <w:szCs w:val="22"/>
        </w:rPr>
      </w:pPr>
      <w:r w:rsidRPr="00EB522E">
        <w:rPr>
          <w:rFonts w:ascii="Palatino Linotype" w:eastAsia="Palatino Linotype" w:hAnsi="Palatino Linotype" w:cs="Palatino Linotype"/>
          <w:i/>
          <w:sz w:val="22"/>
          <w:szCs w:val="22"/>
        </w:rPr>
        <w:t>“</w:t>
      </w:r>
      <w:r w:rsidRPr="00EB522E">
        <w:rPr>
          <w:rFonts w:ascii="Palatino Linotype" w:eastAsia="Palatino Linotype" w:hAnsi="Palatino Linotype" w:cs="Palatino Linotype"/>
          <w:b/>
          <w:i/>
          <w:sz w:val="22"/>
          <w:szCs w:val="22"/>
        </w:rPr>
        <w:t>SOBRESEIMIENTO, NO PERMITE ENTRAR AL ESTUDIO DE LAS CUESTIONES DE FONDO</w:t>
      </w:r>
    </w:p>
    <w:p w:rsidR="0078038E" w:rsidRPr="00EB522E" w:rsidRDefault="00E53B86">
      <w:pPr>
        <w:ind w:left="567" w:right="567"/>
        <w:jc w:val="both"/>
        <w:rPr>
          <w:sz w:val="22"/>
          <w:szCs w:val="22"/>
        </w:rPr>
      </w:pPr>
      <w:r w:rsidRPr="00EB522E">
        <w:rPr>
          <w:rFonts w:ascii="Palatino Linotype" w:eastAsia="Palatino Linotype" w:hAnsi="Palatino Linotype" w:cs="Palatino Linotype"/>
          <w:i/>
          <w:sz w:val="22"/>
          <w:szCs w:val="22"/>
        </w:rPr>
        <w:t>Localización: 213609. II.2º.183 K. Tribunales Colegiados de Circuito. Octava Época. Semanario Judicial de la Federación. Tomo XIII, Febrero de 1994, Pág. 420</w:t>
      </w:r>
    </w:p>
    <w:p w:rsidR="0078038E" w:rsidRPr="00EB522E" w:rsidRDefault="00E53B86">
      <w:pPr>
        <w:ind w:left="567" w:right="567"/>
        <w:jc w:val="both"/>
        <w:rPr>
          <w:sz w:val="22"/>
          <w:szCs w:val="22"/>
        </w:rPr>
      </w:pPr>
      <w:r w:rsidRPr="00EB522E">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78038E" w:rsidRPr="00EB522E" w:rsidRDefault="0078038E">
      <w:pPr>
        <w:spacing w:line="360" w:lineRule="auto"/>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Cabe destacar que la decisión de este órgano colegiado de sobreseer los recursos de revisión no implica una limitación o negación a la justicia, según lo ha establecido el Poder Judicial Federal, en el criterio que es aplicable por analogía, con rubro:</w:t>
      </w:r>
    </w:p>
    <w:p w:rsidR="0078038E" w:rsidRPr="00EB522E" w:rsidRDefault="0078038E">
      <w:pPr>
        <w:spacing w:line="360" w:lineRule="auto"/>
        <w:jc w:val="both"/>
      </w:pPr>
    </w:p>
    <w:p w:rsidR="0078038E" w:rsidRPr="00EB522E" w:rsidRDefault="00E53B86">
      <w:pPr>
        <w:ind w:left="567" w:right="567"/>
        <w:jc w:val="both"/>
        <w:rPr>
          <w:sz w:val="22"/>
          <w:szCs w:val="22"/>
        </w:rPr>
      </w:pPr>
      <w:r w:rsidRPr="00EB522E">
        <w:rPr>
          <w:rFonts w:ascii="Palatino Linotype" w:eastAsia="Palatino Linotype" w:hAnsi="Palatino Linotype" w:cs="Palatino Linotype"/>
          <w:sz w:val="22"/>
          <w:szCs w:val="22"/>
        </w:rPr>
        <w:t> </w:t>
      </w:r>
      <w:r w:rsidRPr="00EB522E">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78038E" w:rsidRPr="00EB522E" w:rsidRDefault="00E53B86">
      <w:pPr>
        <w:ind w:left="567" w:right="567"/>
        <w:jc w:val="both"/>
        <w:rPr>
          <w:sz w:val="22"/>
          <w:szCs w:val="22"/>
        </w:rPr>
      </w:pPr>
      <w:r w:rsidRPr="00EB522E">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t xml:space="preserve">Finalmente, respecto de las manifestaciones realizadas por el Recurrente como razones o motivos de inconformidad, consistentes en </w:t>
      </w:r>
      <w:r w:rsidRPr="00EB522E">
        <w:rPr>
          <w:rFonts w:ascii="Palatino Linotype" w:eastAsia="Palatino Linotype" w:hAnsi="Palatino Linotype" w:cs="Palatino Linotype"/>
          <w:i/>
        </w:rPr>
        <w:t>“…en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(sic)</w:t>
      </w:r>
      <w:r w:rsidRPr="00EB522E">
        <w:rPr>
          <w:rFonts w:ascii="Palatino Linotype" w:eastAsia="Palatino Linotype" w:hAnsi="Palatino Linotype" w:cs="Palatino Linotype"/>
        </w:rPr>
        <w:t xml:space="preserve">; y derivado que el Recurso de Revisión no es el medio para sancionar, este Organismo Garante sugiere a la persona solicitante, interponer su queja o denuncia ante la autoridad competente. </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78038E" w:rsidRPr="00EB522E" w:rsidRDefault="0078038E">
      <w:pPr>
        <w:spacing w:line="360" w:lineRule="auto"/>
        <w:jc w:val="both"/>
      </w:pPr>
    </w:p>
    <w:p w:rsidR="0078038E" w:rsidRPr="00EB522E" w:rsidRDefault="00E53B86">
      <w:pPr>
        <w:spacing w:line="360" w:lineRule="auto"/>
        <w:ind w:left="360"/>
        <w:jc w:val="center"/>
        <w:rPr>
          <w:rFonts w:ascii="Palatino Linotype" w:eastAsia="Palatino Linotype" w:hAnsi="Palatino Linotype" w:cs="Palatino Linotype"/>
          <w:b/>
        </w:rPr>
      </w:pPr>
      <w:r w:rsidRPr="00EB522E">
        <w:rPr>
          <w:rFonts w:ascii="Palatino Linotype" w:eastAsia="Palatino Linotype" w:hAnsi="Palatino Linotype" w:cs="Palatino Linotype"/>
          <w:b/>
        </w:rPr>
        <w:t>III. R E S U E L V E:</w:t>
      </w:r>
    </w:p>
    <w:p w:rsidR="0078038E" w:rsidRPr="00EB522E" w:rsidRDefault="0078038E">
      <w:pPr>
        <w:spacing w:line="360" w:lineRule="auto"/>
        <w:ind w:left="360"/>
        <w:jc w:val="center"/>
        <w:rPr>
          <w:rFonts w:ascii="Palatino Linotype" w:eastAsia="Palatino Linotype" w:hAnsi="Palatino Linotype" w:cs="Palatino Linotype"/>
          <w:b/>
        </w:rPr>
      </w:pPr>
    </w:p>
    <w:p w:rsidR="0078038E" w:rsidRPr="00EB522E" w:rsidRDefault="00E53B86">
      <w:pPr>
        <w:spacing w:line="360" w:lineRule="auto"/>
        <w:jc w:val="both"/>
        <w:rPr>
          <w:rFonts w:ascii="Palatino Linotype" w:eastAsia="Palatino Linotype" w:hAnsi="Palatino Linotype" w:cs="Palatino Linotype"/>
          <w:b/>
          <w:strike/>
        </w:rPr>
      </w:pPr>
      <w:r w:rsidRPr="00EB522E">
        <w:rPr>
          <w:rFonts w:ascii="Palatino Linotype" w:eastAsia="Palatino Linotype" w:hAnsi="Palatino Linotype" w:cs="Palatino Linotype"/>
          <w:b/>
        </w:rPr>
        <w:t xml:space="preserve">Primero. </w:t>
      </w:r>
      <w:r w:rsidRPr="00EB522E">
        <w:rPr>
          <w:rFonts w:ascii="Palatino Linotype" w:eastAsia="Palatino Linotype" w:hAnsi="Palatino Linotype" w:cs="Palatino Linotype"/>
        </w:rPr>
        <w:t xml:space="preserve">Se </w:t>
      </w:r>
      <w:r w:rsidRPr="00EB522E">
        <w:rPr>
          <w:rFonts w:ascii="Palatino Linotype" w:eastAsia="Palatino Linotype" w:hAnsi="Palatino Linotype" w:cs="Palatino Linotype"/>
          <w:b/>
        </w:rPr>
        <w:t xml:space="preserve">SOBRESEE </w:t>
      </w:r>
      <w:r w:rsidRPr="00EB522E">
        <w:rPr>
          <w:rFonts w:ascii="Palatino Linotype" w:eastAsia="Palatino Linotype" w:hAnsi="Palatino Linotype" w:cs="Palatino Linotype"/>
        </w:rPr>
        <w:t xml:space="preserve">el recurso de revisión </w:t>
      </w:r>
      <w:r w:rsidRPr="00EB522E">
        <w:rPr>
          <w:rFonts w:ascii="Palatino Linotype" w:eastAsia="Palatino Linotype" w:hAnsi="Palatino Linotype" w:cs="Palatino Linotype"/>
          <w:b/>
        </w:rPr>
        <w:t>03749/INFOEM/IP/RR/2023</w:t>
      </w:r>
      <w:r w:rsidRPr="00EB522E">
        <w:rPr>
          <w:rFonts w:ascii="Palatino Linotype" w:eastAsia="Palatino Linotype" w:hAnsi="Palatino Linotype" w:cs="Palatino Linotype"/>
        </w:rPr>
        <w:t xml:space="preserve">, porque al colmar la pretensión </w:t>
      </w:r>
      <w:r w:rsidRPr="00EB522E">
        <w:rPr>
          <w:rFonts w:ascii="Palatino Linotype" w:eastAsia="Palatino Linotype" w:hAnsi="Palatino Linotype" w:cs="Palatino Linotype"/>
          <w:b/>
        </w:rPr>
        <w:t>de la parte RECURRENTE</w:t>
      </w:r>
      <w:r w:rsidRPr="00EB522E">
        <w:rPr>
          <w:rFonts w:ascii="Palatino Linotype" w:eastAsia="Palatino Linotype" w:hAnsi="Palatino Linotype" w:cs="Palatino Linotype"/>
        </w:rPr>
        <w:t xml:space="preserve"> mediante informe justificado,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Segundo. Notifíquese</w:t>
      </w:r>
      <w:r w:rsidRPr="00EB522E">
        <w:rPr>
          <w:rFonts w:ascii="Palatino Linotype" w:eastAsia="Palatino Linotype" w:hAnsi="Palatino Linotype" w:cs="Palatino Linotype"/>
        </w:rPr>
        <w:t xml:space="preserve"> vía </w:t>
      </w:r>
      <w:r w:rsidRPr="00EB522E">
        <w:rPr>
          <w:rFonts w:ascii="Palatino Linotype" w:eastAsia="Palatino Linotype" w:hAnsi="Palatino Linotype" w:cs="Palatino Linotype"/>
          <w:b/>
        </w:rPr>
        <w:t xml:space="preserve">SAIMEX, </w:t>
      </w:r>
      <w:r w:rsidRPr="00EB522E">
        <w:rPr>
          <w:rFonts w:ascii="Palatino Linotype" w:eastAsia="Palatino Linotype" w:hAnsi="Palatino Linotype" w:cs="Palatino Linotype"/>
        </w:rPr>
        <w:t>al Responsable de la Unidad de Transparencia del Sujeto Obligado la presente resolución, para su conocimiento, lo anterior en términos del artículo 189 de la Ley de Transparencia y Acceso a la Información Pública del Estado de México y Municipios.</w:t>
      </w:r>
    </w:p>
    <w:p w:rsidR="0078038E" w:rsidRPr="00EB522E" w:rsidRDefault="0078038E">
      <w:pPr>
        <w:spacing w:line="360" w:lineRule="auto"/>
        <w:jc w:val="both"/>
        <w:rPr>
          <w:rFonts w:ascii="Palatino Linotype" w:eastAsia="Palatino Linotype" w:hAnsi="Palatino Linotype" w:cs="Palatino Linotype"/>
        </w:rPr>
      </w:pPr>
    </w:p>
    <w:p w:rsidR="0078038E" w:rsidRPr="00EB522E" w:rsidRDefault="00E53B86">
      <w:pPr>
        <w:spacing w:after="240" w:line="360" w:lineRule="auto"/>
        <w:jc w:val="both"/>
        <w:rPr>
          <w:rFonts w:ascii="Palatino Linotype" w:eastAsia="Palatino Linotype" w:hAnsi="Palatino Linotype" w:cs="Palatino Linotype"/>
        </w:rPr>
      </w:pPr>
      <w:r w:rsidRPr="00EB522E">
        <w:rPr>
          <w:rFonts w:ascii="Palatino Linotype" w:eastAsia="Palatino Linotype" w:hAnsi="Palatino Linotype" w:cs="Palatino Linotype"/>
          <w:b/>
        </w:rPr>
        <w:t xml:space="preserve">Tercero. Notifíquese, vía SAIMEX </w:t>
      </w:r>
      <w:r w:rsidRPr="00EB522E">
        <w:rPr>
          <w:rFonts w:ascii="Palatino Linotype" w:eastAsia="Palatino Linotype" w:hAnsi="Palatino Linotype" w:cs="Palatino Linotype"/>
        </w:rPr>
        <w:t>a</w:t>
      </w:r>
      <w:r w:rsidRPr="00EB522E">
        <w:rPr>
          <w:rFonts w:ascii="Palatino Linotype" w:eastAsia="Palatino Linotype" w:hAnsi="Palatino Linotype" w:cs="Palatino Linotype"/>
          <w:b/>
        </w:rPr>
        <w:t xml:space="preserve"> </w:t>
      </w:r>
      <w:r w:rsidRPr="00EB522E">
        <w:rPr>
          <w:rFonts w:ascii="Palatino Linotype" w:eastAsia="Palatino Linotype" w:hAnsi="Palatino Linotype" w:cs="Palatino Linotype"/>
        </w:rPr>
        <w:t>la parte</w:t>
      </w:r>
      <w:r w:rsidRPr="00EB522E">
        <w:rPr>
          <w:rFonts w:ascii="Palatino Linotype" w:eastAsia="Palatino Linotype" w:hAnsi="Palatino Linotype" w:cs="Palatino Linotype"/>
          <w:b/>
        </w:rPr>
        <w:t xml:space="preserve"> RECURRENTE</w:t>
      </w:r>
      <w:r w:rsidRPr="00EB522E">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78038E" w:rsidRDefault="00E53B86">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EB522E">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Default="00EB522E">
      <w:pPr>
        <w:spacing w:before="240" w:after="240" w:line="360" w:lineRule="auto"/>
        <w:jc w:val="both"/>
        <w:rPr>
          <w:rFonts w:ascii="Palatino Linotype" w:eastAsia="Palatino Linotype" w:hAnsi="Palatino Linotype" w:cs="Palatino Linotype"/>
        </w:rPr>
      </w:pPr>
    </w:p>
    <w:p w:rsidR="00EB522E" w:rsidRPr="00EB522E" w:rsidRDefault="00EB522E">
      <w:pPr>
        <w:spacing w:before="240" w:after="240" w:line="360" w:lineRule="auto"/>
        <w:jc w:val="both"/>
        <w:rPr>
          <w:rFonts w:ascii="Palatino Linotype" w:eastAsia="Palatino Linotype" w:hAnsi="Palatino Linotype" w:cs="Palatino Linotype"/>
        </w:rPr>
      </w:pPr>
    </w:p>
    <w:sectPr w:rsidR="00EB522E" w:rsidRPr="00EB522E">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FB8" w:rsidRDefault="007C7FB8">
      <w:r>
        <w:separator/>
      </w:r>
    </w:p>
  </w:endnote>
  <w:endnote w:type="continuationSeparator" w:id="0">
    <w:p w:rsidR="007C7FB8" w:rsidRDefault="007C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8E" w:rsidRDefault="00E53B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D22A6">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D22A6">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78038E" w:rsidRDefault="0078038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8E" w:rsidRDefault="00E53B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D22A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D22A6">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78038E" w:rsidRDefault="0078038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FB8" w:rsidRDefault="007C7FB8">
      <w:r>
        <w:separator/>
      </w:r>
    </w:p>
  </w:footnote>
  <w:footnote w:type="continuationSeparator" w:id="0">
    <w:p w:rsidR="007C7FB8" w:rsidRDefault="007C7FB8">
      <w:r>
        <w:continuationSeparator/>
      </w:r>
    </w:p>
  </w:footnote>
  <w:footnote w:id="1">
    <w:p w:rsidR="0078038E" w:rsidRDefault="00E53B86">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rsidR="0078038E" w:rsidRDefault="00E53B86">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rsidR="0078038E" w:rsidRDefault="00E53B86">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rsidR="0078038E" w:rsidRDefault="00E53B8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rsidR="0078038E" w:rsidRDefault="00E53B8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8E" w:rsidRDefault="00E53B8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78038E">
      <w:tc>
        <w:tcPr>
          <w:tcW w:w="2489" w:type="dxa"/>
          <w:shd w:val="clear" w:color="auto" w:fill="auto"/>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78038E" w:rsidRDefault="00E53B8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03749/INFOEM/IP/RR/2023</w:t>
          </w:r>
        </w:p>
      </w:tc>
    </w:tr>
    <w:tr w:rsidR="0078038E">
      <w:trPr>
        <w:trHeight w:val="228"/>
      </w:trPr>
      <w:tc>
        <w:tcPr>
          <w:tcW w:w="2489" w:type="dxa"/>
          <w:shd w:val="clear" w:color="auto" w:fill="auto"/>
          <w:vAlign w:val="center"/>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78038E" w:rsidRDefault="00E53B8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78038E">
      <w:tc>
        <w:tcPr>
          <w:tcW w:w="2489" w:type="dxa"/>
          <w:shd w:val="clear" w:color="auto" w:fill="auto"/>
          <w:vAlign w:val="center"/>
        </w:tcPr>
        <w:p w:rsidR="0078038E" w:rsidRDefault="00E53B8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78038E" w:rsidRDefault="00E53B8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8038E" w:rsidRDefault="00E53B8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8E" w:rsidRDefault="007803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78038E">
      <w:tc>
        <w:tcPr>
          <w:tcW w:w="2551" w:type="dxa"/>
          <w:shd w:val="clear" w:color="auto" w:fill="auto"/>
          <w:vAlign w:val="center"/>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78038E" w:rsidRDefault="00E53B8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03749/INFOEM/IP/RR/2023</w:t>
          </w:r>
        </w:p>
      </w:tc>
    </w:tr>
    <w:tr w:rsidR="0078038E">
      <w:trPr>
        <w:trHeight w:val="130"/>
      </w:trPr>
      <w:tc>
        <w:tcPr>
          <w:tcW w:w="2551" w:type="dxa"/>
          <w:shd w:val="clear" w:color="auto" w:fill="auto"/>
          <w:vAlign w:val="center"/>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78038E" w:rsidRDefault="00E8124B" w:rsidP="00E8124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 XXXXXXXXX XXXXXXXX XXXXXXX</w:t>
          </w:r>
          <w:r w:rsidR="00E53B86">
            <w:rPr>
              <w:rFonts w:ascii="Arial" w:eastAsia="Arial" w:hAnsi="Arial" w:cs="Arial"/>
              <w:b/>
              <w:color w:val="333333"/>
              <w:sz w:val="15"/>
              <w:szCs w:val="15"/>
              <w:shd w:val="clear" w:color="auto" w:fill="F7F7F8"/>
            </w:rPr>
            <w:t> </w:t>
          </w:r>
        </w:p>
      </w:tc>
    </w:tr>
    <w:tr w:rsidR="0078038E">
      <w:trPr>
        <w:trHeight w:val="228"/>
      </w:trPr>
      <w:tc>
        <w:tcPr>
          <w:tcW w:w="2551" w:type="dxa"/>
          <w:shd w:val="clear" w:color="auto" w:fill="auto"/>
          <w:vAlign w:val="center"/>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78038E" w:rsidRDefault="00E53B8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78038E">
      <w:tc>
        <w:tcPr>
          <w:tcW w:w="2551" w:type="dxa"/>
          <w:shd w:val="clear" w:color="auto" w:fill="auto"/>
          <w:vAlign w:val="center"/>
        </w:tcPr>
        <w:p w:rsidR="0078038E" w:rsidRDefault="00E53B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78038E" w:rsidRDefault="00E53B8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8038E" w:rsidRDefault="00E53B8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212A4"/>
    <w:multiLevelType w:val="multilevel"/>
    <w:tmpl w:val="B62AF1B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B542285"/>
    <w:multiLevelType w:val="multilevel"/>
    <w:tmpl w:val="1DE6402A"/>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F292E6F"/>
    <w:multiLevelType w:val="multilevel"/>
    <w:tmpl w:val="1530261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38E"/>
    <w:rsid w:val="00080564"/>
    <w:rsid w:val="0078038E"/>
    <w:rsid w:val="007C7FB8"/>
    <w:rsid w:val="008F2922"/>
    <w:rsid w:val="00CD22A6"/>
    <w:rsid w:val="00E53B86"/>
    <w:rsid w:val="00E8124B"/>
    <w:rsid w:val="00EB5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0C7EB-47EE-4F24-9D4B-CDFCA386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28742.page"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833936.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saimex.org.mx/saimex/solicitud/downloadAttach/1828741.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838574.page" TargetMode="External"/><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UfJ3Y+Z7aMdfZe8OzhJR/8QVCA==">CgMxLjAyCWguMWZvYjl0ZTIIaC5namRneHMyCWguMzBqMHpsbDIJaC4zem55c2g3OAByITFWU1dQWUN5U282X3ctSXltdDFrdmJfLUVBRTc2QXB4Mg==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10568</Words>
  <Characters>58127</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2023-10-27T18:49:00Z</cp:lastPrinted>
  <dcterms:created xsi:type="dcterms:W3CDTF">2023-11-07T20:38:00Z</dcterms:created>
  <dcterms:modified xsi:type="dcterms:W3CDTF">2023-11-07T20:38:00Z</dcterms:modified>
</cp:coreProperties>
</file>