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7627" w14:textId="7FD16A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01679E">
        <w:rPr>
          <w:rFonts w:ascii="Palatino Linotype" w:eastAsia="Palatino Linotype" w:hAnsi="Palatino Linotype" w:cs="Palatino Linotype"/>
          <w:sz w:val="24"/>
          <w:szCs w:val="24"/>
        </w:rPr>
        <w:t>seis de diciembre</w:t>
      </w:r>
      <w:r w:rsidR="00B30C44">
        <w:rPr>
          <w:rFonts w:ascii="Palatino Linotype" w:eastAsia="Palatino Linotype" w:hAnsi="Palatino Linotype" w:cs="Palatino Linotype"/>
          <w:sz w:val="24"/>
          <w:szCs w:val="24"/>
        </w:rPr>
        <w:t xml:space="preserve"> de dos mil veintitrés</w:t>
      </w:r>
      <w:r w:rsidRPr="008645E3">
        <w:rPr>
          <w:rFonts w:ascii="Palatino Linotype" w:eastAsia="Palatino Linotype" w:hAnsi="Palatino Linotype" w:cs="Palatino Linotype"/>
          <w:sz w:val="24"/>
          <w:szCs w:val="24"/>
        </w:rPr>
        <w:t xml:space="preserve">. </w:t>
      </w:r>
    </w:p>
    <w:p w14:paraId="74ED697E" w14:textId="77777777" w:rsidR="00F8557D" w:rsidRPr="008645E3" w:rsidRDefault="00F8557D">
      <w:pPr>
        <w:spacing w:after="0" w:line="360" w:lineRule="auto"/>
        <w:ind w:right="49"/>
        <w:jc w:val="center"/>
        <w:rPr>
          <w:rFonts w:ascii="Palatino Linotype" w:eastAsia="Palatino Linotype" w:hAnsi="Palatino Linotype" w:cs="Palatino Linotype"/>
          <w:sz w:val="24"/>
          <w:szCs w:val="24"/>
        </w:rPr>
      </w:pPr>
    </w:p>
    <w:p w14:paraId="52F4F0DF" w14:textId="7DBB4043"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Visto el expediente relativo al recurso de revisión </w:t>
      </w:r>
      <w:r w:rsidR="0001679E">
        <w:rPr>
          <w:rFonts w:ascii="Palatino Linotype" w:eastAsia="Palatino Linotype" w:hAnsi="Palatino Linotype" w:cs="Palatino Linotype"/>
          <w:b/>
          <w:sz w:val="24"/>
          <w:szCs w:val="24"/>
        </w:rPr>
        <w:t>01884</w:t>
      </w:r>
      <w:r w:rsidR="00D7458B">
        <w:rPr>
          <w:rFonts w:ascii="Palatino Linotype" w:eastAsia="Palatino Linotype" w:hAnsi="Palatino Linotype" w:cs="Palatino Linotype"/>
          <w:b/>
          <w:sz w:val="24"/>
          <w:szCs w:val="24"/>
        </w:rPr>
        <w:t>/INFOEM/IP/RR/2023</w:t>
      </w:r>
      <w:r w:rsidRPr="008645E3">
        <w:rPr>
          <w:rFonts w:ascii="Palatino Linotype" w:eastAsia="Palatino Linotype" w:hAnsi="Palatino Linotype" w:cs="Palatino Linotype"/>
          <w:sz w:val="24"/>
          <w:szCs w:val="24"/>
        </w:rPr>
        <w:t xml:space="preserve">, interpuesto por </w:t>
      </w:r>
      <w:r w:rsidR="0001679E">
        <w:rPr>
          <w:rFonts w:ascii="Palatino Linotype" w:eastAsia="Palatino Linotype" w:hAnsi="Palatino Linotype" w:cs="Palatino Linotype"/>
          <w:b/>
          <w:sz w:val="24"/>
          <w:szCs w:val="24"/>
        </w:rPr>
        <w:t>una persona usuaria del Sistema de Acceso a la Información Mexiquense</w:t>
      </w:r>
      <w:r w:rsidRPr="008645E3">
        <w:rPr>
          <w:rFonts w:ascii="Palatino Linotype" w:eastAsia="Palatino Linotype" w:hAnsi="Palatino Linotype" w:cs="Palatino Linotype"/>
          <w:sz w:val="24"/>
          <w:szCs w:val="24"/>
        </w:rPr>
        <w:t>, al cual en</w:t>
      </w:r>
      <w:r w:rsidR="0001679E">
        <w:rPr>
          <w:rFonts w:ascii="Palatino Linotype" w:eastAsia="Palatino Linotype" w:hAnsi="Palatino Linotype" w:cs="Palatino Linotype"/>
          <w:sz w:val="24"/>
          <w:szCs w:val="24"/>
        </w:rPr>
        <w:t xml:space="preserve"> lo sucesivo se le denominará la parte</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RECURRENTE</w:t>
      </w:r>
      <w:r w:rsidRPr="008645E3">
        <w:rPr>
          <w:rFonts w:ascii="Palatino Linotype" w:eastAsia="Palatino Linotype" w:hAnsi="Palatino Linotype" w:cs="Palatino Linotype"/>
          <w:sz w:val="24"/>
          <w:szCs w:val="24"/>
        </w:rPr>
        <w:t xml:space="preserve">, en contra de la respuesta a su solicitud de información identificada con número de folio </w:t>
      </w:r>
      <w:r w:rsidR="00B30C44">
        <w:rPr>
          <w:rFonts w:ascii="Palatino Linotype" w:eastAsia="Palatino Linotype" w:hAnsi="Palatino Linotype" w:cs="Palatino Linotype"/>
          <w:b/>
          <w:sz w:val="24"/>
          <w:szCs w:val="24"/>
        </w:rPr>
        <w:t>0</w:t>
      </w:r>
      <w:r w:rsidR="002D6A54">
        <w:rPr>
          <w:rFonts w:ascii="Palatino Linotype" w:eastAsia="Palatino Linotype" w:hAnsi="Palatino Linotype" w:cs="Palatino Linotype"/>
          <w:b/>
          <w:sz w:val="24"/>
          <w:szCs w:val="24"/>
        </w:rPr>
        <w:t>0</w:t>
      </w:r>
      <w:r w:rsidR="0001679E">
        <w:rPr>
          <w:rFonts w:ascii="Palatino Linotype" w:eastAsia="Palatino Linotype" w:hAnsi="Palatino Linotype" w:cs="Palatino Linotype"/>
          <w:b/>
          <w:sz w:val="24"/>
          <w:szCs w:val="24"/>
        </w:rPr>
        <w:t>125</w:t>
      </w:r>
      <w:r w:rsidRPr="008645E3">
        <w:rPr>
          <w:rFonts w:ascii="Palatino Linotype" w:eastAsia="Palatino Linotype" w:hAnsi="Palatino Linotype" w:cs="Palatino Linotype"/>
          <w:b/>
          <w:sz w:val="24"/>
          <w:szCs w:val="24"/>
        </w:rPr>
        <w:t>/</w:t>
      </w:r>
      <w:r w:rsidR="0001679E">
        <w:rPr>
          <w:rFonts w:ascii="Palatino Linotype" w:eastAsia="Palatino Linotype" w:hAnsi="Palatino Linotype" w:cs="Palatino Linotype"/>
          <w:b/>
          <w:sz w:val="24"/>
          <w:szCs w:val="24"/>
        </w:rPr>
        <w:t>SSEM</w:t>
      </w:r>
      <w:r w:rsidRPr="008645E3">
        <w:rPr>
          <w:rFonts w:ascii="Palatino Linotype" w:eastAsia="Palatino Linotype" w:hAnsi="Palatino Linotype" w:cs="Palatino Linotype"/>
          <w:b/>
          <w:sz w:val="24"/>
          <w:szCs w:val="24"/>
        </w:rPr>
        <w:t>/IP/202</w:t>
      </w:r>
      <w:r w:rsidR="006B4A8B">
        <w:rPr>
          <w:rFonts w:ascii="Palatino Linotype" w:eastAsia="Palatino Linotype" w:hAnsi="Palatino Linotype" w:cs="Palatino Linotype"/>
          <w:b/>
          <w:sz w:val="24"/>
          <w:szCs w:val="24"/>
        </w:rPr>
        <w:t>3</w:t>
      </w:r>
      <w:r w:rsidRPr="008645E3">
        <w:rPr>
          <w:rFonts w:ascii="Palatino Linotype" w:eastAsia="Palatino Linotype" w:hAnsi="Palatino Linotype" w:cs="Palatino Linotype"/>
          <w:sz w:val="24"/>
          <w:szCs w:val="24"/>
        </w:rPr>
        <w:t xml:space="preserve"> proporcionada por parte </w:t>
      </w:r>
      <w:r w:rsidR="0001679E">
        <w:rPr>
          <w:rFonts w:ascii="Palatino Linotype" w:eastAsia="Palatino Linotype" w:hAnsi="Palatino Linotype" w:cs="Palatino Linotype"/>
          <w:sz w:val="24"/>
          <w:szCs w:val="24"/>
        </w:rPr>
        <w:t xml:space="preserve">de la </w:t>
      </w:r>
      <w:r w:rsidR="0001679E" w:rsidRPr="0001679E">
        <w:rPr>
          <w:rFonts w:ascii="Palatino Linotype" w:eastAsia="Palatino Linotype" w:hAnsi="Palatino Linotype" w:cs="Palatino Linotype"/>
          <w:b/>
          <w:sz w:val="24"/>
          <w:szCs w:val="24"/>
        </w:rPr>
        <w:t>Secretaría de Seguridad</w:t>
      </w:r>
      <w:r w:rsidR="002D6A54">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sz w:val="24"/>
          <w:szCs w:val="24"/>
        </w:rPr>
        <w:t xml:space="preserve">en lo sucesivo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w:t>
      </w:r>
      <w:r w:rsidRPr="008645E3">
        <w:rPr>
          <w:rFonts w:ascii="Palatino Linotype" w:eastAsia="Palatino Linotype" w:hAnsi="Palatino Linotype" w:cs="Palatino Linotype"/>
          <w:b/>
          <w:sz w:val="24"/>
          <w:szCs w:val="24"/>
        </w:rPr>
        <w:tab/>
        <w:t>A N T E C E D E N T E S</w:t>
      </w:r>
    </w:p>
    <w:p w14:paraId="0D8742A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191568F3" w14:textId="1577FA47"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Solicitud de acceso a la información.</w:t>
      </w:r>
      <w:r w:rsidRPr="008645E3">
        <w:rPr>
          <w:rFonts w:ascii="Palatino Linotype" w:eastAsia="Palatino Linotype" w:hAnsi="Palatino Linotype" w:cs="Palatino Linotype"/>
          <w:color w:val="000000"/>
          <w:sz w:val="24"/>
          <w:szCs w:val="24"/>
        </w:rPr>
        <w:t xml:space="preserve"> Con fecha </w:t>
      </w:r>
      <w:r w:rsidR="0001679E">
        <w:rPr>
          <w:rFonts w:ascii="Palatino Linotype" w:eastAsia="Palatino Linotype" w:hAnsi="Palatino Linotype" w:cs="Palatino Linotype"/>
          <w:b/>
          <w:color w:val="000000"/>
          <w:sz w:val="24"/>
          <w:szCs w:val="24"/>
        </w:rPr>
        <w:t>tres de marzo</w:t>
      </w:r>
      <w:r w:rsidR="004E4ADA">
        <w:rPr>
          <w:rFonts w:ascii="Palatino Linotype" w:eastAsia="Palatino Linotype" w:hAnsi="Palatino Linotype" w:cs="Palatino Linotype"/>
          <w:b/>
          <w:color w:val="000000"/>
          <w:sz w:val="24"/>
          <w:szCs w:val="24"/>
        </w:rPr>
        <w:t xml:space="preserve"> </w:t>
      </w:r>
      <w:r w:rsidR="006B4A8B">
        <w:rPr>
          <w:rFonts w:ascii="Palatino Linotype" w:eastAsia="Palatino Linotype" w:hAnsi="Palatino Linotype" w:cs="Palatino Linotype"/>
          <w:b/>
          <w:color w:val="000000"/>
          <w:sz w:val="24"/>
          <w:szCs w:val="24"/>
        </w:rPr>
        <w:t>de dos mil veintitrés</w:t>
      </w:r>
      <w:r w:rsidRPr="008645E3">
        <w:rPr>
          <w:rFonts w:ascii="Palatino Linotype" w:eastAsia="Palatino Linotype" w:hAnsi="Palatino Linotype" w:cs="Palatino Linotype"/>
          <w:color w:val="000000"/>
          <w:sz w:val="24"/>
          <w:szCs w:val="24"/>
        </w:rPr>
        <w:t xml:space="preserve">, la parte </w:t>
      </w:r>
      <w:r w:rsidRPr="008645E3">
        <w:rPr>
          <w:rFonts w:ascii="Palatino Linotype" w:eastAsia="Palatino Linotype" w:hAnsi="Palatino Linotype" w:cs="Palatino Linotype"/>
          <w:b/>
          <w:color w:val="000000"/>
          <w:sz w:val="24"/>
          <w:szCs w:val="24"/>
        </w:rPr>
        <w:t>RECURRENTE</w:t>
      </w:r>
      <w:r w:rsidRPr="008645E3">
        <w:rPr>
          <w:rFonts w:ascii="Palatino Linotype" w:eastAsia="Palatino Linotype" w:hAnsi="Palatino Linotype" w:cs="Palatino Linotype"/>
          <w:color w:val="000000"/>
          <w:sz w:val="24"/>
          <w:szCs w:val="24"/>
        </w:rPr>
        <w:t xml:space="preserve"> formuló solicitud de acceso a información pública al</w:t>
      </w:r>
      <w:r w:rsidRPr="008645E3">
        <w:rPr>
          <w:rFonts w:ascii="Palatino Linotype" w:eastAsia="Palatino Linotype" w:hAnsi="Palatino Linotype" w:cs="Palatino Linotype"/>
          <w:b/>
          <w:color w:val="000000"/>
          <w:sz w:val="24"/>
          <w:szCs w:val="24"/>
        </w:rPr>
        <w:t xml:space="preserve"> SUJETO OBLIGADO</w:t>
      </w:r>
      <w:r w:rsidRPr="008645E3">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6567E90C" w14:textId="2F12DF4C" w:rsidR="00F8557D" w:rsidRPr="008645E3" w:rsidRDefault="00B661FB" w:rsidP="00B661FB">
      <w:pPr>
        <w:tabs>
          <w:tab w:val="left" w:pos="1530"/>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14:paraId="5E646918" w14:textId="11D0B1FA" w:rsidR="00F8557D" w:rsidRPr="008645E3" w:rsidRDefault="00646B44">
      <w:pPr>
        <w:spacing w:after="0" w:line="276" w:lineRule="auto"/>
        <w:ind w:left="567" w:right="560"/>
        <w:jc w:val="both"/>
        <w:rPr>
          <w:rFonts w:ascii="Palatino Linotype" w:eastAsia="Palatino Linotype" w:hAnsi="Palatino Linotype" w:cs="Palatino Linotype"/>
          <w:i/>
        </w:rPr>
      </w:pPr>
      <w:bookmarkStart w:id="0" w:name="_heading=h.30j0zll" w:colFirst="0" w:colLast="0"/>
      <w:bookmarkEnd w:id="0"/>
      <w:r w:rsidRPr="008645E3">
        <w:rPr>
          <w:rFonts w:ascii="Palatino Linotype" w:eastAsia="Palatino Linotype" w:hAnsi="Palatino Linotype" w:cs="Palatino Linotype"/>
          <w:i/>
        </w:rPr>
        <w:t>“</w:t>
      </w:r>
      <w:r w:rsidR="0001679E" w:rsidRPr="0001679E">
        <w:rPr>
          <w:rFonts w:ascii="Palatino Linotype" w:eastAsia="Palatino Linotype" w:hAnsi="Palatino Linotype" w:cs="Palatino Linotype"/>
          <w:i/>
        </w:rPr>
        <w:t xml:space="preserve">¿Cuántas personas dejaron de cobrar por cheque en esta secretaría cuando se migraron sin su consentimiento a </w:t>
      </w:r>
      <w:proofErr w:type="spellStart"/>
      <w:r w:rsidR="0001679E" w:rsidRPr="0001679E">
        <w:rPr>
          <w:rFonts w:ascii="Palatino Linotype" w:eastAsia="Palatino Linotype" w:hAnsi="Palatino Linotype" w:cs="Palatino Linotype"/>
          <w:i/>
        </w:rPr>
        <w:t>santander</w:t>
      </w:r>
      <w:proofErr w:type="spellEnd"/>
      <w:r w:rsidR="0001679E" w:rsidRPr="0001679E">
        <w:rPr>
          <w:rFonts w:ascii="Palatino Linotype" w:eastAsia="Palatino Linotype" w:hAnsi="Palatino Linotype" w:cs="Palatino Linotype"/>
          <w:i/>
        </w:rPr>
        <w:t xml:space="preserve">? ¿Cuántas personas </w:t>
      </w:r>
      <w:proofErr w:type="spellStart"/>
      <w:r w:rsidR="0001679E" w:rsidRPr="0001679E">
        <w:rPr>
          <w:rFonts w:ascii="Palatino Linotype" w:eastAsia="Palatino Linotype" w:hAnsi="Palatino Linotype" w:cs="Palatino Linotype"/>
          <w:i/>
        </w:rPr>
        <w:t>continuan</w:t>
      </w:r>
      <w:proofErr w:type="spellEnd"/>
      <w:r w:rsidR="0001679E" w:rsidRPr="0001679E">
        <w:rPr>
          <w:rFonts w:ascii="Palatino Linotype" w:eastAsia="Palatino Linotype" w:hAnsi="Palatino Linotype" w:cs="Palatino Linotype"/>
          <w:i/>
        </w:rPr>
        <w:t xml:space="preserve"> cobrando por cheque en esta secretaría? ¿Cuál es el motivo por el cual se continúa cobrando por cheque en esta secretaría? Se indique el nombre y adscripción de las personas que cobraron por cheque durante la primera quincena de diciembre en esta secretaría Se indique el nombre y adscripción de las personas que cobraron por cheque durante la segunda quincena de </w:t>
      </w:r>
      <w:r w:rsidR="0001679E" w:rsidRPr="0001679E">
        <w:rPr>
          <w:rFonts w:ascii="Palatino Linotype" w:eastAsia="Palatino Linotype" w:hAnsi="Palatino Linotype" w:cs="Palatino Linotype"/>
          <w:i/>
        </w:rPr>
        <w:lastRenderedPageBreak/>
        <w:t>diciembre en esta secretaría ¿</w:t>
      </w:r>
      <w:proofErr w:type="spellStart"/>
      <w:r w:rsidR="0001679E" w:rsidRPr="0001679E">
        <w:rPr>
          <w:rFonts w:ascii="Palatino Linotype" w:eastAsia="Palatino Linotype" w:hAnsi="Palatino Linotype" w:cs="Palatino Linotype"/>
          <w:i/>
        </w:rPr>
        <w:t>quien</w:t>
      </w:r>
      <w:proofErr w:type="spellEnd"/>
      <w:r w:rsidR="0001679E" w:rsidRPr="0001679E">
        <w:rPr>
          <w:rFonts w:ascii="Palatino Linotype" w:eastAsia="Palatino Linotype" w:hAnsi="Palatino Linotype" w:cs="Palatino Linotype"/>
          <w:i/>
        </w:rPr>
        <w:t xml:space="preserve"> es la persona encargada de revisar y verificar el pago adecuado de estos cheques?</w:t>
      </w:r>
      <w:r w:rsidR="00B30C44">
        <w:rPr>
          <w:rFonts w:ascii="Palatino Linotype" w:eastAsia="Palatino Linotype" w:hAnsi="Palatino Linotype" w:cs="Palatino Linotype"/>
          <w:i/>
        </w:rPr>
        <w:t xml:space="preserve">”. </w:t>
      </w:r>
    </w:p>
    <w:p w14:paraId="4D20A199" w14:textId="77777777" w:rsidR="00F8557D" w:rsidRPr="008645E3" w:rsidRDefault="00F8557D">
      <w:pPr>
        <w:spacing w:after="0" w:line="360" w:lineRule="auto"/>
        <w:ind w:left="567" w:right="560"/>
        <w:jc w:val="both"/>
        <w:rPr>
          <w:rFonts w:ascii="Palatino Linotype" w:eastAsia="Palatino Linotype" w:hAnsi="Palatino Linotype" w:cs="Palatino Linotype"/>
          <w:i/>
        </w:rPr>
      </w:pPr>
    </w:p>
    <w:p w14:paraId="39E3254B" w14:textId="10999AA9" w:rsidR="00D7458B" w:rsidRPr="006B4A8B" w:rsidRDefault="00646B44" w:rsidP="006B4A8B">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Modalidad elegida para la entrega de la información:</w:t>
      </w:r>
      <w:r w:rsidRPr="008645E3">
        <w:rPr>
          <w:rFonts w:ascii="Palatino Linotype" w:eastAsia="Palatino Linotype" w:hAnsi="Palatino Linotype" w:cs="Palatino Linotype"/>
          <w:sz w:val="24"/>
          <w:szCs w:val="24"/>
        </w:rPr>
        <w:t xml:space="preserve"> a través del Sistema de Acceso a la Información Mexiquense (SAIMEX). </w:t>
      </w:r>
    </w:p>
    <w:p w14:paraId="73EF560A" w14:textId="77777777" w:rsidR="00D7458B" w:rsidRPr="00D7458B" w:rsidRDefault="00D7458B"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68C055B" w14:textId="6285CEF6" w:rsidR="00F8557D" w:rsidRPr="008645E3" w:rsidRDefault="006F1AB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Respuesta.</w:t>
      </w:r>
      <w:r w:rsidR="00646B44" w:rsidRPr="008645E3">
        <w:rPr>
          <w:rFonts w:ascii="Palatino Linotype" w:eastAsia="Palatino Linotype" w:hAnsi="Palatino Linotype" w:cs="Palatino Linotype"/>
          <w:color w:val="000000"/>
          <w:sz w:val="24"/>
          <w:szCs w:val="24"/>
        </w:rPr>
        <w:t xml:space="preserve"> Con fecha </w:t>
      </w:r>
      <w:r w:rsidR="0001679E">
        <w:rPr>
          <w:rFonts w:ascii="Palatino Linotype" w:eastAsia="Palatino Linotype" w:hAnsi="Palatino Linotype" w:cs="Palatino Linotype"/>
          <w:b/>
          <w:color w:val="000000"/>
          <w:sz w:val="24"/>
          <w:szCs w:val="24"/>
        </w:rPr>
        <w:t>diez de abril</w:t>
      </w:r>
      <w:r w:rsidR="00D7458B">
        <w:rPr>
          <w:rFonts w:ascii="Palatino Linotype" w:eastAsia="Palatino Linotype" w:hAnsi="Palatino Linotype" w:cs="Palatino Linotype"/>
          <w:b/>
          <w:color w:val="000000"/>
          <w:sz w:val="24"/>
          <w:szCs w:val="24"/>
        </w:rPr>
        <w:t xml:space="preserve"> de dos mil veintitrés</w:t>
      </w:r>
      <w:r w:rsidR="00646B44" w:rsidRPr="008645E3">
        <w:rPr>
          <w:rFonts w:ascii="Palatino Linotype" w:eastAsia="Palatino Linotype" w:hAnsi="Palatino Linotype" w:cs="Palatino Linotype"/>
          <w:color w:val="000000"/>
          <w:sz w:val="24"/>
          <w:szCs w:val="24"/>
        </w:rPr>
        <w:t xml:space="preserve">, el </w:t>
      </w:r>
      <w:r w:rsidR="00646B44" w:rsidRPr="008645E3">
        <w:rPr>
          <w:rFonts w:ascii="Palatino Linotype" w:eastAsia="Palatino Linotype" w:hAnsi="Palatino Linotype" w:cs="Palatino Linotype"/>
          <w:b/>
          <w:color w:val="000000"/>
          <w:sz w:val="24"/>
          <w:szCs w:val="24"/>
        </w:rPr>
        <w:t>SUJETO OBLIGADO</w:t>
      </w:r>
      <w:r w:rsidR="00646B44" w:rsidRPr="008645E3">
        <w:rPr>
          <w:rFonts w:ascii="Palatino Linotype" w:eastAsia="Palatino Linotype" w:hAnsi="Palatino Linotype" w:cs="Palatino Linotype"/>
          <w:color w:val="000000"/>
          <w:sz w:val="24"/>
          <w:szCs w:val="24"/>
        </w:rPr>
        <w:t xml:space="preserve"> envió su respuesta a la solicitud de acceso a la información a través del SAIMEX, la cual versa como sigue:</w:t>
      </w:r>
    </w:p>
    <w:p w14:paraId="5C9C0EFB" w14:textId="77777777" w:rsidR="00CE6234" w:rsidRDefault="00CE6234" w:rsidP="00CB24CB">
      <w:pPr>
        <w:spacing w:after="0" w:line="360" w:lineRule="auto"/>
        <w:ind w:right="560"/>
        <w:jc w:val="both"/>
        <w:rPr>
          <w:rFonts w:ascii="Verdana" w:hAnsi="Verdana"/>
          <w:color w:val="000000"/>
          <w:sz w:val="24"/>
          <w:szCs w:val="18"/>
        </w:rPr>
      </w:pPr>
    </w:p>
    <w:p w14:paraId="2F40B31B" w14:textId="62478D97" w:rsidR="00CB24CB" w:rsidRPr="00CB24CB" w:rsidRDefault="0001679E" w:rsidP="00CB24CB">
      <w:pPr>
        <w:spacing w:after="0" w:line="276" w:lineRule="auto"/>
        <w:ind w:left="567" w:right="560"/>
        <w:jc w:val="both"/>
        <w:rPr>
          <w:rFonts w:ascii="Palatino Linotype" w:hAnsi="Palatino Linotype"/>
          <w:i/>
          <w:color w:val="000000"/>
          <w:szCs w:val="18"/>
        </w:rPr>
      </w:pPr>
      <w:r w:rsidRPr="0001679E">
        <w:rPr>
          <w:rFonts w:ascii="Palatino Linotype" w:hAnsi="Palatino Linotype"/>
          <w:i/>
          <w:color w:val="000000"/>
          <w:szCs w:val="18"/>
        </w:rPr>
        <w:t>SE ANEXA RESPUESTA EN FORMATO PDF, EN CASO DE PRESENTAR PROBLEMAS CON LA RECEPCIÓN DE LA MISMA, LE PEDIMOS SE COMUNIQUE A LA UNIDAD DE TRANSPARENCIA DE LA SECRETARÍA DE SEGURIDAD DEL ESTADO DE MÉXICO, AL TELÉFONO 722 2 79 62 00 EXT. 4158, DE LUNES A VIERNES, EN</w:t>
      </w:r>
      <w:r>
        <w:rPr>
          <w:rFonts w:ascii="Palatino Linotype" w:hAnsi="Palatino Linotype"/>
          <w:i/>
          <w:color w:val="000000"/>
          <w:szCs w:val="18"/>
        </w:rPr>
        <w:t xml:space="preserve"> UN HORARIO DE 9:00 A 18:00 HRS</w:t>
      </w:r>
      <w:r w:rsidR="00CB24CB" w:rsidRPr="00CB24CB">
        <w:rPr>
          <w:rFonts w:ascii="Palatino Linotype" w:hAnsi="Palatino Linotype"/>
          <w:i/>
          <w:color w:val="000000"/>
          <w:szCs w:val="18"/>
        </w:rPr>
        <w:t>.</w:t>
      </w:r>
    </w:p>
    <w:p w14:paraId="0CFF0350" w14:textId="77777777" w:rsidR="002D6A54" w:rsidRPr="008645E3" w:rsidRDefault="002D6A54" w:rsidP="002D6A54">
      <w:pPr>
        <w:spacing w:after="0" w:line="360" w:lineRule="auto"/>
        <w:ind w:left="567" w:right="560"/>
        <w:jc w:val="both"/>
        <w:rPr>
          <w:rFonts w:ascii="Palatino Linotype" w:eastAsia="Palatino Linotype" w:hAnsi="Palatino Linotype" w:cs="Palatino Linotype"/>
          <w:sz w:val="24"/>
          <w:szCs w:val="24"/>
        </w:rPr>
      </w:pPr>
    </w:p>
    <w:p w14:paraId="3C408582" w14:textId="7C82FF15" w:rsidR="00F8557D" w:rsidRDefault="00646B44" w:rsidP="00B30C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El Sujeto Obligado a su respuesta adjuntó </w:t>
      </w:r>
      <w:r w:rsidR="0001679E">
        <w:rPr>
          <w:rFonts w:ascii="Palatino Linotype" w:eastAsia="Palatino Linotype" w:hAnsi="Palatino Linotype" w:cs="Palatino Linotype"/>
          <w:sz w:val="24"/>
          <w:szCs w:val="24"/>
        </w:rPr>
        <w:t>el</w:t>
      </w:r>
      <w:r w:rsidR="006B4A8B">
        <w:rPr>
          <w:rFonts w:ascii="Palatino Linotype" w:eastAsia="Palatino Linotype" w:hAnsi="Palatino Linotype" w:cs="Palatino Linotype"/>
          <w:sz w:val="24"/>
          <w:szCs w:val="24"/>
        </w:rPr>
        <w:t xml:space="preserve"> </w:t>
      </w:r>
      <w:r w:rsidR="00B30C44">
        <w:rPr>
          <w:rFonts w:ascii="Palatino Linotype" w:eastAsia="Palatino Linotype" w:hAnsi="Palatino Linotype" w:cs="Palatino Linotype"/>
          <w:sz w:val="24"/>
          <w:szCs w:val="24"/>
        </w:rPr>
        <w:t>documento</w:t>
      </w:r>
      <w:r w:rsidR="0001679E">
        <w:rPr>
          <w:rFonts w:ascii="Palatino Linotype" w:eastAsia="Palatino Linotype" w:hAnsi="Palatino Linotype" w:cs="Palatino Linotype"/>
          <w:sz w:val="24"/>
          <w:szCs w:val="24"/>
        </w:rPr>
        <w:t xml:space="preserve"> </w:t>
      </w:r>
      <w:r w:rsidR="00B30C44">
        <w:rPr>
          <w:rFonts w:ascii="Palatino Linotype" w:eastAsia="Palatino Linotype" w:hAnsi="Palatino Linotype" w:cs="Palatino Linotype"/>
          <w:sz w:val="24"/>
          <w:szCs w:val="24"/>
        </w:rPr>
        <w:t xml:space="preserve">que se describe a continuación: </w:t>
      </w:r>
      <w:r w:rsidRPr="008645E3">
        <w:rPr>
          <w:rFonts w:ascii="Palatino Linotype" w:eastAsia="Palatino Linotype" w:hAnsi="Palatino Linotype" w:cs="Palatino Linotype"/>
          <w:sz w:val="24"/>
          <w:szCs w:val="24"/>
        </w:rPr>
        <w:t xml:space="preserve"> </w:t>
      </w:r>
    </w:p>
    <w:p w14:paraId="21D0FAB2" w14:textId="77777777" w:rsidR="0001679E" w:rsidRDefault="0001679E" w:rsidP="0001679E">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sz w:val="24"/>
          <w:szCs w:val="24"/>
        </w:rPr>
      </w:pPr>
    </w:p>
    <w:p w14:paraId="692E4CBD" w14:textId="76753567" w:rsidR="0001679E" w:rsidRDefault="0001679E" w:rsidP="0001679E">
      <w:pPr>
        <w:pStyle w:val="Prrafodelista"/>
        <w:numPr>
          <w:ilvl w:val="0"/>
          <w:numId w:val="30"/>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de fecha diez de abril de dos mil veintitrés, signado por la Titular de la Unidad de Transparencia, mediante el cual informa que se le requirió la información al servidor público habilitado de la Oficialía M</w:t>
      </w:r>
      <w:r w:rsidR="00AC143B">
        <w:rPr>
          <w:rFonts w:ascii="Palatino Linotype" w:eastAsia="Palatino Linotype" w:hAnsi="Palatino Linotype" w:cs="Palatino Linotype"/>
          <w:color w:val="000000"/>
        </w:rPr>
        <w:t xml:space="preserve">ayor, quien refirió que las formas de pago nómina a servidores públicos, se encuentran reguladas por el Manual de Normas y Procedimientos de Desarrollo de Personal, en específico en los procedimientos: 021 Alta o reingreso de servidoras públicas y servidores públicos generales y de confianza; 081 Pago de nómina a servidoras públicas y a servidores públicos de mandos medios superiores, mandos medios </w:t>
      </w:r>
      <w:r w:rsidR="00AC143B">
        <w:rPr>
          <w:rFonts w:ascii="Palatino Linotype" w:eastAsia="Palatino Linotype" w:hAnsi="Palatino Linotype" w:cs="Palatino Linotype"/>
          <w:color w:val="000000"/>
        </w:rPr>
        <w:lastRenderedPageBreak/>
        <w:t xml:space="preserve">y de enlace y apoyo técnico y 082 Pago de nómina a servidoras públicas y a servidores públicos generales. </w:t>
      </w:r>
    </w:p>
    <w:p w14:paraId="7BB75565" w14:textId="77777777" w:rsidR="00446936" w:rsidRPr="0001679E" w:rsidRDefault="00446936" w:rsidP="00446936">
      <w:pPr>
        <w:pStyle w:val="Prrafodelista"/>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color w:val="000000"/>
        </w:rPr>
      </w:pPr>
    </w:p>
    <w:p w14:paraId="759EDBF5" w14:textId="05C7E0BD" w:rsidR="00F8557D" w:rsidRPr="008645E3"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Recurso de Revisión. </w:t>
      </w:r>
      <w:r>
        <w:rPr>
          <w:rFonts w:ascii="Palatino Linotype" w:eastAsia="Palatino Linotype" w:hAnsi="Palatino Linotype" w:cs="Palatino Linotype"/>
          <w:color w:val="000000"/>
          <w:sz w:val="24"/>
          <w:szCs w:val="24"/>
        </w:rPr>
        <w:t>E</w:t>
      </w:r>
      <w:r w:rsidRPr="008645E3">
        <w:rPr>
          <w:rFonts w:ascii="Palatino Linotype" w:eastAsia="Palatino Linotype" w:hAnsi="Palatino Linotype" w:cs="Palatino Linotype"/>
          <w:color w:val="000000"/>
          <w:sz w:val="24"/>
          <w:szCs w:val="24"/>
        </w:rPr>
        <w:t xml:space="preserve">n fecha </w:t>
      </w:r>
      <w:r w:rsidR="00446936">
        <w:rPr>
          <w:rFonts w:ascii="Palatino Linotype" w:eastAsia="Palatino Linotype" w:hAnsi="Palatino Linotype" w:cs="Palatino Linotype"/>
          <w:b/>
          <w:color w:val="000000"/>
          <w:sz w:val="24"/>
          <w:szCs w:val="24"/>
        </w:rPr>
        <w:t>once de abril</w:t>
      </w:r>
      <w:r>
        <w:rPr>
          <w:rFonts w:ascii="Palatino Linotype" w:eastAsia="Palatino Linotype" w:hAnsi="Palatino Linotype" w:cs="Palatino Linotype"/>
          <w:b/>
          <w:color w:val="000000"/>
          <w:sz w:val="24"/>
          <w:szCs w:val="24"/>
        </w:rPr>
        <w:t xml:space="preserve"> de</w:t>
      </w:r>
      <w:r w:rsidRPr="008645E3">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dos mil veintitrés</w:t>
      </w:r>
      <w:r w:rsidRPr="008645E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la persona Solicitante</w:t>
      </w:r>
      <w:r w:rsidR="00646B44" w:rsidRPr="008645E3">
        <w:rPr>
          <w:rFonts w:ascii="Palatino Linotype" w:eastAsia="Palatino Linotype" w:hAnsi="Palatino Linotype" w:cs="Palatino Linotype"/>
          <w:color w:val="000000"/>
          <w:sz w:val="24"/>
          <w:szCs w:val="24"/>
        </w:rPr>
        <w:t xml:space="preserve"> interpuso Recurso de Revisión a través del </w:t>
      </w:r>
      <w:r w:rsidR="00646B44" w:rsidRPr="008645E3">
        <w:rPr>
          <w:rFonts w:ascii="Palatino Linotype" w:eastAsia="Palatino Linotype" w:hAnsi="Palatino Linotype" w:cs="Palatino Linotype"/>
          <w:b/>
          <w:color w:val="000000"/>
          <w:sz w:val="24"/>
          <w:szCs w:val="24"/>
        </w:rPr>
        <w:t>SAIMEX</w:t>
      </w:r>
      <w:r w:rsidR="00646B44" w:rsidRPr="008645E3">
        <w:rPr>
          <w:rFonts w:ascii="Palatino Linotype" w:eastAsia="Palatino Linotype" w:hAnsi="Palatino Linotype" w:cs="Palatino Linotype"/>
          <w:color w:val="000000"/>
          <w:sz w:val="24"/>
          <w:szCs w:val="24"/>
        </w:rPr>
        <w:t>, a través del cual expresó lo siguiente:</w:t>
      </w:r>
    </w:p>
    <w:p w14:paraId="6A6948AD" w14:textId="77777777" w:rsidR="00F8557D" w:rsidRPr="008645E3"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64160CA8" w14:textId="4E16F8BB" w:rsidR="00F8557D" w:rsidRPr="008645E3"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r w:rsidRPr="008645E3">
        <w:rPr>
          <w:rFonts w:ascii="Palatino Linotype" w:eastAsia="Palatino Linotype" w:hAnsi="Palatino Linotype" w:cs="Palatino Linotype"/>
          <w:b/>
          <w:color w:val="000000"/>
          <w:sz w:val="24"/>
          <w:szCs w:val="24"/>
        </w:rPr>
        <w:t>Acto impugnado</w:t>
      </w:r>
      <w:r w:rsidRPr="00B628D1">
        <w:rPr>
          <w:rFonts w:ascii="Palatino Linotype" w:eastAsia="Palatino Linotype" w:hAnsi="Palatino Linotype" w:cs="Palatino Linotype"/>
          <w:b/>
          <w:i/>
          <w:color w:val="000000"/>
          <w:sz w:val="24"/>
          <w:szCs w:val="24"/>
        </w:rPr>
        <w:t xml:space="preserve">. </w:t>
      </w:r>
      <w:r w:rsidRPr="00B628D1">
        <w:rPr>
          <w:rFonts w:ascii="Palatino Linotype" w:eastAsia="Palatino Linotype" w:hAnsi="Palatino Linotype" w:cs="Palatino Linotype"/>
          <w:i/>
          <w:color w:val="000000"/>
        </w:rPr>
        <w:t>“</w:t>
      </w:r>
      <w:r w:rsidR="00446936" w:rsidRPr="00446936">
        <w:rPr>
          <w:rFonts w:ascii="Palatino Linotype" w:eastAsia="Palatino Linotype" w:hAnsi="Palatino Linotype" w:cs="Palatino Linotype"/>
          <w:i/>
          <w:color w:val="000000"/>
        </w:rPr>
        <w:t xml:space="preserve">La respuesta a mi escrito de </w:t>
      </w:r>
      <w:proofErr w:type="spellStart"/>
      <w:r w:rsidR="00446936" w:rsidRPr="00446936">
        <w:rPr>
          <w:rFonts w:ascii="Palatino Linotype" w:eastAsia="Palatino Linotype" w:hAnsi="Palatino Linotype" w:cs="Palatino Linotype"/>
          <w:i/>
          <w:color w:val="000000"/>
        </w:rPr>
        <w:t>peticion</w:t>
      </w:r>
      <w:proofErr w:type="spellEnd"/>
      <w:r w:rsidR="00446936" w:rsidRPr="00446936">
        <w:rPr>
          <w:rFonts w:ascii="Palatino Linotype" w:eastAsia="Palatino Linotype" w:hAnsi="Palatino Linotype" w:cs="Palatino Linotype"/>
          <w:i/>
          <w:color w:val="000000"/>
        </w:rPr>
        <w:t xml:space="preserve"> 00125/SSEM/IP/2023</w:t>
      </w:r>
      <w:r w:rsidRPr="00B628D1">
        <w:rPr>
          <w:rFonts w:ascii="Palatino Linotype" w:eastAsia="Palatino Linotype" w:hAnsi="Palatino Linotype" w:cs="Palatino Linotype"/>
          <w:i/>
          <w:color w:val="000000"/>
        </w:rPr>
        <w:t>”.</w:t>
      </w:r>
    </w:p>
    <w:p w14:paraId="3CF073E1" w14:textId="77777777" w:rsidR="00F8557D" w:rsidRPr="008645E3"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sz w:val="24"/>
          <w:szCs w:val="24"/>
        </w:rPr>
      </w:pPr>
    </w:p>
    <w:p w14:paraId="0F61B626" w14:textId="35910990" w:rsidR="00F8557D" w:rsidRDefault="00646B44" w:rsidP="00FF17F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color w:val="000000"/>
        </w:rPr>
      </w:pPr>
      <w:r w:rsidRPr="008645E3">
        <w:rPr>
          <w:rFonts w:ascii="Palatino Linotype" w:eastAsia="Palatino Linotype" w:hAnsi="Palatino Linotype" w:cs="Palatino Linotype"/>
          <w:b/>
          <w:color w:val="000000"/>
          <w:sz w:val="24"/>
          <w:szCs w:val="24"/>
        </w:rPr>
        <w:t xml:space="preserve">Razones o motivos de la inconformidad: </w:t>
      </w:r>
      <w:r w:rsidRPr="002D6A54">
        <w:rPr>
          <w:rFonts w:ascii="Palatino Linotype" w:eastAsia="Palatino Linotype" w:hAnsi="Palatino Linotype" w:cs="Palatino Linotype"/>
          <w:color w:val="000000"/>
        </w:rPr>
        <w:t>“</w:t>
      </w:r>
      <w:r w:rsidR="00346663" w:rsidRPr="00346663">
        <w:rPr>
          <w:rFonts w:ascii="Palatino Linotype" w:eastAsia="Palatino Linotype" w:hAnsi="Palatino Linotype" w:cs="Palatino Linotype"/>
          <w:bCs/>
          <w:i/>
          <w:color w:val="000000"/>
        </w:rPr>
        <w:t xml:space="preserve">Es evidente que existe una negativa de darme la información que solicito, pues es información que debe obrar en dicha dependencia, pues no encuentra como consulta de trámite, derecho de petición o similar, pues las preguntas están dirigidas a conocer datos </w:t>
      </w:r>
      <w:proofErr w:type="spellStart"/>
      <w:r w:rsidR="00346663" w:rsidRPr="00346663">
        <w:rPr>
          <w:rFonts w:ascii="Palatino Linotype" w:eastAsia="Palatino Linotype" w:hAnsi="Palatino Linotype" w:cs="Palatino Linotype"/>
          <w:bCs/>
          <w:i/>
          <w:color w:val="000000"/>
        </w:rPr>
        <w:t>estadisticos</w:t>
      </w:r>
      <w:proofErr w:type="spellEnd"/>
      <w:r w:rsidR="00346663" w:rsidRPr="00346663">
        <w:rPr>
          <w:rFonts w:ascii="Palatino Linotype" w:eastAsia="Palatino Linotype" w:hAnsi="Palatino Linotype" w:cs="Palatino Linotype"/>
          <w:bCs/>
          <w:i/>
          <w:color w:val="000000"/>
        </w:rPr>
        <w:t xml:space="preserve">, fundamentos y motivaciones de conformidad con los artículos 14 y 16 constitucionales. Además de que se solicita nombre de servidores públicos que tienen a su cargo revisar y verificar la información que solicito. </w:t>
      </w:r>
      <w:proofErr w:type="spellStart"/>
      <w:r w:rsidR="00346663" w:rsidRPr="00346663">
        <w:rPr>
          <w:rFonts w:ascii="Palatino Linotype" w:eastAsia="Palatino Linotype" w:hAnsi="Palatino Linotype" w:cs="Palatino Linotype"/>
          <w:bCs/>
          <w:i/>
          <w:color w:val="000000"/>
        </w:rPr>
        <w:t>Asi</w:t>
      </w:r>
      <w:proofErr w:type="spellEnd"/>
      <w:r w:rsidR="00346663" w:rsidRPr="00346663">
        <w:rPr>
          <w:rFonts w:ascii="Palatino Linotype" w:eastAsia="Palatino Linotype" w:hAnsi="Palatino Linotype" w:cs="Palatino Linotype"/>
          <w:bCs/>
          <w:i/>
          <w:color w:val="000000"/>
        </w:rPr>
        <w:t xml:space="preserve"> como saber el destino del recurso financiero que fue erogado mediante cheques, por lo que no es </w:t>
      </w:r>
      <w:proofErr w:type="spellStart"/>
      <w:r w:rsidR="00346663" w:rsidRPr="00346663">
        <w:rPr>
          <w:rFonts w:ascii="Palatino Linotype" w:eastAsia="Palatino Linotype" w:hAnsi="Palatino Linotype" w:cs="Palatino Linotype"/>
          <w:bCs/>
          <w:i/>
          <w:color w:val="000000"/>
        </w:rPr>
        <w:t>valida</w:t>
      </w:r>
      <w:proofErr w:type="spellEnd"/>
      <w:r w:rsidR="00346663" w:rsidRPr="00346663">
        <w:rPr>
          <w:rFonts w:ascii="Palatino Linotype" w:eastAsia="Palatino Linotype" w:hAnsi="Palatino Linotype" w:cs="Palatino Linotype"/>
          <w:bCs/>
          <w:i/>
          <w:color w:val="000000"/>
        </w:rPr>
        <w:t xml:space="preserve"> la respuesta que da la autoridad para negar la información, al ser información </w:t>
      </w:r>
      <w:proofErr w:type="spellStart"/>
      <w:r w:rsidR="00346663" w:rsidRPr="00346663">
        <w:rPr>
          <w:rFonts w:ascii="Palatino Linotype" w:eastAsia="Palatino Linotype" w:hAnsi="Palatino Linotype" w:cs="Palatino Linotype"/>
          <w:bCs/>
          <w:i/>
          <w:color w:val="000000"/>
        </w:rPr>
        <w:t>publica</w:t>
      </w:r>
      <w:proofErr w:type="spellEnd"/>
      <w:r w:rsidR="00346663" w:rsidRPr="00346663">
        <w:rPr>
          <w:rFonts w:ascii="Palatino Linotype" w:eastAsia="Palatino Linotype" w:hAnsi="Palatino Linotype" w:cs="Palatino Linotype"/>
          <w:bCs/>
          <w:i/>
          <w:color w:val="000000"/>
        </w:rPr>
        <w:t xml:space="preserve"> y por no encontrarse debidamente fundada y motivada la negativa</w:t>
      </w:r>
      <w:r w:rsidR="00F22AE1" w:rsidRPr="002D6A54">
        <w:rPr>
          <w:rFonts w:ascii="Palatino Linotype" w:eastAsia="Palatino Linotype" w:hAnsi="Palatino Linotype" w:cs="Palatino Linotype"/>
          <w:i/>
          <w:color w:val="000000"/>
        </w:rPr>
        <w:t>”.</w:t>
      </w:r>
    </w:p>
    <w:p w14:paraId="41301D30" w14:textId="77777777" w:rsidR="00B628D1" w:rsidRPr="00FF17F3" w:rsidRDefault="00B628D1" w:rsidP="00B628D1">
      <w:pPr>
        <w:pBdr>
          <w:top w:val="nil"/>
          <w:left w:val="nil"/>
          <w:bottom w:val="nil"/>
          <w:right w:val="nil"/>
          <w:between w:val="nil"/>
        </w:pBdr>
        <w:tabs>
          <w:tab w:val="left" w:pos="1276"/>
        </w:tabs>
        <w:spacing w:after="0" w:line="360" w:lineRule="auto"/>
        <w:ind w:left="567" w:right="701"/>
        <w:jc w:val="both"/>
        <w:rPr>
          <w:rFonts w:ascii="Palatino Linotype" w:eastAsia="Palatino Linotype" w:hAnsi="Palatino Linotype" w:cs="Palatino Linotype"/>
          <w:i/>
          <w:color w:val="000000"/>
          <w:sz w:val="24"/>
          <w:szCs w:val="24"/>
        </w:rPr>
      </w:pPr>
    </w:p>
    <w:p w14:paraId="2C5BB885" w14:textId="5DB3BC0A" w:rsidR="00F8557D" w:rsidRDefault="00646B44" w:rsidP="00B628D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Turno.</w:t>
      </w:r>
      <w:r w:rsidRPr="008645E3">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revisión número </w:t>
      </w:r>
      <w:r w:rsidR="00D53D49">
        <w:rPr>
          <w:rFonts w:ascii="Palatino Linotype" w:eastAsia="Palatino Linotype" w:hAnsi="Palatino Linotype" w:cs="Palatino Linotype"/>
          <w:b/>
          <w:color w:val="000000"/>
          <w:sz w:val="24"/>
          <w:szCs w:val="24"/>
        </w:rPr>
        <w:t>01884</w:t>
      </w:r>
      <w:r w:rsidR="00D7458B">
        <w:rPr>
          <w:rFonts w:ascii="Palatino Linotype" w:eastAsia="Palatino Linotype" w:hAnsi="Palatino Linotype" w:cs="Palatino Linotype"/>
          <w:b/>
          <w:color w:val="000000"/>
          <w:sz w:val="24"/>
          <w:szCs w:val="24"/>
        </w:rPr>
        <w:t>/INFOEM/IP/RR/2023</w:t>
      </w:r>
      <w:r w:rsidRPr="008645E3">
        <w:rPr>
          <w:rFonts w:ascii="Palatino Linotype" w:eastAsia="Palatino Linotype" w:hAnsi="Palatino Linotype" w:cs="Palatino Linotype"/>
          <w:color w:val="000000"/>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9ACAD97" w14:textId="77777777" w:rsidR="00D53D49" w:rsidRPr="00B628D1" w:rsidRDefault="00D53D49" w:rsidP="00D53D4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5C29537" w14:textId="1AEB684F" w:rsidR="00F8557D" w:rsidRPr="008645E3"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lastRenderedPageBreak/>
        <w:t>Admisión del recurso de revisión</w:t>
      </w:r>
      <w:r w:rsidRPr="008645E3">
        <w:rPr>
          <w:rFonts w:ascii="Palatino Linotype" w:eastAsia="Palatino Linotype" w:hAnsi="Palatino Linotype" w:cs="Palatino Linotype"/>
          <w:color w:val="000000"/>
          <w:sz w:val="24"/>
          <w:szCs w:val="24"/>
        </w:rPr>
        <w:t xml:space="preserve">: En fecha </w:t>
      </w:r>
      <w:r w:rsidR="00D53D49">
        <w:rPr>
          <w:rFonts w:ascii="Palatino Linotype" w:eastAsia="Palatino Linotype" w:hAnsi="Palatino Linotype" w:cs="Palatino Linotype"/>
          <w:b/>
          <w:color w:val="000000"/>
          <w:sz w:val="24"/>
          <w:szCs w:val="24"/>
        </w:rPr>
        <w:t>catorce de abril</w:t>
      </w:r>
      <w:r w:rsidR="00B628D1">
        <w:rPr>
          <w:rFonts w:ascii="Palatino Linotype" w:eastAsia="Palatino Linotype" w:hAnsi="Palatino Linotype" w:cs="Palatino Linotype"/>
          <w:b/>
          <w:color w:val="000000"/>
          <w:sz w:val="24"/>
          <w:szCs w:val="24"/>
        </w:rPr>
        <w:t xml:space="preserve"> </w:t>
      </w:r>
      <w:r w:rsidR="00D7458B">
        <w:rPr>
          <w:rFonts w:ascii="Palatino Linotype" w:eastAsia="Palatino Linotype" w:hAnsi="Palatino Linotype" w:cs="Palatino Linotype"/>
          <w:b/>
          <w:color w:val="000000"/>
          <w:sz w:val="24"/>
          <w:szCs w:val="24"/>
        </w:rPr>
        <w:t>de dos mil veintitrés</w:t>
      </w:r>
      <w:r w:rsidRPr="008645E3">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8645E3" w:rsidRDefault="00F8557D">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313B711E" w14:textId="20BF9B5F" w:rsidR="00B65B2E" w:rsidRPr="00B65B2E"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t xml:space="preserve">Informe Justificado. </w:t>
      </w:r>
      <w:r w:rsidR="00B65B2E">
        <w:rPr>
          <w:rFonts w:ascii="Palatino Linotype" w:eastAsia="Palatino Linotype" w:hAnsi="Palatino Linotype" w:cs="Palatino Linotype"/>
          <w:bCs/>
          <w:color w:val="000000"/>
          <w:sz w:val="24"/>
          <w:szCs w:val="24"/>
        </w:rPr>
        <w:t xml:space="preserve">En fecha </w:t>
      </w:r>
      <w:r w:rsidR="00D53D49">
        <w:rPr>
          <w:rFonts w:ascii="Palatino Linotype" w:eastAsia="Palatino Linotype" w:hAnsi="Palatino Linotype" w:cs="Palatino Linotype"/>
          <w:b/>
          <w:bCs/>
          <w:color w:val="000000"/>
          <w:sz w:val="24"/>
          <w:szCs w:val="24"/>
        </w:rPr>
        <w:t>veinticinco de abril</w:t>
      </w:r>
      <w:r w:rsidR="00B628D1">
        <w:rPr>
          <w:rFonts w:ascii="Palatino Linotype" w:eastAsia="Palatino Linotype" w:hAnsi="Palatino Linotype" w:cs="Palatino Linotype"/>
          <w:b/>
          <w:bCs/>
          <w:color w:val="000000"/>
          <w:sz w:val="24"/>
          <w:szCs w:val="24"/>
        </w:rPr>
        <w:t xml:space="preserve"> </w:t>
      </w:r>
      <w:r w:rsidR="00B65B2E">
        <w:rPr>
          <w:rFonts w:ascii="Palatino Linotype" w:eastAsia="Palatino Linotype" w:hAnsi="Palatino Linotype" w:cs="Palatino Linotype"/>
          <w:b/>
          <w:bCs/>
          <w:color w:val="000000"/>
          <w:sz w:val="24"/>
          <w:szCs w:val="24"/>
        </w:rPr>
        <w:t xml:space="preserve">de dos mil veintitrés </w:t>
      </w:r>
      <w:r w:rsidR="00B65B2E">
        <w:rPr>
          <w:rFonts w:ascii="Palatino Linotype" w:eastAsia="Palatino Linotype" w:hAnsi="Palatino Linotype" w:cs="Palatino Linotype"/>
          <w:bCs/>
          <w:color w:val="000000"/>
          <w:sz w:val="24"/>
          <w:szCs w:val="24"/>
        </w:rPr>
        <w:t xml:space="preserve">el </w:t>
      </w:r>
      <w:r w:rsidR="00B65B2E">
        <w:rPr>
          <w:rFonts w:ascii="Palatino Linotype" w:eastAsia="Palatino Linotype" w:hAnsi="Palatino Linotype" w:cs="Palatino Linotype"/>
          <w:b/>
          <w:bCs/>
          <w:color w:val="000000"/>
          <w:sz w:val="24"/>
          <w:szCs w:val="24"/>
        </w:rPr>
        <w:t xml:space="preserve">SUJETO OBLIGADO </w:t>
      </w:r>
      <w:r w:rsidR="00B65B2E">
        <w:rPr>
          <w:rFonts w:ascii="Palatino Linotype" w:eastAsia="Palatino Linotype" w:hAnsi="Palatino Linotype" w:cs="Palatino Linotype"/>
          <w:bCs/>
          <w:color w:val="000000"/>
          <w:sz w:val="24"/>
          <w:szCs w:val="24"/>
        </w:rPr>
        <w:t>rindió su informe justificado, al tenor de lo siguiente:</w:t>
      </w:r>
    </w:p>
    <w:p w14:paraId="58ADE2B9" w14:textId="77777777" w:rsidR="00B65B2E" w:rsidRDefault="00B65B2E" w:rsidP="00B65B2E">
      <w:pPr>
        <w:pBdr>
          <w:top w:val="nil"/>
          <w:left w:val="nil"/>
          <w:bottom w:val="nil"/>
          <w:right w:val="nil"/>
          <w:between w:val="nil"/>
        </w:pBdr>
        <w:spacing w:after="0" w:line="360" w:lineRule="auto"/>
        <w:ind w:right="49"/>
        <w:jc w:val="both"/>
        <w:rPr>
          <w:rFonts w:ascii="Palatino Linotype" w:eastAsia="Palatino Linotype" w:hAnsi="Palatino Linotype" w:cs="Palatino Linotype"/>
          <w:bCs/>
          <w:color w:val="000000"/>
          <w:sz w:val="24"/>
          <w:szCs w:val="24"/>
        </w:rPr>
      </w:pPr>
    </w:p>
    <w:p w14:paraId="111AFB1D" w14:textId="27E125FD" w:rsidR="0052303E" w:rsidRPr="0052303E" w:rsidRDefault="00B628D1" w:rsidP="00D53D49">
      <w:pPr>
        <w:pStyle w:val="Prrafodelista"/>
        <w:numPr>
          <w:ilvl w:val="0"/>
          <w:numId w:val="16"/>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Cs w:val="24"/>
        </w:rPr>
        <w:t>O</w:t>
      </w:r>
      <w:r w:rsidR="00D53D49">
        <w:rPr>
          <w:rFonts w:ascii="Palatino Linotype" w:eastAsia="Palatino Linotype" w:hAnsi="Palatino Linotype" w:cs="Palatino Linotype"/>
          <w:color w:val="000000"/>
          <w:szCs w:val="24"/>
        </w:rPr>
        <w:t xml:space="preserve">ficio de fecha veintiuno de abril de dos mil veintitrés, signado por la titular de la Unidad de Transparencia, mediante el cual ratificó su respuesta inicial.  </w:t>
      </w:r>
    </w:p>
    <w:p w14:paraId="13B1EBBD" w14:textId="77777777" w:rsidR="00AC79ED" w:rsidRDefault="00AC79ED"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E96C408" w14:textId="4D7A1E2B" w:rsidR="00B628D1" w:rsidRDefault="005A3826"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szCs w:val="24"/>
        </w:rPr>
      </w:pPr>
      <w:r w:rsidRPr="00933869">
        <w:rPr>
          <w:rFonts w:ascii="Palatino Linotype" w:eastAsia="Palatino Linotype" w:hAnsi="Palatino Linotype" w:cs="Palatino Linotype"/>
          <w:color w:val="000000"/>
          <w:szCs w:val="24"/>
        </w:rPr>
        <w:t xml:space="preserve">Documentos </w:t>
      </w:r>
      <w:r w:rsidR="00933869" w:rsidRPr="00933869">
        <w:rPr>
          <w:rFonts w:ascii="Palatino Linotype" w:eastAsia="Palatino Linotype" w:hAnsi="Palatino Linotype" w:cs="Palatino Linotype"/>
          <w:color w:val="000000"/>
          <w:szCs w:val="24"/>
        </w:rPr>
        <w:t xml:space="preserve">que se hicieron del conocimiento de la parte Recurrente </w:t>
      </w:r>
      <w:r w:rsidR="00B628D1">
        <w:rPr>
          <w:rFonts w:ascii="Palatino Linotype" w:eastAsia="Palatino Linotype" w:hAnsi="Palatino Linotype" w:cs="Palatino Linotype"/>
          <w:b/>
          <w:color w:val="000000"/>
          <w:szCs w:val="24"/>
        </w:rPr>
        <w:t xml:space="preserve">el </w:t>
      </w:r>
      <w:r w:rsidR="00D53D49">
        <w:rPr>
          <w:rFonts w:ascii="Palatino Linotype" w:eastAsia="Palatino Linotype" w:hAnsi="Palatino Linotype" w:cs="Palatino Linotype"/>
          <w:b/>
          <w:color w:val="000000"/>
          <w:szCs w:val="24"/>
        </w:rPr>
        <w:t xml:space="preserve">quince de noviembre de dos mil veintitrés. </w:t>
      </w:r>
    </w:p>
    <w:p w14:paraId="4DF83406" w14:textId="68EB23BF" w:rsidR="005A3826" w:rsidRPr="00933869"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933869">
        <w:rPr>
          <w:rFonts w:ascii="Palatino Linotype" w:eastAsia="Palatino Linotype" w:hAnsi="Palatino Linotype" w:cs="Palatino Linotype"/>
          <w:color w:val="000000"/>
          <w:szCs w:val="24"/>
        </w:rPr>
        <w:t xml:space="preserve"> </w:t>
      </w:r>
    </w:p>
    <w:p w14:paraId="08F14BE3" w14:textId="18B50613" w:rsidR="00933869" w:rsidRPr="00933869"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Cs w:val="24"/>
        </w:rPr>
      </w:pPr>
      <w:r w:rsidRPr="00933869">
        <w:rPr>
          <w:rFonts w:ascii="Palatino Linotype" w:eastAsia="Palatino Linotype" w:hAnsi="Palatino Linotype" w:cs="Palatino Linotype"/>
          <w:color w:val="000000"/>
          <w:szCs w:val="24"/>
        </w:rPr>
        <w:t xml:space="preserve">La parte Recurrente no realizó manifestaciones. </w:t>
      </w:r>
    </w:p>
    <w:p w14:paraId="6C47C748" w14:textId="77777777" w:rsidR="00933869" w:rsidRPr="00AC79ED"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06E515F" w14:textId="2D97EA0C" w:rsidR="00933869" w:rsidRPr="008B7BCF" w:rsidRDefault="00646B44" w:rsidP="0093386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r w:rsidRPr="008B7BCF">
        <w:rPr>
          <w:rFonts w:ascii="Palatino Linotype" w:eastAsia="Palatino Linotype" w:hAnsi="Palatino Linotype" w:cs="Palatino Linotype"/>
          <w:b/>
          <w:color w:val="000000"/>
          <w:sz w:val="24"/>
          <w:szCs w:val="24"/>
        </w:rPr>
        <w:t>Ampliación de plazo:</w:t>
      </w:r>
      <w:r w:rsidRPr="008B7BCF">
        <w:rPr>
          <w:rFonts w:ascii="Palatino Linotype" w:eastAsia="Palatino Linotype" w:hAnsi="Palatino Linotype" w:cs="Palatino Linotype"/>
          <w:color w:val="000000"/>
          <w:sz w:val="24"/>
          <w:szCs w:val="24"/>
        </w:rPr>
        <w:t xml:space="preserve"> </w:t>
      </w:r>
      <w:r w:rsidR="00933869" w:rsidRPr="008B7BCF">
        <w:rPr>
          <w:rFonts w:ascii="Palatino Linotype" w:eastAsia="Palatino Linotype" w:hAnsi="Palatino Linotype" w:cs="Palatino Linotype"/>
          <w:color w:val="000000"/>
          <w:sz w:val="24"/>
          <w:szCs w:val="24"/>
        </w:rPr>
        <w:t xml:space="preserve">En fecha </w:t>
      </w:r>
      <w:r w:rsidR="00D53D49">
        <w:rPr>
          <w:rFonts w:ascii="Palatino Linotype" w:eastAsia="Palatino Linotype" w:hAnsi="Palatino Linotype" w:cs="Palatino Linotype"/>
          <w:b/>
          <w:color w:val="000000"/>
          <w:sz w:val="24"/>
          <w:szCs w:val="24"/>
        </w:rPr>
        <w:t>quince de noviembre</w:t>
      </w:r>
      <w:r w:rsidR="00933869" w:rsidRPr="008B7BCF">
        <w:rPr>
          <w:rFonts w:ascii="Palatino Linotype" w:eastAsia="Palatino Linotype" w:hAnsi="Palatino Linotype" w:cs="Palatino Linotype"/>
          <w:b/>
          <w:color w:val="000000"/>
          <w:sz w:val="24"/>
          <w:szCs w:val="24"/>
        </w:rPr>
        <w:t xml:space="preserve"> de dos mil veintitrés</w:t>
      </w:r>
      <w:r w:rsidR="00933869" w:rsidRPr="008B7BCF">
        <w:rPr>
          <w:rFonts w:ascii="Palatino Linotype" w:eastAsia="Palatino Linotype" w:hAnsi="Palatino Linotype" w:cs="Palatino Linotype"/>
          <w:color w:val="000000"/>
          <w:sz w:val="24"/>
          <w:szCs w:val="24"/>
        </w:rPr>
        <w:t>, con fundamento en el artículo 181, párrafo tercero de la Ley de Transparencia y Acceso a la Información Pública del Estado de México y Municipios, se acordó la ampliación del plazo para su resolución.</w:t>
      </w:r>
    </w:p>
    <w:p w14:paraId="53348BE4" w14:textId="77777777" w:rsidR="00933869" w:rsidRPr="00933869" w:rsidRDefault="00933869" w:rsidP="00933869">
      <w:pPr>
        <w:widowControl w:val="0"/>
        <w:spacing w:after="0" w:line="360" w:lineRule="auto"/>
        <w:jc w:val="both"/>
        <w:rPr>
          <w:rFonts w:ascii="Palatino Linotype" w:eastAsia="Palatino Linotype" w:hAnsi="Palatino Linotype" w:cs="Palatino Linotype"/>
          <w:sz w:val="24"/>
        </w:rPr>
      </w:pPr>
    </w:p>
    <w:p w14:paraId="21E796B3"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w:t>
      </w:r>
      <w:r w:rsidRPr="00933869">
        <w:rPr>
          <w:rFonts w:ascii="Palatino Linotype" w:eastAsia="Palatino Linotype" w:hAnsi="Palatino Linotype" w:cs="Palatino Linotype"/>
          <w:sz w:val="24"/>
        </w:rPr>
        <w:lastRenderedPageBreak/>
        <w:t>recibidos el año dos mil veintiuno, se incrementó aproximadamente un 300%, circunstancia atípica que ha rebasado las capacidades técnicas y humanas del personal encargado de la proyección de las resoluciones a dichos medios de impugnación.</w:t>
      </w:r>
    </w:p>
    <w:p w14:paraId="4C8D27F2"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E423D5D"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459D51E7" w14:textId="6024B3AC"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5BDB9E" w14:textId="77777777" w:rsidR="00933869" w:rsidRPr="00933869" w:rsidRDefault="00933869" w:rsidP="00933869">
      <w:pPr>
        <w:spacing w:after="0" w:line="360" w:lineRule="auto"/>
        <w:jc w:val="both"/>
        <w:rPr>
          <w:rFonts w:ascii="Palatino Linotype" w:eastAsia="Palatino Linotype" w:hAnsi="Palatino Linotype" w:cs="Palatino Linotype"/>
          <w:strike/>
          <w:color w:val="FF0000"/>
          <w:sz w:val="24"/>
        </w:rPr>
      </w:pPr>
      <w:r w:rsidRPr="00933869">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lastRenderedPageBreak/>
        <w:t>Complejidad del Asunto: La complejidad de la prueba, la pluralidad de sujetos procesales, el tiempo transcurrido, las características y contexto del recurso.</w:t>
      </w:r>
    </w:p>
    <w:p w14:paraId="6F380AA6"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t>Actividad Procesal del interesado. Acciones u omisiones del interesado.</w:t>
      </w:r>
    </w:p>
    <w:p w14:paraId="53FD7C10"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933869" w:rsidRDefault="00933869" w:rsidP="00933869">
      <w:pPr>
        <w:numPr>
          <w:ilvl w:val="0"/>
          <w:numId w:val="18"/>
        </w:numPr>
        <w:spacing w:after="0" w:line="360" w:lineRule="auto"/>
        <w:jc w:val="both"/>
        <w:rPr>
          <w:rFonts w:ascii="Palatino Linotype" w:eastAsia="Palatino Linotype" w:hAnsi="Palatino Linotype" w:cs="Palatino Linotype"/>
        </w:rPr>
      </w:pPr>
      <w:r w:rsidRPr="00933869">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2E961C91" w14:textId="7B0DA513" w:rsid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Argumento que encuentra sustento en la jurisprudencia P./J. 32/92 emitida por el Pleno de la Suprema Corte de Justicia de la Nación de rubro </w:t>
      </w:r>
      <w:r w:rsidRPr="00933869">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933869">
        <w:rPr>
          <w:rFonts w:ascii="Palatino Linotype" w:eastAsia="Palatino Linotype" w:hAnsi="Palatino Linotype" w:cs="Palatino Linotype"/>
          <w:sz w:val="24"/>
        </w:rPr>
        <w:t>, visible en la Gaceta del Seminario Judicial de la Federación con el registro digital 205635.</w:t>
      </w:r>
    </w:p>
    <w:p w14:paraId="37FAAB92" w14:textId="77777777" w:rsidR="00D53D49" w:rsidRPr="003A0D42" w:rsidRDefault="00D53D49" w:rsidP="00933869">
      <w:pPr>
        <w:spacing w:after="0" w:line="360" w:lineRule="auto"/>
        <w:jc w:val="both"/>
        <w:rPr>
          <w:rFonts w:ascii="Palatino Linotype" w:eastAsia="Palatino Linotype" w:hAnsi="Palatino Linotype" w:cs="Palatino Linotype"/>
          <w:b/>
          <w:sz w:val="24"/>
        </w:rPr>
      </w:pPr>
    </w:p>
    <w:p w14:paraId="4FD2A8D6" w14:textId="77777777"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933869">
        <w:rPr>
          <w:rFonts w:ascii="Palatino Linotype" w:eastAsia="Palatino Linotype" w:hAnsi="Palatino Linotype" w:cs="Palatino Linotype"/>
          <w:sz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933869" w:rsidRDefault="00933869" w:rsidP="00933869">
      <w:pPr>
        <w:spacing w:after="0" w:line="360" w:lineRule="auto"/>
        <w:jc w:val="both"/>
        <w:rPr>
          <w:rFonts w:ascii="Palatino Linotype" w:eastAsia="Palatino Linotype" w:hAnsi="Palatino Linotype" w:cs="Palatino Linotype"/>
          <w:sz w:val="24"/>
        </w:rPr>
      </w:pPr>
    </w:p>
    <w:p w14:paraId="564B1E1A" w14:textId="4BC2A56A" w:rsid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82B0B4" w14:textId="77777777" w:rsidR="003A0D42" w:rsidRPr="00933869" w:rsidRDefault="003A0D42" w:rsidP="00933869">
      <w:pPr>
        <w:spacing w:after="0" w:line="360" w:lineRule="auto"/>
        <w:jc w:val="both"/>
        <w:rPr>
          <w:rFonts w:ascii="Palatino Linotype" w:eastAsia="Palatino Linotype" w:hAnsi="Palatino Linotype" w:cs="Palatino Linotype"/>
          <w:sz w:val="24"/>
        </w:rPr>
      </w:pPr>
    </w:p>
    <w:p w14:paraId="1ACEBDDD" w14:textId="77777777" w:rsidR="00933869" w:rsidRPr="00933869" w:rsidRDefault="00933869" w:rsidP="00933869">
      <w:pPr>
        <w:spacing w:after="0" w:line="360" w:lineRule="auto"/>
        <w:ind w:left="567" w:right="616"/>
        <w:jc w:val="both"/>
        <w:rPr>
          <w:rFonts w:ascii="Palatino Linotype" w:eastAsia="Palatino Linotype" w:hAnsi="Palatino Linotype" w:cs="Palatino Linotype"/>
        </w:rPr>
      </w:pPr>
      <w:r w:rsidRPr="00933869">
        <w:rPr>
          <w:rFonts w:ascii="Palatino Linotype" w:eastAsia="Palatino Linotype" w:hAnsi="Palatino Linotype" w:cs="Palatino Linotype"/>
          <w:b/>
        </w:rPr>
        <w:t xml:space="preserve"> </w:t>
      </w:r>
      <w:r w:rsidRPr="00933869">
        <w:rPr>
          <w:rFonts w:ascii="Palatino Linotype" w:eastAsia="Palatino Linotype" w:hAnsi="Palatino Linotype" w:cs="Palatino Linotype"/>
          <w:b/>
          <w:i/>
        </w:rPr>
        <w:t>“PLAZO RAZONABLE PARA RESOLVER. DIMENSIÓN Y EFECTOS DE ESTE CONCEPTO CUANDO SE ADUCE EXCESIVA CARGA DE TRABAJO.”</w:t>
      </w:r>
      <w:r w:rsidRPr="00933869">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933869" w:rsidRDefault="00933869" w:rsidP="00933869">
      <w:pPr>
        <w:spacing w:after="0" w:line="360" w:lineRule="auto"/>
        <w:ind w:left="567" w:right="616"/>
        <w:jc w:val="both"/>
        <w:rPr>
          <w:rFonts w:ascii="Palatino Linotype" w:eastAsia="Palatino Linotype" w:hAnsi="Palatino Linotype" w:cs="Palatino Linotype"/>
          <w:b/>
        </w:rPr>
      </w:pPr>
    </w:p>
    <w:p w14:paraId="2E494089" w14:textId="11C1CB53" w:rsidR="00933869" w:rsidRDefault="00933869" w:rsidP="003A0D42">
      <w:pPr>
        <w:spacing w:after="0" w:line="360" w:lineRule="auto"/>
        <w:ind w:left="567" w:right="616"/>
        <w:jc w:val="both"/>
        <w:rPr>
          <w:rFonts w:ascii="Palatino Linotype" w:eastAsia="Palatino Linotype" w:hAnsi="Palatino Linotype" w:cs="Palatino Linotype"/>
        </w:rPr>
      </w:pPr>
      <w:r w:rsidRPr="00933869">
        <w:rPr>
          <w:rFonts w:ascii="Palatino Linotype" w:eastAsia="Palatino Linotype" w:hAnsi="Palatino Linotype" w:cs="Palatino Linotype"/>
          <w:b/>
          <w:i/>
        </w:rPr>
        <w:t>“PLAZO RAZONABLE PARA RESOLVER. CONCEPTO Y ELEMENTOS QUE LO INTEGRAN A LA LUZ DEL DERECHO INTERNACIONAL DE LOS DERECHOS HUMANOS</w:t>
      </w:r>
      <w:r w:rsidRPr="00933869">
        <w:rPr>
          <w:rFonts w:ascii="Palatino Linotype" w:eastAsia="Palatino Linotype" w:hAnsi="Palatino Linotype" w:cs="Palatino Linotype"/>
          <w:i/>
        </w:rPr>
        <w:t>.”</w:t>
      </w:r>
      <w:r w:rsidRPr="00933869">
        <w:rPr>
          <w:rFonts w:ascii="Palatino Linotype" w:eastAsia="Palatino Linotype" w:hAnsi="Palatino Linotype" w:cs="Palatino Linotype"/>
        </w:rPr>
        <w:t>, visible en el Seminario Judicial de la Federación y su gaceta, con el registro digital 2002350.</w:t>
      </w:r>
    </w:p>
    <w:p w14:paraId="2694D862" w14:textId="77777777" w:rsidR="00D53D49" w:rsidRPr="003A0D42" w:rsidRDefault="00D53D49" w:rsidP="003A0D42">
      <w:pPr>
        <w:spacing w:after="0" w:line="360" w:lineRule="auto"/>
        <w:ind w:left="567" w:right="616"/>
        <w:jc w:val="both"/>
        <w:rPr>
          <w:rFonts w:ascii="Palatino Linotype" w:eastAsia="Palatino Linotype" w:hAnsi="Palatino Linotype" w:cs="Palatino Linotype"/>
        </w:rPr>
      </w:pPr>
    </w:p>
    <w:p w14:paraId="7F5EBC64" w14:textId="0550C2A1" w:rsidR="00933869" w:rsidRPr="00933869" w:rsidRDefault="00933869" w:rsidP="00933869">
      <w:pPr>
        <w:spacing w:after="0" w:line="360" w:lineRule="auto"/>
        <w:jc w:val="both"/>
        <w:rPr>
          <w:rFonts w:ascii="Palatino Linotype" w:eastAsia="Palatino Linotype" w:hAnsi="Palatino Linotype" w:cs="Palatino Linotype"/>
          <w:sz w:val="24"/>
        </w:rPr>
      </w:pPr>
      <w:r w:rsidRPr="00933869">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5B61B20B" w14:textId="77777777" w:rsidR="005A3826" w:rsidRPr="00D7458B" w:rsidRDefault="005A3826" w:rsidP="005A382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color w:val="000000"/>
          <w:sz w:val="24"/>
          <w:szCs w:val="24"/>
        </w:rPr>
      </w:pPr>
    </w:p>
    <w:p w14:paraId="55385642" w14:textId="5BED75B8" w:rsidR="0003629B" w:rsidRPr="008645E3"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8645E3">
        <w:rPr>
          <w:rFonts w:ascii="Palatino Linotype" w:eastAsia="Palatino Linotype" w:hAnsi="Palatino Linotype" w:cs="Palatino Linotype"/>
          <w:b/>
          <w:color w:val="000000"/>
          <w:sz w:val="24"/>
          <w:szCs w:val="24"/>
        </w:rPr>
        <w:lastRenderedPageBreak/>
        <w:t>Cierre de instrucción</w:t>
      </w:r>
      <w:r w:rsidRPr="008645E3">
        <w:rPr>
          <w:rFonts w:ascii="Palatino Linotype" w:eastAsia="Palatino Linotype" w:hAnsi="Palatino Linotype" w:cs="Palatino Linotype"/>
          <w:color w:val="000000"/>
          <w:sz w:val="24"/>
          <w:szCs w:val="24"/>
        </w:rPr>
        <w:t xml:space="preserve">. En </w:t>
      </w:r>
      <w:r w:rsidRPr="004E4ADA">
        <w:rPr>
          <w:rFonts w:ascii="Palatino Linotype" w:eastAsia="Palatino Linotype" w:hAnsi="Palatino Linotype" w:cs="Palatino Linotype"/>
          <w:color w:val="000000"/>
          <w:sz w:val="24"/>
          <w:szCs w:val="24"/>
        </w:rPr>
        <w:t xml:space="preserve">fecha </w:t>
      </w:r>
      <w:r w:rsidR="00D53D49">
        <w:rPr>
          <w:rFonts w:ascii="Palatino Linotype" w:eastAsia="Palatino Linotype" w:hAnsi="Palatino Linotype" w:cs="Palatino Linotype"/>
          <w:b/>
          <w:color w:val="000000"/>
          <w:sz w:val="24"/>
          <w:szCs w:val="24"/>
        </w:rPr>
        <w:t>veintiocho de noviembre</w:t>
      </w:r>
      <w:r>
        <w:rPr>
          <w:rFonts w:ascii="Palatino Linotype" w:eastAsia="Palatino Linotype" w:hAnsi="Palatino Linotype" w:cs="Palatino Linotype"/>
          <w:b/>
          <w:color w:val="000000"/>
          <w:sz w:val="24"/>
          <w:szCs w:val="24"/>
        </w:rPr>
        <w:t xml:space="preserve"> de dos mil veintitrés</w:t>
      </w:r>
      <w:r w:rsidRPr="008645E3">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8645E3"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6F263D8" w14:textId="78D02D37" w:rsidR="00F22AE1"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8645E3"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II.</w:t>
      </w:r>
      <w:r w:rsidRPr="008645E3">
        <w:rPr>
          <w:rFonts w:ascii="Palatino Linotype" w:eastAsia="Palatino Linotype" w:hAnsi="Palatino Linotype" w:cs="Palatino Linotype"/>
          <w:b/>
          <w:sz w:val="24"/>
          <w:szCs w:val="24"/>
        </w:rPr>
        <w:tab/>
        <w:t>C O N S I D E R A N D O:</w:t>
      </w:r>
    </w:p>
    <w:p w14:paraId="3619A91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933869" w:rsidRDefault="00D7458B" w:rsidP="00D7458B">
      <w:pPr>
        <w:spacing w:after="0" w:line="360" w:lineRule="auto"/>
        <w:jc w:val="both"/>
        <w:rPr>
          <w:rFonts w:ascii="Palatino Linotype" w:eastAsia="Palatino Linotype" w:hAnsi="Palatino Linotype" w:cs="Palatino Linotype"/>
          <w:sz w:val="24"/>
        </w:rPr>
      </w:pPr>
      <w:r w:rsidRPr="00D7458B">
        <w:rPr>
          <w:rFonts w:ascii="Palatino Linotype" w:eastAsia="Palatino Linotype" w:hAnsi="Palatino Linotype" w:cs="Palatino Linotype"/>
          <w:b/>
          <w:sz w:val="24"/>
        </w:rPr>
        <w:t xml:space="preserve">Primero. Competencia. </w:t>
      </w:r>
      <w:r w:rsidR="00933869" w:rsidRPr="003D2CFE">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lastRenderedPageBreak/>
        <w:t>Segundo. Oportunidad y Procedibilidad del Recurso de Revisión.</w:t>
      </w:r>
      <w:r w:rsidRPr="008645E3">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B2D671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C0D0E0E" w14:textId="69A97CF6" w:rsidR="00933869" w:rsidRPr="002E22B0"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remitió la respuesta a</w:t>
      </w:r>
      <w:r w:rsidR="00864D69">
        <w:rPr>
          <w:rFonts w:ascii="Palatino Linotype" w:eastAsia="Palatino Linotype" w:hAnsi="Palatino Linotype" w:cs="Palatino Linotype"/>
          <w:sz w:val="24"/>
          <w:szCs w:val="24"/>
        </w:rPr>
        <w:t xml:space="preserve"> la solicitud de información el </w:t>
      </w:r>
      <w:r w:rsidR="00545BD0">
        <w:rPr>
          <w:rFonts w:ascii="Palatino Linotype" w:eastAsia="Palatino Linotype" w:hAnsi="Palatino Linotype" w:cs="Palatino Linotype"/>
          <w:b/>
          <w:sz w:val="24"/>
          <w:szCs w:val="24"/>
        </w:rPr>
        <w:t>diez de abril</w:t>
      </w:r>
      <w:r w:rsidR="00D7458B" w:rsidRPr="002E22B0">
        <w:rPr>
          <w:rFonts w:ascii="Palatino Linotype" w:eastAsia="Palatino Linotype" w:hAnsi="Palatino Linotype" w:cs="Palatino Linotype"/>
          <w:b/>
          <w:sz w:val="24"/>
          <w:szCs w:val="24"/>
        </w:rPr>
        <w:t xml:space="preserve"> </w:t>
      </w:r>
      <w:r w:rsidR="00D7458B">
        <w:rPr>
          <w:rFonts w:ascii="Palatino Linotype" w:eastAsia="Palatino Linotype" w:hAnsi="Palatino Linotype" w:cs="Palatino Linotype"/>
          <w:b/>
          <w:sz w:val="24"/>
          <w:szCs w:val="24"/>
        </w:rPr>
        <w:t>de dos mil veintitrés</w:t>
      </w:r>
      <w:r w:rsidRPr="008645E3">
        <w:rPr>
          <w:rFonts w:ascii="Palatino Linotype" w:eastAsia="Palatino Linotype" w:hAnsi="Palatino Linotype" w:cs="Palatino Linotype"/>
          <w:sz w:val="24"/>
          <w:szCs w:val="24"/>
        </w:rPr>
        <w:t xml:space="preserve">, mientras que el recurso de revisión interpuesto por la parte </w:t>
      </w:r>
      <w:r w:rsidRPr="008645E3">
        <w:rPr>
          <w:rFonts w:ascii="Palatino Linotype" w:eastAsia="Palatino Linotype" w:hAnsi="Palatino Linotype" w:cs="Palatino Linotype"/>
          <w:b/>
          <w:sz w:val="24"/>
          <w:szCs w:val="24"/>
        </w:rPr>
        <w:t xml:space="preserve">RECURRENTE </w:t>
      </w:r>
      <w:r w:rsidRPr="008645E3">
        <w:rPr>
          <w:rFonts w:ascii="Palatino Linotype" w:eastAsia="Palatino Linotype" w:hAnsi="Palatino Linotype" w:cs="Palatino Linotype"/>
          <w:sz w:val="24"/>
          <w:szCs w:val="24"/>
        </w:rPr>
        <w:t xml:space="preserve">se tuvo por presentado </w:t>
      </w:r>
      <w:r w:rsidR="002E22B0">
        <w:rPr>
          <w:rFonts w:ascii="Palatino Linotype" w:eastAsia="Palatino Linotype" w:hAnsi="Palatino Linotype" w:cs="Palatino Linotype"/>
          <w:sz w:val="24"/>
          <w:szCs w:val="24"/>
        </w:rPr>
        <w:t xml:space="preserve">al día hábil siguiente en que se tuvo conocimiento de la respuesta. </w:t>
      </w:r>
    </w:p>
    <w:p w14:paraId="57F0A066" w14:textId="77777777" w:rsidR="00933869" w:rsidRDefault="00933869">
      <w:pPr>
        <w:spacing w:after="0" w:line="360" w:lineRule="auto"/>
        <w:ind w:right="49"/>
        <w:jc w:val="both"/>
        <w:rPr>
          <w:rFonts w:ascii="Palatino Linotype" w:eastAsia="Palatino Linotype" w:hAnsi="Palatino Linotype" w:cs="Palatino Linotype"/>
          <w:sz w:val="24"/>
          <w:szCs w:val="24"/>
        </w:rPr>
      </w:pPr>
    </w:p>
    <w:p w14:paraId="5FDF933B" w14:textId="0FBDC9D9" w:rsidR="00DB71F7"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8645E3">
        <w:rPr>
          <w:rFonts w:ascii="Palatino Linotype" w:eastAsia="Palatino Linotype" w:hAnsi="Palatino Linotype" w:cs="Palatino Linotype"/>
          <w:b/>
          <w:sz w:val="24"/>
          <w:szCs w:val="24"/>
        </w:rPr>
        <w:t>SUJETO OBLIGADO</w:t>
      </w:r>
      <w:r w:rsidRPr="00933869">
        <w:rPr>
          <w:rFonts w:ascii="Palatino Linotype" w:eastAsia="Palatino Linotype" w:hAnsi="Palatino Linotype" w:cs="Palatino Linotype"/>
          <w:sz w:val="24"/>
          <w:szCs w:val="24"/>
        </w:rPr>
        <w:t>;</w:t>
      </w:r>
      <w:r w:rsidRPr="008645E3">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2A1F223" w14:textId="77777777" w:rsidR="003A0D42" w:rsidRDefault="003A0D42">
      <w:pPr>
        <w:spacing w:after="0" w:line="360" w:lineRule="auto"/>
        <w:ind w:right="49"/>
        <w:jc w:val="both"/>
        <w:rPr>
          <w:rFonts w:ascii="Palatino Linotype" w:eastAsia="Palatino Linotype" w:hAnsi="Palatino Linotype" w:cs="Palatino Linotype"/>
          <w:sz w:val="24"/>
          <w:szCs w:val="24"/>
        </w:rPr>
      </w:pPr>
    </w:p>
    <w:p w14:paraId="52AC41E3" w14:textId="2D7856AA" w:rsidR="00A14DC1" w:rsidRPr="001E6843" w:rsidRDefault="00A14DC1" w:rsidP="001E6843">
      <w:pPr>
        <w:spacing w:after="0" w:line="360" w:lineRule="auto"/>
        <w:jc w:val="both"/>
        <w:rPr>
          <w:rFonts w:ascii="Palatino Linotype" w:eastAsia="Palatino Linotype" w:hAnsi="Palatino Linotype" w:cs="Palatino Linotype"/>
          <w:sz w:val="24"/>
        </w:rPr>
      </w:pPr>
      <w:r w:rsidRPr="00A14DC1">
        <w:rPr>
          <w:rFonts w:ascii="Palatino Linotype" w:eastAsia="Palatino Linotype" w:hAnsi="Palatino Linotype" w:cs="Palatino Linotype"/>
          <w:sz w:val="24"/>
        </w:rPr>
        <w:t xml:space="preserve">Es de suma importancia mencionar que si bien, la parte no proporcionó un </w:t>
      </w:r>
      <w:r w:rsidRPr="00A14DC1">
        <w:rPr>
          <w:rFonts w:ascii="Palatino Linotype" w:eastAsia="Palatino Linotype" w:hAnsi="Palatino Linotype" w:cs="Palatino Linotype"/>
          <w:b/>
          <w:bCs/>
          <w:sz w:val="24"/>
          <w:u w:val="single"/>
        </w:rPr>
        <w:t>seudónimo o nombre</w:t>
      </w:r>
      <w:r w:rsidRPr="00A14DC1">
        <w:rPr>
          <w:rFonts w:ascii="Palatino Linotype" w:eastAsia="Palatino Linotype" w:hAnsi="Palatino Linotype" w:cs="Palatino Linotype"/>
          <w:b/>
          <w:bCs/>
          <w:sz w:val="24"/>
        </w:rPr>
        <w:t xml:space="preserve"> </w:t>
      </w:r>
      <w:r w:rsidRPr="00A14DC1">
        <w:rPr>
          <w:rFonts w:ascii="Palatino Linotype" w:eastAsia="Palatino Linotype" w:hAnsi="Palatino Linotype" w:cs="Palatino Linotype"/>
          <w:sz w:val="24"/>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5688CFD" w14:textId="77777777" w:rsidR="00A14DC1" w:rsidRPr="00107AF8" w:rsidRDefault="00A14DC1" w:rsidP="00A14DC1">
      <w:pPr>
        <w:spacing w:line="276" w:lineRule="auto"/>
        <w:ind w:left="567" w:right="843"/>
        <w:jc w:val="both"/>
        <w:rPr>
          <w:rFonts w:ascii="Palatino Linotype" w:eastAsia="Palatino Linotype" w:hAnsi="Palatino Linotype" w:cs="Palatino Linotype"/>
          <w:i/>
        </w:rPr>
      </w:pPr>
      <w:r w:rsidRPr="005928AD">
        <w:rPr>
          <w:rFonts w:ascii="Palatino Linotype" w:eastAsia="Palatino Linotype" w:hAnsi="Palatino Linotype" w:cs="Palatino Linotype"/>
          <w:i/>
        </w:rPr>
        <w:lastRenderedPageBreak/>
        <w:t>"Las solicitudes</w:t>
      </w:r>
      <w:r w:rsidRPr="005928AD">
        <w:rPr>
          <w:rFonts w:ascii="Palatino Linotype" w:eastAsia="Palatino Linotype" w:hAnsi="Palatino Linotype" w:cs="Palatino Linotype"/>
          <w:b/>
          <w:i/>
        </w:rPr>
        <w:t xml:space="preserve"> </w:t>
      </w:r>
      <w:r w:rsidRPr="007822FB">
        <w:rPr>
          <w:rFonts w:ascii="Palatino Linotype" w:eastAsia="Palatino Linotype" w:hAnsi="Palatino Linotype" w:cs="Palatino Linotype"/>
          <w:b/>
          <w:bCs/>
          <w:i/>
        </w:rPr>
        <w:t>anónimas</w:t>
      </w:r>
      <w:r w:rsidRPr="007B2518">
        <w:rPr>
          <w:rFonts w:ascii="Palatino Linotype" w:eastAsia="Palatino Linotype" w:hAnsi="Palatino Linotype" w:cs="Palatino Linotype"/>
          <w:bCs/>
          <w:i/>
        </w:rPr>
        <w:t xml:space="preserve">, con nombre incompleto o </w:t>
      </w:r>
      <w:r w:rsidRPr="007822FB">
        <w:rPr>
          <w:rFonts w:ascii="Palatino Linotype" w:eastAsia="Palatino Linotype" w:hAnsi="Palatino Linotype" w:cs="Palatino Linotype"/>
          <w:i/>
        </w:rPr>
        <w:t>seudónimo</w:t>
      </w:r>
      <w:r w:rsidRPr="007822FB">
        <w:rPr>
          <w:rFonts w:ascii="Palatino Linotype" w:eastAsia="Palatino Linotype" w:hAnsi="Palatino Linotype" w:cs="Palatino Linotype"/>
          <w:bCs/>
          <w:i/>
        </w:rPr>
        <w:t xml:space="preserve"> </w:t>
      </w:r>
      <w:r w:rsidRPr="007B2518">
        <w:rPr>
          <w:rFonts w:ascii="Palatino Linotype" w:eastAsia="Palatino Linotype" w:hAnsi="Palatino Linotype" w:cs="Palatino Linotype"/>
          <w:bCs/>
          <w:i/>
        </w:rPr>
        <w:t>serán procedentes para su trámite por parte</w:t>
      </w:r>
      <w:r w:rsidRPr="005928AD">
        <w:rPr>
          <w:rFonts w:ascii="Palatino Linotype" w:eastAsia="Palatino Linotype" w:hAnsi="Palatino Linotype" w:cs="Palatino Linotype"/>
          <w:i/>
        </w:rPr>
        <w:t xml:space="preserve"> del sujeto obligado ante quien se presente. No podrá requerirse información adicional con motivo del nombre proporcionado por el solicitante."</w:t>
      </w:r>
    </w:p>
    <w:p w14:paraId="7576F2AC" w14:textId="77777777" w:rsidR="00A14DC1" w:rsidRPr="008645E3" w:rsidRDefault="00A14DC1">
      <w:pPr>
        <w:spacing w:after="0" w:line="360" w:lineRule="auto"/>
        <w:ind w:right="49"/>
        <w:jc w:val="both"/>
        <w:rPr>
          <w:rFonts w:ascii="Palatino Linotype" w:eastAsia="Palatino Linotype" w:hAnsi="Palatino Linotype" w:cs="Palatino Linotype"/>
          <w:sz w:val="24"/>
          <w:szCs w:val="24"/>
        </w:rPr>
      </w:pPr>
    </w:p>
    <w:p w14:paraId="31B3F489" w14:textId="7D53E28E"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645E3">
        <w:rPr>
          <w:rFonts w:ascii="Palatino Linotype" w:eastAsia="Palatino Linotype" w:hAnsi="Palatino Linotype" w:cs="Palatino Linotype"/>
          <w:b/>
          <w:sz w:val="24"/>
          <w:szCs w:val="24"/>
        </w:rPr>
        <w:t>SAIMEX</w:t>
      </w:r>
      <w:r w:rsidRPr="008645E3">
        <w:rPr>
          <w:rFonts w:ascii="Palatino Linotype" w:eastAsia="Palatino Linotype" w:hAnsi="Palatino Linotype" w:cs="Palatino Linotype"/>
          <w:sz w:val="24"/>
          <w:szCs w:val="24"/>
        </w:rPr>
        <w:t xml:space="preserve">.  </w:t>
      </w:r>
    </w:p>
    <w:p w14:paraId="16274CBC" w14:textId="77777777" w:rsidR="00895D56" w:rsidRPr="008645E3" w:rsidRDefault="00895D56">
      <w:pPr>
        <w:spacing w:after="0" w:line="360" w:lineRule="auto"/>
        <w:ind w:right="49"/>
        <w:jc w:val="both"/>
        <w:rPr>
          <w:rFonts w:ascii="Palatino Linotype" w:eastAsia="Palatino Linotype" w:hAnsi="Palatino Linotype" w:cs="Palatino Linotype"/>
          <w:sz w:val="24"/>
          <w:szCs w:val="24"/>
        </w:rPr>
      </w:pPr>
    </w:p>
    <w:p w14:paraId="5FB90515" w14:textId="2D1A6B88"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Finalmente, resulta procedente la interposición del recurso de revisión al rubro ano</w:t>
      </w:r>
      <w:r w:rsidR="00DB71F7">
        <w:rPr>
          <w:rFonts w:ascii="Palatino Linotype" w:eastAsia="Palatino Linotype" w:hAnsi="Palatino Linotype" w:cs="Palatino Linotype"/>
          <w:sz w:val="24"/>
          <w:szCs w:val="24"/>
        </w:rPr>
        <w:t>tado, toda vez que se actualiza</w:t>
      </w:r>
      <w:r w:rsidRPr="008645E3">
        <w:rPr>
          <w:rFonts w:ascii="Palatino Linotype" w:eastAsia="Palatino Linotype" w:hAnsi="Palatino Linotype" w:cs="Palatino Linotype"/>
          <w:sz w:val="24"/>
          <w:szCs w:val="24"/>
        </w:rPr>
        <w:t xml:space="preserve"> la h</w:t>
      </w:r>
      <w:r w:rsidR="00DB71F7">
        <w:rPr>
          <w:rFonts w:ascii="Palatino Linotype" w:eastAsia="Palatino Linotype" w:hAnsi="Palatino Linotype" w:cs="Palatino Linotype"/>
          <w:sz w:val="24"/>
          <w:szCs w:val="24"/>
        </w:rPr>
        <w:t>ipótesis de procedencia prevista</w:t>
      </w:r>
      <w:r w:rsidRPr="008645E3">
        <w:rPr>
          <w:rFonts w:ascii="Palatino Linotype" w:eastAsia="Palatino Linotype" w:hAnsi="Palatino Linotype" w:cs="Palatino Linotype"/>
          <w:sz w:val="24"/>
          <w:szCs w:val="24"/>
        </w:rPr>
        <w:t xml:space="preserve"> en e</w:t>
      </w:r>
      <w:r w:rsidR="00DB71F7">
        <w:rPr>
          <w:rFonts w:ascii="Palatino Linotype" w:eastAsia="Palatino Linotype" w:hAnsi="Palatino Linotype" w:cs="Palatino Linotype"/>
          <w:sz w:val="24"/>
          <w:szCs w:val="24"/>
        </w:rPr>
        <w:t xml:space="preserve">l artículo 179, fracción </w:t>
      </w:r>
      <w:r w:rsidR="002E22B0">
        <w:rPr>
          <w:rFonts w:ascii="Palatino Linotype" w:eastAsia="Palatino Linotype" w:hAnsi="Palatino Linotype" w:cs="Palatino Linotype"/>
          <w:sz w:val="24"/>
          <w:szCs w:val="24"/>
        </w:rPr>
        <w:t>I</w:t>
      </w:r>
      <w:r w:rsidR="001E684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sz w:val="24"/>
          <w:szCs w:val="24"/>
        </w:rPr>
        <w:t>de la Ley de la materia, que a la letra dice:</w:t>
      </w:r>
    </w:p>
    <w:p w14:paraId="5804E43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179.</w:t>
      </w:r>
      <w:r w:rsidRPr="008645E3">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D00E215" w14:textId="57D2F1F7" w:rsidR="00F8557D" w:rsidRDefault="003A0D42" w:rsidP="007D19E9">
      <w:pPr>
        <w:spacing w:after="0" w:line="276" w:lineRule="auto"/>
        <w:ind w:left="567" w:right="560"/>
        <w:jc w:val="both"/>
        <w:rPr>
          <w:rFonts w:ascii="Palatino Linotype" w:eastAsia="Palatino Linotype" w:hAnsi="Palatino Linotype" w:cs="Palatino Linotype"/>
          <w:i/>
        </w:rPr>
      </w:pPr>
      <w:r w:rsidRPr="003A0D42">
        <w:rPr>
          <w:rFonts w:ascii="Palatino Linotype" w:hAnsi="Palatino Linotype"/>
          <w:i/>
          <w:iCs/>
        </w:rPr>
        <w:t xml:space="preserve">I. </w:t>
      </w:r>
      <w:r w:rsidR="001E6843">
        <w:rPr>
          <w:rFonts w:ascii="Palatino Linotype" w:hAnsi="Palatino Linotype"/>
          <w:i/>
          <w:iCs/>
        </w:rPr>
        <w:t>Negativa de entrega de la información</w:t>
      </w:r>
      <w:r w:rsidR="007D19E9">
        <w:rPr>
          <w:rFonts w:ascii="Palatino Linotype" w:hAnsi="Palatino Linotype"/>
          <w:i/>
          <w:iCs/>
        </w:rPr>
        <w:t>;</w:t>
      </w:r>
      <w:r w:rsidR="00D7458B">
        <w:rPr>
          <w:rFonts w:ascii="Palatino Linotype" w:eastAsia="Palatino Linotype" w:hAnsi="Palatino Linotype" w:cs="Palatino Linotype"/>
          <w:i/>
        </w:rPr>
        <w:t xml:space="preserve"> </w:t>
      </w:r>
    </w:p>
    <w:p w14:paraId="7EF53224" w14:textId="77777777" w:rsidR="002E22B0" w:rsidRPr="007D19E9" w:rsidRDefault="002E22B0" w:rsidP="007D19E9">
      <w:pPr>
        <w:spacing w:after="0" w:line="276" w:lineRule="auto"/>
        <w:ind w:left="567" w:right="560"/>
        <w:jc w:val="both"/>
        <w:rPr>
          <w:rFonts w:ascii="Palatino Linotype" w:hAnsi="Palatino Linotype"/>
          <w:i/>
          <w:iCs/>
        </w:rPr>
      </w:pPr>
    </w:p>
    <w:p w14:paraId="35EE1366" w14:textId="63802A5D"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Tercero. Materia de la revisión</w:t>
      </w:r>
      <w:r w:rsidRPr="008645E3">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Pr>
          <w:rFonts w:ascii="Palatino Linotype" w:eastAsia="Palatino Linotype" w:hAnsi="Palatino Linotype" w:cs="Palatino Linotype"/>
          <w:sz w:val="24"/>
          <w:szCs w:val="24"/>
        </w:rPr>
        <w:t xml:space="preserve"> en determinar, si se actualiza la hipótesis prevista en la fracción</w:t>
      </w:r>
      <w:r w:rsidRPr="008645E3">
        <w:rPr>
          <w:rFonts w:ascii="Palatino Linotype" w:eastAsia="Palatino Linotype" w:hAnsi="Palatino Linotype" w:cs="Palatino Linotype"/>
          <w:sz w:val="24"/>
          <w:szCs w:val="24"/>
        </w:rPr>
        <w:t xml:space="preserve"> </w:t>
      </w:r>
      <w:r w:rsidR="001E6843">
        <w:rPr>
          <w:rFonts w:ascii="Palatino Linotype" w:eastAsia="Palatino Linotype" w:hAnsi="Palatino Linotype" w:cs="Palatino Linotype"/>
          <w:sz w:val="24"/>
          <w:szCs w:val="24"/>
        </w:rPr>
        <w:t>I</w:t>
      </w:r>
      <w:r w:rsidR="00933869">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sz w:val="24"/>
          <w:szCs w:val="24"/>
        </w:rPr>
        <w:t xml:space="preserve">del artículo 179 de la Ley en la materia. </w:t>
      </w:r>
    </w:p>
    <w:p w14:paraId="096B0CB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lastRenderedPageBreak/>
        <w:t>Cuarto.</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Estudio de fondo del asunto.</w:t>
      </w:r>
      <w:r w:rsidRPr="008645E3">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8645E3"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Artículo 1o.</w:t>
      </w:r>
      <w:r w:rsidRPr="008645E3">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75867AD6"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b/>
          <w:i/>
        </w:rPr>
        <w:t>“Artículo 6o.</w:t>
      </w:r>
    </w:p>
    <w:p w14:paraId="43236C09"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0F47EB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w:t>
      </w:r>
      <w:r w:rsidRPr="008645E3">
        <w:rPr>
          <w:rFonts w:ascii="Palatino Linotype" w:eastAsia="Palatino Linotype" w:hAnsi="Palatino Linotype" w:cs="Palatino Linotype"/>
          <w:i/>
        </w:rPr>
        <w:lastRenderedPageBreak/>
        <w:t>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57C1517C" w:rsidR="00F8557D" w:rsidRDefault="00646B44" w:rsidP="00933869">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F485102" w14:textId="77777777" w:rsidR="00B661FB" w:rsidRPr="00933869" w:rsidRDefault="00B661FB" w:rsidP="00933869">
      <w:pPr>
        <w:spacing w:after="0" w:line="276" w:lineRule="auto"/>
        <w:ind w:left="567" w:right="560"/>
        <w:jc w:val="both"/>
        <w:rPr>
          <w:rFonts w:ascii="Palatino Linotype" w:eastAsia="Palatino Linotype" w:hAnsi="Palatino Linotype" w:cs="Palatino Linotype"/>
          <w:i/>
        </w:rPr>
      </w:pPr>
    </w:p>
    <w:p w14:paraId="2E6546E4" w14:textId="132C95E8" w:rsidR="00F8557D"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w:t>
      </w:r>
      <w:r w:rsidRPr="008645E3">
        <w:rPr>
          <w:rFonts w:ascii="Palatino Linotype" w:eastAsia="Palatino Linotype" w:hAnsi="Palatino Linotype" w:cs="Palatino Linotype"/>
          <w:sz w:val="24"/>
          <w:szCs w:val="24"/>
        </w:rPr>
        <w:lastRenderedPageBreak/>
        <w:t>principio de máxima publicidad, como así lo establece dicha determinación, que a continuación se transcribe para un mejor entendimiento:</w:t>
      </w:r>
    </w:p>
    <w:p w14:paraId="307FADBD" w14:textId="77777777" w:rsidR="003A0D42" w:rsidRPr="008645E3" w:rsidRDefault="003A0D42">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4.</w:t>
      </w:r>
      <w:r w:rsidRPr="008645E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8645E3"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12.</w:t>
      </w:r>
      <w:r w:rsidRPr="008645E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w:t>
      </w:r>
      <w:r w:rsidRPr="008645E3">
        <w:rPr>
          <w:rFonts w:ascii="Palatino Linotype" w:eastAsia="Palatino Linotype" w:hAnsi="Palatino Linotype" w:cs="Palatino Linotype"/>
          <w:i/>
        </w:rPr>
        <w:lastRenderedPageBreak/>
        <w:t xml:space="preserve">información no comprende el procesamiento de la misma, ni el presentarla conforme al interés del solicitante; no estarán obligados a generarla, resumirla, efectuar cálculos o practicar investigaciones.” </w:t>
      </w:r>
    </w:p>
    <w:p w14:paraId="60EAB651"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b/>
          <w:i/>
        </w:rPr>
        <w:t>Criterio 03/17</w:t>
      </w:r>
    </w:p>
    <w:p w14:paraId="0406D8B0"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 xml:space="preserve">“NO EXISTE OBLIGACIÓN DE ELABORAR DOCUMENTOS AD HOC PARA ATENDER LAS SOLICITUDES DE ACCESO A LA INFORMACIÓN. </w:t>
      </w:r>
      <w:r w:rsidRPr="008645E3">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8645E3"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w:t>
      </w:r>
      <w:r w:rsidRPr="008645E3">
        <w:rPr>
          <w:rFonts w:ascii="Palatino Linotype" w:eastAsia="Palatino Linotype" w:hAnsi="Palatino Linotype" w:cs="Palatino Linotype"/>
          <w:sz w:val="24"/>
          <w:szCs w:val="24"/>
        </w:rPr>
        <w:lastRenderedPageBreak/>
        <w:t>consiguiente, la información pública se encuentra a disposición de cualquier persona, lo que implica que es deber de los Sujetos Obligados, garantizar el Derecho de Acceso a la Información Pública.</w:t>
      </w:r>
    </w:p>
    <w:p w14:paraId="3CABB273"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Default="00646B44" w:rsidP="00A74EBA">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A74EBA"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Artículo 3.</w:t>
      </w:r>
      <w:r w:rsidRPr="008645E3">
        <w:rPr>
          <w:rFonts w:ascii="Palatino Linotype" w:eastAsia="Palatino Linotype" w:hAnsi="Palatino Linotype" w:cs="Palatino Linotype"/>
          <w:i/>
        </w:rPr>
        <w:t xml:space="preserve"> Para los efectos de la presente Ley se entenderá por:</w:t>
      </w:r>
    </w:p>
    <w:p w14:paraId="20112B26"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w:t>
      </w:r>
    </w:p>
    <w:p w14:paraId="4DB11EE2"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XI. Documento:</w:t>
      </w:r>
      <w:r w:rsidRPr="008645E3">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w:t>
      </w:r>
      <w:r w:rsidRPr="008645E3">
        <w:rPr>
          <w:rFonts w:ascii="Palatino Linotype" w:eastAsia="Palatino Linotype" w:hAnsi="Palatino Linotype" w:cs="Palatino Linotype"/>
          <w:i/>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8645E3" w:rsidRDefault="00646B44">
      <w:pPr>
        <w:spacing w:after="0" w:line="276" w:lineRule="auto"/>
        <w:ind w:left="567" w:right="560"/>
        <w:jc w:val="both"/>
        <w:rPr>
          <w:rFonts w:ascii="Palatino Linotype" w:eastAsia="Palatino Linotype" w:hAnsi="Palatino Linotype" w:cs="Palatino Linotype"/>
          <w:b/>
          <w:i/>
        </w:rPr>
      </w:pPr>
      <w:r w:rsidRPr="008645E3">
        <w:rPr>
          <w:rFonts w:ascii="Palatino Linotype" w:eastAsia="Palatino Linotype" w:hAnsi="Palatino Linotype" w:cs="Palatino Linotype"/>
          <w:i/>
        </w:rPr>
        <w:t>“</w:t>
      </w:r>
      <w:r w:rsidRPr="008645E3">
        <w:rPr>
          <w:rFonts w:ascii="Palatino Linotype" w:eastAsia="Palatino Linotype" w:hAnsi="Palatino Linotype" w:cs="Palatino Linotype"/>
          <w:b/>
          <w:i/>
        </w:rPr>
        <w:t>CRITERIO 0002-11</w:t>
      </w:r>
    </w:p>
    <w:p w14:paraId="5302D9B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645E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En </w:t>
      </w:r>
      <w:proofErr w:type="gramStart"/>
      <w:r w:rsidRPr="008645E3">
        <w:rPr>
          <w:rFonts w:ascii="Palatino Linotype" w:eastAsia="Palatino Linotype" w:hAnsi="Palatino Linotype" w:cs="Palatino Linotype"/>
          <w:i/>
        </w:rPr>
        <w:t>consecuencia</w:t>
      </w:r>
      <w:proofErr w:type="gramEnd"/>
      <w:r w:rsidRPr="008645E3">
        <w:rPr>
          <w:rFonts w:ascii="Palatino Linotype" w:eastAsia="Palatino Linotype" w:hAnsi="Palatino Linotype" w:cs="Palatino Linotype"/>
          <w:i/>
        </w:rPr>
        <w:t xml:space="preserve"> el acceso a la información se refiere a que se cumplan cualquiera de los siguientes tres supuestos:</w:t>
      </w:r>
    </w:p>
    <w:p w14:paraId="3666FA6F"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1)</w:t>
      </w:r>
      <w:r w:rsidRPr="008645E3">
        <w:rPr>
          <w:rFonts w:ascii="Palatino Linotype" w:eastAsia="Palatino Linotype" w:hAnsi="Palatino Linotype" w:cs="Palatino Linotype"/>
          <w:i/>
        </w:rPr>
        <w:tab/>
        <w:t xml:space="preserve">Que se trate de información registrada en cualquier soporte documental, </w:t>
      </w:r>
      <w:proofErr w:type="gramStart"/>
      <w:r w:rsidRPr="008645E3">
        <w:rPr>
          <w:rFonts w:ascii="Palatino Linotype" w:eastAsia="Palatino Linotype" w:hAnsi="Palatino Linotype" w:cs="Palatino Linotype"/>
          <w:i/>
        </w:rPr>
        <w:t>que</w:t>
      </w:r>
      <w:proofErr w:type="gramEnd"/>
      <w:r w:rsidRPr="008645E3">
        <w:rPr>
          <w:rFonts w:ascii="Palatino Linotype" w:eastAsia="Palatino Linotype" w:hAnsi="Palatino Linotype" w:cs="Palatino Linotype"/>
          <w:i/>
        </w:rPr>
        <w:t xml:space="preserve"> en ejercicio de las atribuciones conferidas, sea generada por los Sujetos Obligados;</w:t>
      </w:r>
    </w:p>
    <w:p w14:paraId="27A23F54"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2)</w:t>
      </w:r>
      <w:r w:rsidRPr="008645E3">
        <w:rPr>
          <w:rFonts w:ascii="Palatino Linotype" w:eastAsia="Palatino Linotype" w:hAnsi="Palatino Linotype" w:cs="Palatino Linotype"/>
          <w:i/>
        </w:rPr>
        <w:tab/>
        <w:t xml:space="preserve">Que se trate de información registrada en cualquier soporte documental, </w:t>
      </w:r>
      <w:proofErr w:type="gramStart"/>
      <w:r w:rsidRPr="008645E3">
        <w:rPr>
          <w:rFonts w:ascii="Palatino Linotype" w:eastAsia="Palatino Linotype" w:hAnsi="Palatino Linotype" w:cs="Palatino Linotype"/>
          <w:i/>
        </w:rPr>
        <w:t>que</w:t>
      </w:r>
      <w:proofErr w:type="gramEnd"/>
      <w:r w:rsidRPr="008645E3">
        <w:rPr>
          <w:rFonts w:ascii="Palatino Linotype" w:eastAsia="Palatino Linotype" w:hAnsi="Palatino Linotype" w:cs="Palatino Linotype"/>
          <w:i/>
        </w:rPr>
        <w:t xml:space="preserve"> en ejercicio de las atribuciones conferidas, sea administrada por los Sujetos Obligados, y</w:t>
      </w:r>
    </w:p>
    <w:p w14:paraId="16644C8A" w14:textId="77777777" w:rsidR="00F8557D" w:rsidRPr="008645E3" w:rsidRDefault="00646B44">
      <w:pPr>
        <w:spacing w:after="0" w:line="276" w:lineRule="auto"/>
        <w:ind w:left="567" w:right="560"/>
        <w:jc w:val="both"/>
        <w:rPr>
          <w:rFonts w:ascii="Palatino Linotype" w:eastAsia="Palatino Linotype" w:hAnsi="Palatino Linotype" w:cs="Palatino Linotype"/>
          <w:i/>
        </w:rPr>
      </w:pPr>
      <w:r w:rsidRPr="008645E3">
        <w:rPr>
          <w:rFonts w:ascii="Palatino Linotype" w:eastAsia="Palatino Linotype" w:hAnsi="Palatino Linotype" w:cs="Palatino Linotype"/>
          <w:i/>
        </w:rPr>
        <w:t xml:space="preserve">3) Que se trate de información registrada en cualquier soporte documental, </w:t>
      </w:r>
      <w:proofErr w:type="gramStart"/>
      <w:r w:rsidRPr="008645E3">
        <w:rPr>
          <w:rFonts w:ascii="Palatino Linotype" w:eastAsia="Palatino Linotype" w:hAnsi="Palatino Linotype" w:cs="Palatino Linotype"/>
          <w:i/>
        </w:rPr>
        <w:t>que</w:t>
      </w:r>
      <w:proofErr w:type="gramEnd"/>
      <w:r w:rsidRPr="008645E3">
        <w:rPr>
          <w:rFonts w:ascii="Palatino Linotype" w:eastAsia="Palatino Linotype" w:hAnsi="Palatino Linotype" w:cs="Palatino Linotype"/>
          <w:i/>
        </w:rPr>
        <w:t xml:space="preserve"> en ejercicio de las atribuciones conferidas, se encuentre en posesión de los Sujetos Obligados.” </w:t>
      </w:r>
    </w:p>
    <w:p w14:paraId="20D90780"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w:t>
      </w:r>
      <w:r w:rsidRPr="008645E3">
        <w:rPr>
          <w:rFonts w:ascii="Palatino Linotype" w:eastAsia="Palatino Linotype" w:hAnsi="Palatino Linotype" w:cs="Palatino Linotype"/>
          <w:sz w:val="24"/>
          <w:szCs w:val="24"/>
        </w:rPr>
        <w:lastRenderedPageBreak/>
        <w:t>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0B796A6A" w14:textId="2A3BCA13"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EE774D">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EE774D">
        <w:rPr>
          <w:rFonts w:ascii="Palatino Linotype" w:eastAsia="Palatino Linotype" w:hAnsi="Palatino Linotype" w:cs="Palatino Linotype"/>
          <w:sz w:val="24"/>
          <w:szCs w:val="24"/>
        </w:rPr>
        <w:t xml:space="preserve">ecurrente, relativos a </w:t>
      </w:r>
      <w:r w:rsidR="00B661FB">
        <w:rPr>
          <w:rFonts w:ascii="Palatino Linotype" w:eastAsia="Palatino Linotype" w:hAnsi="Palatino Linotype" w:cs="Palatino Linotype"/>
          <w:sz w:val="24"/>
          <w:szCs w:val="24"/>
        </w:rPr>
        <w:t xml:space="preserve">la </w:t>
      </w:r>
      <w:r w:rsidR="001E6843">
        <w:rPr>
          <w:rFonts w:ascii="Palatino Linotype" w:eastAsia="Palatino Linotype" w:hAnsi="Palatino Linotype" w:cs="Palatino Linotype"/>
          <w:sz w:val="24"/>
          <w:szCs w:val="24"/>
        </w:rPr>
        <w:t>negativa de entrega de la información</w:t>
      </w:r>
      <w:r w:rsidR="00DB71F7" w:rsidRPr="00EE774D">
        <w:rPr>
          <w:rFonts w:ascii="Palatino Linotype" w:eastAsia="Palatino Linotype" w:hAnsi="Palatino Linotype" w:cs="Palatino Linotype"/>
          <w:sz w:val="24"/>
          <w:szCs w:val="24"/>
        </w:rPr>
        <w:t xml:space="preserve">, lo que actualiza la causal de procedencia prevista en la fracción </w:t>
      </w:r>
      <w:r w:rsidR="001E6843">
        <w:rPr>
          <w:rFonts w:ascii="Palatino Linotype" w:eastAsia="Palatino Linotype" w:hAnsi="Palatino Linotype" w:cs="Palatino Linotype"/>
          <w:sz w:val="24"/>
          <w:szCs w:val="24"/>
        </w:rPr>
        <w:t xml:space="preserve">I </w:t>
      </w:r>
      <w:r w:rsidRPr="00EE774D">
        <w:rPr>
          <w:rFonts w:ascii="Palatino Linotype" w:eastAsia="Palatino Linotype" w:hAnsi="Palatino Linotype" w:cs="Palatino Linotype"/>
          <w:sz w:val="24"/>
          <w:szCs w:val="24"/>
        </w:rPr>
        <w:t>del artículo 179 de la Ley de Transparencia y Acceso a la Información Pública del</w:t>
      </w:r>
      <w:r w:rsidR="00933869" w:rsidRPr="00EE774D">
        <w:rPr>
          <w:rFonts w:ascii="Palatino Linotype" w:eastAsia="Palatino Linotype" w:hAnsi="Palatino Linotype" w:cs="Palatino Linotype"/>
          <w:sz w:val="24"/>
          <w:szCs w:val="24"/>
        </w:rPr>
        <w:t xml:space="preserve"> Estado de México y Municipios.</w:t>
      </w:r>
    </w:p>
    <w:p w14:paraId="4BF42BC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CF9FD84" w14:textId="54A65152" w:rsidR="00B661FB" w:rsidRDefault="00646B44" w:rsidP="00B661FB">
      <w:pPr>
        <w:spacing w:after="0" w:line="360" w:lineRule="auto"/>
        <w:ind w:right="49"/>
        <w:jc w:val="both"/>
        <w:rPr>
          <w:rFonts w:ascii="Palatino Linotype" w:eastAsia="Palatino Linotype" w:hAnsi="Palatino Linotype" w:cs="Palatino Linotype"/>
          <w:sz w:val="24"/>
          <w:szCs w:val="24"/>
        </w:rPr>
      </w:pPr>
      <w:r w:rsidRPr="001E6843">
        <w:rPr>
          <w:rFonts w:ascii="Palatino Linotype" w:eastAsia="Palatino Linotype" w:hAnsi="Palatino Linotype" w:cs="Palatino Linotype"/>
          <w:sz w:val="24"/>
          <w:szCs w:val="24"/>
        </w:rPr>
        <w:t>Para ello, en principio resulta</w:t>
      </w:r>
      <w:r w:rsidR="00EE774D" w:rsidRPr="001E6843">
        <w:rPr>
          <w:rFonts w:ascii="Palatino Linotype" w:eastAsia="Palatino Linotype" w:hAnsi="Palatino Linotype" w:cs="Palatino Linotype"/>
          <w:sz w:val="24"/>
          <w:szCs w:val="24"/>
        </w:rPr>
        <w:t xml:space="preserve"> recordar que la pretensión de la parte </w:t>
      </w:r>
      <w:r w:rsidRPr="001E6843">
        <w:rPr>
          <w:rFonts w:ascii="Palatino Linotype" w:eastAsia="Palatino Linotype" w:hAnsi="Palatino Linotype" w:cs="Palatino Linotype"/>
          <w:sz w:val="24"/>
          <w:szCs w:val="24"/>
        </w:rPr>
        <w:t xml:space="preserve">ahora Recurrente </w:t>
      </w:r>
      <w:r w:rsidR="00B661FB" w:rsidRPr="001E6843">
        <w:rPr>
          <w:rFonts w:ascii="Palatino Linotype" w:eastAsia="Palatino Linotype" w:hAnsi="Palatino Linotype" w:cs="Palatino Linotype"/>
          <w:sz w:val="24"/>
          <w:szCs w:val="24"/>
        </w:rPr>
        <w:t xml:space="preserve">es obtener </w:t>
      </w:r>
      <w:r w:rsidR="001E6843">
        <w:rPr>
          <w:rFonts w:ascii="Palatino Linotype" w:eastAsia="Palatino Linotype" w:hAnsi="Palatino Linotype" w:cs="Palatino Linotype"/>
          <w:sz w:val="24"/>
          <w:szCs w:val="24"/>
        </w:rPr>
        <w:t xml:space="preserve">la siguiente información: </w:t>
      </w:r>
    </w:p>
    <w:p w14:paraId="7EAD2D0D" w14:textId="77777777" w:rsidR="001E6843" w:rsidRDefault="001E6843" w:rsidP="00B661FB">
      <w:pPr>
        <w:spacing w:after="0" w:line="360" w:lineRule="auto"/>
        <w:ind w:right="49"/>
        <w:jc w:val="both"/>
        <w:rPr>
          <w:rFonts w:ascii="Palatino Linotype" w:eastAsia="Palatino Linotype" w:hAnsi="Palatino Linotype" w:cs="Palatino Linotype"/>
          <w:sz w:val="24"/>
          <w:szCs w:val="24"/>
        </w:rPr>
      </w:pPr>
    </w:p>
    <w:p w14:paraId="3B0DFB8E" w14:textId="6EABDA59" w:rsidR="001E6843" w:rsidRDefault="001E6843" w:rsidP="001E6843">
      <w:pPr>
        <w:pStyle w:val="Prrafodelista"/>
        <w:numPr>
          <w:ilvl w:val="0"/>
          <w:numId w:val="16"/>
        </w:numPr>
        <w:spacing w:after="0" w:line="360" w:lineRule="auto"/>
        <w:ind w:right="49"/>
        <w:jc w:val="both"/>
        <w:rPr>
          <w:rFonts w:ascii="Palatino Linotype" w:eastAsia="Palatino Linotype" w:hAnsi="Palatino Linotype" w:cs="Palatino Linotype"/>
          <w:szCs w:val="24"/>
        </w:rPr>
      </w:pPr>
      <w:r w:rsidRPr="001E6843">
        <w:rPr>
          <w:rFonts w:ascii="Palatino Linotype" w:eastAsia="Palatino Linotype" w:hAnsi="Palatino Linotype" w:cs="Palatino Linotype"/>
          <w:szCs w:val="24"/>
        </w:rPr>
        <w:t>¿Cuántas personas dejaron de cobrar por cheque en esta secretaría cuando se mi</w:t>
      </w:r>
      <w:r>
        <w:rPr>
          <w:rFonts w:ascii="Palatino Linotype" w:eastAsia="Palatino Linotype" w:hAnsi="Palatino Linotype" w:cs="Palatino Linotype"/>
          <w:szCs w:val="24"/>
        </w:rPr>
        <w:t>graron sin su consentimiento a S</w:t>
      </w:r>
      <w:r w:rsidRPr="001E6843">
        <w:rPr>
          <w:rFonts w:ascii="Palatino Linotype" w:eastAsia="Palatino Linotype" w:hAnsi="Palatino Linotype" w:cs="Palatino Linotype"/>
          <w:szCs w:val="24"/>
        </w:rPr>
        <w:t xml:space="preserve">antander? </w:t>
      </w:r>
    </w:p>
    <w:p w14:paraId="1A78A19E" w14:textId="77777777" w:rsidR="001E6843" w:rsidRDefault="001E6843" w:rsidP="001E6843">
      <w:pPr>
        <w:pStyle w:val="Prrafodelista"/>
        <w:numPr>
          <w:ilvl w:val="0"/>
          <w:numId w:val="16"/>
        </w:numPr>
        <w:spacing w:after="0" w:line="360" w:lineRule="auto"/>
        <w:ind w:right="49"/>
        <w:jc w:val="both"/>
        <w:rPr>
          <w:rFonts w:ascii="Palatino Linotype" w:eastAsia="Palatino Linotype" w:hAnsi="Palatino Linotype" w:cs="Palatino Linotype"/>
          <w:szCs w:val="24"/>
        </w:rPr>
      </w:pPr>
      <w:r>
        <w:rPr>
          <w:rFonts w:ascii="Palatino Linotype" w:eastAsia="Palatino Linotype" w:hAnsi="Palatino Linotype" w:cs="Palatino Linotype"/>
          <w:szCs w:val="24"/>
        </w:rPr>
        <w:t>¿Cuántas personas continú</w:t>
      </w:r>
      <w:r w:rsidRPr="001E6843">
        <w:rPr>
          <w:rFonts w:ascii="Palatino Linotype" w:eastAsia="Palatino Linotype" w:hAnsi="Palatino Linotype" w:cs="Palatino Linotype"/>
          <w:szCs w:val="24"/>
        </w:rPr>
        <w:t xml:space="preserve">an cobrando por cheque en esta secretaría? </w:t>
      </w:r>
    </w:p>
    <w:p w14:paraId="5494A7E8" w14:textId="77777777" w:rsidR="001E6843" w:rsidRDefault="001E6843" w:rsidP="001E6843">
      <w:pPr>
        <w:pStyle w:val="Prrafodelista"/>
        <w:numPr>
          <w:ilvl w:val="0"/>
          <w:numId w:val="16"/>
        </w:numPr>
        <w:spacing w:after="0" w:line="360" w:lineRule="auto"/>
        <w:ind w:right="49"/>
        <w:jc w:val="both"/>
        <w:rPr>
          <w:rFonts w:ascii="Palatino Linotype" w:eastAsia="Palatino Linotype" w:hAnsi="Palatino Linotype" w:cs="Palatino Linotype"/>
          <w:szCs w:val="24"/>
        </w:rPr>
      </w:pPr>
      <w:r w:rsidRPr="001E6843">
        <w:rPr>
          <w:rFonts w:ascii="Palatino Linotype" w:eastAsia="Palatino Linotype" w:hAnsi="Palatino Linotype" w:cs="Palatino Linotype"/>
          <w:szCs w:val="24"/>
        </w:rPr>
        <w:t xml:space="preserve">¿Cuál es el motivo por el cual se continúa cobrando por cheque en esta secretaría? </w:t>
      </w:r>
    </w:p>
    <w:p w14:paraId="50FE9777" w14:textId="7DA2B80F" w:rsidR="001E6843" w:rsidRDefault="001E6843" w:rsidP="001E6843">
      <w:pPr>
        <w:pStyle w:val="Prrafodelista"/>
        <w:numPr>
          <w:ilvl w:val="0"/>
          <w:numId w:val="16"/>
        </w:numPr>
        <w:spacing w:after="0" w:line="360" w:lineRule="auto"/>
        <w:ind w:right="49"/>
        <w:jc w:val="both"/>
        <w:rPr>
          <w:rFonts w:ascii="Palatino Linotype" w:eastAsia="Palatino Linotype" w:hAnsi="Palatino Linotype" w:cs="Palatino Linotype"/>
          <w:szCs w:val="24"/>
        </w:rPr>
      </w:pPr>
      <w:r w:rsidRPr="001E6843">
        <w:rPr>
          <w:rFonts w:ascii="Palatino Linotype" w:eastAsia="Palatino Linotype" w:hAnsi="Palatino Linotype" w:cs="Palatino Linotype"/>
          <w:szCs w:val="24"/>
        </w:rPr>
        <w:t xml:space="preserve">Se indique el nombre y adscripción de las personas que cobraron por cheque durante la primera quincena de diciembre en esta </w:t>
      </w:r>
      <w:r>
        <w:rPr>
          <w:rFonts w:ascii="Palatino Linotype" w:eastAsia="Palatino Linotype" w:hAnsi="Palatino Linotype" w:cs="Palatino Linotype"/>
          <w:szCs w:val="24"/>
        </w:rPr>
        <w:t>S</w:t>
      </w:r>
      <w:r w:rsidRPr="001E6843">
        <w:rPr>
          <w:rFonts w:ascii="Palatino Linotype" w:eastAsia="Palatino Linotype" w:hAnsi="Palatino Linotype" w:cs="Palatino Linotype"/>
          <w:szCs w:val="24"/>
        </w:rPr>
        <w:t xml:space="preserve">ecretaría </w:t>
      </w:r>
    </w:p>
    <w:p w14:paraId="667C1E51" w14:textId="77777777" w:rsidR="001E6843" w:rsidRDefault="001E6843" w:rsidP="001E6843">
      <w:pPr>
        <w:pStyle w:val="Prrafodelista"/>
        <w:numPr>
          <w:ilvl w:val="0"/>
          <w:numId w:val="16"/>
        </w:numPr>
        <w:spacing w:after="0" w:line="360" w:lineRule="auto"/>
        <w:ind w:right="49"/>
        <w:jc w:val="both"/>
        <w:rPr>
          <w:rFonts w:ascii="Palatino Linotype" w:eastAsia="Palatino Linotype" w:hAnsi="Palatino Linotype" w:cs="Palatino Linotype"/>
          <w:szCs w:val="24"/>
        </w:rPr>
      </w:pPr>
      <w:r w:rsidRPr="001E6843">
        <w:rPr>
          <w:rFonts w:ascii="Palatino Linotype" w:eastAsia="Palatino Linotype" w:hAnsi="Palatino Linotype" w:cs="Palatino Linotype"/>
          <w:szCs w:val="24"/>
        </w:rPr>
        <w:t xml:space="preserve">Se indique el nombre y adscripción de las personas que cobraron por cheque durante la segunda quincena de diciembre en esta secretaría </w:t>
      </w:r>
    </w:p>
    <w:p w14:paraId="0B8A8B89" w14:textId="439F4C40" w:rsidR="001E6843" w:rsidRPr="001E6843" w:rsidRDefault="001E6843" w:rsidP="001E6843">
      <w:pPr>
        <w:pStyle w:val="Prrafodelista"/>
        <w:numPr>
          <w:ilvl w:val="0"/>
          <w:numId w:val="16"/>
        </w:numPr>
        <w:spacing w:after="0" w:line="360" w:lineRule="auto"/>
        <w:ind w:right="49"/>
        <w:jc w:val="both"/>
        <w:rPr>
          <w:rFonts w:ascii="Palatino Linotype" w:eastAsia="Palatino Linotype" w:hAnsi="Palatino Linotype" w:cs="Palatino Linotype"/>
          <w:szCs w:val="24"/>
        </w:rPr>
      </w:pPr>
      <w:r>
        <w:rPr>
          <w:rFonts w:ascii="Palatino Linotype" w:eastAsia="Palatino Linotype" w:hAnsi="Palatino Linotype" w:cs="Palatino Linotype"/>
          <w:szCs w:val="24"/>
        </w:rPr>
        <w:lastRenderedPageBreak/>
        <w:t>¿Quié</w:t>
      </w:r>
      <w:r w:rsidRPr="001E6843">
        <w:rPr>
          <w:rFonts w:ascii="Palatino Linotype" w:eastAsia="Palatino Linotype" w:hAnsi="Palatino Linotype" w:cs="Palatino Linotype"/>
          <w:szCs w:val="24"/>
        </w:rPr>
        <w:t>n es la persona encargada de revisar y verificar el pago adecuado de estos cheques?</w:t>
      </w:r>
    </w:p>
    <w:p w14:paraId="1839BC65" w14:textId="77777777" w:rsidR="0003629B" w:rsidRPr="00FC00A5" w:rsidRDefault="0003629B" w:rsidP="00FC00A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color w:val="000000"/>
          <w:szCs w:val="24"/>
        </w:rPr>
      </w:pPr>
    </w:p>
    <w:p w14:paraId="400D123F" w14:textId="2A75A487" w:rsidR="001E6843" w:rsidRDefault="00E2699F" w:rsidP="001E6843">
      <w:pPr>
        <w:spacing w:after="0" w:line="360" w:lineRule="auto"/>
        <w:ind w:right="49"/>
        <w:jc w:val="both"/>
        <w:rPr>
          <w:rFonts w:ascii="Palatino Linotype" w:eastAsia="Palatino Linotype" w:hAnsi="Palatino Linotype" w:cs="Palatino Linotype"/>
          <w:sz w:val="24"/>
          <w:szCs w:val="24"/>
        </w:rPr>
      </w:pPr>
      <w:r w:rsidRPr="00B661FB">
        <w:rPr>
          <w:rFonts w:ascii="Palatino Linotype" w:eastAsia="Palatino Linotype" w:hAnsi="Palatino Linotype" w:cs="Palatino Linotype"/>
          <w:sz w:val="24"/>
          <w:szCs w:val="24"/>
        </w:rPr>
        <w:t>E</w:t>
      </w:r>
      <w:r w:rsidR="00433FA3" w:rsidRPr="00B661FB">
        <w:rPr>
          <w:rFonts w:ascii="Palatino Linotype" w:eastAsia="Palatino Linotype" w:hAnsi="Palatino Linotype" w:cs="Palatino Linotype"/>
          <w:sz w:val="24"/>
          <w:szCs w:val="24"/>
        </w:rPr>
        <w:t>n respues</w:t>
      </w:r>
      <w:r w:rsidR="001E6843">
        <w:rPr>
          <w:rFonts w:ascii="Palatino Linotype" w:eastAsia="Palatino Linotype" w:hAnsi="Palatino Linotype" w:cs="Palatino Linotype"/>
          <w:sz w:val="24"/>
          <w:szCs w:val="24"/>
        </w:rPr>
        <w:t xml:space="preserve">ta, el Sujeto Obligado, a través de la </w:t>
      </w:r>
      <w:r w:rsidR="001E6843" w:rsidRPr="001E6843">
        <w:rPr>
          <w:rFonts w:ascii="Palatino Linotype" w:eastAsia="Palatino Linotype" w:hAnsi="Palatino Linotype" w:cs="Palatino Linotype"/>
          <w:sz w:val="24"/>
          <w:szCs w:val="24"/>
        </w:rPr>
        <w:t>Titula</w:t>
      </w:r>
      <w:r w:rsidR="001E6843">
        <w:rPr>
          <w:rFonts w:ascii="Palatino Linotype" w:eastAsia="Palatino Linotype" w:hAnsi="Palatino Linotype" w:cs="Palatino Linotype"/>
          <w:sz w:val="24"/>
          <w:szCs w:val="24"/>
        </w:rPr>
        <w:t>r de la Unidad de Transparencia</w:t>
      </w:r>
      <w:r w:rsidR="001E6843" w:rsidRPr="001E6843">
        <w:rPr>
          <w:rFonts w:ascii="Palatino Linotype" w:eastAsia="Palatino Linotype" w:hAnsi="Palatino Linotype" w:cs="Palatino Linotype"/>
          <w:sz w:val="24"/>
          <w:szCs w:val="24"/>
        </w:rPr>
        <w:t xml:space="preserve"> </w:t>
      </w:r>
      <w:r w:rsidR="001E6843">
        <w:rPr>
          <w:rFonts w:ascii="Palatino Linotype" w:eastAsia="Palatino Linotype" w:hAnsi="Palatino Linotype" w:cs="Palatino Linotype"/>
          <w:sz w:val="24"/>
          <w:szCs w:val="24"/>
        </w:rPr>
        <w:t>informó que se</w:t>
      </w:r>
      <w:r w:rsidR="001E6843" w:rsidRPr="001E6843">
        <w:rPr>
          <w:rFonts w:ascii="Palatino Linotype" w:eastAsia="Palatino Linotype" w:hAnsi="Palatino Linotype" w:cs="Palatino Linotype"/>
          <w:sz w:val="24"/>
          <w:szCs w:val="24"/>
        </w:rPr>
        <w:t xml:space="preserve"> requirió la información al servidor público habilitado de la Oficialía Mayor, quien </w:t>
      </w:r>
      <w:r w:rsidR="001E6843">
        <w:rPr>
          <w:rFonts w:ascii="Palatino Linotype" w:eastAsia="Palatino Linotype" w:hAnsi="Palatino Linotype" w:cs="Palatino Linotype"/>
          <w:sz w:val="24"/>
          <w:szCs w:val="24"/>
        </w:rPr>
        <w:t>señaló</w:t>
      </w:r>
      <w:r w:rsidR="001E6843" w:rsidRPr="001E6843">
        <w:rPr>
          <w:rFonts w:ascii="Palatino Linotype" w:eastAsia="Palatino Linotype" w:hAnsi="Palatino Linotype" w:cs="Palatino Linotype"/>
          <w:sz w:val="24"/>
          <w:szCs w:val="24"/>
        </w:rPr>
        <w:t xml:space="preserve"> que las formas de pago nómina a servidores públicos, se encuentran reguladas por el Manual de Normas y Procedimientos de Desarrollo de Personal, en específico en los procedimientos: 021 Alta o reingreso de servidoras públicas y servidores públicos generales y de confianza; 081 Pago de nómina a servidoras públicas y a servidores públicos de mandos medios superiores, mandos medios y de enlace y apoyo técnico y 082 Pago de nómina a servidoras públicas y a servidores públicos generales.</w:t>
      </w:r>
    </w:p>
    <w:p w14:paraId="62755483" w14:textId="77777777" w:rsidR="00346663" w:rsidRDefault="00346663" w:rsidP="001E6843">
      <w:pPr>
        <w:spacing w:after="0" w:line="360" w:lineRule="auto"/>
        <w:ind w:right="49"/>
        <w:jc w:val="both"/>
        <w:rPr>
          <w:rFonts w:ascii="Palatino Linotype" w:eastAsia="Palatino Linotype" w:hAnsi="Palatino Linotype" w:cs="Palatino Linotype"/>
          <w:sz w:val="24"/>
          <w:szCs w:val="24"/>
        </w:rPr>
      </w:pPr>
    </w:p>
    <w:p w14:paraId="6D004A3E" w14:textId="51D7B42C" w:rsidR="00346663" w:rsidRDefault="00346663" w:rsidP="001E6843">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ello, la parte Solicitante se inconformó arguyendo la negativa de entrega de la información. </w:t>
      </w:r>
    </w:p>
    <w:p w14:paraId="75A00D32" w14:textId="77777777" w:rsidR="008A4385" w:rsidRDefault="008A4385" w:rsidP="00E2699F">
      <w:pPr>
        <w:spacing w:after="0" w:line="360" w:lineRule="auto"/>
        <w:ind w:right="49"/>
        <w:jc w:val="both"/>
        <w:rPr>
          <w:rFonts w:ascii="Palatino Linotype" w:eastAsia="Palatino Linotype" w:hAnsi="Palatino Linotype" w:cs="Palatino Linotype"/>
          <w:sz w:val="24"/>
          <w:szCs w:val="24"/>
        </w:rPr>
      </w:pPr>
    </w:p>
    <w:p w14:paraId="59EC4667" w14:textId="368F2B18" w:rsidR="007D19E9" w:rsidRDefault="007D19E9" w:rsidP="00E2699F">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Sujeto Obligado, mediante informe justificado, ratificó su respuesta inicial, por su parte, la parte Recurrente fue omisa en rendir manifestaciones. </w:t>
      </w:r>
    </w:p>
    <w:p w14:paraId="2FC9FE2E" w14:textId="77777777" w:rsidR="00F758F6" w:rsidRDefault="00F758F6" w:rsidP="00D02932">
      <w:pPr>
        <w:spacing w:after="0" w:line="360" w:lineRule="auto"/>
        <w:ind w:right="49"/>
        <w:jc w:val="both"/>
      </w:pPr>
    </w:p>
    <w:p w14:paraId="05B0EBE3" w14:textId="7871A9FC" w:rsidR="00346663" w:rsidRDefault="0022693C" w:rsidP="00D0293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lo anterior, </w:t>
      </w:r>
      <w:r w:rsidR="00346663">
        <w:rPr>
          <w:rFonts w:ascii="Palatino Linotype" w:eastAsia="Palatino Linotype" w:hAnsi="Palatino Linotype" w:cs="Palatino Linotype"/>
          <w:sz w:val="24"/>
          <w:szCs w:val="24"/>
        </w:rPr>
        <w:t xml:space="preserve">en principio es menester precisar que, del análisis realizado a la solicitud de información se advierten diversos requerimientos que no pueden ser objeto de estudio de la presente resolución, en principio porque, se tratan de cuestionamientos que no constituyen un ejercicio del derecho de acceso a la información y, porque, no se encontró precepto normativo que establezca que el </w:t>
      </w:r>
      <w:r w:rsidR="00346663">
        <w:rPr>
          <w:rFonts w:ascii="Palatino Linotype" w:eastAsia="Palatino Linotype" w:hAnsi="Palatino Linotype" w:cs="Palatino Linotype"/>
          <w:sz w:val="24"/>
          <w:szCs w:val="24"/>
        </w:rPr>
        <w:lastRenderedPageBreak/>
        <w:t xml:space="preserve">Sujeto Obligado deba generar la información tal como la requiere la parte Solicitante, los cuales son los siguientes: </w:t>
      </w:r>
    </w:p>
    <w:p w14:paraId="1F20F0E4" w14:textId="77777777" w:rsidR="00346663" w:rsidRPr="00346663" w:rsidRDefault="00346663" w:rsidP="00346663">
      <w:pPr>
        <w:spacing w:after="0" w:line="276" w:lineRule="auto"/>
        <w:ind w:right="49"/>
        <w:jc w:val="both"/>
        <w:rPr>
          <w:rFonts w:ascii="Palatino Linotype" w:eastAsia="Palatino Linotype" w:hAnsi="Palatino Linotype" w:cs="Palatino Linotype"/>
          <w:sz w:val="24"/>
          <w:szCs w:val="24"/>
        </w:rPr>
      </w:pPr>
    </w:p>
    <w:p w14:paraId="2C4E9562" w14:textId="575CDE22" w:rsidR="00346663" w:rsidRPr="00346663" w:rsidRDefault="00346663" w:rsidP="00346663">
      <w:pPr>
        <w:pStyle w:val="Prrafodelista"/>
        <w:numPr>
          <w:ilvl w:val="0"/>
          <w:numId w:val="31"/>
        </w:numPr>
        <w:spacing w:after="0" w:line="276" w:lineRule="auto"/>
        <w:ind w:right="560"/>
        <w:jc w:val="both"/>
        <w:rPr>
          <w:rFonts w:ascii="Palatino Linotype" w:eastAsia="Palatino Linotype" w:hAnsi="Palatino Linotype" w:cs="Palatino Linotype"/>
        </w:rPr>
      </w:pPr>
      <w:r w:rsidRPr="00346663">
        <w:rPr>
          <w:rFonts w:ascii="Palatino Linotype" w:eastAsia="Palatino Linotype" w:hAnsi="Palatino Linotype" w:cs="Palatino Linotype"/>
        </w:rPr>
        <w:t xml:space="preserve">¿Cuántas personas dejaron de cobrar por cheque en esta secretaría cuando se migraron sin su consentimiento a Santander? </w:t>
      </w:r>
    </w:p>
    <w:p w14:paraId="036DF75B" w14:textId="30E5ACFC" w:rsidR="00346663" w:rsidRDefault="00346663" w:rsidP="00346663">
      <w:pPr>
        <w:pStyle w:val="Prrafodelista"/>
        <w:numPr>
          <w:ilvl w:val="0"/>
          <w:numId w:val="31"/>
        </w:numPr>
        <w:spacing w:after="0" w:line="276" w:lineRule="auto"/>
        <w:ind w:right="560"/>
        <w:jc w:val="both"/>
        <w:rPr>
          <w:rFonts w:ascii="Palatino Linotype" w:eastAsia="Palatino Linotype" w:hAnsi="Palatino Linotype" w:cs="Palatino Linotype"/>
        </w:rPr>
      </w:pPr>
      <w:r w:rsidRPr="00346663">
        <w:rPr>
          <w:rFonts w:ascii="Palatino Linotype" w:eastAsia="Palatino Linotype" w:hAnsi="Palatino Linotype" w:cs="Palatino Linotype"/>
        </w:rPr>
        <w:t xml:space="preserve">¿Cuántas personas continúan cobrando por cheque en esta secretaría? </w:t>
      </w:r>
      <w:r>
        <w:rPr>
          <w:rFonts w:ascii="Palatino Linotype" w:eastAsia="Palatino Linotype" w:hAnsi="Palatino Linotype" w:cs="Palatino Linotype"/>
        </w:rPr>
        <w:t>y;</w:t>
      </w:r>
    </w:p>
    <w:p w14:paraId="0331A896" w14:textId="77777777" w:rsidR="00346663" w:rsidRDefault="00346663" w:rsidP="00346663">
      <w:pPr>
        <w:pStyle w:val="Prrafodelista"/>
        <w:numPr>
          <w:ilvl w:val="0"/>
          <w:numId w:val="31"/>
        </w:numPr>
        <w:spacing w:after="0" w:line="276" w:lineRule="auto"/>
        <w:ind w:right="560"/>
        <w:jc w:val="both"/>
        <w:rPr>
          <w:rFonts w:ascii="Palatino Linotype" w:eastAsia="Palatino Linotype" w:hAnsi="Palatino Linotype" w:cs="Palatino Linotype"/>
        </w:rPr>
      </w:pPr>
      <w:r w:rsidRPr="00346663">
        <w:rPr>
          <w:rFonts w:ascii="Palatino Linotype" w:eastAsia="Palatino Linotype" w:hAnsi="Palatino Linotype" w:cs="Palatino Linotype"/>
        </w:rPr>
        <w:t xml:space="preserve">¿Cuál es el motivo por el cual se continúa cobrando por cheque en esta secretaría? </w:t>
      </w:r>
    </w:p>
    <w:p w14:paraId="34ABE5C0" w14:textId="77777777" w:rsidR="00346663" w:rsidRDefault="00346663" w:rsidP="00346663">
      <w:pPr>
        <w:pStyle w:val="Prrafodelista"/>
        <w:spacing w:after="0" w:line="276" w:lineRule="auto"/>
        <w:ind w:right="-7"/>
        <w:jc w:val="both"/>
        <w:rPr>
          <w:rFonts w:ascii="Palatino Linotype" w:eastAsia="Palatino Linotype" w:hAnsi="Palatino Linotype" w:cs="Palatino Linotype"/>
        </w:rPr>
      </w:pPr>
    </w:p>
    <w:p w14:paraId="72B2FB2E" w14:textId="34C22177" w:rsidR="00346663" w:rsidRPr="00346663" w:rsidRDefault="00346663" w:rsidP="00346663">
      <w:pPr>
        <w:spacing w:after="0" w:line="360" w:lineRule="auto"/>
        <w:ind w:right="-7"/>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Por lo anterior, es importante referir que </w:t>
      </w:r>
      <w:r w:rsidRPr="007745C0">
        <w:rPr>
          <w:rFonts w:ascii="Palatino Linotype" w:eastAsia="Palatino Linotype" w:hAnsi="Palatino Linotype" w:cs="Palatino Linotype"/>
          <w:sz w:val="24"/>
        </w:rPr>
        <w:t xml:space="preserve">David Cienfuegos Salgado, concibe al derecho de petición como </w:t>
      </w:r>
      <w:r w:rsidRPr="007745C0">
        <w:rPr>
          <w:rFonts w:ascii="Palatino Linotype" w:eastAsia="Palatino Linotype" w:hAnsi="Palatino Linotype" w:cs="Palatino Linotype"/>
          <w:i/>
          <w:sz w:val="24"/>
        </w:rPr>
        <w:t>“</w:t>
      </w:r>
      <w:r w:rsidRPr="007745C0">
        <w:rPr>
          <w:rFonts w:ascii="Palatino Linotype" w:eastAsia="Palatino Linotype" w:hAnsi="Palatino Linotype" w:cs="Palatino Linotype"/>
          <w:b/>
          <w:i/>
          <w:sz w:val="24"/>
          <w:u w:val="single"/>
        </w:rPr>
        <w:t>el derecho de toda persona a ser escuchado por quienes ejercen el poder públic</w:t>
      </w:r>
      <w:r w:rsidRPr="007745C0">
        <w:rPr>
          <w:rFonts w:ascii="Palatino Linotype" w:eastAsia="Palatino Linotype" w:hAnsi="Palatino Linotype" w:cs="Palatino Linotype"/>
          <w:i/>
          <w:sz w:val="24"/>
        </w:rPr>
        <w:t xml:space="preserve">o.”  </w:t>
      </w:r>
    </w:p>
    <w:p w14:paraId="575B0D3E" w14:textId="77777777" w:rsidR="00346663" w:rsidRPr="007745C0" w:rsidRDefault="00346663" w:rsidP="00346663">
      <w:pPr>
        <w:spacing w:after="0" w:line="360" w:lineRule="auto"/>
        <w:jc w:val="both"/>
        <w:rPr>
          <w:rFonts w:ascii="Palatino Linotype" w:eastAsia="Palatino Linotype" w:hAnsi="Palatino Linotype" w:cs="Palatino Linotype"/>
          <w:i/>
        </w:rPr>
      </w:pPr>
    </w:p>
    <w:p w14:paraId="5B17F557" w14:textId="77777777" w:rsidR="00346663" w:rsidRPr="007745C0" w:rsidRDefault="00346663" w:rsidP="00346663">
      <w:pPr>
        <w:spacing w:after="0" w:line="360" w:lineRule="auto"/>
        <w:jc w:val="both"/>
        <w:rPr>
          <w:rFonts w:ascii="Palatino Linotype" w:eastAsia="Palatino Linotype" w:hAnsi="Palatino Linotype" w:cs="Palatino Linotype"/>
          <w:sz w:val="24"/>
        </w:rPr>
      </w:pPr>
      <w:r w:rsidRPr="007745C0">
        <w:rPr>
          <w:rFonts w:ascii="Palatino Linotype" w:eastAsia="Palatino Linotype" w:hAnsi="Palatino Linotype" w:cs="Palatino Linotype"/>
          <w:sz w:val="24"/>
        </w:rPr>
        <w:t xml:space="preserve">De la misma manera, Miguel Carbonell en su libro </w:t>
      </w:r>
      <w:r w:rsidRPr="007745C0">
        <w:rPr>
          <w:rFonts w:ascii="Palatino Linotype" w:eastAsia="Palatino Linotype" w:hAnsi="Palatino Linotype" w:cs="Palatino Linotype"/>
          <w:i/>
          <w:sz w:val="24"/>
        </w:rPr>
        <w:t>“Los derechos fundamentales”</w:t>
      </w:r>
      <w:r w:rsidRPr="007745C0">
        <w:rPr>
          <w:rFonts w:ascii="Palatino Linotype" w:eastAsia="Palatino Linotype" w:hAnsi="Palatino Linotype" w:cs="Palatino Linotype"/>
          <w:sz w:val="24"/>
        </w:rPr>
        <w:t xml:space="preserve"> refiere que el </w:t>
      </w:r>
      <w:r w:rsidRPr="007745C0">
        <w:rPr>
          <w:rFonts w:ascii="Palatino Linotype" w:eastAsia="Palatino Linotype" w:hAnsi="Palatino Linotype" w:cs="Palatino Linotype"/>
          <w:sz w:val="24"/>
          <w:u w:val="single"/>
        </w:rPr>
        <w:t>derecho de petición se ha entendido de dos distintitas maneras</w:t>
      </w:r>
      <w:r w:rsidRPr="007745C0">
        <w:rPr>
          <w:rFonts w:ascii="Palatino Linotype" w:eastAsia="Palatino Linotype" w:hAnsi="Palatino Linotype" w:cs="Palatino Linotype"/>
          <w:sz w:val="24"/>
        </w:rPr>
        <w:t xml:space="preserve">, a saber: como un derecho fundamental de participación política ya que </w:t>
      </w:r>
      <w:r w:rsidRPr="007745C0">
        <w:rPr>
          <w:rFonts w:ascii="Palatino Linotype" w:eastAsia="Palatino Linotype" w:hAnsi="Palatino Linotype" w:cs="Palatino Linotype"/>
          <w:sz w:val="24"/>
          <w:u w:val="single"/>
        </w:rPr>
        <w:t xml:space="preserve">permite a los </w:t>
      </w:r>
      <w:r w:rsidRPr="007745C0">
        <w:rPr>
          <w:rFonts w:ascii="Palatino Linotype" w:eastAsia="Palatino Linotype" w:hAnsi="Palatino Linotype" w:cs="Palatino Linotype"/>
          <w:sz w:val="24"/>
        </w:rPr>
        <w:t xml:space="preserve">particulares trasladar a las autoridades sus </w:t>
      </w:r>
      <w:r w:rsidRPr="007745C0">
        <w:rPr>
          <w:rFonts w:ascii="Palatino Linotype" w:eastAsia="Palatino Linotype" w:hAnsi="Palatino Linotype" w:cs="Palatino Linotype"/>
          <w:b/>
          <w:sz w:val="24"/>
        </w:rPr>
        <w:t>inquietudes, quejas</w:t>
      </w:r>
      <w:r w:rsidRPr="007745C0">
        <w:rPr>
          <w:rFonts w:ascii="Palatino Linotype" w:eastAsia="Palatino Linotype" w:hAnsi="Palatino Linotype" w:cs="Palatino Linotype"/>
          <w:sz w:val="24"/>
        </w:rPr>
        <w:t xml:space="preserve">, sugerencias y requerimientos en cualquier materia o asunto; y como una </w:t>
      </w:r>
      <w:r w:rsidRPr="007745C0">
        <w:rPr>
          <w:rFonts w:ascii="Palatino Linotype" w:eastAsia="Palatino Linotype" w:hAnsi="Palatino Linotype" w:cs="Palatino Linotype"/>
          <w:b/>
          <w:sz w:val="24"/>
        </w:rPr>
        <w:t>forma específica de la libertad de expresión</w:t>
      </w:r>
      <w:r w:rsidRPr="007745C0">
        <w:rPr>
          <w:rFonts w:ascii="Palatino Linotype" w:eastAsia="Palatino Linotype" w:hAnsi="Palatino Linotype" w:cs="Palatino Linotype"/>
          <w:sz w:val="24"/>
        </w:rPr>
        <w:t xml:space="preserve">, en tanto que permite expresarse frente a las autoridades. </w:t>
      </w:r>
    </w:p>
    <w:p w14:paraId="412BE113" w14:textId="77777777" w:rsidR="00346663" w:rsidRPr="007745C0" w:rsidRDefault="00346663" w:rsidP="00346663">
      <w:pPr>
        <w:spacing w:after="0" w:line="360" w:lineRule="auto"/>
        <w:jc w:val="both"/>
        <w:rPr>
          <w:rFonts w:ascii="Palatino Linotype" w:eastAsia="Palatino Linotype" w:hAnsi="Palatino Linotype" w:cs="Palatino Linotype"/>
        </w:rPr>
      </w:pPr>
    </w:p>
    <w:p w14:paraId="4B6660E8" w14:textId="77777777" w:rsidR="00346663" w:rsidRPr="007745C0" w:rsidRDefault="00346663" w:rsidP="00346663">
      <w:pPr>
        <w:spacing w:after="0" w:line="360" w:lineRule="auto"/>
        <w:jc w:val="both"/>
        <w:rPr>
          <w:rFonts w:ascii="Palatino Linotype" w:eastAsia="Palatino Linotype" w:hAnsi="Palatino Linotype" w:cs="Palatino Linotype"/>
          <w:sz w:val="24"/>
        </w:rPr>
      </w:pPr>
      <w:r w:rsidRPr="007745C0">
        <w:rPr>
          <w:rFonts w:ascii="Palatino Linotype" w:eastAsia="Palatino Linotype" w:hAnsi="Palatino Linotype" w:cs="Palatino Linotype"/>
          <w:sz w:val="24"/>
        </w:rPr>
        <w:t xml:space="preserve">De igual </w:t>
      </w:r>
      <w:r>
        <w:rPr>
          <w:rFonts w:ascii="Palatino Linotype" w:eastAsia="Palatino Linotype" w:hAnsi="Palatino Linotype" w:cs="Palatino Linotype"/>
          <w:sz w:val="24"/>
        </w:rPr>
        <w:t xml:space="preserve">forma, </w:t>
      </w:r>
      <w:r w:rsidRPr="007745C0">
        <w:rPr>
          <w:rFonts w:ascii="Palatino Linotype" w:eastAsia="Palatino Linotype" w:hAnsi="Palatino Linotype" w:cs="Palatino Linotype"/>
          <w:sz w:val="24"/>
        </w:rPr>
        <w:t>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31A0774E" w14:textId="77777777" w:rsidR="00346663" w:rsidRPr="007745C0" w:rsidRDefault="00346663" w:rsidP="00346663">
      <w:pPr>
        <w:spacing w:after="0" w:line="360" w:lineRule="auto"/>
        <w:jc w:val="both"/>
        <w:rPr>
          <w:rFonts w:ascii="Palatino Linotype" w:eastAsia="Palatino Linotype" w:hAnsi="Palatino Linotype" w:cs="Palatino Linotype"/>
        </w:rPr>
      </w:pPr>
    </w:p>
    <w:p w14:paraId="740DA8B3" w14:textId="77777777" w:rsidR="00346663" w:rsidRPr="00322186" w:rsidRDefault="00346663" w:rsidP="00346663">
      <w:pPr>
        <w:spacing w:after="0" w:line="360" w:lineRule="auto"/>
        <w:ind w:right="99"/>
        <w:jc w:val="both"/>
        <w:rPr>
          <w:rFonts w:ascii="Palatino Linotype" w:eastAsia="Palatino Linotype" w:hAnsi="Palatino Linotype" w:cs="Palatino Linotype"/>
          <w:sz w:val="24"/>
        </w:rPr>
      </w:pPr>
      <w:r w:rsidRPr="00322186">
        <w:rPr>
          <w:rFonts w:ascii="Palatino Linotype" w:eastAsia="Palatino Linotype" w:hAnsi="Palatino Linotype" w:cs="Palatino Linotype"/>
          <w:sz w:val="24"/>
        </w:rPr>
        <w:t xml:space="preserve">Por otro lado, el autor anteriormente citado, indica que el </w:t>
      </w:r>
      <w:r w:rsidRPr="00322186">
        <w:rPr>
          <w:rFonts w:ascii="Palatino Linotype" w:eastAsia="Palatino Linotype" w:hAnsi="Palatino Linotype" w:cs="Palatino Linotype"/>
          <w:b/>
          <w:sz w:val="24"/>
        </w:rPr>
        <w:t>derecho de acceso a la información pública</w:t>
      </w:r>
      <w:r w:rsidRPr="00322186">
        <w:rPr>
          <w:rFonts w:ascii="Palatino Linotype" w:eastAsia="Palatino Linotype" w:hAnsi="Palatino Linotype" w:cs="Palatino Linotype"/>
          <w:sz w:val="24"/>
        </w:rPr>
        <w:t xml:space="preserve"> es el derecho de conocer la información de carácter público que </w:t>
      </w:r>
      <w:r w:rsidRPr="00322186">
        <w:rPr>
          <w:rFonts w:ascii="Palatino Linotype" w:eastAsia="Palatino Linotype" w:hAnsi="Palatino Linotype" w:cs="Palatino Linotype"/>
          <w:sz w:val="24"/>
        </w:rPr>
        <w:lastRenderedPageBreak/>
        <w:t>se genera o está en posesión de los órganos del poder público o de los sujetos que utilizan o se benefician con recursos provenientes del Estado, es el derecho que tienen los ciudadanos para acceder a documentos y datos que obren en el poder del gobierno.</w:t>
      </w:r>
    </w:p>
    <w:p w14:paraId="4B0DD22A" w14:textId="77777777" w:rsidR="00346663" w:rsidRPr="007745C0" w:rsidRDefault="00346663" w:rsidP="00346663">
      <w:pPr>
        <w:spacing w:after="0" w:line="360" w:lineRule="auto"/>
        <w:ind w:right="99"/>
        <w:jc w:val="both"/>
        <w:rPr>
          <w:rFonts w:ascii="Palatino Linotype" w:eastAsia="Palatino Linotype" w:hAnsi="Palatino Linotype" w:cs="Palatino Linotype"/>
        </w:rPr>
      </w:pPr>
    </w:p>
    <w:p w14:paraId="6C4467E7" w14:textId="77777777" w:rsidR="00346663" w:rsidRPr="007745C0" w:rsidRDefault="00346663" w:rsidP="00346663">
      <w:pPr>
        <w:spacing w:after="0" w:line="360" w:lineRule="auto"/>
        <w:ind w:right="99"/>
        <w:jc w:val="both"/>
        <w:rPr>
          <w:rFonts w:ascii="Palatino Linotype" w:eastAsia="Palatino Linotype" w:hAnsi="Palatino Linotype" w:cs="Palatino Linotype"/>
          <w:sz w:val="24"/>
        </w:rPr>
      </w:pPr>
      <w:r w:rsidRPr="007745C0">
        <w:rPr>
          <w:rFonts w:ascii="Palatino Linotype" w:eastAsia="Palatino Linotype" w:hAnsi="Palatino Linotype" w:cs="Palatino Linotype"/>
          <w:sz w:val="24"/>
        </w:rPr>
        <w:t>Por su parte</w:t>
      </w:r>
      <w:r>
        <w:rPr>
          <w:rFonts w:ascii="Palatino Linotype" w:eastAsia="Palatino Linotype" w:hAnsi="Palatino Linotype" w:cs="Palatino Linotype"/>
          <w:sz w:val="24"/>
        </w:rPr>
        <w:t>,</w:t>
      </w:r>
      <w:r w:rsidRPr="007745C0">
        <w:rPr>
          <w:rFonts w:ascii="Palatino Linotype" w:eastAsia="Palatino Linotype" w:hAnsi="Palatino Linotype" w:cs="Palatino Linotype"/>
          <w:sz w:val="24"/>
        </w:rPr>
        <w:t xml:space="preserv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1752F02C" w14:textId="77777777" w:rsidR="00346663" w:rsidRPr="007745C0" w:rsidRDefault="00346663" w:rsidP="00346663">
      <w:pPr>
        <w:spacing w:after="0" w:line="360" w:lineRule="auto"/>
        <w:ind w:right="99"/>
        <w:jc w:val="both"/>
        <w:rPr>
          <w:rFonts w:ascii="Palatino Linotype" w:eastAsia="Palatino Linotype" w:hAnsi="Palatino Linotype" w:cs="Palatino Linotype"/>
        </w:rPr>
      </w:pPr>
    </w:p>
    <w:p w14:paraId="63D48726" w14:textId="239724E4" w:rsidR="00346663" w:rsidRPr="00322186" w:rsidRDefault="00322186" w:rsidP="00346663">
      <w:pPr>
        <w:spacing w:after="0" w:line="360" w:lineRule="auto"/>
        <w:ind w:right="99"/>
        <w:jc w:val="both"/>
        <w:rPr>
          <w:rFonts w:ascii="Palatino Linotype" w:eastAsia="Palatino Linotype" w:hAnsi="Palatino Linotype" w:cs="Palatino Linotype"/>
          <w:sz w:val="24"/>
        </w:rPr>
      </w:pPr>
      <w:r>
        <w:rPr>
          <w:rFonts w:ascii="Palatino Linotype" w:eastAsia="Palatino Linotype" w:hAnsi="Palatino Linotype" w:cs="Palatino Linotype"/>
          <w:sz w:val="24"/>
        </w:rPr>
        <w:t>Es así que,</w:t>
      </w:r>
      <w:r w:rsidR="00346663" w:rsidRPr="00322186">
        <w:rPr>
          <w:rFonts w:ascii="Palatino Linotype" w:eastAsia="Palatino Linotype" w:hAnsi="Palatino Linotype" w:cs="Palatino Linotype"/>
          <w:sz w:val="24"/>
        </w:rPr>
        <w:t xml:space="preserve">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6265B3E3" w14:textId="77777777" w:rsidR="00346663" w:rsidRDefault="00346663" w:rsidP="00346663">
      <w:pPr>
        <w:spacing w:after="0" w:line="276" w:lineRule="auto"/>
        <w:ind w:right="560"/>
        <w:jc w:val="both"/>
        <w:rPr>
          <w:rFonts w:ascii="Palatino Linotype" w:eastAsia="Palatino Linotype" w:hAnsi="Palatino Linotype" w:cs="Palatino Linotype"/>
          <w:sz w:val="24"/>
        </w:rPr>
      </w:pPr>
    </w:p>
    <w:p w14:paraId="5449E855" w14:textId="398C8903" w:rsidR="00346663" w:rsidRDefault="00322186" w:rsidP="00322186">
      <w:pPr>
        <w:spacing w:after="0" w:line="360" w:lineRule="auto"/>
        <w:ind w:right="-7"/>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Por esto, es importante mencionar que de acuerdo con el artículo 12 de la Ley de Transparencia y Acceso a la Información Pública del Estado de México y Municipios, los sujetos obligados únicamente deberán proporcionar la información que se les requerida, en el estado en que obren en sus archivos, lo que no implica, efectuar investigaciones, cálculos o el procesamiento de la misma. </w:t>
      </w:r>
    </w:p>
    <w:p w14:paraId="5F711454" w14:textId="42CD3FBD" w:rsidR="00322186" w:rsidRDefault="00322186" w:rsidP="00322186">
      <w:pPr>
        <w:spacing w:after="0" w:line="360" w:lineRule="auto"/>
        <w:ind w:right="-7"/>
        <w:jc w:val="both"/>
        <w:rPr>
          <w:rFonts w:ascii="Palatino Linotype" w:eastAsia="Palatino Linotype" w:hAnsi="Palatino Linotype" w:cs="Palatino Linotype"/>
          <w:sz w:val="24"/>
        </w:rPr>
      </w:pPr>
      <w:r>
        <w:rPr>
          <w:rFonts w:ascii="Palatino Linotype" w:eastAsia="Palatino Linotype" w:hAnsi="Palatino Linotype" w:cs="Palatino Linotype"/>
          <w:sz w:val="24"/>
        </w:rPr>
        <w:lastRenderedPageBreak/>
        <w:t>Lo anterior, nos conlleva</w:t>
      </w:r>
      <w:r w:rsidR="004064E8">
        <w:rPr>
          <w:rFonts w:ascii="Palatino Linotype" w:eastAsia="Palatino Linotype" w:hAnsi="Palatino Linotype" w:cs="Palatino Linotype"/>
          <w:sz w:val="24"/>
        </w:rPr>
        <w:t xml:space="preserve"> a mencionar que del análisis realizado a la normatividad que regula a la Secretaría de Seguridad, no se encontró precepto normativo que establezca que el Sujeto Obligado, deba generar estadísticas respecto a las personas que migraron l</w:t>
      </w:r>
      <w:r w:rsidR="00104192">
        <w:rPr>
          <w:rFonts w:ascii="Palatino Linotype" w:eastAsia="Palatino Linotype" w:hAnsi="Palatino Linotype" w:cs="Palatino Linotype"/>
          <w:sz w:val="24"/>
        </w:rPr>
        <w:t xml:space="preserve">a nómina a un banco específico, el número de personas que continúan cobrando por cheque o, bien, </w:t>
      </w:r>
      <w:proofErr w:type="gramStart"/>
      <w:r w:rsidR="00104192">
        <w:rPr>
          <w:rFonts w:ascii="Palatino Linotype" w:eastAsia="Palatino Linotype" w:hAnsi="Palatino Linotype" w:cs="Palatino Linotype"/>
          <w:sz w:val="24"/>
        </w:rPr>
        <w:t>el motivo del porqué siguen</w:t>
      </w:r>
      <w:proofErr w:type="gramEnd"/>
      <w:r w:rsidR="00104192">
        <w:rPr>
          <w:rFonts w:ascii="Palatino Linotype" w:eastAsia="Palatino Linotype" w:hAnsi="Palatino Linotype" w:cs="Palatino Linotype"/>
          <w:sz w:val="24"/>
        </w:rPr>
        <w:t xml:space="preserve"> realizando esto. </w:t>
      </w:r>
    </w:p>
    <w:p w14:paraId="6F667785" w14:textId="77777777" w:rsidR="004064E8" w:rsidRDefault="004064E8" w:rsidP="00322186">
      <w:pPr>
        <w:spacing w:after="0" w:line="360" w:lineRule="auto"/>
        <w:ind w:right="-7"/>
        <w:jc w:val="both"/>
        <w:rPr>
          <w:rFonts w:ascii="Palatino Linotype" w:eastAsia="Palatino Linotype" w:hAnsi="Palatino Linotype" w:cs="Palatino Linotype"/>
          <w:sz w:val="24"/>
        </w:rPr>
      </w:pPr>
    </w:p>
    <w:p w14:paraId="4471337F" w14:textId="77777777" w:rsidR="00104192" w:rsidRDefault="00104192" w:rsidP="00322186">
      <w:pPr>
        <w:spacing w:after="0" w:line="360" w:lineRule="auto"/>
        <w:ind w:right="-7"/>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En ese sentido, se determina que la información que se estudiará será lo relacionado con lo siguiente: </w:t>
      </w:r>
    </w:p>
    <w:p w14:paraId="0E72C7F6" w14:textId="77777777" w:rsidR="00104192" w:rsidRPr="007670F9" w:rsidRDefault="00104192" w:rsidP="00322186">
      <w:pPr>
        <w:spacing w:after="0" w:line="360" w:lineRule="auto"/>
        <w:ind w:right="-7"/>
        <w:jc w:val="both"/>
        <w:rPr>
          <w:rFonts w:ascii="Palatino Linotype" w:eastAsia="Palatino Linotype" w:hAnsi="Palatino Linotype" w:cs="Palatino Linotype"/>
          <w:b/>
          <w:sz w:val="24"/>
        </w:rPr>
      </w:pPr>
    </w:p>
    <w:p w14:paraId="5713048F" w14:textId="13118F6F" w:rsidR="00104192" w:rsidRPr="007670F9" w:rsidRDefault="00104192" w:rsidP="00104192">
      <w:pPr>
        <w:pStyle w:val="Prrafodelista"/>
        <w:numPr>
          <w:ilvl w:val="0"/>
          <w:numId w:val="32"/>
        </w:numPr>
        <w:spacing w:after="0" w:line="360" w:lineRule="auto"/>
        <w:ind w:right="-7"/>
        <w:jc w:val="both"/>
        <w:rPr>
          <w:rFonts w:ascii="Palatino Linotype" w:eastAsia="Palatino Linotype" w:hAnsi="Palatino Linotype" w:cs="Palatino Linotype"/>
          <w:b/>
        </w:rPr>
      </w:pPr>
      <w:r w:rsidRPr="007670F9">
        <w:rPr>
          <w:rFonts w:ascii="Palatino Linotype" w:eastAsia="Palatino Linotype" w:hAnsi="Palatino Linotype" w:cs="Palatino Linotype"/>
          <w:b/>
        </w:rPr>
        <w:t xml:space="preserve">Nombre y adscripción de los servidores públicos que cobraron por cheque en la primera y segunda quincena de diciembre. </w:t>
      </w:r>
    </w:p>
    <w:p w14:paraId="23B851CB" w14:textId="7239B1B5" w:rsidR="00104192" w:rsidRPr="007670F9" w:rsidRDefault="00104192" w:rsidP="00104192">
      <w:pPr>
        <w:pStyle w:val="Prrafodelista"/>
        <w:numPr>
          <w:ilvl w:val="0"/>
          <w:numId w:val="32"/>
        </w:numPr>
        <w:spacing w:after="0" w:line="360" w:lineRule="auto"/>
        <w:ind w:right="-7"/>
        <w:jc w:val="both"/>
        <w:rPr>
          <w:rFonts w:ascii="Palatino Linotype" w:eastAsia="Palatino Linotype" w:hAnsi="Palatino Linotype" w:cs="Palatino Linotype"/>
          <w:b/>
        </w:rPr>
      </w:pPr>
      <w:r w:rsidRPr="007670F9">
        <w:rPr>
          <w:rFonts w:ascii="Palatino Linotype" w:eastAsia="Palatino Linotype" w:hAnsi="Palatino Linotype" w:cs="Palatino Linotype"/>
          <w:b/>
        </w:rPr>
        <w:t xml:space="preserve">Nombre de la persona encargada de revisar y verificar el pago adecuado de los cheques. </w:t>
      </w:r>
    </w:p>
    <w:p w14:paraId="2A636803" w14:textId="77777777" w:rsidR="00104192" w:rsidRDefault="00104192" w:rsidP="00D02932">
      <w:pPr>
        <w:spacing w:after="0" w:line="360" w:lineRule="auto"/>
        <w:ind w:right="49"/>
        <w:jc w:val="both"/>
        <w:rPr>
          <w:rFonts w:ascii="Palatino Linotype" w:eastAsia="Palatino Linotype" w:hAnsi="Palatino Linotype" w:cs="Palatino Linotype"/>
          <w:sz w:val="24"/>
        </w:rPr>
      </w:pPr>
    </w:p>
    <w:p w14:paraId="429A0D49" w14:textId="48A43853" w:rsidR="00104192" w:rsidRDefault="00104192" w:rsidP="00D02932">
      <w:pPr>
        <w:spacing w:after="0" w:line="360" w:lineRule="auto"/>
        <w:ind w:right="49"/>
        <w:jc w:val="both"/>
        <w:rPr>
          <w:rFonts w:ascii="Palatino Linotype" w:eastAsia="Palatino Linotype" w:hAnsi="Palatino Linotype" w:cs="Palatino Linotype"/>
          <w:sz w:val="24"/>
        </w:rPr>
      </w:pPr>
      <w:r>
        <w:rPr>
          <w:rFonts w:ascii="Palatino Linotype" w:eastAsia="Palatino Linotype" w:hAnsi="Palatino Linotype" w:cs="Palatino Linotype"/>
          <w:sz w:val="24"/>
        </w:rPr>
        <w:t xml:space="preserve">Ahora bien, cabe mencionar que la parte Recurrente no señaló el año del que requería tener la información relacionada con el cobro de cheques de diciembre, no obstante, toda vez que, la solicitud de información fue registrada el tres de marzo de dos mil veintitrés, </w:t>
      </w:r>
      <w:r w:rsidRPr="00104192">
        <w:rPr>
          <w:rFonts w:ascii="Palatino Linotype" w:eastAsia="Palatino Linotype" w:hAnsi="Palatino Linotype" w:cs="Palatino Linotype"/>
          <w:b/>
          <w:sz w:val="24"/>
          <w:u w:val="single"/>
        </w:rPr>
        <w:t>se entiende que la información que solicita es del año dos mil veintidós.</w:t>
      </w:r>
      <w:r>
        <w:rPr>
          <w:rFonts w:ascii="Palatino Linotype" w:eastAsia="Palatino Linotype" w:hAnsi="Palatino Linotype" w:cs="Palatino Linotype"/>
          <w:sz w:val="24"/>
        </w:rPr>
        <w:t xml:space="preserve"> </w:t>
      </w:r>
    </w:p>
    <w:p w14:paraId="3D3C38CD" w14:textId="77777777" w:rsidR="00104192" w:rsidRDefault="00104192" w:rsidP="00D02932">
      <w:pPr>
        <w:spacing w:after="0" w:line="360" w:lineRule="auto"/>
        <w:ind w:right="49"/>
        <w:jc w:val="both"/>
        <w:rPr>
          <w:rFonts w:ascii="Palatino Linotype" w:eastAsia="Palatino Linotype" w:hAnsi="Palatino Linotype" w:cs="Palatino Linotype"/>
          <w:sz w:val="24"/>
          <w:szCs w:val="24"/>
        </w:rPr>
      </w:pPr>
    </w:p>
    <w:p w14:paraId="4F71D8C1" w14:textId="5B8D1DDF" w:rsidR="00104192" w:rsidRDefault="00C12F33" w:rsidP="00104192">
      <w:pPr>
        <w:spacing w:after="0" w:line="360" w:lineRule="auto"/>
        <w:ind w:right="49"/>
        <w:jc w:val="both"/>
        <w:rPr>
          <w:rFonts w:ascii="Palatino Linotype" w:eastAsia="Palatino Linotype" w:hAnsi="Palatino Linotype" w:cs="Palatino Linotype"/>
          <w:sz w:val="24"/>
          <w:szCs w:val="24"/>
        </w:rPr>
      </w:pPr>
      <w:r w:rsidRPr="00C7712F">
        <w:rPr>
          <w:rFonts w:ascii="Palatino Linotype" w:eastAsia="Palatino Linotype" w:hAnsi="Palatino Linotype" w:cs="Palatino Linotype"/>
          <w:sz w:val="24"/>
          <w:szCs w:val="24"/>
        </w:rPr>
        <w:t xml:space="preserve">Dicho lo anterior, es importante precisar que, el </w:t>
      </w:r>
      <w:r w:rsidRPr="00C7712F">
        <w:rPr>
          <w:rFonts w:ascii="Palatino Linotype" w:eastAsia="Palatino Linotype" w:hAnsi="Palatino Linotype" w:cs="Palatino Linotype"/>
          <w:i/>
          <w:sz w:val="24"/>
          <w:szCs w:val="24"/>
        </w:rPr>
        <w:t xml:space="preserve">cheque </w:t>
      </w:r>
      <w:r w:rsidRPr="00C7712F">
        <w:rPr>
          <w:rFonts w:ascii="Palatino Linotype" w:eastAsia="Palatino Linotype" w:hAnsi="Palatino Linotype" w:cs="Palatino Linotype"/>
          <w:sz w:val="24"/>
          <w:szCs w:val="24"/>
        </w:rPr>
        <w:t xml:space="preserve"> es una orden escrita y girada contra un banco para que </w:t>
      </w:r>
      <w:r w:rsidR="00C7712F">
        <w:rPr>
          <w:rFonts w:ascii="Palatino Linotype" w:eastAsia="Palatino Linotype" w:hAnsi="Palatino Linotype" w:cs="Palatino Linotype"/>
          <w:sz w:val="24"/>
          <w:szCs w:val="24"/>
        </w:rPr>
        <w:t>e</w:t>
      </w:r>
      <w:r w:rsidRPr="00C7712F">
        <w:rPr>
          <w:rFonts w:ascii="Palatino Linotype" w:eastAsia="Palatino Linotype" w:hAnsi="Palatino Linotype" w:cs="Palatino Linotype"/>
          <w:sz w:val="24"/>
          <w:szCs w:val="24"/>
        </w:rPr>
        <w:t>ste pague a su presentac</w:t>
      </w:r>
      <w:r w:rsidR="00C7712F">
        <w:rPr>
          <w:rFonts w:ascii="Palatino Linotype" w:eastAsia="Palatino Linotype" w:hAnsi="Palatino Linotype" w:cs="Palatino Linotype"/>
          <w:sz w:val="24"/>
          <w:szCs w:val="24"/>
        </w:rPr>
        <w:t>ión el monto total ahí señalado, en lo que respecta a la administración pública, se tiene que, los ayuntamientos pueden realizar pagos a través de estos documentos, por lo que, para el caso de la Secretaría de Seguridad, de conformidad</w:t>
      </w:r>
      <w:r w:rsidR="005808BF">
        <w:rPr>
          <w:rFonts w:ascii="Palatino Linotype" w:eastAsia="Palatino Linotype" w:hAnsi="Palatino Linotype" w:cs="Palatino Linotype"/>
          <w:sz w:val="24"/>
          <w:szCs w:val="24"/>
        </w:rPr>
        <w:t xml:space="preserve"> con el Manual de Normas y Procedimientos de Desarrollo y Administración de Personal, se establece que, corresponde a la Secretaría </w:t>
      </w:r>
      <w:r w:rsidR="005808BF">
        <w:rPr>
          <w:rFonts w:ascii="Palatino Linotype" w:eastAsia="Palatino Linotype" w:hAnsi="Palatino Linotype" w:cs="Palatino Linotype"/>
          <w:sz w:val="24"/>
          <w:szCs w:val="24"/>
        </w:rPr>
        <w:lastRenderedPageBreak/>
        <w:t>de Finanzas elaborar y actualizar las Condiciones Generales de Trabajo para las dependencias del sector central, debiendo apegarse a lo establecido en la Ley de Trabajo de los Servidores Públicos del Estado de México y Municipios y a las di</w:t>
      </w:r>
      <w:r w:rsidR="002A4A92">
        <w:rPr>
          <w:rFonts w:ascii="Palatino Linotype" w:eastAsia="Palatino Linotype" w:hAnsi="Palatino Linotype" w:cs="Palatino Linotype"/>
          <w:sz w:val="24"/>
          <w:szCs w:val="24"/>
        </w:rPr>
        <w:t xml:space="preserve">sposiciones laborales vigentes. </w:t>
      </w:r>
    </w:p>
    <w:p w14:paraId="6273285B" w14:textId="77777777" w:rsidR="005808BF" w:rsidRDefault="005808BF" w:rsidP="00104192">
      <w:pPr>
        <w:spacing w:after="0" w:line="360" w:lineRule="auto"/>
        <w:ind w:right="49"/>
        <w:jc w:val="both"/>
        <w:rPr>
          <w:rFonts w:ascii="Palatino Linotype" w:eastAsia="Palatino Linotype" w:hAnsi="Palatino Linotype" w:cs="Palatino Linotype"/>
          <w:sz w:val="24"/>
          <w:szCs w:val="24"/>
        </w:rPr>
      </w:pPr>
    </w:p>
    <w:p w14:paraId="76E020B1" w14:textId="37422F40" w:rsidR="005808BF" w:rsidRDefault="005808BF" w:rsidP="0010419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de conformidad con el procedimiento 082 Pago de Nómina a Servidores Públicos Generales, se tiene que, </w:t>
      </w:r>
      <w:r w:rsidR="002A4A92">
        <w:rPr>
          <w:rFonts w:ascii="Palatino Linotype" w:eastAsia="Palatino Linotype" w:hAnsi="Palatino Linotype" w:cs="Palatino Linotype"/>
          <w:sz w:val="24"/>
          <w:szCs w:val="24"/>
        </w:rPr>
        <w:t xml:space="preserve">los servidores públicos generales que ingresen o reingresen al Gobierno Estatal en puestos que tengan asignados niveles salariales correspondientes al tabulador de servidores públicos generales, les serán  depositadas sus percepciones quincenales, aguinaldo, prima vacacional y cualquier otro concepto de sueldo ordinario y extraordinario, así como las prestaciones económicas a que tengan dicho derecho, en una cuenta bancaria presentada  para tal fin. </w:t>
      </w:r>
    </w:p>
    <w:p w14:paraId="011B715C" w14:textId="77777777" w:rsidR="002A4A92" w:rsidRDefault="002A4A92" w:rsidP="00104192">
      <w:pPr>
        <w:spacing w:after="0" w:line="360" w:lineRule="auto"/>
        <w:ind w:right="49"/>
        <w:jc w:val="both"/>
        <w:rPr>
          <w:rFonts w:ascii="Palatino Linotype" w:eastAsia="Palatino Linotype" w:hAnsi="Palatino Linotype" w:cs="Palatino Linotype"/>
          <w:sz w:val="24"/>
          <w:szCs w:val="24"/>
        </w:rPr>
      </w:pPr>
    </w:p>
    <w:p w14:paraId="4775FAC6" w14:textId="240A4A44" w:rsidR="002A4A92" w:rsidRDefault="002A4A92" w:rsidP="0010419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el caso de que, el pago se deba realizar a través de cheque bancario, los bancos con quien la Secretaría de Finanzas celebre convenio, proporcionarán a la Dirección General de Personal formas valoradas (cheques), las cuales deberán estar acordes a las disposiciones que señalen las autoridades competentes en la materia. </w:t>
      </w:r>
    </w:p>
    <w:p w14:paraId="6E072B05" w14:textId="77777777" w:rsidR="002A4A92" w:rsidRDefault="002A4A92" w:rsidP="00104192">
      <w:pPr>
        <w:spacing w:after="0" w:line="360" w:lineRule="auto"/>
        <w:ind w:right="49"/>
        <w:jc w:val="both"/>
        <w:rPr>
          <w:rFonts w:ascii="Palatino Linotype" w:eastAsia="Palatino Linotype" w:hAnsi="Palatino Linotype" w:cs="Palatino Linotype"/>
          <w:sz w:val="24"/>
          <w:szCs w:val="24"/>
        </w:rPr>
      </w:pPr>
    </w:p>
    <w:p w14:paraId="0CE16E60" w14:textId="356B7454" w:rsidR="002A4A92" w:rsidRDefault="002A4A92" w:rsidP="0010419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de acuerdo con el diagrama de flujo del procedimiento de pago de nómina a servidores públicos se tiene la existencia de un denominado pagador habilitado, el cual es el servidor público designado por la unidad administrativa para recibir cheques y listados de firma y entregarlos a los servidores públicos correspondientes, tal como se aprecia a continuación: </w:t>
      </w:r>
    </w:p>
    <w:p w14:paraId="765A8511" w14:textId="77777777" w:rsidR="002A4A92" w:rsidRDefault="002A4A92" w:rsidP="00104192">
      <w:pPr>
        <w:spacing w:after="0" w:line="360" w:lineRule="auto"/>
        <w:ind w:right="49"/>
        <w:jc w:val="both"/>
        <w:rPr>
          <w:rFonts w:ascii="Palatino Linotype" w:eastAsia="Palatino Linotype" w:hAnsi="Palatino Linotype" w:cs="Palatino Linotype"/>
          <w:sz w:val="24"/>
          <w:szCs w:val="24"/>
        </w:rPr>
      </w:pPr>
    </w:p>
    <w:p w14:paraId="09AFD31E" w14:textId="2AFBD7B5" w:rsidR="002A4A92" w:rsidRDefault="00C074E9" w:rsidP="00C074E9">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lastRenderedPageBreak/>
        <mc:AlternateContent>
          <mc:Choice Requires="wps">
            <w:drawing>
              <wp:anchor distT="0" distB="0" distL="114300" distR="114300" simplePos="0" relativeHeight="251659264" behindDoc="0" locked="0" layoutInCell="1" allowOverlap="1" wp14:anchorId="1A8F004A" wp14:editId="3DEA8756">
                <wp:simplePos x="0" y="0"/>
                <wp:positionH relativeFrom="column">
                  <wp:posOffset>2891790</wp:posOffset>
                </wp:positionH>
                <wp:positionV relativeFrom="paragraph">
                  <wp:posOffset>3237230</wp:posOffset>
                </wp:positionV>
                <wp:extent cx="1152525" cy="101917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1152525" cy="1019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3A8A6" id="Rectángulo 2" o:spid="_x0000_s1026" style="position:absolute;margin-left:227.7pt;margin-top:254.9pt;width:90.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" filled="f" strokecolor="red" strokeweight="3pt"/>
            </w:pict>
          </mc:Fallback>
        </mc:AlternateContent>
      </w:r>
      <w:r w:rsidR="002A4A92" w:rsidRPr="002A4A92">
        <w:rPr>
          <w:rFonts w:ascii="Palatino Linotype" w:eastAsia="Palatino Linotype" w:hAnsi="Palatino Linotype" w:cs="Palatino Linotype"/>
          <w:noProof/>
          <w:sz w:val="24"/>
          <w:szCs w:val="24"/>
        </w:rPr>
        <w:drawing>
          <wp:inline distT="0" distB="0" distL="0" distR="0" wp14:anchorId="79736380" wp14:editId="225E1F39">
            <wp:extent cx="4601721" cy="442912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4517" cy="4431816"/>
                    </a:xfrm>
                    <a:prstGeom prst="rect">
                      <a:avLst/>
                    </a:prstGeom>
                  </pic:spPr>
                </pic:pic>
              </a:graphicData>
            </a:graphic>
          </wp:inline>
        </w:drawing>
      </w:r>
    </w:p>
    <w:p w14:paraId="5A13B347" w14:textId="77777777" w:rsidR="005808BF" w:rsidRDefault="005808BF" w:rsidP="00104192">
      <w:pPr>
        <w:spacing w:after="0" w:line="360" w:lineRule="auto"/>
        <w:ind w:right="49"/>
        <w:jc w:val="both"/>
        <w:rPr>
          <w:rFonts w:ascii="Palatino Linotype" w:eastAsia="Palatino Linotype" w:hAnsi="Palatino Linotype" w:cs="Palatino Linotype"/>
          <w:sz w:val="24"/>
          <w:szCs w:val="24"/>
        </w:rPr>
      </w:pPr>
    </w:p>
    <w:p w14:paraId="416CA5EE" w14:textId="6650EDCE" w:rsidR="005808BF" w:rsidRDefault="00C074E9" w:rsidP="0010419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advierte que, las dependencias contarán con un pagador habilitado, quien recibirá los cheques remitidos por la Dirección General del Sistema Estatal de Informática para su entrega. </w:t>
      </w:r>
    </w:p>
    <w:p w14:paraId="5D580169" w14:textId="77777777" w:rsidR="00C074E9" w:rsidRDefault="00C074E9" w:rsidP="00104192">
      <w:pPr>
        <w:spacing w:after="0" w:line="360" w:lineRule="auto"/>
        <w:ind w:right="49"/>
        <w:jc w:val="both"/>
        <w:rPr>
          <w:rFonts w:ascii="Palatino Linotype" w:eastAsia="Palatino Linotype" w:hAnsi="Palatino Linotype" w:cs="Palatino Linotype"/>
          <w:sz w:val="24"/>
          <w:szCs w:val="24"/>
        </w:rPr>
      </w:pPr>
    </w:p>
    <w:p w14:paraId="335AE943" w14:textId="77777777" w:rsidR="00C074E9" w:rsidRDefault="005808BF" w:rsidP="0010419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w:t>
      </w:r>
      <w:r w:rsidR="00C074E9">
        <w:rPr>
          <w:rFonts w:ascii="Palatino Linotype" w:eastAsia="Palatino Linotype" w:hAnsi="Palatino Linotype" w:cs="Palatino Linotype"/>
          <w:sz w:val="24"/>
          <w:szCs w:val="24"/>
        </w:rPr>
        <w:t xml:space="preserve"> se colige que,</w:t>
      </w:r>
      <w:r>
        <w:rPr>
          <w:rFonts w:ascii="Palatino Linotype" w:eastAsia="Palatino Linotype" w:hAnsi="Palatino Linotype" w:cs="Palatino Linotype"/>
          <w:sz w:val="24"/>
          <w:szCs w:val="24"/>
        </w:rPr>
        <w:t xml:space="preserve"> si bien, la Secretaría de Finanzas será </w:t>
      </w:r>
      <w:r w:rsidR="00C074E9">
        <w:rPr>
          <w:rFonts w:ascii="Palatino Linotype" w:eastAsia="Palatino Linotype" w:hAnsi="Palatino Linotype" w:cs="Palatino Linotype"/>
          <w:sz w:val="24"/>
          <w:szCs w:val="24"/>
        </w:rPr>
        <w:t>la responsable de actualizar y</w:t>
      </w:r>
      <w:r>
        <w:rPr>
          <w:rFonts w:ascii="Palatino Linotype" w:eastAsia="Palatino Linotype" w:hAnsi="Palatino Linotype" w:cs="Palatino Linotype"/>
          <w:sz w:val="24"/>
          <w:szCs w:val="24"/>
        </w:rPr>
        <w:t xml:space="preserve"> desarrollar las condiciones generales de trabajo de las dependencias del sector central, en las que se encuentra, la Secretaría de Seguridad, también lo es que de conformidad</w:t>
      </w:r>
      <w:r w:rsidR="00C074E9">
        <w:rPr>
          <w:rFonts w:ascii="Palatino Linotype" w:eastAsia="Palatino Linotype" w:hAnsi="Palatino Linotype" w:cs="Palatino Linotype"/>
          <w:sz w:val="24"/>
          <w:szCs w:val="24"/>
        </w:rPr>
        <w:t xml:space="preserve"> con el procedimiento establecido para la emisión de cheques, se deberá designar a un pagador habilitado en la dependencias, quien será el responsable </w:t>
      </w:r>
      <w:r w:rsidR="00C074E9">
        <w:rPr>
          <w:rFonts w:ascii="Palatino Linotype" w:eastAsia="Palatino Linotype" w:hAnsi="Palatino Linotype" w:cs="Palatino Linotype"/>
          <w:sz w:val="24"/>
          <w:szCs w:val="24"/>
        </w:rPr>
        <w:lastRenderedPageBreak/>
        <w:t xml:space="preserve">de recibir los cheques y el listado de firmas, así como, entregarlos a los servidores públicos correspondientes. </w:t>
      </w:r>
    </w:p>
    <w:p w14:paraId="2020F5B2" w14:textId="77777777" w:rsidR="00C074E9" w:rsidRDefault="00C074E9" w:rsidP="00104192">
      <w:pPr>
        <w:spacing w:after="0" w:line="360" w:lineRule="auto"/>
        <w:ind w:right="49"/>
        <w:jc w:val="both"/>
        <w:rPr>
          <w:rFonts w:ascii="Palatino Linotype" w:eastAsia="Palatino Linotype" w:hAnsi="Palatino Linotype" w:cs="Palatino Linotype"/>
          <w:sz w:val="24"/>
          <w:szCs w:val="24"/>
        </w:rPr>
      </w:pPr>
    </w:p>
    <w:p w14:paraId="5E8949DA" w14:textId="4FEFA4AB" w:rsidR="00104192" w:rsidRDefault="005808BF" w:rsidP="00104192">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r w:rsidR="00C074E9">
        <w:rPr>
          <w:rFonts w:ascii="Palatino Linotype" w:eastAsia="Palatino Linotype" w:hAnsi="Palatino Linotype" w:cs="Palatino Linotype"/>
          <w:sz w:val="24"/>
          <w:szCs w:val="24"/>
        </w:rPr>
        <w:t xml:space="preserve">Por su parte, </w:t>
      </w:r>
      <w:r w:rsidR="009F4C17">
        <w:rPr>
          <w:rFonts w:ascii="Palatino Linotype" w:eastAsia="Palatino Linotype" w:hAnsi="Palatino Linotype" w:cs="Palatino Linotype"/>
          <w:sz w:val="24"/>
          <w:szCs w:val="24"/>
        </w:rPr>
        <w:t xml:space="preserve">el Reglamento Interior de la Secretaría de Seguridad, establece en su artículo 8 </w:t>
      </w:r>
      <w:proofErr w:type="gramStart"/>
      <w:r w:rsidR="009F4C17">
        <w:rPr>
          <w:rFonts w:ascii="Palatino Linotype" w:eastAsia="Palatino Linotype" w:hAnsi="Palatino Linotype" w:cs="Palatino Linotype"/>
          <w:sz w:val="24"/>
          <w:szCs w:val="24"/>
        </w:rPr>
        <w:t>que</w:t>
      </w:r>
      <w:proofErr w:type="gramEnd"/>
      <w:r w:rsidR="009F4C17">
        <w:rPr>
          <w:rFonts w:ascii="Palatino Linotype" w:eastAsia="Palatino Linotype" w:hAnsi="Palatino Linotype" w:cs="Palatino Linotype"/>
          <w:sz w:val="24"/>
          <w:szCs w:val="24"/>
        </w:rPr>
        <w:t xml:space="preserve"> para el estudio, planeación y despacho de los asuntos de su competencia, se auxiliará de diversas unidades administrativas, entre las cuales se encuentra las siguientes: </w:t>
      </w:r>
    </w:p>
    <w:p w14:paraId="570402E3" w14:textId="77777777" w:rsidR="009F4C17" w:rsidRPr="009F4C17" w:rsidRDefault="009F4C17" w:rsidP="009F4C17">
      <w:pPr>
        <w:spacing w:after="0" w:line="276" w:lineRule="auto"/>
        <w:ind w:left="567" w:right="560"/>
        <w:jc w:val="both"/>
        <w:rPr>
          <w:rFonts w:ascii="Palatino Linotype" w:eastAsia="Palatino Linotype" w:hAnsi="Palatino Linotype" w:cs="Palatino Linotype"/>
          <w:b/>
          <w:i/>
          <w:sz w:val="24"/>
          <w:szCs w:val="24"/>
        </w:rPr>
      </w:pPr>
    </w:p>
    <w:p w14:paraId="2E993BEE"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b/>
          <w:i/>
        </w:rPr>
        <w:t>Artículo 8.</w:t>
      </w:r>
      <w:r w:rsidRPr="009F4C17">
        <w:rPr>
          <w:rFonts w:ascii="Palatino Linotype" w:hAnsi="Palatino Linotype"/>
          <w:i/>
        </w:rPr>
        <w:t xml:space="preserve"> Para el estudio, planeación y despacho de los asuntos de su competencia, así como para atender las funciones de control y evaluación que le corresponden, la Secretaría se auxiliará de las Unidades Administrativas siguientes: </w:t>
      </w:r>
    </w:p>
    <w:p w14:paraId="6B3A2220"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I. Subsecretaría de Control Penitenciario; </w:t>
      </w:r>
    </w:p>
    <w:p w14:paraId="0BFA64FE"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a) Dirección General de Prevención y Reinserción Social; </w:t>
      </w:r>
    </w:p>
    <w:p w14:paraId="678B34CE"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II. Subsecretaría de Policía Estatal; </w:t>
      </w:r>
    </w:p>
    <w:p w14:paraId="574470C8"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a) Dirección General del Centro Estatal de Medidas Cautelares; </w:t>
      </w:r>
    </w:p>
    <w:p w14:paraId="73C9CB54"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b) Dirección General de Combate al Robo de Vehículos y Transporte; </w:t>
      </w:r>
    </w:p>
    <w:p w14:paraId="0F319064"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c) Dirección General de Seguridad Pública y Tránsito; </w:t>
      </w:r>
    </w:p>
    <w:p w14:paraId="07A49A09"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d) Coordinación de Ayudantías; </w:t>
      </w:r>
    </w:p>
    <w:p w14:paraId="1563EF7F" w14:textId="50B5F82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e) Coordinación de Grupos Tácticos; </w:t>
      </w:r>
    </w:p>
    <w:p w14:paraId="61F1DB8F"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III. Centro de Control, Comando, Comunicación, Cómputo y Calidad; IV. Dirección General del Sistema de Desarrollo Policial; </w:t>
      </w:r>
    </w:p>
    <w:p w14:paraId="6CE159D2"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V. Dirección General de Información; </w:t>
      </w:r>
    </w:p>
    <w:p w14:paraId="0CE5430E"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VI. Dirección General de Desarrollo Institucional e Innovación; </w:t>
      </w:r>
    </w:p>
    <w:p w14:paraId="04765821"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b/>
          <w:i/>
          <w:u w:val="single"/>
        </w:rPr>
        <w:t>VII. Oficialía Mayor</w:t>
      </w:r>
      <w:r w:rsidRPr="009F4C17">
        <w:rPr>
          <w:rFonts w:ascii="Palatino Linotype" w:hAnsi="Palatino Linotype"/>
          <w:i/>
        </w:rPr>
        <w:t xml:space="preserve">; </w:t>
      </w:r>
    </w:p>
    <w:p w14:paraId="6FFDC270" w14:textId="4B1FABC6"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VIII. Secretaría Técnica; </w:t>
      </w:r>
    </w:p>
    <w:p w14:paraId="5584BA7D"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IX. Unidad de Análisis Criminal; </w:t>
      </w:r>
    </w:p>
    <w:p w14:paraId="190DB734"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X. Unidad de Asuntos Jurídicos e Igualdad de Género; </w:t>
      </w:r>
    </w:p>
    <w:p w14:paraId="63720B4D"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XI. Unidad de Estudios y Proyectos Especiales; </w:t>
      </w:r>
    </w:p>
    <w:p w14:paraId="53D51DA7" w14:textId="2928765F"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XII. Unidad de Información, Planeación, Programación y Evaluación; </w:t>
      </w:r>
    </w:p>
    <w:p w14:paraId="3F676E96" w14:textId="77777777"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XIII. Unidad de Inteligencia e Investigación para la Prevención; </w:t>
      </w:r>
    </w:p>
    <w:p w14:paraId="1051D57C" w14:textId="7E0A3DD1" w:rsidR="009F4C17" w:rsidRDefault="009F4C17" w:rsidP="009F4C17">
      <w:pPr>
        <w:spacing w:after="0" w:line="276" w:lineRule="auto"/>
        <w:ind w:left="567" w:right="560"/>
        <w:jc w:val="both"/>
        <w:rPr>
          <w:rFonts w:ascii="Palatino Linotype" w:hAnsi="Palatino Linotype"/>
          <w:i/>
        </w:rPr>
      </w:pPr>
      <w:r w:rsidRPr="009F4C17">
        <w:rPr>
          <w:rFonts w:ascii="Palatino Linotype" w:hAnsi="Palatino Linotype"/>
          <w:i/>
        </w:rPr>
        <w:t xml:space="preserve">XIV. Unidad de Vinculación, Comunicación Social y Relaciones Públicas, y </w:t>
      </w:r>
    </w:p>
    <w:p w14:paraId="378D04AB" w14:textId="2E77A7A7" w:rsidR="009F4C17" w:rsidRPr="009F4C17" w:rsidRDefault="009F4C17" w:rsidP="009F4C17">
      <w:pPr>
        <w:spacing w:after="0" w:line="276" w:lineRule="auto"/>
        <w:ind w:left="567" w:right="560"/>
        <w:jc w:val="both"/>
        <w:rPr>
          <w:rFonts w:ascii="Palatino Linotype" w:eastAsia="Palatino Linotype" w:hAnsi="Palatino Linotype" w:cs="Palatino Linotype"/>
          <w:i/>
          <w:sz w:val="24"/>
          <w:szCs w:val="24"/>
        </w:rPr>
      </w:pPr>
      <w:r w:rsidRPr="009F4C17">
        <w:rPr>
          <w:rFonts w:ascii="Palatino Linotype" w:hAnsi="Palatino Linotype"/>
          <w:i/>
        </w:rPr>
        <w:lastRenderedPageBreak/>
        <w:t>XV. Órgano Interno de Control.</w:t>
      </w:r>
    </w:p>
    <w:p w14:paraId="5738004C" w14:textId="5D9532B6" w:rsidR="00991082" w:rsidRDefault="00261385" w:rsidP="00104192">
      <w:pPr>
        <w:spacing w:after="0" w:line="360" w:lineRule="auto"/>
        <w:ind w:right="49"/>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 </w:t>
      </w:r>
    </w:p>
    <w:p w14:paraId="331D1C5D" w14:textId="3D9C967D" w:rsidR="009F4C17" w:rsidRDefault="009F4C17"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 xml:space="preserve">Asimismo, de conformidad con el Manual General de Organización de la Secretaría de Seguridad, se tiene que, la Oficialía Mayor tendrá a </w:t>
      </w:r>
      <w:r w:rsidR="000F210B">
        <w:rPr>
          <w:rFonts w:ascii="Palatino Linotype" w:eastAsia="Palatino Linotype" w:hAnsi="Palatino Linotype" w:cs="Palatino Linotype"/>
          <w:color w:val="000000"/>
          <w:sz w:val="24"/>
        </w:rPr>
        <w:t xml:space="preserve">su cargo la Dirección de Recursos Humanos, tal como se advierte a continuación: </w:t>
      </w:r>
    </w:p>
    <w:p w14:paraId="708BC8A0" w14:textId="77777777" w:rsidR="000F210B" w:rsidRDefault="000F210B"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rPr>
      </w:pPr>
    </w:p>
    <w:p w14:paraId="3B4616B2" w14:textId="4EA3BA7C" w:rsidR="000F210B" w:rsidRDefault="000F210B" w:rsidP="000F210B">
      <w:pPr>
        <w:pBdr>
          <w:top w:val="nil"/>
          <w:left w:val="nil"/>
          <w:bottom w:val="nil"/>
          <w:right w:val="nil"/>
          <w:between w:val="nil"/>
        </w:pBdr>
        <w:spacing w:after="0" w:line="360" w:lineRule="auto"/>
        <w:ind w:right="-7"/>
        <w:jc w:val="center"/>
        <w:rPr>
          <w:rFonts w:ascii="Palatino Linotype" w:eastAsia="Palatino Linotype" w:hAnsi="Palatino Linotype" w:cs="Palatino Linotype"/>
          <w:color w:val="000000"/>
          <w:sz w:val="24"/>
        </w:rPr>
      </w:pPr>
      <w:r w:rsidRPr="000F210B">
        <w:rPr>
          <w:rFonts w:ascii="Palatino Linotype" w:eastAsia="Palatino Linotype" w:hAnsi="Palatino Linotype" w:cs="Palatino Linotype"/>
          <w:noProof/>
          <w:color w:val="000000"/>
          <w:sz w:val="24"/>
        </w:rPr>
        <w:drawing>
          <wp:inline distT="0" distB="0" distL="0" distR="0" wp14:anchorId="7A361616" wp14:editId="4B6A738F">
            <wp:extent cx="4505887" cy="166687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6169" cy="1674378"/>
                    </a:xfrm>
                    <a:prstGeom prst="rect">
                      <a:avLst/>
                    </a:prstGeom>
                  </pic:spPr>
                </pic:pic>
              </a:graphicData>
            </a:graphic>
          </wp:inline>
        </w:drawing>
      </w:r>
    </w:p>
    <w:p w14:paraId="7594BF65" w14:textId="1DCA2194" w:rsidR="000F210B" w:rsidRDefault="000F210B" w:rsidP="000F210B">
      <w:pPr>
        <w:pBdr>
          <w:top w:val="nil"/>
          <w:left w:val="nil"/>
          <w:bottom w:val="nil"/>
          <w:right w:val="nil"/>
          <w:between w:val="nil"/>
        </w:pBdr>
        <w:spacing w:after="0" w:line="360" w:lineRule="auto"/>
        <w:ind w:right="-7"/>
        <w:jc w:val="center"/>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w:t>
      </w:r>
    </w:p>
    <w:p w14:paraId="64AB6004" w14:textId="11EE147D" w:rsidR="009F4C17" w:rsidRDefault="000F210B" w:rsidP="000F210B">
      <w:pPr>
        <w:pBdr>
          <w:top w:val="nil"/>
          <w:left w:val="nil"/>
          <w:bottom w:val="nil"/>
          <w:right w:val="nil"/>
          <w:between w:val="nil"/>
        </w:pBdr>
        <w:spacing w:after="0" w:line="360" w:lineRule="auto"/>
        <w:ind w:right="-7"/>
        <w:jc w:val="center"/>
        <w:rPr>
          <w:rFonts w:ascii="Palatino Linotype" w:eastAsia="Palatino Linotype" w:hAnsi="Palatino Linotype" w:cs="Palatino Linotype"/>
          <w:color w:val="000000"/>
          <w:sz w:val="24"/>
        </w:rPr>
      </w:pPr>
      <w:r w:rsidRPr="000F210B">
        <w:rPr>
          <w:rFonts w:ascii="Palatino Linotype" w:eastAsia="Palatino Linotype" w:hAnsi="Palatino Linotype" w:cs="Palatino Linotype"/>
          <w:noProof/>
          <w:color w:val="000000"/>
          <w:sz w:val="24"/>
        </w:rPr>
        <w:drawing>
          <wp:inline distT="0" distB="0" distL="0" distR="0" wp14:anchorId="6A144EED" wp14:editId="1183DB69">
            <wp:extent cx="2842895" cy="35705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5266" cy="3586135"/>
                    </a:xfrm>
                    <a:prstGeom prst="rect">
                      <a:avLst/>
                    </a:prstGeom>
                  </pic:spPr>
                </pic:pic>
              </a:graphicData>
            </a:graphic>
          </wp:inline>
        </w:drawing>
      </w:r>
    </w:p>
    <w:p w14:paraId="1D8F6414" w14:textId="10C01C65" w:rsidR="009F4C17" w:rsidRDefault="000F210B"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lastRenderedPageBreak/>
        <w:t xml:space="preserve">En ese sentido, de acuerdo con el Manual de referencia, el objetivo de la Oficialía Mayor, es administrar, controlar y evaluar los recursos humanos, materiales y financieros, así como los servicios generales asignados para el funcionamiento de la Secretaría de Seguridad, siendo sus atribuciones puntualmente las siguientes: </w:t>
      </w:r>
    </w:p>
    <w:p w14:paraId="12E25ABF" w14:textId="77777777" w:rsidR="000F210B" w:rsidRDefault="000F210B"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rPr>
      </w:pPr>
    </w:p>
    <w:p w14:paraId="6DD0D471" w14:textId="641DF743" w:rsidR="000F210B" w:rsidRPr="007670F9"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r w:rsidRPr="007670F9">
        <w:rPr>
          <w:rFonts w:ascii="Palatino Linotype" w:hAnsi="Palatino Linotype"/>
          <w:b/>
          <w:i/>
        </w:rPr>
        <w:t xml:space="preserve">20603000000000L OFICIALÍA MAYOR </w:t>
      </w:r>
    </w:p>
    <w:p w14:paraId="6CA3A4CC" w14:textId="1C03A694" w:rsidR="000F210B" w:rsidRPr="007670F9"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r w:rsidRPr="007670F9">
        <w:rPr>
          <w:rFonts w:ascii="Palatino Linotype" w:hAnsi="Palatino Linotype"/>
          <w:b/>
          <w:i/>
        </w:rPr>
        <w:t>…</w:t>
      </w:r>
    </w:p>
    <w:p w14:paraId="531A47D1" w14:textId="77777777" w:rsidR="000F210B" w:rsidRPr="007670F9"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r w:rsidRPr="007670F9">
        <w:rPr>
          <w:rFonts w:ascii="Palatino Linotype" w:hAnsi="Palatino Linotype"/>
          <w:b/>
          <w:i/>
        </w:rPr>
        <w:t xml:space="preserve">FUNCIONES: </w:t>
      </w:r>
    </w:p>
    <w:p w14:paraId="29BE16B1" w14:textId="67062829"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Pr>
          <w:rFonts w:ascii="Palatino Linotype" w:hAnsi="Palatino Linotype"/>
          <w:i/>
        </w:rPr>
        <w:t>…</w:t>
      </w:r>
    </w:p>
    <w:p w14:paraId="76C697EF" w14:textId="77777777"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 Gestionar las altas, bajas, cambios de adscripción, permisos, licencias y demás movimientos de personal de la Secretaría de Seguridad, conforme a la legislación aplicable en la materia emitida por la Secretaría de Finanzas.</w:t>
      </w:r>
    </w:p>
    <w:p w14:paraId="7470690F" w14:textId="22B1A87C"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Pr>
          <w:rFonts w:ascii="Palatino Linotype" w:hAnsi="Palatino Linotype"/>
          <w:i/>
        </w:rPr>
        <w:t>…</w:t>
      </w:r>
    </w:p>
    <w:p w14:paraId="14996834" w14:textId="77777777"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p>
    <w:p w14:paraId="177B5B97" w14:textId="00115DDD" w:rsidR="000F210B" w:rsidRPr="000F210B" w:rsidRDefault="000F210B" w:rsidP="00261385">
      <w:pPr>
        <w:pBdr>
          <w:top w:val="nil"/>
          <w:left w:val="nil"/>
          <w:bottom w:val="nil"/>
          <w:right w:val="nil"/>
          <w:between w:val="nil"/>
        </w:pBdr>
        <w:spacing w:after="0" w:line="360" w:lineRule="auto"/>
        <w:ind w:right="-7"/>
        <w:jc w:val="both"/>
        <w:rPr>
          <w:rFonts w:ascii="Palatino Linotype" w:hAnsi="Palatino Linotype"/>
          <w:sz w:val="24"/>
        </w:rPr>
      </w:pPr>
      <w:r w:rsidRPr="000F210B">
        <w:rPr>
          <w:rFonts w:ascii="Palatino Linotype" w:hAnsi="Palatino Linotype"/>
          <w:sz w:val="24"/>
        </w:rPr>
        <w:t xml:space="preserve">En el mismo orden de ideas, tal como se advierte, la Oficialía Mayor constará de un departamento de control de nómina y pagos, el cual tendrá el siguiente objetivo y funciones: </w:t>
      </w:r>
    </w:p>
    <w:p w14:paraId="6A080613" w14:textId="77777777" w:rsidR="000F210B" w:rsidRDefault="000F210B" w:rsidP="00261385">
      <w:pPr>
        <w:pBdr>
          <w:top w:val="nil"/>
          <w:left w:val="nil"/>
          <w:bottom w:val="nil"/>
          <w:right w:val="nil"/>
          <w:between w:val="nil"/>
        </w:pBdr>
        <w:spacing w:after="0" w:line="360" w:lineRule="auto"/>
        <w:ind w:right="-7"/>
        <w:jc w:val="both"/>
        <w:rPr>
          <w:rFonts w:ascii="Palatino Linotype" w:hAnsi="Palatino Linotype"/>
        </w:rPr>
      </w:pPr>
    </w:p>
    <w:p w14:paraId="07634FC5" w14:textId="77777777"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r w:rsidRPr="000F210B">
        <w:rPr>
          <w:rFonts w:ascii="Palatino Linotype" w:hAnsi="Palatino Linotype"/>
          <w:b/>
          <w:i/>
        </w:rPr>
        <w:t>20603000010101L DEPARTAMENTO DE CONTROL DE NÓMINA Y PAGOS</w:t>
      </w:r>
      <w:r w:rsidRPr="000F210B">
        <w:rPr>
          <w:rFonts w:ascii="Palatino Linotype" w:hAnsi="Palatino Linotype"/>
          <w:i/>
        </w:rPr>
        <w:t xml:space="preserve"> </w:t>
      </w:r>
      <w:r w:rsidRPr="000F210B">
        <w:rPr>
          <w:rFonts w:ascii="Palatino Linotype" w:hAnsi="Palatino Linotype"/>
          <w:b/>
          <w:i/>
        </w:rPr>
        <w:t>OBJETIVO:</w:t>
      </w:r>
      <w:r w:rsidRPr="000F210B">
        <w:rPr>
          <w:rFonts w:ascii="Palatino Linotype" w:hAnsi="Palatino Linotype"/>
          <w:i/>
        </w:rPr>
        <w:t xml:space="preserve"> Controlar y administrar la nómina del personal de la Secretaría de Seguridad, así como gestionar el pago de percepciones en cumplimiento de la normatividad vigente y aplicable.</w:t>
      </w:r>
      <w:r w:rsidRPr="000F210B">
        <w:rPr>
          <w:rFonts w:ascii="Palatino Linotype" w:hAnsi="Palatino Linotype"/>
          <w:b/>
          <w:i/>
        </w:rPr>
        <w:t xml:space="preserve"> </w:t>
      </w:r>
    </w:p>
    <w:p w14:paraId="5155CBC6" w14:textId="77777777" w:rsidR="000F210B" w:rsidRPr="000F210B"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p>
    <w:p w14:paraId="05C038DC" w14:textId="77777777"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r w:rsidRPr="000F210B">
        <w:rPr>
          <w:rFonts w:ascii="Palatino Linotype" w:hAnsi="Palatino Linotype"/>
          <w:b/>
          <w:i/>
        </w:rPr>
        <w:t xml:space="preserve">FUNCIONES: </w:t>
      </w:r>
    </w:p>
    <w:p w14:paraId="7792AF23" w14:textId="77777777"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b/>
          <w:i/>
        </w:rPr>
      </w:pPr>
    </w:p>
    <w:p w14:paraId="4D217F6D" w14:textId="3A5204E6"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b/>
          <w:i/>
        </w:rPr>
        <w:t>−</w:t>
      </w:r>
      <w:r w:rsidRPr="000F210B">
        <w:rPr>
          <w:rFonts w:ascii="Palatino Linotype" w:hAnsi="Palatino Linotype"/>
          <w:i/>
        </w:rPr>
        <w:t xml:space="preserve"> Calcular el monto programado de la nómina de la Secretaría de Seguridad a fin de integrar el anteproyecto de presupuesto en lo referente al Capítulo 1000 “Servicios Personales”.</w:t>
      </w:r>
    </w:p>
    <w:p w14:paraId="297B6177" w14:textId="77777777" w:rsidR="000F210B" w:rsidRPr="000F210B" w:rsidRDefault="000F210B" w:rsidP="000F210B">
      <w:pPr>
        <w:pBdr>
          <w:top w:val="nil"/>
          <w:left w:val="nil"/>
          <w:bottom w:val="nil"/>
          <w:right w:val="nil"/>
          <w:between w:val="nil"/>
        </w:pBdr>
        <w:spacing w:after="0" w:line="276" w:lineRule="auto"/>
        <w:ind w:left="567" w:right="560"/>
        <w:jc w:val="both"/>
        <w:rPr>
          <w:rFonts w:ascii="Palatino Linotype" w:hAnsi="Palatino Linotype"/>
          <w:b/>
          <w:i/>
          <w:u w:val="single"/>
        </w:rPr>
      </w:pPr>
      <w:r w:rsidRPr="000F210B">
        <w:rPr>
          <w:rFonts w:ascii="Palatino Linotype" w:hAnsi="Palatino Linotype"/>
          <w:b/>
          <w:i/>
          <w:u w:val="single"/>
        </w:rPr>
        <w:t xml:space="preserve"> − Verificar los cheques de nómina expedidos y cancelados a fin de determinar los casos en los que se deba gestionar su reexpedición por falta de cobro. </w:t>
      </w:r>
    </w:p>
    <w:p w14:paraId="581E4DAA" w14:textId="7D56CB3F"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Integrar y analizar la nómina quincenal y mensual de la dependencia a fin de determinar las variaciones respecto del presupuesto programado. </w:t>
      </w:r>
    </w:p>
    <w:p w14:paraId="5E942879"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lastRenderedPageBreak/>
        <w:t xml:space="preserve">− Atender y orientar a las personas servidoras públicas de la dependencia respecto de las remuneraciones, prestaciones, estímulos, recompensas, monto y periodicidad, a fin de determinar en los casos que proceda, la gestión para la liberación o el reintegro de pagos. </w:t>
      </w:r>
    </w:p>
    <w:p w14:paraId="0D9D9759"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Documentar, calcular y gestionar los pagos diversos a los que tengan derecho las personas servidoras públicas de la Secretaría de Seguridad de conformidad con la normatividad aplicable. </w:t>
      </w:r>
    </w:p>
    <w:p w14:paraId="065E0625"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Tramitar las percepciones colaterales del personal de la dependencia de conformidad con la normatividad aplicable. </w:t>
      </w:r>
    </w:p>
    <w:p w14:paraId="0D0E24F9"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Gestionar ante la instancia estatal competente la validación de plazas operativas y administrativas de la Secretaría de Seguridad. </w:t>
      </w:r>
    </w:p>
    <w:p w14:paraId="5E019081"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Tramitar las constancias de no adeudo y el finiquito de las personas servidoras públicas que causen baja en el servicio de acuerdo con la normatividad vigente y aplicable.</w:t>
      </w:r>
    </w:p>
    <w:p w14:paraId="777BA679" w14:textId="7D117A4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 Actualizar de manera permanente, los registros, bases de datos y archivos, con la información correspondiente de las personas servidoras públicas adscritas a la dependencia. </w:t>
      </w:r>
    </w:p>
    <w:p w14:paraId="074E2F70"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Gestionar la suspensión de pagos de las personas servidoras públicas adscritas a la Secretaría de Seguridad, derivadas de instrucción expresa, acta administrativa, resolución del Órgano Interno de Control o de la autoridad competente y llevar el control de estas para la elaboración del informe periódico, así como la aplicación de descuentos vía nómina, por concepto de pensión alimenticia o por indicación expresa del órgano jurisdiccional. </w:t>
      </w:r>
    </w:p>
    <w:p w14:paraId="228CF8B2"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Concentrar, clasificar, registrar y controlar las resoluciones emitidas por el Órgano Interno de Control en la Secretaría de Seguridad, a fin de llevar a cabo las afectaciones económicas respectivas y la actualización de los expedientes personales. </w:t>
      </w:r>
    </w:p>
    <w:p w14:paraId="0E49B907"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Integrar la información de su competencia, a efecto de atender las solicitudes de acceso a la información y cumplir con las obligaciones de transparencia del sujeto obligado, así como, para la atención de auditorías e inspecciones internas y externas, federales o estatales y para dar respuesta a los requerimientos de una autoridad competente. </w:t>
      </w:r>
    </w:p>
    <w:p w14:paraId="25AD565F" w14:textId="77777777" w:rsidR="007670F9"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xml:space="preserve">− Informar de manera periódica a la o el titular de la Subdirección de Servicios al Personal sobre los temas relevantes en el desempeño de sus funciones y actividades realizadas en el ámbito de su competencia. </w:t>
      </w:r>
    </w:p>
    <w:p w14:paraId="6F4519AE" w14:textId="05D73615" w:rsidR="000F210B" w:rsidRDefault="000F210B" w:rsidP="000F210B">
      <w:pPr>
        <w:pBdr>
          <w:top w:val="nil"/>
          <w:left w:val="nil"/>
          <w:bottom w:val="nil"/>
          <w:right w:val="nil"/>
          <w:between w:val="nil"/>
        </w:pBdr>
        <w:spacing w:after="0" w:line="276" w:lineRule="auto"/>
        <w:ind w:left="567" w:right="560"/>
        <w:jc w:val="both"/>
        <w:rPr>
          <w:rFonts w:ascii="Palatino Linotype" w:hAnsi="Palatino Linotype"/>
          <w:i/>
        </w:rPr>
      </w:pPr>
      <w:r w:rsidRPr="000F210B">
        <w:rPr>
          <w:rFonts w:ascii="Palatino Linotype" w:hAnsi="Palatino Linotype"/>
          <w:i/>
        </w:rPr>
        <w:t>− Desarrollar las demás funciones inherentes al área de su competencia</w:t>
      </w:r>
    </w:p>
    <w:p w14:paraId="2C42869E" w14:textId="77777777" w:rsidR="007670F9" w:rsidRPr="000F210B" w:rsidRDefault="007670F9" w:rsidP="000F210B">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color w:val="000000"/>
          <w:sz w:val="24"/>
        </w:rPr>
      </w:pPr>
    </w:p>
    <w:p w14:paraId="37079F71" w14:textId="530C056F" w:rsidR="007670F9" w:rsidRDefault="007670F9"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ello, se colige que el Sujeto Obligado es competente para generar, administrar y poseer la información solicitada por la parte Recurrente, toda vez que, </w:t>
      </w:r>
      <w:r>
        <w:rPr>
          <w:rFonts w:ascii="Palatino Linotype" w:eastAsia="Palatino Linotype" w:hAnsi="Palatino Linotype" w:cs="Palatino Linotype"/>
          <w:color w:val="000000"/>
          <w:sz w:val="24"/>
          <w:szCs w:val="24"/>
        </w:rPr>
        <w:lastRenderedPageBreak/>
        <w:t xml:space="preserve">para el despacho de los asuntos de su competencia, se auxiliará de una unidad administrativa denominada Oficialía Mayor,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xml:space="preserve"> a la vez, esta se encontrará conformada por un Departamento de Control de Nómina y Pagos, siendo una de sus funciones el verificar los cheques de nómina expedidos y cancelados. </w:t>
      </w:r>
    </w:p>
    <w:p w14:paraId="38B3568C" w14:textId="77777777" w:rsidR="007670F9" w:rsidRDefault="007670F9"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0F396598" w14:textId="42768249" w:rsidR="007670F9" w:rsidRDefault="007670F9"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en relación con los agravios hechos valer por la parte Recurrente, relacionados con la negativa de entrega de la información, debido a que, la información requerida debe obrar en los archivos de la dependencia. </w:t>
      </w:r>
    </w:p>
    <w:p w14:paraId="45289F5D" w14:textId="77777777" w:rsidR="007670F9" w:rsidRDefault="007670F9"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p>
    <w:p w14:paraId="329401EF" w14:textId="1C9A18F1" w:rsidR="007670F9" w:rsidRDefault="007670F9"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En principio, es de señalar que, en respuesta la Titular de la Unidad de Transparencia, refirió que quien había dado atención a la solicitud de información había sido el servidor público habilitado de la Oficialía Mayor, situación de la que se colige que, quien señaló </w:t>
      </w:r>
      <w:r w:rsidRPr="007670F9">
        <w:rPr>
          <w:rFonts w:ascii="Palatino Linotype" w:eastAsia="Palatino Linotype" w:hAnsi="Palatino Linotype" w:cs="Palatino Linotype"/>
          <w:color w:val="000000"/>
          <w:sz w:val="24"/>
          <w:szCs w:val="24"/>
        </w:rPr>
        <w:t>que las formas de pago nómina a servidores públicos, se encuentran reguladas por el Manual de Normas y Procedimientos de Desarrollo de Personal, en específico en los procedimientos: 021 Alta o reingreso de servidoras públicas y servidores públicos generales y de confianza; 081 Pago de nómina a servidoras públicas y a servidores públicos de mandos medios superiores, mandos medios y de enlace y apoyo técnico y 082 Pago de nómina a servidoras públicas y a</w:t>
      </w:r>
      <w:r>
        <w:rPr>
          <w:rFonts w:ascii="Palatino Linotype" w:eastAsia="Palatino Linotype" w:hAnsi="Palatino Linotype" w:cs="Palatino Linotype"/>
          <w:color w:val="000000"/>
          <w:sz w:val="24"/>
          <w:szCs w:val="24"/>
        </w:rPr>
        <w:t xml:space="preserve"> servidores públicos generales fue el servidor público habilitado </w:t>
      </w:r>
      <w:r>
        <w:rPr>
          <w:rFonts w:ascii="Palatino Linotype" w:eastAsia="Palatino Linotype" w:hAnsi="Palatino Linotype" w:cs="Palatino Linotype"/>
          <w:b/>
          <w:color w:val="000000"/>
          <w:sz w:val="24"/>
          <w:szCs w:val="24"/>
        </w:rPr>
        <w:t xml:space="preserve">competente. </w:t>
      </w:r>
    </w:p>
    <w:p w14:paraId="5EBB9BC2" w14:textId="673A4B18" w:rsidR="007670F9" w:rsidRDefault="007670F9"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b/>
          <w:color w:val="000000"/>
          <w:sz w:val="24"/>
          <w:szCs w:val="24"/>
        </w:rPr>
      </w:pPr>
    </w:p>
    <w:p w14:paraId="3D5AFF43" w14:textId="5A8275A5" w:rsidR="007670F9" w:rsidRPr="007670F9" w:rsidRDefault="007670F9" w:rsidP="007670F9">
      <w:pPr>
        <w:pBdr>
          <w:top w:val="nil"/>
          <w:left w:val="nil"/>
          <w:bottom w:val="nil"/>
          <w:right w:val="nil"/>
          <w:between w:val="nil"/>
        </w:pBdr>
        <w:spacing w:after="0" w:line="360" w:lineRule="auto"/>
        <w:ind w:right="-7"/>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sentido, si bien es cierto, existió un pronunciamiento por parte de la unidad administrativa competente, también lo es que, esta no atendió el principio de congruencia y exhaustividad, el cual de acuerdo con </w:t>
      </w:r>
      <w:r w:rsidRPr="00324948">
        <w:rPr>
          <w:rFonts w:ascii="Palatino Linotype" w:eastAsia="Palatino Linotype" w:hAnsi="Palatino Linotype" w:cs="Palatino Linotype"/>
          <w:sz w:val="24"/>
          <w:szCs w:val="24"/>
        </w:rPr>
        <w:t xml:space="preserve">el Criterio 02/2017 emitido por el </w:t>
      </w:r>
      <w:r w:rsidRPr="00324948">
        <w:rPr>
          <w:rFonts w:ascii="Palatino Linotype" w:eastAsia="Palatino Linotype" w:hAnsi="Palatino Linotype" w:cs="Palatino Linotype"/>
          <w:sz w:val="24"/>
          <w:szCs w:val="24"/>
        </w:rPr>
        <w:lastRenderedPageBreak/>
        <w:t xml:space="preserve">Instituto Nacional de Transparencia, Acceso a la Información y Protección de Datos Personales se establece que: </w:t>
      </w:r>
    </w:p>
    <w:p w14:paraId="66FF6F20" w14:textId="77777777" w:rsidR="007670F9" w:rsidRPr="00475256" w:rsidRDefault="007670F9" w:rsidP="007670F9">
      <w:pPr>
        <w:pStyle w:val="Prrafodelista"/>
        <w:spacing w:after="0" w:line="360" w:lineRule="auto"/>
        <w:ind w:left="0"/>
        <w:jc w:val="both"/>
        <w:rPr>
          <w:rFonts w:ascii="Palatino Linotype" w:eastAsia="Palatino Linotype" w:hAnsi="Palatino Linotype" w:cs="Palatino Linotype"/>
          <w:bCs/>
          <w:sz w:val="24"/>
          <w:szCs w:val="24"/>
        </w:rPr>
      </w:pPr>
    </w:p>
    <w:p w14:paraId="70570AE5" w14:textId="77777777" w:rsidR="007670F9" w:rsidRPr="000503EB" w:rsidRDefault="007670F9" w:rsidP="007670F9">
      <w:pPr>
        <w:ind w:left="567" w:right="567"/>
        <w:jc w:val="both"/>
        <w:rPr>
          <w:rFonts w:ascii="Palatino Linotype" w:hAnsi="Palatino Linotype" w:cs="Arial"/>
          <w:i/>
          <w:iCs/>
          <w:color w:val="000000"/>
        </w:rPr>
      </w:pPr>
      <w:r w:rsidRPr="000503EB">
        <w:rPr>
          <w:rStyle w:val="normaltextrun"/>
          <w:rFonts w:ascii="Palatino Linotype" w:hAnsi="Palatino Linotype" w:cs="Arial"/>
          <w:b/>
          <w:bCs/>
          <w:i/>
          <w:iCs/>
          <w:color w:val="000000"/>
          <w:shd w:val="clear" w:color="auto" w:fill="FFFFFF"/>
        </w:rPr>
        <w:t xml:space="preserve">Congruencia y exhaustividad. Sus alcances para garantizar el derecho de acceso a la información. </w:t>
      </w:r>
      <w:r w:rsidRPr="000503EB">
        <w:rPr>
          <w:rStyle w:val="normaltextrun"/>
          <w:rFonts w:ascii="Palatino Linotype" w:hAnsi="Palatino Linotype" w:cs="Arial"/>
          <w:i/>
          <w:iCs/>
          <w:color w:val="000000"/>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649DF16" w14:textId="77777777" w:rsidR="007670F9" w:rsidRDefault="007670F9" w:rsidP="007670F9">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E7ED7BA" w14:textId="77777777" w:rsidR="007670F9" w:rsidRDefault="007670F9" w:rsidP="007670F9">
      <w:pPr>
        <w:pBdr>
          <w:top w:val="nil"/>
          <w:left w:val="nil"/>
          <w:bottom w:val="nil"/>
          <w:right w:val="nil"/>
          <w:between w:val="nil"/>
        </w:pBdr>
        <w:spacing w:after="0" w:line="360" w:lineRule="auto"/>
        <w:ind w:right="-150"/>
        <w:jc w:val="both"/>
        <w:rPr>
          <w:rFonts w:ascii="Palatino Linotype" w:eastAsia="Palatino Linotype" w:hAnsi="Palatino Linotype" w:cs="Palatino Linotype"/>
          <w:bCs/>
          <w:sz w:val="24"/>
        </w:rPr>
      </w:pPr>
      <w:r w:rsidRPr="007670F9">
        <w:rPr>
          <w:rFonts w:ascii="Palatino Linotype" w:eastAsia="Palatino Linotype" w:hAnsi="Palatino Linotype" w:cs="Palatino Linotype"/>
          <w:sz w:val="24"/>
        </w:rPr>
        <w:t xml:space="preserve">Es así, que los sujetos obligados para garantizar el derecho de acceso a la Información, deberán cumplir con los principios de exhaustividad y congruencia, esto es, que la congruencia </w:t>
      </w:r>
      <w:r w:rsidRPr="007670F9">
        <w:rPr>
          <w:rFonts w:ascii="Palatino Linotype" w:eastAsia="Palatino Linotype" w:hAnsi="Palatino Linotype" w:cs="Palatino Linotype"/>
          <w:b/>
          <w:sz w:val="24"/>
        </w:rPr>
        <w:t>implica que exista concordancia entre el requerimiento formulado por el particular y la respuesta proporcionada por el sujeto obligado</w:t>
      </w:r>
      <w:r w:rsidRPr="007670F9">
        <w:rPr>
          <w:rFonts w:ascii="Palatino Linotype" w:eastAsia="Palatino Linotype" w:hAnsi="Palatino Linotype" w:cs="Palatino Linotype"/>
          <w:sz w:val="24"/>
        </w:rPr>
        <w:t xml:space="preserve">, mientras que la exhaustividad establece que el sujeto obligado </w:t>
      </w:r>
      <w:r w:rsidRPr="007670F9">
        <w:rPr>
          <w:rFonts w:ascii="Palatino Linotype" w:eastAsia="Palatino Linotype" w:hAnsi="Palatino Linotype" w:cs="Palatino Linotype"/>
          <w:b/>
          <w:bCs/>
          <w:sz w:val="24"/>
        </w:rPr>
        <w:t>deberá atender de manera expresa cada uno de los puntos solicitados</w:t>
      </w:r>
      <w:r w:rsidRPr="007670F9">
        <w:rPr>
          <w:rFonts w:ascii="Palatino Linotype" w:eastAsia="Palatino Linotype" w:hAnsi="Palatino Linotype" w:cs="Palatino Linotype"/>
          <w:sz w:val="24"/>
        </w:rPr>
        <w:t xml:space="preserve">, situación que en el presente caso </w:t>
      </w:r>
      <w:r w:rsidRPr="007670F9">
        <w:rPr>
          <w:rFonts w:ascii="Palatino Linotype" w:eastAsia="Palatino Linotype" w:hAnsi="Palatino Linotype" w:cs="Palatino Linotype"/>
          <w:b/>
          <w:bCs/>
          <w:sz w:val="24"/>
          <w:u w:val="single"/>
        </w:rPr>
        <w:t>no aconteció</w:t>
      </w:r>
      <w:r w:rsidRPr="007670F9">
        <w:rPr>
          <w:rFonts w:ascii="Palatino Linotype" w:eastAsia="Palatino Linotype" w:hAnsi="Palatino Linotype" w:cs="Palatino Linotype"/>
          <w:sz w:val="24"/>
        </w:rPr>
        <w:t xml:space="preserve">, pues el Sujeto Obligado </w:t>
      </w:r>
      <w:r>
        <w:rPr>
          <w:rFonts w:ascii="Palatino Linotype" w:eastAsia="Palatino Linotype" w:hAnsi="Palatino Linotype" w:cs="Palatino Linotype"/>
          <w:sz w:val="24"/>
        </w:rPr>
        <w:t xml:space="preserve">se limitó a señalar que las formas de pago a servidores públicos se encontraban reguladas por el Manual de Normas y Procedimientos de Desarrollo de Personal, </w:t>
      </w:r>
      <w:r>
        <w:rPr>
          <w:rFonts w:ascii="Palatino Linotype" w:eastAsia="Palatino Linotype" w:hAnsi="Palatino Linotype" w:cs="Palatino Linotype"/>
          <w:bCs/>
          <w:sz w:val="24"/>
        </w:rPr>
        <w:t xml:space="preserve">pero no dio atención a los requerimientos que pueden ser atendidos a través del ejercicio del derecho de acceso a la información. </w:t>
      </w:r>
    </w:p>
    <w:p w14:paraId="28C6DB70" w14:textId="77777777" w:rsidR="007670F9" w:rsidRDefault="007670F9" w:rsidP="007670F9">
      <w:pPr>
        <w:pBdr>
          <w:top w:val="nil"/>
          <w:left w:val="nil"/>
          <w:bottom w:val="nil"/>
          <w:right w:val="nil"/>
          <w:between w:val="nil"/>
        </w:pBdr>
        <w:spacing w:after="0" w:line="360" w:lineRule="auto"/>
        <w:ind w:right="-150"/>
        <w:jc w:val="both"/>
        <w:rPr>
          <w:rFonts w:ascii="Palatino Linotype" w:eastAsia="Palatino Linotype" w:hAnsi="Palatino Linotype" w:cs="Palatino Linotype"/>
          <w:bCs/>
          <w:sz w:val="24"/>
        </w:rPr>
      </w:pPr>
    </w:p>
    <w:p w14:paraId="41FE07D4" w14:textId="6DC7CEAF" w:rsidR="002F3C2D" w:rsidRDefault="007670F9" w:rsidP="00FB4703">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7C32AE">
        <w:rPr>
          <w:rFonts w:ascii="Palatino Linotype" w:eastAsia="Palatino Linotype" w:hAnsi="Palatino Linotype" w:cs="Palatino Linotype"/>
          <w:bCs/>
          <w:color w:val="000000"/>
          <w:sz w:val="24"/>
          <w:szCs w:val="24"/>
        </w:rPr>
        <w:lastRenderedPageBreak/>
        <w:t xml:space="preserve">Es por lo que, </w:t>
      </w:r>
      <w:r>
        <w:rPr>
          <w:rFonts w:ascii="Palatino Linotype" w:eastAsia="Palatino Linotype" w:hAnsi="Palatino Linotype" w:cs="Palatino Linotype"/>
          <w:bCs/>
          <w:color w:val="000000"/>
          <w:sz w:val="24"/>
          <w:szCs w:val="24"/>
        </w:rPr>
        <w:t xml:space="preserve">debido a que el Sujeto Obligado al no ser exhaustivo y razonable y, por ende, no haber proporcionados los documentos que dan cuenta a la pretensión de la parte Recurrente, </w:t>
      </w:r>
      <w:r w:rsidR="00261385" w:rsidRPr="00261385">
        <w:rPr>
          <w:rFonts w:ascii="Palatino Linotype" w:eastAsia="Palatino Linotype" w:hAnsi="Palatino Linotype" w:cs="Palatino Linotype"/>
          <w:color w:val="000000"/>
          <w:sz w:val="24"/>
          <w:szCs w:val="24"/>
        </w:rPr>
        <w:t xml:space="preserve">se concluye que los agravios hechos valer por el Particular son </w:t>
      </w:r>
      <w:r w:rsidR="00FB4703">
        <w:rPr>
          <w:rFonts w:ascii="Palatino Linotype" w:eastAsia="Palatino Linotype" w:hAnsi="Palatino Linotype" w:cs="Palatino Linotype"/>
          <w:b/>
          <w:color w:val="000000"/>
          <w:sz w:val="24"/>
          <w:szCs w:val="24"/>
        </w:rPr>
        <w:t xml:space="preserve">PARCIALMENTE </w:t>
      </w:r>
      <w:r w:rsidR="00261385" w:rsidRPr="00261385">
        <w:rPr>
          <w:rFonts w:ascii="Palatino Linotype" w:eastAsia="Palatino Linotype" w:hAnsi="Palatino Linotype" w:cs="Palatino Linotype"/>
          <w:b/>
          <w:color w:val="000000"/>
          <w:sz w:val="24"/>
          <w:szCs w:val="24"/>
        </w:rPr>
        <w:t>FUNDADOS</w:t>
      </w:r>
      <w:r w:rsidR="00261385" w:rsidRPr="00261385">
        <w:rPr>
          <w:rFonts w:ascii="Palatino Linotype" w:eastAsia="Palatino Linotype" w:hAnsi="Palatino Linotype" w:cs="Palatino Linotype"/>
          <w:color w:val="000000"/>
          <w:sz w:val="24"/>
          <w:szCs w:val="24"/>
        </w:rPr>
        <w:t xml:space="preserve"> y, por ende, este Organismo Garante determina </w:t>
      </w:r>
      <w:r w:rsidR="00261385" w:rsidRPr="00261385">
        <w:rPr>
          <w:rFonts w:ascii="Palatino Linotype" w:eastAsia="Palatino Linotype" w:hAnsi="Palatino Linotype" w:cs="Palatino Linotype"/>
          <w:b/>
          <w:color w:val="000000"/>
          <w:sz w:val="24"/>
          <w:szCs w:val="24"/>
        </w:rPr>
        <w:t>REVOCAR</w:t>
      </w:r>
      <w:r w:rsidR="00261385" w:rsidRPr="00261385">
        <w:rPr>
          <w:rFonts w:ascii="Palatino Linotype" w:eastAsia="Palatino Linotype" w:hAnsi="Palatino Linotype" w:cs="Palatino Linotype"/>
          <w:color w:val="000000"/>
          <w:sz w:val="24"/>
          <w:szCs w:val="24"/>
        </w:rPr>
        <w:t xml:space="preserve"> la respuesta del Sujeto Obligado y;</w:t>
      </w:r>
      <w:r w:rsidR="00261385" w:rsidRPr="00261385">
        <w:rPr>
          <w:rFonts w:ascii="Palatino Linotype" w:eastAsia="Palatino Linotype" w:hAnsi="Palatino Linotype" w:cs="Palatino Linotype"/>
          <w:b/>
          <w:color w:val="000000"/>
          <w:sz w:val="24"/>
          <w:szCs w:val="24"/>
        </w:rPr>
        <w:t xml:space="preserve"> ORDENAR</w:t>
      </w:r>
      <w:r w:rsidR="00261385" w:rsidRPr="00261385">
        <w:rPr>
          <w:rFonts w:ascii="Palatino Linotype" w:eastAsia="Palatino Linotype" w:hAnsi="Palatino Linotype" w:cs="Palatino Linotype"/>
          <w:color w:val="000000"/>
          <w:sz w:val="24"/>
          <w:szCs w:val="24"/>
        </w:rPr>
        <w:t>, de ser el caso en versión pública, lo siguiente:</w:t>
      </w:r>
    </w:p>
    <w:p w14:paraId="506B97E6" w14:textId="77777777" w:rsidR="00261385" w:rsidRPr="00261385" w:rsidRDefault="00261385"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b/>
          <w:color w:val="000000"/>
          <w:sz w:val="24"/>
          <w:szCs w:val="24"/>
        </w:rPr>
      </w:pPr>
    </w:p>
    <w:p w14:paraId="10B8CF55" w14:textId="6C68DC16" w:rsidR="00FB4703" w:rsidRPr="00FB4703" w:rsidRDefault="00FB4703" w:rsidP="00FB4703">
      <w:pPr>
        <w:pStyle w:val="Prrafodelista"/>
        <w:numPr>
          <w:ilvl w:val="0"/>
          <w:numId w:val="32"/>
        </w:numPr>
        <w:tabs>
          <w:tab w:val="left" w:pos="851"/>
          <w:tab w:val="left" w:pos="993"/>
        </w:tabs>
        <w:spacing w:after="0" w:line="360" w:lineRule="auto"/>
        <w:ind w:left="567" w:right="560" w:firstLine="0"/>
        <w:jc w:val="both"/>
        <w:rPr>
          <w:rFonts w:ascii="Palatino Linotype" w:eastAsia="Palatino Linotype" w:hAnsi="Palatino Linotype" w:cs="Palatino Linotype"/>
          <w:b/>
        </w:rPr>
      </w:pPr>
      <w:r>
        <w:rPr>
          <w:rFonts w:ascii="Palatino Linotype" w:eastAsia="Palatino Linotype" w:hAnsi="Palatino Linotype" w:cs="Palatino Linotype"/>
          <w:b/>
        </w:rPr>
        <w:t>Documento donde conste el n</w:t>
      </w:r>
      <w:r w:rsidRPr="00FB4703">
        <w:rPr>
          <w:rFonts w:ascii="Palatino Linotype" w:eastAsia="Palatino Linotype" w:hAnsi="Palatino Linotype" w:cs="Palatino Linotype"/>
          <w:b/>
        </w:rPr>
        <w:t>ombre y adscripción de los servidores públicos que cobraron por cheque en la primera y</w:t>
      </w:r>
      <w:r>
        <w:rPr>
          <w:rFonts w:ascii="Palatino Linotype" w:eastAsia="Palatino Linotype" w:hAnsi="Palatino Linotype" w:cs="Palatino Linotype"/>
          <w:b/>
        </w:rPr>
        <w:t xml:space="preserve"> segunda quincena de diciembre de dos mil veintidós y;</w:t>
      </w:r>
    </w:p>
    <w:p w14:paraId="2E9F4185" w14:textId="2D1FFF41" w:rsidR="003A0D42" w:rsidRDefault="00FB4703" w:rsidP="00FB4703">
      <w:pPr>
        <w:pStyle w:val="Prrafodelista"/>
        <w:numPr>
          <w:ilvl w:val="0"/>
          <w:numId w:val="32"/>
        </w:numPr>
        <w:tabs>
          <w:tab w:val="left" w:pos="851"/>
          <w:tab w:val="left" w:pos="993"/>
        </w:tabs>
        <w:spacing w:after="0" w:line="360" w:lineRule="auto"/>
        <w:ind w:left="567" w:right="560" w:firstLine="0"/>
        <w:jc w:val="both"/>
        <w:rPr>
          <w:rFonts w:ascii="Palatino Linotype" w:eastAsia="Palatino Linotype" w:hAnsi="Palatino Linotype" w:cs="Palatino Linotype"/>
          <w:b/>
        </w:rPr>
      </w:pPr>
      <w:r>
        <w:rPr>
          <w:rFonts w:ascii="Palatino Linotype" w:eastAsia="Palatino Linotype" w:hAnsi="Palatino Linotype" w:cs="Palatino Linotype"/>
          <w:b/>
        </w:rPr>
        <w:t>Documento donde conste el n</w:t>
      </w:r>
      <w:r w:rsidRPr="00FB4703">
        <w:rPr>
          <w:rFonts w:ascii="Palatino Linotype" w:eastAsia="Palatino Linotype" w:hAnsi="Palatino Linotype" w:cs="Palatino Linotype"/>
          <w:b/>
        </w:rPr>
        <w:t>ombre de la persona encargada de revisar y verificar e</w:t>
      </w:r>
      <w:r>
        <w:rPr>
          <w:rFonts w:ascii="Palatino Linotype" w:eastAsia="Palatino Linotype" w:hAnsi="Palatino Linotype" w:cs="Palatino Linotype"/>
          <w:b/>
        </w:rPr>
        <w:t xml:space="preserve">l pago adecuado de los cheques expedidos </w:t>
      </w:r>
      <w:r w:rsidRPr="00FB4703">
        <w:rPr>
          <w:rFonts w:ascii="Palatino Linotype" w:eastAsia="Palatino Linotype" w:hAnsi="Palatino Linotype" w:cs="Palatino Linotype"/>
          <w:b/>
        </w:rPr>
        <w:t>en la primera y</w:t>
      </w:r>
      <w:r>
        <w:rPr>
          <w:rFonts w:ascii="Palatino Linotype" w:eastAsia="Palatino Linotype" w:hAnsi="Palatino Linotype" w:cs="Palatino Linotype"/>
          <w:b/>
        </w:rPr>
        <w:t xml:space="preserve"> segunda quincena de diciembre de dos mil veintidós. </w:t>
      </w:r>
    </w:p>
    <w:p w14:paraId="3F9038E1" w14:textId="77777777" w:rsidR="00FB4703" w:rsidRPr="00FB4703" w:rsidRDefault="00FB4703" w:rsidP="00FB4703">
      <w:pPr>
        <w:pStyle w:val="Prrafodelista"/>
        <w:spacing w:after="0" w:line="360" w:lineRule="auto"/>
        <w:ind w:left="780" w:right="560"/>
        <w:jc w:val="both"/>
        <w:rPr>
          <w:rFonts w:ascii="Palatino Linotype" w:eastAsia="Palatino Linotype" w:hAnsi="Palatino Linotype" w:cs="Palatino Linotype"/>
          <w:b/>
        </w:rPr>
      </w:pPr>
    </w:p>
    <w:p w14:paraId="2EA1478F" w14:textId="77777777" w:rsidR="003A0D42" w:rsidRDefault="003A0D42" w:rsidP="003A0D42">
      <w:pPr>
        <w:spacing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3FAFF57" w14:textId="2B58ABE8" w:rsidR="006F1AB7" w:rsidRPr="006F1AB7" w:rsidRDefault="006F1AB7" w:rsidP="006F1AB7">
      <w:pPr>
        <w:pBdr>
          <w:top w:val="nil"/>
          <w:left w:val="nil"/>
          <w:bottom w:val="nil"/>
          <w:right w:val="nil"/>
          <w:between w:val="nil"/>
        </w:pBdr>
        <w:tabs>
          <w:tab w:val="left" w:pos="567"/>
          <w:tab w:val="left" w:pos="993"/>
        </w:tabs>
        <w:spacing w:after="0" w:line="276" w:lineRule="auto"/>
        <w:ind w:left="567" w:right="616"/>
        <w:jc w:val="both"/>
        <w:rPr>
          <w:rFonts w:ascii="Palatino Linotype" w:eastAsia="Palatino Linotype" w:hAnsi="Palatino Linotype" w:cs="Palatino Linotype"/>
          <w:b/>
          <w:i/>
          <w:color w:val="FF0000"/>
        </w:rPr>
      </w:pPr>
      <w:r w:rsidRPr="0047032A">
        <w:rPr>
          <w:rFonts w:ascii="Palatino Linotype" w:eastAsia="Palatino Linotype" w:hAnsi="Palatino Linotype" w:cs="Palatino Linotype"/>
          <w:i/>
        </w:rPr>
        <w:t>Para el caso de que la información que se ordena entrega</w:t>
      </w:r>
      <w:r>
        <w:rPr>
          <w:rFonts w:ascii="Palatino Linotype" w:eastAsia="Palatino Linotype" w:hAnsi="Palatino Linotype" w:cs="Palatino Linotype"/>
          <w:i/>
        </w:rPr>
        <w:t>r no</w:t>
      </w:r>
      <w:r w:rsidRPr="0047032A">
        <w:rPr>
          <w:rFonts w:ascii="Palatino Linotype" w:eastAsia="Palatino Linotype" w:hAnsi="Palatino Linotype" w:cs="Palatino Linotype"/>
          <w:i/>
        </w:rPr>
        <w:t xml:space="preserve"> obre en los archivos del Sujeto Obligado, por no haberse generado,</w:t>
      </w:r>
      <w:r>
        <w:rPr>
          <w:rFonts w:ascii="Palatino Linotype" w:eastAsia="Palatino Linotype" w:hAnsi="Palatino Linotype" w:cs="Palatino Linotype"/>
          <w:i/>
        </w:rPr>
        <w:t xml:space="preserve"> este</w:t>
      </w:r>
      <w:r w:rsidRPr="0047032A">
        <w:rPr>
          <w:rFonts w:ascii="Palatino Linotype" w:eastAsia="Palatino Linotype" w:hAnsi="Palatino Linotype" w:cs="Palatino Linotype"/>
          <w:i/>
        </w:rPr>
        <w:t xml:space="preserve"> deberá hacerlo del conocimiento del Particular en términos del artículo 19, párrafo segundo, de la Ley de Transparencia y Acceso a la Información Pública del Estado de México y Municipios, para tenerse por colmado dicho requerimiento</w:t>
      </w:r>
      <w:r>
        <w:rPr>
          <w:rFonts w:ascii="Palatino Linotype" w:eastAsia="Palatino Linotype" w:hAnsi="Palatino Linotype" w:cs="Palatino Linotype"/>
          <w:i/>
        </w:rPr>
        <w:t xml:space="preserve">. </w:t>
      </w:r>
    </w:p>
    <w:p w14:paraId="1325C5DA" w14:textId="77777777" w:rsidR="00C2535A" w:rsidRPr="008645E3" w:rsidRDefault="00C2535A" w:rsidP="003B72BC">
      <w:pPr>
        <w:spacing w:after="0" w:line="360" w:lineRule="auto"/>
        <w:ind w:right="49"/>
        <w:jc w:val="both"/>
        <w:rPr>
          <w:rFonts w:ascii="Palatino Linotype" w:eastAsia="Palatino Linotype" w:hAnsi="Palatino Linotype" w:cs="Palatino Linotype"/>
          <w:sz w:val="24"/>
          <w:szCs w:val="24"/>
        </w:rPr>
      </w:pPr>
    </w:p>
    <w:p w14:paraId="01D095DF"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b/>
          <w:sz w:val="24"/>
        </w:rPr>
        <w:t>Quinto. Versión Pública</w:t>
      </w:r>
      <w:r w:rsidRPr="009E75B5">
        <w:rPr>
          <w:rFonts w:ascii="Palatino Linotype" w:eastAsia="Palatino Linotype" w:hAnsi="Palatino Linotype" w:cs="Palatino Linotype"/>
          <w:sz w:val="24"/>
        </w:rPr>
        <w:t xml:space="preserve">. Finalmente, para la entrega de la información que se determina ordenar, el Sujeto Obligado deberá realizar un análisis con la finalidad de advertir si esta contiene datos que deben ser clasificados en los términos que la misma </w:t>
      </w:r>
      <w:r w:rsidRPr="009E75B5">
        <w:rPr>
          <w:rFonts w:ascii="Palatino Linotype" w:eastAsia="Palatino Linotype" w:hAnsi="Palatino Linotype" w:cs="Palatino Linotype"/>
          <w:sz w:val="24"/>
        </w:rPr>
        <w:lastRenderedPageBreak/>
        <w:t>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3A12499A" w14:textId="77777777" w:rsidR="009E75B5" w:rsidRDefault="009E75B5" w:rsidP="009E75B5">
      <w:pPr>
        <w:spacing w:after="0" w:line="360" w:lineRule="auto"/>
        <w:jc w:val="both"/>
        <w:rPr>
          <w:rFonts w:ascii="Palatino Linotype" w:eastAsia="Palatino Linotype" w:hAnsi="Palatino Linotype" w:cs="Palatino Linotype"/>
        </w:rPr>
      </w:pPr>
    </w:p>
    <w:p w14:paraId="6A9E7EA0" w14:textId="77777777" w:rsidR="009E75B5" w:rsidRPr="009E75B5" w:rsidRDefault="009E75B5" w:rsidP="009E75B5">
      <w:pPr>
        <w:spacing w:after="0" w:line="360" w:lineRule="auto"/>
        <w:ind w:right="50"/>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Lo anterior, de conformidad con lo que señalan los artículos 3 fracciones IX, XX, XXI y XLV, 91, 132 fracciones II y III, y 143 de la Ley de Transparencia y Acceso a la Información Pública del Estado de México y Municipios que establecen:</w:t>
      </w:r>
    </w:p>
    <w:p w14:paraId="5D6C9D42" w14:textId="77777777" w:rsidR="009E75B5" w:rsidRDefault="009E75B5" w:rsidP="009E75B5">
      <w:pPr>
        <w:spacing w:after="0" w:line="360" w:lineRule="auto"/>
        <w:ind w:right="50"/>
        <w:jc w:val="both"/>
        <w:rPr>
          <w:rFonts w:ascii="Palatino Linotype" w:eastAsia="Palatino Linotype" w:hAnsi="Palatino Linotype" w:cs="Palatino Linotype"/>
        </w:rPr>
      </w:pPr>
    </w:p>
    <w:p w14:paraId="2AD9E4B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14:paraId="0427FE00"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D47FE5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DF5669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 Información clasificada: Aquella considerada por la presente Ley como reservada o confidencial;</w:t>
      </w:r>
    </w:p>
    <w:p w14:paraId="6A6D628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6AC82B"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788DC048"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1167FD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91.</w:t>
      </w:r>
      <w:r>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7345AD1"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132.</w:t>
      </w:r>
      <w:r>
        <w:rPr>
          <w:rFonts w:ascii="Palatino Linotype" w:eastAsia="Palatino Linotype" w:hAnsi="Palatino Linotype" w:cs="Palatino Linotype"/>
          <w:i/>
        </w:rPr>
        <w:t xml:space="preserve"> La clasificación de la información se llevará a cabo en el momento en que:</w:t>
      </w:r>
    </w:p>
    <w:p w14:paraId="7E8CBE71" w14:textId="77777777" w:rsidR="009E75B5"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reciba una solicitud de acceso a la información;</w:t>
      </w:r>
    </w:p>
    <w:p w14:paraId="7872EFEE" w14:textId="77777777" w:rsidR="009E75B5"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 determine mediante resolución de autoridad competente; o</w:t>
      </w:r>
    </w:p>
    <w:p w14:paraId="6C6B7977" w14:textId="77777777" w:rsidR="009E75B5"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III. Se generen versiones públicas para dar cumplimiento a las obligaciones de transparencia previstas en esta Ley.</w:t>
      </w:r>
    </w:p>
    <w:p w14:paraId="721FBBB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6726F6B"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Artículo 143</w:t>
      </w:r>
      <w:r>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293E6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C4BC9C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2891216"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F87CFAD"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36F916"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FFEA7A5" w14:textId="77777777" w:rsidR="009E75B5" w:rsidRDefault="009E75B5" w:rsidP="009E75B5">
      <w:pPr>
        <w:spacing w:after="0" w:line="276" w:lineRule="auto"/>
        <w:ind w:left="567" w:right="616"/>
        <w:jc w:val="both"/>
        <w:rPr>
          <w:rFonts w:ascii="Palatino Linotype" w:eastAsia="Palatino Linotype" w:hAnsi="Palatino Linotype" w:cs="Palatino Linotype"/>
          <w:i/>
        </w:rPr>
      </w:pPr>
    </w:p>
    <w:p w14:paraId="777238EF"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FF1A6A" w14:textId="77777777" w:rsidR="009E75B5" w:rsidRPr="00FD1858" w:rsidRDefault="009E75B5" w:rsidP="009E75B5">
      <w:pPr>
        <w:spacing w:after="0" w:line="276" w:lineRule="auto"/>
        <w:jc w:val="both"/>
        <w:rPr>
          <w:rFonts w:ascii="Palatino Linotype" w:eastAsia="Palatino Linotype" w:hAnsi="Palatino Linotype" w:cs="Palatino Linotype"/>
          <w:color w:val="000000"/>
        </w:rPr>
      </w:pPr>
    </w:p>
    <w:p w14:paraId="1CA53C70"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 xml:space="preserve">Por otro lado, es de destacar que los artículos Quincuagésimo, Quincuagésimo primero, Quincuagésimo segundo, de los Lineamientos Generales en Materia de Clasificación y Desclasificación de la Información, así como para la Elaboración de </w:t>
      </w:r>
      <w:r w:rsidRPr="009E75B5">
        <w:rPr>
          <w:rFonts w:ascii="Palatino Linotype" w:eastAsia="Palatino Linotype" w:hAnsi="Palatino Linotype" w:cs="Palatino Linotype"/>
          <w:sz w:val="24"/>
        </w:rPr>
        <w:lastRenderedPageBreak/>
        <w:t>Versiones Públicas señalan las formalidades que deberá llevar el acuerdo de clasificación que deberá emitir el Sujeto Obligado, siendo estas las siguientes:</w:t>
      </w:r>
    </w:p>
    <w:p w14:paraId="0A0C45C5" w14:textId="77777777" w:rsidR="009E75B5" w:rsidRDefault="009E75B5" w:rsidP="009E75B5">
      <w:pPr>
        <w:spacing w:after="0" w:line="360" w:lineRule="auto"/>
        <w:jc w:val="both"/>
        <w:rPr>
          <w:rFonts w:ascii="Palatino Linotype" w:eastAsia="Palatino Linotype" w:hAnsi="Palatino Linotype" w:cs="Palatino Linotype"/>
        </w:rPr>
      </w:pPr>
    </w:p>
    <w:p w14:paraId="13DD4912"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Quincuagésimo</w:t>
      </w:r>
      <w:r>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48FB5A"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primero.</w:t>
      </w:r>
      <w:r>
        <w:rPr>
          <w:rFonts w:ascii="Palatino Linotype" w:eastAsia="Palatino Linotype" w:hAnsi="Palatino Linotype" w:cs="Palatino Linotype"/>
          <w:i/>
        </w:rPr>
        <w:t xml:space="preserve"> Toda acta del Comité de Transparencia deberá contener: </w:t>
      </w:r>
    </w:p>
    <w:p w14:paraId="29DF6DEF"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El número de sesión y fecha; </w:t>
      </w:r>
    </w:p>
    <w:p w14:paraId="7B89332D"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El nombre del área que solicitó la clasificación de información; </w:t>
      </w:r>
    </w:p>
    <w:p w14:paraId="597D3EE1"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fundamentación legal y motivación correspondiente; </w:t>
      </w:r>
    </w:p>
    <w:p w14:paraId="34E22F8E"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La resolución o resoluciones aprobadas; y </w:t>
      </w:r>
    </w:p>
    <w:p w14:paraId="6447310D"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V. La rúbrica o firma digital de cada integrante del Comité de Transparencia. </w:t>
      </w:r>
    </w:p>
    <w:p w14:paraId="1A31B117"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F63925F"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 Los motivos y razonamientos que sustenten la confirmación o modificación de la prueba de daño;</w:t>
      </w:r>
    </w:p>
    <w:p w14:paraId="29F3509B"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 Descripción de las partes o secciones reservadas, en caso de clasificación parcial; </w:t>
      </w:r>
    </w:p>
    <w:p w14:paraId="76681B27"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El periodo por el que mantendrá su clasificación y fecha de expiración; y </w:t>
      </w:r>
    </w:p>
    <w:p w14:paraId="12E6A700"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IV. El nombre del titular y área encargada de realizar la versión pública del documento, en su caso. </w:t>
      </w:r>
    </w:p>
    <w:p w14:paraId="35A159FB"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A05C7C1"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ACCFB3A"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segundo.</w:t>
      </w:r>
      <w:r>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4CE97D1"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4A30C2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 Fijar la fecha en que se elaboró la versión pública y la fecha en la cual el Comité de Transparencia confirmó dicha versión;</w:t>
      </w:r>
    </w:p>
    <w:p w14:paraId="3E165590"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9DD58E4"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III. Señalar las personas o instancias autorizadas a acceder a la información clasificada.</w:t>
      </w:r>
    </w:p>
    <w:p w14:paraId="3BA80C0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8E24348" w14:textId="77777777" w:rsidR="009E75B5" w:rsidRDefault="009E75B5" w:rsidP="009E75B5">
      <w:pPr>
        <w:spacing w:after="0" w:line="276" w:lineRule="auto"/>
        <w:ind w:left="567" w:right="616"/>
        <w:jc w:val="both"/>
        <w:rPr>
          <w:rFonts w:ascii="Palatino Linotype" w:eastAsia="Palatino Linotype" w:hAnsi="Palatino Linotype" w:cs="Palatino Linotype"/>
          <w:i/>
        </w:rPr>
      </w:pPr>
    </w:p>
    <w:p w14:paraId="5B3BF9B8" w14:textId="77777777" w:rsidR="009E75B5" w:rsidRPr="009E75B5" w:rsidRDefault="009E75B5" w:rsidP="009E75B5">
      <w:pPr>
        <w:spacing w:after="0" w:line="360" w:lineRule="auto"/>
        <w:ind w:right="50"/>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 xml:space="preserve">Asimismo, se deberá observar el Lineamiento Quincuagésimo tercero de los Lineamientos Generales en Materia de Clasificación y Desclasificación de la Información </w:t>
      </w:r>
      <w:proofErr w:type="spellStart"/>
      <w:r w:rsidRPr="009E75B5">
        <w:rPr>
          <w:rFonts w:ascii="Palatino Linotype" w:eastAsia="Palatino Linotype" w:hAnsi="Palatino Linotype" w:cs="Palatino Linotype"/>
          <w:sz w:val="24"/>
        </w:rPr>
        <w:t>supraindicados</w:t>
      </w:r>
      <w:proofErr w:type="spellEnd"/>
      <w:r w:rsidRPr="009E75B5">
        <w:rPr>
          <w:rFonts w:ascii="Palatino Linotype" w:eastAsia="Palatino Linotype" w:hAnsi="Palatino Linotype" w:cs="Palatino Linotype"/>
          <w:sz w:val="24"/>
        </w:rPr>
        <w:t xml:space="preserve"> el cual establece los formatos para la clasificación de los documentos, conforme a lo siguiente: </w:t>
      </w:r>
    </w:p>
    <w:p w14:paraId="26E7FC82" w14:textId="77777777" w:rsidR="009E75B5" w:rsidRDefault="009E75B5" w:rsidP="009E75B5">
      <w:pPr>
        <w:spacing w:after="0"/>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CAPÍTULO VIII</w:t>
      </w:r>
    </w:p>
    <w:p w14:paraId="2CCED9F3" w14:textId="77777777" w:rsidR="009E75B5" w:rsidRDefault="009E75B5" w:rsidP="009E75B5">
      <w:pPr>
        <w:spacing w:after="0"/>
        <w:ind w:left="851" w:right="900"/>
        <w:jc w:val="center"/>
        <w:rPr>
          <w:rFonts w:ascii="Palatino Linotype" w:eastAsia="Palatino Linotype" w:hAnsi="Palatino Linotype" w:cs="Palatino Linotype"/>
          <w:b/>
          <w:i/>
        </w:rPr>
      </w:pPr>
      <w:r>
        <w:rPr>
          <w:rFonts w:ascii="Palatino Linotype" w:eastAsia="Palatino Linotype" w:hAnsi="Palatino Linotype" w:cs="Palatino Linotype"/>
          <w:b/>
          <w:i/>
        </w:rPr>
        <w:t xml:space="preserve">DE LOS ELEMENTOS PARA LA CLASIFICACIÓN </w:t>
      </w:r>
    </w:p>
    <w:p w14:paraId="168C0723" w14:textId="77777777" w:rsidR="009E75B5" w:rsidRDefault="009E75B5" w:rsidP="009E75B5">
      <w:pPr>
        <w:spacing w:after="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Quincuagésimo tercero. </w:t>
      </w:r>
      <w:r>
        <w:rPr>
          <w:rFonts w:ascii="Palatino Linotype" w:eastAsia="Palatino Linotype" w:hAnsi="Palatino Linotype" w:cs="Palatino Linotype"/>
          <w:i/>
          <w:u w:val="single"/>
        </w:rPr>
        <w:t>El formato para señalar la clasificación de un documento o expediente que contenga información reservada</w:t>
      </w:r>
      <w:r>
        <w:rPr>
          <w:rFonts w:ascii="Palatino Linotype" w:eastAsia="Palatino Linotype" w:hAnsi="Palatino Linotype" w:cs="Palatino Linotype"/>
          <w:i/>
        </w:rPr>
        <w:t xml:space="preserve">, es el siguiente: </w:t>
      </w:r>
    </w:p>
    <w:p w14:paraId="14FA849D" w14:textId="77777777" w:rsidR="009E75B5" w:rsidRDefault="009E75B5" w:rsidP="009E75B5">
      <w:pPr>
        <w:spacing w:after="0"/>
        <w:ind w:left="851" w:right="902"/>
        <w:jc w:val="both"/>
        <w:rPr>
          <w:rFonts w:ascii="Palatino Linotype" w:eastAsia="Palatino Linotype" w:hAnsi="Palatino Linotype" w:cs="Palatino Linotype"/>
          <w:i/>
        </w:rPr>
      </w:pPr>
    </w:p>
    <w:tbl>
      <w:tblPr>
        <w:tblStyle w:val="Tablaconcuadrcula"/>
        <w:tblW w:w="0" w:type="auto"/>
        <w:jc w:val="center"/>
        <w:tblLook w:val="04A0" w:firstRow="1" w:lastRow="0" w:firstColumn="1" w:lastColumn="0" w:noHBand="0" w:noVBand="1"/>
      </w:tblPr>
      <w:tblGrid>
        <w:gridCol w:w="1271"/>
        <w:gridCol w:w="2693"/>
        <w:gridCol w:w="3691"/>
      </w:tblGrid>
      <w:tr w:rsidR="009E75B5" w:rsidRPr="00D00133" w14:paraId="7006843B" w14:textId="77777777" w:rsidTr="00241DE1">
        <w:trPr>
          <w:trHeight w:val="262"/>
          <w:jc w:val="center"/>
        </w:trPr>
        <w:tc>
          <w:tcPr>
            <w:tcW w:w="1271" w:type="dxa"/>
            <w:tcBorders>
              <w:top w:val="nil"/>
              <w:left w:val="nil"/>
            </w:tcBorders>
          </w:tcPr>
          <w:p w14:paraId="69BE25AB" w14:textId="77777777" w:rsidR="009E75B5" w:rsidRPr="00D00133" w:rsidRDefault="009E75B5" w:rsidP="009E75B5">
            <w:pPr>
              <w:rPr>
                <w:rFonts w:ascii="Palatino Linotype" w:hAnsi="Palatino Linotype"/>
                <w:sz w:val="20"/>
              </w:rPr>
            </w:pPr>
          </w:p>
        </w:tc>
        <w:tc>
          <w:tcPr>
            <w:tcW w:w="2693" w:type="dxa"/>
            <w:shd w:val="clear" w:color="auto" w:fill="D9D9D9" w:themeFill="background1" w:themeFillShade="D9"/>
          </w:tcPr>
          <w:p w14:paraId="3EB7F886" w14:textId="77777777" w:rsidR="009E75B5" w:rsidRPr="00D00133" w:rsidRDefault="009E75B5" w:rsidP="009E75B5">
            <w:pPr>
              <w:tabs>
                <w:tab w:val="center" w:pos="1238"/>
                <w:tab w:val="right" w:pos="2477"/>
              </w:tabs>
              <w:rPr>
                <w:rFonts w:ascii="Palatino Linotype" w:hAnsi="Palatino Linotype"/>
                <w:b/>
                <w:sz w:val="20"/>
              </w:rPr>
            </w:pPr>
            <w:r>
              <w:rPr>
                <w:rFonts w:ascii="Palatino Linotype" w:hAnsi="Palatino Linotype"/>
                <w:b/>
                <w:sz w:val="20"/>
              </w:rPr>
              <w:tab/>
            </w:r>
            <w:r w:rsidRPr="00D00133">
              <w:rPr>
                <w:rFonts w:ascii="Palatino Linotype" w:hAnsi="Palatino Linotype"/>
                <w:b/>
                <w:sz w:val="20"/>
              </w:rPr>
              <w:t>Concepto</w:t>
            </w:r>
            <w:r>
              <w:rPr>
                <w:rFonts w:ascii="Palatino Linotype" w:hAnsi="Palatino Linotype"/>
                <w:b/>
                <w:sz w:val="20"/>
              </w:rPr>
              <w:tab/>
            </w:r>
          </w:p>
        </w:tc>
        <w:tc>
          <w:tcPr>
            <w:tcW w:w="3691" w:type="dxa"/>
            <w:shd w:val="clear" w:color="auto" w:fill="D9D9D9" w:themeFill="background1" w:themeFillShade="D9"/>
          </w:tcPr>
          <w:p w14:paraId="32C5F9A2" w14:textId="77777777" w:rsidR="009E75B5" w:rsidRPr="00D00133" w:rsidRDefault="009E75B5" w:rsidP="009E75B5">
            <w:pPr>
              <w:jc w:val="center"/>
              <w:rPr>
                <w:rFonts w:ascii="Palatino Linotype" w:hAnsi="Palatino Linotype"/>
                <w:b/>
                <w:sz w:val="20"/>
              </w:rPr>
            </w:pPr>
            <w:r>
              <w:rPr>
                <w:rFonts w:ascii="Palatino Linotype" w:hAnsi="Palatino Linotype"/>
                <w:b/>
                <w:sz w:val="20"/>
              </w:rPr>
              <w:t>Dónde</w:t>
            </w:r>
          </w:p>
        </w:tc>
      </w:tr>
      <w:tr w:rsidR="009E75B5" w:rsidRPr="00D00133" w14:paraId="622696CD" w14:textId="77777777" w:rsidTr="00241DE1">
        <w:trPr>
          <w:jc w:val="center"/>
        </w:trPr>
        <w:tc>
          <w:tcPr>
            <w:tcW w:w="1271" w:type="dxa"/>
            <w:vMerge w:val="restart"/>
            <w:shd w:val="clear" w:color="auto" w:fill="D9D9D9" w:themeFill="background1" w:themeFillShade="D9"/>
          </w:tcPr>
          <w:p w14:paraId="450BB71B" w14:textId="77777777" w:rsidR="009E75B5" w:rsidRPr="00D00133" w:rsidRDefault="009E75B5" w:rsidP="009E75B5">
            <w:pPr>
              <w:jc w:val="both"/>
              <w:rPr>
                <w:rFonts w:ascii="Palatino Linotype" w:hAnsi="Palatino Linotype"/>
                <w:b/>
                <w:sz w:val="20"/>
              </w:rPr>
            </w:pPr>
          </w:p>
          <w:p w14:paraId="6D7C6165" w14:textId="77777777" w:rsidR="009E75B5" w:rsidRDefault="009E75B5" w:rsidP="009E75B5">
            <w:pPr>
              <w:jc w:val="both"/>
              <w:rPr>
                <w:rFonts w:ascii="Palatino Linotype" w:hAnsi="Palatino Linotype"/>
                <w:b/>
                <w:sz w:val="20"/>
              </w:rPr>
            </w:pPr>
          </w:p>
          <w:p w14:paraId="57B150AF" w14:textId="77777777" w:rsidR="009E75B5" w:rsidRDefault="009E75B5" w:rsidP="009E75B5">
            <w:pPr>
              <w:jc w:val="both"/>
              <w:rPr>
                <w:rFonts w:ascii="Palatino Linotype" w:hAnsi="Palatino Linotype"/>
                <w:b/>
                <w:sz w:val="20"/>
              </w:rPr>
            </w:pPr>
          </w:p>
          <w:p w14:paraId="4871201E" w14:textId="77777777" w:rsidR="009E75B5" w:rsidRDefault="009E75B5" w:rsidP="009E75B5">
            <w:pPr>
              <w:jc w:val="both"/>
              <w:rPr>
                <w:rFonts w:ascii="Palatino Linotype" w:hAnsi="Palatino Linotype"/>
                <w:b/>
                <w:sz w:val="20"/>
              </w:rPr>
            </w:pPr>
          </w:p>
          <w:p w14:paraId="36E9F0DF" w14:textId="77777777" w:rsidR="009E75B5" w:rsidRDefault="009E75B5" w:rsidP="009E75B5">
            <w:pPr>
              <w:jc w:val="both"/>
              <w:rPr>
                <w:rFonts w:ascii="Palatino Linotype" w:hAnsi="Palatino Linotype"/>
                <w:b/>
                <w:sz w:val="20"/>
              </w:rPr>
            </w:pPr>
          </w:p>
          <w:p w14:paraId="47CA69E9" w14:textId="77777777" w:rsidR="009E75B5" w:rsidRDefault="009E75B5" w:rsidP="009E75B5">
            <w:pPr>
              <w:jc w:val="both"/>
              <w:rPr>
                <w:rFonts w:ascii="Palatino Linotype" w:hAnsi="Palatino Linotype"/>
                <w:b/>
                <w:sz w:val="20"/>
              </w:rPr>
            </w:pPr>
          </w:p>
          <w:p w14:paraId="3B4DF3C0" w14:textId="77777777" w:rsidR="009E75B5" w:rsidRPr="00D00133" w:rsidRDefault="009E75B5" w:rsidP="009E75B5">
            <w:pPr>
              <w:jc w:val="both"/>
              <w:rPr>
                <w:rFonts w:ascii="Palatino Linotype" w:hAnsi="Palatino Linotype"/>
                <w:b/>
                <w:sz w:val="20"/>
              </w:rPr>
            </w:pPr>
            <w:r w:rsidRPr="00D00133">
              <w:rPr>
                <w:rFonts w:ascii="Palatino Linotype" w:hAnsi="Palatino Linotype"/>
                <w:b/>
                <w:sz w:val="20"/>
              </w:rPr>
              <w:t xml:space="preserve">Sello oficial o logotipo del sujeto obligado </w:t>
            </w:r>
          </w:p>
        </w:tc>
        <w:tc>
          <w:tcPr>
            <w:tcW w:w="2693" w:type="dxa"/>
          </w:tcPr>
          <w:p w14:paraId="388CDA00" w14:textId="77777777" w:rsidR="009E75B5" w:rsidRPr="00D00133" w:rsidRDefault="009E75B5" w:rsidP="009E75B5">
            <w:pPr>
              <w:rPr>
                <w:rFonts w:ascii="Palatino Linotype" w:hAnsi="Palatino Linotype"/>
                <w:sz w:val="20"/>
              </w:rPr>
            </w:pPr>
            <w:r w:rsidRPr="00D00133">
              <w:rPr>
                <w:rFonts w:ascii="Palatino Linotype" w:hAnsi="Palatino Linotype"/>
                <w:sz w:val="20"/>
              </w:rPr>
              <w:t>Fecha de clasificación</w:t>
            </w:r>
          </w:p>
        </w:tc>
        <w:tc>
          <w:tcPr>
            <w:tcW w:w="3691" w:type="dxa"/>
          </w:tcPr>
          <w:p w14:paraId="0E941642"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anotará la fecha en la que el Comité de Transparencia confirmó la clasificación del documento o expediente, en su caso. </w:t>
            </w:r>
          </w:p>
        </w:tc>
      </w:tr>
      <w:tr w:rsidR="009E75B5" w:rsidRPr="00D00133" w14:paraId="07C802EB" w14:textId="77777777" w:rsidTr="00241DE1">
        <w:trPr>
          <w:jc w:val="center"/>
        </w:trPr>
        <w:tc>
          <w:tcPr>
            <w:tcW w:w="1271" w:type="dxa"/>
            <w:vMerge/>
            <w:shd w:val="clear" w:color="auto" w:fill="D9D9D9" w:themeFill="background1" w:themeFillShade="D9"/>
          </w:tcPr>
          <w:p w14:paraId="7D74127B" w14:textId="77777777" w:rsidR="009E75B5" w:rsidRPr="00D00133" w:rsidRDefault="009E75B5" w:rsidP="009E75B5">
            <w:pPr>
              <w:rPr>
                <w:rFonts w:ascii="Palatino Linotype" w:hAnsi="Palatino Linotype"/>
                <w:sz w:val="20"/>
              </w:rPr>
            </w:pPr>
          </w:p>
        </w:tc>
        <w:tc>
          <w:tcPr>
            <w:tcW w:w="2693" w:type="dxa"/>
          </w:tcPr>
          <w:p w14:paraId="68F5FAFB"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Área </w:t>
            </w:r>
          </w:p>
        </w:tc>
        <w:tc>
          <w:tcPr>
            <w:tcW w:w="3691" w:type="dxa"/>
          </w:tcPr>
          <w:p w14:paraId="3FAA6A97"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señalará el nombre del área del cual es titular quien clasifica. </w:t>
            </w:r>
          </w:p>
        </w:tc>
      </w:tr>
      <w:tr w:rsidR="009E75B5" w:rsidRPr="00D00133" w14:paraId="36AB0DA5" w14:textId="77777777" w:rsidTr="00241DE1">
        <w:trPr>
          <w:jc w:val="center"/>
        </w:trPr>
        <w:tc>
          <w:tcPr>
            <w:tcW w:w="1271" w:type="dxa"/>
            <w:vMerge/>
            <w:shd w:val="clear" w:color="auto" w:fill="D9D9D9" w:themeFill="background1" w:themeFillShade="D9"/>
          </w:tcPr>
          <w:p w14:paraId="1F249F9B" w14:textId="77777777" w:rsidR="009E75B5" w:rsidRPr="00D00133" w:rsidRDefault="009E75B5" w:rsidP="009E75B5">
            <w:pPr>
              <w:rPr>
                <w:rFonts w:ascii="Palatino Linotype" w:hAnsi="Palatino Linotype"/>
                <w:sz w:val="20"/>
              </w:rPr>
            </w:pPr>
          </w:p>
        </w:tc>
        <w:tc>
          <w:tcPr>
            <w:tcW w:w="2693" w:type="dxa"/>
          </w:tcPr>
          <w:p w14:paraId="5B0BB38E" w14:textId="77777777" w:rsidR="009E75B5" w:rsidRPr="00D00133" w:rsidRDefault="009E75B5" w:rsidP="009E75B5">
            <w:pPr>
              <w:rPr>
                <w:rFonts w:ascii="Palatino Linotype" w:hAnsi="Palatino Linotype"/>
                <w:sz w:val="20"/>
              </w:rPr>
            </w:pPr>
            <w:r w:rsidRPr="00D00133">
              <w:rPr>
                <w:rFonts w:ascii="Palatino Linotype" w:hAnsi="Palatino Linotype"/>
                <w:sz w:val="20"/>
              </w:rPr>
              <w:t>Información Reservada</w:t>
            </w:r>
          </w:p>
        </w:tc>
        <w:tc>
          <w:tcPr>
            <w:tcW w:w="3691" w:type="dxa"/>
          </w:tcPr>
          <w:p w14:paraId="6AF43BE7"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9E75B5" w:rsidRPr="00D00133" w14:paraId="64A00211" w14:textId="77777777" w:rsidTr="00241DE1">
        <w:trPr>
          <w:jc w:val="center"/>
        </w:trPr>
        <w:tc>
          <w:tcPr>
            <w:tcW w:w="1271" w:type="dxa"/>
            <w:vMerge/>
            <w:shd w:val="clear" w:color="auto" w:fill="D9D9D9" w:themeFill="background1" w:themeFillShade="D9"/>
          </w:tcPr>
          <w:p w14:paraId="5B374F2D" w14:textId="77777777" w:rsidR="009E75B5" w:rsidRPr="00D00133" w:rsidRDefault="009E75B5" w:rsidP="009E75B5">
            <w:pPr>
              <w:rPr>
                <w:rFonts w:ascii="Palatino Linotype" w:hAnsi="Palatino Linotype"/>
                <w:sz w:val="20"/>
              </w:rPr>
            </w:pPr>
          </w:p>
        </w:tc>
        <w:tc>
          <w:tcPr>
            <w:tcW w:w="2693" w:type="dxa"/>
          </w:tcPr>
          <w:p w14:paraId="73E56230"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Periodo de Reserva </w:t>
            </w:r>
          </w:p>
        </w:tc>
        <w:tc>
          <w:tcPr>
            <w:tcW w:w="3691" w:type="dxa"/>
          </w:tcPr>
          <w:p w14:paraId="41F4BA68"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anotará el número de años o meses por los que se mantendrá reservado el documento, el expediente o, en su caso, las partes o secciones reservadas. </w:t>
            </w:r>
          </w:p>
        </w:tc>
      </w:tr>
      <w:tr w:rsidR="009E75B5" w:rsidRPr="00D00133" w14:paraId="3AC1A6B9" w14:textId="77777777" w:rsidTr="00241DE1">
        <w:trPr>
          <w:jc w:val="center"/>
        </w:trPr>
        <w:tc>
          <w:tcPr>
            <w:tcW w:w="1271" w:type="dxa"/>
            <w:vMerge/>
            <w:shd w:val="clear" w:color="auto" w:fill="D9D9D9" w:themeFill="background1" w:themeFillShade="D9"/>
          </w:tcPr>
          <w:p w14:paraId="697C41A8" w14:textId="77777777" w:rsidR="009E75B5" w:rsidRPr="00D00133" w:rsidRDefault="009E75B5" w:rsidP="009E75B5">
            <w:pPr>
              <w:rPr>
                <w:rFonts w:ascii="Palatino Linotype" w:hAnsi="Palatino Linotype"/>
                <w:sz w:val="20"/>
              </w:rPr>
            </w:pPr>
          </w:p>
        </w:tc>
        <w:tc>
          <w:tcPr>
            <w:tcW w:w="2693" w:type="dxa"/>
          </w:tcPr>
          <w:p w14:paraId="5EEFB10E" w14:textId="77777777" w:rsidR="009E75B5" w:rsidRPr="00D00133" w:rsidRDefault="009E75B5" w:rsidP="009E75B5">
            <w:pPr>
              <w:rPr>
                <w:rFonts w:ascii="Palatino Linotype" w:hAnsi="Palatino Linotype"/>
                <w:sz w:val="20"/>
              </w:rPr>
            </w:pPr>
            <w:r w:rsidRPr="00D00133">
              <w:rPr>
                <w:rFonts w:ascii="Palatino Linotype" w:hAnsi="Palatino Linotype"/>
                <w:sz w:val="20"/>
              </w:rPr>
              <w:t>Fundamento legal</w:t>
            </w:r>
          </w:p>
        </w:tc>
        <w:tc>
          <w:tcPr>
            <w:tcW w:w="3691" w:type="dxa"/>
          </w:tcPr>
          <w:p w14:paraId="2C685CEC"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señalará el nombre del ordenamiento el o los artículos, </w:t>
            </w:r>
            <w:r w:rsidRPr="00D00133">
              <w:rPr>
                <w:rFonts w:ascii="Palatino Linotype" w:hAnsi="Palatino Linotype"/>
                <w:sz w:val="20"/>
              </w:rPr>
              <w:lastRenderedPageBreak/>
              <w:t xml:space="preserve">fracciones, párrafos con base en los cuales se sustente la reserva. </w:t>
            </w:r>
          </w:p>
        </w:tc>
      </w:tr>
      <w:tr w:rsidR="009E75B5" w:rsidRPr="00D00133" w14:paraId="1B7E545C" w14:textId="77777777" w:rsidTr="00241DE1">
        <w:trPr>
          <w:jc w:val="center"/>
        </w:trPr>
        <w:tc>
          <w:tcPr>
            <w:tcW w:w="1271" w:type="dxa"/>
            <w:vMerge/>
            <w:shd w:val="clear" w:color="auto" w:fill="D9D9D9" w:themeFill="background1" w:themeFillShade="D9"/>
          </w:tcPr>
          <w:p w14:paraId="3225CAA5" w14:textId="77777777" w:rsidR="009E75B5" w:rsidRPr="00D00133" w:rsidRDefault="009E75B5" w:rsidP="009E75B5">
            <w:pPr>
              <w:rPr>
                <w:rFonts w:ascii="Palatino Linotype" w:hAnsi="Palatino Linotype"/>
                <w:sz w:val="20"/>
              </w:rPr>
            </w:pPr>
          </w:p>
        </w:tc>
        <w:tc>
          <w:tcPr>
            <w:tcW w:w="2693" w:type="dxa"/>
          </w:tcPr>
          <w:p w14:paraId="6EDBE1B2" w14:textId="77777777" w:rsidR="009E75B5" w:rsidRPr="00D00133" w:rsidRDefault="009E75B5" w:rsidP="009E75B5">
            <w:pPr>
              <w:rPr>
                <w:rFonts w:ascii="Palatino Linotype" w:hAnsi="Palatino Linotype"/>
                <w:sz w:val="20"/>
              </w:rPr>
            </w:pPr>
            <w:r w:rsidRPr="00D00133">
              <w:rPr>
                <w:rFonts w:ascii="Palatino Linotype" w:hAnsi="Palatino Linotype"/>
                <w:sz w:val="20"/>
              </w:rPr>
              <w:t>Ampliación del periodo de reserva</w:t>
            </w:r>
          </w:p>
        </w:tc>
        <w:tc>
          <w:tcPr>
            <w:tcW w:w="3691" w:type="dxa"/>
          </w:tcPr>
          <w:p w14:paraId="046E6DFE"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9E75B5" w:rsidRPr="00D00133" w14:paraId="18F7F4A5" w14:textId="77777777" w:rsidTr="00241DE1">
        <w:trPr>
          <w:jc w:val="center"/>
        </w:trPr>
        <w:tc>
          <w:tcPr>
            <w:tcW w:w="3964" w:type="dxa"/>
            <w:gridSpan w:val="2"/>
            <w:shd w:val="clear" w:color="auto" w:fill="D9D9D9" w:themeFill="background1" w:themeFillShade="D9"/>
          </w:tcPr>
          <w:p w14:paraId="587711E8" w14:textId="77777777" w:rsidR="009E75B5" w:rsidRPr="00D00133" w:rsidRDefault="009E75B5" w:rsidP="009E75B5">
            <w:pPr>
              <w:rPr>
                <w:rFonts w:ascii="Palatino Linotype" w:hAnsi="Palatino Linotype"/>
                <w:sz w:val="20"/>
              </w:rPr>
            </w:pPr>
            <w:r w:rsidRPr="00D00133">
              <w:rPr>
                <w:rFonts w:ascii="Palatino Linotype" w:hAnsi="Palatino Linotype"/>
                <w:sz w:val="20"/>
              </w:rPr>
              <w:t>Rúbrica del titular del área</w:t>
            </w:r>
          </w:p>
        </w:tc>
        <w:tc>
          <w:tcPr>
            <w:tcW w:w="3691" w:type="dxa"/>
            <w:shd w:val="clear" w:color="auto" w:fill="D9D9D9" w:themeFill="background1" w:themeFillShade="D9"/>
          </w:tcPr>
          <w:p w14:paraId="6AF6CBDE"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Rúbrica autógrafa o firma digital de quien clasifica. </w:t>
            </w:r>
          </w:p>
        </w:tc>
      </w:tr>
      <w:tr w:rsidR="009E75B5" w:rsidRPr="00D00133" w14:paraId="5D3205D8" w14:textId="77777777" w:rsidTr="00241DE1">
        <w:trPr>
          <w:jc w:val="center"/>
        </w:trPr>
        <w:tc>
          <w:tcPr>
            <w:tcW w:w="3964" w:type="dxa"/>
            <w:gridSpan w:val="2"/>
            <w:shd w:val="clear" w:color="auto" w:fill="D9D9D9" w:themeFill="background1" w:themeFillShade="D9"/>
          </w:tcPr>
          <w:p w14:paraId="7B710E1E"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Fecha de desclasificación </w:t>
            </w:r>
          </w:p>
        </w:tc>
        <w:tc>
          <w:tcPr>
            <w:tcW w:w="3691" w:type="dxa"/>
            <w:shd w:val="clear" w:color="auto" w:fill="D9D9D9" w:themeFill="background1" w:themeFillShade="D9"/>
          </w:tcPr>
          <w:p w14:paraId="3B378D3C"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Se anotará la fecha en que se desclasifica el documento. </w:t>
            </w:r>
          </w:p>
        </w:tc>
      </w:tr>
      <w:tr w:rsidR="009E75B5" w:rsidRPr="00D00133" w14:paraId="4492C996" w14:textId="77777777" w:rsidTr="00241DE1">
        <w:trPr>
          <w:jc w:val="center"/>
        </w:trPr>
        <w:tc>
          <w:tcPr>
            <w:tcW w:w="3964" w:type="dxa"/>
            <w:gridSpan w:val="2"/>
            <w:shd w:val="clear" w:color="auto" w:fill="D9D9D9" w:themeFill="background1" w:themeFillShade="D9"/>
          </w:tcPr>
          <w:p w14:paraId="63172182" w14:textId="77777777" w:rsidR="009E75B5" w:rsidRPr="00D00133" w:rsidRDefault="009E75B5" w:rsidP="009E75B5">
            <w:pPr>
              <w:rPr>
                <w:rFonts w:ascii="Palatino Linotype" w:hAnsi="Palatino Linotype"/>
                <w:sz w:val="20"/>
              </w:rPr>
            </w:pPr>
            <w:r w:rsidRPr="00D00133">
              <w:rPr>
                <w:rFonts w:ascii="Palatino Linotype" w:hAnsi="Palatino Linotype"/>
                <w:sz w:val="20"/>
              </w:rPr>
              <w:t xml:space="preserve">Rúbrica y cargo del servidor público </w:t>
            </w:r>
          </w:p>
        </w:tc>
        <w:tc>
          <w:tcPr>
            <w:tcW w:w="3691" w:type="dxa"/>
            <w:shd w:val="clear" w:color="auto" w:fill="D9D9D9" w:themeFill="background1" w:themeFillShade="D9"/>
          </w:tcPr>
          <w:p w14:paraId="096D639A" w14:textId="77777777" w:rsidR="009E75B5" w:rsidRPr="00D00133" w:rsidRDefault="009E75B5" w:rsidP="009E75B5">
            <w:pPr>
              <w:jc w:val="both"/>
              <w:rPr>
                <w:rFonts w:ascii="Palatino Linotype" w:hAnsi="Palatino Linotype"/>
                <w:sz w:val="20"/>
              </w:rPr>
            </w:pPr>
            <w:r w:rsidRPr="00D00133">
              <w:rPr>
                <w:rFonts w:ascii="Palatino Linotype" w:hAnsi="Palatino Linotype"/>
                <w:sz w:val="20"/>
              </w:rPr>
              <w:t xml:space="preserve">Rúbrica autógrafa o firma digital de quien desclasifica. </w:t>
            </w:r>
          </w:p>
        </w:tc>
      </w:tr>
    </w:tbl>
    <w:p w14:paraId="4E4C53A3" w14:textId="77777777" w:rsidR="009E75B5" w:rsidRDefault="009E75B5" w:rsidP="009E75B5">
      <w:pPr>
        <w:spacing w:after="0" w:line="360" w:lineRule="auto"/>
        <w:ind w:right="902"/>
        <w:rPr>
          <w:rFonts w:ascii="Palatino Linotype" w:eastAsia="Palatino Linotype" w:hAnsi="Palatino Linotype" w:cs="Palatino Linotype"/>
          <w:i/>
        </w:rPr>
      </w:pPr>
    </w:p>
    <w:p w14:paraId="61316D61" w14:textId="77777777" w:rsidR="009E75B5" w:rsidRDefault="009E75B5" w:rsidP="009E75B5">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Los documentos que integren un expediente reservado en su totalidad no deberán marcarse en lo individual.</w:t>
      </w:r>
    </w:p>
    <w:p w14:paraId="403E01EC" w14:textId="77777777" w:rsidR="009E75B5" w:rsidRDefault="009E75B5" w:rsidP="009E75B5">
      <w:pPr>
        <w:spacing w:after="0" w:line="276" w:lineRule="auto"/>
        <w:ind w:left="567" w:right="902"/>
        <w:jc w:val="both"/>
        <w:rPr>
          <w:rFonts w:ascii="Palatino Linotype" w:eastAsia="Palatino Linotype" w:hAnsi="Palatino Linotype" w:cs="Palatino Linotype"/>
          <w:i/>
        </w:rPr>
      </w:pPr>
      <w:r>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25DC92DA" w14:textId="77777777" w:rsidR="009E75B5" w:rsidRDefault="009E75B5" w:rsidP="009E75B5">
      <w:pPr>
        <w:spacing w:after="0" w:line="360" w:lineRule="auto"/>
        <w:jc w:val="both"/>
        <w:rPr>
          <w:rFonts w:ascii="Palatino Linotype" w:eastAsia="Palatino Linotype" w:hAnsi="Palatino Linotype" w:cs="Palatino Linotype"/>
        </w:rPr>
      </w:pPr>
    </w:p>
    <w:p w14:paraId="19FA800D" w14:textId="77777777" w:rsidR="009E75B5" w:rsidRP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De igual forma, deberá observar los Lineamientos Quincuagésimo cuarto, Quincuagésimo quinto, Quincuagésimo séptimo y Quincuagésimo octavo, establecen lo siguiente:</w:t>
      </w:r>
    </w:p>
    <w:p w14:paraId="3A0F37CF" w14:textId="77777777" w:rsidR="009E75B5" w:rsidRDefault="009E75B5" w:rsidP="009E75B5">
      <w:pPr>
        <w:spacing w:after="0" w:line="360" w:lineRule="auto"/>
        <w:jc w:val="both"/>
        <w:rPr>
          <w:rFonts w:ascii="Palatino Linotype" w:eastAsia="Palatino Linotype" w:hAnsi="Palatino Linotype" w:cs="Palatino Linotype"/>
        </w:rPr>
      </w:pPr>
    </w:p>
    <w:p w14:paraId="74DCC5CE" w14:textId="77777777" w:rsidR="009E75B5"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Quincuagésimo cuarto.</w:t>
      </w:r>
      <w:r>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49D6639"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Quincuagésimo quinto.</w:t>
      </w:r>
      <w:r>
        <w:rPr>
          <w:rFonts w:ascii="Palatino Linotype" w:eastAsia="Palatino Linotype" w:hAnsi="Palatino Linotype" w:cs="Palatino Linotype"/>
          <w:i/>
        </w:rPr>
        <w:t xml:space="preserve"> Cada área del sujeto obligado podrá designar formalmente a una o más personas como responsables del </w:t>
      </w:r>
      <w:proofErr w:type="spellStart"/>
      <w:r>
        <w:rPr>
          <w:rFonts w:ascii="Palatino Linotype" w:eastAsia="Palatino Linotype" w:hAnsi="Palatino Linotype" w:cs="Palatino Linotype"/>
          <w:i/>
        </w:rPr>
        <w:t>testado</w:t>
      </w:r>
      <w:proofErr w:type="spellEnd"/>
      <w:r>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567723F"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C96B70C"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Quincuagésimo séptimo.</w:t>
      </w:r>
      <w:r>
        <w:rPr>
          <w:rFonts w:ascii="Palatino Linotype" w:eastAsia="Palatino Linotype" w:hAnsi="Palatino Linotype" w:cs="Palatino Linotype"/>
          <w:i/>
        </w:rPr>
        <w:t xml:space="preserve"> Se considera, en principio, como información pública y no podrá omitirse de las versiones públicas la siguiente: </w:t>
      </w:r>
    </w:p>
    <w:p w14:paraId="1CF9313C"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EE29787"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5DBC984"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CEC4FE"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667F774" w14:textId="77777777" w:rsidR="009E75B5" w:rsidRDefault="009E75B5" w:rsidP="009E75B5">
      <w:pPr>
        <w:spacing w:after="0"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D8CD2F1" w14:textId="77777777" w:rsidR="009E75B5" w:rsidRDefault="009E75B5" w:rsidP="009E75B5">
      <w:pPr>
        <w:spacing w:after="0" w:line="276" w:lineRule="auto"/>
        <w:ind w:left="567" w:right="616"/>
        <w:jc w:val="both"/>
        <w:rPr>
          <w:rFonts w:ascii="Palatino Linotype" w:eastAsia="Palatino Linotype" w:hAnsi="Palatino Linotype" w:cs="Palatino Linotype"/>
          <w:i/>
        </w:rPr>
      </w:pPr>
    </w:p>
    <w:p w14:paraId="25D1D18A" w14:textId="79F54BA3" w:rsidR="009E75B5" w:rsidRDefault="009E75B5" w:rsidP="009E75B5">
      <w:pPr>
        <w:spacing w:after="0" w:line="360" w:lineRule="auto"/>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BA0497F" w14:textId="77777777" w:rsidR="003A0D42" w:rsidRPr="008B7BCF" w:rsidRDefault="003A0D42" w:rsidP="009E75B5">
      <w:pPr>
        <w:spacing w:after="0" w:line="360" w:lineRule="auto"/>
        <w:jc w:val="both"/>
        <w:rPr>
          <w:rFonts w:ascii="Palatino Linotype" w:eastAsia="Palatino Linotype" w:hAnsi="Palatino Linotype" w:cs="Palatino Linotype"/>
          <w:sz w:val="24"/>
        </w:rPr>
      </w:pPr>
    </w:p>
    <w:p w14:paraId="78744620" w14:textId="34E25203" w:rsidR="009E75B5" w:rsidRDefault="009E75B5" w:rsidP="009E75B5">
      <w:pPr>
        <w:spacing w:after="0" w:line="360" w:lineRule="auto"/>
        <w:ind w:right="49"/>
        <w:jc w:val="both"/>
        <w:rPr>
          <w:rFonts w:ascii="Palatino Linotype" w:eastAsia="Palatino Linotype" w:hAnsi="Palatino Linotype" w:cs="Palatino Linotype"/>
          <w:b/>
          <w:sz w:val="24"/>
        </w:rPr>
      </w:pPr>
      <w:r w:rsidRPr="009E75B5">
        <w:rPr>
          <w:rFonts w:ascii="Palatino Linotype" w:eastAsia="Palatino Linotype" w:hAnsi="Palatino Linotype" w:cs="Palatino Linotype"/>
          <w:sz w:val="24"/>
        </w:rPr>
        <w:t xml:space="preserve">Es así como, en mérito de lo expuesto en líneas anteriores, resultan fundadas las razones o motivos de inconformidad hechos valer por el </w:t>
      </w:r>
      <w:r w:rsidRPr="009E75B5">
        <w:rPr>
          <w:rFonts w:ascii="Palatino Linotype" w:eastAsia="Palatino Linotype" w:hAnsi="Palatino Linotype" w:cs="Palatino Linotype"/>
          <w:b/>
          <w:sz w:val="24"/>
        </w:rPr>
        <w:t>RECURRENTE</w:t>
      </w:r>
      <w:r w:rsidRPr="009E75B5">
        <w:rPr>
          <w:rFonts w:ascii="Palatino Linotype" w:eastAsia="Palatino Linotype" w:hAnsi="Palatino Linotype" w:cs="Palatino Linotype"/>
          <w:sz w:val="24"/>
        </w:rPr>
        <w:t xml:space="preserve"> dentro del </w:t>
      </w:r>
      <w:r w:rsidRPr="009E75B5">
        <w:rPr>
          <w:rFonts w:ascii="Palatino Linotype" w:eastAsia="Palatino Linotype" w:hAnsi="Palatino Linotype" w:cs="Palatino Linotype"/>
          <w:sz w:val="24"/>
        </w:rPr>
        <w:lastRenderedPageBreak/>
        <w:t xml:space="preserve">recurso de revisión </w:t>
      </w:r>
      <w:r w:rsidR="00FB4703">
        <w:rPr>
          <w:rFonts w:ascii="Palatino Linotype" w:eastAsia="Palatino Linotype" w:hAnsi="Palatino Linotype" w:cs="Palatino Linotype"/>
          <w:b/>
          <w:sz w:val="24"/>
        </w:rPr>
        <w:t>01884</w:t>
      </w:r>
      <w:r w:rsidRPr="009E75B5">
        <w:rPr>
          <w:rFonts w:ascii="Palatino Linotype" w:eastAsia="Palatino Linotype" w:hAnsi="Palatino Linotype" w:cs="Palatino Linotype"/>
          <w:b/>
          <w:sz w:val="24"/>
        </w:rPr>
        <w:t>/INFOEM/IP/RR/2023</w:t>
      </w:r>
      <w:r w:rsidRPr="009E75B5">
        <w:rPr>
          <w:rFonts w:ascii="Palatino Linotype" w:eastAsia="Palatino Linotype" w:hAnsi="Palatino Linotype" w:cs="Palatino Linotype"/>
          <w:sz w:val="24"/>
        </w:rPr>
        <w:t xml:space="preserve">; por ello, y con fundamento en la fracción III del numeral 186 de la Ley de Transparencia y Acceso a la Información Pública del Estado de México y Municipios, por lo que se </w:t>
      </w:r>
      <w:r w:rsidRPr="009E75B5">
        <w:rPr>
          <w:rFonts w:ascii="Palatino Linotype" w:eastAsia="Palatino Linotype" w:hAnsi="Palatino Linotype" w:cs="Palatino Linotype"/>
          <w:b/>
          <w:sz w:val="24"/>
        </w:rPr>
        <w:t xml:space="preserve">REVOCA </w:t>
      </w:r>
      <w:r w:rsidRPr="009E75B5">
        <w:rPr>
          <w:rFonts w:ascii="Palatino Linotype" w:eastAsia="Palatino Linotype" w:hAnsi="Palatino Linotype" w:cs="Palatino Linotype"/>
          <w:sz w:val="24"/>
        </w:rPr>
        <w:t xml:space="preserve">la respuesta del </w:t>
      </w:r>
      <w:r w:rsidRPr="009E75B5">
        <w:rPr>
          <w:rFonts w:ascii="Palatino Linotype" w:eastAsia="Palatino Linotype" w:hAnsi="Palatino Linotype" w:cs="Palatino Linotype"/>
          <w:b/>
          <w:sz w:val="24"/>
        </w:rPr>
        <w:t xml:space="preserve">SUJETO OBLIGADO </w:t>
      </w:r>
      <w:r w:rsidRPr="009E75B5">
        <w:rPr>
          <w:rFonts w:ascii="Palatino Linotype" w:eastAsia="Palatino Linotype" w:hAnsi="Palatino Linotype" w:cs="Palatino Linotype"/>
          <w:sz w:val="24"/>
        </w:rPr>
        <w:t xml:space="preserve">a la solicitud de información </w:t>
      </w:r>
      <w:r w:rsidRPr="009E75B5">
        <w:rPr>
          <w:rFonts w:ascii="Palatino Linotype" w:eastAsia="Palatino Linotype" w:hAnsi="Palatino Linotype" w:cs="Palatino Linotype"/>
          <w:b/>
          <w:sz w:val="24"/>
        </w:rPr>
        <w:t>00</w:t>
      </w:r>
      <w:r w:rsidR="00FB4703">
        <w:rPr>
          <w:rFonts w:ascii="Palatino Linotype" w:eastAsia="Palatino Linotype" w:hAnsi="Palatino Linotype" w:cs="Palatino Linotype"/>
          <w:b/>
          <w:sz w:val="24"/>
        </w:rPr>
        <w:t>125</w:t>
      </w:r>
      <w:r w:rsidRPr="009E75B5">
        <w:rPr>
          <w:rFonts w:ascii="Palatino Linotype" w:eastAsia="Palatino Linotype" w:hAnsi="Palatino Linotype" w:cs="Palatino Linotype"/>
          <w:b/>
          <w:sz w:val="24"/>
        </w:rPr>
        <w:t>/</w:t>
      </w:r>
      <w:r w:rsidR="00FB4703">
        <w:rPr>
          <w:rFonts w:ascii="Palatino Linotype" w:eastAsia="Palatino Linotype" w:hAnsi="Palatino Linotype" w:cs="Palatino Linotype"/>
          <w:b/>
          <w:sz w:val="24"/>
        </w:rPr>
        <w:t>SSEM</w:t>
      </w:r>
      <w:r w:rsidRPr="009E75B5">
        <w:rPr>
          <w:rFonts w:ascii="Palatino Linotype" w:eastAsia="Palatino Linotype" w:hAnsi="Palatino Linotype" w:cs="Palatino Linotype"/>
          <w:b/>
          <w:sz w:val="24"/>
        </w:rPr>
        <w:t>/IP/2023</w:t>
      </w:r>
      <w:r w:rsidRPr="009E75B5">
        <w:rPr>
          <w:rFonts w:ascii="Palatino Linotype" w:eastAsia="Palatino Linotype" w:hAnsi="Palatino Linotype" w:cs="Palatino Linotype"/>
          <w:sz w:val="24"/>
        </w:rPr>
        <w:t xml:space="preserve">.  </w:t>
      </w:r>
      <w:r w:rsidRPr="009E75B5">
        <w:rPr>
          <w:rFonts w:ascii="Palatino Linotype" w:eastAsia="Palatino Linotype" w:hAnsi="Palatino Linotype" w:cs="Palatino Linotype"/>
          <w:b/>
          <w:sz w:val="24"/>
        </w:rPr>
        <w:t xml:space="preserve"> </w:t>
      </w:r>
    </w:p>
    <w:p w14:paraId="686EB3D1" w14:textId="77777777" w:rsidR="008B7BCF" w:rsidRPr="00A45BB6" w:rsidRDefault="008B7BCF" w:rsidP="009E75B5">
      <w:pPr>
        <w:spacing w:after="0" w:line="360" w:lineRule="auto"/>
        <w:ind w:right="49"/>
        <w:jc w:val="both"/>
        <w:rPr>
          <w:rFonts w:ascii="Palatino Linotype" w:eastAsia="Palatino Linotype" w:hAnsi="Palatino Linotype" w:cs="Palatino Linotype"/>
          <w:b/>
          <w:sz w:val="24"/>
        </w:rPr>
      </w:pPr>
    </w:p>
    <w:p w14:paraId="1FB33988" w14:textId="77777777" w:rsidR="009E75B5" w:rsidRPr="009E75B5" w:rsidRDefault="009E75B5" w:rsidP="009E75B5">
      <w:pPr>
        <w:spacing w:after="0" w:line="360" w:lineRule="auto"/>
        <w:ind w:right="49"/>
        <w:jc w:val="both"/>
        <w:rPr>
          <w:rFonts w:ascii="Palatino Linotype" w:eastAsia="Palatino Linotype" w:hAnsi="Palatino Linotype" w:cs="Palatino Linotype"/>
          <w:sz w:val="24"/>
        </w:rPr>
      </w:pPr>
      <w:r w:rsidRPr="009E75B5">
        <w:rPr>
          <w:rFonts w:ascii="Palatino Linotype" w:eastAsia="Palatino Linotype" w:hAnsi="Palatino Linotype" w:cs="Palatino Linotype"/>
          <w:sz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C4D68F" w14:textId="77777777" w:rsidR="00634588" w:rsidRPr="008645E3"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8645E3" w:rsidRDefault="00646B44">
      <w:pPr>
        <w:spacing w:after="0" w:line="360" w:lineRule="auto"/>
        <w:ind w:right="49"/>
        <w:jc w:val="center"/>
        <w:rPr>
          <w:rFonts w:ascii="Palatino Linotype" w:eastAsia="Palatino Linotype" w:hAnsi="Palatino Linotype" w:cs="Palatino Linotype"/>
          <w:b/>
          <w:sz w:val="24"/>
          <w:szCs w:val="24"/>
        </w:rPr>
      </w:pPr>
      <w:r w:rsidRPr="008645E3">
        <w:rPr>
          <w:rFonts w:ascii="Palatino Linotype" w:eastAsia="Palatino Linotype" w:hAnsi="Palatino Linotype" w:cs="Palatino Linotype"/>
          <w:b/>
          <w:sz w:val="24"/>
          <w:szCs w:val="24"/>
        </w:rPr>
        <w:t>III.</w:t>
      </w:r>
      <w:r w:rsidRPr="008645E3">
        <w:rPr>
          <w:rFonts w:ascii="Palatino Linotype" w:eastAsia="Palatino Linotype" w:hAnsi="Palatino Linotype" w:cs="Palatino Linotype"/>
          <w:b/>
          <w:sz w:val="24"/>
          <w:szCs w:val="24"/>
        </w:rPr>
        <w:tab/>
        <w:t>R E S U E L V E:</w:t>
      </w:r>
    </w:p>
    <w:p w14:paraId="741D8D48" w14:textId="77777777" w:rsidR="00F8557D" w:rsidRPr="008645E3" w:rsidRDefault="00F8557D" w:rsidP="003A0D42">
      <w:pPr>
        <w:spacing w:after="0" w:line="360" w:lineRule="auto"/>
        <w:ind w:right="49"/>
        <w:jc w:val="both"/>
        <w:rPr>
          <w:rFonts w:ascii="Palatino Linotype" w:eastAsia="Palatino Linotype" w:hAnsi="Palatino Linotype" w:cs="Palatino Linotype"/>
          <w:sz w:val="24"/>
          <w:szCs w:val="24"/>
        </w:rPr>
      </w:pPr>
    </w:p>
    <w:p w14:paraId="2CC1FD37" w14:textId="65314740"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Primero.</w:t>
      </w:r>
      <w:r w:rsidRPr="008645E3">
        <w:rPr>
          <w:rFonts w:ascii="Palatino Linotype" w:eastAsia="Palatino Linotype" w:hAnsi="Palatino Linotype" w:cs="Palatino Linotype"/>
          <w:sz w:val="24"/>
          <w:szCs w:val="24"/>
        </w:rPr>
        <w:t xml:space="preserve"> Resultan</w:t>
      </w:r>
      <w:r w:rsidRPr="008645E3">
        <w:rPr>
          <w:rFonts w:ascii="Palatino Linotype" w:eastAsia="Palatino Linotype" w:hAnsi="Palatino Linotype" w:cs="Palatino Linotype"/>
          <w:b/>
          <w:sz w:val="24"/>
          <w:szCs w:val="24"/>
        </w:rPr>
        <w:t xml:space="preserve"> FUNDADOS</w:t>
      </w:r>
      <w:r w:rsidRPr="008645E3">
        <w:rPr>
          <w:rFonts w:ascii="Palatino Linotype" w:eastAsia="Palatino Linotype" w:hAnsi="Palatino Linotype" w:cs="Palatino Linotype"/>
          <w:sz w:val="24"/>
          <w:szCs w:val="24"/>
        </w:rPr>
        <w:t xml:space="preserve"> los motivos de inconformidad hechos valer por el </w:t>
      </w:r>
      <w:r w:rsidRPr="008645E3">
        <w:rPr>
          <w:rFonts w:ascii="Palatino Linotype" w:eastAsia="Palatino Linotype" w:hAnsi="Palatino Linotype" w:cs="Palatino Linotype"/>
          <w:b/>
          <w:sz w:val="24"/>
          <w:szCs w:val="24"/>
        </w:rPr>
        <w:t>RECURRENTE</w:t>
      </w:r>
      <w:r w:rsidRPr="008645E3">
        <w:rPr>
          <w:rFonts w:ascii="Palatino Linotype" w:eastAsia="Palatino Linotype" w:hAnsi="Palatino Linotype" w:cs="Palatino Linotype"/>
          <w:sz w:val="24"/>
          <w:szCs w:val="24"/>
        </w:rPr>
        <w:t xml:space="preserve"> en el Recurso de Revisión </w:t>
      </w:r>
      <w:r w:rsidR="00FB4703">
        <w:rPr>
          <w:rFonts w:ascii="Palatino Linotype" w:eastAsia="Palatino Linotype" w:hAnsi="Palatino Linotype" w:cs="Palatino Linotype"/>
          <w:b/>
          <w:sz w:val="24"/>
          <w:szCs w:val="24"/>
        </w:rPr>
        <w:t>01884</w:t>
      </w:r>
      <w:r w:rsidRPr="008645E3">
        <w:rPr>
          <w:rFonts w:ascii="Palatino Linotype" w:eastAsia="Palatino Linotype" w:hAnsi="Palatino Linotype" w:cs="Palatino Linotype"/>
          <w:b/>
          <w:sz w:val="24"/>
          <w:szCs w:val="24"/>
        </w:rPr>
        <w:t>/INFOEM/IP/RR/202</w:t>
      </w:r>
      <w:r w:rsidR="00A45BB6">
        <w:rPr>
          <w:rFonts w:ascii="Palatino Linotype" w:eastAsia="Palatino Linotype" w:hAnsi="Palatino Linotype" w:cs="Palatino Linotype"/>
          <w:b/>
          <w:sz w:val="24"/>
          <w:szCs w:val="24"/>
        </w:rPr>
        <w:t>3</w:t>
      </w:r>
      <w:r w:rsidRPr="008645E3">
        <w:rPr>
          <w:rFonts w:ascii="Palatino Linotype" w:eastAsia="Palatino Linotype" w:hAnsi="Palatino Linotype" w:cs="Palatino Linotype"/>
          <w:sz w:val="24"/>
          <w:szCs w:val="24"/>
        </w:rPr>
        <w:t xml:space="preserve">, por lo que, en términos del </w:t>
      </w:r>
      <w:r w:rsidRPr="008645E3">
        <w:rPr>
          <w:rFonts w:ascii="Palatino Linotype" w:eastAsia="Palatino Linotype" w:hAnsi="Palatino Linotype" w:cs="Palatino Linotype"/>
          <w:b/>
          <w:sz w:val="24"/>
          <w:szCs w:val="24"/>
        </w:rPr>
        <w:t>Considerando Cuarto</w:t>
      </w:r>
      <w:r w:rsidRPr="008645E3">
        <w:rPr>
          <w:rFonts w:ascii="Palatino Linotype" w:eastAsia="Palatino Linotype" w:hAnsi="Palatino Linotype" w:cs="Palatino Linotype"/>
          <w:sz w:val="24"/>
          <w:szCs w:val="24"/>
        </w:rPr>
        <w:t xml:space="preserve"> de esta resolución, se </w:t>
      </w:r>
      <w:r w:rsidR="0002412A">
        <w:rPr>
          <w:rFonts w:ascii="Palatino Linotype" w:eastAsia="Palatino Linotype" w:hAnsi="Palatino Linotype" w:cs="Palatino Linotype"/>
          <w:b/>
          <w:sz w:val="24"/>
          <w:szCs w:val="24"/>
        </w:rPr>
        <w:t>REVOCA</w:t>
      </w:r>
      <w:r w:rsidRPr="008645E3">
        <w:rPr>
          <w:rFonts w:ascii="Palatino Linotype" w:eastAsia="Palatino Linotype" w:hAnsi="Palatino Linotype" w:cs="Palatino Linotype"/>
          <w:sz w:val="24"/>
          <w:szCs w:val="24"/>
        </w:rPr>
        <w:t xml:space="preserve"> la respuesta emitida por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w:t>
      </w:r>
    </w:p>
    <w:p w14:paraId="291BFCC6"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74E8D6F7" w14:textId="5263AFF0" w:rsidR="00A45BB6" w:rsidRDefault="00646B44" w:rsidP="00A45BB6">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Segundo</w:t>
      </w:r>
      <w:r w:rsidRPr="008645E3">
        <w:rPr>
          <w:rFonts w:ascii="Palatino Linotype" w:eastAsia="Palatino Linotype" w:hAnsi="Palatino Linotype" w:cs="Palatino Linotype"/>
          <w:sz w:val="24"/>
          <w:szCs w:val="24"/>
        </w:rPr>
        <w:t xml:space="preserve">. Se </w:t>
      </w:r>
      <w:r w:rsidRPr="008645E3">
        <w:rPr>
          <w:rFonts w:ascii="Palatino Linotype" w:eastAsia="Palatino Linotype" w:hAnsi="Palatino Linotype" w:cs="Palatino Linotype"/>
          <w:b/>
          <w:sz w:val="24"/>
          <w:szCs w:val="24"/>
        </w:rPr>
        <w:t>ORDENA</w:t>
      </w:r>
      <w:r w:rsidRPr="008645E3">
        <w:rPr>
          <w:rFonts w:ascii="Palatino Linotype" w:eastAsia="Palatino Linotype" w:hAnsi="Palatino Linotype" w:cs="Palatino Linotype"/>
          <w:sz w:val="24"/>
          <w:szCs w:val="24"/>
        </w:rPr>
        <w:t xml:space="preserve"> al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a que, en términos del Considerando Cuarto y Quinto, haga entrega</w:t>
      </w:r>
      <w:r w:rsidR="00B16261">
        <w:rPr>
          <w:rFonts w:ascii="Palatino Linotype" w:eastAsia="Palatino Linotype" w:hAnsi="Palatino Linotype" w:cs="Palatino Linotype"/>
          <w:sz w:val="24"/>
          <w:szCs w:val="24"/>
        </w:rPr>
        <w:t xml:space="preserve"> previa búsqueda exhaustiva y razonable,</w:t>
      </w:r>
      <w:r w:rsidRPr="008645E3">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bookmarkStart w:id="1" w:name="_heading=h.1fob9te" w:colFirst="0" w:colLast="0"/>
      <w:bookmarkEnd w:id="1"/>
    </w:p>
    <w:p w14:paraId="545A28AE" w14:textId="77777777" w:rsidR="00A45BB6" w:rsidRDefault="00A45BB6" w:rsidP="00A45BB6">
      <w:pPr>
        <w:spacing w:after="0" w:line="360" w:lineRule="auto"/>
        <w:ind w:right="49"/>
        <w:jc w:val="both"/>
        <w:rPr>
          <w:rFonts w:ascii="Palatino Linotype" w:eastAsia="Palatino Linotype" w:hAnsi="Palatino Linotype" w:cs="Palatino Linotype"/>
          <w:sz w:val="24"/>
          <w:szCs w:val="24"/>
        </w:rPr>
      </w:pPr>
    </w:p>
    <w:p w14:paraId="2E875C9C" w14:textId="77777777" w:rsidR="00FB4703" w:rsidRPr="00FB4703" w:rsidRDefault="00FB4703" w:rsidP="00FB4703">
      <w:pPr>
        <w:pStyle w:val="Prrafodelista"/>
        <w:numPr>
          <w:ilvl w:val="0"/>
          <w:numId w:val="32"/>
        </w:numPr>
        <w:tabs>
          <w:tab w:val="left" w:pos="851"/>
          <w:tab w:val="left" w:pos="993"/>
        </w:tabs>
        <w:spacing w:after="0" w:line="360" w:lineRule="auto"/>
        <w:ind w:left="567" w:right="560" w:firstLine="0"/>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Documento donde conste el n</w:t>
      </w:r>
      <w:r w:rsidRPr="00FB4703">
        <w:rPr>
          <w:rFonts w:ascii="Palatino Linotype" w:eastAsia="Palatino Linotype" w:hAnsi="Palatino Linotype" w:cs="Palatino Linotype"/>
          <w:b/>
        </w:rPr>
        <w:t>ombre y adscripción de los servidores públicos que cobraron por cheque en la primera y</w:t>
      </w:r>
      <w:r>
        <w:rPr>
          <w:rFonts w:ascii="Palatino Linotype" w:eastAsia="Palatino Linotype" w:hAnsi="Palatino Linotype" w:cs="Palatino Linotype"/>
          <w:b/>
        </w:rPr>
        <w:t xml:space="preserve"> segunda quincena de diciembre de dos mil veintidós y;</w:t>
      </w:r>
    </w:p>
    <w:p w14:paraId="19F897E7" w14:textId="77777777" w:rsidR="00FB4703" w:rsidRDefault="00FB4703" w:rsidP="00FB4703">
      <w:pPr>
        <w:pStyle w:val="Prrafodelista"/>
        <w:numPr>
          <w:ilvl w:val="0"/>
          <w:numId w:val="32"/>
        </w:numPr>
        <w:tabs>
          <w:tab w:val="left" w:pos="851"/>
          <w:tab w:val="left" w:pos="993"/>
        </w:tabs>
        <w:spacing w:after="0" w:line="360" w:lineRule="auto"/>
        <w:ind w:left="567" w:right="560" w:firstLine="0"/>
        <w:jc w:val="both"/>
        <w:rPr>
          <w:rFonts w:ascii="Palatino Linotype" w:eastAsia="Palatino Linotype" w:hAnsi="Palatino Linotype" w:cs="Palatino Linotype"/>
          <w:b/>
        </w:rPr>
      </w:pPr>
      <w:r>
        <w:rPr>
          <w:rFonts w:ascii="Palatino Linotype" w:eastAsia="Palatino Linotype" w:hAnsi="Palatino Linotype" w:cs="Palatino Linotype"/>
          <w:b/>
        </w:rPr>
        <w:t>Documento donde conste el n</w:t>
      </w:r>
      <w:r w:rsidRPr="00FB4703">
        <w:rPr>
          <w:rFonts w:ascii="Palatino Linotype" w:eastAsia="Palatino Linotype" w:hAnsi="Palatino Linotype" w:cs="Palatino Linotype"/>
          <w:b/>
        </w:rPr>
        <w:t>ombre de la persona encargada de revisar y verificar e</w:t>
      </w:r>
      <w:r>
        <w:rPr>
          <w:rFonts w:ascii="Palatino Linotype" w:eastAsia="Palatino Linotype" w:hAnsi="Palatino Linotype" w:cs="Palatino Linotype"/>
          <w:b/>
        </w:rPr>
        <w:t xml:space="preserve">l pago adecuado de los cheques expedidos </w:t>
      </w:r>
      <w:r w:rsidRPr="00FB4703">
        <w:rPr>
          <w:rFonts w:ascii="Palatino Linotype" w:eastAsia="Palatino Linotype" w:hAnsi="Palatino Linotype" w:cs="Palatino Linotype"/>
          <w:b/>
        </w:rPr>
        <w:t>en la primera y</w:t>
      </w:r>
      <w:r>
        <w:rPr>
          <w:rFonts w:ascii="Palatino Linotype" w:eastAsia="Palatino Linotype" w:hAnsi="Palatino Linotype" w:cs="Palatino Linotype"/>
          <w:b/>
        </w:rPr>
        <w:t xml:space="preserve"> segunda quincena de diciembre de dos mil veintidós. </w:t>
      </w:r>
    </w:p>
    <w:p w14:paraId="70E83A7A" w14:textId="77777777" w:rsidR="00FB4703" w:rsidRPr="00FB4703" w:rsidRDefault="00FB4703" w:rsidP="00FB4703">
      <w:pPr>
        <w:pStyle w:val="Prrafodelista"/>
        <w:spacing w:after="0" w:line="360" w:lineRule="auto"/>
        <w:ind w:left="780" w:right="560"/>
        <w:jc w:val="both"/>
        <w:rPr>
          <w:rFonts w:ascii="Palatino Linotype" w:eastAsia="Palatino Linotype" w:hAnsi="Palatino Linotype" w:cs="Palatino Linotype"/>
          <w:b/>
        </w:rPr>
      </w:pPr>
    </w:p>
    <w:p w14:paraId="1818580E" w14:textId="77777777" w:rsidR="00FB4703" w:rsidRDefault="00FB4703" w:rsidP="006F1AB7">
      <w:pPr>
        <w:spacing w:after="0" w:line="276" w:lineRule="auto"/>
        <w:ind w:left="567" w:right="615"/>
        <w:jc w:val="both"/>
        <w:rPr>
          <w:rFonts w:ascii="Palatino Linotype" w:eastAsia="Palatino Linotype" w:hAnsi="Palatino Linotype" w:cs="Palatino Linotype"/>
          <w:i/>
        </w:rPr>
      </w:pPr>
      <w:r>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1973DC5" w14:textId="77777777" w:rsidR="006F1AB7" w:rsidRPr="006F1AB7" w:rsidRDefault="006F1AB7" w:rsidP="006F1AB7">
      <w:pPr>
        <w:spacing w:after="0" w:line="360" w:lineRule="auto"/>
        <w:ind w:left="567" w:right="615"/>
        <w:jc w:val="both"/>
        <w:rPr>
          <w:rFonts w:ascii="Palatino Linotype" w:eastAsia="Palatino Linotype" w:hAnsi="Palatino Linotype" w:cs="Palatino Linotype"/>
          <w:i/>
          <w:sz w:val="24"/>
        </w:rPr>
      </w:pPr>
    </w:p>
    <w:p w14:paraId="3EF3346A" w14:textId="7780BFB0" w:rsidR="00F8557D" w:rsidRDefault="006F1AB7" w:rsidP="006F1AB7">
      <w:pPr>
        <w:pBdr>
          <w:top w:val="nil"/>
          <w:left w:val="nil"/>
          <w:bottom w:val="nil"/>
          <w:right w:val="nil"/>
          <w:between w:val="nil"/>
        </w:pBdr>
        <w:tabs>
          <w:tab w:val="left" w:pos="567"/>
          <w:tab w:val="left" w:pos="993"/>
        </w:tabs>
        <w:spacing w:after="0" w:line="276" w:lineRule="auto"/>
        <w:ind w:left="567" w:right="616"/>
        <w:jc w:val="both"/>
        <w:rPr>
          <w:rFonts w:ascii="Palatino Linotype" w:eastAsia="Palatino Linotype" w:hAnsi="Palatino Linotype" w:cs="Palatino Linotype"/>
          <w:b/>
          <w:i/>
          <w:color w:val="FF0000"/>
        </w:rPr>
      </w:pPr>
      <w:r w:rsidRPr="0047032A">
        <w:rPr>
          <w:rFonts w:ascii="Palatino Linotype" w:eastAsia="Palatino Linotype" w:hAnsi="Palatino Linotype" w:cs="Palatino Linotype"/>
          <w:i/>
        </w:rPr>
        <w:t>Para el caso de que la información que se ordena entrega</w:t>
      </w:r>
      <w:r>
        <w:rPr>
          <w:rFonts w:ascii="Palatino Linotype" w:eastAsia="Palatino Linotype" w:hAnsi="Palatino Linotype" w:cs="Palatino Linotype"/>
          <w:i/>
        </w:rPr>
        <w:t>r no</w:t>
      </w:r>
      <w:r w:rsidRPr="0047032A">
        <w:rPr>
          <w:rFonts w:ascii="Palatino Linotype" w:eastAsia="Palatino Linotype" w:hAnsi="Palatino Linotype" w:cs="Palatino Linotype"/>
          <w:i/>
        </w:rPr>
        <w:t xml:space="preserve"> obre en los archivos del Sujeto Obligado, por no haberse generado,</w:t>
      </w:r>
      <w:r>
        <w:rPr>
          <w:rFonts w:ascii="Palatino Linotype" w:eastAsia="Palatino Linotype" w:hAnsi="Palatino Linotype" w:cs="Palatino Linotype"/>
          <w:i/>
        </w:rPr>
        <w:t xml:space="preserve"> este</w:t>
      </w:r>
      <w:r w:rsidRPr="0047032A">
        <w:rPr>
          <w:rFonts w:ascii="Palatino Linotype" w:eastAsia="Palatino Linotype" w:hAnsi="Palatino Linotype" w:cs="Palatino Linotype"/>
          <w:i/>
        </w:rPr>
        <w:t xml:space="preserve"> deberá hacerlo del conocimiento del Particular en términos del artículo 19, párrafo segundo, de la Ley de Transparencia y Acceso a la Información Pública del Estado de México y Municipios, para tenerse por colmado dicho requerimiento</w:t>
      </w:r>
      <w:r>
        <w:rPr>
          <w:rFonts w:ascii="Palatino Linotype" w:eastAsia="Palatino Linotype" w:hAnsi="Palatino Linotype" w:cs="Palatino Linotype"/>
          <w:i/>
        </w:rPr>
        <w:t xml:space="preserve">. </w:t>
      </w:r>
    </w:p>
    <w:p w14:paraId="468A4B01" w14:textId="77777777" w:rsidR="006F1AB7" w:rsidRPr="006F1AB7" w:rsidRDefault="006F1AB7" w:rsidP="006F1AB7">
      <w:pPr>
        <w:pBdr>
          <w:top w:val="nil"/>
          <w:left w:val="nil"/>
          <w:bottom w:val="nil"/>
          <w:right w:val="nil"/>
          <w:between w:val="nil"/>
        </w:pBdr>
        <w:tabs>
          <w:tab w:val="left" w:pos="567"/>
          <w:tab w:val="left" w:pos="993"/>
        </w:tabs>
        <w:spacing w:line="276" w:lineRule="auto"/>
        <w:ind w:right="616"/>
        <w:jc w:val="both"/>
        <w:rPr>
          <w:rFonts w:ascii="Palatino Linotype" w:eastAsia="Palatino Linotype" w:hAnsi="Palatino Linotype" w:cs="Palatino Linotype"/>
          <w:b/>
          <w:i/>
          <w:color w:val="FF0000"/>
        </w:rPr>
      </w:pPr>
    </w:p>
    <w:p w14:paraId="7CC1FF69" w14:textId="288D365A" w:rsidR="00F8557D" w:rsidRDefault="009E75B5" w:rsidP="006F1AB7">
      <w:pPr>
        <w:spacing w:after="0" w:line="360" w:lineRule="auto"/>
        <w:ind w:right="49"/>
        <w:jc w:val="both"/>
        <w:rPr>
          <w:rFonts w:ascii="Palatino Linotype" w:eastAsia="Palatino Linotype" w:hAnsi="Palatino Linotype" w:cs="Palatino Linotype"/>
          <w:sz w:val="24"/>
        </w:rPr>
      </w:pPr>
      <w:r w:rsidRPr="009E75B5">
        <w:rPr>
          <w:rFonts w:ascii="Palatino Linotype" w:eastAsia="Palatino Linotype" w:hAnsi="Palatino Linotype" w:cs="Palatino Linotype"/>
          <w:b/>
          <w:sz w:val="24"/>
        </w:rPr>
        <w:t>Tercero.</w:t>
      </w:r>
      <w:r w:rsidRPr="009E75B5">
        <w:rPr>
          <w:rFonts w:ascii="Palatino Linotype" w:eastAsia="Palatino Linotype" w:hAnsi="Palatino Linotype" w:cs="Palatino Linotype"/>
          <w:sz w:val="24"/>
        </w:rPr>
        <w:t xml:space="preserve"> </w:t>
      </w:r>
      <w:r w:rsidRPr="009E75B5">
        <w:rPr>
          <w:rFonts w:ascii="Palatino Linotype" w:eastAsia="Palatino Linotype" w:hAnsi="Palatino Linotype" w:cs="Palatino Linotype"/>
          <w:b/>
          <w:sz w:val="24"/>
        </w:rPr>
        <w:t xml:space="preserve">Notifíquese </w:t>
      </w:r>
      <w:r w:rsidRPr="009E75B5">
        <w:rPr>
          <w:rFonts w:ascii="Palatino Linotype" w:eastAsia="Palatino Linotype" w:hAnsi="Palatino Linotype" w:cs="Palatino Linotype"/>
          <w:sz w:val="24"/>
        </w:rPr>
        <w:t>la presente resolución al T</w:t>
      </w:r>
      <w:r w:rsidRPr="009E75B5">
        <w:rPr>
          <w:rFonts w:ascii="Palatino Linotype" w:eastAsia="Palatino Linotype" w:hAnsi="Palatino Linotype" w:cs="Palatino Linotype"/>
          <w:b/>
          <w:sz w:val="24"/>
        </w:rPr>
        <w:t xml:space="preserve">itular de la Unidad de Transparencia </w:t>
      </w:r>
      <w:r w:rsidRPr="009E75B5">
        <w:rPr>
          <w:rFonts w:ascii="Palatino Linotype" w:eastAsia="Palatino Linotype" w:hAnsi="Palatino Linotype" w:cs="Palatino Linotype"/>
          <w:sz w:val="24"/>
        </w:rPr>
        <w:t xml:space="preserve">del </w:t>
      </w:r>
      <w:r w:rsidRPr="009E75B5">
        <w:rPr>
          <w:rFonts w:ascii="Palatino Linotype" w:eastAsia="Palatino Linotype" w:hAnsi="Palatino Linotype" w:cs="Palatino Linotype"/>
          <w:b/>
          <w:sz w:val="24"/>
        </w:rPr>
        <w:t>SUJETO OBLIGADO</w:t>
      </w:r>
      <w:r w:rsidRPr="009E75B5">
        <w:rPr>
          <w:rFonts w:ascii="Palatino Linotype" w:eastAsia="Palatino Linotype" w:hAnsi="Palatino Linotype" w:cs="Palatino Linotype"/>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9E75B5">
        <w:rPr>
          <w:rFonts w:ascii="Palatino Linotype" w:eastAsia="Palatino Linotype" w:hAnsi="Palatino Linotype" w:cs="Palatino Linotype"/>
          <w:sz w:val="24"/>
        </w:rPr>
        <w:lastRenderedPageBreak/>
        <w:t>fracción III; 214, 215 y 216de la Ley  de Transparencia y Acceso a la Información Pública del Estado de México y Municipios.</w:t>
      </w:r>
    </w:p>
    <w:p w14:paraId="69C6EA7B" w14:textId="77777777" w:rsidR="006F1AB7" w:rsidRPr="006F1AB7" w:rsidRDefault="006F1AB7" w:rsidP="006F1AB7">
      <w:pPr>
        <w:spacing w:after="0" w:line="360" w:lineRule="auto"/>
        <w:ind w:right="49"/>
        <w:jc w:val="both"/>
        <w:rPr>
          <w:rFonts w:ascii="Palatino Linotype" w:eastAsia="Palatino Linotype" w:hAnsi="Palatino Linotype" w:cs="Palatino Linotype"/>
          <w:sz w:val="24"/>
        </w:rPr>
      </w:pPr>
    </w:p>
    <w:p w14:paraId="3970498B" w14:textId="5B8A5E5A"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Cuarto.</w:t>
      </w:r>
      <w:r w:rsidRPr="008645E3">
        <w:rPr>
          <w:rFonts w:ascii="Palatino Linotype" w:eastAsia="Palatino Linotype" w:hAnsi="Palatino Linotype" w:cs="Palatino Linotype"/>
          <w:sz w:val="24"/>
          <w:szCs w:val="24"/>
        </w:rPr>
        <w:t xml:space="preserve"> </w:t>
      </w:r>
      <w:r w:rsidRPr="008645E3">
        <w:rPr>
          <w:rFonts w:ascii="Palatino Linotype" w:eastAsia="Palatino Linotype" w:hAnsi="Palatino Linotype" w:cs="Palatino Linotype"/>
          <w:b/>
          <w:sz w:val="24"/>
          <w:szCs w:val="24"/>
        </w:rPr>
        <w:t>Notifíquese vía SAIMEX</w:t>
      </w:r>
      <w:r w:rsidRPr="008645E3">
        <w:rPr>
          <w:rFonts w:ascii="Palatino Linotype" w:eastAsia="Palatino Linotype" w:hAnsi="Palatino Linotype" w:cs="Palatino Linotype"/>
          <w:sz w:val="24"/>
          <w:szCs w:val="24"/>
        </w:rPr>
        <w:t xml:space="preserve"> a la parte </w:t>
      </w:r>
      <w:r w:rsidRPr="008645E3">
        <w:rPr>
          <w:rFonts w:ascii="Palatino Linotype" w:eastAsia="Palatino Linotype" w:hAnsi="Palatino Linotype" w:cs="Palatino Linotype"/>
          <w:b/>
          <w:sz w:val="24"/>
          <w:szCs w:val="24"/>
        </w:rPr>
        <w:t xml:space="preserve">RECURRENTE </w:t>
      </w:r>
      <w:r w:rsidRPr="008645E3">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Pr>
          <w:rFonts w:ascii="Palatino Linotype" w:eastAsia="Palatino Linotype" w:hAnsi="Palatino Linotype" w:cs="Palatino Linotype"/>
          <w:sz w:val="24"/>
          <w:szCs w:val="24"/>
        </w:rPr>
        <w:t xml:space="preserve">. </w:t>
      </w:r>
    </w:p>
    <w:p w14:paraId="23C230A4"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8645E3" w:rsidRDefault="00646B44">
      <w:pPr>
        <w:spacing w:after="0" w:line="360" w:lineRule="auto"/>
        <w:ind w:right="49"/>
        <w:jc w:val="both"/>
        <w:rPr>
          <w:rFonts w:ascii="Palatino Linotype" w:eastAsia="Palatino Linotype" w:hAnsi="Palatino Linotype" w:cs="Palatino Linotype"/>
          <w:sz w:val="24"/>
          <w:szCs w:val="24"/>
        </w:rPr>
      </w:pPr>
      <w:r w:rsidRPr="008645E3">
        <w:rPr>
          <w:rFonts w:ascii="Palatino Linotype" w:eastAsia="Palatino Linotype" w:hAnsi="Palatino Linotype" w:cs="Palatino Linotype"/>
          <w:b/>
          <w:sz w:val="24"/>
          <w:szCs w:val="24"/>
        </w:rPr>
        <w:t>Quinto.</w:t>
      </w:r>
      <w:r w:rsidRPr="008645E3">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8645E3">
        <w:rPr>
          <w:rFonts w:ascii="Palatino Linotype" w:eastAsia="Palatino Linotype" w:hAnsi="Palatino Linotype" w:cs="Palatino Linotype"/>
          <w:b/>
          <w:sz w:val="24"/>
          <w:szCs w:val="24"/>
        </w:rPr>
        <w:t>SUJETO OBLIGADO</w:t>
      </w:r>
      <w:r w:rsidRPr="008645E3">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8645E3" w:rsidRDefault="00F8557D">
      <w:pPr>
        <w:spacing w:after="0" w:line="360" w:lineRule="auto"/>
        <w:ind w:right="49"/>
        <w:jc w:val="both"/>
        <w:rPr>
          <w:rFonts w:ascii="Palatino Linotype" w:eastAsia="Palatino Linotype" w:hAnsi="Palatino Linotype" w:cs="Palatino Linotype"/>
          <w:sz w:val="24"/>
          <w:szCs w:val="24"/>
        </w:rPr>
      </w:pPr>
    </w:p>
    <w:p w14:paraId="5B8F3649" w14:textId="0F1E65CD" w:rsidR="00F8557D" w:rsidRDefault="00646B44">
      <w:pPr>
        <w:spacing w:after="0" w:line="360" w:lineRule="auto"/>
        <w:ind w:right="49"/>
        <w:jc w:val="both"/>
        <w:rPr>
          <w:rFonts w:ascii="Palatino Linotype" w:eastAsia="Palatino Linotype" w:hAnsi="Palatino Linotype" w:cs="Palatino Linotype"/>
          <w:sz w:val="24"/>
          <w:szCs w:val="24"/>
        </w:rPr>
      </w:pPr>
      <w:r w:rsidRPr="0063458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17A6A">
        <w:rPr>
          <w:rFonts w:ascii="Palatino Linotype" w:eastAsia="Palatino Linotype" w:hAnsi="Palatino Linotype" w:cs="Palatino Linotype"/>
          <w:sz w:val="24"/>
          <w:szCs w:val="24"/>
        </w:rPr>
        <w:t xml:space="preserve"> </w:t>
      </w:r>
      <w:r w:rsidR="009E75B5">
        <w:rPr>
          <w:rFonts w:ascii="Palatino Linotype" w:eastAsia="Palatino Linotype" w:hAnsi="Palatino Linotype" w:cs="Palatino Linotype"/>
          <w:sz w:val="24"/>
          <w:szCs w:val="24"/>
        </w:rPr>
        <w:t xml:space="preserve">CUADRAGÉSIMA </w:t>
      </w:r>
      <w:r w:rsidR="00FB4703">
        <w:rPr>
          <w:rFonts w:ascii="Palatino Linotype" w:eastAsia="Palatino Linotype" w:hAnsi="Palatino Linotype" w:cs="Palatino Linotype"/>
          <w:sz w:val="24"/>
          <w:szCs w:val="24"/>
        </w:rPr>
        <w:t>CUARTA</w:t>
      </w:r>
      <w:r w:rsidR="00A45BB6">
        <w:rPr>
          <w:rFonts w:ascii="Palatino Linotype" w:eastAsia="Palatino Linotype" w:hAnsi="Palatino Linotype" w:cs="Palatino Linotype"/>
          <w:sz w:val="24"/>
          <w:szCs w:val="24"/>
        </w:rPr>
        <w:t xml:space="preserve"> </w:t>
      </w:r>
      <w:r w:rsidR="00B16261" w:rsidRPr="00634588">
        <w:rPr>
          <w:rFonts w:ascii="Palatino Linotype" w:eastAsia="Palatino Linotype" w:hAnsi="Palatino Linotype" w:cs="Palatino Linotype"/>
          <w:sz w:val="24"/>
          <w:szCs w:val="24"/>
        </w:rPr>
        <w:t xml:space="preserve">SESIÓN ORDINARIA </w:t>
      </w:r>
      <w:r w:rsidRPr="00634588">
        <w:rPr>
          <w:rFonts w:ascii="Palatino Linotype" w:eastAsia="Palatino Linotype" w:hAnsi="Palatino Linotype" w:cs="Palatino Linotype"/>
          <w:sz w:val="24"/>
          <w:szCs w:val="24"/>
        </w:rPr>
        <w:t xml:space="preserve">CELEBRADA EL </w:t>
      </w:r>
      <w:r w:rsidR="00FB4703">
        <w:rPr>
          <w:rFonts w:ascii="Palatino Linotype" w:eastAsia="Palatino Linotype" w:hAnsi="Palatino Linotype" w:cs="Palatino Linotype"/>
          <w:sz w:val="24"/>
          <w:szCs w:val="24"/>
        </w:rPr>
        <w:t>SEIS DE DICIEMBRE</w:t>
      </w:r>
      <w:r w:rsidR="009E75B5">
        <w:rPr>
          <w:rFonts w:ascii="Palatino Linotype" w:eastAsia="Palatino Linotype" w:hAnsi="Palatino Linotype" w:cs="Palatino Linotype"/>
          <w:sz w:val="24"/>
          <w:szCs w:val="24"/>
        </w:rPr>
        <w:t xml:space="preserve"> </w:t>
      </w:r>
      <w:r w:rsidRPr="00634588">
        <w:rPr>
          <w:rFonts w:ascii="Palatino Linotype" w:eastAsia="Palatino Linotype" w:hAnsi="Palatino Linotype" w:cs="Palatino Linotype"/>
          <w:sz w:val="24"/>
          <w:szCs w:val="24"/>
        </w:rPr>
        <w:t>DE DOS MIL VEINTI</w:t>
      </w:r>
      <w:r w:rsidR="00B16261" w:rsidRPr="00634588">
        <w:rPr>
          <w:rFonts w:ascii="Palatino Linotype" w:eastAsia="Palatino Linotype" w:hAnsi="Palatino Linotype" w:cs="Palatino Linotype"/>
          <w:sz w:val="24"/>
          <w:szCs w:val="24"/>
        </w:rPr>
        <w:t>TRÉS</w:t>
      </w:r>
      <w:r w:rsidRPr="00634588">
        <w:rPr>
          <w:rFonts w:ascii="Palatino Linotype" w:eastAsia="Palatino Linotype" w:hAnsi="Palatino Linotype" w:cs="Palatino Linotype"/>
          <w:sz w:val="24"/>
          <w:szCs w:val="24"/>
        </w:rPr>
        <w:t xml:space="preserve">, ANTE EL SECRETARIO TÉCNICO DEL PLENO ALEXIS TAPIA RAMÍREZ. </w:t>
      </w:r>
    </w:p>
    <w:p w14:paraId="0026736C" w14:textId="16003D34" w:rsidR="00F8557D" w:rsidRDefault="00F8557D">
      <w:pPr>
        <w:spacing w:after="0" w:line="360" w:lineRule="auto"/>
        <w:ind w:right="49"/>
        <w:jc w:val="both"/>
        <w:rPr>
          <w:rFonts w:ascii="Palatino Linotype" w:eastAsia="Palatino Linotype" w:hAnsi="Palatino Linotype" w:cs="Palatino Linotype"/>
          <w:sz w:val="24"/>
          <w:szCs w:val="24"/>
        </w:rPr>
      </w:pPr>
    </w:p>
    <w:p w14:paraId="2238BB13" w14:textId="756D90CE" w:rsidR="00D2661B" w:rsidRDefault="00D2661B">
      <w:pPr>
        <w:spacing w:after="0" w:line="360" w:lineRule="auto"/>
        <w:ind w:right="49"/>
        <w:jc w:val="both"/>
        <w:rPr>
          <w:rFonts w:ascii="Palatino Linotype" w:eastAsia="Palatino Linotype" w:hAnsi="Palatino Linotype" w:cs="Palatino Linotype"/>
          <w:sz w:val="24"/>
          <w:szCs w:val="24"/>
        </w:rPr>
      </w:pPr>
    </w:p>
    <w:p w14:paraId="075924ED" w14:textId="01EA55C5" w:rsidR="00D2661B" w:rsidRDefault="00D2661B">
      <w:pPr>
        <w:spacing w:after="0" w:line="360" w:lineRule="auto"/>
        <w:ind w:right="49"/>
        <w:jc w:val="both"/>
        <w:rPr>
          <w:rFonts w:ascii="Palatino Linotype" w:eastAsia="Palatino Linotype" w:hAnsi="Palatino Linotype" w:cs="Palatino Linotype"/>
          <w:sz w:val="24"/>
          <w:szCs w:val="24"/>
        </w:rPr>
      </w:pPr>
    </w:p>
    <w:p w14:paraId="15E9067D" w14:textId="77777777" w:rsidR="00D2661B" w:rsidRDefault="00D2661B">
      <w:pPr>
        <w:spacing w:after="0" w:line="360" w:lineRule="auto"/>
        <w:ind w:right="49"/>
        <w:jc w:val="both"/>
        <w:rPr>
          <w:rFonts w:ascii="Palatino Linotype" w:eastAsia="Palatino Linotype" w:hAnsi="Palatino Linotype" w:cs="Palatino Linotype"/>
          <w:sz w:val="24"/>
          <w:szCs w:val="24"/>
        </w:rPr>
      </w:pPr>
    </w:p>
    <w:sectPr w:rsidR="00D2661B">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41F7" w14:textId="77777777" w:rsidR="002E26C7" w:rsidRDefault="002E26C7">
      <w:pPr>
        <w:spacing w:after="0" w:line="240" w:lineRule="auto"/>
      </w:pPr>
      <w:r>
        <w:separator/>
      </w:r>
    </w:p>
  </w:endnote>
  <w:endnote w:type="continuationSeparator" w:id="0">
    <w:p w14:paraId="1409E7A2" w14:textId="77777777" w:rsidR="002E26C7" w:rsidRDefault="002E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1C3D" w14:textId="77777777" w:rsidR="000F210B" w:rsidRDefault="000F21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5AB9">
      <w:rPr>
        <w:b/>
        <w:noProof/>
        <w:color w:val="000000"/>
        <w:sz w:val="24"/>
        <w:szCs w:val="24"/>
      </w:rPr>
      <w:t>39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5AB9">
      <w:rPr>
        <w:b/>
        <w:noProof/>
        <w:color w:val="000000"/>
        <w:sz w:val="24"/>
        <w:szCs w:val="24"/>
      </w:rPr>
      <w:t>39</w:t>
    </w:r>
    <w:r>
      <w:rPr>
        <w:b/>
        <w:color w:val="000000"/>
        <w:sz w:val="24"/>
        <w:szCs w:val="24"/>
      </w:rPr>
      <w:fldChar w:fldCharType="end"/>
    </w:r>
  </w:p>
  <w:p w14:paraId="693219AA" w14:textId="77777777" w:rsidR="000F210B" w:rsidRDefault="000F210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6C6E" w14:textId="77777777" w:rsidR="000F210B" w:rsidRDefault="000F210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5AB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5AB9">
      <w:rPr>
        <w:b/>
        <w:noProof/>
        <w:color w:val="000000"/>
        <w:sz w:val="24"/>
        <w:szCs w:val="24"/>
      </w:rPr>
      <w:t>39</w:t>
    </w:r>
    <w:r>
      <w:rPr>
        <w:b/>
        <w:color w:val="000000"/>
        <w:sz w:val="24"/>
        <w:szCs w:val="24"/>
      </w:rPr>
      <w:fldChar w:fldCharType="end"/>
    </w:r>
  </w:p>
  <w:p w14:paraId="54B4B9F6" w14:textId="77777777" w:rsidR="000F210B" w:rsidRDefault="000F21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7992" w14:textId="77777777" w:rsidR="002E26C7" w:rsidRDefault="002E26C7">
      <w:pPr>
        <w:spacing w:after="0" w:line="240" w:lineRule="auto"/>
      </w:pPr>
      <w:r>
        <w:separator/>
      </w:r>
    </w:p>
  </w:footnote>
  <w:footnote w:type="continuationSeparator" w:id="0">
    <w:p w14:paraId="0ACB3FC3" w14:textId="77777777" w:rsidR="002E26C7" w:rsidRDefault="002E2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E2F0" w14:textId="77777777" w:rsidR="000F210B" w:rsidRDefault="000F210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1074D7E4">
          <wp:simplePos x="0" y="0"/>
          <wp:positionH relativeFrom="column">
            <wp:posOffset>-669925</wp:posOffset>
          </wp:positionH>
          <wp:positionV relativeFrom="paragraph">
            <wp:posOffset>-402590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0F210B" w14:paraId="3D10BF48" w14:textId="77777777">
      <w:tc>
        <w:tcPr>
          <w:tcW w:w="2551" w:type="dxa"/>
          <w:vAlign w:val="center"/>
        </w:tcPr>
        <w:p w14:paraId="3489D479"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7EE3527C" w:rsidR="000F210B" w:rsidRDefault="000F210B"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01884/INFOEM/IP/RR/2023</w:t>
          </w:r>
        </w:p>
      </w:tc>
    </w:tr>
    <w:tr w:rsidR="000F210B" w14:paraId="537DBD70" w14:textId="77777777" w:rsidTr="00F22AE1">
      <w:trPr>
        <w:trHeight w:val="217"/>
      </w:trPr>
      <w:tc>
        <w:tcPr>
          <w:tcW w:w="2551" w:type="dxa"/>
          <w:vAlign w:val="center"/>
        </w:tcPr>
        <w:p w14:paraId="43BFC658" w14:textId="409B13F3"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18593ADB" w:rsidR="000F210B" w:rsidRDefault="000F210B"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Seguridad</w:t>
          </w:r>
        </w:p>
      </w:tc>
    </w:tr>
    <w:tr w:rsidR="000F210B" w14:paraId="7D1FD3FE" w14:textId="77777777">
      <w:tc>
        <w:tcPr>
          <w:tcW w:w="2551" w:type="dxa"/>
          <w:vAlign w:val="center"/>
        </w:tcPr>
        <w:p w14:paraId="19D94C21"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0F210B" w:rsidRDefault="000F210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AB5" w14:textId="01B23D62" w:rsidR="000F210B" w:rsidRDefault="000F210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2E0EB754">
          <wp:simplePos x="0" y="0"/>
          <wp:positionH relativeFrom="column">
            <wp:posOffset>-725805</wp:posOffset>
          </wp:positionH>
          <wp:positionV relativeFrom="paragraph">
            <wp:posOffset>-315595</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0F210B" w14:paraId="7C8FDD66" w14:textId="77777777" w:rsidTr="00F22AE1">
      <w:tc>
        <w:tcPr>
          <w:tcW w:w="2551" w:type="dxa"/>
          <w:vAlign w:val="center"/>
        </w:tcPr>
        <w:p w14:paraId="63FBC165"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32B0674B"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01884/INFOEM/IP/RR/2023</w:t>
          </w:r>
        </w:p>
      </w:tc>
    </w:tr>
    <w:tr w:rsidR="000F210B" w14:paraId="44EE5E5E" w14:textId="77777777" w:rsidTr="00F22AE1">
      <w:tc>
        <w:tcPr>
          <w:tcW w:w="2551" w:type="dxa"/>
          <w:vAlign w:val="center"/>
        </w:tcPr>
        <w:p w14:paraId="362D8093"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CB1F294"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0F210B" w14:paraId="62AB0F25" w14:textId="77777777" w:rsidTr="00F22AE1">
      <w:trPr>
        <w:trHeight w:val="152"/>
      </w:trPr>
      <w:tc>
        <w:tcPr>
          <w:tcW w:w="2551" w:type="dxa"/>
          <w:vAlign w:val="center"/>
        </w:tcPr>
        <w:p w14:paraId="31A709B4" w14:textId="711AD27F" w:rsidR="000F210B" w:rsidRDefault="000F210B"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2BFD8D" w14:textId="5BE16634" w:rsidR="000F210B" w:rsidRDefault="000F210B"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Seguridad</w:t>
          </w:r>
        </w:p>
      </w:tc>
    </w:tr>
    <w:tr w:rsidR="000F210B" w14:paraId="43D52849" w14:textId="77777777" w:rsidTr="00F22AE1">
      <w:tc>
        <w:tcPr>
          <w:tcW w:w="2551" w:type="dxa"/>
          <w:vAlign w:val="center"/>
        </w:tcPr>
        <w:p w14:paraId="5770E145"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0F210B" w:rsidRDefault="000F210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0F210B" w:rsidRDefault="000F210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AD3049"/>
    <w:multiLevelType w:val="hybridMultilevel"/>
    <w:tmpl w:val="5A141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0420E9F"/>
    <w:multiLevelType w:val="hybridMultilevel"/>
    <w:tmpl w:val="237EF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100032"/>
    <w:multiLevelType w:val="hybridMultilevel"/>
    <w:tmpl w:val="3B187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6D6501"/>
    <w:multiLevelType w:val="hybridMultilevel"/>
    <w:tmpl w:val="467C8F3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D650712"/>
    <w:multiLevelType w:val="hybridMultilevel"/>
    <w:tmpl w:val="557C0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
  </w:num>
  <w:num w:numId="4">
    <w:abstractNumId w:val="28"/>
  </w:num>
  <w:num w:numId="5">
    <w:abstractNumId w:val="12"/>
  </w:num>
  <w:num w:numId="6">
    <w:abstractNumId w:val="23"/>
  </w:num>
  <w:num w:numId="7">
    <w:abstractNumId w:val="16"/>
  </w:num>
  <w:num w:numId="8">
    <w:abstractNumId w:val="19"/>
  </w:num>
  <w:num w:numId="9">
    <w:abstractNumId w:val="22"/>
  </w:num>
  <w:num w:numId="10">
    <w:abstractNumId w:val="9"/>
  </w:num>
  <w:num w:numId="11">
    <w:abstractNumId w:val="31"/>
  </w:num>
  <w:num w:numId="12">
    <w:abstractNumId w:val="20"/>
  </w:num>
  <w:num w:numId="13">
    <w:abstractNumId w:val="5"/>
  </w:num>
  <w:num w:numId="14">
    <w:abstractNumId w:val="13"/>
  </w:num>
  <w:num w:numId="15">
    <w:abstractNumId w:val="7"/>
  </w:num>
  <w:num w:numId="16">
    <w:abstractNumId w:val="29"/>
  </w:num>
  <w:num w:numId="17">
    <w:abstractNumId w:val="21"/>
  </w:num>
  <w:num w:numId="18">
    <w:abstractNumId w:val="10"/>
  </w:num>
  <w:num w:numId="19">
    <w:abstractNumId w:val="15"/>
  </w:num>
  <w:num w:numId="20">
    <w:abstractNumId w:val="24"/>
  </w:num>
  <w:num w:numId="21">
    <w:abstractNumId w:val="14"/>
  </w:num>
  <w:num w:numId="22">
    <w:abstractNumId w:val="18"/>
  </w:num>
  <w:num w:numId="23">
    <w:abstractNumId w:val="26"/>
  </w:num>
  <w:num w:numId="24">
    <w:abstractNumId w:val="1"/>
  </w:num>
  <w:num w:numId="25">
    <w:abstractNumId w:val="0"/>
  </w:num>
  <w:num w:numId="26">
    <w:abstractNumId w:val="8"/>
  </w:num>
  <w:num w:numId="27">
    <w:abstractNumId w:val="6"/>
  </w:num>
  <w:num w:numId="28">
    <w:abstractNumId w:val="30"/>
  </w:num>
  <w:num w:numId="29">
    <w:abstractNumId w:val="4"/>
  </w:num>
  <w:num w:numId="30">
    <w:abstractNumId w:val="11"/>
  </w:num>
  <w:num w:numId="31">
    <w:abstractNumId w:val="1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7D"/>
    <w:rsid w:val="00004C64"/>
    <w:rsid w:val="00010B9B"/>
    <w:rsid w:val="0001679E"/>
    <w:rsid w:val="0002412A"/>
    <w:rsid w:val="00030649"/>
    <w:rsid w:val="0003629B"/>
    <w:rsid w:val="000F210B"/>
    <w:rsid w:val="000F2B24"/>
    <w:rsid w:val="00104192"/>
    <w:rsid w:val="001217EF"/>
    <w:rsid w:val="00141C9C"/>
    <w:rsid w:val="00144A39"/>
    <w:rsid w:val="001B0960"/>
    <w:rsid w:val="001C4643"/>
    <w:rsid w:val="001D6AE2"/>
    <w:rsid w:val="001E6843"/>
    <w:rsid w:val="00200D2C"/>
    <w:rsid w:val="00203460"/>
    <w:rsid w:val="0022693C"/>
    <w:rsid w:val="00241DE1"/>
    <w:rsid w:val="00261385"/>
    <w:rsid w:val="00276C2F"/>
    <w:rsid w:val="002926F4"/>
    <w:rsid w:val="002A4A92"/>
    <w:rsid w:val="002C103C"/>
    <w:rsid w:val="002D6A54"/>
    <w:rsid w:val="002E22B0"/>
    <w:rsid w:val="002E26C7"/>
    <w:rsid w:val="002F3C2D"/>
    <w:rsid w:val="00322186"/>
    <w:rsid w:val="0032615A"/>
    <w:rsid w:val="003355E2"/>
    <w:rsid w:val="00346663"/>
    <w:rsid w:val="003679A3"/>
    <w:rsid w:val="003A0D42"/>
    <w:rsid w:val="003B3C75"/>
    <w:rsid w:val="003B72BC"/>
    <w:rsid w:val="004064E8"/>
    <w:rsid w:val="00433FA3"/>
    <w:rsid w:val="00446936"/>
    <w:rsid w:val="00461EAC"/>
    <w:rsid w:val="00465E0B"/>
    <w:rsid w:val="004A69FA"/>
    <w:rsid w:val="004B220B"/>
    <w:rsid w:val="004C732F"/>
    <w:rsid w:val="004E4ADA"/>
    <w:rsid w:val="0052303E"/>
    <w:rsid w:val="00545BD0"/>
    <w:rsid w:val="005808BF"/>
    <w:rsid w:val="005958FC"/>
    <w:rsid w:val="005A3826"/>
    <w:rsid w:val="00614356"/>
    <w:rsid w:val="00634588"/>
    <w:rsid w:val="00646B44"/>
    <w:rsid w:val="00680857"/>
    <w:rsid w:val="00681338"/>
    <w:rsid w:val="006943D1"/>
    <w:rsid w:val="006B4A8B"/>
    <w:rsid w:val="006E7E4D"/>
    <w:rsid w:val="006F1AB7"/>
    <w:rsid w:val="00720498"/>
    <w:rsid w:val="00755515"/>
    <w:rsid w:val="0075678E"/>
    <w:rsid w:val="007670F9"/>
    <w:rsid w:val="0078543E"/>
    <w:rsid w:val="00785E72"/>
    <w:rsid w:val="007C2B04"/>
    <w:rsid w:val="007D19E9"/>
    <w:rsid w:val="007E3BE2"/>
    <w:rsid w:val="00812D6E"/>
    <w:rsid w:val="008645E3"/>
    <w:rsid w:val="00864D69"/>
    <w:rsid w:val="008755B0"/>
    <w:rsid w:val="00886D95"/>
    <w:rsid w:val="00895D56"/>
    <w:rsid w:val="008A4385"/>
    <w:rsid w:val="008B7BCF"/>
    <w:rsid w:val="008C7B3C"/>
    <w:rsid w:val="008E6C40"/>
    <w:rsid w:val="00916D80"/>
    <w:rsid w:val="00917A6A"/>
    <w:rsid w:val="00933869"/>
    <w:rsid w:val="0093591F"/>
    <w:rsid w:val="00981970"/>
    <w:rsid w:val="0098482D"/>
    <w:rsid w:val="00985AB9"/>
    <w:rsid w:val="00991082"/>
    <w:rsid w:val="009950C9"/>
    <w:rsid w:val="00995DE0"/>
    <w:rsid w:val="009A2072"/>
    <w:rsid w:val="009E23C4"/>
    <w:rsid w:val="009E285E"/>
    <w:rsid w:val="009E75B5"/>
    <w:rsid w:val="009F4C17"/>
    <w:rsid w:val="00A14DC1"/>
    <w:rsid w:val="00A23CC3"/>
    <w:rsid w:val="00A26E71"/>
    <w:rsid w:val="00A27592"/>
    <w:rsid w:val="00A45BB6"/>
    <w:rsid w:val="00A74EBA"/>
    <w:rsid w:val="00A76332"/>
    <w:rsid w:val="00AC143B"/>
    <w:rsid w:val="00AC79ED"/>
    <w:rsid w:val="00AD3815"/>
    <w:rsid w:val="00AD7D72"/>
    <w:rsid w:val="00AE4E2E"/>
    <w:rsid w:val="00AE5E7B"/>
    <w:rsid w:val="00B16261"/>
    <w:rsid w:val="00B30C44"/>
    <w:rsid w:val="00B628D1"/>
    <w:rsid w:val="00B63FC6"/>
    <w:rsid w:val="00B65B2E"/>
    <w:rsid w:val="00B661FB"/>
    <w:rsid w:val="00B7278F"/>
    <w:rsid w:val="00C074E9"/>
    <w:rsid w:val="00C12F33"/>
    <w:rsid w:val="00C166B9"/>
    <w:rsid w:val="00C2535A"/>
    <w:rsid w:val="00C52691"/>
    <w:rsid w:val="00C717A6"/>
    <w:rsid w:val="00C75C7E"/>
    <w:rsid w:val="00C7712F"/>
    <w:rsid w:val="00C810F5"/>
    <w:rsid w:val="00C84DC7"/>
    <w:rsid w:val="00CB24CB"/>
    <w:rsid w:val="00CD662A"/>
    <w:rsid w:val="00CE6234"/>
    <w:rsid w:val="00D02932"/>
    <w:rsid w:val="00D2661B"/>
    <w:rsid w:val="00D53D49"/>
    <w:rsid w:val="00D7458B"/>
    <w:rsid w:val="00D750D3"/>
    <w:rsid w:val="00D80548"/>
    <w:rsid w:val="00DA0202"/>
    <w:rsid w:val="00DB71F7"/>
    <w:rsid w:val="00DE33A5"/>
    <w:rsid w:val="00DF45E4"/>
    <w:rsid w:val="00E21162"/>
    <w:rsid w:val="00E2699F"/>
    <w:rsid w:val="00E32625"/>
    <w:rsid w:val="00EE774D"/>
    <w:rsid w:val="00EF3241"/>
    <w:rsid w:val="00F200DA"/>
    <w:rsid w:val="00F22AE1"/>
    <w:rsid w:val="00F758F6"/>
    <w:rsid w:val="00F8557D"/>
    <w:rsid w:val="00FB4703"/>
    <w:rsid w:val="00FC00A5"/>
    <w:rsid w:val="00FC6671"/>
    <w:rsid w:val="00FE007A"/>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549">
      <w:bodyDiv w:val="1"/>
      <w:marLeft w:val="0"/>
      <w:marRight w:val="0"/>
      <w:marTop w:val="0"/>
      <w:marBottom w:val="0"/>
      <w:divBdr>
        <w:top w:val="none" w:sz="0" w:space="0" w:color="auto"/>
        <w:left w:val="none" w:sz="0" w:space="0" w:color="auto"/>
        <w:bottom w:val="none" w:sz="0" w:space="0" w:color="auto"/>
        <w:right w:val="none" w:sz="0" w:space="0" w:color="auto"/>
      </w:divBdr>
    </w:div>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72593214">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2308533">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589049616">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082023788">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170221872">
      <w:bodyDiv w:val="1"/>
      <w:marLeft w:val="0"/>
      <w:marRight w:val="0"/>
      <w:marTop w:val="0"/>
      <w:marBottom w:val="0"/>
      <w:divBdr>
        <w:top w:val="none" w:sz="0" w:space="0" w:color="auto"/>
        <w:left w:val="none" w:sz="0" w:space="0" w:color="auto"/>
        <w:bottom w:val="none" w:sz="0" w:space="0" w:color="auto"/>
        <w:right w:val="none" w:sz="0" w:space="0" w:color="auto"/>
      </w:divBdr>
    </w:div>
    <w:div w:id="1282305662">
      <w:bodyDiv w:val="1"/>
      <w:marLeft w:val="0"/>
      <w:marRight w:val="0"/>
      <w:marTop w:val="0"/>
      <w:marBottom w:val="0"/>
      <w:divBdr>
        <w:top w:val="none" w:sz="0" w:space="0" w:color="auto"/>
        <w:left w:val="none" w:sz="0" w:space="0" w:color="auto"/>
        <w:bottom w:val="none" w:sz="0" w:space="0" w:color="auto"/>
        <w:right w:val="none" w:sz="0" w:space="0" w:color="auto"/>
      </w:divBdr>
    </w:div>
    <w:div w:id="130411671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9745232">
      <w:bodyDiv w:val="1"/>
      <w:marLeft w:val="0"/>
      <w:marRight w:val="0"/>
      <w:marTop w:val="0"/>
      <w:marBottom w:val="0"/>
      <w:divBdr>
        <w:top w:val="none" w:sz="0" w:space="0" w:color="auto"/>
        <w:left w:val="none" w:sz="0" w:space="0" w:color="auto"/>
        <w:bottom w:val="none" w:sz="0" w:space="0" w:color="auto"/>
        <w:right w:val="none" w:sz="0" w:space="0" w:color="auto"/>
      </w:divBdr>
    </w:div>
    <w:div w:id="1481851166">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4222250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A62289-FEAC-4419-88E7-295B813E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9980</Words>
  <Characters>54890</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2023-12-08T16:29:00Z</cp:lastPrinted>
  <dcterms:created xsi:type="dcterms:W3CDTF">2023-12-19T20:22:00Z</dcterms:created>
  <dcterms:modified xsi:type="dcterms:W3CDTF">2023-12-19T20:22:00Z</dcterms:modified>
</cp:coreProperties>
</file>