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6795"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doce de abril de dos mil veintitrés. </w:t>
      </w:r>
    </w:p>
    <w:p w14:paraId="7EDDB97C" w14:textId="77777777" w:rsidR="00C61D68" w:rsidRPr="008331F3" w:rsidRDefault="00C61D68">
      <w:pPr>
        <w:spacing w:after="0" w:line="360" w:lineRule="auto"/>
        <w:ind w:right="49"/>
        <w:jc w:val="center"/>
        <w:rPr>
          <w:rFonts w:ascii="Palatino Linotype" w:eastAsia="Palatino Linotype" w:hAnsi="Palatino Linotype" w:cs="Palatino Linotype"/>
          <w:sz w:val="24"/>
          <w:szCs w:val="24"/>
        </w:rPr>
      </w:pPr>
    </w:p>
    <w:p w14:paraId="1B21BBB7" w14:textId="46CB13C6"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Visto el expediente relativo al recurso de revisión </w:t>
      </w:r>
      <w:r w:rsidRPr="008331F3">
        <w:rPr>
          <w:rFonts w:ascii="Palatino Linotype" w:eastAsia="Palatino Linotype" w:hAnsi="Palatino Linotype" w:cs="Palatino Linotype"/>
          <w:b/>
          <w:sz w:val="24"/>
          <w:szCs w:val="24"/>
        </w:rPr>
        <w:t>15599/INFOEM/IP/RR/2022</w:t>
      </w:r>
      <w:r w:rsidRPr="008331F3">
        <w:rPr>
          <w:rFonts w:ascii="Palatino Linotype" w:eastAsia="Palatino Linotype" w:hAnsi="Palatino Linotype" w:cs="Palatino Linotype"/>
          <w:sz w:val="24"/>
          <w:szCs w:val="24"/>
        </w:rPr>
        <w:t xml:space="preserve">, interpuesto por </w:t>
      </w:r>
      <w:r w:rsidR="00421807">
        <w:rPr>
          <w:rFonts w:ascii="Palatino Linotype" w:eastAsia="Palatino Linotype" w:hAnsi="Palatino Linotype" w:cs="Palatino Linotype"/>
          <w:b/>
          <w:sz w:val="24"/>
          <w:szCs w:val="24"/>
        </w:rPr>
        <w:t>XXXXXX XXX XXXXXXXXX</w:t>
      </w:r>
      <w:r w:rsidRPr="008331F3">
        <w:rPr>
          <w:rFonts w:ascii="Palatino Linotype" w:eastAsia="Palatino Linotype" w:hAnsi="Palatino Linotype" w:cs="Palatino Linotype"/>
          <w:sz w:val="24"/>
          <w:szCs w:val="24"/>
        </w:rPr>
        <w:t xml:space="preserve">, al cual en lo sucesivo se le denominará el </w:t>
      </w:r>
      <w:r w:rsidRPr="008331F3">
        <w:rPr>
          <w:rFonts w:ascii="Palatino Linotype" w:eastAsia="Palatino Linotype" w:hAnsi="Palatino Linotype" w:cs="Palatino Linotype"/>
          <w:b/>
          <w:sz w:val="24"/>
          <w:szCs w:val="24"/>
        </w:rPr>
        <w:t>RECURRENTE</w:t>
      </w:r>
      <w:r w:rsidRPr="008331F3">
        <w:rPr>
          <w:rFonts w:ascii="Palatino Linotype" w:eastAsia="Palatino Linotype" w:hAnsi="Palatino Linotype" w:cs="Palatino Linotype"/>
          <w:sz w:val="24"/>
          <w:szCs w:val="24"/>
        </w:rPr>
        <w:t xml:space="preserve">, en contra de la respuesta a su solicitud de información identificada con número de folio </w:t>
      </w:r>
      <w:r w:rsidRPr="008331F3">
        <w:rPr>
          <w:rFonts w:ascii="Palatino Linotype" w:eastAsia="Palatino Linotype" w:hAnsi="Palatino Linotype" w:cs="Palatino Linotype"/>
          <w:b/>
          <w:sz w:val="24"/>
          <w:szCs w:val="24"/>
        </w:rPr>
        <w:t>00157/DIFTLALNE/IP/2022</w:t>
      </w:r>
      <w:r w:rsidRPr="008331F3">
        <w:rPr>
          <w:rFonts w:ascii="Palatino Linotype" w:eastAsia="Palatino Linotype" w:hAnsi="Palatino Linotype" w:cs="Palatino Linotype"/>
          <w:sz w:val="24"/>
          <w:szCs w:val="24"/>
        </w:rPr>
        <w:t xml:space="preserve"> proporcionada por parte del </w:t>
      </w:r>
      <w:r w:rsidRPr="008331F3">
        <w:rPr>
          <w:rFonts w:ascii="Palatino Linotype" w:eastAsia="Palatino Linotype" w:hAnsi="Palatino Linotype" w:cs="Palatino Linotype"/>
          <w:b/>
          <w:sz w:val="24"/>
          <w:szCs w:val="24"/>
        </w:rPr>
        <w:t>Sistema Municipal para el Desarrollo Integral de la Familia de Tlalnepantla de Baz</w:t>
      </w:r>
      <w:r w:rsidRPr="008331F3">
        <w:rPr>
          <w:rFonts w:ascii="Palatino Linotype" w:eastAsia="Palatino Linotype" w:hAnsi="Palatino Linotype" w:cs="Palatino Linotype"/>
          <w:sz w:val="24"/>
          <w:szCs w:val="24"/>
        </w:rPr>
        <w:t xml:space="preserve">, en lo sucesivo el </w:t>
      </w:r>
      <w:r w:rsidRPr="008331F3">
        <w:rPr>
          <w:rFonts w:ascii="Palatino Linotype" w:eastAsia="Palatino Linotype" w:hAnsi="Palatino Linotype" w:cs="Palatino Linotype"/>
          <w:b/>
          <w:sz w:val="24"/>
          <w:szCs w:val="24"/>
        </w:rPr>
        <w:t>SUJETO OBLIGADO</w:t>
      </w:r>
      <w:r w:rsidRPr="008331F3">
        <w:rPr>
          <w:rFonts w:ascii="Palatino Linotype" w:eastAsia="Palatino Linotype" w:hAnsi="Palatino Linotype" w:cs="Palatino Linotype"/>
          <w:sz w:val="24"/>
          <w:szCs w:val="24"/>
        </w:rPr>
        <w:t>; se procede a dictar la presente resolución, con base en los siguientes:</w:t>
      </w:r>
    </w:p>
    <w:p w14:paraId="782B2415"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A143A35" w14:textId="77777777" w:rsidR="00C61D68" w:rsidRPr="008331F3" w:rsidRDefault="00EB068A">
      <w:pPr>
        <w:spacing w:after="0" w:line="360" w:lineRule="auto"/>
        <w:ind w:right="49"/>
        <w:jc w:val="center"/>
        <w:rPr>
          <w:rFonts w:ascii="Palatino Linotype" w:eastAsia="Palatino Linotype" w:hAnsi="Palatino Linotype" w:cs="Palatino Linotype"/>
          <w:b/>
          <w:sz w:val="24"/>
          <w:szCs w:val="24"/>
        </w:rPr>
      </w:pPr>
      <w:r w:rsidRPr="008331F3">
        <w:rPr>
          <w:rFonts w:ascii="Palatino Linotype" w:eastAsia="Palatino Linotype" w:hAnsi="Palatino Linotype" w:cs="Palatino Linotype"/>
          <w:b/>
          <w:sz w:val="24"/>
          <w:szCs w:val="24"/>
        </w:rPr>
        <w:t>I.</w:t>
      </w:r>
      <w:r w:rsidRPr="008331F3">
        <w:rPr>
          <w:rFonts w:ascii="Palatino Linotype" w:eastAsia="Palatino Linotype" w:hAnsi="Palatino Linotype" w:cs="Palatino Linotype"/>
          <w:b/>
          <w:sz w:val="24"/>
          <w:szCs w:val="24"/>
        </w:rPr>
        <w:tab/>
        <w:t>A N T E C E D E N T E S</w:t>
      </w:r>
    </w:p>
    <w:p w14:paraId="6509D167"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4B34791" w14:textId="77777777" w:rsidR="00C61D68" w:rsidRPr="008331F3" w:rsidRDefault="00EB068A">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Solicitud de acceso a la información.</w:t>
      </w:r>
      <w:r w:rsidRPr="008331F3">
        <w:rPr>
          <w:rFonts w:ascii="Palatino Linotype" w:eastAsia="Palatino Linotype" w:hAnsi="Palatino Linotype" w:cs="Palatino Linotype"/>
          <w:sz w:val="24"/>
          <w:szCs w:val="24"/>
        </w:rPr>
        <w:t xml:space="preserve"> Con fecha </w:t>
      </w:r>
      <w:r w:rsidRPr="008331F3">
        <w:rPr>
          <w:rFonts w:ascii="Palatino Linotype" w:eastAsia="Palatino Linotype" w:hAnsi="Palatino Linotype" w:cs="Palatino Linotype"/>
          <w:b/>
          <w:sz w:val="24"/>
          <w:szCs w:val="24"/>
        </w:rPr>
        <w:t>veintiocho de septiembre de dos mil veintidós</w:t>
      </w:r>
      <w:r w:rsidRPr="008331F3">
        <w:rPr>
          <w:rFonts w:ascii="Palatino Linotype" w:eastAsia="Palatino Linotype" w:hAnsi="Palatino Linotype" w:cs="Palatino Linotype"/>
          <w:sz w:val="24"/>
          <w:szCs w:val="24"/>
        </w:rPr>
        <w:t xml:space="preserve">, la parte </w:t>
      </w:r>
      <w:r w:rsidRPr="008331F3">
        <w:rPr>
          <w:rFonts w:ascii="Palatino Linotype" w:eastAsia="Palatino Linotype" w:hAnsi="Palatino Linotype" w:cs="Palatino Linotype"/>
          <w:b/>
          <w:sz w:val="24"/>
          <w:szCs w:val="24"/>
        </w:rPr>
        <w:t>RECURRENTE</w:t>
      </w:r>
      <w:r w:rsidRPr="008331F3">
        <w:rPr>
          <w:rFonts w:ascii="Palatino Linotype" w:eastAsia="Palatino Linotype" w:hAnsi="Palatino Linotype" w:cs="Palatino Linotype"/>
          <w:sz w:val="24"/>
          <w:szCs w:val="24"/>
        </w:rPr>
        <w:t xml:space="preserve"> formuló solicitud de acceso a información pública al</w:t>
      </w:r>
      <w:r w:rsidRPr="008331F3">
        <w:rPr>
          <w:rFonts w:ascii="Palatino Linotype" w:eastAsia="Palatino Linotype" w:hAnsi="Palatino Linotype" w:cs="Palatino Linotype"/>
          <w:b/>
          <w:sz w:val="24"/>
          <w:szCs w:val="24"/>
        </w:rPr>
        <w:t xml:space="preserve"> SUJETO OBLIGADO</w:t>
      </w:r>
      <w:r w:rsidRPr="008331F3">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2CCD55C7"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5C606D70" w14:textId="77777777" w:rsidR="00C61D68" w:rsidRPr="008331F3" w:rsidRDefault="00EB068A">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8331F3">
        <w:rPr>
          <w:rFonts w:ascii="Palatino Linotype" w:eastAsia="Palatino Linotype" w:hAnsi="Palatino Linotype" w:cs="Palatino Linotype"/>
          <w:i/>
        </w:rPr>
        <w:t xml:space="preserve">“solicito los </w:t>
      </w:r>
      <w:proofErr w:type="spellStart"/>
      <w:r w:rsidRPr="008331F3">
        <w:rPr>
          <w:rFonts w:ascii="Palatino Linotype" w:eastAsia="Palatino Linotype" w:hAnsi="Palatino Linotype" w:cs="Palatino Linotype"/>
          <w:i/>
        </w:rPr>
        <w:t>pbrs</w:t>
      </w:r>
      <w:proofErr w:type="spellEnd"/>
      <w:r w:rsidRPr="008331F3">
        <w:rPr>
          <w:rFonts w:ascii="Palatino Linotype" w:eastAsia="Palatino Linotype" w:hAnsi="Palatino Linotype" w:cs="Palatino Linotype"/>
          <w:i/>
        </w:rPr>
        <w:t xml:space="preserve"> debidamente firmados al segundo trimestre”. </w:t>
      </w:r>
    </w:p>
    <w:p w14:paraId="7A5339BA" w14:textId="77777777" w:rsidR="00C61D68" w:rsidRPr="008331F3" w:rsidRDefault="00C61D68">
      <w:pPr>
        <w:spacing w:after="0" w:line="360" w:lineRule="auto"/>
        <w:ind w:left="567" w:right="560"/>
        <w:jc w:val="both"/>
        <w:rPr>
          <w:rFonts w:ascii="Palatino Linotype" w:eastAsia="Palatino Linotype" w:hAnsi="Palatino Linotype" w:cs="Palatino Linotype"/>
          <w:i/>
        </w:rPr>
      </w:pPr>
    </w:p>
    <w:p w14:paraId="65DA7ED1"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lastRenderedPageBreak/>
        <w:t>Modalidad elegida para la entrega de la información:</w:t>
      </w:r>
      <w:r w:rsidRPr="008331F3">
        <w:rPr>
          <w:rFonts w:ascii="Palatino Linotype" w:eastAsia="Palatino Linotype" w:hAnsi="Palatino Linotype" w:cs="Palatino Linotype"/>
          <w:sz w:val="24"/>
          <w:szCs w:val="24"/>
        </w:rPr>
        <w:t xml:space="preserve"> a través del Sistema de Acceso a la Información Mexiquense (SAIMEX). </w:t>
      </w:r>
    </w:p>
    <w:p w14:paraId="0A4007A6"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5572181C" w14:textId="77777777" w:rsidR="00C61D68" w:rsidRPr="008331F3" w:rsidRDefault="00EB068A">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 xml:space="preserve">Solicitud de aclaración. </w:t>
      </w:r>
      <w:r w:rsidRPr="008331F3">
        <w:rPr>
          <w:rFonts w:ascii="Palatino Linotype" w:eastAsia="Palatino Linotype" w:hAnsi="Palatino Linotype" w:cs="Palatino Linotype"/>
          <w:sz w:val="24"/>
          <w:szCs w:val="24"/>
        </w:rPr>
        <w:t xml:space="preserve">Con fecha </w:t>
      </w:r>
      <w:r w:rsidRPr="008331F3">
        <w:rPr>
          <w:rFonts w:ascii="Palatino Linotype" w:eastAsia="Palatino Linotype" w:hAnsi="Palatino Linotype" w:cs="Palatino Linotype"/>
          <w:b/>
          <w:sz w:val="24"/>
          <w:szCs w:val="24"/>
        </w:rPr>
        <w:t>cinco de octubre de dos mil veintidós</w:t>
      </w:r>
      <w:r w:rsidRPr="008331F3">
        <w:rPr>
          <w:rFonts w:ascii="Palatino Linotype" w:eastAsia="Palatino Linotype" w:hAnsi="Palatino Linotype" w:cs="Palatino Linotype"/>
          <w:sz w:val="24"/>
          <w:szCs w:val="24"/>
        </w:rPr>
        <w:t xml:space="preserve">, el </w:t>
      </w:r>
      <w:r w:rsidRPr="008331F3">
        <w:rPr>
          <w:rFonts w:ascii="Palatino Linotype" w:eastAsia="Palatino Linotype" w:hAnsi="Palatino Linotype" w:cs="Palatino Linotype"/>
          <w:b/>
          <w:sz w:val="24"/>
          <w:szCs w:val="24"/>
        </w:rPr>
        <w:t xml:space="preserve">SUJETO OBLIGADO </w:t>
      </w:r>
      <w:r w:rsidRPr="008331F3">
        <w:rPr>
          <w:rFonts w:ascii="Palatino Linotype" w:eastAsia="Palatino Linotype" w:hAnsi="Palatino Linotype" w:cs="Palatino Linotype"/>
          <w:sz w:val="24"/>
          <w:szCs w:val="24"/>
        </w:rPr>
        <w:t xml:space="preserve">solicitó al </w:t>
      </w:r>
      <w:r w:rsidRPr="008331F3">
        <w:rPr>
          <w:rFonts w:ascii="Palatino Linotype" w:eastAsia="Palatino Linotype" w:hAnsi="Palatino Linotype" w:cs="Palatino Linotype"/>
          <w:b/>
          <w:sz w:val="24"/>
          <w:szCs w:val="24"/>
        </w:rPr>
        <w:t xml:space="preserve">PARTICULAR </w:t>
      </w:r>
      <w:r w:rsidRPr="008331F3">
        <w:rPr>
          <w:rFonts w:ascii="Palatino Linotype" w:eastAsia="Palatino Linotype" w:hAnsi="Palatino Linotype" w:cs="Palatino Linotype"/>
          <w:sz w:val="24"/>
          <w:szCs w:val="24"/>
        </w:rPr>
        <w:t xml:space="preserve">aclarara su solicitud de información, especificando los elementos requeridos, al tenor de lo siguiente: </w:t>
      </w:r>
    </w:p>
    <w:p w14:paraId="1513DBD7"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5E58FA3" w14:textId="77777777" w:rsidR="00C61D68" w:rsidRPr="008331F3" w:rsidRDefault="00EB068A">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En atención al requerimiento de fecha veintiocho de septiembre de dos mil veintidós, derivado de la solicitud de acceso a la información pública identificada con número de folio 00157/DIFTLALNE/IP/2022, presentada a través del Sistema de Acceso a la Información Mexiquense (SAIMEX), que a la letra refiere: “solicito los </w:t>
      </w:r>
      <w:proofErr w:type="spellStart"/>
      <w:r w:rsidRPr="008331F3">
        <w:rPr>
          <w:rFonts w:ascii="Palatino Linotype" w:eastAsia="Palatino Linotype" w:hAnsi="Palatino Linotype" w:cs="Palatino Linotype"/>
          <w:i/>
        </w:rPr>
        <w:t>pbrs</w:t>
      </w:r>
      <w:proofErr w:type="spellEnd"/>
      <w:r w:rsidRPr="008331F3">
        <w:rPr>
          <w:rFonts w:ascii="Palatino Linotype" w:eastAsia="Palatino Linotype" w:hAnsi="Palatino Linotype" w:cs="Palatino Linotype"/>
          <w:i/>
        </w:rPr>
        <w:t xml:space="preserve"> debidamente firmados al segundo trimestre” …(Sic). En relación a lo anterior, y con la finalidad de atender los principios de certeza jurídica y máxima publicidad que establecen los artículos 4 y 8 de la Ley de Transparencia y Acceso a la Información Pública del Estado de México y Municipios, amablemente y en término de lo que dispone el artículo 159 de la cita ley, amablemente le solicito informe específicamente: </w:t>
      </w:r>
      <w:r w:rsidRPr="008331F3">
        <w:rPr>
          <w:rFonts w:ascii="Palatino Linotype" w:eastAsia="Palatino Linotype" w:hAnsi="Palatino Linotype" w:cs="Palatino Linotype"/>
          <w:b/>
          <w:i/>
        </w:rPr>
        <w:t>¿Cuál es la información que requiere el solicitante? y ¿De cuál de las unidades administrativas que integran este Organismo Público Descentralizado?,</w:t>
      </w:r>
      <w:r w:rsidRPr="008331F3">
        <w:rPr>
          <w:rFonts w:ascii="Palatino Linotype" w:eastAsia="Palatino Linotype" w:hAnsi="Palatino Linotype" w:cs="Palatino Linotype"/>
          <w:i/>
        </w:rPr>
        <w:t xml:space="preserve"> esto con el objeto de entregar la información que realmente desea conocer, teniendo sustento la aclaración.</w:t>
      </w:r>
    </w:p>
    <w:p w14:paraId="42C43376" w14:textId="77777777" w:rsidR="00C61D68" w:rsidRPr="008331F3" w:rsidRDefault="00EB068A">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BF70823"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
    <w:p w14:paraId="4F00117D" w14:textId="77777777" w:rsidR="00C61D68" w:rsidRPr="008331F3" w:rsidRDefault="00EB06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Adjuntó con ello, el documento que se describe a continuación: </w:t>
      </w:r>
    </w:p>
    <w:p w14:paraId="50ABBC1B"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75C2D86" w14:textId="77777777" w:rsidR="00C61D68" w:rsidRPr="008331F3" w:rsidRDefault="00EB068A">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31F3">
        <w:rPr>
          <w:rFonts w:ascii="Palatino Linotype" w:eastAsia="Palatino Linotype" w:hAnsi="Palatino Linotype" w:cs="Palatino Linotype"/>
        </w:rPr>
        <w:lastRenderedPageBreak/>
        <w:t>Oficio de fecha cinco de octubre de dos mil veintidós, signado por el Coordinador de Transparencia del SMDIF Tlalnepantla, mediante el cual solicita que el particular le especifique ¿Cuál es la información que requiere? Y de ¿Cuáles unidades administrativas que integran al organismo público descentralizado?</w:t>
      </w:r>
    </w:p>
    <w:p w14:paraId="564B6617" w14:textId="77777777" w:rsidR="00C61D68" w:rsidRPr="008331F3" w:rsidRDefault="00C61D6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2598563A" w14:textId="77777777" w:rsidR="00C61D68" w:rsidRPr="008331F3" w:rsidRDefault="00EB068A">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Desahogo de la aclaración.</w:t>
      </w:r>
      <w:r w:rsidRPr="008331F3">
        <w:rPr>
          <w:rFonts w:ascii="Palatino Linotype" w:eastAsia="Palatino Linotype" w:hAnsi="Palatino Linotype" w:cs="Palatino Linotype"/>
          <w:sz w:val="24"/>
          <w:szCs w:val="24"/>
        </w:rPr>
        <w:t xml:space="preserve"> Con fecha </w:t>
      </w:r>
      <w:r w:rsidRPr="008331F3">
        <w:rPr>
          <w:rFonts w:ascii="Palatino Linotype" w:eastAsia="Palatino Linotype" w:hAnsi="Palatino Linotype" w:cs="Palatino Linotype"/>
          <w:b/>
          <w:sz w:val="24"/>
          <w:szCs w:val="24"/>
        </w:rPr>
        <w:t>seis de octubre de dos mil veintidós</w:t>
      </w:r>
      <w:r w:rsidRPr="008331F3">
        <w:rPr>
          <w:rFonts w:ascii="Palatino Linotype" w:eastAsia="Palatino Linotype" w:hAnsi="Palatino Linotype" w:cs="Palatino Linotype"/>
          <w:sz w:val="24"/>
          <w:szCs w:val="24"/>
        </w:rPr>
        <w:t xml:space="preserve">, el </w:t>
      </w:r>
      <w:r w:rsidRPr="008331F3">
        <w:rPr>
          <w:rFonts w:ascii="Palatino Linotype" w:eastAsia="Palatino Linotype" w:hAnsi="Palatino Linotype" w:cs="Palatino Linotype"/>
          <w:b/>
          <w:sz w:val="24"/>
          <w:szCs w:val="24"/>
        </w:rPr>
        <w:t xml:space="preserve">PARTICULAR </w:t>
      </w:r>
      <w:r w:rsidRPr="008331F3">
        <w:rPr>
          <w:rFonts w:ascii="Palatino Linotype" w:eastAsia="Palatino Linotype" w:hAnsi="Palatino Linotype" w:cs="Palatino Linotype"/>
          <w:sz w:val="24"/>
          <w:szCs w:val="24"/>
        </w:rPr>
        <w:t xml:space="preserve">atendió la solicitud de aclaración refiriendo que: </w:t>
      </w:r>
    </w:p>
    <w:p w14:paraId="6030A8B0" w14:textId="77777777" w:rsidR="00C61D68" w:rsidRPr="008331F3" w:rsidRDefault="00C61D68">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sz w:val="24"/>
          <w:szCs w:val="24"/>
        </w:rPr>
      </w:pPr>
    </w:p>
    <w:p w14:paraId="45C45BED" w14:textId="77777777" w:rsidR="00C61D68" w:rsidRPr="008331F3" w:rsidRDefault="00EB068A">
      <w:pPr>
        <w:pBdr>
          <w:top w:val="nil"/>
          <w:left w:val="nil"/>
          <w:bottom w:val="nil"/>
          <w:right w:val="nil"/>
          <w:between w:val="nil"/>
        </w:pBdr>
        <w:tabs>
          <w:tab w:val="left" w:pos="8789"/>
        </w:tabs>
        <w:spacing w:after="0" w:line="360" w:lineRule="auto"/>
        <w:ind w:left="567" w:right="843"/>
        <w:jc w:val="both"/>
        <w:rPr>
          <w:rFonts w:ascii="Palatino Linotype" w:eastAsia="Palatino Linotype" w:hAnsi="Palatino Linotype" w:cs="Palatino Linotype"/>
          <w:i/>
          <w:sz w:val="24"/>
          <w:szCs w:val="24"/>
        </w:rPr>
      </w:pPr>
      <w:r w:rsidRPr="008331F3">
        <w:rPr>
          <w:rFonts w:ascii="Palatino Linotype" w:eastAsia="Palatino Linotype" w:hAnsi="Palatino Linotype" w:cs="Palatino Linotype"/>
          <w:i/>
          <w:sz w:val="24"/>
          <w:szCs w:val="24"/>
        </w:rPr>
        <w:t xml:space="preserve">“La </w:t>
      </w:r>
      <w:proofErr w:type="spellStart"/>
      <w:r w:rsidRPr="008331F3">
        <w:rPr>
          <w:rFonts w:ascii="Palatino Linotype" w:eastAsia="Palatino Linotype" w:hAnsi="Palatino Linotype" w:cs="Palatino Linotype"/>
          <w:i/>
          <w:sz w:val="24"/>
          <w:szCs w:val="24"/>
        </w:rPr>
        <w:t>informacion</w:t>
      </w:r>
      <w:proofErr w:type="spellEnd"/>
      <w:r w:rsidRPr="008331F3">
        <w:rPr>
          <w:rFonts w:ascii="Palatino Linotype" w:eastAsia="Palatino Linotype" w:hAnsi="Palatino Linotype" w:cs="Palatino Linotype"/>
          <w:i/>
          <w:sz w:val="24"/>
          <w:szCs w:val="24"/>
        </w:rPr>
        <w:t xml:space="preserve"> es clara, deje de aclarar cosas sin sentido y atienda como una persona profesional”</w:t>
      </w:r>
    </w:p>
    <w:p w14:paraId="190773D5"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DF378F6" w14:textId="77777777" w:rsidR="00C61D68" w:rsidRPr="008331F3" w:rsidRDefault="00EB068A">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Respuesta.</w:t>
      </w:r>
      <w:r w:rsidRPr="008331F3">
        <w:rPr>
          <w:rFonts w:ascii="Palatino Linotype" w:eastAsia="Palatino Linotype" w:hAnsi="Palatino Linotype" w:cs="Palatino Linotype"/>
          <w:sz w:val="24"/>
          <w:szCs w:val="24"/>
        </w:rPr>
        <w:t xml:space="preserve"> Con fecha </w:t>
      </w:r>
      <w:r w:rsidRPr="008331F3">
        <w:rPr>
          <w:rFonts w:ascii="Palatino Linotype" w:eastAsia="Palatino Linotype" w:hAnsi="Palatino Linotype" w:cs="Palatino Linotype"/>
          <w:b/>
          <w:sz w:val="24"/>
          <w:szCs w:val="24"/>
        </w:rPr>
        <w:t>trece de octubre de dos mil veintidós</w:t>
      </w:r>
      <w:r w:rsidRPr="008331F3">
        <w:rPr>
          <w:rFonts w:ascii="Palatino Linotype" w:eastAsia="Palatino Linotype" w:hAnsi="Palatino Linotype" w:cs="Palatino Linotype"/>
          <w:sz w:val="24"/>
          <w:szCs w:val="24"/>
        </w:rPr>
        <w:t xml:space="preserve">, el </w:t>
      </w:r>
      <w:r w:rsidRPr="008331F3">
        <w:rPr>
          <w:rFonts w:ascii="Palatino Linotype" w:eastAsia="Palatino Linotype" w:hAnsi="Palatino Linotype" w:cs="Palatino Linotype"/>
          <w:b/>
          <w:sz w:val="24"/>
          <w:szCs w:val="24"/>
        </w:rPr>
        <w:t>SUJETO OBLIGADO</w:t>
      </w:r>
      <w:r w:rsidRPr="008331F3">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10745341"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59AAAEF1" w14:textId="77777777" w:rsidR="00C61D68" w:rsidRPr="008331F3" w:rsidRDefault="00EB068A">
      <w:pPr>
        <w:spacing w:after="0" w:line="360"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063496" w14:textId="77777777" w:rsidR="00C61D68" w:rsidRPr="008331F3" w:rsidRDefault="00EB068A">
      <w:pPr>
        <w:spacing w:after="0" w:line="360"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Con fundamento en lo establecido en el artículo 59, fracción II de la Ley de Transparencia y Acceso a la Información Pública del Estado de México y Municipios; y 35, fracciones XXV, XXVI y XXVII del Reglamento Interno del Sistema Municipal para el Desarrollo Integral de la Familia de Tlalnepantla de Baz, hago de su conocimiento que anexo al </w:t>
      </w:r>
      <w:r w:rsidRPr="008331F3">
        <w:rPr>
          <w:rFonts w:ascii="Palatino Linotype" w:eastAsia="Palatino Linotype" w:hAnsi="Palatino Linotype" w:cs="Palatino Linotype"/>
          <w:i/>
        </w:rPr>
        <w:lastRenderedPageBreak/>
        <w:t xml:space="preserve">presente encontrará la atención al SAIMEX 00157/DIFTLALNE/IP/2022. </w:t>
      </w:r>
      <w:hyperlink r:id="rId8">
        <w:r w:rsidRPr="008331F3">
          <w:rPr>
            <w:rFonts w:ascii="Palatino Linotype" w:eastAsia="Palatino Linotype" w:hAnsi="Palatino Linotype" w:cs="Palatino Linotype"/>
            <w:i/>
            <w:u w:val="single"/>
          </w:rPr>
          <w:t>https://tlalnepantladebaz.mx/Dif/Home/PbRM</w:t>
        </w:r>
      </w:hyperlink>
    </w:p>
    <w:p w14:paraId="7D1C1A95" w14:textId="77777777" w:rsidR="00C61D68" w:rsidRPr="008331F3" w:rsidRDefault="00C61D68">
      <w:pPr>
        <w:spacing w:after="0" w:line="360" w:lineRule="auto"/>
        <w:ind w:left="567" w:right="560"/>
        <w:jc w:val="both"/>
        <w:rPr>
          <w:rFonts w:ascii="Palatino Linotype" w:eastAsia="Palatino Linotype" w:hAnsi="Palatino Linotype" w:cs="Palatino Linotype"/>
          <w:sz w:val="24"/>
          <w:szCs w:val="24"/>
        </w:rPr>
      </w:pPr>
    </w:p>
    <w:p w14:paraId="3A34B9E5"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El Sujeto Obligado a su respuesta adjuntó los documentos que se describen a continuación:  </w:t>
      </w:r>
    </w:p>
    <w:p w14:paraId="13CC5219"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0763CA3" w14:textId="77777777" w:rsidR="00C61D68" w:rsidRPr="008331F3" w:rsidRDefault="00EB068A">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31F3">
        <w:rPr>
          <w:rFonts w:ascii="Palatino Linotype" w:eastAsia="Palatino Linotype" w:hAnsi="Palatino Linotype" w:cs="Palatino Linotype"/>
        </w:rPr>
        <w:t xml:space="preserve">Oficio de fecha diez de octubre de dos mil veintidós, signado por el </w:t>
      </w:r>
      <w:proofErr w:type="gramStart"/>
      <w:r w:rsidRPr="008331F3">
        <w:rPr>
          <w:rFonts w:ascii="Palatino Linotype" w:eastAsia="Palatino Linotype" w:hAnsi="Palatino Linotype" w:cs="Palatino Linotype"/>
        </w:rPr>
        <w:t>Secretario Técnico</w:t>
      </w:r>
      <w:proofErr w:type="gramEnd"/>
      <w:r w:rsidRPr="008331F3">
        <w:rPr>
          <w:rFonts w:ascii="Palatino Linotype" w:eastAsia="Palatino Linotype" w:hAnsi="Palatino Linotype" w:cs="Palatino Linotype"/>
        </w:rPr>
        <w:t xml:space="preserve">, mediante el cual informa que la información solicitada se encuentra disponible en la siguiente liga electrónica </w:t>
      </w:r>
      <w:hyperlink r:id="rId9">
        <w:r w:rsidRPr="008331F3">
          <w:rPr>
            <w:rFonts w:ascii="Palatino Linotype" w:eastAsia="Palatino Linotype" w:hAnsi="Palatino Linotype" w:cs="Palatino Linotype"/>
            <w:u w:val="single"/>
          </w:rPr>
          <w:t>https://tlalnepantladebaz.mx/Dif/Home/PbRM</w:t>
        </w:r>
      </w:hyperlink>
      <w:r w:rsidRPr="008331F3">
        <w:rPr>
          <w:rFonts w:ascii="Palatino Linotype" w:eastAsia="Palatino Linotype" w:hAnsi="Palatino Linotype" w:cs="Palatino Linotype"/>
        </w:rPr>
        <w:t xml:space="preserve"> </w:t>
      </w:r>
    </w:p>
    <w:p w14:paraId="7300EB7D" w14:textId="77777777" w:rsidR="00C61D68" w:rsidRPr="008331F3" w:rsidRDefault="00EB068A">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31F3">
        <w:rPr>
          <w:rFonts w:ascii="Palatino Linotype" w:eastAsia="Palatino Linotype" w:hAnsi="Palatino Linotype" w:cs="Palatino Linotype"/>
        </w:rPr>
        <w:t xml:space="preserve">Oficio de fecha trece de octubre de dos mil veintidós, signado por el Coordinador de Transparencia del SMDIF, mediante el cual refiere que la información solicitada se encuentra disponible en la siguiente liga electrónica </w:t>
      </w:r>
      <w:hyperlink r:id="rId10">
        <w:r w:rsidRPr="008331F3">
          <w:rPr>
            <w:rFonts w:ascii="Palatino Linotype" w:eastAsia="Palatino Linotype" w:hAnsi="Palatino Linotype" w:cs="Palatino Linotype"/>
            <w:u w:val="single"/>
          </w:rPr>
          <w:t>https://tlalnepantladebaz.mx/Dif/Home/PbRM</w:t>
        </w:r>
      </w:hyperlink>
    </w:p>
    <w:p w14:paraId="0557160C" w14:textId="77777777" w:rsidR="00C61D68" w:rsidRPr="008331F3" w:rsidRDefault="00C61D68">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78F572BE" w14:textId="77777777" w:rsidR="00C61D68" w:rsidRPr="008331F3" w:rsidRDefault="00EB068A">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 xml:space="preserve">Recurso de Revisión. </w:t>
      </w:r>
      <w:r w:rsidRPr="008331F3">
        <w:rPr>
          <w:rFonts w:ascii="Palatino Linotype" w:eastAsia="Palatino Linotype" w:hAnsi="Palatino Linotype" w:cs="Palatino Linotype"/>
          <w:sz w:val="24"/>
          <w:szCs w:val="24"/>
        </w:rPr>
        <w:t xml:space="preserve">El Particular, derivado de la respuesta del </w:t>
      </w:r>
      <w:r w:rsidRPr="008331F3">
        <w:rPr>
          <w:rFonts w:ascii="Palatino Linotype" w:eastAsia="Palatino Linotype" w:hAnsi="Palatino Linotype" w:cs="Palatino Linotype"/>
          <w:b/>
          <w:sz w:val="24"/>
          <w:szCs w:val="24"/>
        </w:rPr>
        <w:t>SUJETO OBLIGADO</w:t>
      </w:r>
      <w:r w:rsidRPr="008331F3">
        <w:rPr>
          <w:rFonts w:ascii="Palatino Linotype" w:eastAsia="Palatino Linotype" w:hAnsi="Palatino Linotype" w:cs="Palatino Linotype"/>
          <w:sz w:val="24"/>
          <w:szCs w:val="24"/>
        </w:rPr>
        <w:t xml:space="preserve"> interpuso Recurso de Revisión a través del </w:t>
      </w:r>
      <w:r w:rsidRPr="008331F3">
        <w:rPr>
          <w:rFonts w:ascii="Palatino Linotype" w:eastAsia="Palatino Linotype" w:hAnsi="Palatino Linotype" w:cs="Palatino Linotype"/>
          <w:b/>
          <w:sz w:val="24"/>
          <w:szCs w:val="24"/>
        </w:rPr>
        <w:t>SAIMEX</w:t>
      </w:r>
      <w:r w:rsidRPr="008331F3">
        <w:rPr>
          <w:rFonts w:ascii="Palatino Linotype" w:eastAsia="Palatino Linotype" w:hAnsi="Palatino Linotype" w:cs="Palatino Linotype"/>
          <w:sz w:val="24"/>
          <w:szCs w:val="24"/>
        </w:rPr>
        <w:t xml:space="preserve"> en fecha </w:t>
      </w:r>
      <w:r w:rsidRPr="008331F3">
        <w:rPr>
          <w:rFonts w:ascii="Palatino Linotype" w:eastAsia="Palatino Linotype" w:hAnsi="Palatino Linotype" w:cs="Palatino Linotype"/>
          <w:b/>
          <w:sz w:val="24"/>
          <w:szCs w:val="24"/>
        </w:rPr>
        <w:t>catorce de octubre de dos mil veintidós</w:t>
      </w:r>
      <w:r w:rsidRPr="008331F3">
        <w:rPr>
          <w:rFonts w:ascii="Palatino Linotype" w:eastAsia="Palatino Linotype" w:hAnsi="Palatino Linotype" w:cs="Palatino Linotype"/>
          <w:sz w:val="24"/>
          <w:szCs w:val="24"/>
        </w:rPr>
        <w:t>, a través del cual expresó lo siguiente:</w:t>
      </w:r>
    </w:p>
    <w:p w14:paraId="7B3FDF8D"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C70203A" w14:textId="77777777" w:rsidR="00C61D68" w:rsidRPr="008331F3" w:rsidRDefault="00EB068A">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8331F3">
        <w:rPr>
          <w:rFonts w:ascii="Palatino Linotype" w:eastAsia="Palatino Linotype" w:hAnsi="Palatino Linotype" w:cs="Palatino Linotype"/>
          <w:b/>
          <w:sz w:val="24"/>
          <w:szCs w:val="24"/>
        </w:rPr>
        <w:t xml:space="preserve">Acto impugnado. </w:t>
      </w:r>
      <w:r w:rsidRPr="008331F3">
        <w:rPr>
          <w:rFonts w:ascii="Palatino Linotype" w:eastAsia="Palatino Linotype" w:hAnsi="Palatino Linotype" w:cs="Palatino Linotype"/>
        </w:rPr>
        <w:t>“</w:t>
      </w:r>
      <w:r w:rsidRPr="008331F3">
        <w:rPr>
          <w:rFonts w:ascii="Palatino Linotype" w:eastAsia="Palatino Linotype" w:hAnsi="Palatino Linotype" w:cs="Palatino Linotype"/>
          <w:i/>
        </w:rPr>
        <w:t xml:space="preserve">toda la </w:t>
      </w:r>
      <w:proofErr w:type="spellStart"/>
      <w:r w:rsidRPr="008331F3">
        <w:rPr>
          <w:rFonts w:ascii="Palatino Linotype" w:eastAsia="Palatino Linotype" w:hAnsi="Palatino Linotype" w:cs="Palatino Linotype"/>
          <w:i/>
        </w:rPr>
        <w:t>respues</w:t>
      </w:r>
      <w:proofErr w:type="spellEnd"/>
      <w:r w:rsidRPr="008331F3">
        <w:rPr>
          <w:rFonts w:ascii="Palatino Linotype" w:eastAsia="Palatino Linotype" w:hAnsi="Palatino Linotype" w:cs="Palatino Linotype"/>
          <w:i/>
        </w:rPr>
        <w:t>”.</w:t>
      </w:r>
    </w:p>
    <w:p w14:paraId="54914296" w14:textId="77777777" w:rsidR="00C61D68" w:rsidRPr="008331F3" w:rsidRDefault="00C61D68">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63B45573" w14:textId="77777777" w:rsidR="00C61D68" w:rsidRPr="008331F3" w:rsidRDefault="00EB068A">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sz w:val="24"/>
          <w:szCs w:val="24"/>
        </w:rPr>
      </w:pPr>
      <w:r w:rsidRPr="008331F3">
        <w:rPr>
          <w:rFonts w:ascii="Palatino Linotype" w:eastAsia="Palatino Linotype" w:hAnsi="Palatino Linotype" w:cs="Palatino Linotype"/>
          <w:b/>
          <w:sz w:val="24"/>
          <w:szCs w:val="24"/>
        </w:rPr>
        <w:t xml:space="preserve">Razones o motivos de la inconformidad: </w:t>
      </w:r>
      <w:r w:rsidRPr="008331F3">
        <w:rPr>
          <w:rFonts w:ascii="Palatino Linotype" w:eastAsia="Palatino Linotype" w:hAnsi="Palatino Linotype" w:cs="Palatino Linotype"/>
        </w:rPr>
        <w:t>“</w:t>
      </w:r>
      <w:r w:rsidRPr="008331F3">
        <w:rPr>
          <w:rFonts w:ascii="Palatino Linotype" w:eastAsia="Palatino Linotype" w:hAnsi="Palatino Linotype" w:cs="Palatino Linotype"/>
          <w:i/>
        </w:rPr>
        <w:t xml:space="preserve">niegan la </w:t>
      </w:r>
      <w:proofErr w:type="spellStart"/>
      <w:r w:rsidRPr="008331F3">
        <w:rPr>
          <w:rFonts w:ascii="Palatino Linotype" w:eastAsia="Palatino Linotype" w:hAnsi="Palatino Linotype" w:cs="Palatino Linotype"/>
          <w:i/>
        </w:rPr>
        <w:t>informacion</w:t>
      </w:r>
      <w:proofErr w:type="spellEnd"/>
      <w:r w:rsidRPr="008331F3">
        <w:rPr>
          <w:rFonts w:ascii="Palatino Linotype" w:eastAsia="Palatino Linotype" w:hAnsi="Palatino Linotype" w:cs="Palatino Linotype"/>
          <w:i/>
        </w:rPr>
        <w:t xml:space="preserve"> y solicitan </w:t>
      </w:r>
      <w:proofErr w:type="spellStart"/>
      <w:r w:rsidRPr="008331F3">
        <w:rPr>
          <w:rFonts w:ascii="Palatino Linotype" w:eastAsia="Palatino Linotype" w:hAnsi="Palatino Linotype" w:cs="Palatino Linotype"/>
          <w:i/>
        </w:rPr>
        <w:t>prorroga</w:t>
      </w:r>
      <w:proofErr w:type="spellEnd"/>
      <w:r w:rsidRPr="008331F3">
        <w:rPr>
          <w:rFonts w:ascii="Palatino Linotype" w:eastAsia="Palatino Linotype" w:hAnsi="Palatino Linotype" w:cs="Palatino Linotype"/>
          <w:i/>
        </w:rPr>
        <w:t xml:space="preserve"> para mandar </w:t>
      </w:r>
      <w:proofErr w:type="spellStart"/>
      <w:r w:rsidRPr="008331F3">
        <w:rPr>
          <w:rFonts w:ascii="Palatino Linotype" w:eastAsia="Palatino Linotype" w:hAnsi="Palatino Linotype" w:cs="Palatino Linotype"/>
          <w:i/>
        </w:rPr>
        <w:t>despues</w:t>
      </w:r>
      <w:proofErr w:type="spellEnd"/>
      <w:r w:rsidRPr="008331F3">
        <w:rPr>
          <w:rFonts w:ascii="Palatino Linotype" w:eastAsia="Palatino Linotype" w:hAnsi="Palatino Linotype" w:cs="Palatino Linotype"/>
          <w:i/>
        </w:rPr>
        <w:t xml:space="preserve"> un </w:t>
      </w:r>
      <w:proofErr w:type="spellStart"/>
      <w:r w:rsidRPr="008331F3">
        <w:rPr>
          <w:rFonts w:ascii="Palatino Linotype" w:eastAsia="Palatino Linotype" w:hAnsi="Palatino Linotype" w:cs="Palatino Linotype"/>
          <w:i/>
        </w:rPr>
        <w:t>vinculo</w:t>
      </w:r>
      <w:proofErr w:type="spellEnd"/>
      <w:r w:rsidRPr="008331F3">
        <w:rPr>
          <w:rFonts w:ascii="Palatino Linotype" w:eastAsia="Palatino Linotype" w:hAnsi="Palatino Linotype" w:cs="Palatino Linotype"/>
          <w:i/>
        </w:rPr>
        <w:t>”.</w:t>
      </w:r>
    </w:p>
    <w:p w14:paraId="183EF844"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2C71A3A" w14:textId="77777777" w:rsidR="00C61D68" w:rsidRPr="008331F3" w:rsidRDefault="00EB068A">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lastRenderedPageBreak/>
        <w:t>Turno.</w:t>
      </w:r>
      <w:r w:rsidRPr="008331F3">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8331F3">
        <w:rPr>
          <w:rFonts w:ascii="Palatino Linotype" w:eastAsia="Palatino Linotype" w:hAnsi="Palatino Linotype" w:cs="Palatino Linotype"/>
          <w:b/>
          <w:sz w:val="24"/>
          <w:szCs w:val="24"/>
        </w:rPr>
        <w:t>15599/INFOEM/IP/RR/2022</w:t>
      </w:r>
      <w:r w:rsidRPr="008331F3">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B45EE85"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4DC6125" w14:textId="77777777" w:rsidR="00C61D68" w:rsidRPr="008331F3" w:rsidRDefault="00EB068A">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Admisión del recurso de revisión</w:t>
      </w:r>
      <w:r w:rsidRPr="008331F3">
        <w:rPr>
          <w:rFonts w:ascii="Palatino Linotype" w:eastAsia="Palatino Linotype" w:hAnsi="Palatino Linotype" w:cs="Palatino Linotype"/>
          <w:sz w:val="24"/>
          <w:szCs w:val="24"/>
        </w:rPr>
        <w:t xml:space="preserve">: En fecha </w:t>
      </w:r>
      <w:r w:rsidRPr="008331F3">
        <w:rPr>
          <w:rFonts w:ascii="Palatino Linotype" w:eastAsia="Palatino Linotype" w:hAnsi="Palatino Linotype" w:cs="Palatino Linotype"/>
          <w:b/>
          <w:sz w:val="24"/>
          <w:szCs w:val="24"/>
        </w:rPr>
        <w:t>diecinueve de octubre de dos mil veintidós</w:t>
      </w:r>
      <w:r w:rsidRPr="008331F3">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587B9F5" w14:textId="77777777" w:rsidR="00C61D68" w:rsidRPr="008331F3" w:rsidRDefault="00C61D68">
      <w:pPr>
        <w:pBdr>
          <w:top w:val="nil"/>
          <w:left w:val="nil"/>
          <w:bottom w:val="nil"/>
          <w:right w:val="nil"/>
          <w:between w:val="nil"/>
        </w:pBdr>
        <w:ind w:left="720"/>
        <w:rPr>
          <w:rFonts w:ascii="Palatino Linotype" w:eastAsia="Palatino Linotype" w:hAnsi="Palatino Linotype" w:cs="Palatino Linotype"/>
          <w:sz w:val="24"/>
          <w:szCs w:val="24"/>
        </w:rPr>
      </w:pPr>
    </w:p>
    <w:p w14:paraId="02F5CD0A" w14:textId="77777777" w:rsidR="00C61D68" w:rsidRPr="008331F3" w:rsidRDefault="00EB068A">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 xml:space="preserve">Informe Justificado. </w:t>
      </w:r>
      <w:r w:rsidRPr="008331F3">
        <w:rPr>
          <w:rFonts w:ascii="Palatino Linotype" w:eastAsia="Palatino Linotype" w:hAnsi="Palatino Linotype" w:cs="Palatino Linotype"/>
          <w:sz w:val="24"/>
          <w:szCs w:val="24"/>
        </w:rPr>
        <w:t xml:space="preserve">En fecha </w:t>
      </w:r>
      <w:r w:rsidRPr="008331F3">
        <w:rPr>
          <w:rFonts w:ascii="Palatino Linotype" w:eastAsia="Palatino Linotype" w:hAnsi="Palatino Linotype" w:cs="Palatino Linotype"/>
          <w:b/>
          <w:sz w:val="24"/>
          <w:szCs w:val="24"/>
        </w:rPr>
        <w:t xml:space="preserve">treinta y uno de octubre de dos mil veintidós </w:t>
      </w:r>
      <w:r w:rsidRPr="008331F3">
        <w:rPr>
          <w:rFonts w:ascii="Palatino Linotype" w:eastAsia="Palatino Linotype" w:hAnsi="Palatino Linotype" w:cs="Palatino Linotype"/>
          <w:sz w:val="24"/>
          <w:szCs w:val="24"/>
        </w:rPr>
        <w:t xml:space="preserve">el </w:t>
      </w:r>
      <w:r w:rsidRPr="008331F3">
        <w:rPr>
          <w:rFonts w:ascii="Palatino Linotype" w:eastAsia="Palatino Linotype" w:hAnsi="Palatino Linotype" w:cs="Palatino Linotype"/>
          <w:b/>
          <w:sz w:val="24"/>
          <w:szCs w:val="24"/>
        </w:rPr>
        <w:t xml:space="preserve">SUJETO OBLIGADO </w:t>
      </w:r>
      <w:r w:rsidRPr="008331F3">
        <w:rPr>
          <w:rFonts w:ascii="Palatino Linotype" w:eastAsia="Palatino Linotype" w:hAnsi="Palatino Linotype" w:cs="Palatino Linotype"/>
          <w:sz w:val="24"/>
          <w:szCs w:val="24"/>
        </w:rPr>
        <w:t xml:space="preserve">rindió su informe justificado, al tenor de lo siguiente: </w:t>
      </w:r>
    </w:p>
    <w:p w14:paraId="2AC7B4BA"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A6D10F9" w14:textId="77777777" w:rsidR="00C61D68" w:rsidRPr="008331F3" w:rsidRDefault="00EB068A">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31F3">
        <w:rPr>
          <w:rFonts w:ascii="Palatino Linotype" w:eastAsia="Palatino Linotype" w:hAnsi="Palatino Linotype" w:cs="Palatino Linotype"/>
        </w:rPr>
        <w:t xml:space="preserve">Oficio de fecha treinta y uno de octubre de dos mil veintidós, signado por el Coordinador de Transparencia, mediante el cual ratificó su respuesta inicial. </w:t>
      </w:r>
    </w:p>
    <w:p w14:paraId="55310349" w14:textId="77777777" w:rsidR="00C61D68" w:rsidRPr="008331F3" w:rsidRDefault="00EB068A">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31F3">
        <w:rPr>
          <w:rFonts w:ascii="Palatino Linotype" w:eastAsia="Palatino Linotype" w:hAnsi="Palatino Linotype" w:cs="Palatino Linotype"/>
        </w:rPr>
        <w:t xml:space="preserve">Oficio de fecha diez de octubre de dos mil veintidós, signado por el </w:t>
      </w:r>
      <w:proofErr w:type="gramStart"/>
      <w:r w:rsidRPr="008331F3">
        <w:rPr>
          <w:rFonts w:ascii="Palatino Linotype" w:eastAsia="Palatino Linotype" w:hAnsi="Palatino Linotype" w:cs="Palatino Linotype"/>
        </w:rPr>
        <w:t>Secretario Técnico</w:t>
      </w:r>
      <w:proofErr w:type="gramEnd"/>
      <w:r w:rsidRPr="008331F3">
        <w:rPr>
          <w:rFonts w:ascii="Palatino Linotype" w:eastAsia="Palatino Linotype" w:hAnsi="Palatino Linotype" w:cs="Palatino Linotype"/>
        </w:rPr>
        <w:t xml:space="preserve">, mediante el cual informa que la información solicitada se encuentra disponible en la siguiente liga electrónica </w:t>
      </w:r>
      <w:hyperlink r:id="rId11">
        <w:r w:rsidRPr="008331F3">
          <w:rPr>
            <w:rFonts w:ascii="Palatino Linotype" w:eastAsia="Palatino Linotype" w:hAnsi="Palatino Linotype" w:cs="Palatino Linotype"/>
            <w:u w:val="single"/>
          </w:rPr>
          <w:t>https://tlalnepantladebaz.mx/Dif/Home/PbRM</w:t>
        </w:r>
      </w:hyperlink>
    </w:p>
    <w:p w14:paraId="5457F7C3" w14:textId="77777777" w:rsidR="00C61D68" w:rsidRPr="008331F3" w:rsidRDefault="00EB068A">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31F3">
        <w:rPr>
          <w:rFonts w:ascii="Palatino Linotype" w:eastAsia="Palatino Linotype" w:hAnsi="Palatino Linotype" w:cs="Palatino Linotype"/>
        </w:rPr>
        <w:lastRenderedPageBreak/>
        <w:t xml:space="preserve">Oficio de fecha cinco de octubre de dos mil veintidós, signado por el Coordinador de Transparencia, mediante el cual solicita se le indique cuál es la información que requiere el solicitante y respecto de qué unidades administrativas que integran al organismo descentralizado. </w:t>
      </w:r>
    </w:p>
    <w:p w14:paraId="4DC8D16D" w14:textId="77777777" w:rsidR="00C61D68" w:rsidRPr="008331F3" w:rsidRDefault="00EB068A">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31F3">
        <w:rPr>
          <w:rFonts w:ascii="Palatino Linotype" w:eastAsia="Palatino Linotype" w:hAnsi="Palatino Linotype" w:cs="Palatino Linotype"/>
        </w:rPr>
        <w:t xml:space="preserve">Oficio de fecha trece de octubre de dos mil veintidós, signado por el Coordinador de Transparencia, mediante el cual informa que la información puede ser localizada en la siguiente liga electrónica </w:t>
      </w:r>
      <w:hyperlink r:id="rId12">
        <w:r w:rsidRPr="008331F3">
          <w:rPr>
            <w:rFonts w:ascii="Palatino Linotype" w:eastAsia="Palatino Linotype" w:hAnsi="Palatino Linotype" w:cs="Palatino Linotype"/>
            <w:u w:val="single"/>
          </w:rPr>
          <w:t>https://tlalnepantladebaz.mx/Dif/Home/PbRM</w:t>
        </w:r>
      </w:hyperlink>
    </w:p>
    <w:p w14:paraId="2C17176B" w14:textId="77777777" w:rsidR="00C61D68" w:rsidRPr="008331F3" w:rsidRDefault="00EB068A">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31F3">
        <w:rPr>
          <w:rFonts w:ascii="Palatino Linotype" w:eastAsia="Palatino Linotype" w:hAnsi="Palatino Linotype" w:cs="Palatino Linotype"/>
        </w:rPr>
        <w:t xml:space="preserve">Acuse de aclaración de solicitud de información pública. </w:t>
      </w:r>
    </w:p>
    <w:p w14:paraId="0CEA2F07" w14:textId="77777777" w:rsidR="00C61D68" w:rsidRPr="008331F3" w:rsidRDefault="00C61D6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F1ADA24" w14:textId="77777777" w:rsidR="00C61D68" w:rsidRPr="008331F3" w:rsidRDefault="00EB068A">
      <w:pPr>
        <w:spacing w:after="0" w:line="360" w:lineRule="auto"/>
        <w:ind w:right="49"/>
        <w:jc w:val="both"/>
        <w:rPr>
          <w:rFonts w:ascii="Palatino Linotype" w:eastAsia="Palatino Linotype" w:hAnsi="Palatino Linotype" w:cs="Palatino Linotype"/>
          <w:b/>
        </w:rPr>
      </w:pPr>
      <w:r w:rsidRPr="008331F3">
        <w:rPr>
          <w:rFonts w:ascii="Palatino Linotype" w:eastAsia="Palatino Linotype" w:hAnsi="Palatino Linotype" w:cs="Palatino Linotype"/>
        </w:rPr>
        <w:t xml:space="preserve">Documentos que se hicieron del conocimiento del Particular en fecha </w:t>
      </w:r>
      <w:r w:rsidRPr="008331F3">
        <w:rPr>
          <w:rFonts w:ascii="Palatino Linotype" w:eastAsia="Palatino Linotype" w:hAnsi="Palatino Linotype" w:cs="Palatino Linotype"/>
          <w:b/>
        </w:rPr>
        <w:t xml:space="preserve">veintinueve de marzo de dos mil veintitrés. </w:t>
      </w:r>
    </w:p>
    <w:p w14:paraId="142F4C35" w14:textId="77777777" w:rsidR="00C61D68" w:rsidRPr="008331F3" w:rsidRDefault="00C61D68">
      <w:pPr>
        <w:spacing w:after="0" w:line="360" w:lineRule="auto"/>
        <w:ind w:right="49"/>
        <w:jc w:val="both"/>
        <w:rPr>
          <w:rFonts w:ascii="Palatino Linotype" w:eastAsia="Palatino Linotype" w:hAnsi="Palatino Linotype" w:cs="Palatino Linotype"/>
        </w:rPr>
      </w:pPr>
    </w:p>
    <w:p w14:paraId="758B3869" w14:textId="77777777" w:rsidR="00C61D68" w:rsidRPr="008331F3" w:rsidRDefault="00EB068A">
      <w:pPr>
        <w:spacing w:after="0" w:line="360" w:lineRule="auto"/>
        <w:ind w:right="49"/>
        <w:jc w:val="both"/>
        <w:rPr>
          <w:rFonts w:ascii="Palatino Linotype" w:eastAsia="Palatino Linotype" w:hAnsi="Palatino Linotype" w:cs="Palatino Linotype"/>
        </w:rPr>
      </w:pPr>
      <w:r w:rsidRPr="008331F3">
        <w:rPr>
          <w:rFonts w:ascii="Palatino Linotype" w:eastAsia="Palatino Linotype" w:hAnsi="Palatino Linotype" w:cs="Palatino Linotype"/>
        </w:rPr>
        <w:t xml:space="preserve">El Particular no realizó manifestaciones al respecto. </w:t>
      </w:r>
    </w:p>
    <w:p w14:paraId="790005F5"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10F184EA" w14:textId="77777777" w:rsidR="00C61D68" w:rsidRPr="008331F3" w:rsidRDefault="00EB068A">
      <w:pPr>
        <w:numPr>
          <w:ilvl w:val="0"/>
          <w:numId w:val="3"/>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Ampliación de plazo:</w:t>
      </w:r>
      <w:r w:rsidRPr="008331F3">
        <w:rPr>
          <w:rFonts w:ascii="Palatino Linotype" w:eastAsia="Palatino Linotype" w:hAnsi="Palatino Linotype" w:cs="Palatino Linotype"/>
          <w:sz w:val="24"/>
          <w:szCs w:val="24"/>
        </w:rPr>
        <w:t xml:space="preserve"> El </w:t>
      </w:r>
      <w:r w:rsidRPr="008331F3">
        <w:rPr>
          <w:rFonts w:ascii="Palatino Linotype" w:eastAsia="Palatino Linotype" w:hAnsi="Palatino Linotype" w:cs="Palatino Linotype"/>
          <w:b/>
          <w:sz w:val="24"/>
          <w:szCs w:val="24"/>
        </w:rPr>
        <w:t>veintinueve de marzo de dos mil veintitrés</w:t>
      </w:r>
      <w:r w:rsidRPr="008331F3">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C84B0B2" w14:textId="77777777" w:rsidR="00C61D68" w:rsidRPr="008331F3" w:rsidRDefault="00C61D68">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297B4C2C"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años anteriores dentro del mismo periodo, se ha incrementado </w:t>
      </w:r>
      <w:r w:rsidRPr="008331F3">
        <w:rPr>
          <w:rFonts w:ascii="Palatino Linotype" w:eastAsia="Palatino Linotype" w:hAnsi="Palatino Linotype" w:cs="Palatino Linotype"/>
          <w:sz w:val="24"/>
          <w:szCs w:val="24"/>
        </w:rPr>
        <w:lastRenderedPageBreak/>
        <w:t>aproximadamente un 400%, circunstancia atípica que ha rebasado las capacidades técnicas y humanas del personal encargado de la proyección de las resoluciones a dichos medios de impugnación.</w:t>
      </w:r>
    </w:p>
    <w:p w14:paraId="7A25ED9A"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1C1920F0"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11518F"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 </w:t>
      </w:r>
    </w:p>
    <w:p w14:paraId="3272A188"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ABBC4A"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1635393"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8A0F70"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3D7EF7C8"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AF4810F"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107E847" w14:textId="77777777" w:rsidR="00C61D68" w:rsidRPr="008331F3" w:rsidRDefault="00EB068A">
      <w:pPr>
        <w:tabs>
          <w:tab w:val="left" w:pos="709"/>
        </w:tabs>
        <w:spacing w:after="0" w:line="360" w:lineRule="auto"/>
        <w:ind w:left="567" w:right="560"/>
        <w:jc w:val="both"/>
        <w:rPr>
          <w:rFonts w:ascii="Palatino Linotype" w:eastAsia="Palatino Linotype" w:hAnsi="Palatino Linotype" w:cs="Palatino Linotype"/>
        </w:rPr>
      </w:pPr>
      <w:r w:rsidRPr="008331F3">
        <w:rPr>
          <w:rFonts w:ascii="Palatino Linotype" w:eastAsia="Palatino Linotype" w:hAnsi="Palatino Linotype" w:cs="Palatino Linotype"/>
          <w:b/>
          <w:sz w:val="24"/>
          <w:szCs w:val="24"/>
        </w:rPr>
        <w:t>a</w:t>
      </w:r>
      <w:r w:rsidRPr="008331F3">
        <w:rPr>
          <w:rFonts w:ascii="Palatino Linotype" w:eastAsia="Palatino Linotype" w:hAnsi="Palatino Linotype" w:cs="Palatino Linotype"/>
          <w:b/>
        </w:rPr>
        <w:t>)    Complejidad del asunto:</w:t>
      </w:r>
      <w:r w:rsidRPr="008331F3">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766BEBD" w14:textId="77777777" w:rsidR="00C61D68" w:rsidRPr="008331F3" w:rsidRDefault="00EB068A">
      <w:pPr>
        <w:tabs>
          <w:tab w:val="left" w:pos="709"/>
        </w:tabs>
        <w:spacing w:after="0" w:line="360" w:lineRule="auto"/>
        <w:ind w:left="567" w:right="560"/>
        <w:jc w:val="both"/>
        <w:rPr>
          <w:rFonts w:ascii="Palatino Linotype" w:eastAsia="Palatino Linotype" w:hAnsi="Palatino Linotype" w:cs="Palatino Linotype"/>
        </w:rPr>
      </w:pPr>
      <w:r w:rsidRPr="008331F3">
        <w:rPr>
          <w:rFonts w:ascii="Palatino Linotype" w:eastAsia="Palatino Linotype" w:hAnsi="Palatino Linotype" w:cs="Palatino Linotype"/>
          <w:b/>
        </w:rPr>
        <w:t>b)   Actividad Procesal del interesado</w:t>
      </w:r>
      <w:r w:rsidRPr="008331F3">
        <w:rPr>
          <w:rFonts w:ascii="Palatino Linotype" w:eastAsia="Palatino Linotype" w:hAnsi="Palatino Linotype" w:cs="Palatino Linotype"/>
        </w:rPr>
        <w:t>: Acciones u omisiones del interesado.</w:t>
      </w:r>
    </w:p>
    <w:p w14:paraId="4BB0356C" w14:textId="77777777" w:rsidR="00C61D68" w:rsidRPr="008331F3" w:rsidRDefault="00EB068A">
      <w:pPr>
        <w:tabs>
          <w:tab w:val="left" w:pos="851"/>
        </w:tabs>
        <w:spacing w:after="0" w:line="360" w:lineRule="auto"/>
        <w:ind w:left="567" w:right="560"/>
        <w:jc w:val="both"/>
        <w:rPr>
          <w:rFonts w:ascii="Palatino Linotype" w:eastAsia="Palatino Linotype" w:hAnsi="Palatino Linotype" w:cs="Palatino Linotype"/>
        </w:rPr>
      </w:pPr>
      <w:r w:rsidRPr="008331F3">
        <w:rPr>
          <w:rFonts w:ascii="Palatino Linotype" w:eastAsia="Palatino Linotype" w:hAnsi="Palatino Linotype" w:cs="Palatino Linotype"/>
          <w:b/>
        </w:rPr>
        <w:t>c)  Conducta de la Autoridad:</w:t>
      </w:r>
      <w:r w:rsidRPr="008331F3">
        <w:rPr>
          <w:rFonts w:ascii="Palatino Linotype" w:eastAsia="Palatino Linotype" w:hAnsi="Palatino Linotype" w:cs="Palatino Linotype"/>
        </w:rPr>
        <w:t xml:space="preserve"> Las Acciones u omisiones realizadas en el procedimiento. Así como si la autoridad actuó con la debida diligencia.</w:t>
      </w:r>
    </w:p>
    <w:p w14:paraId="41FE4521" w14:textId="77777777" w:rsidR="00C61D68" w:rsidRPr="008331F3" w:rsidRDefault="00EB068A">
      <w:pPr>
        <w:tabs>
          <w:tab w:val="left" w:pos="851"/>
        </w:tabs>
        <w:spacing w:after="0" w:line="360" w:lineRule="auto"/>
        <w:ind w:left="567" w:right="560"/>
        <w:jc w:val="both"/>
        <w:rPr>
          <w:rFonts w:ascii="Palatino Linotype" w:eastAsia="Palatino Linotype" w:hAnsi="Palatino Linotype" w:cs="Palatino Linotype"/>
        </w:rPr>
      </w:pPr>
      <w:r w:rsidRPr="008331F3">
        <w:rPr>
          <w:rFonts w:ascii="Palatino Linotype" w:eastAsia="Palatino Linotype" w:hAnsi="Palatino Linotype" w:cs="Palatino Linotype"/>
          <w:b/>
        </w:rPr>
        <w:t>d) La afectación generada en la situación jurídica de la persona involucrada en el proceso:</w:t>
      </w:r>
      <w:r w:rsidRPr="008331F3">
        <w:rPr>
          <w:rFonts w:ascii="Palatino Linotype" w:eastAsia="Palatino Linotype" w:hAnsi="Palatino Linotype" w:cs="Palatino Linotype"/>
        </w:rPr>
        <w:t xml:space="preserve"> Violación a sus derechos humanos.</w:t>
      </w:r>
    </w:p>
    <w:p w14:paraId="52AED51C" w14:textId="77777777" w:rsidR="00C61D68" w:rsidRPr="008331F3" w:rsidRDefault="00C61D68">
      <w:pPr>
        <w:tabs>
          <w:tab w:val="left" w:pos="851"/>
        </w:tabs>
        <w:spacing w:after="0" w:line="360" w:lineRule="auto"/>
        <w:ind w:left="567" w:right="560"/>
        <w:jc w:val="both"/>
        <w:rPr>
          <w:rFonts w:ascii="Palatino Linotype" w:eastAsia="Palatino Linotype" w:hAnsi="Palatino Linotype" w:cs="Palatino Linotype"/>
        </w:rPr>
      </w:pPr>
    </w:p>
    <w:p w14:paraId="18327003"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FFD896"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 </w:t>
      </w:r>
    </w:p>
    <w:p w14:paraId="2F24E6DB"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8331F3">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w:t>
      </w:r>
      <w:r w:rsidRPr="008331F3">
        <w:rPr>
          <w:rFonts w:ascii="Palatino Linotype" w:eastAsia="Palatino Linotype" w:hAnsi="Palatino Linotype" w:cs="Palatino Linotype"/>
          <w:b/>
          <w:sz w:val="24"/>
          <w:szCs w:val="24"/>
        </w:rPr>
        <w:lastRenderedPageBreak/>
        <w:t>PRESUPUESTO QUE CONSIDERÓ EL LEGISLADOR AL FIJARLOS Y LAS CARACTERÍSTICAS DEL CASO.”</w:t>
      </w:r>
      <w:r w:rsidRPr="008331F3">
        <w:rPr>
          <w:rFonts w:ascii="Palatino Linotype" w:eastAsia="Palatino Linotype" w:hAnsi="Palatino Linotype" w:cs="Palatino Linotype"/>
          <w:sz w:val="24"/>
          <w:szCs w:val="24"/>
        </w:rPr>
        <w:t>, visible en la Gaceta del Seminario Judicial de la Federación con el registro digital 205635.</w:t>
      </w:r>
    </w:p>
    <w:p w14:paraId="35B93CC5"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 </w:t>
      </w:r>
    </w:p>
    <w:p w14:paraId="1E5D29E9"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1D8909"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31F23B8"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CAA10A7"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 </w:t>
      </w:r>
    </w:p>
    <w:p w14:paraId="434DA318" w14:textId="77777777" w:rsidR="00C61D68" w:rsidRPr="008331F3" w:rsidRDefault="00EB068A">
      <w:pPr>
        <w:spacing w:after="0" w:line="360" w:lineRule="auto"/>
        <w:ind w:left="567" w:right="560"/>
        <w:jc w:val="both"/>
        <w:rPr>
          <w:rFonts w:ascii="Palatino Linotype" w:eastAsia="Palatino Linotype" w:hAnsi="Palatino Linotype" w:cs="Palatino Linotype"/>
        </w:rPr>
      </w:pPr>
      <w:r w:rsidRPr="008331F3">
        <w:rPr>
          <w:rFonts w:ascii="Palatino Linotype" w:eastAsia="Palatino Linotype" w:hAnsi="Palatino Linotype" w:cs="Palatino Linotype"/>
          <w:b/>
        </w:rPr>
        <w:t xml:space="preserve"> “PLAZO RAZONABLE PARA RESOLVER. DIMENSIÓN Y EFECTOS DE ESTE CONCEPTO CUANDO SE ADUCE EXCESIVA CARGA DE TRABAJO.”</w:t>
      </w:r>
      <w:r w:rsidRPr="008331F3">
        <w:rPr>
          <w:rFonts w:ascii="Palatino Linotype" w:eastAsia="Palatino Linotype" w:hAnsi="Palatino Linotype" w:cs="Palatino Linotype"/>
        </w:rPr>
        <w:t xml:space="preserve"> consultable en el Seminario Judicial de la Federación y su gaceta, con el registro digital 2002351.</w:t>
      </w:r>
    </w:p>
    <w:p w14:paraId="1476B40D" w14:textId="77777777" w:rsidR="00C61D68" w:rsidRPr="008331F3" w:rsidRDefault="00EB068A">
      <w:pPr>
        <w:spacing w:after="0" w:line="360" w:lineRule="auto"/>
        <w:ind w:left="567" w:right="56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rPr>
        <w:lastRenderedPageBreak/>
        <w:t>“PLAZO RAZONABLE PARA RESOLVER. CONCEPTO Y ELEMENTOS QUE LO INTEGRAN A LA LUZ DEL DERECHO INTERNACIONAL DE LOS DERECHOS HUMANOS.”,</w:t>
      </w:r>
      <w:r w:rsidRPr="008331F3">
        <w:rPr>
          <w:rFonts w:ascii="Palatino Linotype" w:eastAsia="Palatino Linotype" w:hAnsi="Palatino Linotype" w:cs="Palatino Linotype"/>
        </w:rPr>
        <w:t xml:space="preserve"> visible en el Seminario Judicial de la Federación y su gaceta, con el registro digital 2002350</w:t>
      </w:r>
      <w:r w:rsidRPr="008331F3">
        <w:rPr>
          <w:rFonts w:ascii="Palatino Linotype" w:eastAsia="Palatino Linotype" w:hAnsi="Palatino Linotype" w:cs="Palatino Linotype"/>
          <w:sz w:val="24"/>
          <w:szCs w:val="24"/>
        </w:rPr>
        <w:t>.</w:t>
      </w:r>
    </w:p>
    <w:p w14:paraId="28E61284" w14:textId="77777777" w:rsidR="00C61D68" w:rsidRPr="008331F3" w:rsidRDefault="00C61D68">
      <w:pPr>
        <w:spacing w:after="0" w:line="360" w:lineRule="auto"/>
        <w:ind w:left="567" w:right="560"/>
        <w:jc w:val="both"/>
        <w:rPr>
          <w:rFonts w:ascii="Palatino Linotype" w:eastAsia="Palatino Linotype" w:hAnsi="Palatino Linotype" w:cs="Palatino Linotype"/>
          <w:sz w:val="24"/>
          <w:szCs w:val="24"/>
        </w:rPr>
      </w:pPr>
    </w:p>
    <w:p w14:paraId="1D6129D9" w14:textId="77777777" w:rsidR="00C61D68" w:rsidRPr="008331F3" w:rsidRDefault="00EB06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338F1FC8"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4C30D1B" w14:textId="77777777" w:rsidR="00C61D68" w:rsidRPr="008331F3" w:rsidRDefault="00EB068A">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Cierre de instrucción</w:t>
      </w:r>
      <w:r w:rsidRPr="008331F3">
        <w:rPr>
          <w:rFonts w:ascii="Palatino Linotype" w:eastAsia="Palatino Linotype" w:hAnsi="Palatino Linotype" w:cs="Palatino Linotype"/>
          <w:sz w:val="24"/>
          <w:szCs w:val="24"/>
        </w:rPr>
        <w:t xml:space="preserve">. En fecha </w:t>
      </w:r>
      <w:r w:rsidRPr="008331F3">
        <w:rPr>
          <w:rFonts w:ascii="Palatino Linotype" w:eastAsia="Palatino Linotype" w:hAnsi="Palatino Linotype" w:cs="Palatino Linotype"/>
          <w:b/>
          <w:sz w:val="24"/>
          <w:szCs w:val="24"/>
        </w:rPr>
        <w:t>diez de abril de dos mil veintitrés</w:t>
      </w:r>
      <w:r w:rsidRPr="008331F3">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19DA894C"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FD1DCD5"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6111C85E"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0240BB0F" w14:textId="77777777" w:rsidR="00C61D68" w:rsidRPr="008331F3" w:rsidRDefault="00EB068A">
      <w:pPr>
        <w:spacing w:after="0" w:line="360" w:lineRule="auto"/>
        <w:ind w:right="49"/>
        <w:jc w:val="center"/>
        <w:rPr>
          <w:rFonts w:ascii="Palatino Linotype" w:eastAsia="Palatino Linotype" w:hAnsi="Palatino Linotype" w:cs="Palatino Linotype"/>
          <w:b/>
          <w:sz w:val="24"/>
          <w:szCs w:val="24"/>
        </w:rPr>
      </w:pPr>
      <w:r w:rsidRPr="008331F3">
        <w:rPr>
          <w:rFonts w:ascii="Palatino Linotype" w:eastAsia="Palatino Linotype" w:hAnsi="Palatino Linotype" w:cs="Palatino Linotype"/>
          <w:b/>
          <w:sz w:val="24"/>
          <w:szCs w:val="24"/>
        </w:rPr>
        <w:t>II.</w:t>
      </w:r>
      <w:r w:rsidRPr="008331F3">
        <w:rPr>
          <w:rFonts w:ascii="Palatino Linotype" w:eastAsia="Palatino Linotype" w:hAnsi="Palatino Linotype" w:cs="Palatino Linotype"/>
          <w:b/>
          <w:sz w:val="24"/>
          <w:szCs w:val="24"/>
        </w:rPr>
        <w:tab/>
        <w:t>C O N S I D E R A N D O:</w:t>
      </w:r>
    </w:p>
    <w:p w14:paraId="0854DA10"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3A3E405A"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Primero. Competencia.</w:t>
      </w:r>
      <w:r w:rsidRPr="008331F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w:t>
      </w:r>
      <w:r w:rsidRPr="008331F3">
        <w:rPr>
          <w:rFonts w:ascii="Palatino Linotype" w:eastAsia="Palatino Linotype" w:hAnsi="Palatino Linotype" w:cs="Palatino Linotype"/>
          <w:sz w:val="24"/>
          <w:szCs w:val="24"/>
        </w:rPr>
        <w:lastRenderedPageBreak/>
        <w:t>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137916F"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BD30439"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Segundo. Oportunidad y Procedibilidad del Recurso de Revisión.</w:t>
      </w:r>
      <w:r w:rsidRPr="008331F3">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7955E1AF"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6EC00037"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8331F3">
        <w:rPr>
          <w:rFonts w:ascii="Palatino Linotype" w:eastAsia="Palatino Linotype" w:hAnsi="Palatino Linotype" w:cs="Palatino Linotype"/>
          <w:b/>
          <w:sz w:val="24"/>
          <w:szCs w:val="24"/>
        </w:rPr>
        <w:t>SUJETO OBLIGADO</w:t>
      </w:r>
      <w:r w:rsidRPr="008331F3">
        <w:rPr>
          <w:rFonts w:ascii="Palatino Linotype" w:eastAsia="Palatino Linotype" w:hAnsi="Palatino Linotype" w:cs="Palatino Linotype"/>
          <w:sz w:val="24"/>
          <w:szCs w:val="24"/>
        </w:rPr>
        <w:t xml:space="preserve"> remitió la respuesta a la solicitud de información el </w:t>
      </w:r>
      <w:r w:rsidRPr="008331F3">
        <w:rPr>
          <w:rFonts w:ascii="Palatino Linotype" w:eastAsia="Palatino Linotype" w:hAnsi="Palatino Linotype" w:cs="Palatino Linotype"/>
          <w:b/>
          <w:sz w:val="24"/>
          <w:szCs w:val="24"/>
        </w:rPr>
        <w:t>trece de octubre de dos mil veintidós</w:t>
      </w:r>
      <w:r w:rsidRPr="008331F3">
        <w:rPr>
          <w:rFonts w:ascii="Palatino Linotype" w:eastAsia="Palatino Linotype" w:hAnsi="Palatino Linotype" w:cs="Palatino Linotype"/>
          <w:sz w:val="24"/>
          <w:szCs w:val="24"/>
        </w:rPr>
        <w:t xml:space="preserve">, mientras que el recurso de revisión interpuesto por la parte </w:t>
      </w:r>
      <w:r w:rsidRPr="008331F3">
        <w:rPr>
          <w:rFonts w:ascii="Palatino Linotype" w:eastAsia="Palatino Linotype" w:hAnsi="Palatino Linotype" w:cs="Palatino Linotype"/>
          <w:b/>
          <w:sz w:val="24"/>
          <w:szCs w:val="24"/>
        </w:rPr>
        <w:t xml:space="preserve">RECURRENTE </w:t>
      </w:r>
      <w:r w:rsidRPr="008331F3">
        <w:rPr>
          <w:rFonts w:ascii="Palatino Linotype" w:eastAsia="Palatino Linotype" w:hAnsi="Palatino Linotype" w:cs="Palatino Linotype"/>
          <w:sz w:val="24"/>
          <w:szCs w:val="24"/>
        </w:rPr>
        <w:t xml:space="preserve">se tuvo por presentado </w:t>
      </w:r>
      <w:r w:rsidRPr="008331F3">
        <w:rPr>
          <w:rFonts w:ascii="Palatino Linotype" w:eastAsia="Palatino Linotype" w:hAnsi="Palatino Linotype" w:cs="Palatino Linotype"/>
          <w:b/>
          <w:sz w:val="24"/>
          <w:szCs w:val="24"/>
        </w:rPr>
        <w:t>catorce de octubre de dos mil veintidós</w:t>
      </w:r>
      <w:r w:rsidRPr="008331F3">
        <w:rPr>
          <w:rFonts w:ascii="Palatino Linotype" w:eastAsia="Palatino Linotype" w:hAnsi="Palatino Linotype" w:cs="Palatino Linotype"/>
          <w:sz w:val="24"/>
          <w:szCs w:val="24"/>
        </w:rPr>
        <w:t>, esto es, al siguiente día hábil en que se tuvo conocimiento de la respuesta.</w:t>
      </w:r>
    </w:p>
    <w:p w14:paraId="56D531BE"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lastRenderedPageBreak/>
        <w:t xml:space="preserve">En este sentido, al considerar la fecha en que se formuló la solicitud y la fecha en que respondió a esta el </w:t>
      </w:r>
      <w:r w:rsidRPr="008331F3">
        <w:rPr>
          <w:rFonts w:ascii="Palatino Linotype" w:eastAsia="Palatino Linotype" w:hAnsi="Palatino Linotype" w:cs="Palatino Linotype"/>
          <w:b/>
          <w:sz w:val="24"/>
          <w:szCs w:val="24"/>
        </w:rPr>
        <w:t>SUJETO OBLIGADO</w:t>
      </w:r>
      <w:r w:rsidRPr="008331F3">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4BE2384A"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09648CC" w14:textId="77777777" w:rsidR="00C61D68" w:rsidRPr="008331F3" w:rsidRDefault="00EB068A">
      <w:pPr>
        <w:spacing w:after="0" w:line="360" w:lineRule="auto"/>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Es de suma importancia mencionar que, si bien la parte proporcionó un seudónimo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07392BF" w14:textId="77777777" w:rsidR="00C61D68" w:rsidRPr="008331F3" w:rsidRDefault="00C61D68">
      <w:pPr>
        <w:spacing w:after="0" w:line="360" w:lineRule="auto"/>
        <w:jc w:val="both"/>
        <w:rPr>
          <w:rFonts w:ascii="Palatino Linotype" w:eastAsia="Palatino Linotype" w:hAnsi="Palatino Linotype" w:cs="Palatino Linotype"/>
          <w:sz w:val="24"/>
          <w:szCs w:val="24"/>
        </w:rPr>
      </w:pPr>
    </w:p>
    <w:p w14:paraId="4CD1A505"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"Las solicitudes anónimas, con nombre incompleto o </w:t>
      </w:r>
      <w:r w:rsidRPr="008331F3">
        <w:rPr>
          <w:rFonts w:ascii="Palatino Linotype" w:eastAsia="Palatino Linotype" w:hAnsi="Palatino Linotype" w:cs="Palatino Linotype"/>
          <w:b/>
          <w:i/>
          <w:u w:val="single"/>
        </w:rPr>
        <w:t xml:space="preserve">seudónimo </w:t>
      </w:r>
      <w:r w:rsidRPr="008331F3">
        <w:rPr>
          <w:rFonts w:ascii="Palatino Linotype" w:eastAsia="Palatino Linotype" w:hAnsi="Palatino Linotype" w:cs="Palatino Linotype"/>
          <w:i/>
        </w:rPr>
        <w:t>serán procedentes para su trámite por parte del sujeto obligado ante quien se presente. No podrá requerirse información adicional con motivo del nombre proporcionado por el solicitante."</w:t>
      </w:r>
    </w:p>
    <w:p w14:paraId="21B47F6B"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488F41B"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331F3">
        <w:rPr>
          <w:rFonts w:ascii="Palatino Linotype" w:eastAsia="Palatino Linotype" w:hAnsi="Palatino Linotype" w:cs="Palatino Linotype"/>
          <w:b/>
          <w:sz w:val="24"/>
          <w:szCs w:val="24"/>
        </w:rPr>
        <w:t>SAIMEX</w:t>
      </w:r>
      <w:r w:rsidRPr="008331F3">
        <w:rPr>
          <w:rFonts w:ascii="Palatino Linotype" w:eastAsia="Palatino Linotype" w:hAnsi="Palatino Linotype" w:cs="Palatino Linotype"/>
          <w:sz w:val="24"/>
          <w:szCs w:val="24"/>
        </w:rPr>
        <w:t xml:space="preserve">.  </w:t>
      </w:r>
    </w:p>
    <w:p w14:paraId="3509672E"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4C83277"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lastRenderedPageBreak/>
        <w:t>Finalmente, resulta procedente la interposición del recurso de revisión al rubro anotado, toda vez que se actualiza la hipótesis de procedencia prevista en el artículo 179, fracción I de la Ley de la materia, que a la letra dice:</w:t>
      </w:r>
    </w:p>
    <w:p w14:paraId="4F44E881"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1987E92"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r w:rsidRPr="008331F3">
        <w:rPr>
          <w:rFonts w:ascii="Palatino Linotype" w:eastAsia="Palatino Linotype" w:hAnsi="Palatino Linotype" w:cs="Palatino Linotype"/>
          <w:b/>
          <w:i/>
        </w:rPr>
        <w:t>Artículo 179.</w:t>
      </w:r>
      <w:r w:rsidRPr="008331F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23C7B7B"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p>
    <w:p w14:paraId="155A12B9"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I. La negativa a la información solicitada;” (Sic)</w:t>
      </w:r>
    </w:p>
    <w:p w14:paraId="3B8D128F"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E0DB923"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Tercero. Materia de la revisión</w:t>
      </w:r>
      <w:r w:rsidRPr="008331F3">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I del artículo 179 de la Ley en la materia. </w:t>
      </w:r>
    </w:p>
    <w:p w14:paraId="5F844E9A"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71C85072"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Cuarto.</w:t>
      </w:r>
      <w:r w:rsidRPr="008331F3">
        <w:rPr>
          <w:rFonts w:ascii="Palatino Linotype" w:eastAsia="Palatino Linotype" w:hAnsi="Palatino Linotype" w:cs="Palatino Linotype"/>
          <w:sz w:val="24"/>
          <w:szCs w:val="24"/>
        </w:rPr>
        <w:t xml:space="preserve"> </w:t>
      </w:r>
      <w:r w:rsidRPr="008331F3">
        <w:rPr>
          <w:rFonts w:ascii="Palatino Linotype" w:eastAsia="Palatino Linotype" w:hAnsi="Palatino Linotype" w:cs="Palatino Linotype"/>
          <w:b/>
          <w:sz w:val="24"/>
          <w:szCs w:val="24"/>
        </w:rPr>
        <w:t>Estudio de fondo del asunto.</w:t>
      </w:r>
      <w:r w:rsidRPr="008331F3">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CC311D6" w14:textId="77777777" w:rsidR="00C61D68" w:rsidRPr="008331F3" w:rsidRDefault="00C61D68">
      <w:pPr>
        <w:spacing w:after="0" w:line="360" w:lineRule="auto"/>
        <w:ind w:left="567" w:right="560"/>
        <w:jc w:val="both"/>
        <w:rPr>
          <w:rFonts w:ascii="Palatino Linotype" w:eastAsia="Palatino Linotype" w:hAnsi="Palatino Linotype" w:cs="Palatino Linotype"/>
          <w:i/>
        </w:rPr>
      </w:pPr>
    </w:p>
    <w:p w14:paraId="52901249"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b/>
          <w:i/>
        </w:rPr>
        <w:t>Artículo 1o.</w:t>
      </w:r>
      <w:r w:rsidRPr="008331F3">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C1A68A9"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C2E1C0D"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FF6CD8E"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p>
    <w:p w14:paraId="2A388838" w14:textId="77777777" w:rsidR="00C61D68" w:rsidRPr="008331F3" w:rsidRDefault="00EB068A">
      <w:pPr>
        <w:spacing w:after="0" w:line="276" w:lineRule="auto"/>
        <w:ind w:left="567" w:right="560"/>
        <w:jc w:val="both"/>
        <w:rPr>
          <w:rFonts w:ascii="Palatino Linotype" w:eastAsia="Palatino Linotype" w:hAnsi="Palatino Linotype" w:cs="Palatino Linotype"/>
          <w:b/>
          <w:i/>
        </w:rPr>
      </w:pPr>
      <w:r w:rsidRPr="008331F3">
        <w:rPr>
          <w:rFonts w:ascii="Palatino Linotype" w:eastAsia="Palatino Linotype" w:hAnsi="Palatino Linotype" w:cs="Palatino Linotype"/>
          <w:b/>
          <w:i/>
        </w:rPr>
        <w:t>“Artículo 6o.</w:t>
      </w:r>
    </w:p>
    <w:p w14:paraId="55CE98B2"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p>
    <w:p w14:paraId="71C4C206"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24544675"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1FCE18"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lastRenderedPageBreak/>
        <w:t xml:space="preserve"> II. La información que se refiere a la vida privada y los datos personales será protegida en los términos y con las excepciones que fijen las leyes.</w:t>
      </w:r>
    </w:p>
    <w:p w14:paraId="6F325585"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907B13F"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3727A750"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74A716C"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4DEDE90A"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3B12164D"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3FEE5081"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493381C"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0EDC5C72"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lastRenderedPageBreak/>
        <w:t>“</w:t>
      </w:r>
      <w:r w:rsidRPr="008331F3">
        <w:rPr>
          <w:rFonts w:ascii="Palatino Linotype" w:eastAsia="Palatino Linotype" w:hAnsi="Palatino Linotype" w:cs="Palatino Linotype"/>
          <w:b/>
          <w:i/>
        </w:rPr>
        <w:t>Artículo 4.</w:t>
      </w:r>
      <w:r w:rsidRPr="008331F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6D345D3"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22A8345"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3FAE32F" w14:textId="77777777" w:rsidR="00C61D68" w:rsidRPr="008331F3" w:rsidRDefault="00C61D68">
      <w:pPr>
        <w:spacing w:after="0" w:line="360" w:lineRule="auto"/>
        <w:ind w:left="567" w:right="560"/>
        <w:jc w:val="both"/>
        <w:rPr>
          <w:rFonts w:ascii="Palatino Linotype" w:eastAsia="Palatino Linotype" w:hAnsi="Palatino Linotype" w:cs="Palatino Linotype"/>
          <w:i/>
          <w:sz w:val="24"/>
          <w:szCs w:val="24"/>
        </w:rPr>
      </w:pPr>
    </w:p>
    <w:p w14:paraId="1AEA31E2"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5885A3C"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7AFA6CEF"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r w:rsidRPr="008331F3">
        <w:rPr>
          <w:rFonts w:ascii="Palatino Linotype" w:eastAsia="Palatino Linotype" w:hAnsi="Palatino Linotype" w:cs="Palatino Linotype"/>
          <w:b/>
          <w:i/>
        </w:rPr>
        <w:t>Artículo 12.</w:t>
      </w:r>
      <w:r w:rsidRPr="008331F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432156A"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8331F3">
        <w:rPr>
          <w:rFonts w:ascii="Palatino Linotype" w:eastAsia="Palatino Linotype" w:hAnsi="Palatino Linotype" w:cs="Palatino Linotype"/>
          <w:i/>
        </w:rPr>
        <w:lastRenderedPageBreak/>
        <w:t xml:space="preserve">interés del solicitante; no estarán obligados a generarla, resumirla, efectuar cálculos o practicar investigaciones.” </w:t>
      </w:r>
    </w:p>
    <w:p w14:paraId="406C88CE"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1EC92612"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25C65536"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4BFB5D5" w14:textId="77777777" w:rsidR="00C61D68" w:rsidRPr="008331F3" w:rsidRDefault="00EB068A">
      <w:pPr>
        <w:spacing w:after="0" w:line="276" w:lineRule="auto"/>
        <w:ind w:left="567" w:right="560"/>
        <w:jc w:val="both"/>
        <w:rPr>
          <w:rFonts w:ascii="Palatino Linotype" w:eastAsia="Palatino Linotype" w:hAnsi="Palatino Linotype" w:cs="Palatino Linotype"/>
          <w:b/>
          <w:i/>
        </w:rPr>
      </w:pPr>
      <w:r w:rsidRPr="008331F3">
        <w:rPr>
          <w:rFonts w:ascii="Palatino Linotype" w:eastAsia="Palatino Linotype" w:hAnsi="Palatino Linotype" w:cs="Palatino Linotype"/>
          <w:b/>
          <w:i/>
        </w:rPr>
        <w:t>Criterio 03/17</w:t>
      </w:r>
    </w:p>
    <w:p w14:paraId="09AF9595"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b/>
          <w:i/>
        </w:rPr>
        <w:t xml:space="preserve">“NO EXISTE OBLIGACIÓN DE ELABORAR DOCUMENTOS AD HOC PARA ATENDER LAS SOLICITUDES DE ACCESO A LA INFORMACIÓN. </w:t>
      </w:r>
      <w:r w:rsidRPr="008331F3">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00A2981" w14:textId="77777777" w:rsidR="00C61D68" w:rsidRPr="008331F3" w:rsidRDefault="00C61D68">
      <w:pPr>
        <w:spacing w:after="0" w:line="360" w:lineRule="auto"/>
        <w:ind w:left="567" w:right="560"/>
        <w:jc w:val="both"/>
        <w:rPr>
          <w:rFonts w:ascii="Palatino Linotype" w:eastAsia="Palatino Linotype" w:hAnsi="Palatino Linotype" w:cs="Palatino Linotype"/>
          <w:b/>
          <w:i/>
          <w:sz w:val="24"/>
          <w:szCs w:val="24"/>
        </w:rPr>
      </w:pPr>
    </w:p>
    <w:p w14:paraId="10E7126F"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Por otra parte, y aunado a lo antepuesto, el último párrafo del artículo 24 de la Ley de la materia, dispone que los Sujetos Obligados sólo proporcionarán la información </w:t>
      </w:r>
      <w:r w:rsidRPr="008331F3">
        <w:rPr>
          <w:rFonts w:ascii="Palatino Linotype" w:eastAsia="Palatino Linotype" w:hAnsi="Palatino Linotype" w:cs="Palatino Linotype"/>
          <w:sz w:val="24"/>
          <w:szCs w:val="24"/>
        </w:rPr>
        <w:lastRenderedPageBreak/>
        <w:t>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BBAD444"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196DE110"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75FEAAC"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5BA8361"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F4EF13B"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12897233"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lastRenderedPageBreak/>
        <w:t>“</w:t>
      </w:r>
      <w:r w:rsidRPr="008331F3">
        <w:rPr>
          <w:rFonts w:ascii="Palatino Linotype" w:eastAsia="Palatino Linotype" w:hAnsi="Palatino Linotype" w:cs="Palatino Linotype"/>
          <w:b/>
          <w:i/>
        </w:rPr>
        <w:t>Artículo 3.</w:t>
      </w:r>
      <w:r w:rsidRPr="008331F3">
        <w:rPr>
          <w:rFonts w:ascii="Palatino Linotype" w:eastAsia="Palatino Linotype" w:hAnsi="Palatino Linotype" w:cs="Palatino Linotype"/>
          <w:i/>
        </w:rPr>
        <w:t xml:space="preserve"> Para los efectos de la presente Ley se entenderá por:</w:t>
      </w:r>
    </w:p>
    <w:p w14:paraId="3DEEDB7B"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p>
    <w:p w14:paraId="0F66C611"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b/>
          <w:i/>
        </w:rPr>
        <w:t>XI. Documento:</w:t>
      </w:r>
      <w:r w:rsidRPr="008331F3">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4C93F7B"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6795528F"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68D21F9"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F5D281F" w14:textId="77777777" w:rsidR="00C61D68" w:rsidRPr="008331F3" w:rsidRDefault="00EB068A">
      <w:pPr>
        <w:spacing w:after="0" w:line="276" w:lineRule="auto"/>
        <w:ind w:left="567" w:right="560"/>
        <w:jc w:val="both"/>
        <w:rPr>
          <w:rFonts w:ascii="Palatino Linotype" w:eastAsia="Palatino Linotype" w:hAnsi="Palatino Linotype" w:cs="Palatino Linotype"/>
          <w:b/>
          <w:i/>
        </w:rPr>
      </w:pPr>
      <w:r w:rsidRPr="008331F3">
        <w:rPr>
          <w:rFonts w:ascii="Palatino Linotype" w:eastAsia="Palatino Linotype" w:hAnsi="Palatino Linotype" w:cs="Palatino Linotype"/>
          <w:i/>
        </w:rPr>
        <w:t>“</w:t>
      </w:r>
      <w:r w:rsidRPr="008331F3">
        <w:rPr>
          <w:rFonts w:ascii="Palatino Linotype" w:eastAsia="Palatino Linotype" w:hAnsi="Palatino Linotype" w:cs="Palatino Linotype"/>
          <w:b/>
          <w:i/>
        </w:rPr>
        <w:t>CRITERIO 0002-11</w:t>
      </w:r>
    </w:p>
    <w:p w14:paraId="43D8FEDC"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331F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B61057"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En </w:t>
      </w:r>
      <w:proofErr w:type="gramStart"/>
      <w:r w:rsidRPr="008331F3">
        <w:rPr>
          <w:rFonts w:ascii="Palatino Linotype" w:eastAsia="Palatino Linotype" w:hAnsi="Palatino Linotype" w:cs="Palatino Linotype"/>
          <w:i/>
        </w:rPr>
        <w:t>consecuencia</w:t>
      </w:r>
      <w:proofErr w:type="gramEnd"/>
      <w:r w:rsidRPr="008331F3">
        <w:rPr>
          <w:rFonts w:ascii="Palatino Linotype" w:eastAsia="Palatino Linotype" w:hAnsi="Palatino Linotype" w:cs="Palatino Linotype"/>
          <w:i/>
        </w:rPr>
        <w:t xml:space="preserve"> el acceso a la información se refiere a que se cumplan cualquiera de los siguientes tres supuestos:</w:t>
      </w:r>
    </w:p>
    <w:p w14:paraId="419DD251"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1)</w:t>
      </w:r>
      <w:r w:rsidRPr="008331F3">
        <w:rPr>
          <w:rFonts w:ascii="Palatino Linotype" w:eastAsia="Palatino Linotype" w:hAnsi="Palatino Linotype" w:cs="Palatino Linotype"/>
          <w:i/>
        </w:rPr>
        <w:tab/>
        <w:t xml:space="preserve">Que se trate de información registrada en cualquier soporte documental, </w:t>
      </w:r>
      <w:proofErr w:type="gramStart"/>
      <w:r w:rsidRPr="008331F3">
        <w:rPr>
          <w:rFonts w:ascii="Palatino Linotype" w:eastAsia="Palatino Linotype" w:hAnsi="Palatino Linotype" w:cs="Palatino Linotype"/>
          <w:i/>
        </w:rPr>
        <w:t>que</w:t>
      </w:r>
      <w:proofErr w:type="gramEnd"/>
      <w:r w:rsidRPr="008331F3">
        <w:rPr>
          <w:rFonts w:ascii="Palatino Linotype" w:eastAsia="Palatino Linotype" w:hAnsi="Palatino Linotype" w:cs="Palatino Linotype"/>
          <w:i/>
        </w:rPr>
        <w:t xml:space="preserve"> en ejercicio de las atribuciones conferidas, sea generada por los Sujetos Obligados;</w:t>
      </w:r>
    </w:p>
    <w:p w14:paraId="5E9A38E1"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lastRenderedPageBreak/>
        <w:t>2)</w:t>
      </w:r>
      <w:r w:rsidRPr="008331F3">
        <w:rPr>
          <w:rFonts w:ascii="Palatino Linotype" w:eastAsia="Palatino Linotype" w:hAnsi="Palatino Linotype" w:cs="Palatino Linotype"/>
          <w:i/>
        </w:rPr>
        <w:tab/>
        <w:t xml:space="preserve">Que se trate de información registrada en cualquier soporte documental, </w:t>
      </w:r>
      <w:proofErr w:type="gramStart"/>
      <w:r w:rsidRPr="008331F3">
        <w:rPr>
          <w:rFonts w:ascii="Palatino Linotype" w:eastAsia="Palatino Linotype" w:hAnsi="Palatino Linotype" w:cs="Palatino Linotype"/>
          <w:i/>
        </w:rPr>
        <w:t>que</w:t>
      </w:r>
      <w:proofErr w:type="gramEnd"/>
      <w:r w:rsidRPr="008331F3">
        <w:rPr>
          <w:rFonts w:ascii="Palatino Linotype" w:eastAsia="Palatino Linotype" w:hAnsi="Palatino Linotype" w:cs="Palatino Linotype"/>
          <w:i/>
        </w:rPr>
        <w:t xml:space="preserve"> en ejercicio de las atribuciones conferidas, sea administrada por los Sujetos Obligados, y</w:t>
      </w:r>
    </w:p>
    <w:p w14:paraId="5D84E634" w14:textId="77777777" w:rsidR="00C61D68" w:rsidRPr="008331F3" w:rsidRDefault="00EB068A">
      <w:pPr>
        <w:spacing w:after="0" w:line="276" w:lineRule="auto"/>
        <w:ind w:left="567" w:right="560"/>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3) Que se trate de información registrada en cualquier soporte documental, </w:t>
      </w:r>
      <w:proofErr w:type="gramStart"/>
      <w:r w:rsidRPr="008331F3">
        <w:rPr>
          <w:rFonts w:ascii="Palatino Linotype" w:eastAsia="Palatino Linotype" w:hAnsi="Palatino Linotype" w:cs="Palatino Linotype"/>
          <w:i/>
        </w:rPr>
        <w:t>que</w:t>
      </w:r>
      <w:proofErr w:type="gramEnd"/>
      <w:r w:rsidRPr="008331F3">
        <w:rPr>
          <w:rFonts w:ascii="Palatino Linotype" w:eastAsia="Palatino Linotype" w:hAnsi="Palatino Linotype" w:cs="Palatino Linotype"/>
          <w:i/>
        </w:rPr>
        <w:t xml:space="preserve"> en ejercicio de las atribuciones conferidas, se encuentre en posesión de los Sujetos Obligados.” </w:t>
      </w:r>
    </w:p>
    <w:p w14:paraId="4E804A42"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AAD9900"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60D3525D"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60BB0EC"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De las actuaciones que integran el expediente electrónico, se procede al análisis de los agravios hechos valer por la parte Recurrente, relativos a la negativa a la información solicitada, lo que actualiza la causal de procedencia prevista en la fracción I del artículo 179 de la Ley de Transparencia y Acceso a la Información Pública del Estado de México y Municipios. </w:t>
      </w:r>
    </w:p>
    <w:p w14:paraId="298F203B"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72D450BF"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562A9D01"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3BD625AD" w14:textId="77777777" w:rsidR="00C61D68" w:rsidRPr="008331F3" w:rsidRDefault="00EB068A">
      <w:pPr>
        <w:numPr>
          <w:ilvl w:val="0"/>
          <w:numId w:val="1"/>
        </w:numPr>
        <w:pBdr>
          <w:top w:val="nil"/>
          <w:left w:val="nil"/>
          <w:bottom w:val="nil"/>
          <w:right w:val="nil"/>
          <w:between w:val="nil"/>
        </w:pBdr>
        <w:tabs>
          <w:tab w:val="left" w:pos="993"/>
        </w:tabs>
        <w:spacing w:after="0" w:line="360" w:lineRule="auto"/>
        <w:ind w:left="993" w:right="49"/>
        <w:jc w:val="both"/>
        <w:rPr>
          <w:rFonts w:ascii="Palatino Linotype" w:eastAsia="Palatino Linotype" w:hAnsi="Palatino Linotype" w:cs="Palatino Linotype"/>
          <w:b/>
        </w:rPr>
      </w:pPr>
      <w:r w:rsidRPr="008331F3">
        <w:rPr>
          <w:rFonts w:ascii="Palatino Linotype" w:eastAsia="Palatino Linotype" w:hAnsi="Palatino Linotype" w:cs="Palatino Linotype"/>
          <w:b/>
        </w:rPr>
        <w:t xml:space="preserve">Formatos </w:t>
      </w:r>
      <w:proofErr w:type="spellStart"/>
      <w:r w:rsidRPr="008331F3">
        <w:rPr>
          <w:rFonts w:ascii="Palatino Linotype" w:eastAsia="Palatino Linotype" w:hAnsi="Palatino Linotype" w:cs="Palatino Linotype"/>
          <w:b/>
        </w:rPr>
        <w:t>PbRM</w:t>
      </w:r>
      <w:proofErr w:type="spellEnd"/>
      <w:r w:rsidRPr="008331F3">
        <w:rPr>
          <w:rFonts w:ascii="Palatino Linotype" w:eastAsia="Palatino Linotype" w:hAnsi="Palatino Linotype" w:cs="Palatino Linotype"/>
          <w:b/>
        </w:rPr>
        <w:t xml:space="preserve"> debidamente firmados al segundo trimestre.</w:t>
      </w:r>
    </w:p>
    <w:p w14:paraId="2170306C"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lastRenderedPageBreak/>
        <w:t xml:space="preserve">El Sujeto Obligado, en primera instancia, solicitó al Particular indicara cuál es la información que requiere y de qué unidades administrativas que integran al Sujeto Obligado, es por lo que, el ahora Recurrente refirió que la información era clara; en respuesta, el Organismo Descentralizado, a través de su Secretario Técnico refirió que la información se encontraba publicada en la siguiente liga electrónica </w:t>
      </w:r>
      <w:hyperlink r:id="rId13">
        <w:r w:rsidRPr="008331F3">
          <w:rPr>
            <w:rFonts w:ascii="Palatino Linotype" w:eastAsia="Palatino Linotype" w:hAnsi="Palatino Linotype" w:cs="Palatino Linotype"/>
            <w:u w:val="single"/>
          </w:rPr>
          <w:t>https://tlalnepantladebaz.mx/Dif/Home/PbRM</w:t>
        </w:r>
      </w:hyperlink>
    </w:p>
    <w:p w14:paraId="67FE5927"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3AF16AB"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Derivado de ello, el Particular mediante su recurso de revisión, se agravió arguyendo la negativa de entrega de la información, ya que el Organismo Descentralizado había solicitado una prórroga y había enviado una liga electrónica, situación por la cual, el Sujeto Obligado mediante informe justificado, ratificó su respuesta. </w:t>
      </w:r>
    </w:p>
    <w:p w14:paraId="0F056E5F"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5E67FA97" w14:textId="77777777" w:rsidR="00C61D68" w:rsidRPr="008331F3" w:rsidRDefault="00EB068A">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Dicho lo anterior, resulta procedente contextualizar la información refiriendo que el Manual para la Planeación, Programación y Presupuesto de Egresos Municipal para el Ejercicio Fiscal 2022, es un instrumento fundamental para la planeación, programación, elaboración del presupuesto, seguimiento y evaluación del desempeño. </w:t>
      </w:r>
    </w:p>
    <w:p w14:paraId="56056904" w14:textId="77777777" w:rsidR="00C61D68" w:rsidRPr="008331F3" w:rsidRDefault="00C61D6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289AA974" w14:textId="77777777" w:rsidR="00C61D68" w:rsidRPr="008331F3" w:rsidRDefault="00EB068A">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En ese sentido, este documento, se apoya en los elementos de la planeación estratégica y constituye un medio para ordenar las acciones y recurso de la gestión gubernamental; ya que se relaciona con las metas con los recursos presupuestados y los resultados que esperan alcanzar las dependencias y organismos municipales, de tal forma que, el Proyecto de Presupuesto deberá contener sus respectivos objetivos, metas de </w:t>
      </w:r>
      <w:r w:rsidRPr="008331F3">
        <w:rPr>
          <w:rFonts w:ascii="Palatino Linotype" w:eastAsia="Palatino Linotype" w:hAnsi="Palatino Linotype" w:cs="Palatino Linotype"/>
          <w:sz w:val="24"/>
          <w:szCs w:val="24"/>
        </w:rPr>
        <w:lastRenderedPageBreak/>
        <w:t xml:space="preserve">actividades e </w:t>
      </w:r>
      <w:r w:rsidRPr="008331F3">
        <w:rPr>
          <w:rFonts w:ascii="Palatino Linotype" w:eastAsia="Palatino Linotype" w:hAnsi="Palatino Linotype" w:cs="Palatino Linotype"/>
          <w:b/>
          <w:sz w:val="24"/>
          <w:szCs w:val="24"/>
        </w:rPr>
        <w:t xml:space="preserve">indicadores </w:t>
      </w:r>
      <w:r w:rsidRPr="008331F3">
        <w:rPr>
          <w:rFonts w:ascii="Palatino Linotype" w:eastAsia="Palatino Linotype" w:hAnsi="Palatino Linotype" w:cs="Palatino Linotype"/>
          <w:sz w:val="24"/>
          <w:szCs w:val="24"/>
        </w:rPr>
        <w:t xml:space="preserve">que deberán vincularse al Plan de Desarrollo Municipal correspondiente. </w:t>
      </w:r>
    </w:p>
    <w:p w14:paraId="5063894D" w14:textId="77777777" w:rsidR="00C61D68" w:rsidRPr="008331F3" w:rsidRDefault="00C61D6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59737BA" w14:textId="77777777" w:rsidR="00C61D68" w:rsidRPr="008331F3" w:rsidRDefault="00EB068A">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Ahora bien, las dependencias generales y auxiliares, en forma coordinada con la Unidad de Información, Planeación y Presupuestación verificarán la elaboración y actualización de las fases de la Metodología del Marco Lógico para las Matrices de Indicadores para Resultados, los cuales contienen los indicadores estratégicos y de gestión para el seguimiento y evaluación del desempeño de programas presupuestarios que conformarán el Programa Anual. </w:t>
      </w:r>
    </w:p>
    <w:p w14:paraId="65418B7F" w14:textId="77777777" w:rsidR="00C61D68" w:rsidRPr="008331F3" w:rsidRDefault="00C61D6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E91786E"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En relación con lo anterior, es de precisar que en el Presupuesto basado en Resultados (</w:t>
      </w:r>
      <w:proofErr w:type="spellStart"/>
      <w:r w:rsidRPr="008331F3">
        <w:rPr>
          <w:rFonts w:ascii="Palatino Linotype" w:eastAsia="Palatino Linotype" w:hAnsi="Palatino Linotype" w:cs="Palatino Linotype"/>
          <w:sz w:val="24"/>
          <w:szCs w:val="24"/>
        </w:rPr>
        <w:t>PbR</w:t>
      </w:r>
      <w:proofErr w:type="spellEnd"/>
      <w:r w:rsidRPr="008331F3">
        <w:rPr>
          <w:rFonts w:ascii="Palatino Linotype" w:eastAsia="Palatino Linotype" w:hAnsi="Palatino Linotype" w:cs="Palatino Linotype"/>
          <w:sz w:val="24"/>
          <w:szCs w:val="24"/>
        </w:rPr>
        <w:t xml:space="preserve">), se plasman los objetivos, estrategias, metas de actividad, indicadores y proyectos, que se traducen en resultados concretos a visualizarse en el periodo presupuestal determinado, en ese sentido, se cuentan con diferentes formatos, los cuales son encaminados a identificar determinadas áreas o campos, siendo los siguientes: </w:t>
      </w:r>
    </w:p>
    <w:p w14:paraId="4DC5E003"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3B2FBAF1"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 xml:space="preserve">PbRM-01a “Dimensión Administrativa del Gasto”. </w:t>
      </w:r>
      <w:r w:rsidRPr="008331F3">
        <w:rPr>
          <w:rFonts w:ascii="Palatino Linotype" w:eastAsia="Palatino Linotype" w:hAnsi="Palatino Linotype" w:cs="Palatino Linotype"/>
        </w:rPr>
        <w:t xml:space="preserve">El cual tiene como propósito identificar a nivel de estructura administrativa los programas y proyectos de los cuales se responsabiliza cada una de las Dependencias y Organismos Municipales. </w:t>
      </w:r>
    </w:p>
    <w:p w14:paraId="31237FF3"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 xml:space="preserve">PbRM-01b “Descripción del Programa presupuestario”. </w:t>
      </w:r>
      <w:r w:rsidRPr="008331F3">
        <w:rPr>
          <w:rFonts w:ascii="Palatino Linotype" w:eastAsia="Palatino Linotype" w:hAnsi="Palatino Linotype" w:cs="Palatino Linotype"/>
        </w:rPr>
        <w:t xml:space="preserve">Tiene como propósito, identificar el diagnóstico del entorno de responsabilidad del programa respectivo para sustentar y justificar la asignación del presupuesto del ejercicio fiscal 2022, definir los </w:t>
      </w:r>
      <w:r w:rsidRPr="008331F3">
        <w:rPr>
          <w:rFonts w:ascii="Palatino Linotype" w:eastAsia="Palatino Linotype" w:hAnsi="Palatino Linotype" w:cs="Palatino Linotype"/>
        </w:rPr>
        <w:lastRenderedPageBreak/>
        <w:t>objetivos que se pretenden alcanzar y establecer las estrategias que serán aplicadas para dar viabilidad al logro de dichos objetivos.</w:t>
      </w:r>
    </w:p>
    <w:p w14:paraId="39F0634C"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PbRM-01c “Programa Anual de Metas de actividad por Proyecto”.</w:t>
      </w:r>
      <w:r w:rsidRPr="008331F3">
        <w:rPr>
          <w:rFonts w:ascii="Palatino Linotype" w:eastAsia="Palatino Linotype" w:hAnsi="Palatino Linotype" w:cs="Palatino Linotype"/>
        </w:rPr>
        <w:t xml:space="preserve"> Tiene como propósito establecer las acciones sustantivas para cada proyecto, mismas que deberán reflejar la diferencia entre el cumplimiento alcanzado durante el ejercicio fiscal 2021 y las cifras programadas que se estimen alcanzar en el ejercicio 2022.</w:t>
      </w:r>
    </w:p>
    <w:p w14:paraId="561E222A"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PbRM-01d “Ficha técnica de diseño de indicadores estratégicos o de gestión 2022”</w:t>
      </w:r>
      <w:r w:rsidRPr="008331F3">
        <w:rPr>
          <w:rFonts w:ascii="Palatino Linotype" w:eastAsia="Palatino Linotype" w:hAnsi="Palatino Linotype" w:cs="Palatino Linotype"/>
        </w:rPr>
        <w:t xml:space="preserve"> Tiene como finalidad el registro de los indicadores de gestión que se manejan en el SEGEMUN, mismos que deberán estar vinculados directamente a las metas programadas en el formato </w:t>
      </w:r>
    </w:p>
    <w:p w14:paraId="5D119101"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PbRM-01e “Matriz de Indicadores para Resultados por Programa presupuestario y Dependencia General”.</w:t>
      </w:r>
      <w:r w:rsidRPr="008331F3">
        <w:rPr>
          <w:rFonts w:ascii="Palatino Linotype" w:eastAsia="Palatino Linotype" w:hAnsi="Palatino Linotype" w:cs="Palatino Linotype"/>
        </w:rPr>
        <w:t xml:space="preserve"> Estos indicadores están alineados a nivel estratégico o de gestión.</w:t>
      </w:r>
    </w:p>
    <w:p w14:paraId="05F4B4D9"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PbRM-02a “Calendarización de metas de actividad”</w:t>
      </w:r>
      <w:r w:rsidRPr="008331F3">
        <w:rPr>
          <w:rFonts w:ascii="Palatino Linotype" w:eastAsia="Palatino Linotype" w:hAnsi="Palatino Linotype" w:cs="Palatino Linotype"/>
        </w:rPr>
        <w:t>. El cual tiene por objeto identificar trimestralmente la ejecución de la meta anual, la cual proviene del formato PbRM-01c.</w:t>
      </w:r>
    </w:p>
    <w:p w14:paraId="17CAA860"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PbRM-03a</w:t>
      </w:r>
      <w:r w:rsidRPr="008331F3">
        <w:rPr>
          <w:rFonts w:ascii="Palatino Linotype" w:eastAsia="Palatino Linotype" w:hAnsi="Palatino Linotype" w:cs="Palatino Linotype"/>
        </w:rPr>
        <w:t xml:space="preserve">: En este formato se deben registrar los ingresos que se estiman recaudar para el siguiente ejercicio, antes de la publicación de la Ley de Ingresos, Participaciones Federales y Programas Federales y Estatales, el cual servirá como base para comunicar los techos financieros a cada una de las Dependencias Generales. </w:t>
      </w:r>
    </w:p>
    <w:p w14:paraId="54AA1F8C"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PbRM-03b:</w:t>
      </w:r>
      <w:r w:rsidRPr="008331F3">
        <w:rPr>
          <w:rFonts w:ascii="Palatino Linotype" w:eastAsia="Palatino Linotype" w:hAnsi="Palatino Linotype" w:cs="Palatino Linotype"/>
        </w:rPr>
        <w:t xml:space="preserve"> Registro de importes por tipo de Ingreso.</w:t>
      </w:r>
    </w:p>
    <w:p w14:paraId="1D89324D"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PbRM-04b.</w:t>
      </w:r>
      <w:r w:rsidRPr="008331F3">
        <w:rPr>
          <w:rFonts w:ascii="Palatino Linotype" w:eastAsia="Palatino Linotype" w:hAnsi="Palatino Linotype" w:cs="Palatino Linotype"/>
        </w:rPr>
        <w:t xml:space="preserve"> En este formato se integran los conceptos por partida específica, y concentra la suma de los formatos de Presupuesto de Egresos detallado (PbRM-04a) a nivel de Dependencia General.</w:t>
      </w:r>
    </w:p>
    <w:p w14:paraId="335B71CA"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lastRenderedPageBreak/>
        <w:t>PbRM-04a:</w:t>
      </w:r>
      <w:r w:rsidRPr="008331F3">
        <w:rPr>
          <w:rFonts w:ascii="Palatino Linotype" w:eastAsia="Palatino Linotype" w:hAnsi="Palatino Linotype" w:cs="Palatino Linotype"/>
        </w:rPr>
        <w:t xml:space="preserve"> Este formato deberá registrar los proyectos por partida de gasto, los cuales tendrán que coincidir con los formatos del Programa Anual (PbRM-01a, PbRM-01c) en estructura programática y gasto estimado por proyecto.</w:t>
      </w:r>
    </w:p>
    <w:p w14:paraId="5629269A"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PbRM-04b.</w:t>
      </w:r>
      <w:r w:rsidRPr="008331F3">
        <w:rPr>
          <w:rFonts w:ascii="Palatino Linotype" w:eastAsia="Palatino Linotype" w:hAnsi="Palatino Linotype" w:cs="Palatino Linotype"/>
        </w:rPr>
        <w:t xml:space="preserve"> Este formato deberá ser la suma de los formatos (PbRM-04a) Presupuesto de Egresos Detallado el cual contiene datos a nivel de Partida Específica, Partida Genérica, Concepto y Capítulo del Gasto, de cada proyecto a nivel de Dependencia General.</w:t>
      </w:r>
    </w:p>
    <w:p w14:paraId="03BAC215"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PbRM-04c.</w:t>
      </w:r>
      <w:r w:rsidRPr="008331F3">
        <w:rPr>
          <w:rFonts w:ascii="Palatino Linotype" w:eastAsia="Palatino Linotype" w:hAnsi="Palatino Linotype" w:cs="Palatino Linotype"/>
        </w:rPr>
        <w:t xml:space="preserve"> Este formato deberá contener la suma de los formatos por Partida Específica, Partida Genérica, Concepto y Capítulo del Gasto (PbRM-04b), de todas las Dependencias Generales.</w:t>
      </w:r>
    </w:p>
    <w:p w14:paraId="2EB454D4"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PbRM-04d.</w:t>
      </w:r>
      <w:r w:rsidRPr="008331F3">
        <w:rPr>
          <w:rFonts w:ascii="Palatino Linotype" w:eastAsia="Palatino Linotype" w:hAnsi="Palatino Linotype" w:cs="Palatino Linotype"/>
        </w:rPr>
        <w:t xml:space="preserve"> Este formato deberá registrar los importes del formato por Capítulo de Gasto (PbRM-04c).</w:t>
      </w:r>
    </w:p>
    <w:p w14:paraId="57272181"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PbRM-04c.</w:t>
      </w:r>
      <w:r w:rsidRPr="008331F3">
        <w:rPr>
          <w:rFonts w:ascii="Palatino Linotype" w:eastAsia="Palatino Linotype" w:hAnsi="Palatino Linotype" w:cs="Palatino Linotype"/>
        </w:rPr>
        <w:t xml:space="preserve"> Este formato deberá ser la suma de los formatos de Presupuesto de Egresos por Objeto del Gasto y Dependencia General PbRM-04b.</w:t>
      </w:r>
    </w:p>
    <w:p w14:paraId="133D3F90"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PbRM-04d.</w:t>
      </w:r>
      <w:r w:rsidRPr="008331F3">
        <w:rPr>
          <w:rFonts w:ascii="Palatino Linotype" w:eastAsia="Palatino Linotype" w:hAnsi="Palatino Linotype" w:cs="Palatino Linotype"/>
        </w:rPr>
        <w:t xml:space="preserve"> Este formato deberá registrar los importes del formato PbRM-04c.</w:t>
      </w:r>
    </w:p>
    <w:p w14:paraId="2FBC27CB"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PbRM-05.</w:t>
      </w:r>
      <w:r w:rsidRPr="008331F3">
        <w:rPr>
          <w:rFonts w:ascii="Palatino Linotype" w:eastAsia="Palatino Linotype" w:hAnsi="Palatino Linotype" w:cs="Palatino Linotype"/>
        </w:rPr>
        <w:t xml:space="preserve"> El monto total de este formato debe coincidir</w:t>
      </w:r>
    </w:p>
    <w:p w14:paraId="604F5E3A"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PbRM-06.</w:t>
      </w:r>
      <w:r w:rsidRPr="008331F3">
        <w:rPr>
          <w:rFonts w:ascii="Palatino Linotype" w:eastAsia="Palatino Linotype" w:hAnsi="Palatino Linotype" w:cs="Palatino Linotype"/>
        </w:rPr>
        <w:t xml:space="preserve"> Este formato considera las adquisiciones de bienes y servicios de los proyectos, reflejadas en los capítulos 2000, 3000 y 5000.  con el Capítulo 1000 contenido en la Carátula de Presupuesto de Egresos (</w:t>
      </w:r>
      <w:proofErr w:type="spellStart"/>
      <w:r w:rsidRPr="008331F3">
        <w:rPr>
          <w:rFonts w:ascii="Palatino Linotype" w:eastAsia="Palatino Linotype" w:hAnsi="Palatino Linotype" w:cs="Palatino Linotype"/>
        </w:rPr>
        <w:t>PbRM</w:t>
      </w:r>
      <w:proofErr w:type="spellEnd"/>
      <w:r w:rsidRPr="008331F3">
        <w:rPr>
          <w:rFonts w:ascii="Palatino Linotype" w:eastAsia="Palatino Linotype" w:hAnsi="Palatino Linotype" w:cs="Palatino Linotype"/>
        </w:rPr>
        <w:t xml:space="preserve"> 04d).</w:t>
      </w:r>
    </w:p>
    <w:p w14:paraId="5FDEBBD9"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8331F3">
        <w:rPr>
          <w:rFonts w:ascii="Palatino Linotype" w:eastAsia="Palatino Linotype" w:hAnsi="Palatino Linotype" w:cs="Palatino Linotype"/>
          <w:b/>
        </w:rPr>
        <w:t>PbRM-07a y el Programa Anual de Obras (Reparaciones y Mantenimiento) PbRM-07b.</w:t>
      </w:r>
      <w:r w:rsidRPr="008331F3">
        <w:rPr>
          <w:rFonts w:ascii="Palatino Linotype" w:eastAsia="Palatino Linotype" w:hAnsi="Palatino Linotype" w:cs="Palatino Linotype"/>
        </w:rPr>
        <w:t xml:space="preserve"> Deberán corresponder al importe del Capítulo 6000 Inversión Pública contenido en la Carátula de Presupuesto de Egresos (</w:t>
      </w:r>
      <w:proofErr w:type="spellStart"/>
      <w:r w:rsidRPr="008331F3">
        <w:rPr>
          <w:rFonts w:ascii="Palatino Linotype" w:eastAsia="Palatino Linotype" w:hAnsi="Palatino Linotype" w:cs="Palatino Linotype"/>
        </w:rPr>
        <w:t>PbRM</w:t>
      </w:r>
      <w:proofErr w:type="spellEnd"/>
      <w:r w:rsidRPr="008331F3">
        <w:rPr>
          <w:rFonts w:ascii="Palatino Linotype" w:eastAsia="Palatino Linotype" w:hAnsi="Palatino Linotype" w:cs="Palatino Linotype"/>
        </w:rPr>
        <w:t>- 04d).</w:t>
      </w:r>
    </w:p>
    <w:p w14:paraId="7ED9596E"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roofErr w:type="spellStart"/>
      <w:r w:rsidRPr="008331F3">
        <w:rPr>
          <w:rFonts w:ascii="Palatino Linotype" w:eastAsia="Palatino Linotype" w:hAnsi="Palatino Linotype" w:cs="Palatino Linotype"/>
          <w:b/>
        </w:rPr>
        <w:t>PbRM</w:t>
      </w:r>
      <w:proofErr w:type="spellEnd"/>
      <w:r w:rsidRPr="008331F3">
        <w:rPr>
          <w:rFonts w:ascii="Palatino Linotype" w:eastAsia="Palatino Linotype" w:hAnsi="Palatino Linotype" w:cs="Palatino Linotype"/>
          <w:b/>
        </w:rPr>
        <w:t xml:space="preserve"> 08b.</w:t>
      </w:r>
      <w:r w:rsidRPr="008331F3">
        <w:rPr>
          <w:rFonts w:ascii="Palatino Linotype" w:eastAsia="Palatino Linotype" w:hAnsi="Palatino Linotype" w:cs="Palatino Linotype"/>
        </w:rPr>
        <w:t xml:space="preserve"> Ficha de seguimiento de los indicadores por programa.</w:t>
      </w:r>
    </w:p>
    <w:p w14:paraId="7348DCD9"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roofErr w:type="spellStart"/>
      <w:r w:rsidRPr="008331F3">
        <w:rPr>
          <w:rFonts w:ascii="Palatino Linotype" w:eastAsia="Palatino Linotype" w:hAnsi="Palatino Linotype" w:cs="Palatino Linotype"/>
          <w:b/>
        </w:rPr>
        <w:t>PbRM</w:t>
      </w:r>
      <w:proofErr w:type="spellEnd"/>
      <w:r w:rsidRPr="008331F3">
        <w:rPr>
          <w:rFonts w:ascii="Palatino Linotype" w:eastAsia="Palatino Linotype" w:hAnsi="Palatino Linotype" w:cs="Palatino Linotype"/>
          <w:b/>
        </w:rPr>
        <w:t xml:space="preserve"> 08c.</w:t>
      </w:r>
      <w:r w:rsidRPr="008331F3">
        <w:rPr>
          <w:rFonts w:ascii="Palatino Linotype" w:eastAsia="Palatino Linotype" w:hAnsi="Palatino Linotype" w:cs="Palatino Linotype"/>
        </w:rPr>
        <w:t xml:space="preserve"> Avance trimestral de metas físicas por proyecto.</w:t>
      </w:r>
    </w:p>
    <w:p w14:paraId="4D4D75D4"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roofErr w:type="spellStart"/>
      <w:r w:rsidRPr="008331F3">
        <w:rPr>
          <w:rFonts w:ascii="Palatino Linotype" w:eastAsia="Palatino Linotype" w:hAnsi="Palatino Linotype" w:cs="Palatino Linotype"/>
          <w:b/>
        </w:rPr>
        <w:lastRenderedPageBreak/>
        <w:t>PbRM</w:t>
      </w:r>
      <w:proofErr w:type="spellEnd"/>
      <w:r w:rsidRPr="008331F3">
        <w:rPr>
          <w:rFonts w:ascii="Palatino Linotype" w:eastAsia="Palatino Linotype" w:hAnsi="Palatino Linotype" w:cs="Palatino Linotype"/>
          <w:b/>
        </w:rPr>
        <w:t xml:space="preserve"> 09a.</w:t>
      </w:r>
      <w:r w:rsidRPr="008331F3">
        <w:rPr>
          <w:rFonts w:ascii="Palatino Linotype" w:eastAsia="Palatino Linotype" w:hAnsi="Palatino Linotype" w:cs="Palatino Linotype"/>
        </w:rPr>
        <w:t xml:space="preserve"> Avance presupuestal de ingresos. </w:t>
      </w:r>
    </w:p>
    <w:p w14:paraId="2FAE2FBE"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roofErr w:type="spellStart"/>
      <w:r w:rsidRPr="008331F3">
        <w:rPr>
          <w:rFonts w:ascii="Palatino Linotype" w:eastAsia="Palatino Linotype" w:hAnsi="Palatino Linotype" w:cs="Palatino Linotype"/>
          <w:b/>
        </w:rPr>
        <w:t>PbRM</w:t>
      </w:r>
      <w:proofErr w:type="spellEnd"/>
      <w:r w:rsidRPr="008331F3">
        <w:rPr>
          <w:rFonts w:ascii="Palatino Linotype" w:eastAsia="Palatino Linotype" w:hAnsi="Palatino Linotype" w:cs="Palatino Linotype"/>
          <w:b/>
        </w:rPr>
        <w:t xml:space="preserve"> 09b.</w:t>
      </w:r>
      <w:r w:rsidRPr="008331F3">
        <w:rPr>
          <w:rFonts w:ascii="Palatino Linotype" w:eastAsia="Palatino Linotype" w:hAnsi="Palatino Linotype" w:cs="Palatino Linotype"/>
        </w:rPr>
        <w:t xml:space="preserve"> Estado comparativo presupuestal de ingresos. </w:t>
      </w:r>
    </w:p>
    <w:p w14:paraId="486A4AD0"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roofErr w:type="spellStart"/>
      <w:r w:rsidRPr="008331F3">
        <w:rPr>
          <w:rFonts w:ascii="Palatino Linotype" w:eastAsia="Palatino Linotype" w:hAnsi="Palatino Linotype" w:cs="Palatino Linotype"/>
          <w:b/>
        </w:rPr>
        <w:t>PbRM</w:t>
      </w:r>
      <w:proofErr w:type="spellEnd"/>
      <w:r w:rsidRPr="008331F3">
        <w:rPr>
          <w:rFonts w:ascii="Palatino Linotype" w:eastAsia="Palatino Linotype" w:hAnsi="Palatino Linotype" w:cs="Palatino Linotype"/>
          <w:b/>
        </w:rPr>
        <w:t xml:space="preserve"> 10a.</w:t>
      </w:r>
      <w:r w:rsidRPr="008331F3">
        <w:rPr>
          <w:rFonts w:ascii="Palatino Linotype" w:eastAsia="Palatino Linotype" w:hAnsi="Palatino Linotype" w:cs="Palatino Linotype"/>
        </w:rPr>
        <w:t xml:space="preserve"> Avance presupuestal de egresos detallado.</w:t>
      </w:r>
    </w:p>
    <w:p w14:paraId="30C4EFA5"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roofErr w:type="spellStart"/>
      <w:r w:rsidRPr="008331F3">
        <w:rPr>
          <w:rFonts w:ascii="Palatino Linotype" w:eastAsia="Palatino Linotype" w:hAnsi="Palatino Linotype" w:cs="Palatino Linotype"/>
          <w:b/>
        </w:rPr>
        <w:t>PbRM</w:t>
      </w:r>
      <w:proofErr w:type="spellEnd"/>
      <w:r w:rsidRPr="008331F3">
        <w:rPr>
          <w:rFonts w:ascii="Palatino Linotype" w:eastAsia="Palatino Linotype" w:hAnsi="Palatino Linotype" w:cs="Palatino Linotype"/>
          <w:b/>
        </w:rPr>
        <w:t xml:space="preserve"> 10b.</w:t>
      </w:r>
      <w:r w:rsidRPr="008331F3">
        <w:rPr>
          <w:rFonts w:ascii="Palatino Linotype" w:eastAsia="Palatino Linotype" w:hAnsi="Palatino Linotype" w:cs="Palatino Linotype"/>
        </w:rPr>
        <w:t xml:space="preserve"> Avance presupuestal de egresos.</w:t>
      </w:r>
    </w:p>
    <w:p w14:paraId="0E2A5DDE"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roofErr w:type="spellStart"/>
      <w:r w:rsidRPr="008331F3">
        <w:rPr>
          <w:rFonts w:ascii="Palatino Linotype" w:eastAsia="Palatino Linotype" w:hAnsi="Palatino Linotype" w:cs="Palatino Linotype"/>
          <w:b/>
        </w:rPr>
        <w:t>PbRM</w:t>
      </w:r>
      <w:proofErr w:type="spellEnd"/>
      <w:r w:rsidRPr="008331F3">
        <w:rPr>
          <w:rFonts w:ascii="Palatino Linotype" w:eastAsia="Palatino Linotype" w:hAnsi="Palatino Linotype" w:cs="Palatino Linotype"/>
          <w:b/>
        </w:rPr>
        <w:t xml:space="preserve"> 10c.</w:t>
      </w:r>
      <w:r w:rsidRPr="008331F3">
        <w:rPr>
          <w:rFonts w:ascii="Palatino Linotype" w:eastAsia="Palatino Linotype" w:hAnsi="Palatino Linotype" w:cs="Palatino Linotype"/>
        </w:rPr>
        <w:t xml:space="preserve"> Estado comparativo presupuestal de egresos.</w:t>
      </w:r>
    </w:p>
    <w:p w14:paraId="0A5FC7B9" w14:textId="77777777" w:rsidR="00C61D68" w:rsidRPr="008331F3" w:rsidRDefault="00EB068A">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roofErr w:type="spellStart"/>
      <w:r w:rsidRPr="008331F3">
        <w:rPr>
          <w:rFonts w:ascii="Palatino Linotype" w:eastAsia="Palatino Linotype" w:hAnsi="Palatino Linotype" w:cs="Palatino Linotype"/>
          <w:b/>
        </w:rPr>
        <w:t>PbRM</w:t>
      </w:r>
      <w:proofErr w:type="spellEnd"/>
      <w:r w:rsidRPr="008331F3">
        <w:rPr>
          <w:rFonts w:ascii="Palatino Linotype" w:eastAsia="Palatino Linotype" w:hAnsi="Palatino Linotype" w:cs="Palatino Linotype"/>
          <w:b/>
        </w:rPr>
        <w:t xml:space="preserve"> 11.</w:t>
      </w:r>
      <w:r w:rsidRPr="008331F3">
        <w:rPr>
          <w:rFonts w:ascii="Palatino Linotype" w:eastAsia="Palatino Linotype" w:hAnsi="Palatino Linotype" w:cs="Palatino Linotype"/>
        </w:rPr>
        <w:t xml:space="preserve"> Seguimiento trimestral del Programa Anual de Obras.</w:t>
      </w:r>
    </w:p>
    <w:p w14:paraId="177DAEEB" w14:textId="77777777" w:rsidR="00C61D68" w:rsidRPr="008331F3" w:rsidRDefault="00C61D68">
      <w:pPr>
        <w:spacing w:after="0" w:line="360" w:lineRule="auto"/>
        <w:ind w:right="49"/>
        <w:jc w:val="both"/>
        <w:rPr>
          <w:rFonts w:ascii="Palatino Linotype" w:eastAsia="Palatino Linotype" w:hAnsi="Palatino Linotype" w:cs="Palatino Linotype"/>
        </w:rPr>
      </w:pPr>
    </w:p>
    <w:p w14:paraId="4BAC3560"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Pr="008331F3">
        <w:rPr>
          <w:rFonts w:ascii="Palatino Linotype" w:eastAsia="Palatino Linotype" w:hAnsi="Palatino Linotype" w:cs="Palatino Linotype"/>
          <w:sz w:val="24"/>
          <w:szCs w:val="24"/>
        </w:rPr>
        <w:t>PbR</w:t>
      </w:r>
      <w:proofErr w:type="spellEnd"/>
      <w:r w:rsidRPr="008331F3">
        <w:rPr>
          <w:rFonts w:ascii="Palatino Linotype" w:eastAsia="Palatino Linotype" w:hAnsi="Palatino Linotype" w:cs="Palatino Linotype"/>
          <w:sz w:val="24"/>
          <w:szCs w:val="24"/>
        </w:rPr>
        <w:t>), el cual define en su Glosario, el Manual para la Planeación, Programación y Presupuesto de Egresos Municipal de la siguiente forma:</w:t>
      </w:r>
    </w:p>
    <w:p w14:paraId="28889312"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1A7EE24C" w14:textId="77777777" w:rsidR="00C61D68" w:rsidRPr="008331F3" w:rsidRDefault="00EB068A">
      <w:pPr>
        <w:spacing w:after="0" w:line="360" w:lineRule="auto"/>
        <w:ind w:left="567" w:right="822"/>
        <w:jc w:val="both"/>
        <w:rPr>
          <w:rFonts w:ascii="Palatino Linotype" w:eastAsia="Palatino Linotype" w:hAnsi="Palatino Linotype" w:cs="Palatino Linotype"/>
          <w:i/>
        </w:rPr>
      </w:pPr>
      <w:r w:rsidRPr="008331F3">
        <w:rPr>
          <w:rFonts w:ascii="Palatino Linotype" w:eastAsia="Palatino Linotype" w:hAnsi="Palatino Linotype" w:cs="Palatino Linotype"/>
          <w:b/>
          <w:i/>
        </w:rPr>
        <w:t>Presupuesto Basado en Resultados (</w:t>
      </w:r>
      <w:proofErr w:type="spellStart"/>
      <w:r w:rsidRPr="008331F3">
        <w:rPr>
          <w:rFonts w:ascii="Palatino Linotype" w:eastAsia="Palatino Linotype" w:hAnsi="Palatino Linotype" w:cs="Palatino Linotype"/>
          <w:b/>
          <w:i/>
        </w:rPr>
        <w:t>PbR</w:t>
      </w:r>
      <w:proofErr w:type="spellEnd"/>
      <w:r w:rsidRPr="008331F3">
        <w:rPr>
          <w:rFonts w:ascii="Palatino Linotype" w:eastAsia="Palatino Linotype" w:hAnsi="Palatino Linotype" w:cs="Palatino Linotype"/>
          <w:b/>
          <w:i/>
        </w:rPr>
        <w:t>):</w:t>
      </w:r>
      <w:r w:rsidRPr="008331F3">
        <w:rPr>
          <w:rFonts w:ascii="Palatino Linotype" w:eastAsia="Palatino Linotype" w:hAnsi="Palatino Linotype" w:cs="Palatino Linotype"/>
          <w:i/>
        </w:rPr>
        <w:t xml:space="preserve"> Instrumento de la </w:t>
      </w:r>
      <w:proofErr w:type="spellStart"/>
      <w:r w:rsidRPr="008331F3">
        <w:rPr>
          <w:rFonts w:ascii="Palatino Linotype" w:eastAsia="Palatino Linotype" w:hAnsi="Palatino Linotype" w:cs="Palatino Linotype"/>
          <w:i/>
        </w:rPr>
        <w:t>GpR</w:t>
      </w:r>
      <w:proofErr w:type="spellEnd"/>
      <w:r w:rsidRPr="008331F3">
        <w:rPr>
          <w:rFonts w:ascii="Palatino Linotype" w:eastAsia="Palatino Linotype" w:hAnsi="Palatino Linotype" w:cs="Palatino Linotype"/>
          <w:i/>
        </w:rPr>
        <w:t>, que consiste en un conjunto de actividades y herramientas orientados a que las decisiones involucradas en el proceso presupuestario incorporen, sistemáticamente, consideraciones sobre los resultados obtenidos y esperados de la aplicación de los recursos públicos, y que motiven a las dependencias y entidades a lograrlos, con el objeto de mejorar la calidad del gasto público y la rendición de cuentas.</w:t>
      </w:r>
    </w:p>
    <w:p w14:paraId="10BC3F66"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0D8F1F7"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Asimismo, se tiene que, de acuerdo con los Lineamientos para la Integración y Entrega de los Informes Trimestrales Municipales, emitidos por el Órgano Superior de </w:t>
      </w:r>
      <w:r w:rsidRPr="008331F3">
        <w:rPr>
          <w:rFonts w:ascii="Palatino Linotype" w:eastAsia="Palatino Linotype" w:hAnsi="Palatino Linotype" w:cs="Palatino Linotype"/>
          <w:sz w:val="24"/>
          <w:szCs w:val="24"/>
        </w:rPr>
        <w:lastRenderedPageBreak/>
        <w:t>Fiscalización del Estado de México, en la entrega del presupuesto de egresos municipal deben estar contenidos los siguientes presupuestos basados en resultados (</w:t>
      </w:r>
      <w:proofErr w:type="spellStart"/>
      <w:r w:rsidRPr="008331F3">
        <w:rPr>
          <w:rFonts w:ascii="Palatino Linotype" w:eastAsia="Palatino Linotype" w:hAnsi="Palatino Linotype" w:cs="Palatino Linotype"/>
          <w:sz w:val="24"/>
          <w:szCs w:val="24"/>
        </w:rPr>
        <w:t>PbRM</w:t>
      </w:r>
      <w:proofErr w:type="spellEnd"/>
      <w:r w:rsidRPr="008331F3">
        <w:rPr>
          <w:rFonts w:ascii="Palatino Linotype" w:eastAsia="Palatino Linotype" w:hAnsi="Palatino Linotype" w:cs="Palatino Linotype"/>
          <w:sz w:val="24"/>
          <w:szCs w:val="24"/>
        </w:rPr>
        <w:t>):</w:t>
      </w:r>
      <w:r w:rsidRPr="008331F3">
        <w:rPr>
          <w:rFonts w:ascii="Palatino Linotype" w:eastAsia="Palatino Linotype" w:hAnsi="Palatino Linotype" w:cs="Palatino Linotype"/>
          <w:sz w:val="28"/>
          <w:szCs w:val="28"/>
        </w:rPr>
        <w:t xml:space="preserve"> </w:t>
      </w:r>
      <w:proofErr w:type="spellStart"/>
      <w:r w:rsidRPr="008331F3">
        <w:rPr>
          <w:rFonts w:ascii="Palatino Linotype" w:eastAsia="Palatino Linotype" w:hAnsi="Palatino Linotype" w:cs="Palatino Linotype"/>
          <w:sz w:val="24"/>
          <w:szCs w:val="24"/>
        </w:rPr>
        <w:t>PbRM</w:t>
      </w:r>
      <w:proofErr w:type="spellEnd"/>
      <w:r w:rsidRPr="008331F3">
        <w:rPr>
          <w:rFonts w:ascii="Palatino Linotype" w:eastAsia="Palatino Linotype" w:hAnsi="Palatino Linotype" w:cs="Palatino Linotype"/>
          <w:sz w:val="24"/>
          <w:szCs w:val="24"/>
        </w:rPr>
        <w:t xml:space="preserve"> 09b, </w:t>
      </w:r>
      <w:proofErr w:type="spellStart"/>
      <w:r w:rsidRPr="008331F3">
        <w:rPr>
          <w:rFonts w:ascii="Palatino Linotype" w:eastAsia="Palatino Linotype" w:hAnsi="Palatino Linotype" w:cs="Palatino Linotype"/>
          <w:sz w:val="24"/>
          <w:szCs w:val="24"/>
        </w:rPr>
        <w:t>PbRM</w:t>
      </w:r>
      <w:proofErr w:type="spellEnd"/>
      <w:r w:rsidRPr="008331F3">
        <w:rPr>
          <w:rFonts w:ascii="Palatino Linotype" w:eastAsia="Palatino Linotype" w:hAnsi="Palatino Linotype" w:cs="Palatino Linotype"/>
          <w:sz w:val="24"/>
          <w:szCs w:val="24"/>
        </w:rPr>
        <w:t xml:space="preserve"> 10c, PbRM-01b, PbRM-02a, </w:t>
      </w:r>
      <w:proofErr w:type="spellStart"/>
      <w:r w:rsidRPr="008331F3">
        <w:rPr>
          <w:rFonts w:ascii="Palatino Linotype" w:eastAsia="Palatino Linotype" w:hAnsi="Palatino Linotype" w:cs="Palatino Linotype"/>
          <w:sz w:val="24"/>
          <w:szCs w:val="24"/>
        </w:rPr>
        <w:t>PbRM</w:t>
      </w:r>
      <w:proofErr w:type="spellEnd"/>
      <w:r w:rsidRPr="008331F3">
        <w:rPr>
          <w:rFonts w:ascii="Palatino Linotype" w:eastAsia="Palatino Linotype" w:hAnsi="Palatino Linotype" w:cs="Palatino Linotype"/>
          <w:sz w:val="24"/>
          <w:szCs w:val="24"/>
        </w:rPr>
        <w:t xml:space="preserve"> 01c, PbRM-01a, </w:t>
      </w:r>
      <w:proofErr w:type="spellStart"/>
      <w:r w:rsidRPr="008331F3">
        <w:rPr>
          <w:rFonts w:ascii="Palatino Linotype" w:eastAsia="Palatino Linotype" w:hAnsi="Palatino Linotype" w:cs="Palatino Linotype"/>
          <w:sz w:val="24"/>
          <w:szCs w:val="24"/>
        </w:rPr>
        <w:t>PbRM</w:t>
      </w:r>
      <w:proofErr w:type="spellEnd"/>
      <w:r w:rsidRPr="008331F3">
        <w:rPr>
          <w:rFonts w:ascii="Palatino Linotype" w:eastAsia="Palatino Linotype" w:hAnsi="Palatino Linotype" w:cs="Palatino Linotype"/>
          <w:sz w:val="24"/>
          <w:szCs w:val="24"/>
        </w:rPr>
        <w:t xml:space="preserve"> 02a, </w:t>
      </w:r>
      <w:proofErr w:type="spellStart"/>
      <w:r w:rsidRPr="008331F3">
        <w:rPr>
          <w:rFonts w:ascii="Palatino Linotype" w:eastAsia="Palatino Linotype" w:hAnsi="Palatino Linotype" w:cs="Palatino Linotype"/>
          <w:sz w:val="24"/>
          <w:szCs w:val="24"/>
        </w:rPr>
        <w:t>PbRM</w:t>
      </w:r>
      <w:proofErr w:type="spellEnd"/>
      <w:r w:rsidRPr="008331F3">
        <w:rPr>
          <w:rFonts w:ascii="Palatino Linotype" w:eastAsia="Palatino Linotype" w:hAnsi="Palatino Linotype" w:cs="Palatino Linotype"/>
          <w:sz w:val="24"/>
          <w:szCs w:val="24"/>
        </w:rPr>
        <w:t xml:space="preserve"> 08c, </w:t>
      </w:r>
      <w:proofErr w:type="spellStart"/>
      <w:r w:rsidRPr="008331F3">
        <w:rPr>
          <w:rFonts w:ascii="Palatino Linotype" w:eastAsia="Palatino Linotype" w:hAnsi="Palatino Linotype" w:cs="Palatino Linotype"/>
          <w:sz w:val="24"/>
          <w:szCs w:val="24"/>
        </w:rPr>
        <w:t>PbRM</w:t>
      </w:r>
      <w:proofErr w:type="spellEnd"/>
      <w:r w:rsidRPr="008331F3">
        <w:rPr>
          <w:rFonts w:ascii="Palatino Linotype" w:eastAsia="Palatino Linotype" w:hAnsi="Palatino Linotype" w:cs="Palatino Linotype"/>
          <w:sz w:val="24"/>
          <w:szCs w:val="24"/>
        </w:rPr>
        <w:t xml:space="preserve"> 01d, </w:t>
      </w:r>
      <w:proofErr w:type="spellStart"/>
      <w:r w:rsidRPr="008331F3">
        <w:rPr>
          <w:rFonts w:ascii="Palatino Linotype" w:eastAsia="Palatino Linotype" w:hAnsi="Palatino Linotype" w:cs="Palatino Linotype"/>
          <w:sz w:val="24"/>
          <w:szCs w:val="24"/>
        </w:rPr>
        <w:t>PbRM</w:t>
      </w:r>
      <w:proofErr w:type="spellEnd"/>
      <w:r w:rsidRPr="008331F3">
        <w:rPr>
          <w:rFonts w:ascii="Palatino Linotype" w:eastAsia="Palatino Linotype" w:hAnsi="Palatino Linotype" w:cs="Palatino Linotype"/>
          <w:sz w:val="24"/>
          <w:szCs w:val="24"/>
        </w:rPr>
        <w:t xml:space="preserve"> 08b. </w:t>
      </w:r>
    </w:p>
    <w:p w14:paraId="3DC75644"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34537C3"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En ese sentido, de acuerdo con el Manual para la Planeación, Programación y Presupuesto de Egresos Municipal para el Ejercicio Fiscal 2022, se establece que los formatos deben contener, dependiendo el caso, el nombre, firma y cargo de quien los revisó, nombre, firma y cago del Tesorero Municipal; y nombre, firma y cargo de quien lo autorizó, como se observa en las </w:t>
      </w:r>
      <w:proofErr w:type="spellStart"/>
      <w:r w:rsidRPr="008331F3">
        <w:rPr>
          <w:rFonts w:ascii="Palatino Linotype" w:eastAsia="Palatino Linotype" w:hAnsi="Palatino Linotype" w:cs="Palatino Linotype"/>
          <w:sz w:val="24"/>
          <w:szCs w:val="24"/>
        </w:rPr>
        <w:t>imagénes</w:t>
      </w:r>
      <w:proofErr w:type="spellEnd"/>
      <w:r w:rsidRPr="008331F3">
        <w:rPr>
          <w:rFonts w:ascii="Palatino Linotype" w:eastAsia="Palatino Linotype" w:hAnsi="Palatino Linotype" w:cs="Palatino Linotype"/>
          <w:sz w:val="24"/>
          <w:szCs w:val="24"/>
        </w:rPr>
        <w:t xml:space="preserve"> que se insertan a continuación a modo de ejemplo:</w:t>
      </w:r>
    </w:p>
    <w:p w14:paraId="3178EB23"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06E17981"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noProof/>
          <w:sz w:val="24"/>
          <w:szCs w:val="24"/>
        </w:rPr>
        <w:drawing>
          <wp:inline distT="0" distB="0" distL="0" distR="0" wp14:anchorId="23EB4F62" wp14:editId="155134E1">
            <wp:extent cx="6061813" cy="2634742"/>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t="13235"/>
                    <a:stretch>
                      <a:fillRect/>
                    </a:stretch>
                  </pic:blipFill>
                  <pic:spPr>
                    <a:xfrm>
                      <a:off x="0" y="0"/>
                      <a:ext cx="6061813" cy="2634742"/>
                    </a:xfrm>
                    <a:prstGeom prst="rect">
                      <a:avLst/>
                    </a:prstGeom>
                    <a:ln/>
                  </pic:spPr>
                </pic:pic>
              </a:graphicData>
            </a:graphic>
          </wp:inline>
        </w:drawing>
      </w:r>
      <w:r w:rsidRPr="008331F3">
        <w:rPr>
          <w:noProof/>
        </w:rPr>
        <mc:AlternateContent>
          <mc:Choice Requires="wpg">
            <w:drawing>
              <wp:anchor distT="0" distB="0" distL="114300" distR="114300" simplePos="0" relativeHeight="251658240" behindDoc="0" locked="0" layoutInCell="1" hidden="0" allowOverlap="1" wp14:anchorId="676650C9" wp14:editId="5B361FEF">
                <wp:simplePos x="0" y="0"/>
                <wp:positionH relativeFrom="column">
                  <wp:posOffset>-76199</wp:posOffset>
                </wp:positionH>
                <wp:positionV relativeFrom="paragraph">
                  <wp:posOffset>2019300</wp:posOffset>
                </wp:positionV>
                <wp:extent cx="6238875" cy="819150"/>
                <wp:effectExtent l="0" t="0" r="0" b="0"/>
                <wp:wrapNone/>
                <wp:docPr id="34" name="Rectángulo 34"/>
                <wp:cNvGraphicFramePr/>
                <a:graphic xmlns:a="http://schemas.openxmlformats.org/drawingml/2006/main">
                  <a:graphicData uri="http://schemas.microsoft.com/office/word/2010/wordprocessingShape">
                    <wps:wsp>
                      <wps:cNvSpPr/>
                      <wps:spPr>
                        <a:xfrm>
                          <a:off x="2245613" y="3389475"/>
                          <a:ext cx="6200775" cy="781050"/>
                        </a:xfrm>
                        <a:prstGeom prst="rect">
                          <a:avLst/>
                        </a:prstGeom>
                        <a:noFill/>
                        <a:ln w="38100" cap="flat" cmpd="sng">
                          <a:solidFill>
                            <a:srgbClr val="FF0000"/>
                          </a:solidFill>
                          <a:prstDash val="solid"/>
                          <a:miter lim="800000"/>
                          <a:headEnd type="none" w="sm" len="sm"/>
                          <a:tailEnd type="none" w="sm" len="sm"/>
                        </a:ln>
                      </wps:spPr>
                      <wps:txbx>
                        <w:txbxContent>
                          <w:p w14:paraId="014D832C" w14:textId="77777777" w:rsidR="00C61D68" w:rsidRDefault="00C61D6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2019300</wp:posOffset>
                </wp:positionV>
                <wp:extent cx="6238875" cy="819150"/>
                <wp:effectExtent b="0" l="0" r="0" t="0"/>
                <wp:wrapNone/>
                <wp:docPr id="34"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6238875" cy="819150"/>
                        </a:xfrm>
                        <a:prstGeom prst="rect"/>
                        <a:ln/>
                      </pic:spPr>
                    </pic:pic>
                  </a:graphicData>
                </a:graphic>
              </wp:anchor>
            </w:drawing>
          </mc:Fallback>
        </mc:AlternateContent>
      </w:r>
    </w:p>
    <w:p w14:paraId="12FF10E6"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noProof/>
          <w:sz w:val="24"/>
          <w:szCs w:val="24"/>
        </w:rPr>
        <w:lastRenderedPageBreak/>
        <w:drawing>
          <wp:inline distT="0" distB="0" distL="0" distR="0" wp14:anchorId="467409C3" wp14:editId="6CA753EE">
            <wp:extent cx="5756275" cy="4538345"/>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756275" cy="4538345"/>
                    </a:xfrm>
                    <a:prstGeom prst="rect">
                      <a:avLst/>
                    </a:prstGeom>
                    <a:ln/>
                  </pic:spPr>
                </pic:pic>
              </a:graphicData>
            </a:graphic>
          </wp:inline>
        </w:drawing>
      </w:r>
      <w:r w:rsidRPr="008331F3">
        <w:rPr>
          <w:noProof/>
        </w:rPr>
        <mc:AlternateContent>
          <mc:Choice Requires="wpg">
            <w:drawing>
              <wp:anchor distT="0" distB="0" distL="114300" distR="114300" simplePos="0" relativeHeight="251659264" behindDoc="0" locked="0" layoutInCell="1" hidden="0" allowOverlap="1" wp14:anchorId="6A4BC659" wp14:editId="78052BF4">
                <wp:simplePos x="0" y="0"/>
                <wp:positionH relativeFrom="column">
                  <wp:posOffset>-101599</wp:posOffset>
                </wp:positionH>
                <wp:positionV relativeFrom="paragraph">
                  <wp:posOffset>3733800</wp:posOffset>
                </wp:positionV>
                <wp:extent cx="6029325" cy="819150"/>
                <wp:effectExtent l="0" t="0" r="0" b="0"/>
                <wp:wrapNone/>
                <wp:docPr id="35" name="Rectángulo 35"/>
                <wp:cNvGraphicFramePr/>
                <a:graphic xmlns:a="http://schemas.openxmlformats.org/drawingml/2006/main">
                  <a:graphicData uri="http://schemas.microsoft.com/office/word/2010/wordprocessingShape">
                    <wps:wsp>
                      <wps:cNvSpPr/>
                      <wps:spPr>
                        <a:xfrm>
                          <a:off x="2350388" y="3389475"/>
                          <a:ext cx="5991225" cy="781050"/>
                        </a:xfrm>
                        <a:prstGeom prst="rect">
                          <a:avLst/>
                        </a:prstGeom>
                        <a:noFill/>
                        <a:ln w="38100" cap="flat" cmpd="sng">
                          <a:solidFill>
                            <a:srgbClr val="FF0000"/>
                          </a:solidFill>
                          <a:prstDash val="solid"/>
                          <a:miter lim="800000"/>
                          <a:headEnd type="none" w="sm" len="sm"/>
                          <a:tailEnd type="none" w="sm" len="sm"/>
                        </a:ln>
                      </wps:spPr>
                      <wps:txbx>
                        <w:txbxContent>
                          <w:p w14:paraId="4B17B791" w14:textId="77777777" w:rsidR="00C61D68" w:rsidRDefault="00C61D6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-101599</wp:posOffset>
                </wp:positionH>
                <wp:positionV relativeFrom="paragraph">
                  <wp:posOffset>3733800</wp:posOffset>
                </wp:positionV>
                <wp:extent cx="6029325" cy="819150"/>
                <wp:effectExtent b="0" l="0" r="0" t="0"/>
                <wp:wrapNone/>
                <wp:docPr id="35"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6029325" cy="819150"/>
                        </a:xfrm>
                        <a:prstGeom prst="rect"/>
                        <a:ln/>
                      </pic:spPr>
                    </pic:pic>
                  </a:graphicData>
                </a:graphic>
              </wp:anchor>
            </w:drawing>
          </mc:Fallback>
        </mc:AlternateContent>
      </w:r>
    </w:p>
    <w:p w14:paraId="5E380286"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5C5A6A6" w14:textId="77777777" w:rsidR="00C61D68" w:rsidRPr="008331F3" w:rsidRDefault="00EB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De las imágenes antes referidas, podemos advertir que para la elaboración y el llenado de los formatos requeridos, es necesario cumplir con una serie de requisitos, entre los cuales, se encuentra que deberá plasmarse quien revisó, dio visto bueno y autorizó, así como en el apartado de firmas se especifica que deberá contener </w:t>
      </w:r>
      <w:r w:rsidRPr="008331F3">
        <w:rPr>
          <w:rFonts w:ascii="Palatino Linotype" w:eastAsia="Palatino Linotype" w:hAnsi="Palatino Linotype" w:cs="Palatino Linotype"/>
          <w:b/>
          <w:sz w:val="24"/>
          <w:szCs w:val="24"/>
        </w:rPr>
        <w:t xml:space="preserve">el </w:t>
      </w:r>
      <w:r w:rsidRPr="008331F3">
        <w:rPr>
          <w:rFonts w:ascii="Palatino Linotype" w:eastAsia="Palatino Linotype" w:hAnsi="Palatino Linotype" w:cs="Palatino Linotype"/>
          <w:sz w:val="24"/>
          <w:szCs w:val="24"/>
        </w:rPr>
        <w:t>nombre y firma de los integrantes de Cabildo que se mencionan al calce del formato o la rúbrica de los servidores públicos que en el documento se indican y en otros el sello correspondiente.</w:t>
      </w:r>
    </w:p>
    <w:p w14:paraId="2A96EB39"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bookmarkStart w:id="1" w:name="_heading=h.3znysh7" w:colFirst="0" w:colLast="0"/>
      <w:bookmarkEnd w:id="1"/>
      <w:r w:rsidRPr="008331F3">
        <w:rPr>
          <w:rFonts w:ascii="Palatino Linotype" w:eastAsia="Palatino Linotype" w:hAnsi="Palatino Linotype" w:cs="Palatino Linotype"/>
          <w:sz w:val="24"/>
          <w:szCs w:val="24"/>
        </w:rPr>
        <w:lastRenderedPageBreak/>
        <w:t xml:space="preserve">Por otro lado, de acuerdo con lo dispuesto por el Reglamento Interno del Sistema Municipal para el Desarrollo Integral de la Familia de Tlalnepantla de Baz, se establece para este organismo, lo siguiente: </w:t>
      </w:r>
    </w:p>
    <w:p w14:paraId="7ACAB708"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DDC9921" w14:textId="77777777" w:rsidR="00C61D68" w:rsidRPr="008331F3" w:rsidRDefault="00EB068A">
      <w:pPr>
        <w:spacing w:after="0" w:line="240"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b/>
          <w:i/>
        </w:rPr>
        <w:t>Artículo 42.</w:t>
      </w:r>
      <w:r w:rsidRPr="008331F3">
        <w:rPr>
          <w:rFonts w:ascii="Palatino Linotype" w:eastAsia="Palatino Linotype" w:hAnsi="Palatino Linotype" w:cs="Palatino Linotype"/>
          <w:i/>
        </w:rPr>
        <w:t xml:space="preserve">-En el ejercicio de sus atribuciones y para el despacho eficiente y eficaz de las responsabilidades del SMDIF, éste contará con las siguientes unidades administrativas: </w:t>
      </w:r>
    </w:p>
    <w:p w14:paraId="22EB5E22" w14:textId="77777777" w:rsidR="00C61D68" w:rsidRPr="008331F3" w:rsidRDefault="00EB068A">
      <w:pPr>
        <w:spacing w:after="0" w:line="240"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I. Presidencia del SMDIF; </w:t>
      </w:r>
    </w:p>
    <w:p w14:paraId="3A86FB58" w14:textId="77777777" w:rsidR="00C61D68" w:rsidRPr="008331F3" w:rsidRDefault="00EB068A">
      <w:pPr>
        <w:spacing w:after="0" w:line="240"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II. Dirección General; </w:t>
      </w:r>
    </w:p>
    <w:p w14:paraId="67653343" w14:textId="77777777" w:rsidR="00C61D68" w:rsidRPr="008331F3" w:rsidRDefault="00EB068A">
      <w:pPr>
        <w:spacing w:after="0" w:line="240"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III. Secretaría Técnica; </w:t>
      </w:r>
    </w:p>
    <w:p w14:paraId="306C7871" w14:textId="77777777" w:rsidR="00C61D68" w:rsidRPr="008331F3" w:rsidRDefault="00EB068A">
      <w:pPr>
        <w:spacing w:after="0" w:line="240"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IV. Órgano Interno de Control;</w:t>
      </w:r>
    </w:p>
    <w:p w14:paraId="4C555E7E" w14:textId="77777777" w:rsidR="00C61D68" w:rsidRPr="008331F3" w:rsidRDefault="00EB068A">
      <w:pPr>
        <w:spacing w:after="0" w:line="240"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V. Oficialía Mayor; </w:t>
      </w:r>
    </w:p>
    <w:p w14:paraId="0216E0A4" w14:textId="77777777" w:rsidR="00C61D68" w:rsidRPr="008331F3" w:rsidRDefault="00EB068A">
      <w:pPr>
        <w:spacing w:after="0" w:line="240"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VI. Subdirección de Prevención y Asistencia Social; </w:t>
      </w:r>
    </w:p>
    <w:p w14:paraId="42B4B763" w14:textId="77777777" w:rsidR="00C61D68" w:rsidRPr="008331F3" w:rsidRDefault="00EB068A">
      <w:pPr>
        <w:spacing w:after="0" w:line="240"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VII. Subdirección de Subsistemas; </w:t>
      </w:r>
    </w:p>
    <w:p w14:paraId="29EC3992" w14:textId="77777777" w:rsidR="00C61D68" w:rsidRPr="008331F3" w:rsidRDefault="00EB068A">
      <w:pPr>
        <w:spacing w:after="0" w:line="240"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VIII. Procuraduría Municipal de Protección de Niñas, Niños y Adolescentes; y la </w:t>
      </w:r>
    </w:p>
    <w:p w14:paraId="66695008" w14:textId="77777777" w:rsidR="00C61D68" w:rsidRPr="008331F3" w:rsidRDefault="00EB068A">
      <w:pPr>
        <w:spacing w:after="0" w:line="240"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IX. Consejería Jurídica; </w:t>
      </w:r>
    </w:p>
    <w:p w14:paraId="7130335F" w14:textId="77777777" w:rsidR="00C61D68" w:rsidRPr="008331F3" w:rsidRDefault="00C61D68">
      <w:pPr>
        <w:spacing w:after="0" w:line="240" w:lineRule="auto"/>
        <w:ind w:left="567" w:right="843"/>
        <w:jc w:val="both"/>
        <w:rPr>
          <w:rFonts w:ascii="Palatino Linotype" w:eastAsia="Palatino Linotype" w:hAnsi="Palatino Linotype" w:cs="Palatino Linotype"/>
          <w:i/>
        </w:rPr>
      </w:pPr>
    </w:p>
    <w:p w14:paraId="612FB600" w14:textId="77777777" w:rsidR="00C61D68" w:rsidRPr="008331F3" w:rsidRDefault="00EB068A">
      <w:pPr>
        <w:spacing w:after="0" w:line="240" w:lineRule="auto"/>
        <w:ind w:left="567" w:right="843"/>
        <w:jc w:val="both"/>
        <w:rPr>
          <w:rFonts w:ascii="Palatino Linotype" w:eastAsia="Palatino Linotype" w:hAnsi="Palatino Linotype" w:cs="Palatino Linotype"/>
          <w:i/>
          <w:sz w:val="24"/>
          <w:szCs w:val="24"/>
        </w:rPr>
      </w:pPr>
      <w:r w:rsidRPr="008331F3">
        <w:rPr>
          <w:rFonts w:ascii="Palatino Linotype" w:eastAsia="Palatino Linotype" w:hAnsi="Palatino Linotype" w:cs="Palatino Linotype"/>
          <w:i/>
        </w:rPr>
        <w:t>De manera adicional el SMDIF se auxiliará de los órganos técnicos y administrativos necesarios para el cumplimiento de sus atribuciones, de acuerdo con la normativa aplicable, estructura orgánica y presupuesto autorizado.</w:t>
      </w:r>
    </w:p>
    <w:p w14:paraId="7E660CD1" w14:textId="77777777" w:rsidR="00C61D68" w:rsidRPr="008331F3" w:rsidRDefault="00C61D68">
      <w:pPr>
        <w:spacing w:after="0" w:line="276" w:lineRule="auto"/>
        <w:ind w:right="49"/>
        <w:jc w:val="both"/>
        <w:rPr>
          <w:rFonts w:ascii="Palatino Linotype" w:eastAsia="Palatino Linotype" w:hAnsi="Palatino Linotype" w:cs="Palatino Linotype"/>
        </w:rPr>
      </w:pPr>
    </w:p>
    <w:p w14:paraId="2C06A091"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b/>
          <w:i/>
        </w:rPr>
        <w:t xml:space="preserve">Artículo 59.- </w:t>
      </w:r>
      <w:r w:rsidRPr="008331F3">
        <w:rPr>
          <w:rFonts w:ascii="Palatino Linotype" w:eastAsia="Palatino Linotype" w:hAnsi="Palatino Linotype" w:cs="Palatino Linotype"/>
          <w:i/>
        </w:rPr>
        <w:t xml:space="preserve">Corresponde al titular de la Dirección General, las siguientes atribuciones: </w:t>
      </w:r>
    </w:p>
    <w:p w14:paraId="154AB139"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I. Dirigir los recursos humanos, materiales y financieros con eficiencia, eficacia, economía, transparencia y honradez para satisfacer los objetivos en materia de asistencia social del SMDIF; </w:t>
      </w:r>
    </w:p>
    <w:p w14:paraId="6D7D8350"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p>
    <w:p w14:paraId="03238954"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p>
    <w:p w14:paraId="05581956" w14:textId="77777777" w:rsidR="00C61D68" w:rsidRPr="008331F3" w:rsidRDefault="00EB068A">
      <w:pPr>
        <w:spacing w:after="0" w:line="276" w:lineRule="auto"/>
        <w:ind w:left="567" w:right="843"/>
        <w:jc w:val="both"/>
        <w:rPr>
          <w:rFonts w:ascii="Palatino Linotype" w:eastAsia="Palatino Linotype" w:hAnsi="Palatino Linotype" w:cs="Palatino Linotype"/>
          <w:b/>
          <w:i/>
        </w:rPr>
      </w:pPr>
      <w:r w:rsidRPr="008331F3">
        <w:rPr>
          <w:rFonts w:ascii="Palatino Linotype" w:eastAsia="Palatino Linotype" w:hAnsi="Palatino Linotype" w:cs="Palatino Linotype"/>
          <w:b/>
          <w:i/>
        </w:rPr>
        <w:t>V. En coordinación, con la Oficialía Mayor y la Secretaría Técnica, ejecutar, evaluar y controlar el presupuesto del SMDIF, en los términos aprobados;</w:t>
      </w:r>
    </w:p>
    <w:p w14:paraId="1FD0A61A"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p>
    <w:p w14:paraId="22810436"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b/>
          <w:i/>
        </w:rPr>
        <w:lastRenderedPageBreak/>
        <w:t>Artículo 60.-</w:t>
      </w:r>
      <w:r w:rsidRPr="008331F3">
        <w:rPr>
          <w:rFonts w:ascii="Palatino Linotype" w:eastAsia="Palatino Linotype" w:hAnsi="Palatino Linotype" w:cs="Palatino Linotype"/>
          <w:i/>
        </w:rPr>
        <w:t xml:space="preserve"> Para el eficaz despacho de sus atribuciones, la Dirección General del SMDIF contará con las siguientes unidades administrativas: </w:t>
      </w:r>
    </w:p>
    <w:p w14:paraId="4A8B4EDD"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I. Órgano Interno de Control; </w:t>
      </w:r>
    </w:p>
    <w:p w14:paraId="5D5D622B"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II. Secretaría Técnica; </w:t>
      </w:r>
    </w:p>
    <w:p w14:paraId="628BE0BD"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III. Oficialía Mayor; </w:t>
      </w:r>
    </w:p>
    <w:p w14:paraId="2B3999B0"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IV. Subdirección de Prevención y Asistencia Social; </w:t>
      </w:r>
    </w:p>
    <w:p w14:paraId="5BC9C569"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V. Subdirección de Subsistemas; </w:t>
      </w:r>
    </w:p>
    <w:p w14:paraId="66A72A21"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VI. Procuraduría Municipal de Protección de Niñas, Niños y Adolescentes; </w:t>
      </w:r>
    </w:p>
    <w:p w14:paraId="36081DCA"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VII. Consejería Jurídica; </w:t>
      </w:r>
    </w:p>
    <w:p w14:paraId="706B9423"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VIII. Coordinación del Adulto Mayor; </w:t>
      </w:r>
    </w:p>
    <w:p w14:paraId="6A1F0709"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IX. Coordinación de Transparencia; </w:t>
      </w:r>
    </w:p>
    <w:p w14:paraId="435DDC14"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X. Coordinación del Centro de Desarrollo Integral de la Mujer (CEDEIM); </w:t>
      </w:r>
    </w:p>
    <w:p w14:paraId="02D0D61E"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XI. Departamento de la Unidad de Desarrollo y Educación para los Adultos; y</w:t>
      </w:r>
    </w:p>
    <w:p w14:paraId="20B2F120"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XII. Unidad de Control de Gestión.</w:t>
      </w:r>
    </w:p>
    <w:p w14:paraId="0BD92342" w14:textId="77777777" w:rsidR="00C61D68" w:rsidRPr="008331F3" w:rsidRDefault="00C61D68">
      <w:pPr>
        <w:spacing w:after="0" w:line="360" w:lineRule="auto"/>
        <w:ind w:right="49"/>
        <w:jc w:val="both"/>
      </w:pPr>
    </w:p>
    <w:p w14:paraId="242A6229"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b/>
          <w:i/>
        </w:rPr>
        <w:t>Artículo 68.-</w:t>
      </w:r>
      <w:r w:rsidRPr="008331F3">
        <w:rPr>
          <w:rFonts w:ascii="Palatino Linotype" w:eastAsia="Palatino Linotype" w:hAnsi="Palatino Linotype" w:cs="Palatino Linotype"/>
          <w:i/>
        </w:rPr>
        <w:t xml:space="preserve"> Corresponde a la o el titular de la Secretaría Técnica del SMDIF las siguientes atribuciones:</w:t>
      </w:r>
    </w:p>
    <w:p w14:paraId="090487CE"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I. Elaborar y coordinar la planeación para la programación presupuestaria orientada a resultados, así como las acciones que se requieran para impulsar el cumplimiento de las metas programadas por las unidades administrativas del SMDIF;</w:t>
      </w:r>
    </w:p>
    <w:p w14:paraId="0DDA9333"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p>
    <w:p w14:paraId="154DC932"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III. Participar, a través de la UIPPE y en coordinación con la Oficialía Mayor, en las tareas relativas a efectuar la integración del presupuesto anual con base en resultados del SMDIF;</w:t>
      </w:r>
    </w:p>
    <w:p w14:paraId="642C4972"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p>
    <w:p w14:paraId="120A82CB"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VII. Comunicar al Órgano de Control Interno y a la Dirección General de las incidencias en materia de planeación, programación y calidad que demanden soluciones inmediatas, así como desviaciones u omisiones detectadas en el cumplimiento de los objetivos, estrategias y líneas de acción establecidas en el </w:t>
      </w:r>
      <w:proofErr w:type="spellStart"/>
      <w:r w:rsidRPr="008331F3">
        <w:rPr>
          <w:rFonts w:ascii="Palatino Linotype" w:eastAsia="Palatino Linotype" w:hAnsi="Palatino Linotype" w:cs="Palatino Linotype"/>
          <w:i/>
        </w:rPr>
        <w:t>PbRM</w:t>
      </w:r>
      <w:proofErr w:type="spellEnd"/>
      <w:r w:rsidRPr="008331F3">
        <w:rPr>
          <w:rFonts w:ascii="Palatino Linotype" w:eastAsia="Palatino Linotype" w:hAnsi="Palatino Linotype" w:cs="Palatino Linotype"/>
          <w:i/>
        </w:rPr>
        <w:t>;</w:t>
      </w:r>
    </w:p>
    <w:p w14:paraId="38485A32"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p>
    <w:p w14:paraId="4AB90FB3"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XXI. Integrar el Informe Anual de Actividades del SMDIF;</w:t>
      </w:r>
    </w:p>
    <w:p w14:paraId="389C1035" w14:textId="77777777" w:rsidR="00C61D68" w:rsidRPr="008331F3" w:rsidRDefault="00C61D68">
      <w:pPr>
        <w:spacing w:after="0" w:line="276" w:lineRule="auto"/>
        <w:ind w:left="567" w:right="843"/>
        <w:jc w:val="both"/>
        <w:rPr>
          <w:rFonts w:ascii="Palatino Linotype" w:eastAsia="Palatino Linotype" w:hAnsi="Palatino Linotype" w:cs="Palatino Linotype"/>
          <w:i/>
        </w:rPr>
      </w:pPr>
    </w:p>
    <w:p w14:paraId="56269459"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b/>
          <w:i/>
        </w:rPr>
        <w:lastRenderedPageBreak/>
        <w:t>Artículo 80.-</w:t>
      </w:r>
      <w:r w:rsidRPr="008331F3">
        <w:rPr>
          <w:rFonts w:ascii="Palatino Linotype" w:eastAsia="Palatino Linotype" w:hAnsi="Palatino Linotype" w:cs="Palatino Linotype"/>
          <w:i/>
        </w:rPr>
        <w:t xml:space="preserve"> Son atribuciones de la o el titular de la Oficialía Mayor las siguientes:</w:t>
      </w:r>
    </w:p>
    <w:p w14:paraId="21160508"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w:t>
      </w:r>
    </w:p>
    <w:p w14:paraId="64CBD08E"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 xml:space="preserve">II. Participar en coordinación con la UIPPE de la Secretaría Técnica en el proceso de formulación del </w:t>
      </w:r>
      <w:proofErr w:type="spellStart"/>
      <w:r w:rsidRPr="008331F3">
        <w:rPr>
          <w:rFonts w:ascii="Palatino Linotype" w:eastAsia="Palatino Linotype" w:hAnsi="Palatino Linotype" w:cs="Palatino Linotype"/>
          <w:i/>
        </w:rPr>
        <w:t>PbRM</w:t>
      </w:r>
      <w:proofErr w:type="spellEnd"/>
      <w:r w:rsidRPr="008331F3">
        <w:rPr>
          <w:rFonts w:ascii="Palatino Linotype" w:eastAsia="Palatino Linotype" w:hAnsi="Palatino Linotype" w:cs="Palatino Linotype"/>
          <w:i/>
        </w:rPr>
        <w:t xml:space="preserve"> del SMDIF;</w:t>
      </w:r>
    </w:p>
    <w:p w14:paraId="7A0CD0D1" w14:textId="77777777" w:rsidR="00C61D68" w:rsidRPr="008331F3" w:rsidRDefault="00EB068A">
      <w:pPr>
        <w:spacing w:after="0" w:line="276" w:lineRule="auto"/>
        <w:ind w:left="567" w:right="843"/>
        <w:jc w:val="both"/>
        <w:rPr>
          <w:rFonts w:ascii="Palatino Linotype" w:eastAsia="Palatino Linotype" w:hAnsi="Palatino Linotype" w:cs="Palatino Linotype"/>
          <w:i/>
        </w:rPr>
      </w:pPr>
      <w:r w:rsidRPr="008331F3">
        <w:rPr>
          <w:rFonts w:ascii="Palatino Linotype" w:eastAsia="Palatino Linotype" w:hAnsi="Palatino Linotype" w:cs="Palatino Linotype"/>
          <w:i/>
        </w:rPr>
        <w:t>II. I. Dar el visto bueno a las reconducciones programáticos-presupuestales, recalendarizaciones, traspasos internos y externos, previamente autorizados y validados por el titular de la UIPPE del SMDIF</w:t>
      </w:r>
    </w:p>
    <w:p w14:paraId="58B3DE15" w14:textId="77777777" w:rsidR="00C61D68" w:rsidRPr="008331F3" w:rsidRDefault="00EB068A">
      <w:pPr>
        <w:spacing w:after="0" w:line="276" w:lineRule="auto"/>
        <w:ind w:left="567" w:right="843"/>
        <w:jc w:val="both"/>
        <w:rPr>
          <w:rFonts w:ascii="Palatino Linotype" w:eastAsia="Palatino Linotype" w:hAnsi="Palatino Linotype" w:cs="Palatino Linotype"/>
          <w:i/>
          <w:sz w:val="24"/>
          <w:szCs w:val="24"/>
        </w:rPr>
      </w:pPr>
      <w:r w:rsidRPr="008331F3">
        <w:rPr>
          <w:rFonts w:ascii="Palatino Linotype" w:eastAsia="Palatino Linotype" w:hAnsi="Palatino Linotype" w:cs="Palatino Linotype"/>
          <w:i/>
        </w:rPr>
        <w:t>…</w:t>
      </w:r>
    </w:p>
    <w:p w14:paraId="075BA4B9" w14:textId="77777777" w:rsidR="00C61D68" w:rsidRPr="008331F3" w:rsidRDefault="00C61D68">
      <w:pPr>
        <w:spacing w:after="0" w:line="276" w:lineRule="auto"/>
        <w:ind w:left="567" w:right="843"/>
        <w:jc w:val="both"/>
        <w:rPr>
          <w:rFonts w:ascii="Palatino Linotype" w:eastAsia="Palatino Linotype" w:hAnsi="Palatino Linotype" w:cs="Palatino Linotype"/>
          <w:i/>
          <w:sz w:val="24"/>
          <w:szCs w:val="24"/>
        </w:rPr>
      </w:pPr>
    </w:p>
    <w:p w14:paraId="61CAFF8F"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De lo anterior, se colige que la información relacionada con el presupuesto y con ello, de los formatos del Presupuesto Basado en Resultados, es información que es generada, administrada y poseída por este Sujeto Obligado, en ejercicio de las atribuciones, facultades y competencias de sus unidades administrativas, de manera enunciativa más no limitativa, por la Oficialía Mayor, la Secretaría Técnica y la Dirección General.  </w:t>
      </w:r>
    </w:p>
    <w:p w14:paraId="43BAED30"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752A14EA"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Establecido lo anterior, se tiene que en atención a los agravios hechos valer por el Solicitante en su Recurso de Revisión, se tiene que este se inconformó por la negativa de la entrega de la información, ya que el Sujeto Obligado le entregó mediante respuesta una liga electrónica, de tal forma que, esta Ponencia accedió a verificar el contenido de la misma, obteniendo lo siguiente: </w:t>
      </w:r>
    </w:p>
    <w:p w14:paraId="6A7143F9"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1649A81D" w14:textId="77777777" w:rsidR="00C61D68" w:rsidRPr="008331F3" w:rsidRDefault="00EB068A">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0"/>
          <w:szCs w:val="20"/>
        </w:rPr>
      </w:pPr>
      <w:r w:rsidRPr="008331F3">
        <w:rPr>
          <w:rFonts w:ascii="Palatino Linotype" w:eastAsia="Palatino Linotype" w:hAnsi="Palatino Linotype" w:cs="Palatino Linotype"/>
          <w:b/>
          <w:sz w:val="20"/>
          <w:szCs w:val="20"/>
        </w:rPr>
        <w:t xml:space="preserve">Liga electrónica enviada en respuesta por el Sujeto Obligado </w:t>
      </w:r>
      <w:hyperlink r:id="rId18">
        <w:r w:rsidRPr="008331F3">
          <w:rPr>
            <w:rFonts w:ascii="Palatino Linotype" w:eastAsia="Palatino Linotype" w:hAnsi="Palatino Linotype" w:cs="Palatino Linotype"/>
            <w:b/>
            <w:sz w:val="20"/>
            <w:szCs w:val="20"/>
            <w:u w:val="single"/>
          </w:rPr>
          <w:t>https://tlalnepantladebaz.mx/Dif/Home/PbRM</w:t>
        </w:r>
      </w:hyperlink>
      <w:r w:rsidRPr="008331F3">
        <w:rPr>
          <w:rFonts w:ascii="Palatino Linotype" w:eastAsia="Palatino Linotype" w:hAnsi="Palatino Linotype" w:cs="Palatino Linotype"/>
          <w:b/>
          <w:sz w:val="20"/>
          <w:szCs w:val="20"/>
          <w:u w:val="single"/>
        </w:rPr>
        <w:t xml:space="preserve">. </w:t>
      </w:r>
    </w:p>
    <w:p w14:paraId="22C30F4B" w14:textId="77777777" w:rsidR="00C61D68" w:rsidRPr="008331F3" w:rsidRDefault="00C61D6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sz w:val="20"/>
          <w:szCs w:val="20"/>
        </w:rPr>
      </w:pPr>
    </w:p>
    <w:p w14:paraId="302E70E9" w14:textId="77777777" w:rsidR="00C61D68" w:rsidRPr="008331F3" w:rsidRDefault="00EB068A">
      <w:pPr>
        <w:spacing w:after="0" w:line="360" w:lineRule="auto"/>
        <w:ind w:right="49"/>
        <w:jc w:val="center"/>
        <w:rPr>
          <w:rFonts w:ascii="Palatino Linotype" w:eastAsia="Palatino Linotype" w:hAnsi="Palatino Linotype" w:cs="Palatino Linotype"/>
          <w:sz w:val="24"/>
          <w:szCs w:val="24"/>
        </w:rPr>
      </w:pPr>
      <w:r w:rsidRPr="008331F3">
        <w:rPr>
          <w:noProof/>
        </w:rPr>
        <w:lastRenderedPageBreak/>
        <w:drawing>
          <wp:inline distT="0" distB="0" distL="0" distR="0" wp14:anchorId="797437DB" wp14:editId="7A8FD573">
            <wp:extent cx="4921583" cy="2744378"/>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t="15883" r="55487" b="44404"/>
                    <a:stretch>
                      <a:fillRect/>
                    </a:stretch>
                  </pic:blipFill>
                  <pic:spPr>
                    <a:xfrm>
                      <a:off x="0" y="0"/>
                      <a:ext cx="4921583" cy="2744378"/>
                    </a:xfrm>
                    <a:prstGeom prst="rect">
                      <a:avLst/>
                    </a:prstGeom>
                    <a:ln/>
                  </pic:spPr>
                </pic:pic>
              </a:graphicData>
            </a:graphic>
          </wp:inline>
        </w:drawing>
      </w:r>
    </w:p>
    <w:p w14:paraId="00AE6B1F" w14:textId="77777777" w:rsidR="00C61D68" w:rsidRPr="008331F3" w:rsidRDefault="00C61D68">
      <w:pPr>
        <w:spacing w:after="0" w:line="360" w:lineRule="auto"/>
        <w:ind w:right="49"/>
        <w:jc w:val="center"/>
        <w:rPr>
          <w:rFonts w:ascii="Palatino Linotype" w:eastAsia="Palatino Linotype" w:hAnsi="Palatino Linotype" w:cs="Palatino Linotype"/>
          <w:b/>
          <w:sz w:val="24"/>
          <w:szCs w:val="24"/>
        </w:rPr>
      </w:pPr>
    </w:p>
    <w:p w14:paraId="3E503AE3"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26EFD9E7"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De ello, como se logra observar el vínculo proporcionado por Sujeto Obligado señala </w:t>
      </w:r>
      <w:r w:rsidRPr="008331F3">
        <w:rPr>
          <w:rFonts w:ascii="Palatino Linotype" w:eastAsia="Palatino Linotype" w:hAnsi="Palatino Linotype" w:cs="Palatino Linotype"/>
          <w:b/>
          <w:i/>
          <w:sz w:val="24"/>
          <w:szCs w:val="24"/>
        </w:rPr>
        <w:t>“error”,</w:t>
      </w:r>
      <w:r w:rsidRPr="008331F3">
        <w:rPr>
          <w:rFonts w:ascii="Palatino Linotype" w:eastAsia="Palatino Linotype" w:hAnsi="Palatino Linotype" w:cs="Palatino Linotype"/>
          <w:sz w:val="24"/>
          <w:szCs w:val="24"/>
        </w:rPr>
        <w:t xml:space="preserve"> de modo que, es importante traer a colación que el artículo 161</w:t>
      </w:r>
      <w:r w:rsidRPr="008331F3">
        <w:rPr>
          <w:rFonts w:ascii="Palatino Linotype" w:eastAsia="Palatino Linotype" w:hAnsi="Palatino Linotype" w:cs="Palatino Linotype"/>
          <w:sz w:val="24"/>
          <w:szCs w:val="24"/>
          <w:vertAlign w:val="superscript"/>
        </w:rPr>
        <w:footnoteReference w:id="1"/>
      </w:r>
      <w:r w:rsidRPr="008331F3">
        <w:rPr>
          <w:rFonts w:ascii="Palatino Linotype" w:eastAsia="Palatino Linotype" w:hAnsi="Palatino Linotype" w:cs="Palatino Linotype"/>
          <w:sz w:val="24"/>
          <w:szCs w:val="24"/>
        </w:rPr>
        <w:t xml:space="preserve"> de la Ley de Transparencia y Acceso a la Información Pública del Estado de México y Municipios</w:t>
      </w:r>
      <w:r w:rsidRPr="008331F3">
        <w:rPr>
          <w:rFonts w:ascii="Palatino Linotype" w:eastAsia="Palatino Linotype" w:hAnsi="Palatino Linotype" w:cs="Palatino Linotype"/>
          <w:i/>
          <w:sz w:val="24"/>
          <w:szCs w:val="24"/>
        </w:rPr>
        <w:t xml:space="preserve">, </w:t>
      </w:r>
      <w:r w:rsidRPr="008331F3">
        <w:rPr>
          <w:rFonts w:ascii="Palatino Linotype" w:eastAsia="Palatino Linotype" w:hAnsi="Palatino Linotype" w:cs="Palatino Linotype"/>
          <w:sz w:val="24"/>
          <w:szCs w:val="24"/>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8331F3">
        <w:rPr>
          <w:rFonts w:ascii="Palatino Linotype" w:eastAsia="Palatino Linotype" w:hAnsi="Palatino Linotype" w:cs="Palatino Linotype"/>
          <w:sz w:val="24"/>
          <w:szCs w:val="24"/>
        </w:rPr>
        <w:lastRenderedPageBreak/>
        <w:t xml:space="preserve">haciéndole saber al solicitante como podrá consultar, reproducir o adquirir la información, </w:t>
      </w:r>
      <w:r w:rsidRPr="008331F3">
        <w:rPr>
          <w:rFonts w:ascii="Palatino Linotype" w:eastAsia="Palatino Linotype" w:hAnsi="Palatino Linotype" w:cs="Palatino Linotype"/>
          <w:b/>
          <w:sz w:val="24"/>
          <w:szCs w:val="24"/>
          <w:u w:val="single"/>
        </w:rPr>
        <w:t>en un plazo no mayor a cinco días hábiles</w:t>
      </w:r>
      <w:r w:rsidRPr="008331F3">
        <w:rPr>
          <w:rFonts w:ascii="Palatino Linotype" w:eastAsia="Palatino Linotype" w:hAnsi="Palatino Linotype" w:cs="Palatino Linotype"/>
          <w:sz w:val="24"/>
          <w:szCs w:val="24"/>
        </w:rPr>
        <w:t>, comprendiendo:</w:t>
      </w:r>
    </w:p>
    <w:p w14:paraId="5A874424" w14:textId="77777777" w:rsidR="00C61D68" w:rsidRPr="008331F3" w:rsidRDefault="00C61D68">
      <w:pPr>
        <w:spacing w:after="0" w:line="360" w:lineRule="auto"/>
        <w:ind w:right="-7"/>
        <w:jc w:val="both"/>
        <w:rPr>
          <w:rFonts w:ascii="Palatino Linotype" w:eastAsia="Palatino Linotype" w:hAnsi="Palatino Linotype" w:cs="Palatino Linotype"/>
          <w:i/>
          <w:sz w:val="24"/>
          <w:szCs w:val="24"/>
        </w:rPr>
      </w:pPr>
    </w:p>
    <w:p w14:paraId="124DEF06" w14:textId="77777777" w:rsidR="00C61D68" w:rsidRPr="008331F3" w:rsidRDefault="00EB068A">
      <w:pPr>
        <w:spacing w:after="0" w:line="276" w:lineRule="auto"/>
        <w:ind w:left="284" w:right="49"/>
        <w:jc w:val="both"/>
        <w:rPr>
          <w:rFonts w:ascii="Palatino Linotype" w:eastAsia="Palatino Linotype" w:hAnsi="Palatino Linotype" w:cs="Palatino Linotype"/>
        </w:rPr>
      </w:pPr>
      <w:r w:rsidRPr="008331F3">
        <w:rPr>
          <w:rFonts w:ascii="Palatino Linotype" w:eastAsia="Palatino Linotype" w:hAnsi="Palatino Linotype" w:cs="Palatino Linotype"/>
        </w:rPr>
        <w:t>a) La fuente</w:t>
      </w:r>
    </w:p>
    <w:p w14:paraId="52D779C4" w14:textId="77777777" w:rsidR="00C61D68" w:rsidRPr="008331F3" w:rsidRDefault="00EB068A">
      <w:pPr>
        <w:spacing w:after="0" w:line="276" w:lineRule="auto"/>
        <w:ind w:left="284" w:right="49"/>
        <w:jc w:val="both"/>
        <w:rPr>
          <w:rFonts w:ascii="Palatino Linotype" w:eastAsia="Palatino Linotype" w:hAnsi="Palatino Linotype" w:cs="Palatino Linotype"/>
        </w:rPr>
      </w:pPr>
      <w:r w:rsidRPr="008331F3">
        <w:rPr>
          <w:rFonts w:ascii="Palatino Linotype" w:eastAsia="Palatino Linotype" w:hAnsi="Palatino Linotype" w:cs="Palatino Linotype"/>
        </w:rPr>
        <w:t>b) El lugar y</w:t>
      </w:r>
    </w:p>
    <w:p w14:paraId="2F674413" w14:textId="77777777" w:rsidR="00C61D68" w:rsidRPr="008331F3" w:rsidRDefault="00EB068A">
      <w:pPr>
        <w:spacing w:after="0" w:line="276" w:lineRule="auto"/>
        <w:ind w:left="284" w:right="49"/>
        <w:jc w:val="both"/>
        <w:rPr>
          <w:rFonts w:ascii="Palatino Linotype" w:eastAsia="Palatino Linotype" w:hAnsi="Palatino Linotype" w:cs="Palatino Linotype"/>
        </w:rPr>
      </w:pPr>
      <w:r w:rsidRPr="008331F3">
        <w:rPr>
          <w:rFonts w:ascii="Palatino Linotype" w:eastAsia="Palatino Linotype" w:hAnsi="Palatino Linotype" w:cs="Palatino Linotype"/>
        </w:rPr>
        <w:t>c) La forma</w:t>
      </w:r>
    </w:p>
    <w:p w14:paraId="27AB47A6" w14:textId="77777777" w:rsidR="00C61D68" w:rsidRPr="008331F3" w:rsidRDefault="00C61D68">
      <w:pPr>
        <w:spacing w:after="0" w:line="276" w:lineRule="auto"/>
        <w:ind w:left="284" w:right="49"/>
        <w:jc w:val="both"/>
        <w:rPr>
          <w:rFonts w:ascii="Palatino Linotype" w:eastAsia="Palatino Linotype" w:hAnsi="Palatino Linotype" w:cs="Palatino Linotype"/>
        </w:rPr>
      </w:pPr>
    </w:p>
    <w:p w14:paraId="70E86E5D"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Asimismo, se establece que la fuente de la información deberá ser:</w:t>
      </w:r>
    </w:p>
    <w:p w14:paraId="1FDED56E"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2AEA950" w14:textId="77777777" w:rsidR="00C61D68" w:rsidRPr="008331F3" w:rsidRDefault="00EB068A">
      <w:pPr>
        <w:spacing w:after="0" w:line="276" w:lineRule="auto"/>
        <w:ind w:left="284" w:right="49"/>
        <w:jc w:val="both"/>
        <w:rPr>
          <w:rFonts w:ascii="Palatino Linotype" w:eastAsia="Palatino Linotype" w:hAnsi="Palatino Linotype" w:cs="Palatino Linotype"/>
        </w:rPr>
      </w:pPr>
      <w:r w:rsidRPr="008331F3">
        <w:rPr>
          <w:rFonts w:ascii="Palatino Linotype" w:eastAsia="Palatino Linotype" w:hAnsi="Palatino Linotype" w:cs="Palatino Linotype"/>
        </w:rPr>
        <w:t>a) Precisa</w:t>
      </w:r>
    </w:p>
    <w:p w14:paraId="41A23F6C" w14:textId="77777777" w:rsidR="00C61D68" w:rsidRPr="008331F3" w:rsidRDefault="00EB068A">
      <w:pPr>
        <w:spacing w:after="0" w:line="276" w:lineRule="auto"/>
        <w:ind w:left="284" w:right="49"/>
        <w:jc w:val="both"/>
        <w:rPr>
          <w:rFonts w:ascii="Palatino Linotype" w:eastAsia="Palatino Linotype" w:hAnsi="Palatino Linotype" w:cs="Palatino Linotype"/>
        </w:rPr>
      </w:pPr>
      <w:r w:rsidRPr="008331F3">
        <w:rPr>
          <w:rFonts w:ascii="Palatino Linotype" w:eastAsia="Palatino Linotype" w:hAnsi="Palatino Linotype" w:cs="Palatino Linotype"/>
        </w:rPr>
        <w:t>b) Concreta</w:t>
      </w:r>
    </w:p>
    <w:p w14:paraId="0867F884" w14:textId="77777777" w:rsidR="00C61D68" w:rsidRPr="008331F3" w:rsidRDefault="00EB068A">
      <w:pPr>
        <w:spacing w:after="0" w:line="360" w:lineRule="auto"/>
        <w:ind w:left="284" w:right="560"/>
        <w:jc w:val="both"/>
        <w:rPr>
          <w:rFonts w:ascii="Palatino Linotype" w:eastAsia="Palatino Linotype" w:hAnsi="Palatino Linotype" w:cs="Palatino Linotype"/>
          <w:b/>
          <w:u w:val="single"/>
        </w:rPr>
      </w:pPr>
      <w:r w:rsidRPr="008331F3">
        <w:rPr>
          <w:rFonts w:ascii="Palatino Linotype" w:eastAsia="Palatino Linotype" w:hAnsi="Palatino Linotype" w:cs="Palatino Linotype"/>
          <w:b/>
          <w:u w:val="single"/>
        </w:rPr>
        <w:t>c) Y no debe implicar que el solicitante realice una búsqueda en toda la información que se encuentre disponible.</w:t>
      </w:r>
    </w:p>
    <w:p w14:paraId="17B5911C" w14:textId="77777777" w:rsidR="00C61D68" w:rsidRPr="008331F3" w:rsidRDefault="00C61D68">
      <w:pPr>
        <w:spacing w:after="0" w:line="360" w:lineRule="auto"/>
        <w:ind w:left="284" w:right="51"/>
        <w:jc w:val="both"/>
        <w:rPr>
          <w:rFonts w:ascii="Palatino Linotype" w:eastAsia="Palatino Linotype" w:hAnsi="Palatino Linotype" w:cs="Palatino Linotype"/>
        </w:rPr>
      </w:pPr>
    </w:p>
    <w:p w14:paraId="2B8C98A5" w14:textId="77777777" w:rsidR="00C61D68" w:rsidRPr="008331F3" w:rsidRDefault="00EB068A">
      <w:pPr>
        <w:spacing w:after="0" w:line="360" w:lineRule="auto"/>
        <w:ind w:right="51"/>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Imperativos legales que detallan el procedimiento que debe seguir el Sujeto Obligado para que pueda tomarse como válida su orientación sobre la forma en que puede consultar la información requerida.</w:t>
      </w:r>
    </w:p>
    <w:p w14:paraId="4BC8B1A1" w14:textId="77777777" w:rsidR="00C61D68" w:rsidRPr="008331F3" w:rsidRDefault="00C61D68">
      <w:pPr>
        <w:spacing w:after="0" w:line="360" w:lineRule="auto"/>
        <w:ind w:right="51"/>
        <w:jc w:val="both"/>
        <w:rPr>
          <w:rFonts w:ascii="Palatino Linotype" w:eastAsia="Palatino Linotype" w:hAnsi="Palatino Linotype" w:cs="Palatino Linotype"/>
          <w:sz w:val="24"/>
          <w:szCs w:val="24"/>
        </w:rPr>
      </w:pPr>
    </w:p>
    <w:p w14:paraId="6D535676" w14:textId="77777777" w:rsidR="00C61D68" w:rsidRPr="008331F3" w:rsidRDefault="00EB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Dicho esto, se tiene que, la liga electrónica que proporcionó el Sujeto Obligado no redirige a la información que requiere obtener el solicitante, por lo que, se determina que el Sujeto Obligado, </w:t>
      </w:r>
      <w:r w:rsidRPr="008331F3">
        <w:rPr>
          <w:rFonts w:ascii="Palatino Linotype" w:eastAsia="Palatino Linotype" w:hAnsi="Palatino Linotype" w:cs="Palatino Linotype"/>
          <w:b/>
          <w:sz w:val="24"/>
          <w:szCs w:val="24"/>
          <w:u w:val="single"/>
        </w:rPr>
        <w:t>no observó lo que dispone el artículo 161 de la Ley en la materia.</w:t>
      </w:r>
      <w:r w:rsidRPr="008331F3">
        <w:rPr>
          <w:rFonts w:ascii="Palatino Linotype" w:eastAsia="Palatino Linotype" w:hAnsi="Palatino Linotype" w:cs="Palatino Linotype"/>
          <w:sz w:val="24"/>
          <w:szCs w:val="24"/>
        </w:rPr>
        <w:t xml:space="preserve"> </w:t>
      </w:r>
    </w:p>
    <w:p w14:paraId="3128D911" w14:textId="77777777" w:rsidR="00C61D68" w:rsidRPr="008331F3" w:rsidRDefault="00C61D6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71C1FBF" w14:textId="77777777" w:rsidR="00C61D68" w:rsidRPr="008331F3" w:rsidRDefault="00EB068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lastRenderedPageBreak/>
        <w:t xml:space="preserve">Aunado a ello, es de destacar que </w:t>
      </w:r>
      <w:r w:rsidRPr="008331F3">
        <w:rPr>
          <w:rFonts w:ascii="Palatino Linotype" w:eastAsia="Palatino Linotype" w:hAnsi="Palatino Linotype" w:cs="Palatino Linotype"/>
          <w:b/>
          <w:sz w:val="24"/>
          <w:szCs w:val="24"/>
        </w:rPr>
        <w:t>los objetivos de la Ley de la materia</w:t>
      </w:r>
      <w:r w:rsidRPr="008331F3">
        <w:rPr>
          <w:rFonts w:ascii="Palatino Linotype" w:eastAsia="Palatino Linotype" w:hAnsi="Palatino Linotype" w:cs="Palatino Linotype"/>
          <w:sz w:val="24"/>
          <w:szCs w:val="24"/>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CFA8933" w14:textId="77777777" w:rsidR="00C61D68" w:rsidRPr="008331F3" w:rsidRDefault="00C61D68">
      <w:pPr>
        <w:spacing w:after="0" w:line="360" w:lineRule="auto"/>
        <w:rPr>
          <w:rFonts w:ascii="Palatino Linotype" w:eastAsia="Palatino Linotype" w:hAnsi="Palatino Linotype" w:cs="Palatino Linotype"/>
          <w:sz w:val="24"/>
          <w:szCs w:val="24"/>
        </w:rPr>
      </w:pPr>
    </w:p>
    <w:p w14:paraId="126E46D1" w14:textId="77777777" w:rsidR="00C61D68" w:rsidRPr="008331F3" w:rsidRDefault="00EB068A">
      <w:pPr>
        <w:spacing w:after="0" w:line="360" w:lineRule="auto"/>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En ese orden de ideas, para la atención de las solicitudes de acceso a la información, debe privilegiarse el </w:t>
      </w:r>
      <w:r w:rsidRPr="008331F3">
        <w:rPr>
          <w:rFonts w:ascii="Palatino Linotype" w:eastAsia="Palatino Linotype" w:hAnsi="Palatino Linotype" w:cs="Palatino Linotype"/>
          <w:b/>
          <w:sz w:val="24"/>
          <w:szCs w:val="24"/>
        </w:rPr>
        <w:t>principio de máxima publicidad</w:t>
      </w:r>
      <w:r w:rsidRPr="008331F3">
        <w:rPr>
          <w:rFonts w:ascii="Palatino Linotype" w:eastAsia="Palatino Linotype" w:hAnsi="Palatino Linotype" w:cs="Palatino Linotype"/>
          <w:sz w:val="24"/>
          <w:szCs w:val="24"/>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B9F78DF" w14:textId="77777777" w:rsidR="00C61D68" w:rsidRPr="008331F3" w:rsidRDefault="00C61D68">
      <w:pPr>
        <w:spacing w:after="0" w:line="360" w:lineRule="auto"/>
        <w:rPr>
          <w:rFonts w:ascii="Palatino Linotype" w:eastAsia="Palatino Linotype" w:hAnsi="Palatino Linotype" w:cs="Palatino Linotype"/>
          <w:sz w:val="24"/>
          <w:szCs w:val="24"/>
        </w:rPr>
      </w:pPr>
    </w:p>
    <w:p w14:paraId="1FECDEA7" w14:textId="77777777" w:rsidR="00C61D68" w:rsidRPr="008331F3" w:rsidRDefault="00EB068A">
      <w:pPr>
        <w:spacing w:after="0" w:line="360" w:lineRule="auto"/>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D2665C3" w14:textId="77777777" w:rsidR="00C61D68" w:rsidRPr="008331F3" w:rsidRDefault="00C61D68">
      <w:pPr>
        <w:spacing w:after="0" w:line="360" w:lineRule="auto"/>
        <w:jc w:val="both"/>
        <w:rPr>
          <w:rFonts w:ascii="Palatino Linotype" w:eastAsia="Palatino Linotype" w:hAnsi="Palatino Linotype" w:cs="Palatino Linotype"/>
          <w:sz w:val="24"/>
          <w:szCs w:val="24"/>
        </w:rPr>
      </w:pPr>
    </w:p>
    <w:p w14:paraId="251AD36A" w14:textId="77777777" w:rsidR="00C61D68" w:rsidRPr="008331F3" w:rsidRDefault="00EB068A">
      <w:pPr>
        <w:numPr>
          <w:ilvl w:val="0"/>
          <w:numId w:val="5"/>
        </w:numPr>
        <w:spacing w:after="0" w:line="360" w:lineRule="auto"/>
        <w:jc w:val="both"/>
        <w:rPr>
          <w:rFonts w:ascii="Palatino Linotype" w:eastAsia="Palatino Linotype" w:hAnsi="Palatino Linotype" w:cs="Palatino Linotype"/>
        </w:rPr>
      </w:pPr>
      <w:r w:rsidRPr="008331F3">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12D60BA" w14:textId="77777777" w:rsidR="00C61D68" w:rsidRPr="008331F3" w:rsidRDefault="00EB068A">
      <w:pPr>
        <w:numPr>
          <w:ilvl w:val="0"/>
          <w:numId w:val="5"/>
        </w:numPr>
        <w:spacing w:after="0" w:line="360" w:lineRule="auto"/>
        <w:jc w:val="both"/>
        <w:rPr>
          <w:rFonts w:ascii="Palatino Linotype" w:eastAsia="Palatino Linotype" w:hAnsi="Palatino Linotype" w:cs="Palatino Linotype"/>
        </w:rPr>
      </w:pPr>
      <w:r w:rsidRPr="008331F3">
        <w:rPr>
          <w:rFonts w:ascii="Palatino Linotype" w:eastAsia="Palatino Linotype" w:hAnsi="Palatino Linotype" w:cs="Palatino Linotype"/>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4E48389" w14:textId="77777777" w:rsidR="00C61D68" w:rsidRPr="008331F3" w:rsidRDefault="00EB068A">
      <w:pPr>
        <w:numPr>
          <w:ilvl w:val="0"/>
          <w:numId w:val="5"/>
        </w:numPr>
        <w:spacing w:after="0" w:line="360" w:lineRule="auto"/>
        <w:jc w:val="both"/>
        <w:rPr>
          <w:rFonts w:ascii="Palatino Linotype" w:eastAsia="Palatino Linotype" w:hAnsi="Palatino Linotype" w:cs="Palatino Linotype"/>
        </w:rPr>
      </w:pPr>
      <w:r w:rsidRPr="008331F3">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8331F3">
        <w:rPr>
          <w:rFonts w:ascii="Palatino Linotype" w:eastAsia="Palatino Linotype" w:hAnsi="Palatino Linotype" w:cs="Palatino Linotype"/>
          <w:b/>
        </w:rPr>
        <w:t>quince días, contados a partir del día siguiente a la presentación de ésta.</w:t>
      </w:r>
      <w:r w:rsidRPr="008331F3">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1D96C895" w14:textId="77777777" w:rsidR="00C61D68" w:rsidRPr="008331F3" w:rsidRDefault="00EB068A">
      <w:pPr>
        <w:numPr>
          <w:ilvl w:val="0"/>
          <w:numId w:val="5"/>
        </w:numPr>
        <w:spacing w:after="0" w:line="360" w:lineRule="auto"/>
        <w:jc w:val="both"/>
        <w:rPr>
          <w:rFonts w:ascii="Palatino Linotype" w:eastAsia="Palatino Linotype" w:hAnsi="Palatino Linotype" w:cs="Palatino Linotype"/>
          <w:b/>
          <w:u w:val="single"/>
        </w:rPr>
      </w:pPr>
      <w:r w:rsidRPr="008331F3">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C99BD3E" w14:textId="77777777" w:rsidR="00C61D68" w:rsidRPr="008331F3" w:rsidRDefault="00EB068A">
      <w:pPr>
        <w:numPr>
          <w:ilvl w:val="0"/>
          <w:numId w:val="5"/>
        </w:numPr>
        <w:spacing w:after="0" w:line="360" w:lineRule="auto"/>
        <w:jc w:val="both"/>
        <w:rPr>
          <w:rFonts w:ascii="Palatino Linotype" w:eastAsia="Palatino Linotype" w:hAnsi="Palatino Linotype" w:cs="Palatino Linotype"/>
          <w:b/>
        </w:rPr>
      </w:pPr>
      <w:r w:rsidRPr="008331F3">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0FDC771" w14:textId="77777777" w:rsidR="00C61D68" w:rsidRPr="008331F3" w:rsidRDefault="00EB068A">
      <w:pPr>
        <w:numPr>
          <w:ilvl w:val="0"/>
          <w:numId w:val="5"/>
        </w:numPr>
        <w:spacing w:after="0" w:line="360" w:lineRule="auto"/>
        <w:jc w:val="both"/>
        <w:rPr>
          <w:rFonts w:ascii="Palatino Linotype" w:eastAsia="Palatino Linotype" w:hAnsi="Palatino Linotype" w:cs="Palatino Linotype"/>
          <w:b/>
        </w:rPr>
      </w:pPr>
      <w:r w:rsidRPr="008331F3">
        <w:rPr>
          <w:rFonts w:ascii="Palatino Linotype" w:eastAsia="Palatino Linotype" w:hAnsi="Palatino Linotype" w:cs="Palatino Linotype"/>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8331F3">
        <w:rPr>
          <w:rFonts w:ascii="Palatino Linotype" w:eastAsia="Palatino Linotype" w:hAnsi="Palatino Linotype" w:cs="Palatino Linotype"/>
        </w:rPr>
        <w:lastRenderedPageBreak/>
        <w:t>Sujetos Obligados darán por concluida la solicitud y procederán de ser el caso, a la destrucción del material.</w:t>
      </w:r>
    </w:p>
    <w:p w14:paraId="52D924AC" w14:textId="77777777" w:rsidR="00C61D68" w:rsidRPr="008331F3" w:rsidRDefault="00C61D68">
      <w:pPr>
        <w:spacing w:after="0" w:line="360" w:lineRule="auto"/>
      </w:pPr>
    </w:p>
    <w:p w14:paraId="6F60C69A" w14:textId="77777777" w:rsidR="00C61D68" w:rsidRPr="008331F3" w:rsidRDefault="00EB06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De tal manera que, la Unidad de Transparencia debió de haber seguido un determinado procedimiento para atender la solicitud que ahora nos ocupa, entre este, </w:t>
      </w:r>
      <w:r w:rsidRPr="008331F3">
        <w:rPr>
          <w:rFonts w:ascii="Palatino Linotype" w:eastAsia="Palatino Linotype" w:hAnsi="Palatino Linotype" w:cs="Palatino Linotype"/>
          <w:b/>
          <w:sz w:val="24"/>
          <w:szCs w:val="24"/>
          <w:u w:val="single"/>
        </w:rPr>
        <w:t xml:space="preserve">haber turnado la solicitud de información a todas las áreas competentes que cuenten con la información o deban tenerla de acuerdo con sus facultades, funciones y atribuciones, para que realicen una búsqueda exhaustiva y razonable de la documentación solicitada. </w:t>
      </w:r>
    </w:p>
    <w:p w14:paraId="6EB00644"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1ED5683" w14:textId="77777777" w:rsidR="00C61D68" w:rsidRPr="008331F3" w:rsidRDefault="00EB06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En ese tenor, de las actuaciones que obran el expediente electrónico, se advierte que el titular de la Unidad de Transparencia únicamente turnó la solicitud de información al servidor público habilitado de la Secretaría Técnica, como se logra apreciar: </w:t>
      </w:r>
    </w:p>
    <w:p w14:paraId="391CCA83"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091E539" w14:textId="77777777" w:rsidR="00C61D68" w:rsidRPr="008331F3" w:rsidRDefault="00EB068A">
      <w:pPr>
        <w:pBdr>
          <w:top w:val="nil"/>
          <w:left w:val="nil"/>
          <w:bottom w:val="nil"/>
          <w:right w:val="nil"/>
          <w:between w:val="nil"/>
        </w:pBdr>
        <w:spacing w:after="0" w:line="360" w:lineRule="auto"/>
        <w:ind w:right="49"/>
        <w:jc w:val="center"/>
        <w:rPr>
          <w:rFonts w:ascii="Palatino Linotype" w:eastAsia="Palatino Linotype" w:hAnsi="Palatino Linotype" w:cs="Palatino Linotype"/>
          <w:sz w:val="24"/>
          <w:szCs w:val="24"/>
        </w:rPr>
      </w:pPr>
      <w:r w:rsidRPr="008331F3">
        <w:rPr>
          <w:noProof/>
        </w:rPr>
        <w:drawing>
          <wp:inline distT="0" distB="0" distL="0" distR="0" wp14:anchorId="7AFC9795" wp14:editId="4750243E">
            <wp:extent cx="5572125" cy="1276350"/>
            <wp:effectExtent l="0" t="0" r="0" b="0"/>
            <wp:docPr id="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l="1302" t="41578" r="29508" b="44386"/>
                    <a:stretch>
                      <a:fillRect/>
                    </a:stretch>
                  </pic:blipFill>
                  <pic:spPr>
                    <a:xfrm>
                      <a:off x="0" y="0"/>
                      <a:ext cx="5572125" cy="1276350"/>
                    </a:xfrm>
                    <a:prstGeom prst="rect">
                      <a:avLst/>
                    </a:prstGeom>
                    <a:ln/>
                  </pic:spPr>
                </pic:pic>
              </a:graphicData>
            </a:graphic>
          </wp:inline>
        </w:drawing>
      </w:r>
    </w:p>
    <w:p w14:paraId="18138930" w14:textId="77777777" w:rsidR="00C61D68" w:rsidRPr="008331F3" w:rsidRDefault="00C61D6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082A2DF" w14:textId="77777777" w:rsidR="00C61D68" w:rsidRPr="008331F3" w:rsidRDefault="00EB06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Por ello, se colige que la unidad de transparencia incumplió con el procedimiento de búsqueda de la información establecido en la Ley de la materia, ya que no turnó la solicitud de información a todas las áreas que deban generar, poseer y administrar la </w:t>
      </w:r>
      <w:r w:rsidRPr="008331F3">
        <w:rPr>
          <w:rFonts w:ascii="Palatino Linotype" w:eastAsia="Palatino Linotype" w:hAnsi="Palatino Linotype" w:cs="Palatino Linotype"/>
          <w:sz w:val="24"/>
          <w:szCs w:val="24"/>
        </w:rPr>
        <w:lastRenderedPageBreak/>
        <w:t xml:space="preserve">misma, con motivo de sus facultades, atribuciones y competencia, siendo que, en el presente asunto, omitió turnar la solicitud de información a la Oficialía Mayor y la Dirección General, dependencias que de acuerdo con el Reglamento Interno del Organismo Descentralizado, tienen conferido conocer, administrar y generar información relacionada con el presupuesto.  </w:t>
      </w:r>
    </w:p>
    <w:p w14:paraId="6EAF13D5" w14:textId="77777777" w:rsidR="00C61D68" w:rsidRPr="008331F3" w:rsidRDefault="00C61D6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D98D5E1" w14:textId="77777777" w:rsidR="00C61D68" w:rsidRPr="008331F3" w:rsidRDefault="00EB06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Es por todo lo anterior que este Organismo Garante determina que los agravios hechos valer por el Particular en su recurso de revisión devienen </w:t>
      </w:r>
      <w:r w:rsidRPr="008331F3">
        <w:rPr>
          <w:rFonts w:ascii="Palatino Linotype" w:eastAsia="Palatino Linotype" w:hAnsi="Palatino Linotype" w:cs="Palatino Linotype"/>
          <w:b/>
          <w:sz w:val="24"/>
          <w:szCs w:val="24"/>
        </w:rPr>
        <w:t xml:space="preserve">FUNDADOS </w:t>
      </w:r>
      <w:r w:rsidRPr="008331F3">
        <w:rPr>
          <w:rFonts w:ascii="Palatino Linotype" w:eastAsia="Palatino Linotype" w:hAnsi="Palatino Linotype" w:cs="Palatino Linotype"/>
          <w:sz w:val="24"/>
          <w:szCs w:val="24"/>
        </w:rPr>
        <w:t xml:space="preserve">y, por ende, resulta procedente </w:t>
      </w:r>
      <w:r w:rsidRPr="008331F3">
        <w:rPr>
          <w:rFonts w:ascii="Palatino Linotype" w:eastAsia="Palatino Linotype" w:hAnsi="Palatino Linotype" w:cs="Palatino Linotype"/>
          <w:b/>
          <w:sz w:val="24"/>
          <w:szCs w:val="24"/>
        </w:rPr>
        <w:t xml:space="preserve">REVOCAR </w:t>
      </w:r>
      <w:r w:rsidRPr="008331F3">
        <w:rPr>
          <w:rFonts w:ascii="Palatino Linotype" w:eastAsia="Palatino Linotype" w:hAnsi="Palatino Linotype" w:cs="Palatino Linotype"/>
          <w:sz w:val="24"/>
          <w:szCs w:val="24"/>
        </w:rPr>
        <w:t xml:space="preserve">la respuesta del Sujeto Obligado y </w:t>
      </w:r>
      <w:r w:rsidRPr="008331F3">
        <w:rPr>
          <w:rFonts w:ascii="Palatino Linotype" w:eastAsia="Palatino Linotype" w:hAnsi="Palatino Linotype" w:cs="Palatino Linotype"/>
          <w:b/>
          <w:sz w:val="24"/>
          <w:szCs w:val="24"/>
        </w:rPr>
        <w:t xml:space="preserve">ORDENAR </w:t>
      </w:r>
      <w:r w:rsidRPr="008331F3">
        <w:rPr>
          <w:rFonts w:ascii="Palatino Linotype" w:eastAsia="Palatino Linotype" w:hAnsi="Palatino Linotype" w:cs="Palatino Linotype"/>
          <w:sz w:val="24"/>
          <w:szCs w:val="24"/>
        </w:rPr>
        <w:t xml:space="preserve">la entrega vía Sistema de Acceso a la Información Mexiquense los </w:t>
      </w:r>
      <w:r w:rsidRPr="008331F3">
        <w:rPr>
          <w:rFonts w:ascii="Palatino Linotype" w:eastAsia="Palatino Linotype" w:hAnsi="Palatino Linotype" w:cs="Palatino Linotype"/>
          <w:b/>
          <w:sz w:val="24"/>
          <w:szCs w:val="24"/>
        </w:rPr>
        <w:t xml:space="preserve">Formatos del Presupuesto Basado en Resultados firmados, correspondientes al segundo trimestre del dos mil veintidós.  </w:t>
      </w:r>
    </w:p>
    <w:p w14:paraId="7B51EA2F"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1091F7ED"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Es así como, en mérito de lo expuesto en líneas anteriores, resultan parcialmente fundadas las razones o motivos de inconformidad hechos valer por el </w:t>
      </w:r>
      <w:r w:rsidRPr="008331F3">
        <w:rPr>
          <w:rFonts w:ascii="Palatino Linotype" w:eastAsia="Palatino Linotype" w:hAnsi="Palatino Linotype" w:cs="Palatino Linotype"/>
          <w:b/>
          <w:sz w:val="24"/>
          <w:szCs w:val="24"/>
        </w:rPr>
        <w:t>RECURRENTE</w:t>
      </w:r>
      <w:r w:rsidRPr="008331F3">
        <w:rPr>
          <w:rFonts w:ascii="Palatino Linotype" w:eastAsia="Palatino Linotype" w:hAnsi="Palatino Linotype" w:cs="Palatino Linotype"/>
          <w:sz w:val="24"/>
          <w:szCs w:val="24"/>
        </w:rPr>
        <w:t xml:space="preserve"> dentro del recurso de revisión </w:t>
      </w:r>
      <w:r w:rsidRPr="008331F3">
        <w:rPr>
          <w:rFonts w:ascii="Palatino Linotype" w:eastAsia="Palatino Linotype" w:hAnsi="Palatino Linotype" w:cs="Palatino Linotype"/>
          <w:b/>
          <w:sz w:val="24"/>
          <w:szCs w:val="24"/>
        </w:rPr>
        <w:t>15599/INFOEM/IP/RR/2022</w:t>
      </w:r>
      <w:r w:rsidRPr="008331F3">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8331F3">
        <w:rPr>
          <w:rFonts w:ascii="Palatino Linotype" w:eastAsia="Palatino Linotype" w:hAnsi="Palatino Linotype" w:cs="Palatino Linotype"/>
          <w:b/>
          <w:sz w:val="24"/>
          <w:szCs w:val="24"/>
        </w:rPr>
        <w:t xml:space="preserve">REVOCA </w:t>
      </w:r>
      <w:r w:rsidRPr="008331F3">
        <w:rPr>
          <w:rFonts w:ascii="Palatino Linotype" w:eastAsia="Palatino Linotype" w:hAnsi="Palatino Linotype" w:cs="Palatino Linotype"/>
          <w:sz w:val="24"/>
          <w:szCs w:val="24"/>
        </w:rPr>
        <w:t xml:space="preserve">la respuesta a la solicitud de información número </w:t>
      </w:r>
      <w:r w:rsidRPr="008331F3">
        <w:rPr>
          <w:rFonts w:ascii="Palatino Linotype" w:eastAsia="Palatino Linotype" w:hAnsi="Palatino Linotype" w:cs="Palatino Linotype"/>
          <w:b/>
          <w:sz w:val="24"/>
          <w:szCs w:val="24"/>
        </w:rPr>
        <w:t>00157/DIFTLALNE/IP/2022.</w:t>
      </w:r>
    </w:p>
    <w:p w14:paraId="4AE0F379"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32E94186"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sz w:val="24"/>
          <w:szCs w:val="24"/>
        </w:rPr>
        <w:t xml:space="preserve">Así, con fundamento en lo prescrito en los artículos 5 párrafos trigésimo, trigésimo primero y trigésimo segundo fracciones IV y V de la Constitución Política del Estado </w:t>
      </w:r>
      <w:r w:rsidRPr="008331F3">
        <w:rPr>
          <w:rFonts w:ascii="Palatino Linotype" w:eastAsia="Palatino Linotype" w:hAnsi="Palatino Linotype" w:cs="Palatino Linotype"/>
          <w:sz w:val="24"/>
          <w:szCs w:val="24"/>
        </w:rPr>
        <w:lastRenderedPageBreak/>
        <w:t>Libre y Soberano de México; 2, fracción II; 29, 36 fracciones I y II; 176, 178, 181, 185, fracción I, 186 y 188 de la Ley de Transparencia y Acceso a la Información Pública del Estado de México y Municipios, este Pleno:</w:t>
      </w:r>
    </w:p>
    <w:p w14:paraId="39837FFB"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04D192E9" w14:textId="77777777" w:rsidR="00C61D68" w:rsidRPr="008331F3" w:rsidRDefault="00EB068A">
      <w:pPr>
        <w:spacing w:after="0" w:line="360" w:lineRule="auto"/>
        <w:ind w:right="49"/>
        <w:jc w:val="center"/>
        <w:rPr>
          <w:rFonts w:ascii="Palatino Linotype" w:eastAsia="Palatino Linotype" w:hAnsi="Palatino Linotype" w:cs="Palatino Linotype"/>
          <w:b/>
          <w:sz w:val="24"/>
          <w:szCs w:val="24"/>
        </w:rPr>
      </w:pPr>
      <w:r w:rsidRPr="008331F3">
        <w:rPr>
          <w:rFonts w:ascii="Palatino Linotype" w:eastAsia="Palatino Linotype" w:hAnsi="Palatino Linotype" w:cs="Palatino Linotype"/>
          <w:b/>
          <w:sz w:val="24"/>
          <w:szCs w:val="24"/>
        </w:rPr>
        <w:t>III.</w:t>
      </w:r>
      <w:r w:rsidRPr="008331F3">
        <w:rPr>
          <w:rFonts w:ascii="Palatino Linotype" w:eastAsia="Palatino Linotype" w:hAnsi="Palatino Linotype" w:cs="Palatino Linotype"/>
          <w:b/>
          <w:sz w:val="24"/>
          <w:szCs w:val="24"/>
        </w:rPr>
        <w:tab/>
        <w:t>R E S U E L V E:</w:t>
      </w:r>
    </w:p>
    <w:p w14:paraId="76FD9622"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79759DF8"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Primero.</w:t>
      </w:r>
      <w:r w:rsidRPr="008331F3">
        <w:rPr>
          <w:rFonts w:ascii="Palatino Linotype" w:eastAsia="Palatino Linotype" w:hAnsi="Palatino Linotype" w:cs="Palatino Linotype"/>
          <w:sz w:val="24"/>
          <w:szCs w:val="24"/>
        </w:rPr>
        <w:t xml:space="preserve"> Resultan</w:t>
      </w:r>
      <w:r w:rsidRPr="008331F3">
        <w:rPr>
          <w:rFonts w:ascii="Palatino Linotype" w:eastAsia="Palatino Linotype" w:hAnsi="Palatino Linotype" w:cs="Palatino Linotype"/>
          <w:b/>
          <w:sz w:val="24"/>
          <w:szCs w:val="24"/>
        </w:rPr>
        <w:t xml:space="preserve"> FUNDADOS</w:t>
      </w:r>
      <w:r w:rsidRPr="008331F3">
        <w:rPr>
          <w:rFonts w:ascii="Palatino Linotype" w:eastAsia="Palatino Linotype" w:hAnsi="Palatino Linotype" w:cs="Palatino Linotype"/>
          <w:sz w:val="24"/>
          <w:szCs w:val="24"/>
        </w:rPr>
        <w:t xml:space="preserve"> los motivos de inconformidad hechos valer por el </w:t>
      </w:r>
      <w:r w:rsidRPr="008331F3">
        <w:rPr>
          <w:rFonts w:ascii="Palatino Linotype" w:eastAsia="Palatino Linotype" w:hAnsi="Palatino Linotype" w:cs="Palatino Linotype"/>
          <w:b/>
          <w:sz w:val="24"/>
          <w:szCs w:val="24"/>
        </w:rPr>
        <w:t>RECURRENTE</w:t>
      </w:r>
      <w:r w:rsidRPr="008331F3">
        <w:rPr>
          <w:rFonts w:ascii="Palatino Linotype" w:eastAsia="Palatino Linotype" w:hAnsi="Palatino Linotype" w:cs="Palatino Linotype"/>
          <w:sz w:val="24"/>
          <w:szCs w:val="24"/>
        </w:rPr>
        <w:t xml:space="preserve"> en el Recurso de Revisión </w:t>
      </w:r>
      <w:r w:rsidRPr="008331F3">
        <w:rPr>
          <w:rFonts w:ascii="Palatino Linotype" w:eastAsia="Palatino Linotype" w:hAnsi="Palatino Linotype" w:cs="Palatino Linotype"/>
          <w:b/>
          <w:sz w:val="24"/>
          <w:szCs w:val="24"/>
        </w:rPr>
        <w:t>15599/INFOEM/IP/RR/2022</w:t>
      </w:r>
      <w:r w:rsidRPr="008331F3">
        <w:rPr>
          <w:rFonts w:ascii="Palatino Linotype" w:eastAsia="Palatino Linotype" w:hAnsi="Palatino Linotype" w:cs="Palatino Linotype"/>
          <w:sz w:val="24"/>
          <w:szCs w:val="24"/>
        </w:rPr>
        <w:t xml:space="preserve">, por lo que, en términos del </w:t>
      </w:r>
      <w:r w:rsidRPr="008331F3">
        <w:rPr>
          <w:rFonts w:ascii="Palatino Linotype" w:eastAsia="Palatino Linotype" w:hAnsi="Palatino Linotype" w:cs="Palatino Linotype"/>
          <w:b/>
          <w:sz w:val="24"/>
          <w:szCs w:val="24"/>
        </w:rPr>
        <w:t>Considerando Cuarto</w:t>
      </w:r>
      <w:r w:rsidRPr="008331F3">
        <w:rPr>
          <w:rFonts w:ascii="Palatino Linotype" w:eastAsia="Palatino Linotype" w:hAnsi="Palatino Linotype" w:cs="Palatino Linotype"/>
          <w:sz w:val="24"/>
          <w:szCs w:val="24"/>
        </w:rPr>
        <w:t xml:space="preserve"> de esta resolución, se </w:t>
      </w:r>
      <w:r w:rsidRPr="008331F3">
        <w:rPr>
          <w:rFonts w:ascii="Palatino Linotype" w:eastAsia="Palatino Linotype" w:hAnsi="Palatino Linotype" w:cs="Palatino Linotype"/>
          <w:b/>
          <w:sz w:val="24"/>
          <w:szCs w:val="24"/>
        </w:rPr>
        <w:t>REVOCA</w:t>
      </w:r>
      <w:r w:rsidRPr="008331F3">
        <w:rPr>
          <w:rFonts w:ascii="Palatino Linotype" w:eastAsia="Palatino Linotype" w:hAnsi="Palatino Linotype" w:cs="Palatino Linotype"/>
          <w:sz w:val="24"/>
          <w:szCs w:val="24"/>
        </w:rPr>
        <w:t xml:space="preserve"> la respuesta emitida por el </w:t>
      </w:r>
      <w:r w:rsidRPr="008331F3">
        <w:rPr>
          <w:rFonts w:ascii="Palatino Linotype" w:eastAsia="Palatino Linotype" w:hAnsi="Palatino Linotype" w:cs="Palatino Linotype"/>
          <w:b/>
          <w:sz w:val="24"/>
          <w:szCs w:val="24"/>
        </w:rPr>
        <w:t>SUJETO OBLIGADO</w:t>
      </w:r>
      <w:r w:rsidRPr="008331F3">
        <w:rPr>
          <w:rFonts w:ascii="Palatino Linotype" w:eastAsia="Palatino Linotype" w:hAnsi="Palatino Linotype" w:cs="Palatino Linotype"/>
          <w:sz w:val="24"/>
          <w:szCs w:val="24"/>
        </w:rPr>
        <w:t>.</w:t>
      </w:r>
    </w:p>
    <w:p w14:paraId="303A2A9B"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42814B5C"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Segundo</w:t>
      </w:r>
      <w:r w:rsidRPr="008331F3">
        <w:rPr>
          <w:rFonts w:ascii="Palatino Linotype" w:eastAsia="Palatino Linotype" w:hAnsi="Palatino Linotype" w:cs="Palatino Linotype"/>
          <w:sz w:val="24"/>
          <w:szCs w:val="24"/>
        </w:rPr>
        <w:t xml:space="preserve">. Se </w:t>
      </w:r>
      <w:r w:rsidRPr="008331F3">
        <w:rPr>
          <w:rFonts w:ascii="Palatino Linotype" w:eastAsia="Palatino Linotype" w:hAnsi="Palatino Linotype" w:cs="Palatino Linotype"/>
          <w:b/>
          <w:sz w:val="24"/>
          <w:szCs w:val="24"/>
        </w:rPr>
        <w:t>ORDENA</w:t>
      </w:r>
      <w:r w:rsidRPr="008331F3">
        <w:rPr>
          <w:rFonts w:ascii="Palatino Linotype" w:eastAsia="Palatino Linotype" w:hAnsi="Palatino Linotype" w:cs="Palatino Linotype"/>
          <w:sz w:val="24"/>
          <w:szCs w:val="24"/>
        </w:rPr>
        <w:t xml:space="preserve"> al </w:t>
      </w:r>
      <w:r w:rsidRPr="008331F3">
        <w:rPr>
          <w:rFonts w:ascii="Palatino Linotype" w:eastAsia="Palatino Linotype" w:hAnsi="Palatino Linotype" w:cs="Palatino Linotype"/>
          <w:b/>
          <w:sz w:val="24"/>
          <w:szCs w:val="24"/>
        </w:rPr>
        <w:t>SUJETO OBLIGADO</w:t>
      </w:r>
      <w:r w:rsidRPr="008331F3">
        <w:rPr>
          <w:rFonts w:ascii="Palatino Linotype" w:eastAsia="Palatino Linotype" w:hAnsi="Palatino Linotype" w:cs="Palatino Linotype"/>
          <w:sz w:val="24"/>
          <w:szCs w:val="24"/>
        </w:rPr>
        <w:t xml:space="preserve"> a que, en términos del Considerando Cuarto, haga entrega previa búsqueda exhaustiva y razonable, vía Sistema de Acceso a la Información Mexiquense, en, de la siguiente información:</w:t>
      </w:r>
    </w:p>
    <w:p w14:paraId="7534D419" w14:textId="77777777" w:rsidR="00C61D68" w:rsidRPr="008331F3" w:rsidRDefault="00C61D68">
      <w:p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sz w:val="24"/>
          <w:szCs w:val="24"/>
        </w:rPr>
      </w:pPr>
      <w:bookmarkStart w:id="2" w:name="_heading=h.1fob9te" w:colFirst="0" w:colLast="0"/>
      <w:bookmarkEnd w:id="2"/>
    </w:p>
    <w:p w14:paraId="06B9AE75" w14:textId="77777777" w:rsidR="00C61D68" w:rsidRPr="008331F3" w:rsidRDefault="00EB068A">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 xml:space="preserve">Formatos del Presupuesto Basado en Resultados firmados, correspondientes al segundo trimestre del dos mil veintidós.  </w:t>
      </w:r>
    </w:p>
    <w:p w14:paraId="1C667D39" w14:textId="77777777" w:rsidR="00C61D68" w:rsidRPr="008331F3" w:rsidRDefault="00C61D68">
      <w:pPr>
        <w:pBdr>
          <w:top w:val="nil"/>
          <w:left w:val="nil"/>
          <w:bottom w:val="nil"/>
          <w:right w:val="nil"/>
          <w:between w:val="nil"/>
        </w:pBdr>
        <w:tabs>
          <w:tab w:val="left" w:pos="993"/>
        </w:tabs>
        <w:spacing w:after="0" w:line="276" w:lineRule="auto"/>
        <w:ind w:right="-28"/>
        <w:jc w:val="both"/>
        <w:rPr>
          <w:rFonts w:ascii="Palatino Linotype" w:eastAsia="Palatino Linotype" w:hAnsi="Palatino Linotype" w:cs="Palatino Linotype"/>
          <w:b/>
          <w:sz w:val="24"/>
          <w:szCs w:val="24"/>
        </w:rPr>
      </w:pPr>
    </w:p>
    <w:p w14:paraId="22DEA875"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Tercero.</w:t>
      </w:r>
      <w:r w:rsidRPr="008331F3">
        <w:rPr>
          <w:rFonts w:ascii="Palatino Linotype" w:eastAsia="Palatino Linotype" w:hAnsi="Palatino Linotype" w:cs="Palatino Linotype"/>
          <w:sz w:val="24"/>
          <w:szCs w:val="24"/>
        </w:rPr>
        <w:t xml:space="preserve"> </w:t>
      </w:r>
      <w:r w:rsidRPr="008331F3">
        <w:rPr>
          <w:rFonts w:ascii="Palatino Linotype" w:eastAsia="Palatino Linotype" w:hAnsi="Palatino Linotype" w:cs="Palatino Linotype"/>
          <w:b/>
          <w:sz w:val="24"/>
          <w:szCs w:val="24"/>
        </w:rPr>
        <w:t>Notifíquese vía SAIMEX</w:t>
      </w:r>
      <w:r w:rsidRPr="008331F3">
        <w:rPr>
          <w:rFonts w:ascii="Palatino Linotype" w:eastAsia="Palatino Linotype" w:hAnsi="Palatino Linotype" w:cs="Palatino Linotype"/>
          <w:sz w:val="24"/>
          <w:szCs w:val="24"/>
        </w:rPr>
        <w:t xml:space="preserve">, al </w:t>
      </w:r>
      <w:proofErr w:type="gramStart"/>
      <w:r w:rsidRPr="008331F3">
        <w:rPr>
          <w:rFonts w:ascii="Palatino Linotype" w:eastAsia="Palatino Linotype" w:hAnsi="Palatino Linotype" w:cs="Palatino Linotype"/>
          <w:b/>
          <w:sz w:val="24"/>
          <w:szCs w:val="24"/>
        </w:rPr>
        <w:t>Responsable</w:t>
      </w:r>
      <w:proofErr w:type="gramEnd"/>
      <w:r w:rsidRPr="008331F3">
        <w:rPr>
          <w:rFonts w:ascii="Palatino Linotype" w:eastAsia="Palatino Linotype" w:hAnsi="Palatino Linotype" w:cs="Palatino Linotype"/>
          <w:b/>
          <w:sz w:val="24"/>
          <w:szCs w:val="24"/>
        </w:rPr>
        <w:t xml:space="preserve"> de la Unidad de Transparencia</w:t>
      </w:r>
      <w:r w:rsidRPr="008331F3">
        <w:rPr>
          <w:rFonts w:ascii="Palatino Linotype" w:eastAsia="Palatino Linotype" w:hAnsi="Palatino Linotype" w:cs="Palatino Linotype"/>
          <w:sz w:val="24"/>
          <w:szCs w:val="24"/>
        </w:rPr>
        <w:t xml:space="preserve"> </w:t>
      </w:r>
      <w:r w:rsidRPr="008331F3">
        <w:rPr>
          <w:rFonts w:ascii="Palatino Linotype" w:eastAsia="Palatino Linotype" w:hAnsi="Palatino Linotype" w:cs="Palatino Linotype"/>
          <w:b/>
          <w:sz w:val="24"/>
          <w:szCs w:val="24"/>
        </w:rPr>
        <w:t>del Sujeto Obligado</w:t>
      </w:r>
      <w:r w:rsidRPr="008331F3">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w:t>
      </w:r>
      <w:r w:rsidRPr="008331F3">
        <w:rPr>
          <w:rFonts w:ascii="Palatino Linotype" w:eastAsia="Palatino Linotype" w:hAnsi="Palatino Linotype" w:cs="Palatino Linotype"/>
          <w:sz w:val="24"/>
          <w:szCs w:val="24"/>
        </w:rPr>
        <w:lastRenderedPageBreak/>
        <w:t>plazo de diez días hábiles, debiendo informar a este Instituto en un plazo de tres días hábiles siguientes sobre el cumplimiento dado.</w:t>
      </w:r>
    </w:p>
    <w:p w14:paraId="52F1658C"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11D18BEC"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Cuarto.</w:t>
      </w:r>
      <w:r w:rsidRPr="008331F3">
        <w:rPr>
          <w:rFonts w:ascii="Palatino Linotype" w:eastAsia="Palatino Linotype" w:hAnsi="Palatino Linotype" w:cs="Palatino Linotype"/>
          <w:sz w:val="24"/>
          <w:szCs w:val="24"/>
        </w:rPr>
        <w:t xml:space="preserve"> </w:t>
      </w:r>
      <w:r w:rsidRPr="008331F3">
        <w:rPr>
          <w:rFonts w:ascii="Palatino Linotype" w:eastAsia="Palatino Linotype" w:hAnsi="Palatino Linotype" w:cs="Palatino Linotype"/>
          <w:b/>
          <w:sz w:val="24"/>
          <w:szCs w:val="24"/>
        </w:rPr>
        <w:t>Notifíquese vía SAIMEX</w:t>
      </w:r>
      <w:r w:rsidRPr="008331F3">
        <w:rPr>
          <w:rFonts w:ascii="Palatino Linotype" w:eastAsia="Palatino Linotype" w:hAnsi="Palatino Linotype" w:cs="Palatino Linotype"/>
          <w:sz w:val="24"/>
          <w:szCs w:val="24"/>
        </w:rPr>
        <w:t xml:space="preserve"> a la parte </w:t>
      </w:r>
      <w:r w:rsidRPr="008331F3">
        <w:rPr>
          <w:rFonts w:ascii="Palatino Linotype" w:eastAsia="Palatino Linotype" w:hAnsi="Palatino Linotype" w:cs="Palatino Linotype"/>
          <w:b/>
          <w:sz w:val="24"/>
          <w:szCs w:val="24"/>
        </w:rPr>
        <w:t xml:space="preserve">RECURRENTE </w:t>
      </w:r>
      <w:r w:rsidRPr="008331F3">
        <w:rPr>
          <w:rFonts w:ascii="Palatino Linotype" w:eastAsia="Palatino Linotype" w:hAnsi="Palatino Linotype" w:cs="Palatino Linotype"/>
          <w:sz w:val="24"/>
          <w:szCs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EF18AF7"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036D0259" w14:textId="77777777" w:rsidR="00C61D68" w:rsidRPr="008331F3" w:rsidRDefault="00EB068A">
      <w:pPr>
        <w:spacing w:after="0" w:line="360" w:lineRule="auto"/>
        <w:ind w:right="49"/>
        <w:jc w:val="both"/>
        <w:rPr>
          <w:rFonts w:ascii="Palatino Linotype" w:eastAsia="Palatino Linotype" w:hAnsi="Palatino Linotype" w:cs="Palatino Linotype"/>
          <w:sz w:val="24"/>
          <w:szCs w:val="24"/>
        </w:rPr>
      </w:pPr>
      <w:r w:rsidRPr="008331F3">
        <w:rPr>
          <w:rFonts w:ascii="Palatino Linotype" w:eastAsia="Palatino Linotype" w:hAnsi="Palatino Linotype" w:cs="Palatino Linotype"/>
          <w:b/>
          <w:sz w:val="24"/>
          <w:szCs w:val="24"/>
        </w:rPr>
        <w:t>Quinto.</w:t>
      </w:r>
      <w:r w:rsidRPr="008331F3">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8331F3">
        <w:rPr>
          <w:rFonts w:ascii="Palatino Linotype" w:eastAsia="Palatino Linotype" w:hAnsi="Palatino Linotype" w:cs="Palatino Linotype"/>
          <w:b/>
          <w:sz w:val="24"/>
          <w:szCs w:val="24"/>
        </w:rPr>
        <w:t>SUJETO OBLIGADO</w:t>
      </w:r>
      <w:r w:rsidRPr="008331F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07FFB0EE" w14:textId="77777777" w:rsidR="00C61D68" w:rsidRPr="008331F3" w:rsidRDefault="00C61D68">
      <w:pPr>
        <w:spacing w:after="0" w:line="360" w:lineRule="auto"/>
        <w:ind w:right="49"/>
        <w:jc w:val="both"/>
        <w:rPr>
          <w:rFonts w:ascii="Palatino Linotype" w:eastAsia="Palatino Linotype" w:hAnsi="Palatino Linotype" w:cs="Palatino Linotype"/>
          <w:sz w:val="24"/>
          <w:szCs w:val="24"/>
        </w:rPr>
      </w:pPr>
    </w:p>
    <w:p w14:paraId="77334E75" w14:textId="77777777" w:rsidR="00C61D68" w:rsidRDefault="00EB068A">
      <w:pPr>
        <w:spacing w:after="0" w:line="360" w:lineRule="auto"/>
        <w:ind w:right="49"/>
        <w:jc w:val="both"/>
        <w:rPr>
          <w:rFonts w:ascii="Palatino Linotype" w:eastAsia="Palatino Linotype" w:hAnsi="Palatino Linotype" w:cs="Palatino Linotype"/>
          <w:sz w:val="24"/>
          <w:szCs w:val="24"/>
        </w:rPr>
      </w:pPr>
      <w:bookmarkStart w:id="3" w:name="_heading=h.gjdgxs" w:colFirst="0" w:colLast="0"/>
      <w:bookmarkEnd w:id="3"/>
      <w:r w:rsidRPr="008331F3">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DE ABRIL DE DOS MIL </w:t>
      </w:r>
      <w:r w:rsidRPr="008331F3">
        <w:rPr>
          <w:rFonts w:ascii="Palatino Linotype" w:eastAsia="Palatino Linotype" w:hAnsi="Palatino Linotype" w:cs="Palatino Linotype"/>
          <w:sz w:val="24"/>
          <w:szCs w:val="24"/>
        </w:rPr>
        <w:lastRenderedPageBreak/>
        <w:t xml:space="preserve">VEINTITRÉS, ANTE EL SECRETARIO TÉCNICO DEL PLENO ALEXIS TAPIA RAMÍREZ. </w:t>
      </w:r>
    </w:p>
    <w:p w14:paraId="0655E0F5"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27A3D39F"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52FA5294" w14:textId="77777777" w:rsidR="00EC5906" w:rsidRDefault="00EC590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60288" behindDoc="0" locked="0" layoutInCell="1" allowOverlap="1" wp14:anchorId="688B34C4" wp14:editId="3F741FAA">
                <wp:simplePos x="0" y="0"/>
                <wp:positionH relativeFrom="column">
                  <wp:posOffset>62865</wp:posOffset>
                </wp:positionH>
                <wp:positionV relativeFrom="paragraph">
                  <wp:posOffset>9525</wp:posOffset>
                </wp:positionV>
                <wp:extent cx="5686425" cy="53435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686425" cy="5343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415A8"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75pt" to="452.7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" strokecolor="#5b9bd5 [3204]" strokeweight=".5pt">
                <v:stroke joinstyle="miter"/>
              </v:line>
            </w:pict>
          </mc:Fallback>
        </mc:AlternateContent>
      </w:r>
    </w:p>
    <w:p w14:paraId="683ECD1B"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4C4F80BD"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210ABD23"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34069F76"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7D205119"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5BD4271D"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74ED6743"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529F6C7A"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491156F7"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394228FB"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3A2B0A90"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204106F0"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79B3E9BE"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061B25F2"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5A8B7B92"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341074E5"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76613B65"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0B309977"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627C22CD"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4F4FF1A2"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48F5A18D"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124385ED"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4375978F"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11442736"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7EA1096C"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02F36707"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4EC43582"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58459E62" w14:textId="77777777" w:rsidR="00EC5906" w:rsidRDefault="00EC5906">
      <w:pPr>
        <w:spacing w:after="0" w:line="360" w:lineRule="auto"/>
        <w:ind w:right="49"/>
        <w:jc w:val="both"/>
        <w:rPr>
          <w:rFonts w:ascii="Palatino Linotype" w:eastAsia="Palatino Linotype" w:hAnsi="Palatino Linotype" w:cs="Palatino Linotype"/>
          <w:sz w:val="24"/>
          <w:szCs w:val="24"/>
        </w:rPr>
      </w:pPr>
    </w:p>
    <w:p w14:paraId="01DA0480" w14:textId="77777777" w:rsidR="00EC5906" w:rsidRPr="008331F3" w:rsidRDefault="00EC5906">
      <w:pPr>
        <w:spacing w:after="0" w:line="360" w:lineRule="auto"/>
        <w:ind w:right="49"/>
        <w:jc w:val="both"/>
        <w:rPr>
          <w:rFonts w:ascii="Palatino Linotype" w:eastAsia="Palatino Linotype" w:hAnsi="Palatino Linotype" w:cs="Palatino Linotype"/>
          <w:sz w:val="24"/>
          <w:szCs w:val="24"/>
        </w:rPr>
      </w:pPr>
    </w:p>
    <w:sectPr w:rsidR="00EC5906" w:rsidRPr="008331F3">
      <w:headerReference w:type="default" r:id="rId21"/>
      <w:footerReference w:type="default" r:id="rId22"/>
      <w:headerReference w:type="first" r:id="rId23"/>
      <w:footerReference w:type="first" r:id="rId2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11EA" w14:textId="77777777" w:rsidR="00A93ED9" w:rsidRDefault="00A93ED9">
      <w:pPr>
        <w:spacing w:after="0" w:line="240" w:lineRule="auto"/>
      </w:pPr>
      <w:r>
        <w:separator/>
      </w:r>
    </w:p>
  </w:endnote>
  <w:endnote w:type="continuationSeparator" w:id="0">
    <w:p w14:paraId="6F11989D" w14:textId="77777777" w:rsidR="00A93ED9" w:rsidRDefault="00A9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A44D" w14:textId="77777777" w:rsidR="00C61D68" w:rsidRDefault="00EB068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D6F01">
      <w:rPr>
        <w:b/>
        <w:noProof/>
        <w:color w:val="000000"/>
        <w:sz w:val="24"/>
        <w:szCs w:val="24"/>
      </w:rPr>
      <w:t>40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6F01">
      <w:rPr>
        <w:b/>
        <w:noProof/>
        <w:color w:val="000000"/>
        <w:sz w:val="24"/>
        <w:szCs w:val="24"/>
      </w:rPr>
      <w:t>40</w:t>
    </w:r>
    <w:r>
      <w:rPr>
        <w:b/>
        <w:color w:val="000000"/>
        <w:sz w:val="24"/>
        <w:szCs w:val="24"/>
      </w:rPr>
      <w:fldChar w:fldCharType="end"/>
    </w:r>
  </w:p>
  <w:p w14:paraId="06A9042E" w14:textId="77777777" w:rsidR="00C61D68" w:rsidRDefault="00C61D6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62CB" w14:textId="77777777" w:rsidR="00C61D68" w:rsidRDefault="00EB068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D6F0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6F01">
      <w:rPr>
        <w:b/>
        <w:noProof/>
        <w:color w:val="000000"/>
        <w:sz w:val="24"/>
        <w:szCs w:val="24"/>
      </w:rPr>
      <w:t>40</w:t>
    </w:r>
    <w:r>
      <w:rPr>
        <w:b/>
        <w:color w:val="000000"/>
        <w:sz w:val="24"/>
        <w:szCs w:val="24"/>
      </w:rPr>
      <w:fldChar w:fldCharType="end"/>
    </w:r>
  </w:p>
  <w:p w14:paraId="228DB6AD" w14:textId="77777777" w:rsidR="00C61D68" w:rsidRDefault="00C61D6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9C24" w14:textId="77777777" w:rsidR="00A93ED9" w:rsidRDefault="00A93ED9">
      <w:pPr>
        <w:spacing w:after="0" w:line="240" w:lineRule="auto"/>
      </w:pPr>
      <w:r>
        <w:separator/>
      </w:r>
    </w:p>
  </w:footnote>
  <w:footnote w:type="continuationSeparator" w:id="0">
    <w:p w14:paraId="31A25BEA" w14:textId="77777777" w:rsidR="00A93ED9" w:rsidRDefault="00A93ED9">
      <w:pPr>
        <w:spacing w:after="0" w:line="240" w:lineRule="auto"/>
      </w:pPr>
      <w:r>
        <w:continuationSeparator/>
      </w:r>
    </w:p>
  </w:footnote>
  <w:footnote w:id="1">
    <w:p w14:paraId="3123FEB3" w14:textId="77777777" w:rsidR="00C61D68" w:rsidRDefault="00EB06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FFD5" w14:textId="77777777" w:rsidR="00C61D68" w:rsidRDefault="00EB068A">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17EBAD2" wp14:editId="15D1DAB1">
          <wp:simplePos x="0" y="0"/>
          <wp:positionH relativeFrom="column">
            <wp:posOffset>-774698</wp:posOffset>
          </wp:positionH>
          <wp:positionV relativeFrom="paragraph">
            <wp:posOffset>-345438</wp:posOffset>
          </wp:positionV>
          <wp:extent cx="7809876" cy="10165823"/>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9"/>
      <w:tblW w:w="5603" w:type="dxa"/>
      <w:tblInd w:w="3611" w:type="dxa"/>
      <w:tblLayout w:type="fixed"/>
      <w:tblLook w:val="0400" w:firstRow="0" w:lastRow="0" w:firstColumn="0" w:lastColumn="0" w:noHBand="0" w:noVBand="1"/>
    </w:tblPr>
    <w:tblGrid>
      <w:gridCol w:w="2551"/>
      <w:gridCol w:w="3052"/>
    </w:tblGrid>
    <w:tr w:rsidR="00C61D68" w14:paraId="6FEBC416" w14:textId="77777777">
      <w:tc>
        <w:tcPr>
          <w:tcW w:w="2551" w:type="dxa"/>
          <w:vAlign w:val="center"/>
        </w:tcPr>
        <w:p w14:paraId="1267904F" w14:textId="77777777" w:rsidR="00C61D68" w:rsidRDefault="00EB068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A17D8FA" w14:textId="77777777" w:rsidR="00C61D68" w:rsidRDefault="00EB068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15599/INFOEM/IP/RR/2022</w:t>
          </w:r>
        </w:p>
      </w:tc>
    </w:tr>
    <w:tr w:rsidR="00C61D68" w14:paraId="4B5EFED9" w14:textId="77777777">
      <w:trPr>
        <w:trHeight w:val="217"/>
      </w:trPr>
      <w:tc>
        <w:tcPr>
          <w:tcW w:w="2551" w:type="dxa"/>
          <w:vAlign w:val="center"/>
        </w:tcPr>
        <w:p w14:paraId="42CE74F5" w14:textId="77777777" w:rsidR="00C61D68" w:rsidRDefault="00EB068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569A350" w14:textId="77777777" w:rsidR="00C61D68" w:rsidRDefault="00C61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40AAF267" w14:textId="77777777" w:rsidR="00C61D68" w:rsidRDefault="00C61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7922380D" w14:textId="77777777" w:rsidR="00C61D68" w:rsidRDefault="00C61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0CD345F" w14:textId="77777777" w:rsidR="00C61D68" w:rsidRDefault="00EB068A">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Tlalnepantla de Baz</w:t>
          </w:r>
        </w:p>
      </w:tc>
    </w:tr>
    <w:tr w:rsidR="00C61D68" w14:paraId="58AF3B86" w14:textId="77777777">
      <w:tc>
        <w:tcPr>
          <w:tcW w:w="2551" w:type="dxa"/>
          <w:vAlign w:val="center"/>
        </w:tcPr>
        <w:p w14:paraId="1663989C" w14:textId="77777777" w:rsidR="00C61D68" w:rsidRDefault="00EB068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5E260FB" w14:textId="77777777" w:rsidR="00C61D68" w:rsidRDefault="00EB068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58B6250" w14:textId="77777777" w:rsidR="00C61D68" w:rsidRDefault="00C61D6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EF25" w14:textId="77777777" w:rsidR="00C61D68" w:rsidRDefault="00EB068A">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EBF67F5" wp14:editId="0003E991">
          <wp:simplePos x="0" y="0"/>
          <wp:positionH relativeFrom="column">
            <wp:posOffset>-706753</wp:posOffset>
          </wp:positionH>
          <wp:positionV relativeFrom="paragraph">
            <wp:posOffset>-229868</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C61D68" w14:paraId="070F4022" w14:textId="77777777">
      <w:tc>
        <w:tcPr>
          <w:tcW w:w="2551" w:type="dxa"/>
          <w:vAlign w:val="center"/>
        </w:tcPr>
        <w:p w14:paraId="19B4441F" w14:textId="77777777" w:rsidR="00C61D68" w:rsidRDefault="00EB068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3A61F65" w14:textId="77777777" w:rsidR="00C61D68" w:rsidRDefault="00EB068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15599/INFOEM/IP/RR/2022</w:t>
          </w:r>
        </w:p>
      </w:tc>
    </w:tr>
    <w:tr w:rsidR="00C61D68" w14:paraId="3A963AF4" w14:textId="77777777">
      <w:tc>
        <w:tcPr>
          <w:tcW w:w="2551" w:type="dxa"/>
          <w:vAlign w:val="center"/>
        </w:tcPr>
        <w:p w14:paraId="6F1C150A" w14:textId="77777777" w:rsidR="00C61D68" w:rsidRDefault="00EB068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236025C8" w14:textId="24567CC4" w:rsidR="00C61D68" w:rsidRDefault="004218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 XXXXXXXXX</w:t>
          </w:r>
        </w:p>
      </w:tc>
    </w:tr>
    <w:tr w:rsidR="00C61D68" w14:paraId="72D1C9FE" w14:textId="77777777">
      <w:trPr>
        <w:trHeight w:val="152"/>
      </w:trPr>
      <w:tc>
        <w:tcPr>
          <w:tcW w:w="2551" w:type="dxa"/>
          <w:vAlign w:val="center"/>
        </w:tcPr>
        <w:p w14:paraId="30607F8E" w14:textId="77777777" w:rsidR="00C61D68" w:rsidRDefault="00EB068A">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10A270F" w14:textId="77777777" w:rsidR="00C61D68" w:rsidRDefault="00C61D68">
          <w:pPr>
            <w:tabs>
              <w:tab w:val="center" w:pos="4419"/>
              <w:tab w:val="right" w:pos="8838"/>
            </w:tabs>
            <w:spacing w:after="0" w:line="240" w:lineRule="auto"/>
            <w:rPr>
              <w:rFonts w:ascii="Palatino Linotype" w:eastAsia="Palatino Linotype" w:hAnsi="Palatino Linotype" w:cs="Palatino Linotype"/>
              <w:b/>
              <w:color w:val="000000"/>
            </w:rPr>
          </w:pPr>
        </w:p>
        <w:p w14:paraId="7D890DF6" w14:textId="77777777" w:rsidR="00C61D68" w:rsidRDefault="00C61D68">
          <w:pPr>
            <w:tabs>
              <w:tab w:val="center" w:pos="4419"/>
              <w:tab w:val="right" w:pos="8838"/>
            </w:tabs>
            <w:spacing w:after="0" w:line="240" w:lineRule="auto"/>
            <w:rPr>
              <w:rFonts w:ascii="Palatino Linotype" w:eastAsia="Palatino Linotype" w:hAnsi="Palatino Linotype" w:cs="Palatino Linotype"/>
              <w:b/>
              <w:color w:val="000000"/>
            </w:rPr>
          </w:pPr>
        </w:p>
        <w:p w14:paraId="0DE99A52" w14:textId="77777777" w:rsidR="00C61D68" w:rsidRDefault="00C61D68">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5D1F5DC" w14:textId="77777777" w:rsidR="00C61D68" w:rsidRDefault="00EB068A">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Sistema Municipal Para el Desarrollo Integral de la Familia de Tlalnepantla de Baz </w:t>
          </w:r>
        </w:p>
      </w:tc>
    </w:tr>
    <w:tr w:rsidR="00C61D68" w14:paraId="59C9E9A1" w14:textId="77777777">
      <w:tc>
        <w:tcPr>
          <w:tcW w:w="2551" w:type="dxa"/>
          <w:vAlign w:val="center"/>
        </w:tcPr>
        <w:p w14:paraId="753F03A4" w14:textId="77777777" w:rsidR="00C61D68" w:rsidRDefault="00EB068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D7B99DA" w14:textId="77777777" w:rsidR="00C61D68" w:rsidRDefault="00EB068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214B07D" w14:textId="77777777" w:rsidR="00C61D68" w:rsidRDefault="00EB068A">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B31"/>
    <w:multiLevelType w:val="multilevel"/>
    <w:tmpl w:val="D70EE2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81F3382"/>
    <w:multiLevelType w:val="multilevel"/>
    <w:tmpl w:val="978A3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3355BA"/>
    <w:multiLevelType w:val="multilevel"/>
    <w:tmpl w:val="EECE0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812F5D"/>
    <w:multiLevelType w:val="multilevel"/>
    <w:tmpl w:val="99D4BF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826AA8"/>
    <w:multiLevelType w:val="multilevel"/>
    <w:tmpl w:val="FD8C9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E8307F"/>
    <w:multiLevelType w:val="multilevel"/>
    <w:tmpl w:val="89343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9576AB"/>
    <w:multiLevelType w:val="multilevel"/>
    <w:tmpl w:val="B83A0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68"/>
    <w:rsid w:val="001E45B2"/>
    <w:rsid w:val="002D6F01"/>
    <w:rsid w:val="00421807"/>
    <w:rsid w:val="00523127"/>
    <w:rsid w:val="00590918"/>
    <w:rsid w:val="008331F3"/>
    <w:rsid w:val="008833D0"/>
    <w:rsid w:val="00942F7F"/>
    <w:rsid w:val="00A93ED9"/>
    <w:rsid w:val="00C61D68"/>
    <w:rsid w:val="00EB068A"/>
    <w:rsid w:val="00EC59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2947"/>
  <w15:docId w15:val="{D05A233F-9D0C-40D8-B11E-B0F9B559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a5">
    <w:basedOn w:val="TableNormal1"/>
    <w:tblPr>
      <w:tblStyleRowBandSize w:val="1"/>
      <w:tblStyleColBandSize w:val="1"/>
      <w:tblCellMar>
        <w:top w:w="15" w:type="dxa"/>
        <w:left w:w="115" w:type="dxa"/>
        <w:bottom w:w="15" w:type="dxa"/>
        <w:right w:w="115"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lalnepantladebaz.mx/Dif/Home/PbRM" TargetMode="External"/><Relationship Id="rId13" Type="http://schemas.openxmlformats.org/officeDocument/2006/relationships/hyperlink" Target="https://tlalnepantladebaz.mx/Dif/Home/PbRM" TargetMode="External"/><Relationship Id="rId18" Type="http://schemas.openxmlformats.org/officeDocument/2006/relationships/hyperlink" Target="https://tlalnepantladebaz.mx/Dif/Home/PbR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lalnepantladebaz.mx/Dif/Home/PbRM"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lalnepantladebaz.mx/Dif/Home/PbR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hyperlink" Target="https://tlalnepantladebaz.mx/Dif/Home/PbR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tlalnepantladebaz.mx/Dif/Home/PbRM" TargetMode="Externa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HhU3bVkjSPbnqWLBgb0GbN/cng==">AMUW2mWzv2bC8+G/IZp/9jZRkKCnwAMeDzvsZJdp/tfJXvwTKTyGyBg/HepETqJFYlhLJmlgNLi1HB6q3G30+WAqEiIS+9nqNiKHURRH4Ur0ZiS25VaiOWab6lzdpGzsVtqqSY4c5FHJE78/Q0yeqZ8TuHNhpiEESNona8eDuLBwZpB67lR4lVk=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8306</Words>
  <Characters>45688</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2023-04-14T16:53:00Z</cp:lastPrinted>
  <dcterms:created xsi:type="dcterms:W3CDTF">2023-04-24T21:52:00Z</dcterms:created>
  <dcterms:modified xsi:type="dcterms:W3CDTF">2023-04-24T21:52:00Z</dcterms:modified>
</cp:coreProperties>
</file>