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7714D77B"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C11E29">
        <w:rPr>
          <w:rFonts w:eastAsia="Palatino Linotype" w:cs="Palatino Linotype"/>
          <w:color w:val="000000"/>
          <w:szCs w:val="24"/>
        </w:rPr>
        <w:t>México, a</w:t>
      </w:r>
      <w:r w:rsidR="00D36791" w:rsidRPr="00C11E29">
        <w:rPr>
          <w:rFonts w:eastAsia="Palatino Linotype" w:cs="Palatino Linotype"/>
          <w:color w:val="000000"/>
          <w:szCs w:val="24"/>
        </w:rPr>
        <w:t xml:space="preserve"> ocho de noviembre </w:t>
      </w:r>
      <w:r w:rsidR="009B4F7E" w:rsidRPr="00C11E29">
        <w:rPr>
          <w:rFonts w:eastAsia="Palatino Linotype" w:cs="Palatino Linotype"/>
          <w:color w:val="000000"/>
          <w:szCs w:val="24"/>
        </w:rPr>
        <w:t>de dos mil veintitrés</w:t>
      </w:r>
      <w:r w:rsidRPr="00C11E29">
        <w:rPr>
          <w:rFonts w:eastAsia="Palatino Linotype" w:cs="Palatino Linotype"/>
          <w:color w:val="000000"/>
          <w:szCs w:val="24"/>
        </w:rPr>
        <w:t>.</w:t>
      </w:r>
    </w:p>
    <w:p w14:paraId="3F7062DB" w14:textId="77777777" w:rsidR="00DA7D12" w:rsidRPr="00C11E29" w:rsidRDefault="00DA7D12" w:rsidP="006922F5">
      <w:pPr>
        <w:pBdr>
          <w:top w:val="nil"/>
          <w:left w:val="nil"/>
          <w:bottom w:val="nil"/>
          <w:right w:val="nil"/>
          <w:between w:val="nil"/>
        </w:pBdr>
        <w:contextualSpacing/>
        <w:rPr>
          <w:rFonts w:eastAsia="Palatino Linotype" w:cs="Palatino Linotype"/>
          <w:color w:val="000000"/>
          <w:szCs w:val="24"/>
        </w:rPr>
      </w:pPr>
    </w:p>
    <w:p w14:paraId="1D0D9BD7" w14:textId="7EBE2AF6"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b/>
          <w:color w:val="000000"/>
          <w:szCs w:val="24"/>
        </w:rPr>
        <w:t>VISTO</w:t>
      </w:r>
      <w:r w:rsidRPr="00C11E29">
        <w:rPr>
          <w:rFonts w:eastAsia="Palatino Linotype" w:cs="Palatino Linotype"/>
          <w:color w:val="000000"/>
          <w:szCs w:val="24"/>
        </w:rPr>
        <w:t xml:space="preserve"> el expediente electrónico formado con motivo del recurso de revisión número </w:t>
      </w:r>
      <w:bookmarkStart w:id="0" w:name="_GoBack"/>
      <w:r w:rsidR="00DE2799" w:rsidRPr="00C11E29">
        <w:rPr>
          <w:rFonts w:eastAsia="Palatino Linotype" w:cs="Palatino Linotype"/>
          <w:b/>
          <w:color w:val="000000"/>
          <w:szCs w:val="24"/>
        </w:rPr>
        <w:t>0</w:t>
      </w:r>
      <w:r w:rsidR="00DA7D12" w:rsidRPr="00C11E29">
        <w:rPr>
          <w:rFonts w:eastAsia="Palatino Linotype" w:cs="Palatino Linotype"/>
          <w:b/>
          <w:color w:val="000000"/>
          <w:szCs w:val="24"/>
        </w:rPr>
        <w:t>47</w:t>
      </w:r>
      <w:r w:rsidR="0024670D" w:rsidRPr="00C11E29">
        <w:rPr>
          <w:rFonts w:eastAsia="Palatino Linotype" w:cs="Palatino Linotype"/>
          <w:b/>
          <w:color w:val="000000"/>
          <w:szCs w:val="24"/>
        </w:rPr>
        <w:t>70</w:t>
      </w:r>
      <w:r w:rsidRPr="00C11E29">
        <w:rPr>
          <w:rFonts w:eastAsia="Palatino Linotype" w:cs="Palatino Linotype"/>
          <w:b/>
          <w:color w:val="000000"/>
          <w:szCs w:val="24"/>
        </w:rPr>
        <w:t>/INFOEM/IP/RR/202</w:t>
      </w:r>
      <w:r w:rsidR="001D0070" w:rsidRPr="00C11E29">
        <w:rPr>
          <w:rFonts w:eastAsia="Palatino Linotype" w:cs="Palatino Linotype"/>
          <w:b/>
          <w:color w:val="000000"/>
          <w:szCs w:val="24"/>
        </w:rPr>
        <w:t>3</w:t>
      </w:r>
      <w:bookmarkEnd w:id="0"/>
      <w:r w:rsidR="00B54BC7" w:rsidRPr="00C11E29">
        <w:rPr>
          <w:rFonts w:eastAsia="Palatino Linotype" w:cs="Palatino Linotype"/>
          <w:color w:val="000000"/>
          <w:szCs w:val="24"/>
        </w:rPr>
        <w:t>, interpuesto po</w:t>
      </w:r>
      <w:r w:rsidR="00430C63" w:rsidRPr="00C11E29">
        <w:rPr>
          <w:rFonts w:eastAsia="Palatino Linotype" w:cs="Palatino Linotype"/>
          <w:color w:val="000000"/>
          <w:szCs w:val="24"/>
        </w:rPr>
        <w:t>r</w:t>
      </w:r>
      <w:r w:rsidR="00100663" w:rsidRPr="00C11E29">
        <w:rPr>
          <w:rFonts w:eastAsia="Palatino Linotype" w:cs="Palatino Linotype"/>
          <w:color w:val="000000"/>
          <w:szCs w:val="24"/>
        </w:rPr>
        <w:t xml:space="preserve"> </w:t>
      </w:r>
      <w:r w:rsidR="00DA7D12" w:rsidRPr="00C11E29">
        <w:rPr>
          <w:rFonts w:eastAsia="Palatino Linotype" w:cs="Palatino Linotype"/>
          <w:b/>
          <w:color w:val="000000"/>
          <w:szCs w:val="24"/>
        </w:rPr>
        <w:t>una persona de manera anónima</w:t>
      </w:r>
      <w:r w:rsidR="00B54BC7" w:rsidRPr="00C11E29">
        <w:rPr>
          <w:rFonts w:eastAsia="Palatino Linotype" w:cs="Palatino Linotype"/>
          <w:color w:val="000000"/>
          <w:szCs w:val="24"/>
        </w:rPr>
        <w:t xml:space="preserve">, en lo sucesivo </w:t>
      </w:r>
      <w:r w:rsidR="008E5682" w:rsidRPr="00C11E29">
        <w:rPr>
          <w:rFonts w:eastAsia="Palatino Linotype" w:cs="Palatino Linotype"/>
          <w:color w:val="000000"/>
          <w:szCs w:val="24"/>
        </w:rPr>
        <w:t>el</w:t>
      </w:r>
      <w:r w:rsidR="00B54BC7" w:rsidRPr="00C11E29">
        <w:rPr>
          <w:rFonts w:eastAsia="Palatino Linotype" w:cs="Palatino Linotype"/>
          <w:color w:val="000000"/>
          <w:szCs w:val="24"/>
        </w:rPr>
        <w:t xml:space="preserve"> </w:t>
      </w:r>
      <w:r w:rsidRPr="00C11E29">
        <w:rPr>
          <w:rFonts w:eastAsia="Palatino Linotype" w:cs="Palatino Linotype"/>
          <w:b/>
          <w:color w:val="000000"/>
          <w:szCs w:val="24"/>
        </w:rPr>
        <w:t>Recurrente</w:t>
      </w:r>
      <w:r w:rsidRPr="00C11E29">
        <w:rPr>
          <w:rFonts w:eastAsia="Palatino Linotype" w:cs="Palatino Linotype"/>
          <w:color w:val="000000"/>
          <w:szCs w:val="24"/>
        </w:rPr>
        <w:t>, en contra de la respuesta de</w:t>
      </w:r>
      <w:r w:rsidR="001D0070" w:rsidRPr="00C11E29">
        <w:rPr>
          <w:rFonts w:eastAsia="Palatino Linotype" w:cs="Palatino Linotype"/>
          <w:color w:val="000000"/>
          <w:szCs w:val="24"/>
        </w:rPr>
        <w:t>l</w:t>
      </w:r>
      <w:r w:rsidRPr="00C11E29">
        <w:rPr>
          <w:rFonts w:eastAsia="Palatino Linotype" w:cs="Palatino Linotype"/>
          <w:color w:val="000000"/>
          <w:szCs w:val="24"/>
        </w:rPr>
        <w:t xml:space="preserve"> </w:t>
      </w:r>
      <w:r w:rsidR="00DE2799" w:rsidRPr="00C11E29">
        <w:rPr>
          <w:rFonts w:eastAsia="Palatino Linotype" w:cs="Palatino Linotype"/>
          <w:b/>
          <w:color w:val="000000"/>
          <w:szCs w:val="24"/>
        </w:rPr>
        <w:t>Ayuntamiento de</w:t>
      </w:r>
      <w:r w:rsidR="00DA7D12" w:rsidRPr="00C11E29">
        <w:rPr>
          <w:rFonts w:eastAsia="Palatino Linotype" w:cs="Palatino Linotype"/>
          <w:b/>
          <w:color w:val="000000"/>
          <w:szCs w:val="24"/>
        </w:rPr>
        <w:t xml:space="preserve"> Zinacantepec</w:t>
      </w:r>
      <w:r w:rsidR="0051074E" w:rsidRPr="00C11E29">
        <w:rPr>
          <w:rFonts w:eastAsia="Palatino Linotype" w:cs="Palatino Linotype"/>
          <w:color w:val="000000"/>
          <w:szCs w:val="24"/>
        </w:rPr>
        <w:t xml:space="preserve">, </w:t>
      </w:r>
      <w:r w:rsidRPr="00C11E29">
        <w:rPr>
          <w:rFonts w:eastAsia="Palatino Linotype" w:cs="Palatino Linotype"/>
          <w:color w:val="000000"/>
          <w:szCs w:val="24"/>
        </w:rPr>
        <w:t>en lo subsecuente</w:t>
      </w:r>
      <w:r w:rsidRPr="00C11E29">
        <w:rPr>
          <w:rFonts w:eastAsia="Palatino Linotype" w:cs="Palatino Linotype"/>
          <w:b/>
          <w:color w:val="000000"/>
          <w:szCs w:val="24"/>
        </w:rPr>
        <w:t xml:space="preserve"> </w:t>
      </w:r>
      <w:r w:rsidRPr="00C11E29">
        <w:rPr>
          <w:rFonts w:eastAsia="Palatino Linotype" w:cs="Palatino Linotype"/>
          <w:color w:val="000000"/>
          <w:szCs w:val="24"/>
        </w:rPr>
        <w:t>el</w:t>
      </w:r>
      <w:r w:rsidRPr="00C11E29">
        <w:rPr>
          <w:rFonts w:eastAsia="Palatino Linotype" w:cs="Palatino Linotype"/>
          <w:b/>
          <w:color w:val="000000"/>
          <w:szCs w:val="24"/>
        </w:rPr>
        <w:t xml:space="preserve"> Sujeto Obligado, </w:t>
      </w:r>
      <w:r w:rsidRPr="00C11E29">
        <w:rPr>
          <w:rFonts w:eastAsia="Palatino Linotype" w:cs="Palatino Linotype"/>
          <w:color w:val="000000"/>
          <w:szCs w:val="24"/>
        </w:rPr>
        <w:t>se procede a dictar la presente resolución.</w:t>
      </w:r>
    </w:p>
    <w:p w14:paraId="2E2053C2"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C11E29" w:rsidRDefault="00A970D5" w:rsidP="006922F5">
      <w:pPr>
        <w:pStyle w:val="Ttulo1"/>
        <w:rPr>
          <w:rFonts w:eastAsia="Palatino Linotype"/>
          <w:lang w:val="es-ES_tradnl"/>
        </w:rPr>
      </w:pPr>
      <w:r w:rsidRPr="00C11E29">
        <w:rPr>
          <w:rFonts w:eastAsia="Palatino Linotype"/>
          <w:lang w:val="es-ES_tradnl"/>
        </w:rPr>
        <w:t>A N T E C E D E N T E S</w:t>
      </w:r>
    </w:p>
    <w:p w14:paraId="32F88820"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C11E29" w:rsidRDefault="00A970D5" w:rsidP="006922F5">
      <w:pPr>
        <w:pStyle w:val="Ttulo2"/>
        <w:rPr>
          <w:rFonts w:eastAsia="Palatino Linotype"/>
          <w:sz w:val="24"/>
          <w:szCs w:val="24"/>
        </w:rPr>
      </w:pPr>
      <w:r w:rsidRPr="00C11E29">
        <w:rPr>
          <w:rFonts w:eastAsia="Palatino Linotype"/>
          <w:sz w:val="24"/>
          <w:szCs w:val="24"/>
        </w:rPr>
        <w:t>PRIMERO. De la Solicitud de Información.</w:t>
      </w:r>
    </w:p>
    <w:p w14:paraId="0870C154" w14:textId="714203E4" w:rsidR="00A970D5" w:rsidRPr="00C11E29" w:rsidRDefault="00B36B86"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Con fecha </w:t>
      </w:r>
      <w:r w:rsidR="00DA7D12" w:rsidRPr="00C11E29">
        <w:rPr>
          <w:rFonts w:eastAsia="Palatino Linotype" w:cs="Palatino Linotype"/>
          <w:color w:val="000000"/>
          <w:szCs w:val="24"/>
        </w:rPr>
        <w:t>diez de julio</w:t>
      </w:r>
      <w:r w:rsidR="00F04C02" w:rsidRPr="00C11E29">
        <w:rPr>
          <w:rFonts w:eastAsia="Palatino Linotype" w:cs="Palatino Linotype"/>
          <w:color w:val="000000"/>
          <w:szCs w:val="24"/>
        </w:rPr>
        <w:t xml:space="preserve"> </w:t>
      </w:r>
      <w:r w:rsidR="001D0070" w:rsidRPr="00C11E29">
        <w:rPr>
          <w:rFonts w:eastAsia="Palatino Linotype" w:cs="Palatino Linotype"/>
          <w:color w:val="000000"/>
          <w:szCs w:val="24"/>
        </w:rPr>
        <w:t>de dos mil veintitrés</w:t>
      </w:r>
      <w:r w:rsidR="00B54BC7" w:rsidRPr="00C11E29">
        <w:rPr>
          <w:rFonts w:eastAsia="Palatino Linotype" w:cs="Palatino Linotype"/>
          <w:color w:val="000000"/>
          <w:szCs w:val="24"/>
        </w:rPr>
        <w:t xml:space="preserve">, </w:t>
      </w:r>
      <w:r w:rsidR="00430C63" w:rsidRPr="00C11E29">
        <w:rPr>
          <w:rFonts w:eastAsia="Palatino Linotype" w:cs="Palatino Linotype"/>
          <w:color w:val="000000"/>
          <w:szCs w:val="24"/>
        </w:rPr>
        <w:t>el</w:t>
      </w:r>
      <w:r w:rsidR="00A970D5" w:rsidRPr="00C11E29">
        <w:rPr>
          <w:rFonts w:eastAsia="Palatino Linotype" w:cs="Palatino Linotype"/>
          <w:color w:val="000000"/>
          <w:szCs w:val="24"/>
        </w:rPr>
        <w:t xml:space="preserve"> Recurrente presentó </w:t>
      </w:r>
      <w:r w:rsidR="00F04C02" w:rsidRPr="00C11E29">
        <w:rPr>
          <w:rFonts w:eastAsia="Palatino Linotype" w:cs="Palatino Linotype"/>
          <w:color w:val="000000"/>
          <w:szCs w:val="24"/>
        </w:rPr>
        <w:t xml:space="preserve">solicitud de información pública que fue registrada en </w:t>
      </w:r>
      <w:r w:rsidR="00A970D5" w:rsidRPr="00C11E29">
        <w:rPr>
          <w:rFonts w:eastAsia="Palatino Linotype" w:cs="Palatino Linotype"/>
          <w:color w:val="000000"/>
          <w:szCs w:val="24"/>
        </w:rPr>
        <w:t>el Sistema de Acceso a la Información Mexiquense (SAIMEX), con el número de expediente</w:t>
      </w:r>
      <w:r w:rsidR="00100663" w:rsidRPr="00C11E29">
        <w:rPr>
          <w:rFonts w:eastAsia="Palatino Linotype" w:cs="Palatino Linotype"/>
          <w:b/>
          <w:bCs/>
          <w:color w:val="000000"/>
          <w:szCs w:val="24"/>
        </w:rPr>
        <w:t xml:space="preserve"> </w:t>
      </w:r>
      <w:r w:rsidR="00DA7D12" w:rsidRPr="00C11E29">
        <w:rPr>
          <w:rFonts w:eastAsia="Palatino Linotype" w:cs="Palatino Linotype"/>
          <w:b/>
          <w:bCs/>
          <w:color w:val="000000"/>
          <w:szCs w:val="24"/>
        </w:rPr>
        <w:t>005</w:t>
      </w:r>
      <w:r w:rsidR="0024670D" w:rsidRPr="00C11E29">
        <w:rPr>
          <w:rFonts w:eastAsia="Palatino Linotype" w:cs="Palatino Linotype"/>
          <w:b/>
          <w:bCs/>
          <w:color w:val="000000"/>
          <w:szCs w:val="24"/>
        </w:rPr>
        <w:t>20</w:t>
      </w:r>
      <w:r w:rsidR="00DA7D12" w:rsidRPr="00C11E29">
        <w:rPr>
          <w:rFonts w:eastAsia="Palatino Linotype" w:cs="Palatino Linotype"/>
          <w:b/>
          <w:bCs/>
          <w:color w:val="000000"/>
          <w:szCs w:val="24"/>
        </w:rPr>
        <w:t>/ZINACANT/IP/202</w:t>
      </w:r>
      <w:r w:rsidR="005873CB" w:rsidRPr="00C11E29">
        <w:rPr>
          <w:rFonts w:eastAsia="Palatino Linotype" w:cs="Palatino Linotype"/>
          <w:b/>
          <w:bCs/>
          <w:color w:val="000000"/>
          <w:szCs w:val="24"/>
        </w:rPr>
        <w:t>3</w:t>
      </w:r>
      <w:r w:rsidR="00A970D5" w:rsidRPr="00C11E29">
        <w:rPr>
          <w:rFonts w:eastAsia="Palatino Linotype" w:cs="Palatino Linotype"/>
          <w:color w:val="000000"/>
          <w:szCs w:val="24"/>
        </w:rPr>
        <w:t>,</w:t>
      </w:r>
      <w:r w:rsidR="00A970D5" w:rsidRPr="00C11E29">
        <w:rPr>
          <w:rFonts w:eastAsia="Palatino Linotype" w:cs="Palatino Linotype"/>
          <w:b/>
          <w:color w:val="000000"/>
          <w:szCs w:val="24"/>
        </w:rPr>
        <w:t xml:space="preserve"> </w:t>
      </w:r>
      <w:r w:rsidR="00A970D5" w:rsidRPr="00C11E29">
        <w:rPr>
          <w:rFonts w:eastAsia="Palatino Linotype" w:cs="Palatino Linotype"/>
          <w:color w:val="000000"/>
          <w:szCs w:val="24"/>
        </w:rPr>
        <w:t>mediante la cual solicitó información en el tenor siguiente:</w:t>
      </w:r>
    </w:p>
    <w:p w14:paraId="68B56D82"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3537C66" w:rsidR="00A970D5" w:rsidRPr="00C11E29" w:rsidRDefault="723045DB" w:rsidP="00F04C02">
      <w:pPr>
        <w:pStyle w:val="Fundamentos"/>
      </w:pPr>
      <w:r w:rsidRPr="00C11E29">
        <w:t>“</w:t>
      </w:r>
      <w:r w:rsidR="0024670D" w:rsidRPr="00C11E29">
        <w:t>Solicito los informes justificados de la Unidad de Transparencia al INFOEM</w:t>
      </w:r>
      <w:r w:rsidRPr="00C11E29">
        <w:t>” (Sic)</w:t>
      </w:r>
    </w:p>
    <w:p w14:paraId="40BBECCB"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5DBF82B" w:rsidR="00A970D5" w:rsidRPr="00C11E29" w:rsidRDefault="00A970D5" w:rsidP="006922F5">
      <w:pPr>
        <w:pBdr>
          <w:top w:val="nil"/>
          <w:left w:val="nil"/>
          <w:bottom w:val="nil"/>
          <w:right w:val="nil"/>
          <w:between w:val="nil"/>
        </w:pBdr>
        <w:contextualSpacing/>
        <w:rPr>
          <w:rFonts w:eastAsia="Palatino Linotype" w:cs="Palatino Linotype"/>
          <w:b/>
          <w:color w:val="000000"/>
          <w:szCs w:val="24"/>
        </w:rPr>
      </w:pPr>
      <w:r w:rsidRPr="00C11E29">
        <w:rPr>
          <w:rFonts w:eastAsia="Palatino Linotype" w:cs="Palatino Linotype"/>
          <w:color w:val="000000"/>
          <w:szCs w:val="24"/>
        </w:rPr>
        <w:t xml:space="preserve">Modalidad de entrega: </w:t>
      </w:r>
      <w:r w:rsidR="001B4435" w:rsidRPr="00C11E29">
        <w:rPr>
          <w:rFonts w:eastAsia="Palatino Linotype" w:cs="Palatino Linotype"/>
          <w:b/>
          <w:color w:val="000000"/>
          <w:szCs w:val="24"/>
        </w:rPr>
        <w:t>A través del SAIMEX</w:t>
      </w:r>
      <w:r w:rsidR="001B4435" w:rsidRPr="00C11E29">
        <w:rPr>
          <w:rFonts w:eastAsia="Palatino Linotype" w:cs="Palatino Linotype"/>
          <w:color w:val="000000"/>
          <w:szCs w:val="24"/>
        </w:rPr>
        <w:t>.</w:t>
      </w:r>
    </w:p>
    <w:p w14:paraId="474DB373" w14:textId="77777777" w:rsidR="00430C63" w:rsidRPr="00C11E29" w:rsidRDefault="00430C63" w:rsidP="006922F5">
      <w:pPr>
        <w:pBdr>
          <w:top w:val="nil"/>
          <w:left w:val="nil"/>
          <w:bottom w:val="nil"/>
          <w:right w:val="nil"/>
          <w:between w:val="nil"/>
        </w:pBdr>
        <w:contextualSpacing/>
        <w:rPr>
          <w:rFonts w:eastAsia="Palatino Linotype" w:cs="Palatino Linotype"/>
          <w:color w:val="000000"/>
          <w:szCs w:val="24"/>
        </w:rPr>
      </w:pPr>
    </w:p>
    <w:p w14:paraId="4C1F6B47" w14:textId="05796F95" w:rsidR="00DA7D12" w:rsidRPr="00C11E29" w:rsidRDefault="00DA7D12" w:rsidP="00DA7D12">
      <w:pPr>
        <w:pStyle w:val="Ttulo2"/>
        <w:rPr>
          <w:rFonts w:eastAsia="Palatino Linotype"/>
        </w:rPr>
      </w:pPr>
      <w:r w:rsidRPr="00C11E29">
        <w:rPr>
          <w:rFonts w:eastAsia="Palatino Linotype"/>
        </w:rPr>
        <w:t>SEGUNDO. De la prórroga para dar respuesta a la solicitud de información.</w:t>
      </w:r>
    </w:p>
    <w:p w14:paraId="6C63682B" w14:textId="5047E605" w:rsidR="00DA7D12" w:rsidRPr="00C11E29" w:rsidRDefault="00DA7D12" w:rsidP="00DA7D12">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El día catorce de agosto de dos mil veintitrés, el Sujeto Obligado informó al Recurrente que el término para atender su solicitud de información había sido prorrogado por siete </w:t>
      </w:r>
      <w:r w:rsidRPr="00C11E29">
        <w:rPr>
          <w:rFonts w:eastAsia="Palatino Linotype" w:cs="Palatino Linotype"/>
          <w:color w:val="000000"/>
          <w:szCs w:val="24"/>
        </w:rPr>
        <w:lastRenderedPageBreak/>
        <w:t>días adicionales, con la finalidad de dar cabal cumplimiento al requerimiento, así como cumplir con cada una de las excepciones que contempla la Ley en la materia.</w:t>
      </w:r>
    </w:p>
    <w:p w14:paraId="41D965B3" w14:textId="77777777" w:rsidR="00DA7D12" w:rsidRPr="00C11E29" w:rsidRDefault="00DA7D12" w:rsidP="006922F5">
      <w:pPr>
        <w:pBdr>
          <w:top w:val="nil"/>
          <w:left w:val="nil"/>
          <w:bottom w:val="nil"/>
          <w:right w:val="nil"/>
          <w:between w:val="nil"/>
        </w:pBdr>
        <w:contextualSpacing/>
        <w:rPr>
          <w:rFonts w:eastAsia="Palatino Linotype" w:cs="Palatino Linotype"/>
          <w:color w:val="000000"/>
          <w:szCs w:val="24"/>
        </w:rPr>
      </w:pPr>
    </w:p>
    <w:p w14:paraId="1AEDC68E" w14:textId="28A9F7E3" w:rsidR="00A970D5" w:rsidRPr="00C11E29" w:rsidRDefault="00542DFA" w:rsidP="006922F5">
      <w:pPr>
        <w:pStyle w:val="Ttulo2"/>
        <w:rPr>
          <w:rFonts w:eastAsia="Palatino Linotype"/>
        </w:rPr>
      </w:pPr>
      <w:r w:rsidRPr="00C11E29">
        <w:rPr>
          <w:rFonts w:eastAsia="Palatino Linotype"/>
        </w:rPr>
        <w:t>TERCERO</w:t>
      </w:r>
      <w:r w:rsidR="00A970D5" w:rsidRPr="00C11E29">
        <w:rPr>
          <w:rFonts w:eastAsia="Palatino Linotype"/>
        </w:rPr>
        <w:t>. De la respuesta del Sujeto Obligado.</w:t>
      </w:r>
    </w:p>
    <w:p w14:paraId="2EE6F294" w14:textId="7D19C2E1"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De las constancias que obran en el expediente electrónico, se observa qu</w:t>
      </w:r>
      <w:r w:rsidR="008B2951" w:rsidRPr="00C11E29">
        <w:rPr>
          <w:rFonts w:eastAsia="Palatino Linotype" w:cs="Palatino Linotype"/>
          <w:color w:val="000000"/>
          <w:szCs w:val="24"/>
        </w:rPr>
        <w:t>e el día</w:t>
      </w:r>
      <w:r w:rsidR="008B6CDF" w:rsidRPr="00C11E29">
        <w:rPr>
          <w:rFonts w:eastAsia="Palatino Linotype" w:cs="Palatino Linotype"/>
          <w:color w:val="000000"/>
          <w:szCs w:val="24"/>
        </w:rPr>
        <w:t xml:space="preserve"> </w:t>
      </w:r>
      <w:r w:rsidR="00542DFA" w:rsidRPr="00C11E29">
        <w:rPr>
          <w:rFonts w:eastAsia="Palatino Linotype" w:cs="Palatino Linotype"/>
          <w:color w:val="000000"/>
          <w:szCs w:val="24"/>
        </w:rPr>
        <w:t>veintitrés de agosto</w:t>
      </w:r>
      <w:r w:rsidR="00F04C02" w:rsidRPr="00C11E29">
        <w:rPr>
          <w:rFonts w:eastAsia="Palatino Linotype" w:cs="Palatino Linotype"/>
          <w:color w:val="000000"/>
          <w:szCs w:val="24"/>
        </w:rPr>
        <w:t xml:space="preserve"> de dos mil veintitrés</w:t>
      </w:r>
      <w:r w:rsidRPr="00C11E29">
        <w:rPr>
          <w:rFonts w:eastAsia="Palatino Linotype" w:cs="Palatino Linotype"/>
          <w:color w:val="000000"/>
          <w:szCs w:val="24"/>
        </w:rPr>
        <w:t>, el Sujeto Obligado dio respuest</w:t>
      </w:r>
      <w:r w:rsidR="009F4FF4" w:rsidRPr="00C11E29">
        <w:rPr>
          <w:rFonts w:eastAsia="Palatino Linotype" w:cs="Palatino Linotype"/>
          <w:color w:val="000000"/>
          <w:szCs w:val="24"/>
        </w:rPr>
        <w:t>a a la solicitud de información</w:t>
      </w:r>
      <w:r w:rsidRPr="00C11E29">
        <w:rPr>
          <w:rFonts w:eastAsia="Palatino Linotype" w:cs="Palatino Linotype"/>
          <w:color w:val="000000"/>
          <w:szCs w:val="24"/>
        </w:rPr>
        <w:t xml:space="preserve"> manifestando lo siguiente:</w:t>
      </w:r>
    </w:p>
    <w:p w14:paraId="6CF4EC0F"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572516C0" w14:textId="77777777" w:rsidR="0024670D" w:rsidRPr="00C11E29" w:rsidRDefault="00A970D5" w:rsidP="0024670D">
      <w:pPr>
        <w:pStyle w:val="Fundamentos"/>
      </w:pPr>
      <w:r w:rsidRPr="00C11E29">
        <w:t>“</w:t>
      </w:r>
      <w:r w:rsidR="0024670D" w:rsidRPr="00C11E29">
        <w:t>En respuesta a la solicitud recibida, nos permitimos hacer de su conocimiento que con fundamento en el artículo 53, Fracciones: II, V y VI de la Ley de Transparencia y Acceso a la Información Pública del Estado de México y Municipios, le contestamos que:</w:t>
      </w:r>
    </w:p>
    <w:p w14:paraId="386029E4" w14:textId="77777777" w:rsidR="0024670D" w:rsidRPr="00C11E29" w:rsidRDefault="0024670D" w:rsidP="0024670D">
      <w:pPr>
        <w:pStyle w:val="Fundamentos"/>
      </w:pPr>
    </w:p>
    <w:p w14:paraId="44E6A036" w14:textId="77777777" w:rsidR="0024670D" w:rsidRPr="00C11E29" w:rsidRDefault="0024670D" w:rsidP="0024670D">
      <w:pPr>
        <w:pStyle w:val="Fundamentos"/>
      </w:pPr>
      <w:r w:rsidRPr="00C11E29">
        <w:t>SE PROPORCIONA RESPUESTA A LA SOLICITUD DE FOLIO: 00520/ZINACANT/IP/2023 A TRAVÉS DEL DOCUMENTO ANEXO</w:t>
      </w:r>
    </w:p>
    <w:p w14:paraId="4DAC6166" w14:textId="77777777" w:rsidR="0024670D" w:rsidRPr="00C11E29" w:rsidRDefault="0024670D" w:rsidP="0024670D">
      <w:pPr>
        <w:pStyle w:val="Fundamentos"/>
      </w:pPr>
    </w:p>
    <w:p w14:paraId="5E9D1700" w14:textId="77777777" w:rsidR="0024670D" w:rsidRPr="00C11E29" w:rsidRDefault="0024670D" w:rsidP="0024670D">
      <w:pPr>
        <w:pStyle w:val="Fundamentos"/>
      </w:pPr>
      <w:r w:rsidRPr="00C11E29">
        <w:t>ATENTAMENTE</w:t>
      </w:r>
    </w:p>
    <w:p w14:paraId="3FE4A9EF" w14:textId="4B883D9B" w:rsidR="00A970D5" w:rsidRPr="00C11E29" w:rsidRDefault="0024670D" w:rsidP="0024670D">
      <w:pPr>
        <w:pStyle w:val="Fundamentos"/>
        <w:rPr>
          <w:lang w:val="es-MX"/>
        </w:rPr>
      </w:pPr>
      <w:r w:rsidRPr="00C11E29">
        <w:t>BRENDA SELENE HERNANDEZ LOPEZ</w:t>
      </w:r>
      <w:r w:rsidR="00A970D5" w:rsidRPr="00C11E29">
        <w:rPr>
          <w:lang w:val="es-MX"/>
        </w:rPr>
        <w:t>” (Sic)</w:t>
      </w:r>
    </w:p>
    <w:p w14:paraId="2EAB8352" w14:textId="3B77EF6C" w:rsidR="001107C4" w:rsidRPr="00C11E29"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460572E7" w:rsidR="0037112D" w:rsidRPr="00C11E29" w:rsidRDefault="0037112D" w:rsidP="006922F5">
      <w:pPr>
        <w:pBdr>
          <w:top w:val="nil"/>
          <w:left w:val="nil"/>
          <w:bottom w:val="nil"/>
          <w:right w:val="nil"/>
          <w:between w:val="nil"/>
        </w:pBdr>
        <w:contextualSpacing/>
        <w:rPr>
          <w:rFonts w:eastAsia="Palatino Linotype" w:cs="Palatino Linotype"/>
          <w:b/>
          <w:bCs/>
          <w:color w:val="000000"/>
          <w:szCs w:val="24"/>
        </w:rPr>
      </w:pPr>
      <w:r w:rsidRPr="00C11E29">
        <w:rPr>
          <w:rFonts w:eastAsia="Palatino Linotype" w:cs="Palatino Linotype"/>
          <w:color w:val="000000"/>
          <w:szCs w:val="24"/>
        </w:rPr>
        <w:t xml:space="preserve">El Sujeto Obligado </w:t>
      </w:r>
      <w:r w:rsidR="008B6CDF" w:rsidRPr="00C11E29">
        <w:rPr>
          <w:rFonts w:eastAsia="Palatino Linotype" w:cs="Palatino Linotype"/>
          <w:color w:val="000000"/>
          <w:szCs w:val="24"/>
        </w:rPr>
        <w:t>adjuntó a su respuesta el documento denominado</w:t>
      </w:r>
      <w:r w:rsidR="00100663" w:rsidRPr="00C11E29">
        <w:rPr>
          <w:rFonts w:eastAsia="Palatino Linotype" w:cs="Palatino Linotype"/>
          <w:color w:val="000000"/>
          <w:szCs w:val="24"/>
        </w:rPr>
        <w:t xml:space="preserve"> </w:t>
      </w:r>
      <w:r w:rsidRPr="00C11E29">
        <w:rPr>
          <w:rFonts w:eastAsia="Palatino Linotype" w:cs="Palatino Linotype"/>
          <w:b/>
          <w:bCs/>
          <w:color w:val="000000"/>
          <w:szCs w:val="24"/>
        </w:rPr>
        <w:t>“</w:t>
      </w:r>
      <w:r w:rsidR="0024670D" w:rsidRPr="00C11E29">
        <w:rPr>
          <w:rFonts w:eastAsia="Palatino Linotype" w:cs="Palatino Linotype"/>
          <w:b/>
          <w:bCs/>
          <w:color w:val="000000"/>
          <w:szCs w:val="24"/>
        </w:rPr>
        <w:t>solicitud 520.pdf</w:t>
      </w:r>
      <w:r w:rsidRPr="00C11E29">
        <w:rPr>
          <w:rFonts w:eastAsia="Palatino Linotype" w:cs="Palatino Linotype"/>
          <w:b/>
          <w:bCs/>
          <w:color w:val="000000"/>
          <w:szCs w:val="24"/>
        </w:rPr>
        <w:t>”</w:t>
      </w:r>
      <w:r w:rsidRPr="00C11E29">
        <w:rPr>
          <w:rFonts w:eastAsia="Palatino Linotype" w:cs="Palatino Linotype"/>
          <w:color w:val="000000"/>
          <w:szCs w:val="24"/>
        </w:rPr>
        <w:t xml:space="preserve">, </w:t>
      </w:r>
      <w:r w:rsidR="009B321A" w:rsidRPr="00C11E29">
        <w:rPr>
          <w:rFonts w:eastAsia="Palatino Linotype" w:cs="Palatino Linotype"/>
          <w:color w:val="000000"/>
          <w:szCs w:val="24"/>
        </w:rPr>
        <w:t>cuyo contenido será motivo de análisis en el estudio correspondiente.</w:t>
      </w:r>
    </w:p>
    <w:p w14:paraId="2011BBDD" w14:textId="77777777" w:rsidR="0037112D" w:rsidRPr="00C11E29"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6C6D7145" w:rsidR="00A970D5" w:rsidRPr="00C11E29" w:rsidRDefault="00542DFA" w:rsidP="006922F5">
      <w:pPr>
        <w:pStyle w:val="Ttulo2"/>
        <w:rPr>
          <w:rFonts w:eastAsia="Palatino Linotype"/>
        </w:rPr>
      </w:pPr>
      <w:r w:rsidRPr="00C11E29">
        <w:rPr>
          <w:rFonts w:eastAsia="Palatino Linotype"/>
        </w:rPr>
        <w:t>CUARTO</w:t>
      </w:r>
      <w:r w:rsidR="00A970D5" w:rsidRPr="00C11E29">
        <w:rPr>
          <w:rFonts w:eastAsia="Palatino Linotype"/>
        </w:rPr>
        <w:t>. Del recurso de revisión.</w:t>
      </w:r>
    </w:p>
    <w:p w14:paraId="0C8C3A2F" w14:textId="4B62A360"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Inconforme con la respuesta em</w:t>
      </w:r>
      <w:r w:rsidR="00A06896" w:rsidRPr="00C11E29">
        <w:rPr>
          <w:rFonts w:eastAsia="Palatino Linotype" w:cs="Palatino Linotype"/>
          <w:color w:val="000000"/>
          <w:szCs w:val="24"/>
        </w:rPr>
        <w:t xml:space="preserve">itida por el Sujeto Obligado, </w:t>
      </w:r>
      <w:r w:rsidR="00F04C02" w:rsidRPr="00C11E29">
        <w:rPr>
          <w:rFonts w:eastAsia="Palatino Linotype" w:cs="Palatino Linotype"/>
          <w:color w:val="000000"/>
          <w:szCs w:val="24"/>
        </w:rPr>
        <w:t>el</w:t>
      </w:r>
      <w:r w:rsidRPr="00C11E29">
        <w:rPr>
          <w:rFonts w:eastAsia="Palatino Linotype" w:cs="Palatino Linotype"/>
          <w:color w:val="000000"/>
          <w:szCs w:val="24"/>
        </w:rPr>
        <w:t xml:space="preserve"> Recurrente interpuso el presente recurso de revisión e</w:t>
      </w:r>
      <w:r w:rsidR="008B2951" w:rsidRPr="00C11E29">
        <w:rPr>
          <w:rFonts w:eastAsia="Palatino Linotype" w:cs="Palatino Linotype"/>
          <w:color w:val="000000"/>
          <w:szCs w:val="24"/>
        </w:rPr>
        <w:t>l día</w:t>
      </w:r>
      <w:r w:rsidR="00C77CBD" w:rsidRPr="00C11E29">
        <w:rPr>
          <w:rFonts w:eastAsia="Palatino Linotype" w:cs="Palatino Linotype"/>
          <w:color w:val="000000"/>
          <w:szCs w:val="24"/>
        </w:rPr>
        <w:t xml:space="preserve"> </w:t>
      </w:r>
      <w:r w:rsidR="00542DFA" w:rsidRPr="00C11E29">
        <w:rPr>
          <w:rFonts w:eastAsia="Palatino Linotype" w:cs="Palatino Linotype"/>
          <w:color w:val="000000"/>
          <w:szCs w:val="24"/>
        </w:rPr>
        <w:t>veintitrés de agosto</w:t>
      </w:r>
      <w:r w:rsidR="00F04C02" w:rsidRPr="00C11E29">
        <w:rPr>
          <w:rFonts w:eastAsia="Palatino Linotype" w:cs="Palatino Linotype"/>
          <w:color w:val="000000"/>
          <w:szCs w:val="24"/>
        </w:rPr>
        <w:t xml:space="preserve"> </w:t>
      </w:r>
      <w:r w:rsidR="00C77CBD" w:rsidRPr="00C11E29">
        <w:rPr>
          <w:rFonts w:eastAsia="Palatino Linotype" w:cs="Palatino Linotype"/>
          <w:color w:val="000000"/>
          <w:szCs w:val="24"/>
        </w:rPr>
        <w:t>de dos mil veintitrés</w:t>
      </w:r>
      <w:r w:rsidRPr="00C11E29">
        <w:rPr>
          <w:rFonts w:eastAsia="Palatino Linotype" w:cs="Palatino Linotype"/>
          <w:color w:val="000000"/>
          <w:szCs w:val="24"/>
        </w:rPr>
        <w:t xml:space="preserve">, el cual se registró con el expediente número </w:t>
      </w:r>
      <w:r w:rsidR="00F04C02" w:rsidRPr="00C11E29">
        <w:rPr>
          <w:rFonts w:eastAsia="Palatino Linotype" w:cs="Palatino Linotype"/>
          <w:b/>
          <w:color w:val="000000"/>
          <w:szCs w:val="24"/>
        </w:rPr>
        <w:t>0</w:t>
      </w:r>
      <w:r w:rsidR="00542DFA" w:rsidRPr="00C11E29">
        <w:rPr>
          <w:rFonts w:eastAsia="Palatino Linotype" w:cs="Palatino Linotype"/>
          <w:b/>
          <w:color w:val="000000"/>
          <w:szCs w:val="24"/>
        </w:rPr>
        <w:t>47</w:t>
      </w:r>
      <w:r w:rsidR="0024670D" w:rsidRPr="00C11E29">
        <w:rPr>
          <w:rFonts w:eastAsia="Palatino Linotype" w:cs="Palatino Linotype"/>
          <w:b/>
          <w:color w:val="000000"/>
          <w:szCs w:val="24"/>
        </w:rPr>
        <w:t>70</w:t>
      </w:r>
      <w:r w:rsidRPr="00C11E29">
        <w:rPr>
          <w:rFonts w:eastAsia="Palatino Linotype" w:cs="Palatino Linotype"/>
          <w:b/>
          <w:color w:val="000000"/>
          <w:szCs w:val="24"/>
        </w:rPr>
        <w:t>/INFOEM/IP/RR/202</w:t>
      </w:r>
      <w:r w:rsidR="00C77CBD" w:rsidRPr="00C11E29">
        <w:rPr>
          <w:rFonts w:eastAsia="Palatino Linotype" w:cs="Palatino Linotype"/>
          <w:b/>
          <w:color w:val="000000"/>
          <w:szCs w:val="24"/>
        </w:rPr>
        <w:t>3</w:t>
      </w:r>
      <w:r w:rsidR="00A06896" w:rsidRPr="00C11E29">
        <w:rPr>
          <w:rFonts w:eastAsia="Palatino Linotype" w:cs="Palatino Linotype"/>
          <w:color w:val="000000"/>
          <w:szCs w:val="24"/>
        </w:rPr>
        <w:t xml:space="preserve">, </w:t>
      </w:r>
      <w:r w:rsidR="00A24265" w:rsidRPr="00C11E29">
        <w:rPr>
          <w:rFonts w:eastAsia="Palatino Linotype" w:cs="Palatino Linotype"/>
          <w:color w:val="000000"/>
          <w:szCs w:val="24"/>
        </w:rPr>
        <w:t>manifestando</w:t>
      </w:r>
      <w:r w:rsidRPr="00C11E29">
        <w:rPr>
          <w:rFonts w:eastAsia="Palatino Linotype" w:cs="Palatino Linotype"/>
          <w:color w:val="000000"/>
          <w:szCs w:val="24"/>
        </w:rPr>
        <w:t xml:space="preserve"> lo siguiente:</w:t>
      </w:r>
    </w:p>
    <w:p w14:paraId="7AA0C9F4" w14:textId="046134A0"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C11E29" w:rsidRDefault="00A970D5" w:rsidP="006922F5">
      <w:pPr>
        <w:contextualSpacing/>
        <w:rPr>
          <w:rFonts w:eastAsia="Palatino Linotype" w:cs="Palatino Linotype"/>
          <w:b/>
        </w:rPr>
      </w:pPr>
      <w:r w:rsidRPr="00C11E29">
        <w:rPr>
          <w:rFonts w:eastAsia="Palatino Linotype" w:cs="Palatino Linotype"/>
          <w:b/>
        </w:rPr>
        <w:lastRenderedPageBreak/>
        <w:t>Acto Impugnado:</w:t>
      </w:r>
      <w:r w:rsidR="00655007" w:rsidRPr="00C11E29">
        <w:rPr>
          <w:rFonts w:eastAsia="Palatino Linotype" w:cs="Palatino Linotype"/>
          <w:b/>
        </w:rPr>
        <w:t xml:space="preserve"> </w:t>
      </w:r>
    </w:p>
    <w:p w14:paraId="4A0EFE5A" w14:textId="3CBAC33E" w:rsidR="00A970D5" w:rsidRPr="00C11E29" w:rsidRDefault="00A970D5" w:rsidP="006922F5">
      <w:pPr>
        <w:pStyle w:val="Fundamentos"/>
        <w:rPr>
          <w:b/>
        </w:rPr>
      </w:pPr>
      <w:r w:rsidRPr="00C11E29">
        <w:t>“</w:t>
      </w:r>
      <w:r w:rsidR="00542DFA" w:rsidRPr="00C11E29">
        <w:t>NO ENTREGA INFORMACIÓN</w:t>
      </w:r>
      <w:r w:rsidR="002806D1" w:rsidRPr="00C11E29">
        <w:t xml:space="preserve">” </w:t>
      </w:r>
      <w:r w:rsidR="00F04C02" w:rsidRPr="00C11E29">
        <w:t>(</w:t>
      </w:r>
      <w:r w:rsidRPr="00C11E29">
        <w:t>Sic)</w:t>
      </w:r>
    </w:p>
    <w:p w14:paraId="3C40A441" w14:textId="77777777" w:rsidR="00A970D5" w:rsidRPr="00C11E29" w:rsidRDefault="00A970D5" w:rsidP="006922F5">
      <w:pPr>
        <w:contextualSpacing/>
        <w:rPr>
          <w:rFonts w:eastAsia="Palatino Linotype" w:cs="Palatino Linotype"/>
          <w:iCs/>
          <w:szCs w:val="24"/>
        </w:rPr>
      </w:pPr>
    </w:p>
    <w:p w14:paraId="08EABC9A" w14:textId="5E7B605B" w:rsidR="00542DFA" w:rsidRPr="00C11E29" w:rsidRDefault="005873CB" w:rsidP="00542DFA">
      <w:pPr>
        <w:contextualSpacing/>
        <w:rPr>
          <w:rFonts w:eastAsia="Palatino Linotype" w:cs="Palatino Linotype"/>
          <w:b/>
        </w:rPr>
      </w:pPr>
      <w:r w:rsidRPr="00C11E29">
        <w:rPr>
          <w:rFonts w:eastAsia="Palatino Linotype" w:cs="Palatino Linotype"/>
          <w:b/>
        </w:rPr>
        <w:t>Razones o Motivos de Inconformidad</w:t>
      </w:r>
      <w:r w:rsidR="00542DFA" w:rsidRPr="00C11E29">
        <w:rPr>
          <w:rFonts w:eastAsia="Palatino Linotype" w:cs="Palatino Linotype"/>
          <w:b/>
        </w:rPr>
        <w:t xml:space="preserve">: </w:t>
      </w:r>
    </w:p>
    <w:p w14:paraId="3052263B" w14:textId="583D7B7F" w:rsidR="00542DFA" w:rsidRPr="00C11E29" w:rsidRDefault="00542DFA" w:rsidP="00542DFA">
      <w:pPr>
        <w:pStyle w:val="Fundamentos"/>
        <w:rPr>
          <w:b/>
        </w:rPr>
      </w:pPr>
      <w:r w:rsidRPr="00C11E29">
        <w:t>“NO ENTREGA INFORMACIÓN” (Sic)</w:t>
      </w:r>
    </w:p>
    <w:p w14:paraId="109CEC71" w14:textId="77777777" w:rsidR="00542DFA" w:rsidRPr="00C11E29" w:rsidRDefault="00542DFA" w:rsidP="006922F5">
      <w:pPr>
        <w:pBdr>
          <w:top w:val="nil"/>
          <w:left w:val="nil"/>
          <w:bottom w:val="nil"/>
          <w:right w:val="nil"/>
          <w:between w:val="nil"/>
        </w:pBdr>
        <w:contextualSpacing/>
        <w:rPr>
          <w:rFonts w:eastAsia="Palatino Linotype" w:cs="Palatino Linotype"/>
          <w:color w:val="000000"/>
          <w:szCs w:val="24"/>
        </w:rPr>
      </w:pPr>
    </w:p>
    <w:p w14:paraId="11D7F189" w14:textId="4FC5E9A4" w:rsidR="00A970D5" w:rsidRPr="00C11E29" w:rsidRDefault="00542DFA" w:rsidP="006922F5">
      <w:pPr>
        <w:pStyle w:val="Ttulo2"/>
        <w:rPr>
          <w:rFonts w:eastAsia="Palatino Linotype"/>
        </w:rPr>
      </w:pPr>
      <w:r w:rsidRPr="00C11E29">
        <w:rPr>
          <w:rFonts w:eastAsia="Palatino Linotype"/>
        </w:rPr>
        <w:t>QUIN</w:t>
      </w:r>
      <w:r w:rsidR="00EB47A3" w:rsidRPr="00C11E29">
        <w:rPr>
          <w:rFonts w:eastAsia="Palatino Linotype"/>
        </w:rPr>
        <w:t>TO</w:t>
      </w:r>
      <w:r w:rsidR="00A970D5" w:rsidRPr="00C11E29">
        <w:rPr>
          <w:rFonts w:eastAsia="Palatino Linotype"/>
        </w:rPr>
        <w:t>. Del turno y admisión del recurso de revisión.</w:t>
      </w:r>
    </w:p>
    <w:p w14:paraId="2459DEBA" w14:textId="407EAFF1"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Medio de impugnación que le fue turnado al </w:t>
      </w:r>
      <w:r w:rsidRPr="00C11E29">
        <w:rPr>
          <w:rFonts w:eastAsia="Palatino Linotype" w:cs="Palatino Linotype"/>
          <w:b/>
          <w:color w:val="000000"/>
          <w:szCs w:val="24"/>
        </w:rPr>
        <w:t xml:space="preserve">Comisionado </w:t>
      </w:r>
      <w:r w:rsidR="009F1E25" w:rsidRPr="00C11E29">
        <w:rPr>
          <w:rFonts w:eastAsia="Palatino Linotype" w:cs="Palatino Linotype"/>
          <w:b/>
          <w:color w:val="000000"/>
          <w:szCs w:val="24"/>
        </w:rPr>
        <w:t xml:space="preserve">Presidente </w:t>
      </w:r>
      <w:r w:rsidRPr="00C11E29">
        <w:rPr>
          <w:rFonts w:eastAsia="Palatino Linotype" w:cs="Palatino Linotype"/>
          <w:b/>
          <w:color w:val="000000"/>
          <w:szCs w:val="24"/>
        </w:rPr>
        <w:t>José Martínez Vilchis</w:t>
      </w:r>
      <w:r w:rsidRPr="00C11E29">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C11E29">
        <w:rPr>
          <w:rFonts w:eastAsia="Palatino Linotype" w:cs="Palatino Linotype"/>
          <w:color w:val="000000"/>
          <w:szCs w:val="24"/>
        </w:rPr>
        <w:t>tado de México y Municipios, al</w:t>
      </w:r>
      <w:r w:rsidRPr="00C11E29">
        <w:rPr>
          <w:rFonts w:eastAsia="Palatino Linotype" w:cs="Palatino Linotype"/>
          <w:color w:val="000000"/>
          <w:szCs w:val="24"/>
        </w:rPr>
        <w:t xml:space="preserve"> cu</w:t>
      </w:r>
      <w:r w:rsidR="008B2951" w:rsidRPr="00C11E29">
        <w:rPr>
          <w:rFonts w:eastAsia="Palatino Linotype" w:cs="Palatino Linotype"/>
          <w:color w:val="000000"/>
          <w:szCs w:val="24"/>
        </w:rPr>
        <w:t>al recayó acuerdo de admisión de</w:t>
      </w:r>
      <w:r w:rsidRPr="00C11E29">
        <w:rPr>
          <w:rFonts w:eastAsia="Palatino Linotype" w:cs="Palatino Linotype"/>
          <w:color w:val="000000"/>
          <w:szCs w:val="24"/>
        </w:rPr>
        <w:t xml:space="preserve"> fecha</w:t>
      </w:r>
      <w:r w:rsidR="00C77CBD" w:rsidRPr="00C11E29">
        <w:rPr>
          <w:rFonts w:eastAsia="Palatino Linotype" w:cs="Palatino Linotype"/>
          <w:color w:val="000000"/>
          <w:szCs w:val="24"/>
        </w:rPr>
        <w:t xml:space="preserve"> </w:t>
      </w:r>
      <w:r w:rsidR="00542DFA" w:rsidRPr="00C11E29">
        <w:rPr>
          <w:rFonts w:eastAsia="Palatino Linotype" w:cs="Palatino Linotype"/>
          <w:color w:val="000000"/>
          <w:szCs w:val="24"/>
        </w:rPr>
        <w:t>veintiocho de agosto</w:t>
      </w:r>
      <w:r w:rsidR="001B4435" w:rsidRPr="00C11E29">
        <w:rPr>
          <w:rFonts w:eastAsia="Palatino Linotype" w:cs="Palatino Linotype"/>
          <w:color w:val="000000"/>
          <w:szCs w:val="24"/>
        </w:rPr>
        <w:t xml:space="preserve"> </w:t>
      </w:r>
      <w:r w:rsidR="00C77CBD" w:rsidRPr="00C11E29">
        <w:rPr>
          <w:rFonts w:eastAsia="Palatino Linotype" w:cs="Palatino Linotype"/>
          <w:color w:val="000000"/>
          <w:szCs w:val="24"/>
        </w:rPr>
        <w:t>de dos mil veintitrés</w:t>
      </w:r>
      <w:r w:rsidRPr="00C11E29">
        <w:rPr>
          <w:rFonts w:eastAsia="Palatino Linotype" w:cs="Palatino Linotype"/>
          <w:color w:val="000000"/>
          <w:szCs w:val="24"/>
        </w:rPr>
        <w:t xml:space="preserve">, </w:t>
      </w:r>
      <w:r w:rsidRPr="00C11E29">
        <w:rPr>
          <w:rFonts w:eastAsia="Palatino Linotype" w:cs="Palatino Linotype"/>
          <w:szCs w:val="24"/>
        </w:rPr>
        <w:t>otorgándose</w:t>
      </w:r>
      <w:r w:rsidRPr="00C11E29">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7F12B07A" w:rsidR="00A970D5" w:rsidRPr="00C11E29" w:rsidRDefault="00542DFA" w:rsidP="006922F5">
      <w:pPr>
        <w:pStyle w:val="Ttulo2"/>
        <w:rPr>
          <w:rFonts w:eastAsia="Palatino Linotype"/>
        </w:rPr>
      </w:pPr>
      <w:r w:rsidRPr="00C11E29">
        <w:rPr>
          <w:rFonts w:eastAsia="Palatino Linotype"/>
        </w:rPr>
        <w:t>SEX</w:t>
      </w:r>
      <w:r w:rsidR="00F36B72" w:rsidRPr="00C11E29">
        <w:rPr>
          <w:rFonts w:eastAsia="Palatino Linotype"/>
        </w:rPr>
        <w:t>TO</w:t>
      </w:r>
      <w:r w:rsidR="00A970D5" w:rsidRPr="00C11E29">
        <w:rPr>
          <w:rFonts w:eastAsia="Palatino Linotype"/>
        </w:rPr>
        <w:t>. De la etapa de instrucción.</w:t>
      </w:r>
    </w:p>
    <w:p w14:paraId="134297B7" w14:textId="55C68D52" w:rsidR="00EB47A3" w:rsidRPr="00C11E29" w:rsidRDefault="001B4435" w:rsidP="00EB47A3">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Una vez abierta la etapa de instrucción, se observa que el Sujeto Obligado omitió rendir su Informe Justificado. Asimismo, el Recurrente no presentó manifestaciones, rindió alegatos ni presentó pruebas que a su derecho convinieran.</w:t>
      </w:r>
    </w:p>
    <w:p w14:paraId="5B536618" w14:textId="7ED50870" w:rsidR="00C02596" w:rsidRPr="00C11E29" w:rsidRDefault="00C02596" w:rsidP="006922F5">
      <w:pPr>
        <w:pBdr>
          <w:top w:val="nil"/>
          <w:left w:val="nil"/>
          <w:bottom w:val="nil"/>
          <w:right w:val="nil"/>
          <w:between w:val="nil"/>
        </w:pBdr>
        <w:contextualSpacing/>
        <w:rPr>
          <w:rFonts w:eastAsia="Palatino Linotype" w:cs="Palatino Linotype"/>
          <w:color w:val="000000"/>
          <w:szCs w:val="24"/>
        </w:rPr>
      </w:pPr>
    </w:p>
    <w:p w14:paraId="01332637" w14:textId="6155FBFE" w:rsidR="00123A80" w:rsidRPr="00C11E29" w:rsidRDefault="00123A80" w:rsidP="00123A80">
      <w:pPr>
        <w:pStyle w:val="Ttulo2"/>
        <w:rPr>
          <w:rFonts w:eastAsiaTheme="minorHAnsi"/>
          <w:lang w:eastAsia="en-US"/>
        </w:rPr>
      </w:pPr>
      <w:r w:rsidRPr="00C11E29">
        <w:rPr>
          <w:rFonts w:eastAsiaTheme="minorHAnsi"/>
          <w:lang w:eastAsia="en-US"/>
        </w:rPr>
        <w:t>S</w:t>
      </w:r>
      <w:r w:rsidR="00542DFA" w:rsidRPr="00C11E29">
        <w:rPr>
          <w:rFonts w:eastAsiaTheme="minorHAnsi"/>
          <w:lang w:eastAsia="en-US"/>
        </w:rPr>
        <w:t>ÉPTIMO</w:t>
      </w:r>
      <w:r w:rsidRPr="00C11E29">
        <w:rPr>
          <w:rFonts w:eastAsiaTheme="minorHAnsi"/>
          <w:lang w:eastAsia="en-US"/>
        </w:rPr>
        <w:t xml:space="preserve">. </w:t>
      </w:r>
      <w:r w:rsidRPr="00C11E29">
        <w:rPr>
          <w:rFonts w:eastAsia="Palatino Linotype"/>
        </w:rPr>
        <w:t>Del cierre de instrucción.</w:t>
      </w:r>
    </w:p>
    <w:p w14:paraId="224DAA2E" w14:textId="0B3CCB69" w:rsidR="00123A80" w:rsidRPr="00C11E29" w:rsidRDefault="00123A80" w:rsidP="00123A80">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Una vez transcurrido el término legal, se decretó el cierre de instrucción en fecha </w:t>
      </w:r>
      <w:r w:rsidR="001B4435" w:rsidRPr="00C11E29">
        <w:rPr>
          <w:rFonts w:eastAsiaTheme="minorHAnsi" w:cstheme="minorBidi"/>
          <w:szCs w:val="24"/>
          <w:lang w:eastAsia="en-US"/>
        </w:rPr>
        <w:t xml:space="preserve">siete de </w:t>
      </w:r>
      <w:r w:rsidR="00151F61" w:rsidRPr="00C11E29">
        <w:rPr>
          <w:rFonts w:eastAsiaTheme="minorHAnsi" w:cstheme="minorBidi"/>
          <w:szCs w:val="24"/>
          <w:lang w:eastAsia="en-US"/>
        </w:rPr>
        <w:t>septiembre</w:t>
      </w:r>
      <w:r w:rsidR="001B4435" w:rsidRPr="00C11E29">
        <w:rPr>
          <w:rFonts w:eastAsiaTheme="minorHAnsi" w:cstheme="minorBidi"/>
          <w:szCs w:val="24"/>
          <w:lang w:eastAsia="en-US"/>
        </w:rPr>
        <w:t xml:space="preserve"> </w:t>
      </w:r>
      <w:r w:rsidRPr="00C11E29">
        <w:rPr>
          <w:rFonts w:eastAsia="Palatino Linotype" w:cs="Palatino Linotype"/>
          <w:color w:val="000000"/>
          <w:szCs w:val="24"/>
        </w:rPr>
        <w:t>de dos mil veintitrés, en términos del artículo 185 fracción VI de la Ley de Transparencia y Acceso a la Información Pública del Estado de México y Municipios, iniciando el término legal para dictar resolución definitiva del asunto.</w:t>
      </w:r>
    </w:p>
    <w:p w14:paraId="6F1484AF" w14:textId="77777777" w:rsidR="00123A80" w:rsidRPr="00C11E29" w:rsidRDefault="00123A80" w:rsidP="006922F5">
      <w:pPr>
        <w:pBdr>
          <w:top w:val="nil"/>
          <w:left w:val="nil"/>
          <w:bottom w:val="nil"/>
          <w:right w:val="nil"/>
          <w:between w:val="nil"/>
        </w:pBdr>
        <w:contextualSpacing/>
        <w:rPr>
          <w:rFonts w:eastAsia="Palatino Linotype" w:cs="Palatino Linotype"/>
          <w:color w:val="000000"/>
          <w:szCs w:val="24"/>
        </w:rPr>
      </w:pPr>
    </w:p>
    <w:p w14:paraId="65310342" w14:textId="76AC93E4" w:rsidR="00A970D5" w:rsidRPr="00C11E29" w:rsidRDefault="00542DFA" w:rsidP="006922F5">
      <w:pPr>
        <w:pStyle w:val="Ttulo2"/>
        <w:rPr>
          <w:rFonts w:eastAsia="Palatino Linotype"/>
        </w:rPr>
      </w:pPr>
      <w:r w:rsidRPr="00C11E29">
        <w:rPr>
          <w:rFonts w:eastAsia="Palatino Linotype"/>
        </w:rPr>
        <w:t>OCTAVO</w:t>
      </w:r>
      <w:r w:rsidR="00A970D5" w:rsidRPr="00C11E29">
        <w:rPr>
          <w:rFonts w:eastAsia="Palatino Linotype"/>
        </w:rPr>
        <w:t xml:space="preserve">. </w:t>
      </w:r>
      <w:r w:rsidR="006967F6" w:rsidRPr="00C11E29">
        <w:rPr>
          <w:rFonts w:eastAsiaTheme="minorHAnsi"/>
          <w:lang w:eastAsia="en-US"/>
        </w:rPr>
        <w:t>De la ampliación del término para resolver.</w:t>
      </w:r>
    </w:p>
    <w:p w14:paraId="364CFBE5" w14:textId="46F937FF" w:rsidR="00A914F3" w:rsidRPr="00C11E29" w:rsidRDefault="006967F6" w:rsidP="006922F5">
      <w:pPr>
        <w:pBdr>
          <w:top w:val="nil"/>
          <w:left w:val="nil"/>
          <w:bottom w:val="nil"/>
          <w:right w:val="nil"/>
          <w:between w:val="nil"/>
        </w:pBdr>
        <w:contextualSpacing/>
        <w:rPr>
          <w:rFonts w:eastAsia="Palatino Linotype" w:cs="Palatino Linotype"/>
          <w:color w:val="000000"/>
          <w:szCs w:val="24"/>
        </w:rPr>
      </w:pPr>
      <w:r w:rsidRPr="00C11E29">
        <w:rPr>
          <w:rFonts w:eastAsiaTheme="minorHAnsi" w:cstheme="minorBidi"/>
          <w:szCs w:val="24"/>
          <w:lang w:eastAsia="en-US"/>
        </w:rPr>
        <w:t>En fecha</w:t>
      </w:r>
      <w:r w:rsidR="00C77CBD" w:rsidRPr="00C11E29">
        <w:rPr>
          <w:rFonts w:eastAsiaTheme="minorHAnsi" w:cstheme="minorBidi"/>
          <w:szCs w:val="24"/>
          <w:lang w:eastAsia="en-US"/>
        </w:rPr>
        <w:t xml:space="preserve"> </w:t>
      </w:r>
      <w:r w:rsidR="00151F61" w:rsidRPr="00C11E29">
        <w:rPr>
          <w:rFonts w:eastAsia="Palatino Linotype" w:cs="Palatino Linotype"/>
          <w:color w:val="000000"/>
          <w:szCs w:val="24"/>
        </w:rPr>
        <w:t>nueve de octubre</w:t>
      </w:r>
      <w:r w:rsidR="001B4435" w:rsidRPr="00C11E29">
        <w:rPr>
          <w:rFonts w:eastAsia="Palatino Linotype" w:cs="Palatino Linotype"/>
          <w:color w:val="000000"/>
          <w:szCs w:val="24"/>
        </w:rPr>
        <w:t xml:space="preserve"> de dos mil veintitrés</w:t>
      </w:r>
      <w:r w:rsidR="00123A80" w:rsidRPr="00C11E29">
        <w:rPr>
          <w:rFonts w:eastAsia="Palatino Linotype" w:cs="Palatino Linotype"/>
          <w:color w:val="000000"/>
          <w:szCs w:val="24"/>
        </w:rPr>
        <w:t xml:space="preserve"> </w:t>
      </w:r>
      <w:r w:rsidRPr="00C11E29">
        <w:rPr>
          <w:rFonts w:eastAsiaTheme="minorHAnsi" w:cstheme="minorBidi"/>
          <w:szCs w:val="24"/>
          <w:lang w:eastAsia="en-US"/>
        </w:rPr>
        <w:t xml:space="preserve">de dos mil veintitrés, se amplió el término para resolver el recurso de revisión </w:t>
      </w:r>
      <w:r w:rsidR="001B4435" w:rsidRPr="00C11E29">
        <w:rPr>
          <w:rFonts w:eastAsiaTheme="minorHAnsi" w:cstheme="minorBidi"/>
          <w:szCs w:val="24"/>
          <w:lang w:eastAsia="en-US"/>
        </w:rPr>
        <w:t xml:space="preserve">por el término de quince días hábiles adicionales, </w:t>
      </w:r>
      <w:r w:rsidRPr="00C11E29">
        <w:rPr>
          <w:rFonts w:eastAsiaTheme="minorHAnsi" w:cstheme="minorBidi"/>
          <w:szCs w:val="24"/>
          <w:lang w:eastAsia="en-US"/>
        </w:rPr>
        <w:t>en términos del artículo 181 párrafo tercero de la Ley de Transparencia y Acceso a la Información Pública del Estado de México y Municipios.</w:t>
      </w:r>
    </w:p>
    <w:p w14:paraId="14C9DF9B" w14:textId="77777777" w:rsidR="006967F6" w:rsidRPr="00C11E29" w:rsidRDefault="006967F6" w:rsidP="006922F5">
      <w:pPr>
        <w:pBdr>
          <w:top w:val="nil"/>
          <w:left w:val="nil"/>
          <w:bottom w:val="nil"/>
          <w:right w:val="nil"/>
          <w:between w:val="nil"/>
        </w:pBdr>
        <w:contextualSpacing/>
        <w:rPr>
          <w:rFonts w:eastAsia="Palatino Linotype" w:cs="Palatino Linotype"/>
          <w:color w:val="000000"/>
          <w:szCs w:val="24"/>
        </w:rPr>
      </w:pPr>
    </w:p>
    <w:p w14:paraId="63F4696A"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7CF534"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 </w:t>
      </w:r>
    </w:p>
    <w:p w14:paraId="7ED7A2BB"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18ACDC8"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 </w:t>
      </w:r>
    </w:p>
    <w:p w14:paraId="35053039"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Así, en términos de lo que establecen los artículos 8.1 y 25 de la Convención Americana sobre Derechos Humanos, los recursos deben ser sencillos y resolverse en el menor </w:t>
      </w:r>
      <w:r w:rsidRPr="00C11E29">
        <w:rPr>
          <w:rFonts w:eastAsiaTheme="minorHAnsi" w:cstheme="minorBidi"/>
          <w:szCs w:val="24"/>
          <w:lang w:eastAsia="en-US"/>
        </w:rPr>
        <w:lastRenderedPageBreak/>
        <w:t>tiempo posible, tomando en consideración la dilación total del procedimiento; esto es, en un plazo razonable.</w:t>
      </w:r>
    </w:p>
    <w:p w14:paraId="2317C7E3"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 </w:t>
      </w:r>
    </w:p>
    <w:p w14:paraId="625C0663"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6DE345"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 </w:t>
      </w:r>
    </w:p>
    <w:p w14:paraId="35B4D011"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49EFBB5"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122B3F4D"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a)</w:t>
      </w:r>
      <w:r w:rsidRPr="00C11E29">
        <w:rPr>
          <w:rFonts w:eastAsiaTheme="minorHAnsi" w:cstheme="minorBidi"/>
          <w:szCs w:val="24"/>
          <w:lang w:eastAsia="en-US"/>
        </w:rPr>
        <w:tab/>
        <w:t>Complejidad del asunto: La complejidad de la prueba, la pluralidad de sujetos procesales, el tiempo transcurrido, las características y contexto del recurso.</w:t>
      </w:r>
    </w:p>
    <w:p w14:paraId="202819DB"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b)</w:t>
      </w:r>
      <w:r w:rsidRPr="00C11E29">
        <w:rPr>
          <w:rFonts w:eastAsiaTheme="minorHAnsi" w:cstheme="minorBidi"/>
          <w:szCs w:val="24"/>
          <w:lang w:eastAsia="en-US"/>
        </w:rPr>
        <w:tab/>
        <w:t>Actividad Procesal del interesado: Acciones u omisiones del interesado.</w:t>
      </w:r>
    </w:p>
    <w:p w14:paraId="3D74B8D5"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c)</w:t>
      </w:r>
      <w:r w:rsidRPr="00C11E29">
        <w:rPr>
          <w:rFonts w:eastAsiaTheme="minorHAnsi" w:cstheme="minorBidi"/>
          <w:szCs w:val="24"/>
          <w:lang w:eastAsia="en-US"/>
        </w:rPr>
        <w:tab/>
        <w:t>Conducta de la Autoridad: Las Acciones u omisiones realizadas en el procedimiento. Así como si la autoridad actuó con la debida diligencia.</w:t>
      </w:r>
    </w:p>
    <w:p w14:paraId="41E387CA"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d)</w:t>
      </w:r>
      <w:r w:rsidRPr="00C11E29">
        <w:rPr>
          <w:rFonts w:eastAsiaTheme="minorHAnsi" w:cstheme="minorBidi"/>
          <w:szCs w:val="24"/>
          <w:lang w:eastAsia="en-US"/>
        </w:rPr>
        <w:tab/>
        <w:t>La afectación generada en la situación jurídica de la persona involucrada en el proceso: Violación a sus derechos humanos.</w:t>
      </w:r>
    </w:p>
    <w:p w14:paraId="50DD2401"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4EBB091D"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C11E29">
        <w:rPr>
          <w:rFonts w:eastAsiaTheme="minorHAnsi" w:cstheme="minorBidi"/>
          <w:szCs w:val="24"/>
          <w:lang w:eastAsia="en-US"/>
        </w:rPr>
        <w:lastRenderedPageBreak/>
        <w:t>debe concluirse que es una excluyente de responsabilidad en relación con la actuación del funcionario, como ha acontecido en el caso que nos ocupa.</w:t>
      </w:r>
    </w:p>
    <w:p w14:paraId="785973B3"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1AB895E3"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Argumento que encuentra sustento en la jurisprudencia P</w:t>
      </w:r>
      <w:proofErr w:type="gramStart"/>
      <w:r w:rsidRPr="00C11E29">
        <w:rPr>
          <w:rFonts w:eastAsiaTheme="minorHAnsi" w:cstheme="minorBidi"/>
          <w:szCs w:val="24"/>
          <w:lang w:eastAsia="en-US"/>
        </w:rPr>
        <w:t>./</w:t>
      </w:r>
      <w:proofErr w:type="gramEnd"/>
      <w:r w:rsidRPr="00C11E29">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65AE2AF"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57B71669"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25E394E2"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26D37AAB"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lastRenderedPageBreak/>
        <w:t>“PLAZO RAZONABLE PARA RESOLVER. DIMENSIÓN Y EFECTOS DE ESTE CONCEPTO CUANDO SE ADUCE EXCESIVA CARGA DE TRABAJO.” consultable en el Seminario Judicial de la Federación y su gaceta, con el registro digital 2002351.</w:t>
      </w:r>
    </w:p>
    <w:p w14:paraId="1A15C06C"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4F83C1F4"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r w:rsidRPr="00C11E29">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0CB49BDD" w14:textId="77777777" w:rsidR="00D36791" w:rsidRPr="00C11E29" w:rsidRDefault="00D36791" w:rsidP="00D36791">
      <w:pPr>
        <w:pBdr>
          <w:top w:val="nil"/>
          <w:left w:val="nil"/>
          <w:bottom w:val="nil"/>
          <w:right w:val="nil"/>
          <w:between w:val="nil"/>
        </w:pBdr>
        <w:contextualSpacing/>
        <w:rPr>
          <w:rFonts w:eastAsiaTheme="minorHAnsi" w:cstheme="minorBidi"/>
          <w:szCs w:val="24"/>
          <w:lang w:eastAsia="en-US"/>
        </w:rPr>
      </w:pPr>
    </w:p>
    <w:p w14:paraId="07CC282F" w14:textId="77777777" w:rsidR="00D36791" w:rsidRPr="00C11E29" w:rsidRDefault="00D36791" w:rsidP="00D36791">
      <w:pPr>
        <w:pBdr>
          <w:top w:val="nil"/>
          <w:left w:val="nil"/>
          <w:bottom w:val="nil"/>
          <w:right w:val="nil"/>
          <w:between w:val="nil"/>
        </w:pBdr>
        <w:contextualSpacing/>
        <w:rPr>
          <w:rFonts w:eastAsia="Palatino Linotype" w:cs="Palatino Linotype"/>
          <w:color w:val="000000"/>
          <w:szCs w:val="24"/>
        </w:rPr>
      </w:pPr>
      <w:r w:rsidRPr="00C11E29">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3FC3202F" w14:textId="77777777" w:rsidR="00D36791" w:rsidRPr="00C11E29" w:rsidRDefault="00D36791"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C11E29" w:rsidRDefault="00A970D5" w:rsidP="006922F5">
      <w:pPr>
        <w:pStyle w:val="Ttulo1"/>
        <w:rPr>
          <w:rFonts w:eastAsia="Palatino Linotype"/>
          <w:lang w:val="es-ES_tradnl"/>
        </w:rPr>
      </w:pPr>
      <w:r w:rsidRPr="00C11E29">
        <w:rPr>
          <w:rFonts w:eastAsia="Palatino Linotype"/>
          <w:lang w:val="es-ES_tradnl"/>
        </w:rPr>
        <w:t>C O N S I D E R A N D O</w:t>
      </w:r>
    </w:p>
    <w:p w14:paraId="32546275"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C11E29" w:rsidRDefault="00A970D5" w:rsidP="006922F5">
      <w:pPr>
        <w:pStyle w:val="Ttulo2"/>
        <w:rPr>
          <w:rFonts w:eastAsia="Palatino Linotype"/>
        </w:rPr>
      </w:pPr>
      <w:r w:rsidRPr="00C11E29">
        <w:rPr>
          <w:rFonts w:eastAsia="Palatino Linotype"/>
        </w:rPr>
        <w:t>PRIMERO. De la competencia.</w:t>
      </w:r>
    </w:p>
    <w:p w14:paraId="6279399C" w14:textId="1C8E14BE"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w:t>
      </w:r>
      <w:r w:rsidR="00123A80" w:rsidRPr="00C11E29">
        <w:rPr>
          <w:rFonts w:eastAsia="Palatino Linotype" w:cs="Palatino Linotype"/>
          <w:color w:val="000000"/>
          <w:szCs w:val="24"/>
        </w:rPr>
        <w:t>tercero</w:t>
      </w:r>
      <w:r w:rsidRPr="00C11E29">
        <w:rPr>
          <w:rFonts w:eastAsia="Palatino Linotype" w:cs="Palatino Linotype"/>
          <w:color w:val="000000"/>
          <w:szCs w:val="24"/>
        </w:rPr>
        <w:t xml:space="preserve"> y trigésimo </w:t>
      </w:r>
      <w:r w:rsidR="00123A80" w:rsidRPr="00C11E29">
        <w:rPr>
          <w:rFonts w:eastAsia="Palatino Linotype" w:cs="Palatino Linotype"/>
          <w:color w:val="000000"/>
          <w:szCs w:val="24"/>
        </w:rPr>
        <w:t>cuarto</w:t>
      </w:r>
      <w:r w:rsidRPr="00C11E29">
        <w:rPr>
          <w:rFonts w:eastAsia="Palatino Linotype" w:cs="Palatino Linotype"/>
          <w:color w:val="000000"/>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w:t>
      </w:r>
      <w:r w:rsidRPr="00C11E29">
        <w:rPr>
          <w:rFonts w:eastAsia="Palatino Linotype" w:cs="Palatino Linotype"/>
          <w:color w:val="000000"/>
          <w:szCs w:val="24"/>
        </w:rPr>
        <w:lastRenderedPageBreak/>
        <w:t>I y XXIV, y 11 del Reglamento Interior del Instituto de Transparencia, Acceso a la Información Pública y Protección de Datos Personales del Estado de México y Municipios.</w:t>
      </w:r>
    </w:p>
    <w:p w14:paraId="5FA40324"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C11E29" w:rsidRDefault="00A970D5" w:rsidP="006922F5">
      <w:pPr>
        <w:pStyle w:val="Ttulo2"/>
        <w:rPr>
          <w:rFonts w:eastAsia="Palatino Linotype"/>
        </w:rPr>
      </w:pPr>
      <w:r w:rsidRPr="00C11E29">
        <w:rPr>
          <w:rFonts w:eastAsia="Palatino Linotype"/>
        </w:rPr>
        <w:t xml:space="preserve">SEGUNDO. Sobre los alcances del recurso de revisión. </w:t>
      </w:r>
    </w:p>
    <w:p w14:paraId="132CB116" w14:textId="77777777" w:rsidR="00A970D5" w:rsidRPr="00C11E29" w:rsidRDefault="00A970D5" w:rsidP="006922F5">
      <w:r w:rsidRPr="00C11E29">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460E4FD3" w:rsidR="0031280C" w:rsidRPr="00C11E29" w:rsidRDefault="0031280C" w:rsidP="006922F5">
      <w:pPr>
        <w:pBdr>
          <w:top w:val="nil"/>
          <w:left w:val="nil"/>
          <w:bottom w:val="nil"/>
          <w:right w:val="nil"/>
          <w:between w:val="nil"/>
        </w:pBdr>
        <w:contextualSpacing/>
        <w:rPr>
          <w:rFonts w:eastAsia="Palatino Linotype" w:cs="Palatino Linotype"/>
          <w:color w:val="000000"/>
          <w:szCs w:val="24"/>
        </w:rPr>
      </w:pPr>
    </w:p>
    <w:p w14:paraId="24F8407A" w14:textId="77777777" w:rsidR="006967F6" w:rsidRPr="00C11E29" w:rsidRDefault="006967F6" w:rsidP="006967F6">
      <w:pPr>
        <w:pStyle w:val="Ttulo2"/>
        <w:rPr>
          <w:rFonts w:eastAsia="Palatino Linotype"/>
        </w:rPr>
      </w:pPr>
      <w:r w:rsidRPr="00C11E29">
        <w:rPr>
          <w:rFonts w:eastAsia="Palatino Linotype"/>
        </w:rPr>
        <w:t>TERCERO. Cuestiones de previo y especial pronunciamiento.</w:t>
      </w:r>
    </w:p>
    <w:p w14:paraId="62CE47A2" w14:textId="77777777" w:rsidR="006967F6" w:rsidRPr="00C11E29" w:rsidRDefault="006967F6" w:rsidP="006967F6">
      <w:pPr>
        <w:rPr>
          <w:rFonts w:eastAsia="Palatino Linotype" w:cs="Palatino Linotype"/>
          <w:szCs w:val="24"/>
        </w:rPr>
      </w:pPr>
      <w:r w:rsidRPr="00C11E29">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E9EFE5A" w14:textId="77777777" w:rsidR="006967F6" w:rsidRPr="00C11E29" w:rsidRDefault="006967F6" w:rsidP="006967F6">
      <w:pPr>
        <w:rPr>
          <w:rFonts w:eastAsia="Palatino Linotype" w:cs="Palatino Linotype"/>
          <w:szCs w:val="24"/>
        </w:rPr>
      </w:pPr>
    </w:p>
    <w:p w14:paraId="549076C5"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 xml:space="preserve">Artículo 180. </w:t>
      </w:r>
      <w:r w:rsidRPr="00C11E29">
        <w:rPr>
          <w:rFonts w:eastAsia="Palatino Linotype" w:cs="Palatino Linotype"/>
          <w:i/>
          <w:sz w:val="22"/>
        </w:rPr>
        <w:t>El recurso de revisión contendrá:</w:t>
      </w:r>
    </w:p>
    <w:p w14:paraId="4529469F"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I. El sujeto obligado ante la cual se presentó la solicitud;</w:t>
      </w:r>
    </w:p>
    <w:p w14:paraId="5B87208B"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II. El nombre del solicitante que recurre</w:t>
      </w:r>
      <w:r w:rsidRPr="00C11E29">
        <w:rPr>
          <w:rFonts w:eastAsia="Palatino Linotype" w:cs="Palatino Linotype"/>
          <w:i/>
          <w:sz w:val="22"/>
        </w:rPr>
        <w:t xml:space="preserve"> o de su representante y, en su caso, del tercero interesado, así como la dirección o medio que señale para recibir notificaciones;</w:t>
      </w:r>
    </w:p>
    <w:p w14:paraId="69F86C14"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III. El número de folio de respuesta de la solicitud de acceso;</w:t>
      </w:r>
    </w:p>
    <w:p w14:paraId="7A573792"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IV. La fecha en que fue notificada la respuesta al solicitante o tuvo conocimiento del acto reclamado, o de presentación de la solicitud, en caso de falta de respuesta;</w:t>
      </w:r>
    </w:p>
    <w:p w14:paraId="7EFBC2FD"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V. El acto que se recurre;</w:t>
      </w:r>
    </w:p>
    <w:p w14:paraId="1B7453EE"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VI. Las razones o motivos de inconformidad;</w:t>
      </w:r>
    </w:p>
    <w:p w14:paraId="58C49A37"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lastRenderedPageBreak/>
        <w:t>VII. La copia de la respuesta que se impugna y, en su caso, de la notificación correspondiente, en el caso de respuesta de la solicitud; y</w:t>
      </w:r>
    </w:p>
    <w:p w14:paraId="095D1822"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VIII. Firma del recurrente, en su caso, cuando se presente por escrito, requisito sin el cual se dará trámite al recurso.</w:t>
      </w:r>
    </w:p>
    <w:p w14:paraId="53739642" w14:textId="77777777" w:rsidR="006967F6" w:rsidRPr="00C11E29" w:rsidRDefault="006967F6" w:rsidP="006967F6">
      <w:pPr>
        <w:spacing w:line="240" w:lineRule="auto"/>
        <w:ind w:left="567" w:right="567"/>
        <w:rPr>
          <w:rFonts w:eastAsia="Palatino Linotype" w:cs="Palatino Linotype"/>
          <w:i/>
          <w:sz w:val="22"/>
        </w:rPr>
      </w:pPr>
    </w:p>
    <w:p w14:paraId="14584DE0"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Adicionalmente, se podrán anexar las pruebas y demás elementos que considere procedentes someter a juicio del Instituto.</w:t>
      </w:r>
    </w:p>
    <w:p w14:paraId="1AB0536F" w14:textId="77777777" w:rsidR="006967F6" w:rsidRPr="00C11E29" w:rsidRDefault="006967F6" w:rsidP="006967F6">
      <w:pPr>
        <w:spacing w:line="240" w:lineRule="auto"/>
        <w:ind w:left="567" w:right="567"/>
        <w:rPr>
          <w:rFonts w:eastAsia="Palatino Linotype" w:cs="Palatino Linotype"/>
          <w:i/>
          <w:sz w:val="22"/>
        </w:rPr>
      </w:pPr>
    </w:p>
    <w:p w14:paraId="797D809E"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En ningún caso será necesario que el particular ratifique el recurso de revisión interpuesto.</w:t>
      </w:r>
    </w:p>
    <w:p w14:paraId="5EBC2F8C" w14:textId="77777777" w:rsidR="006967F6" w:rsidRPr="00C11E29" w:rsidRDefault="006967F6" w:rsidP="006967F6">
      <w:pPr>
        <w:spacing w:line="240" w:lineRule="auto"/>
        <w:ind w:left="567" w:right="567"/>
        <w:rPr>
          <w:rFonts w:eastAsia="Palatino Linotype" w:cs="Palatino Linotype"/>
          <w:i/>
          <w:sz w:val="22"/>
        </w:rPr>
      </w:pPr>
    </w:p>
    <w:p w14:paraId="7478FB54"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En caso de que el recurso se interponga de manera electrónica no será indispensable que contengan los requisitos establecidos en las fracciones II</w:t>
      </w:r>
      <w:r w:rsidRPr="00C11E29">
        <w:rPr>
          <w:rFonts w:eastAsia="Palatino Linotype" w:cs="Palatino Linotype"/>
          <w:i/>
          <w:sz w:val="22"/>
        </w:rPr>
        <w:t>, IV, VII y VIII.</w:t>
      </w:r>
    </w:p>
    <w:p w14:paraId="604EADD0" w14:textId="77777777" w:rsidR="006967F6" w:rsidRPr="00C11E29" w:rsidRDefault="006967F6" w:rsidP="006967F6">
      <w:pPr>
        <w:rPr>
          <w:rFonts w:eastAsia="Palatino Linotype" w:cs="Palatino Linotype"/>
          <w:b/>
          <w:i/>
          <w:szCs w:val="24"/>
        </w:rPr>
      </w:pPr>
    </w:p>
    <w:p w14:paraId="456EFEC5" w14:textId="51FDACD2" w:rsidR="006967F6" w:rsidRPr="00C11E29" w:rsidRDefault="006967F6" w:rsidP="006967F6">
      <w:pPr>
        <w:rPr>
          <w:rFonts w:eastAsia="Palatino Linotype" w:cs="Palatino Linotype"/>
          <w:szCs w:val="24"/>
        </w:rPr>
      </w:pPr>
      <w:r w:rsidRPr="00C11E29">
        <w:rPr>
          <w:rFonts w:eastAsia="Palatino Linotype" w:cs="Palatino Linotype"/>
          <w:szCs w:val="24"/>
        </w:rPr>
        <w:t xml:space="preserve">Cabe señalar que el hoy Recurrente </w:t>
      </w:r>
      <w:r w:rsidR="00151F61" w:rsidRPr="00C11E29">
        <w:rPr>
          <w:rFonts w:eastAsia="Palatino Linotype" w:cs="Palatino Linotype"/>
          <w:szCs w:val="24"/>
        </w:rPr>
        <w:t>no proporcionó un nombre o seudónimo; n</w:t>
      </w:r>
      <w:r w:rsidRPr="00C11E29">
        <w:rPr>
          <w:rFonts w:eastAsia="Palatino Linotype" w:cs="Palatino Linotype"/>
          <w:szCs w:val="24"/>
        </w:rPr>
        <w:t>o obstante, presentar solicitudes anónimas, con el nombre incompleto o con un seudónimo no son motivos para desechar las solicitudes de acceso a la información pública conforme a lo previsto en el artículo 155, penúltimo párrafo de la Ley de Transparencia y Acceso a la Información Pública del Estado de México y Municipios que señala lo siguiente:</w:t>
      </w:r>
    </w:p>
    <w:p w14:paraId="4E30AF38" w14:textId="77777777" w:rsidR="006967F6" w:rsidRPr="00C11E29" w:rsidRDefault="006967F6" w:rsidP="006967F6">
      <w:pPr>
        <w:rPr>
          <w:rFonts w:eastAsia="Palatino Linotype" w:cs="Palatino Linotype"/>
          <w:szCs w:val="24"/>
        </w:rPr>
      </w:pPr>
    </w:p>
    <w:p w14:paraId="3CBEE783"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Artículo 155.</w:t>
      </w:r>
      <w:r w:rsidRPr="00C11E29">
        <w:rPr>
          <w:rFonts w:eastAsia="Palatino Linotype" w:cs="Palatino Linotype"/>
          <w:i/>
          <w:sz w:val="22"/>
        </w:rPr>
        <w:t xml:space="preserve"> (…)</w:t>
      </w:r>
    </w:p>
    <w:p w14:paraId="02C46336" w14:textId="77777777" w:rsidR="006967F6" w:rsidRPr="00C11E29" w:rsidRDefault="006967F6" w:rsidP="006967F6">
      <w:pPr>
        <w:spacing w:line="240" w:lineRule="auto"/>
        <w:ind w:left="567" w:right="567"/>
        <w:rPr>
          <w:rFonts w:eastAsia="Palatino Linotype" w:cs="Palatino Linotype"/>
          <w:i/>
          <w:sz w:val="22"/>
        </w:rPr>
      </w:pPr>
    </w:p>
    <w:p w14:paraId="431EC132"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DE665F3"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5AE1CA08" w14:textId="77777777" w:rsidR="006967F6" w:rsidRPr="00C11E29" w:rsidRDefault="006967F6" w:rsidP="006967F6">
      <w:pPr>
        <w:rPr>
          <w:rFonts w:eastAsia="Palatino Linotype" w:cs="Palatino Linotype"/>
          <w:szCs w:val="24"/>
        </w:rPr>
      </w:pPr>
    </w:p>
    <w:p w14:paraId="23107BEF" w14:textId="77777777" w:rsidR="006967F6" w:rsidRPr="00C11E29" w:rsidRDefault="006967F6" w:rsidP="006967F6">
      <w:pPr>
        <w:rPr>
          <w:rFonts w:eastAsia="Palatino Linotype" w:cs="Palatino Linotype"/>
          <w:szCs w:val="24"/>
        </w:rPr>
      </w:pPr>
      <w:r w:rsidRPr="00C11E29">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A6F504C" w14:textId="77777777" w:rsidR="006967F6" w:rsidRPr="00C11E29" w:rsidRDefault="006967F6" w:rsidP="006967F6">
      <w:pPr>
        <w:rPr>
          <w:rFonts w:eastAsia="Palatino Linotype" w:cs="Palatino Linotype"/>
          <w:szCs w:val="24"/>
        </w:rPr>
      </w:pPr>
    </w:p>
    <w:p w14:paraId="2B685099" w14:textId="77777777" w:rsidR="006967F6" w:rsidRPr="00C11E29" w:rsidRDefault="006967F6" w:rsidP="006967F6">
      <w:pPr>
        <w:spacing w:line="240" w:lineRule="auto"/>
        <w:ind w:left="567" w:right="567"/>
        <w:jc w:val="center"/>
        <w:rPr>
          <w:rFonts w:eastAsia="Palatino Linotype" w:cs="Palatino Linotype"/>
          <w:b/>
          <w:i/>
          <w:sz w:val="22"/>
          <w:u w:val="single"/>
        </w:rPr>
      </w:pPr>
      <w:r w:rsidRPr="00C11E29">
        <w:rPr>
          <w:rFonts w:eastAsia="Palatino Linotype" w:cs="Palatino Linotype"/>
          <w:b/>
          <w:i/>
          <w:sz w:val="22"/>
          <w:u w:val="single"/>
        </w:rPr>
        <w:lastRenderedPageBreak/>
        <w:t>Constitución Política de los Estados Unidos Mexicanos</w:t>
      </w:r>
    </w:p>
    <w:p w14:paraId="5BE8C104"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Artículo 6</w:t>
      </w:r>
      <w:r w:rsidRPr="00C11E29">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B41A294"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7006BF5C"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 xml:space="preserve">Para efectos de lo dispuesto en el presente artículo se observará lo siguiente: </w:t>
      </w:r>
    </w:p>
    <w:p w14:paraId="4DE82415"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5DBD169D"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3A196ED6"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7CBDCD7F"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18818576" w14:textId="77777777" w:rsidR="006967F6" w:rsidRPr="00C11E29" w:rsidRDefault="006967F6" w:rsidP="006967F6">
      <w:pPr>
        <w:spacing w:line="240" w:lineRule="auto"/>
        <w:ind w:left="567" w:right="567"/>
        <w:rPr>
          <w:rFonts w:eastAsia="Palatino Linotype" w:cs="Palatino Linotype"/>
          <w:i/>
          <w:sz w:val="22"/>
        </w:rPr>
      </w:pPr>
    </w:p>
    <w:p w14:paraId="3BE9D151" w14:textId="77777777" w:rsidR="006967F6" w:rsidRPr="00C11E29" w:rsidRDefault="006967F6" w:rsidP="006967F6">
      <w:pPr>
        <w:spacing w:line="240" w:lineRule="auto"/>
        <w:ind w:left="567" w:right="567"/>
        <w:jc w:val="center"/>
        <w:rPr>
          <w:rFonts w:eastAsia="Palatino Linotype" w:cs="Palatino Linotype"/>
          <w:b/>
          <w:i/>
          <w:sz w:val="22"/>
          <w:u w:val="single"/>
        </w:rPr>
      </w:pPr>
      <w:r w:rsidRPr="00C11E29">
        <w:rPr>
          <w:rFonts w:eastAsia="Palatino Linotype" w:cs="Palatino Linotype"/>
          <w:b/>
          <w:i/>
          <w:sz w:val="22"/>
          <w:u w:val="single"/>
        </w:rPr>
        <w:t>Constitución Política del Estado Libre y Soberano de México</w:t>
      </w:r>
    </w:p>
    <w:p w14:paraId="140FD4EA"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Artículo 5</w:t>
      </w:r>
      <w:r w:rsidRPr="00C11E29">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E67C93C"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2E9FCD6D"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4398A524"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5204280D"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48149A0" w14:textId="77777777" w:rsidR="006967F6" w:rsidRPr="00C11E29" w:rsidRDefault="006967F6" w:rsidP="006967F6">
      <w:pPr>
        <w:spacing w:line="240" w:lineRule="auto"/>
        <w:ind w:left="567" w:right="567"/>
        <w:rPr>
          <w:rFonts w:eastAsia="Palatino Linotype" w:cs="Palatino Linotype"/>
          <w:i/>
          <w:sz w:val="22"/>
        </w:rPr>
      </w:pPr>
    </w:p>
    <w:p w14:paraId="6EF23CDD"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E15DDE6" w14:textId="77777777" w:rsidR="006967F6" w:rsidRPr="00C11E29" w:rsidRDefault="006967F6" w:rsidP="006967F6">
      <w:pPr>
        <w:spacing w:line="240" w:lineRule="auto"/>
        <w:ind w:left="567" w:right="567"/>
        <w:rPr>
          <w:rFonts w:eastAsia="Palatino Linotype" w:cs="Palatino Linotype"/>
          <w:i/>
          <w:sz w:val="22"/>
        </w:rPr>
      </w:pPr>
    </w:p>
    <w:p w14:paraId="07EEA4E3"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Este derecho se regirá por los principios y bases siguientes:</w:t>
      </w:r>
    </w:p>
    <w:p w14:paraId="69385441"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lastRenderedPageBreak/>
        <w:t>(...)</w:t>
      </w:r>
    </w:p>
    <w:p w14:paraId="31053FDE"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III.</w:t>
      </w:r>
      <w:r w:rsidRPr="00C11E29">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317003F6"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IV.</w:t>
      </w:r>
      <w:r w:rsidRPr="00C11E29">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3154C5D1"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1C35A76A"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VIII.</w:t>
      </w:r>
      <w:r w:rsidRPr="00C11E29">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16441BB"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w:t>
      </w:r>
    </w:p>
    <w:p w14:paraId="0E3A93EE" w14:textId="77777777" w:rsidR="006967F6" w:rsidRPr="00C11E29" w:rsidRDefault="006967F6" w:rsidP="006967F6">
      <w:pPr>
        <w:ind w:left="567" w:right="567"/>
        <w:rPr>
          <w:rFonts w:eastAsia="Palatino Linotype" w:cs="Palatino Linotype"/>
          <w:szCs w:val="24"/>
        </w:rPr>
      </w:pPr>
    </w:p>
    <w:p w14:paraId="7849C1A3" w14:textId="77777777" w:rsidR="006967F6" w:rsidRPr="00C11E29" w:rsidRDefault="006967F6" w:rsidP="006967F6">
      <w:pPr>
        <w:rPr>
          <w:rFonts w:eastAsia="Palatino Linotype" w:cs="Palatino Linotype"/>
          <w:szCs w:val="24"/>
        </w:rPr>
      </w:pPr>
      <w:r w:rsidRPr="00C11E29">
        <w:rPr>
          <w:rFonts w:eastAsia="Palatino Linotype" w:cs="Palatino Linotype"/>
          <w:szCs w:val="24"/>
        </w:rPr>
        <w:t>Por otra parte, del contenido del artículo 1 de la Constitución Política de los Estados Unidos Mexicanos, se destaca lo siguiente:</w:t>
      </w:r>
    </w:p>
    <w:p w14:paraId="4096828D" w14:textId="77777777" w:rsidR="006967F6" w:rsidRPr="00C11E29" w:rsidRDefault="006967F6" w:rsidP="006967F6">
      <w:pPr>
        <w:spacing w:line="240" w:lineRule="auto"/>
        <w:ind w:left="567" w:right="567"/>
        <w:rPr>
          <w:rFonts w:eastAsia="Palatino Linotype" w:cs="Palatino Linotype"/>
          <w:szCs w:val="24"/>
        </w:rPr>
      </w:pPr>
    </w:p>
    <w:p w14:paraId="691B2A45"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b/>
          <w:i/>
          <w:sz w:val="22"/>
        </w:rPr>
        <w:t>Artículo 1o</w:t>
      </w:r>
      <w:r w:rsidRPr="00C11E29">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2318B1B" w14:textId="77777777" w:rsidR="006967F6" w:rsidRPr="00C11E29" w:rsidRDefault="006967F6" w:rsidP="006967F6">
      <w:pPr>
        <w:spacing w:line="240" w:lineRule="auto"/>
        <w:ind w:left="567" w:right="567"/>
        <w:rPr>
          <w:rFonts w:eastAsia="Palatino Linotype" w:cs="Palatino Linotype"/>
          <w:i/>
          <w:sz w:val="22"/>
        </w:rPr>
      </w:pPr>
    </w:p>
    <w:p w14:paraId="51B2762E"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66CA7B7" w14:textId="77777777" w:rsidR="006967F6" w:rsidRPr="00C11E29" w:rsidRDefault="006967F6" w:rsidP="006967F6">
      <w:pPr>
        <w:spacing w:line="240" w:lineRule="auto"/>
        <w:ind w:left="567" w:right="567"/>
        <w:rPr>
          <w:rFonts w:eastAsia="Palatino Linotype" w:cs="Palatino Linotype"/>
          <w:i/>
          <w:sz w:val="22"/>
        </w:rPr>
      </w:pPr>
    </w:p>
    <w:p w14:paraId="516AEBA0" w14:textId="77777777" w:rsidR="006967F6" w:rsidRPr="00C11E29" w:rsidRDefault="006967F6" w:rsidP="006967F6">
      <w:pPr>
        <w:spacing w:line="240" w:lineRule="auto"/>
        <w:ind w:left="567" w:right="567"/>
        <w:rPr>
          <w:rFonts w:eastAsia="Palatino Linotype" w:cs="Palatino Linotype"/>
          <w:i/>
          <w:sz w:val="22"/>
        </w:rPr>
      </w:pPr>
      <w:r w:rsidRPr="00C11E29">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DE324B" w14:textId="77777777" w:rsidR="006967F6" w:rsidRPr="00C11E29" w:rsidRDefault="006967F6" w:rsidP="006967F6">
      <w:pPr>
        <w:ind w:left="567" w:right="567"/>
        <w:rPr>
          <w:rFonts w:eastAsia="Palatino Linotype" w:cs="Palatino Linotype"/>
          <w:szCs w:val="24"/>
        </w:rPr>
      </w:pPr>
    </w:p>
    <w:p w14:paraId="203C2092" w14:textId="77777777" w:rsidR="006967F6" w:rsidRPr="00C11E29" w:rsidRDefault="006967F6" w:rsidP="006967F6">
      <w:pPr>
        <w:rPr>
          <w:rFonts w:eastAsia="Palatino Linotype" w:cs="Palatino Linotype"/>
          <w:szCs w:val="24"/>
        </w:rPr>
      </w:pPr>
      <w:r w:rsidRPr="00C11E29">
        <w:rPr>
          <w:rFonts w:eastAsia="Palatino Linotype" w:cs="Palatino Linotype"/>
          <w:szCs w:val="24"/>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DBA32CB" w14:textId="77777777" w:rsidR="006967F6" w:rsidRPr="00C11E29" w:rsidRDefault="006967F6" w:rsidP="006967F6">
      <w:pPr>
        <w:rPr>
          <w:rFonts w:eastAsia="Palatino Linotype" w:cs="Palatino Linotype"/>
          <w:szCs w:val="24"/>
        </w:rPr>
      </w:pPr>
    </w:p>
    <w:p w14:paraId="2B3B609A" w14:textId="77777777" w:rsidR="006967F6" w:rsidRPr="00C11E29" w:rsidRDefault="006967F6" w:rsidP="006967F6">
      <w:pPr>
        <w:pBdr>
          <w:top w:val="nil"/>
          <w:left w:val="nil"/>
          <w:bottom w:val="nil"/>
          <w:right w:val="nil"/>
          <w:between w:val="nil"/>
        </w:pBdr>
        <w:rPr>
          <w:rFonts w:eastAsia="Palatino Linotype" w:cs="Palatino Linotype"/>
          <w:b/>
          <w:color w:val="000000"/>
          <w:szCs w:val="24"/>
        </w:rPr>
      </w:pPr>
      <w:r w:rsidRPr="00C11E29">
        <w:rPr>
          <w:rFonts w:eastAsia="Palatino Linotype" w:cs="Palatino Linotype"/>
          <w:color w:val="000000"/>
          <w:szCs w:val="24"/>
        </w:rPr>
        <w:t>En conclusión, se cubrieron los requisitos de procedencia y procedibilidad, conforme a las constancias que obran en el expediente.</w:t>
      </w:r>
    </w:p>
    <w:p w14:paraId="4B712C82" w14:textId="77777777" w:rsidR="006967F6" w:rsidRPr="00C11E29" w:rsidRDefault="006967F6" w:rsidP="006922F5">
      <w:pPr>
        <w:pBdr>
          <w:top w:val="nil"/>
          <w:left w:val="nil"/>
          <w:bottom w:val="nil"/>
          <w:right w:val="nil"/>
          <w:between w:val="nil"/>
        </w:pBdr>
        <w:contextualSpacing/>
        <w:rPr>
          <w:rFonts w:eastAsia="Palatino Linotype" w:cs="Palatino Linotype"/>
          <w:color w:val="000000"/>
          <w:szCs w:val="24"/>
        </w:rPr>
      </w:pPr>
    </w:p>
    <w:p w14:paraId="13B28D16" w14:textId="388CD0FE" w:rsidR="006967F6" w:rsidRPr="00C11E29" w:rsidRDefault="006967F6" w:rsidP="006967F6">
      <w:pPr>
        <w:pStyle w:val="Ttulo2"/>
        <w:rPr>
          <w:rFonts w:eastAsia="Palatino Linotype"/>
        </w:rPr>
      </w:pPr>
      <w:r w:rsidRPr="00C11E29">
        <w:rPr>
          <w:rFonts w:eastAsia="Palatino Linotype"/>
        </w:rPr>
        <w:t>CUARTO</w:t>
      </w:r>
      <w:r w:rsidR="00A970D5" w:rsidRPr="00C11E29">
        <w:rPr>
          <w:rFonts w:eastAsia="Palatino Linotype"/>
        </w:rPr>
        <w:t>. De las causas de improcedencia.</w:t>
      </w:r>
    </w:p>
    <w:p w14:paraId="555D16DA" w14:textId="77777777" w:rsidR="00B728EA" w:rsidRPr="00C11E29" w:rsidRDefault="00B728EA" w:rsidP="00B728EA">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F428342" w14:textId="77777777" w:rsidR="00B728EA" w:rsidRPr="00C11E29" w:rsidRDefault="00B728EA" w:rsidP="00B728EA">
      <w:pPr>
        <w:pBdr>
          <w:top w:val="nil"/>
          <w:left w:val="nil"/>
          <w:bottom w:val="nil"/>
          <w:right w:val="nil"/>
          <w:between w:val="nil"/>
        </w:pBdr>
        <w:contextualSpacing/>
        <w:rPr>
          <w:rFonts w:eastAsia="Palatino Linotype" w:cs="Palatino Linotype"/>
          <w:color w:val="000000"/>
          <w:szCs w:val="24"/>
        </w:rPr>
      </w:pPr>
    </w:p>
    <w:p w14:paraId="65B2618D" w14:textId="77777777" w:rsidR="00B728EA" w:rsidRPr="00C11E29" w:rsidRDefault="00B728EA" w:rsidP="00B728EA">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C11E29">
        <w:rPr>
          <w:rFonts w:eastAsia="Palatino Linotype" w:cs="Palatino Linotype"/>
          <w:color w:val="000000"/>
          <w:szCs w:val="24"/>
        </w:rPr>
        <w:lastRenderedPageBreak/>
        <w:t>una figura procesal adoptada en la ley de la materia</w:t>
      </w:r>
      <w:r w:rsidRPr="00C11E29">
        <w:rPr>
          <w:rFonts w:eastAsia="Palatino Linotype" w:cs="Palatino Linotype"/>
          <w:color w:val="000000"/>
          <w:szCs w:val="24"/>
          <w:vertAlign w:val="superscript"/>
        </w:rPr>
        <w:footnoteReference w:id="2"/>
      </w:r>
      <w:r w:rsidRPr="00C11E29">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075551B1" w14:textId="77777777" w:rsidR="00B728EA" w:rsidRPr="00C11E29" w:rsidRDefault="00B728EA" w:rsidP="00B728EA">
      <w:pPr>
        <w:pBdr>
          <w:top w:val="nil"/>
          <w:left w:val="nil"/>
          <w:bottom w:val="nil"/>
          <w:right w:val="nil"/>
          <w:between w:val="nil"/>
        </w:pBdr>
        <w:contextualSpacing/>
        <w:rPr>
          <w:rFonts w:eastAsia="Palatino Linotype" w:cs="Palatino Linotype"/>
          <w:color w:val="000000"/>
          <w:szCs w:val="24"/>
        </w:rPr>
      </w:pPr>
    </w:p>
    <w:p w14:paraId="1E21B26C" w14:textId="11350076" w:rsidR="00A970D5" w:rsidRPr="00C11E29" w:rsidRDefault="00B728EA" w:rsidP="00B728EA">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95F72AE" w14:textId="77777777" w:rsidR="00B728EA" w:rsidRPr="00C11E29" w:rsidRDefault="00B728EA" w:rsidP="00B728EA">
      <w:pPr>
        <w:pBdr>
          <w:top w:val="nil"/>
          <w:left w:val="nil"/>
          <w:bottom w:val="nil"/>
          <w:right w:val="nil"/>
          <w:between w:val="nil"/>
        </w:pBdr>
        <w:contextualSpacing/>
        <w:rPr>
          <w:rFonts w:eastAsia="Palatino Linotype" w:cs="Palatino Linotype"/>
          <w:color w:val="000000"/>
          <w:szCs w:val="24"/>
        </w:rPr>
      </w:pPr>
    </w:p>
    <w:p w14:paraId="0DC69ACD" w14:textId="5A561325" w:rsidR="00A970D5" w:rsidRPr="00C11E29" w:rsidRDefault="006967F6" w:rsidP="006922F5">
      <w:pPr>
        <w:pStyle w:val="Ttulo2"/>
        <w:rPr>
          <w:rFonts w:eastAsia="Palatino Linotype"/>
        </w:rPr>
      </w:pPr>
      <w:r w:rsidRPr="00C11E29">
        <w:rPr>
          <w:rFonts w:eastAsia="Palatino Linotype"/>
        </w:rPr>
        <w:lastRenderedPageBreak/>
        <w:t>QUINTO</w:t>
      </w:r>
      <w:r w:rsidR="00A970D5" w:rsidRPr="00C11E29">
        <w:rPr>
          <w:rFonts w:eastAsia="Palatino Linotype"/>
        </w:rPr>
        <w:t>. Estudio y resolución del asunto.</w:t>
      </w:r>
    </w:p>
    <w:p w14:paraId="102DA030" w14:textId="77777777" w:rsidR="00B728EA" w:rsidRPr="00C11E29" w:rsidRDefault="00B728EA" w:rsidP="00B728EA">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C11E29" w:rsidRDefault="00A970D5" w:rsidP="006922F5">
      <w:pPr>
        <w:pBdr>
          <w:top w:val="nil"/>
          <w:left w:val="nil"/>
          <w:bottom w:val="nil"/>
          <w:right w:val="nil"/>
          <w:between w:val="nil"/>
        </w:pBdr>
        <w:contextualSpacing/>
        <w:rPr>
          <w:rFonts w:eastAsia="Palatino Linotype" w:cs="Palatino Linotype"/>
          <w:color w:val="000000"/>
          <w:szCs w:val="24"/>
        </w:rPr>
      </w:pPr>
    </w:p>
    <w:p w14:paraId="63CF682A" w14:textId="6F01D885" w:rsidR="00514C55" w:rsidRPr="00C11E29" w:rsidRDefault="00A970D5" w:rsidP="006D438A">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Por tanto</w:t>
      </w:r>
      <w:r w:rsidR="007F3F9F" w:rsidRPr="00C11E29">
        <w:rPr>
          <w:rFonts w:eastAsia="Palatino Linotype" w:cs="Palatino Linotype"/>
          <w:color w:val="000000"/>
          <w:szCs w:val="24"/>
        </w:rPr>
        <w:t xml:space="preserve">, es conveniente recordar que </w:t>
      </w:r>
      <w:r w:rsidR="006D438A" w:rsidRPr="00C11E29">
        <w:rPr>
          <w:rFonts w:eastAsia="Palatino Linotype" w:cs="Palatino Linotype"/>
          <w:color w:val="000000"/>
          <w:szCs w:val="24"/>
        </w:rPr>
        <w:t>el</w:t>
      </w:r>
      <w:r w:rsidRPr="00C11E29">
        <w:rPr>
          <w:rFonts w:eastAsia="Palatino Linotype" w:cs="Palatino Linotype"/>
          <w:color w:val="000000"/>
          <w:szCs w:val="24"/>
        </w:rPr>
        <w:t xml:space="preserve"> hoy Recurrente </w:t>
      </w:r>
      <w:r w:rsidR="00B15939" w:rsidRPr="00C11E29">
        <w:rPr>
          <w:rFonts w:eastAsia="Palatino Linotype" w:cs="Palatino Linotype"/>
          <w:color w:val="000000"/>
          <w:szCs w:val="24"/>
        </w:rPr>
        <w:t>requirió que se le entregaran los informes justificados que la Unidad de Transparencia a remitido a este Instituto.</w:t>
      </w:r>
    </w:p>
    <w:p w14:paraId="73844C8C" w14:textId="77777777" w:rsidR="00DB67DA" w:rsidRPr="00C11E29" w:rsidRDefault="00DB67DA" w:rsidP="006D438A">
      <w:pPr>
        <w:pBdr>
          <w:top w:val="nil"/>
          <w:left w:val="nil"/>
          <w:bottom w:val="nil"/>
          <w:right w:val="nil"/>
          <w:between w:val="nil"/>
        </w:pBdr>
        <w:contextualSpacing/>
        <w:rPr>
          <w:rFonts w:eastAsia="Palatino Linotype" w:cs="Palatino Linotype"/>
          <w:color w:val="000000"/>
          <w:szCs w:val="24"/>
        </w:rPr>
      </w:pPr>
    </w:p>
    <w:p w14:paraId="13CD7C30" w14:textId="4169936A" w:rsidR="00DB67DA" w:rsidRPr="00C11E29" w:rsidRDefault="00DB67DA" w:rsidP="006D438A">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En este punto es importante señalar que el particular no estableció la temporalidad específica de la información solicitada; sin embargo, d</w:t>
      </w:r>
      <w:r w:rsidR="00B15939" w:rsidRPr="00C11E29">
        <w:rPr>
          <w:rFonts w:eastAsia="Palatino Linotype" w:cs="Palatino Linotype"/>
          <w:color w:val="000000"/>
          <w:szCs w:val="24"/>
        </w:rPr>
        <w:t>ada la naturaleza de los documentos solicitados, se estima que lo conducente en el presente caso es observar lo estipulado en el criterio con clave de control SO/003/2019 emitido por el Instituto Nacional de Transparencia, Acceso a la Información y Protección de Datos Personales, que a la letra dispone lo siguiente:</w:t>
      </w:r>
    </w:p>
    <w:p w14:paraId="323166C4" w14:textId="77777777" w:rsidR="00B15939" w:rsidRPr="00C11E29" w:rsidRDefault="00B15939" w:rsidP="006D438A">
      <w:pPr>
        <w:pBdr>
          <w:top w:val="nil"/>
          <w:left w:val="nil"/>
          <w:bottom w:val="nil"/>
          <w:right w:val="nil"/>
          <w:between w:val="nil"/>
        </w:pBdr>
        <w:contextualSpacing/>
        <w:rPr>
          <w:rFonts w:eastAsia="Palatino Linotype" w:cs="Palatino Linotype"/>
          <w:color w:val="000000"/>
          <w:szCs w:val="24"/>
        </w:rPr>
      </w:pPr>
    </w:p>
    <w:p w14:paraId="08D8FF58" w14:textId="77777777" w:rsidR="00B15939" w:rsidRPr="00C11E29" w:rsidRDefault="00B15939" w:rsidP="00B15939">
      <w:pPr>
        <w:pStyle w:val="Fundamentos"/>
        <w:rPr>
          <w:lang w:val="es-MX"/>
        </w:rPr>
      </w:pPr>
      <w:r w:rsidRPr="00C11E29">
        <w:rPr>
          <w:b/>
          <w:lang w:val="es-MX"/>
        </w:rPr>
        <w:t xml:space="preserve">Periodo de búsqueda de la información. </w:t>
      </w:r>
      <w:r w:rsidRPr="00C11E29">
        <w:rPr>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5B0A82C" w14:textId="77777777" w:rsidR="00B15939" w:rsidRPr="00C11E29" w:rsidRDefault="00B15939" w:rsidP="006D438A">
      <w:pPr>
        <w:pBdr>
          <w:top w:val="nil"/>
          <w:left w:val="nil"/>
          <w:bottom w:val="nil"/>
          <w:right w:val="nil"/>
          <w:between w:val="nil"/>
        </w:pBdr>
        <w:contextualSpacing/>
        <w:rPr>
          <w:rFonts w:eastAsia="Palatino Linotype" w:cs="Palatino Linotype"/>
          <w:color w:val="000000"/>
          <w:szCs w:val="24"/>
          <w:lang w:val="es-MX"/>
        </w:rPr>
      </w:pPr>
    </w:p>
    <w:p w14:paraId="46A58DB1" w14:textId="273100E9" w:rsidR="009308DA" w:rsidRPr="00C11E29" w:rsidRDefault="00A970D5" w:rsidP="00B62DEC">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lastRenderedPageBreak/>
        <w:t xml:space="preserve">A dicha solicitud, el Sujeto Obligado </w:t>
      </w:r>
      <w:r w:rsidR="00151F61" w:rsidRPr="00C11E29">
        <w:rPr>
          <w:rFonts w:eastAsia="Palatino Linotype" w:cs="Palatino Linotype"/>
          <w:color w:val="000000"/>
          <w:szCs w:val="24"/>
        </w:rPr>
        <w:t xml:space="preserve">respondió </w:t>
      </w:r>
      <w:r w:rsidR="00A37D64" w:rsidRPr="00C11E29">
        <w:rPr>
          <w:rFonts w:eastAsia="Palatino Linotype" w:cs="Palatino Linotype"/>
          <w:color w:val="000000"/>
          <w:szCs w:val="24"/>
        </w:rPr>
        <w:t xml:space="preserve">mediante la entrega del siguiente documento: </w:t>
      </w:r>
    </w:p>
    <w:p w14:paraId="34CF62B0" w14:textId="1309BD00" w:rsidR="00A978AF" w:rsidRPr="00C11E29" w:rsidRDefault="00A978AF" w:rsidP="00B62DEC">
      <w:pPr>
        <w:pBdr>
          <w:top w:val="nil"/>
          <w:left w:val="nil"/>
          <w:bottom w:val="nil"/>
          <w:right w:val="nil"/>
          <w:between w:val="nil"/>
        </w:pBdr>
        <w:contextualSpacing/>
        <w:rPr>
          <w:rFonts w:eastAsia="Palatino Linotype" w:cs="Palatino Linotype"/>
          <w:color w:val="000000"/>
          <w:szCs w:val="24"/>
        </w:rPr>
      </w:pPr>
    </w:p>
    <w:p w14:paraId="4910361B" w14:textId="12B63A28" w:rsidR="00897CF4" w:rsidRPr="00C11E29" w:rsidRDefault="00A37D64" w:rsidP="002437A2">
      <w:pPr>
        <w:pStyle w:val="Prrafodelista"/>
        <w:numPr>
          <w:ilvl w:val="0"/>
          <w:numId w:val="33"/>
        </w:numPr>
        <w:pBdr>
          <w:top w:val="nil"/>
          <w:left w:val="nil"/>
          <w:bottom w:val="nil"/>
          <w:right w:val="nil"/>
          <w:between w:val="nil"/>
        </w:pBdr>
        <w:contextualSpacing/>
        <w:rPr>
          <w:rFonts w:eastAsia="Palatino Linotype" w:cs="Palatino Linotype"/>
          <w:color w:val="000000"/>
        </w:rPr>
      </w:pPr>
      <w:r w:rsidRPr="00C11E29">
        <w:rPr>
          <w:rFonts w:eastAsia="Palatino Linotype" w:cs="Palatino Linotype"/>
          <w:b/>
          <w:bCs/>
          <w:color w:val="000000"/>
        </w:rPr>
        <w:t>Solicitud 520</w:t>
      </w:r>
      <w:r w:rsidR="00151F61" w:rsidRPr="00C11E29">
        <w:rPr>
          <w:rFonts w:eastAsia="Palatino Linotype" w:cs="Palatino Linotype"/>
          <w:b/>
          <w:bCs/>
          <w:color w:val="000000"/>
        </w:rPr>
        <w:t>.pdf</w:t>
      </w:r>
      <w:r w:rsidR="002437A2" w:rsidRPr="00C11E29">
        <w:rPr>
          <w:rFonts w:eastAsia="Palatino Linotype" w:cs="Palatino Linotype"/>
          <w:bCs/>
          <w:color w:val="000000"/>
        </w:rPr>
        <w:t xml:space="preserve">. </w:t>
      </w:r>
      <w:r w:rsidRPr="00C11E29">
        <w:rPr>
          <w:rFonts w:eastAsia="Palatino Linotype" w:cs="Palatino Linotype"/>
          <w:bCs/>
          <w:color w:val="000000"/>
        </w:rPr>
        <w:t>Oficio con número de folio ZIN/UT/03812/2023 emitido por la Titular de la Unidad de Transparencia, por medio del cual manifestó que en la Unidad de Transparencia no obra información referente a los informes referidos por el particular, por lo que se encuentra imposibilitada para brindar dicha información</w:t>
      </w:r>
      <w:r w:rsidR="005873CB" w:rsidRPr="00C11E29">
        <w:rPr>
          <w:rFonts w:eastAsia="Palatino Linotype" w:cs="Palatino Linotype"/>
          <w:bCs/>
          <w:color w:val="000000"/>
        </w:rPr>
        <w:t>.</w:t>
      </w:r>
    </w:p>
    <w:p w14:paraId="13551F9B" w14:textId="77777777" w:rsidR="002437A2" w:rsidRPr="00C11E29" w:rsidRDefault="002437A2" w:rsidP="006922F5">
      <w:pPr>
        <w:pBdr>
          <w:top w:val="nil"/>
          <w:left w:val="nil"/>
          <w:bottom w:val="nil"/>
          <w:right w:val="nil"/>
          <w:between w:val="nil"/>
        </w:pBdr>
        <w:contextualSpacing/>
        <w:rPr>
          <w:rFonts w:eastAsia="Palatino Linotype" w:cs="Palatino Linotype"/>
          <w:color w:val="000000"/>
          <w:szCs w:val="24"/>
        </w:rPr>
      </w:pPr>
    </w:p>
    <w:p w14:paraId="32B4EE52" w14:textId="109CEB0C" w:rsidR="002437A2" w:rsidRPr="00C11E29" w:rsidRDefault="007E0B5E" w:rsidP="006922F5">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Ante la</w:t>
      </w:r>
      <w:r w:rsidR="00A970D5" w:rsidRPr="00C11E29">
        <w:rPr>
          <w:rFonts w:eastAsia="Palatino Linotype" w:cs="Palatino Linotype"/>
          <w:color w:val="000000"/>
          <w:szCs w:val="24"/>
        </w:rPr>
        <w:t xml:space="preserve"> respuesta</w:t>
      </w:r>
      <w:r w:rsidRPr="00C11E29">
        <w:rPr>
          <w:rFonts w:eastAsia="Palatino Linotype" w:cs="Palatino Linotype"/>
          <w:color w:val="000000"/>
          <w:szCs w:val="24"/>
        </w:rPr>
        <w:t xml:space="preserve"> emitida</w:t>
      </w:r>
      <w:r w:rsidR="00E41D06" w:rsidRPr="00C11E29">
        <w:rPr>
          <w:rFonts w:eastAsia="Palatino Linotype" w:cs="Palatino Linotype"/>
          <w:color w:val="000000"/>
          <w:szCs w:val="24"/>
        </w:rPr>
        <w:t xml:space="preserve"> </w:t>
      </w:r>
      <w:r w:rsidR="00B32535" w:rsidRPr="00C11E29">
        <w:rPr>
          <w:rFonts w:eastAsia="Palatino Linotype" w:cs="Palatino Linotype"/>
          <w:color w:val="000000"/>
          <w:szCs w:val="24"/>
        </w:rPr>
        <w:t>por el Sujeto Obligado,</w:t>
      </w:r>
      <w:r w:rsidRPr="00C11E29">
        <w:rPr>
          <w:rFonts w:eastAsia="Palatino Linotype" w:cs="Palatino Linotype"/>
          <w:color w:val="000000"/>
          <w:szCs w:val="24"/>
        </w:rPr>
        <w:t xml:space="preserve"> </w:t>
      </w:r>
      <w:r w:rsidR="007502BD" w:rsidRPr="00C11E29">
        <w:rPr>
          <w:rFonts w:eastAsia="Palatino Linotype" w:cs="Palatino Linotype"/>
          <w:color w:val="000000"/>
          <w:szCs w:val="24"/>
        </w:rPr>
        <w:t>el</w:t>
      </w:r>
      <w:r w:rsidR="00A970D5" w:rsidRPr="00C11E29">
        <w:rPr>
          <w:rFonts w:eastAsia="Palatino Linotype" w:cs="Palatino Linotype"/>
          <w:color w:val="000000"/>
          <w:szCs w:val="24"/>
        </w:rPr>
        <w:t xml:space="preserve"> Recurr</w:t>
      </w:r>
      <w:r w:rsidR="00640056" w:rsidRPr="00C11E29">
        <w:rPr>
          <w:rFonts w:eastAsia="Palatino Linotype" w:cs="Palatino Linotype"/>
          <w:color w:val="000000"/>
          <w:szCs w:val="24"/>
        </w:rPr>
        <w:t>e</w:t>
      </w:r>
      <w:r w:rsidR="00A970D5" w:rsidRPr="00C11E29">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A42FC0" w:rsidRPr="00C11E29">
        <w:rPr>
          <w:rFonts w:eastAsia="Palatino Linotype" w:cs="Palatino Linotype"/>
          <w:color w:val="000000"/>
          <w:szCs w:val="24"/>
        </w:rPr>
        <w:t xml:space="preserve"> </w:t>
      </w:r>
      <w:r w:rsidR="005873CB" w:rsidRPr="00C11E29">
        <w:rPr>
          <w:rFonts w:eastAsia="Palatino Linotype" w:cs="Palatino Linotype"/>
          <w:color w:val="000000"/>
          <w:szCs w:val="24"/>
        </w:rPr>
        <w:t xml:space="preserve">y razones o motivos de inconformidad que no se entregó la información. </w:t>
      </w:r>
    </w:p>
    <w:p w14:paraId="2468A539" w14:textId="77777777" w:rsidR="002437A2" w:rsidRPr="00C11E29" w:rsidRDefault="002437A2" w:rsidP="006922F5">
      <w:pPr>
        <w:pBdr>
          <w:top w:val="nil"/>
          <w:left w:val="nil"/>
          <w:bottom w:val="nil"/>
          <w:right w:val="nil"/>
          <w:between w:val="nil"/>
        </w:pBdr>
        <w:contextualSpacing/>
        <w:rPr>
          <w:rFonts w:eastAsia="Palatino Linotype" w:cs="Palatino Linotype"/>
          <w:color w:val="000000"/>
          <w:szCs w:val="24"/>
        </w:rPr>
      </w:pPr>
    </w:p>
    <w:p w14:paraId="36FE16CD" w14:textId="77777777" w:rsidR="001B4435" w:rsidRPr="00C11E29" w:rsidRDefault="001B4435" w:rsidP="001B4435">
      <w:pPr>
        <w:pBdr>
          <w:top w:val="nil"/>
          <w:left w:val="nil"/>
          <w:bottom w:val="nil"/>
          <w:right w:val="nil"/>
          <w:between w:val="nil"/>
        </w:pBdr>
        <w:contextualSpacing/>
        <w:rPr>
          <w:rFonts w:eastAsia="Palatino Linotype" w:cs="Palatino Linotype"/>
          <w:color w:val="000000"/>
          <w:szCs w:val="24"/>
        </w:rPr>
      </w:pPr>
      <w:r w:rsidRPr="00C11E29">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D285E21" w14:textId="77777777" w:rsidR="001B4435" w:rsidRPr="00C11E29" w:rsidRDefault="001B4435" w:rsidP="006922F5">
      <w:pPr>
        <w:pBdr>
          <w:top w:val="nil"/>
          <w:left w:val="nil"/>
          <w:bottom w:val="nil"/>
          <w:right w:val="nil"/>
          <w:between w:val="nil"/>
        </w:pBdr>
        <w:contextualSpacing/>
        <w:rPr>
          <w:rFonts w:eastAsia="Palatino Linotype" w:cs="Palatino Linotype"/>
          <w:color w:val="000000"/>
          <w:szCs w:val="24"/>
        </w:rPr>
      </w:pPr>
    </w:p>
    <w:p w14:paraId="2195829A"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 xml:space="preserve">Así, una vez descritas las actuaciones en el expediente del recurso de revisión, es pertinente enfatizar lo que, respecto al derecho de acceso a la información pública, refiere </w:t>
      </w:r>
      <w:r w:rsidRPr="00C11E29">
        <w:rPr>
          <w:rFonts w:eastAsia="Palatino Linotype" w:cs="Palatino Linotype"/>
          <w:color w:val="000000"/>
          <w:szCs w:val="24"/>
        </w:rPr>
        <w:lastRenderedPageBreak/>
        <w:t>el artículo 6° de la Constitución Política de los Estados Unidos Mexicanos, que en su parte conducente señala:</w:t>
      </w:r>
    </w:p>
    <w:p w14:paraId="7FC00790"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p>
    <w:p w14:paraId="04EF134E"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b/>
          <w:bCs/>
          <w:i/>
          <w:iCs/>
          <w:color w:val="000000" w:themeColor="text1"/>
          <w:sz w:val="22"/>
          <w:lang w:val="es-ES"/>
        </w:rPr>
        <w:t>Artículo 6o.</w:t>
      </w:r>
      <w:r w:rsidRPr="00C11E29">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11E29">
        <w:rPr>
          <w:rFonts w:eastAsia="Palatino Linotype" w:cs="Palatino Linotype"/>
          <w:b/>
          <w:bCs/>
          <w:i/>
          <w:iCs/>
          <w:color w:val="000000" w:themeColor="text1"/>
          <w:sz w:val="22"/>
          <w:lang w:val="es-ES"/>
        </w:rPr>
        <w:t>El derecho a la información será garantizado por el Estado.</w:t>
      </w:r>
      <w:r w:rsidRPr="00C11E29">
        <w:rPr>
          <w:rFonts w:eastAsia="Palatino Linotype" w:cs="Palatino Linotype"/>
          <w:i/>
          <w:iCs/>
          <w:color w:val="000000" w:themeColor="text1"/>
          <w:sz w:val="22"/>
          <w:lang w:val="es-ES"/>
        </w:rPr>
        <w:t xml:space="preserve"> </w:t>
      </w:r>
    </w:p>
    <w:p w14:paraId="62C451B4"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07F5357"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4FACE820"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7520451"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Para efectos de lo dispuesto en el presente artículo se observará lo siguiente:</w:t>
      </w:r>
    </w:p>
    <w:p w14:paraId="607C7875"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22602F6"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A. Para el ejercicio del derecho de acceso a la información, la Federación, los Estados y el Distrito Federal, en el ámbito de sus respectivas competencias, se regirán por los siguientes principios y bases:</w:t>
      </w:r>
    </w:p>
    <w:p w14:paraId="274C64C5"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8C2A565"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b/>
          <w:bCs/>
          <w:i/>
          <w:iCs/>
          <w:color w:val="000000" w:themeColor="text1"/>
          <w:sz w:val="22"/>
          <w:lang w:val="es-ES"/>
        </w:rPr>
        <w:t>I. Toda la información en posesión de</w:t>
      </w:r>
      <w:r w:rsidRPr="00C11E29">
        <w:rPr>
          <w:rFonts w:eastAsia="Palatino Linotype" w:cs="Palatino Linotype"/>
          <w:i/>
          <w:iCs/>
          <w:color w:val="000000" w:themeColor="text1"/>
          <w:sz w:val="22"/>
          <w:lang w:val="es-ES"/>
        </w:rPr>
        <w:t xml:space="preserve"> </w:t>
      </w:r>
      <w:r w:rsidRPr="00C11E29">
        <w:rPr>
          <w:rFonts w:eastAsia="Palatino Linotype" w:cs="Palatino Linotype"/>
          <w:b/>
          <w:bCs/>
          <w:i/>
          <w:iCs/>
          <w:color w:val="000000" w:themeColor="text1"/>
          <w:sz w:val="22"/>
          <w:lang w:val="es-ES"/>
        </w:rPr>
        <w:t>cualquier autoridad</w:t>
      </w:r>
      <w:r w:rsidRPr="00C11E29">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C11E29">
        <w:rPr>
          <w:rFonts w:eastAsia="Palatino Linotype" w:cs="Palatino Linotype"/>
          <w:b/>
          <w:bCs/>
          <w:i/>
          <w:iCs/>
          <w:color w:val="000000" w:themeColor="text1"/>
          <w:sz w:val="22"/>
          <w:lang w:val="es-ES"/>
        </w:rPr>
        <w:t>en el ámbito federal, estatal y municipal, es pública</w:t>
      </w:r>
      <w:r w:rsidRPr="00C11E29">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C11E29">
        <w:rPr>
          <w:rFonts w:eastAsia="Palatino Linotype" w:cs="Palatino Linotype"/>
          <w:b/>
          <w:bCs/>
          <w:i/>
          <w:iCs/>
          <w:color w:val="000000" w:themeColor="text1"/>
          <w:sz w:val="22"/>
          <w:lang w:val="es-ES"/>
        </w:rPr>
        <w:t>Los sujetos obligados deberán documentar todo acto que derive del ejercicio de sus facultades, competencias o funciones</w:t>
      </w:r>
      <w:r w:rsidRPr="00C11E29">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1E4FE6A4"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7A4FD7F9"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641D66B6"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IV.   Se establecerán mecanismos de acceso a la información y procedimientos de revisión expeditos que se sustanciarán ante los organismos autónomos especializados e imparciales que establece esta Constitución.</w:t>
      </w:r>
    </w:p>
    <w:p w14:paraId="56FA4CAD"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b/>
          <w:bCs/>
          <w:i/>
          <w:iCs/>
          <w:color w:val="000000" w:themeColor="text1"/>
          <w:sz w:val="22"/>
          <w:lang w:val="es-ES"/>
        </w:rPr>
        <w:t xml:space="preserve">V. Los sujetos obligados deberán preservar sus documentos en archivos administrativos actualizados y publicarán, a través de los medios electrónicos </w:t>
      </w:r>
      <w:r w:rsidRPr="00C11E29">
        <w:rPr>
          <w:rFonts w:eastAsia="Palatino Linotype" w:cs="Palatino Linotype"/>
          <w:b/>
          <w:bCs/>
          <w:i/>
          <w:iCs/>
          <w:color w:val="000000" w:themeColor="text1"/>
          <w:sz w:val="22"/>
          <w:lang w:val="es-ES"/>
        </w:rPr>
        <w:lastRenderedPageBreak/>
        <w:t>disponibles</w:t>
      </w:r>
      <w:r w:rsidRPr="00C11E29">
        <w:rPr>
          <w:rFonts w:eastAsia="Palatino Linotype" w:cs="Palatino Linotype"/>
          <w:i/>
          <w:iCs/>
          <w:color w:val="000000" w:themeColor="text1"/>
          <w:sz w:val="22"/>
          <w:lang w:val="es-ES"/>
        </w:rPr>
        <w:t xml:space="preserve">, </w:t>
      </w:r>
      <w:r w:rsidRPr="00C11E29">
        <w:rPr>
          <w:rFonts w:eastAsia="Palatino Linotype" w:cs="Palatino Linotype"/>
          <w:b/>
          <w:bCs/>
          <w:i/>
          <w:iCs/>
          <w:color w:val="000000" w:themeColor="text1"/>
          <w:sz w:val="22"/>
          <w:lang w:val="es-ES"/>
        </w:rPr>
        <w:t xml:space="preserve">la información completa y actualizada sobre el ejercicio de los recursos públicos </w:t>
      </w:r>
      <w:r w:rsidRPr="00C11E29">
        <w:rPr>
          <w:rFonts w:eastAsia="Palatino Linotype" w:cs="Palatino Linotype"/>
          <w:i/>
          <w:iCs/>
          <w:color w:val="000000" w:themeColor="text1"/>
          <w:sz w:val="22"/>
          <w:lang w:val="es-ES"/>
        </w:rPr>
        <w:t>y los indicadores que permitan rendir cuenta del cumplimiento de sus objetivos y de los resultados obtenidos.</w:t>
      </w:r>
    </w:p>
    <w:p w14:paraId="5B5C6CA7"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03C11A6A"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221EFC86"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9CA5402"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w:t>
      </w:r>
    </w:p>
    <w:p w14:paraId="02059477"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La ley establecerá aquella información que se considere reservada o confidencial.</w:t>
      </w:r>
    </w:p>
    <w:p w14:paraId="2B1D5480"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 w:val="22"/>
          <w:lang w:val="es-ES"/>
        </w:rPr>
      </w:pPr>
    </w:p>
    <w:p w14:paraId="1F3F7FFB"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Por su parte, la Constitución Política del Estado Libre y Soberano de México, en su artículo 5°, dispone en su parte conducente, lo siguiente:</w:t>
      </w:r>
    </w:p>
    <w:p w14:paraId="621D839E"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p>
    <w:p w14:paraId="214F3086"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b/>
          <w:bCs/>
          <w:i/>
          <w:iCs/>
          <w:color w:val="000000" w:themeColor="text1"/>
          <w:sz w:val="22"/>
          <w:lang w:val="es-ES"/>
        </w:rPr>
        <w:t>Artículo 5</w:t>
      </w:r>
      <w:r w:rsidRPr="00C11E29">
        <w:rPr>
          <w:rFonts w:eastAsia="Palatino Linotype" w:cs="Palatino Linotype"/>
          <w:i/>
          <w:iCs/>
          <w:color w:val="000000" w:themeColor="text1"/>
          <w:sz w:val="22"/>
          <w:lang w:val="es-ES"/>
        </w:rPr>
        <w:t xml:space="preserve">. … </w:t>
      </w:r>
    </w:p>
    <w:p w14:paraId="76053C46"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41E64117"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5BEC58"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686AF68"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4803EE8A"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Este derecho se regirá por los principios y bases siguientes:</w:t>
      </w:r>
    </w:p>
    <w:p w14:paraId="59E30217"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74D42403"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C11E29">
        <w:rPr>
          <w:rFonts w:eastAsia="Palatino Linotype" w:cs="Palatino Linotype"/>
          <w:i/>
          <w:iCs/>
          <w:color w:val="000000" w:themeColor="text1"/>
          <w:sz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768A5E"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3A6F49E"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57031B47"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2D3A5061"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12A6E0F"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3CD009A" w14:textId="77777777" w:rsidR="00286AA3" w:rsidRPr="00C11E29" w:rsidRDefault="00286AA3" w:rsidP="00286AA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11E29">
        <w:rPr>
          <w:rFonts w:eastAsia="Palatino Linotype" w:cs="Palatino Linotype"/>
          <w:i/>
          <w:iCs/>
          <w:color w:val="000000" w:themeColor="text1"/>
          <w:sz w:val="22"/>
          <w:lang w:val="es-ES"/>
        </w:rPr>
        <w:t>VII. La ley reglamentaria, determinará la manera en que los sujetos obligados deberán hacer pública la información relativa a los recursos públicos que entreguen a personas físicas o jurídicas colectivas.</w:t>
      </w:r>
    </w:p>
    <w:p w14:paraId="2A9CF4E7"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p>
    <w:p w14:paraId="626C1D67" w14:textId="4363368E" w:rsidR="00286AA3" w:rsidRPr="00C11E29" w:rsidRDefault="00286AA3" w:rsidP="00286AA3">
      <w:pPr>
        <w:rPr>
          <w:rFonts w:eastAsia="Palatino Linotype" w:cs="Palatino Linotype"/>
          <w:szCs w:val="24"/>
        </w:rPr>
      </w:pPr>
      <w:r w:rsidRPr="00C11E29">
        <w:rPr>
          <w:rFonts w:eastAsia="Palatino Linotype" w:cs="Palatino Linotype"/>
          <w:szCs w:val="24"/>
        </w:rPr>
        <w:t>En ese orden de ideas, la Ley de Transparencia y Acceso a la Información Pública del Estado de México y Municipios, prevé en su artículo 23 fracción I</w:t>
      </w:r>
      <w:r w:rsidR="008240F4" w:rsidRPr="00C11E29">
        <w:rPr>
          <w:rFonts w:eastAsia="Palatino Linotype" w:cs="Palatino Linotype"/>
          <w:szCs w:val="24"/>
        </w:rPr>
        <w:t>V</w:t>
      </w:r>
      <w:r w:rsidRPr="00C11E29">
        <w:rPr>
          <w:rFonts w:eastAsia="Palatino Linotype" w:cs="Palatino Linotype"/>
          <w:szCs w:val="24"/>
        </w:rPr>
        <w:t>, lo siguiente:</w:t>
      </w:r>
    </w:p>
    <w:p w14:paraId="68B0F04D" w14:textId="77777777" w:rsidR="00286AA3" w:rsidRPr="00C11E29" w:rsidRDefault="00286AA3" w:rsidP="00286AA3">
      <w:pPr>
        <w:rPr>
          <w:rFonts w:eastAsia="Palatino Linotype" w:cs="Palatino Linotype"/>
          <w:szCs w:val="24"/>
        </w:rPr>
      </w:pPr>
    </w:p>
    <w:p w14:paraId="66FFABC9" w14:textId="77777777" w:rsidR="00286AA3" w:rsidRPr="00C11E29" w:rsidRDefault="00286AA3" w:rsidP="00286AA3">
      <w:pPr>
        <w:spacing w:line="240" w:lineRule="auto"/>
        <w:ind w:left="567" w:right="567"/>
        <w:rPr>
          <w:rFonts w:eastAsia="Palatino Linotype" w:cs="Palatino Linotype"/>
          <w:i/>
          <w:iCs/>
          <w:sz w:val="22"/>
          <w:lang w:val="es-ES"/>
        </w:rPr>
      </w:pPr>
      <w:r w:rsidRPr="00C11E29">
        <w:rPr>
          <w:rFonts w:eastAsia="Palatino Linotype" w:cs="Palatino Linotype"/>
          <w:b/>
          <w:bCs/>
          <w:i/>
          <w:iCs/>
          <w:sz w:val="22"/>
          <w:lang w:val="es-ES"/>
        </w:rPr>
        <w:t>Artículo 23.</w:t>
      </w:r>
      <w:r w:rsidRPr="00C11E29">
        <w:rPr>
          <w:rFonts w:eastAsia="Palatino Linotype" w:cs="Palatino Linotype"/>
          <w:i/>
          <w:iCs/>
          <w:sz w:val="22"/>
          <w:lang w:val="es-ES"/>
        </w:rPr>
        <w:t xml:space="preserve"> Son sujetos obligados a transparentar y permitir el acceso a su información y proteger los datos personales que obren en su poder:</w:t>
      </w:r>
    </w:p>
    <w:p w14:paraId="796E3AD9" w14:textId="14F78E23" w:rsidR="00286AA3" w:rsidRPr="00C11E29" w:rsidRDefault="008240F4" w:rsidP="00286AA3">
      <w:pPr>
        <w:spacing w:line="240" w:lineRule="auto"/>
        <w:ind w:left="567" w:right="567"/>
        <w:rPr>
          <w:rFonts w:eastAsia="Palatino Linotype" w:cs="Palatino Linotype"/>
          <w:i/>
          <w:iCs/>
          <w:sz w:val="22"/>
          <w:lang w:val="es-ES"/>
        </w:rPr>
      </w:pPr>
      <w:r w:rsidRPr="00C11E29">
        <w:rPr>
          <w:rFonts w:eastAsia="Palatino Linotype" w:cs="Palatino Linotype"/>
          <w:i/>
          <w:iCs/>
          <w:sz w:val="22"/>
          <w:lang w:val="es-ES"/>
        </w:rPr>
        <w:t>(…)</w:t>
      </w:r>
    </w:p>
    <w:p w14:paraId="14D48834" w14:textId="1BC45548" w:rsidR="00286AA3" w:rsidRPr="00C11E29" w:rsidRDefault="00286AA3" w:rsidP="00286AA3">
      <w:pPr>
        <w:spacing w:line="240" w:lineRule="auto"/>
        <w:ind w:left="567" w:right="567"/>
        <w:rPr>
          <w:rFonts w:eastAsia="Palatino Linotype" w:cs="Palatino Linotype"/>
          <w:i/>
          <w:iCs/>
          <w:sz w:val="22"/>
          <w:lang w:val="es-ES"/>
        </w:rPr>
      </w:pPr>
      <w:r w:rsidRPr="00C11E29">
        <w:rPr>
          <w:rFonts w:eastAsia="Palatino Linotype" w:cs="Palatino Linotype"/>
          <w:b/>
          <w:bCs/>
          <w:i/>
          <w:iCs/>
          <w:sz w:val="22"/>
          <w:lang w:val="es-ES"/>
        </w:rPr>
        <w:t>I</w:t>
      </w:r>
      <w:r w:rsidR="008240F4" w:rsidRPr="00C11E29">
        <w:rPr>
          <w:rFonts w:eastAsia="Palatino Linotype" w:cs="Palatino Linotype"/>
          <w:b/>
          <w:bCs/>
          <w:i/>
          <w:iCs/>
          <w:sz w:val="22"/>
          <w:lang w:val="es-ES"/>
        </w:rPr>
        <w:t>V</w:t>
      </w:r>
      <w:r w:rsidRPr="00C11E29">
        <w:rPr>
          <w:rFonts w:eastAsia="Palatino Linotype" w:cs="Palatino Linotype"/>
          <w:b/>
          <w:bCs/>
          <w:i/>
          <w:iCs/>
          <w:sz w:val="22"/>
          <w:lang w:val="es-ES"/>
        </w:rPr>
        <w:t>.</w:t>
      </w:r>
      <w:r w:rsidR="008240F4" w:rsidRPr="00C11E29">
        <w:rPr>
          <w:rFonts w:eastAsia="Palatino Linotype" w:cs="Palatino Linotype"/>
          <w:i/>
          <w:iCs/>
          <w:sz w:val="22"/>
          <w:lang w:val="es-ES"/>
        </w:rPr>
        <w:t xml:space="preserve"> Los</w:t>
      </w:r>
      <w:r w:rsidRPr="00C11E29">
        <w:rPr>
          <w:rFonts w:eastAsia="Palatino Linotype" w:cs="Palatino Linotype"/>
          <w:i/>
          <w:iCs/>
          <w:sz w:val="22"/>
          <w:lang w:val="es-ES"/>
        </w:rPr>
        <w:t xml:space="preserve"> </w:t>
      </w:r>
      <w:r w:rsidR="008240F4" w:rsidRPr="00C11E29">
        <w:rPr>
          <w:rFonts w:eastAsia="Palatino Linotype" w:cs="Palatino Linotype"/>
          <w:i/>
          <w:iCs/>
          <w:sz w:val="22"/>
          <w:lang w:val="es-ES"/>
        </w:rPr>
        <w:t>ayuntamientos y las dependencias, organismos, órganos y entidades de la administración municipal</w:t>
      </w:r>
      <w:r w:rsidRPr="00C11E29">
        <w:rPr>
          <w:rFonts w:eastAsia="Palatino Linotype" w:cs="Palatino Linotype"/>
          <w:i/>
          <w:iCs/>
          <w:sz w:val="22"/>
          <w:lang w:val="es-ES"/>
        </w:rPr>
        <w:t>;</w:t>
      </w:r>
    </w:p>
    <w:p w14:paraId="3879DFA0" w14:textId="77777777" w:rsidR="00286AA3" w:rsidRPr="00C11E29" w:rsidRDefault="00286AA3" w:rsidP="00286AA3">
      <w:pPr>
        <w:spacing w:line="240" w:lineRule="auto"/>
        <w:ind w:left="567" w:right="567"/>
        <w:rPr>
          <w:rFonts w:eastAsia="Palatino Linotype" w:cs="Palatino Linotype"/>
          <w:i/>
          <w:iCs/>
          <w:sz w:val="22"/>
          <w:lang w:val="es-ES"/>
        </w:rPr>
      </w:pPr>
      <w:r w:rsidRPr="00C11E29">
        <w:rPr>
          <w:rFonts w:eastAsia="Palatino Linotype" w:cs="Palatino Linotype"/>
          <w:i/>
          <w:iCs/>
          <w:sz w:val="22"/>
          <w:lang w:val="es-ES"/>
        </w:rPr>
        <w:lastRenderedPageBreak/>
        <w:t>(…)</w:t>
      </w:r>
    </w:p>
    <w:p w14:paraId="3684C176"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p>
    <w:p w14:paraId="1DFE9885" w14:textId="457D441B"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r w:rsidRPr="00C11E29">
        <w:rPr>
          <w:rFonts w:eastAsia="Palatino Linotype" w:cs="Palatino Linotype"/>
          <w:color w:val="000000"/>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r w:rsidR="000C03A4" w:rsidRPr="00C11E29">
        <w:rPr>
          <w:rFonts w:eastAsia="Palatino Linotype" w:cs="Palatino Linotype"/>
          <w:color w:val="000000"/>
          <w:szCs w:val="24"/>
        </w:rPr>
        <w:t xml:space="preserve"> </w:t>
      </w:r>
    </w:p>
    <w:p w14:paraId="4B2DF930" w14:textId="77777777" w:rsidR="00286AA3" w:rsidRPr="00C11E29" w:rsidRDefault="00286AA3" w:rsidP="00286AA3">
      <w:pPr>
        <w:pBdr>
          <w:top w:val="nil"/>
          <w:left w:val="nil"/>
          <w:bottom w:val="nil"/>
          <w:right w:val="nil"/>
          <w:between w:val="nil"/>
        </w:pBdr>
        <w:contextualSpacing/>
        <w:rPr>
          <w:rFonts w:eastAsia="Palatino Linotype" w:cs="Palatino Linotype"/>
          <w:color w:val="000000"/>
          <w:szCs w:val="24"/>
        </w:rPr>
      </w:pPr>
    </w:p>
    <w:p w14:paraId="4AA264BB" w14:textId="24F0768C" w:rsidR="00CE7CE1" w:rsidRPr="00C11E29" w:rsidRDefault="00286AA3" w:rsidP="001A6797">
      <w:pPr>
        <w:rPr>
          <w:rFonts w:eastAsia="Palatino Linotype" w:cs="Palatino Linotype"/>
          <w:bCs/>
          <w:color w:val="000000"/>
        </w:rPr>
      </w:pPr>
      <w:r w:rsidRPr="00C11E29">
        <w:t>En segundo término</w:t>
      </w:r>
      <w:r w:rsidR="00B97B0E" w:rsidRPr="00C11E29">
        <w:t xml:space="preserve">, </w:t>
      </w:r>
      <w:r w:rsidR="00830AF7" w:rsidRPr="00C11E29">
        <w:t xml:space="preserve">es </w:t>
      </w:r>
      <w:r w:rsidR="00CE7CE1" w:rsidRPr="00C11E29">
        <w:t xml:space="preserve">importante recordar que el la Titular de la Unidad de Transparencia del Sujeto Obligado manifestó que en los archivos de esa área </w:t>
      </w:r>
      <w:r w:rsidR="00B418C9" w:rsidRPr="00C11E29">
        <w:rPr>
          <w:rFonts w:eastAsia="Palatino Linotype" w:cs="Palatino Linotype"/>
          <w:bCs/>
          <w:color w:val="000000"/>
        </w:rPr>
        <w:t>no obra información referente a los informes referidos por el particular, por lo que se encuentra imposibilitada para brindar dicha información.</w:t>
      </w:r>
    </w:p>
    <w:p w14:paraId="0B9E082E" w14:textId="77777777" w:rsidR="00B418C9" w:rsidRPr="00C11E29" w:rsidRDefault="00B418C9" w:rsidP="001A6797">
      <w:pPr>
        <w:rPr>
          <w:rFonts w:eastAsia="Palatino Linotype" w:cs="Palatino Linotype"/>
          <w:bCs/>
          <w:color w:val="000000"/>
        </w:rPr>
      </w:pPr>
    </w:p>
    <w:p w14:paraId="1D9BD927" w14:textId="4246957B" w:rsidR="00B418C9" w:rsidRPr="00C11E29" w:rsidRDefault="00B418C9" w:rsidP="001A6797">
      <w:pPr>
        <w:rPr>
          <w:rFonts w:eastAsia="Palatino Linotype" w:cs="Palatino Linotype"/>
          <w:bCs/>
          <w:color w:val="000000"/>
        </w:rPr>
      </w:pPr>
      <w:r w:rsidRPr="00C11E29">
        <w:rPr>
          <w:rFonts w:eastAsia="Palatino Linotype" w:cs="Palatino Linotype"/>
          <w:bCs/>
          <w:color w:val="000000"/>
        </w:rPr>
        <w:t>En ese sentido se tiene que las unidades de transparencia de los sujetos obligados cuentan entre sus atribuciones con las siguientes, conforme al artículo 53 de la Ley de Transparencia estatal:</w:t>
      </w:r>
    </w:p>
    <w:p w14:paraId="67BD0C54" w14:textId="77777777" w:rsidR="00B418C9" w:rsidRPr="00C11E29" w:rsidRDefault="00B418C9" w:rsidP="001A6797">
      <w:pPr>
        <w:rPr>
          <w:rFonts w:eastAsia="Palatino Linotype" w:cs="Palatino Linotype"/>
          <w:bCs/>
          <w:color w:val="000000"/>
        </w:rPr>
      </w:pPr>
    </w:p>
    <w:p w14:paraId="2F3853BA" w14:textId="77777777" w:rsidR="00B418C9" w:rsidRPr="00C11E29" w:rsidRDefault="00B418C9" w:rsidP="00B418C9">
      <w:pPr>
        <w:pStyle w:val="Fundamentos"/>
        <w:rPr>
          <w:lang w:val="es-MX"/>
        </w:rPr>
      </w:pPr>
      <w:r w:rsidRPr="00C11E29">
        <w:rPr>
          <w:b/>
          <w:lang w:val="es-MX"/>
        </w:rPr>
        <w:t xml:space="preserve">Artículo 53. </w:t>
      </w:r>
      <w:r w:rsidRPr="00C11E29">
        <w:rPr>
          <w:lang w:val="es-MX"/>
        </w:rPr>
        <w:t>Las Unidades de Transparencia tendrán las siguientes funciones:</w:t>
      </w:r>
    </w:p>
    <w:p w14:paraId="11B71A56" w14:textId="0555756D" w:rsidR="00B418C9" w:rsidRPr="00C11E29" w:rsidRDefault="00B418C9" w:rsidP="00B418C9">
      <w:pPr>
        <w:pStyle w:val="Fundamentos"/>
        <w:rPr>
          <w:lang w:val="es-MX"/>
        </w:rPr>
      </w:pPr>
      <w:r w:rsidRPr="00C11E29">
        <w:rPr>
          <w:lang w:val="es-MX"/>
        </w:rPr>
        <w:t>(…)</w:t>
      </w:r>
    </w:p>
    <w:p w14:paraId="54F61D63" w14:textId="72A8FC53" w:rsidR="00B418C9" w:rsidRPr="00C11E29" w:rsidRDefault="00B418C9" w:rsidP="00B418C9">
      <w:pPr>
        <w:pStyle w:val="Fundamentos"/>
        <w:rPr>
          <w:lang w:val="es-MX"/>
        </w:rPr>
      </w:pPr>
      <w:r w:rsidRPr="00C11E29">
        <w:rPr>
          <w:b/>
          <w:bCs/>
          <w:lang w:val="es-MX"/>
        </w:rPr>
        <w:t>II.</w:t>
      </w:r>
      <w:r w:rsidRPr="00C11E29">
        <w:rPr>
          <w:lang w:val="es-MX"/>
        </w:rPr>
        <w:tab/>
        <w:t>Recibir, tramitar y dar respuesta a las solicitudes de acceso a la información;</w:t>
      </w:r>
    </w:p>
    <w:p w14:paraId="0724FBA3" w14:textId="4430D691" w:rsidR="00B418C9" w:rsidRPr="00C11E29" w:rsidRDefault="00B418C9" w:rsidP="00B418C9">
      <w:pPr>
        <w:pStyle w:val="Fundamentos"/>
        <w:rPr>
          <w:lang w:val="es-MX"/>
        </w:rPr>
      </w:pPr>
      <w:r w:rsidRPr="00C11E29">
        <w:rPr>
          <w:lang w:val="es-MX"/>
        </w:rPr>
        <w:t>(…)</w:t>
      </w:r>
    </w:p>
    <w:p w14:paraId="245DBA00" w14:textId="1D6EF138" w:rsidR="00CE7CE1" w:rsidRPr="00C11E29" w:rsidRDefault="00B418C9" w:rsidP="00B418C9">
      <w:pPr>
        <w:pStyle w:val="Fundamentos"/>
      </w:pPr>
      <w:r w:rsidRPr="00C11E29">
        <w:rPr>
          <w:b/>
          <w:bCs/>
        </w:rPr>
        <w:t>IV.</w:t>
      </w:r>
      <w:r w:rsidRPr="00C11E29">
        <w:tab/>
        <w:t>Realizar, con efectividad, los trámites internos necesarios para la atención de las solicitudes de acceso a la información;</w:t>
      </w:r>
    </w:p>
    <w:p w14:paraId="08DAB37A" w14:textId="087C66BB" w:rsidR="00B418C9" w:rsidRPr="00C11E29" w:rsidRDefault="00B418C9" w:rsidP="00B418C9">
      <w:pPr>
        <w:pStyle w:val="Fundamentos"/>
      </w:pPr>
      <w:r w:rsidRPr="00C11E29">
        <w:t>(…)</w:t>
      </w:r>
    </w:p>
    <w:p w14:paraId="1EAB6094" w14:textId="65C9EE69" w:rsidR="00B418C9" w:rsidRPr="00C11E29" w:rsidRDefault="00B418C9" w:rsidP="00B418C9">
      <w:pPr>
        <w:pStyle w:val="Fundamentos"/>
      </w:pPr>
      <w:r w:rsidRPr="00C11E29">
        <w:rPr>
          <w:b/>
          <w:bCs/>
        </w:rPr>
        <w:t>IX.</w:t>
      </w:r>
      <w:r w:rsidRPr="00C11E29">
        <w:tab/>
        <w:t>Llevar un registro de las solicitudes de acceso a la información, sus respuestas, resultados, costos de reproducción y envío, resolución a los recursos de revisión que se hayan emitido en contra de sus respuestas y del cumplimiento de las mismas;</w:t>
      </w:r>
    </w:p>
    <w:p w14:paraId="583F9F18" w14:textId="68DCA45A" w:rsidR="00CE7CE1" w:rsidRPr="00C11E29" w:rsidRDefault="00B418C9" w:rsidP="00B418C9">
      <w:pPr>
        <w:pStyle w:val="Fundamentos"/>
      </w:pPr>
      <w:r w:rsidRPr="00C11E29">
        <w:t>(…)</w:t>
      </w:r>
    </w:p>
    <w:p w14:paraId="7708CA6D" w14:textId="77777777" w:rsidR="00B418C9" w:rsidRPr="00C11E29" w:rsidRDefault="00B418C9" w:rsidP="001A6797"/>
    <w:p w14:paraId="44F9B9A3" w14:textId="56518896" w:rsidR="00CE7CE1" w:rsidRPr="00C11E29" w:rsidRDefault="00B418C9" w:rsidP="001A6797">
      <w:r w:rsidRPr="00C11E29">
        <w:t xml:space="preserve">De las fracciones citadas se advierte que </w:t>
      </w:r>
      <w:r w:rsidR="00E56F7E" w:rsidRPr="00C11E29">
        <w:t>las unidades de transparencia son las competentes para atender el procedimiento de acceso a la información pública que realizan los particulares mediante la presentación de sus solicitudes de información.</w:t>
      </w:r>
    </w:p>
    <w:p w14:paraId="24825E2D" w14:textId="77777777" w:rsidR="00E56F7E" w:rsidRPr="00C11E29" w:rsidRDefault="00E56F7E" w:rsidP="001A6797"/>
    <w:p w14:paraId="5FBE8B95" w14:textId="286047D2" w:rsidR="00E56F7E" w:rsidRPr="00C11E29" w:rsidRDefault="00E56F7E" w:rsidP="001A6797">
      <w:r w:rsidRPr="00C11E29">
        <w:t>En ese orden de ideas, cuando los solicitantes consideran que el derecho fundamental a obtener información pública no se satisface con las respuestas a sus solicitudes, pueden impugnar dichas respuestas mediante la interposición del recurso de revisión, el cual el artículo 176 de la Ley de la materia define como la garantía secundaria mediante la cual se pretende reparar cualquier posible afectación al derecho de acceso a la información pública.</w:t>
      </w:r>
    </w:p>
    <w:p w14:paraId="4E85963B" w14:textId="77777777" w:rsidR="00E56F7E" w:rsidRPr="00C11E29" w:rsidRDefault="00E56F7E" w:rsidP="001A6797"/>
    <w:p w14:paraId="5A83663D" w14:textId="6FA329E4" w:rsidR="00E56F7E" w:rsidRPr="00C11E29" w:rsidRDefault="00E56F7E" w:rsidP="001A6797">
      <w:r w:rsidRPr="00C11E29">
        <w:t>Así, el procedimiento de impugnación en materia de acceso a la información se regula mediante lo dispuesto en el artículo 185 de la Ley en referencia, que a la letra estipula lo siguiente:</w:t>
      </w:r>
    </w:p>
    <w:p w14:paraId="2D9FA3EA" w14:textId="77777777" w:rsidR="00E56F7E" w:rsidRPr="00C11E29" w:rsidRDefault="00E56F7E" w:rsidP="001A6797"/>
    <w:p w14:paraId="03E087F5" w14:textId="77777777" w:rsidR="00E56F7E" w:rsidRPr="00C11E29" w:rsidRDefault="00E56F7E" w:rsidP="00E56F7E">
      <w:pPr>
        <w:pStyle w:val="Fundamentos"/>
      </w:pPr>
      <w:r w:rsidRPr="00C11E29">
        <w:rPr>
          <w:b/>
          <w:bCs/>
        </w:rPr>
        <w:t>Artículo 185.</w:t>
      </w:r>
      <w:r w:rsidRPr="00C11E29">
        <w:t xml:space="preserve"> El Instituto resolverá el recurso de revisión conforme a lo siguiente:</w:t>
      </w:r>
    </w:p>
    <w:p w14:paraId="57CC7C86" w14:textId="77777777" w:rsidR="00E56F7E" w:rsidRPr="00C11E29" w:rsidRDefault="00E56F7E" w:rsidP="00E56F7E">
      <w:pPr>
        <w:pStyle w:val="Fundamentos"/>
      </w:pPr>
    </w:p>
    <w:p w14:paraId="5AD1F533" w14:textId="5F319C83" w:rsidR="00E56F7E" w:rsidRPr="00C11E29" w:rsidRDefault="00E56F7E" w:rsidP="00E56F7E">
      <w:pPr>
        <w:pStyle w:val="Fundamentos"/>
      </w:pPr>
      <w:r w:rsidRPr="00C11E29">
        <w:rPr>
          <w:b/>
          <w:bCs/>
        </w:rPr>
        <w:t>I.</w:t>
      </w:r>
      <w:r w:rsidRPr="00C11E29">
        <w:tab/>
      </w:r>
      <w:r w:rsidRPr="00C11E29">
        <w:tab/>
        <w:t>Interpuesto el recurso de revisión, el sistema electrónico y excepcionalmente, el Presidente del Pleno lo turnará en un plazo no mayor de tres días hábiles, al Comisionado ponente que corresponda, quien deberá proceder a su análisis para que decrete su admisión o su desechamiento;</w:t>
      </w:r>
    </w:p>
    <w:p w14:paraId="175A1211" w14:textId="77777777" w:rsidR="00E56F7E" w:rsidRPr="00C11E29" w:rsidRDefault="00E56F7E" w:rsidP="00E56F7E">
      <w:pPr>
        <w:pStyle w:val="Fundamentos"/>
      </w:pPr>
      <w:r w:rsidRPr="00C11E29">
        <w:rPr>
          <w:b/>
          <w:bCs/>
        </w:rPr>
        <w:t>II.</w:t>
      </w:r>
      <w:r w:rsidRPr="00C11E29">
        <w:rPr>
          <w:b/>
          <w:bCs/>
        </w:rPr>
        <w:tab/>
      </w:r>
      <w:r w:rsidRPr="00C11E29">
        <w:rPr>
          <w:b/>
          <w:bCs/>
          <w:u w:val="single"/>
        </w:rPr>
        <w:t>Admitido el recurso de revisión, la o el Comisionado ponente deberá integrar un expediente y ponerlo a disposición de las partes, para que, en un plazo máximo de siete días hábiles, manifiesten lo que a su derecho convenga</w:t>
      </w:r>
      <w:r w:rsidRPr="00C11E29">
        <w:t>;</w:t>
      </w:r>
    </w:p>
    <w:p w14:paraId="76119D14" w14:textId="77777777" w:rsidR="00E56F7E" w:rsidRPr="00C11E29" w:rsidRDefault="00E56F7E" w:rsidP="00E56F7E">
      <w:pPr>
        <w:pStyle w:val="Fundamentos"/>
      </w:pPr>
      <w:r w:rsidRPr="00C11E29">
        <w:rPr>
          <w:b/>
          <w:bCs/>
        </w:rPr>
        <w:t>III.</w:t>
      </w:r>
      <w:r w:rsidRPr="00C11E29">
        <w:tab/>
      </w:r>
      <w:r w:rsidRPr="00C11E29">
        <w:rPr>
          <w:b/>
          <w:bCs/>
          <w:u w:val="single"/>
        </w:rPr>
        <w:t>Recibido el informe justificado, cuando se modifique la respuesta, este se pondrá a disposición del recurrente para que en un plazo de tres días hábiles, manifieste lo que a su derecho convenga</w:t>
      </w:r>
      <w:r w:rsidRPr="00C11E29">
        <w:t>;</w:t>
      </w:r>
    </w:p>
    <w:p w14:paraId="26384458" w14:textId="77777777" w:rsidR="00E56F7E" w:rsidRPr="00C11E29" w:rsidRDefault="00E56F7E" w:rsidP="00E56F7E">
      <w:pPr>
        <w:pStyle w:val="Fundamentos"/>
      </w:pPr>
      <w:r w:rsidRPr="00C11E29">
        <w:rPr>
          <w:b/>
          <w:bCs/>
        </w:rPr>
        <w:lastRenderedPageBreak/>
        <w:t>IV.</w:t>
      </w:r>
      <w:r w:rsidRPr="00C11E29">
        <w:tab/>
        <w:t>Dentro del plazo mencionado en la fracción II, las partes podrán ofrecer todo tipo de pruebas o alegatos excepto la confesional por parte de los sujetos obligados y aquéllas que sean contrarias a derecho;</w:t>
      </w:r>
    </w:p>
    <w:p w14:paraId="17393851" w14:textId="77777777" w:rsidR="00E56F7E" w:rsidRPr="00C11E29" w:rsidRDefault="00E56F7E" w:rsidP="00E56F7E">
      <w:pPr>
        <w:pStyle w:val="Fundamentos"/>
      </w:pPr>
      <w:r w:rsidRPr="00C11E29">
        <w:rPr>
          <w:b/>
          <w:bCs/>
        </w:rPr>
        <w:t>V.</w:t>
      </w:r>
      <w:r w:rsidRPr="00C11E29">
        <w:tab/>
        <w:t>La o el Comisionado ponente podrá determinar la celebración de audiencias con las partes durante la sustanciación del recurso de revisión;</w:t>
      </w:r>
    </w:p>
    <w:p w14:paraId="66EA7251" w14:textId="77777777" w:rsidR="00E56F7E" w:rsidRPr="00C11E29" w:rsidRDefault="00E56F7E" w:rsidP="00E56F7E">
      <w:pPr>
        <w:pStyle w:val="Fundamentos"/>
      </w:pPr>
      <w:r w:rsidRPr="00C11E29">
        <w:rPr>
          <w:b/>
          <w:bCs/>
        </w:rPr>
        <w:t>VI.</w:t>
      </w:r>
      <w:r w:rsidRPr="00C11E29">
        <w:tab/>
        <w:t>Concluido el plazo señalado en la fracción II del presente artículo, la o el Comisionado ponente procederá a decretar el cierre de instrucción;</w:t>
      </w:r>
    </w:p>
    <w:p w14:paraId="209C4C54" w14:textId="77777777" w:rsidR="00E56F7E" w:rsidRPr="00C11E29" w:rsidRDefault="00E56F7E" w:rsidP="00E56F7E">
      <w:pPr>
        <w:pStyle w:val="Fundamentos"/>
      </w:pPr>
      <w:r w:rsidRPr="00C11E29">
        <w:rPr>
          <w:b/>
          <w:bCs/>
        </w:rPr>
        <w:t>VII.</w:t>
      </w:r>
      <w:r w:rsidRPr="00C11E29">
        <w:tab/>
        <w:t>El Instituto no estará obligado a atender la información remitida por el sujeto obligado una vez decretado el cierre de instrucción; y</w:t>
      </w:r>
    </w:p>
    <w:p w14:paraId="621C3DB8" w14:textId="66C9F5EB" w:rsidR="00E56F7E" w:rsidRPr="00C11E29" w:rsidRDefault="00E56F7E" w:rsidP="00E56F7E">
      <w:pPr>
        <w:pStyle w:val="Fundamentos"/>
      </w:pPr>
      <w:r w:rsidRPr="00C11E29">
        <w:rPr>
          <w:b/>
          <w:bCs/>
        </w:rPr>
        <w:t>VIII.</w:t>
      </w:r>
      <w:r w:rsidRPr="00C11E29">
        <w:tab/>
        <w:t>Decretado el cierre de instrucción, el expediente pasará a resolución, en un plazo que no podrá exceder de veinte días hábiles.</w:t>
      </w:r>
    </w:p>
    <w:p w14:paraId="0DDEEA59" w14:textId="77777777" w:rsidR="00CE7CE1" w:rsidRPr="00C11E29" w:rsidRDefault="00CE7CE1" w:rsidP="001A6797"/>
    <w:p w14:paraId="5BE1AB56" w14:textId="045CFAD4" w:rsidR="00CE7CE1" w:rsidRPr="00C11E29" w:rsidRDefault="005B4D45" w:rsidP="001A6797">
      <w:r w:rsidRPr="00C11E29">
        <w:t xml:space="preserve">Del precepto trascrito se desprende que lo requerido por el Recurrente son los informes que se han rendido ante este Instituto </w:t>
      </w:r>
      <w:r w:rsidR="004D3BE3" w:rsidRPr="00C11E29">
        <w:t xml:space="preserve">durante la etapa de manifestaciones </w:t>
      </w:r>
      <w:r w:rsidRPr="00C11E29">
        <w:t xml:space="preserve">derivados de los recursos de revisión que se han interpuesto en contra de las respuestas </w:t>
      </w:r>
      <w:r w:rsidR="004D3BE3" w:rsidRPr="00C11E29">
        <w:t>que el</w:t>
      </w:r>
      <w:r w:rsidRPr="00C11E29">
        <w:t xml:space="preserve"> Sujeto Obligado</w:t>
      </w:r>
      <w:r w:rsidR="004D3BE3" w:rsidRPr="00C11E29">
        <w:t xml:space="preserve"> ha proporcionado a diversas solicitudes de información.</w:t>
      </w:r>
    </w:p>
    <w:p w14:paraId="11126B20" w14:textId="77777777" w:rsidR="005B4D45" w:rsidRPr="00C11E29" w:rsidRDefault="005B4D45" w:rsidP="001A6797"/>
    <w:p w14:paraId="5F1C98B8" w14:textId="7BB87816" w:rsidR="005B4D45" w:rsidRPr="00C11E29" w:rsidRDefault="005B4D45" w:rsidP="001A6797">
      <w:r w:rsidRPr="00C11E29">
        <w:t xml:space="preserve">Asimismo, se </w:t>
      </w:r>
      <w:r w:rsidR="00131C54" w:rsidRPr="00C11E29">
        <w:t xml:space="preserve">tiene que este Instituto tiene registro de mil ciento cincuenta y dos recursos de revisión interpuestos en contra del Sujeto Obligado durante el periodo </w:t>
      </w:r>
      <w:r w:rsidR="00115960" w:rsidRPr="00C11E29">
        <w:t xml:space="preserve">comprendido </w:t>
      </w:r>
      <w:r w:rsidR="00131C54" w:rsidRPr="00C11E29">
        <w:t>del diez de julio de dos mil veintidós al diez de julio de dos mil veintitrés, como se observa en la siguiente imagen tomada del Sistema de Acceso a la Información Mexiquense:</w:t>
      </w:r>
    </w:p>
    <w:p w14:paraId="28EC3501" w14:textId="6EE3D069" w:rsidR="004D3BE3" w:rsidRPr="00C11E29" w:rsidRDefault="004D3BE3" w:rsidP="001A6797">
      <w:r w:rsidRPr="00C11E29">
        <w:t>----------------------------------------------------------------------------------------------------------------------------------------------------------------------------------------------------------------------------------------------------------------------------------------------------------------------------------------------------------------------------------------------------------------------------------------------------------------------------------------------------------------------------------------------------------------------------------------------------</w:t>
      </w:r>
    </w:p>
    <w:p w14:paraId="2210D4D8" w14:textId="16052563" w:rsidR="00131C54" w:rsidRPr="00C11E29" w:rsidRDefault="00131C54" w:rsidP="00131C54">
      <w:pPr>
        <w:jc w:val="center"/>
      </w:pPr>
      <w:r w:rsidRPr="00C11E29">
        <w:rPr>
          <w:noProof/>
          <w:lang w:val="es-MX"/>
        </w:rPr>
        <w:lastRenderedPageBreak/>
        <w:drawing>
          <wp:inline distT="0" distB="0" distL="0" distR="0" wp14:anchorId="5E77F173" wp14:editId="5F74E1EF">
            <wp:extent cx="5882276" cy="2921000"/>
            <wp:effectExtent l="0" t="0" r="0" b="0"/>
            <wp:docPr id="2113512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12660" name="Imagen 21135126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2854" cy="3005705"/>
                    </a:xfrm>
                    <a:prstGeom prst="rect">
                      <a:avLst/>
                    </a:prstGeom>
                  </pic:spPr>
                </pic:pic>
              </a:graphicData>
            </a:graphic>
          </wp:inline>
        </w:drawing>
      </w:r>
    </w:p>
    <w:p w14:paraId="4C2A69D4" w14:textId="77777777" w:rsidR="005B4D45" w:rsidRPr="00C11E29" w:rsidRDefault="005B4D45" w:rsidP="001A6797"/>
    <w:p w14:paraId="0E85D047" w14:textId="5ABA16F1" w:rsidR="005B4D45" w:rsidRPr="00C11E29" w:rsidRDefault="00D36791" w:rsidP="001A6797">
      <w:r w:rsidRPr="00C11E29">
        <w:t>En ese tenor</w:t>
      </w:r>
      <w:r w:rsidR="00CC66A0" w:rsidRPr="00C11E29">
        <w:t>, si bien es cierto que el Sujeto Obligado manifestó que no cuenta entre sus archivos con dicha información, también lo es que este Instituto ha recibido informes justificados rendidos por el Sujeto Obligado en diversos recursos de revisión, tal es el caso, a manera de ejemplo, en los recursos de revisión 15736/INFOEM/IP/RR/2022, interpuesto el día</w:t>
      </w:r>
      <w:r w:rsidR="004D3BE3" w:rsidRPr="00C11E29">
        <w:t xml:space="preserve"> cuatro de octubre de dos mil veintidós</w:t>
      </w:r>
      <w:r w:rsidR="00CC66A0" w:rsidRPr="00C11E29">
        <w:t>; 00766/INFOEM/IP/RR/2023</w:t>
      </w:r>
      <w:r w:rsidR="004D3BE3" w:rsidRPr="00C11E29">
        <w:t>, interpuesto el once de febrero de dos mil veintitrés</w:t>
      </w:r>
      <w:r w:rsidR="00CC66A0" w:rsidRPr="00C11E29">
        <w:t xml:space="preserve"> y 0105</w:t>
      </w:r>
      <w:r w:rsidR="00AF4BA6" w:rsidRPr="00C11E29">
        <w:t>5</w:t>
      </w:r>
      <w:r w:rsidR="00CC66A0" w:rsidRPr="00C11E29">
        <w:t>/INFOEM/IP/RR/2023</w:t>
      </w:r>
      <w:r w:rsidR="004D3BE3" w:rsidRPr="00C11E29">
        <w:t>, interpuesto el veintiocho de febrero de dos mil veintitrés, como se observa en las siguientes imágenes:</w:t>
      </w:r>
    </w:p>
    <w:p w14:paraId="068FE253" w14:textId="605A395E" w:rsidR="00131C54" w:rsidRPr="00C11E29" w:rsidRDefault="004D3BE3" w:rsidP="001A6797">
      <w:r w:rsidRPr="00C11E29">
        <w:t>----------------------------------------------------------------------------------------------------------------------------------------------------------------------------------------------------------------------------------------------------------------------------------------------------------------------------------------------------------------------------------------------------------------------------------------------------------------------------------------------------------------------------------------------------------------------------------------------------</w:t>
      </w:r>
    </w:p>
    <w:p w14:paraId="2F6A62B8" w14:textId="085DA29F" w:rsidR="00131C54" w:rsidRPr="00C11E29" w:rsidRDefault="00131C54" w:rsidP="001A6797"/>
    <w:p w14:paraId="6B66A45F" w14:textId="649AC735" w:rsidR="00131C54" w:rsidRPr="00C11E29" w:rsidRDefault="004D3BE3" w:rsidP="001A6797">
      <w:r w:rsidRPr="00C11E29">
        <w:rPr>
          <w:noProof/>
          <w:lang w:val="es-MX"/>
        </w:rPr>
        <w:drawing>
          <wp:inline distT="0" distB="0" distL="0" distR="0" wp14:anchorId="20D92348" wp14:editId="6C2EEE32">
            <wp:extent cx="5935980" cy="2893695"/>
            <wp:effectExtent l="0" t="0" r="0" b="1905"/>
            <wp:docPr id="12340769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76927" name="Imagen 12340769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5980" cy="2893695"/>
                    </a:xfrm>
                    <a:prstGeom prst="rect">
                      <a:avLst/>
                    </a:prstGeom>
                  </pic:spPr>
                </pic:pic>
              </a:graphicData>
            </a:graphic>
          </wp:inline>
        </w:drawing>
      </w:r>
    </w:p>
    <w:p w14:paraId="72417506" w14:textId="77777777" w:rsidR="00131C54" w:rsidRPr="00C11E29" w:rsidRDefault="00131C54" w:rsidP="001A6797"/>
    <w:p w14:paraId="3D6B1BC8" w14:textId="77777777" w:rsidR="00AF4BA6" w:rsidRPr="00C11E29" w:rsidRDefault="00AF4BA6" w:rsidP="001A6797"/>
    <w:p w14:paraId="497B467E" w14:textId="2C8FFCB6" w:rsidR="005B4D45" w:rsidRPr="00C11E29" w:rsidRDefault="004D3BE3" w:rsidP="001A6797">
      <w:r w:rsidRPr="00C11E29">
        <w:rPr>
          <w:noProof/>
          <w:lang w:val="es-MX"/>
        </w:rPr>
        <w:drawing>
          <wp:inline distT="0" distB="0" distL="0" distR="0" wp14:anchorId="2ADE9C86" wp14:editId="789AF827">
            <wp:extent cx="5935980" cy="2867660"/>
            <wp:effectExtent l="0" t="0" r="0" b="2540"/>
            <wp:docPr id="20646483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48361" name="Imagen 20646483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5980" cy="2867660"/>
                    </a:xfrm>
                    <a:prstGeom prst="rect">
                      <a:avLst/>
                    </a:prstGeom>
                  </pic:spPr>
                </pic:pic>
              </a:graphicData>
            </a:graphic>
          </wp:inline>
        </w:drawing>
      </w:r>
    </w:p>
    <w:p w14:paraId="28F9B99A" w14:textId="77777777" w:rsidR="004D3BE3" w:rsidRPr="00C11E29" w:rsidRDefault="004D3BE3" w:rsidP="001A6797"/>
    <w:p w14:paraId="5C6C51EF" w14:textId="6A1C3F99" w:rsidR="004D3BE3" w:rsidRPr="00C11E29" w:rsidRDefault="00AF4BA6" w:rsidP="001A6797">
      <w:r w:rsidRPr="00C11E29">
        <w:rPr>
          <w:noProof/>
          <w:lang w:val="es-MX"/>
        </w:rPr>
        <w:lastRenderedPageBreak/>
        <w:drawing>
          <wp:inline distT="0" distB="0" distL="0" distR="0" wp14:anchorId="58C0D2A8" wp14:editId="4CDB19F2">
            <wp:extent cx="5935980" cy="2691765"/>
            <wp:effectExtent l="0" t="0" r="0" b="635"/>
            <wp:docPr id="12984734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73406" name="Imagen 12984734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5980" cy="2691765"/>
                    </a:xfrm>
                    <a:prstGeom prst="rect">
                      <a:avLst/>
                    </a:prstGeom>
                  </pic:spPr>
                </pic:pic>
              </a:graphicData>
            </a:graphic>
          </wp:inline>
        </w:drawing>
      </w:r>
    </w:p>
    <w:p w14:paraId="2CEE662C" w14:textId="77777777" w:rsidR="004D3BE3" w:rsidRPr="00C11E29" w:rsidRDefault="004D3BE3" w:rsidP="001A6797"/>
    <w:p w14:paraId="35312254" w14:textId="16C84367" w:rsidR="004D3BE3" w:rsidRPr="00C11E29" w:rsidRDefault="00AF4BA6" w:rsidP="001A6797">
      <w:r w:rsidRPr="00C11E29">
        <w:t xml:space="preserve">Como se puede observar, existen registros de informes justificados </w:t>
      </w:r>
      <w:r w:rsidR="00BF247A" w:rsidRPr="00C11E29">
        <w:t>rendidos por el Sujeto Obligado ante este Instituto, por lo que la respuesta proporcionada a la solicitud primigenia no colma la pretensión del Recurrente.</w:t>
      </w:r>
    </w:p>
    <w:p w14:paraId="5E51B364" w14:textId="77777777" w:rsidR="00BF247A" w:rsidRPr="00C11E29" w:rsidRDefault="00BF247A" w:rsidP="001A6797"/>
    <w:p w14:paraId="241A3183" w14:textId="5374E737" w:rsidR="008A73A9" w:rsidRPr="00C11E29" w:rsidRDefault="00F020CC" w:rsidP="008A73A9">
      <w:r w:rsidRPr="00C11E29">
        <w:t xml:space="preserve">Al respecto, </w:t>
      </w:r>
      <w:r w:rsidR="008A73A9" w:rsidRPr="00C11E29">
        <w:t xml:space="preserve">dado que existe evidencia de que el Sujeto Obligado posee la información solicitada, </w:t>
      </w:r>
      <w:r w:rsidRPr="00C11E29">
        <w:t xml:space="preserve">se debe hacer referencia a lo </w:t>
      </w:r>
      <w:r w:rsidR="008A73A9" w:rsidRPr="00C11E29">
        <w:t>establecido en los artículos 4, 12 y 24 último párrafo de la Ley de Transparencia estatal, que a la letra disponen</w:t>
      </w:r>
    </w:p>
    <w:p w14:paraId="1BEA2597" w14:textId="77777777" w:rsidR="008A73A9" w:rsidRPr="00C11E29" w:rsidRDefault="008A73A9" w:rsidP="008A73A9"/>
    <w:p w14:paraId="00B0D1C6" w14:textId="77777777" w:rsidR="008A73A9" w:rsidRPr="00C11E29" w:rsidRDefault="008A73A9" w:rsidP="008A73A9">
      <w:pPr>
        <w:pStyle w:val="Fundamentos"/>
        <w:rPr>
          <w:lang w:val="es-MX"/>
        </w:rPr>
      </w:pPr>
      <w:r w:rsidRPr="00C11E29">
        <w:rPr>
          <w:b/>
          <w:lang w:val="es-MX"/>
        </w:rPr>
        <w:t xml:space="preserve">Artículo 4. </w:t>
      </w:r>
      <w:r w:rsidRPr="00C11E29">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1A6C4A16" w14:textId="77777777" w:rsidR="008A73A9" w:rsidRPr="00C11E29" w:rsidRDefault="008A73A9" w:rsidP="008A73A9">
      <w:pPr>
        <w:pStyle w:val="Fundamentos"/>
        <w:rPr>
          <w:lang w:val="es-MX"/>
        </w:rPr>
      </w:pPr>
    </w:p>
    <w:p w14:paraId="4762E777" w14:textId="77777777" w:rsidR="008A73A9" w:rsidRPr="00C11E29" w:rsidRDefault="008A73A9" w:rsidP="008A73A9">
      <w:pPr>
        <w:pStyle w:val="Fundamentos"/>
        <w:rPr>
          <w:lang w:val="es-MX"/>
        </w:rPr>
      </w:pPr>
      <w:r w:rsidRPr="00C11E29">
        <w:rPr>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C11E29">
        <w:rPr>
          <w:lang w:val="es-MX"/>
        </w:rPr>
        <w:lastRenderedPageBreak/>
        <w:t>clasificada excepcionalmente como reservada temporalmente por razones de interés público, en los términos de las causas legítimas y estrictamente necesarias previstas por esta Ley.</w:t>
      </w:r>
    </w:p>
    <w:p w14:paraId="38568B6C" w14:textId="77777777" w:rsidR="008A73A9" w:rsidRPr="00C11E29" w:rsidRDefault="008A73A9" w:rsidP="008A73A9">
      <w:pPr>
        <w:pStyle w:val="Fundamentos"/>
        <w:rPr>
          <w:lang w:val="es-MX"/>
        </w:rPr>
      </w:pPr>
    </w:p>
    <w:p w14:paraId="6B2F7F87" w14:textId="77777777" w:rsidR="008A73A9" w:rsidRPr="00C11E29" w:rsidRDefault="008A73A9" w:rsidP="008A73A9">
      <w:pPr>
        <w:pStyle w:val="Fundamentos"/>
        <w:rPr>
          <w:lang w:val="es-MX"/>
        </w:rPr>
      </w:pPr>
      <w:r w:rsidRPr="00C11E29">
        <w:rPr>
          <w:lang w:val="es-MX"/>
        </w:rPr>
        <w:t>Los sujetos obligados deben poner en práctica, políticas y programas de acceso a la información que se apeguen a criterios de publicidad, veracidad, oportunidad, precisión y suficiencia en beneficio de los solicitantes.</w:t>
      </w:r>
    </w:p>
    <w:p w14:paraId="183C6152" w14:textId="77777777" w:rsidR="008A73A9" w:rsidRPr="00C11E29" w:rsidRDefault="008A73A9" w:rsidP="008A73A9">
      <w:pPr>
        <w:pStyle w:val="Fundamentos"/>
      </w:pPr>
    </w:p>
    <w:p w14:paraId="5F6E4341" w14:textId="77777777" w:rsidR="008A73A9" w:rsidRPr="00C11E29" w:rsidRDefault="008A73A9" w:rsidP="008A73A9">
      <w:pPr>
        <w:pStyle w:val="Fundamentos"/>
        <w:rPr>
          <w:lang w:val="es-MX"/>
        </w:rPr>
      </w:pPr>
      <w:r w:rsidRPr="00C11E29">
        <w:rPr>
          <w:b/>
          <w:lang w:val="es-MX"/>
        </w:rPr>
        <w:t xml:space="preserve">Artículo 12. </w:t>
      </w:r>
      <w:r w:rsidRPr="00C11E29">
        <w:rPr>
          <w:lang w:val="es-MX"/>
        </w:rPr>
        <w:t>Quienes generen, recopilen, administren, manejen, procesen, archiven o conserven información pública serán responsables de la misma en los términos de las disposiciones jurídicas aplicables.</w:t>
      </w:r>
    </w:p>
    <w:p w14:paraId="241704DC" w14:textId="77777777" w:rsidR="008A73A9" w:rsidRPr="00C11E29" w:rsidRDefault="008A73A9" w:rsidP="008A73A9">
      <w:pPr>
        <w:pStyle w:val="Fundamentos"/>
        <w:rPr>
          <w:lang w:val="es-MX"/>
        </w:rPr>
      </w:pPr>
    </w:p>
    <w:p w14:paraId="22222325" w14:textId="77777777" w:rsidR="008A73A9" w:rsidRPr="00C11E29" w:rsidRDefault="008A73A9" w:rsidP="008A73A9">
      <w:pPr>
        <w:pStyle w:val="Fundamentos"/>
        <w:rPr>
          <w:lang w:val="es-MX"/>
        </w:rPr>
      </w:pPr>
      <w:r w:rsidRPr="00C11E29">
        <w:rPr>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2AB1743" w14:textId="77777777" w:rsidR="008A73A9" w:rsidRPr="00C11E29" w:rsidRDefault="008A73A9" w:rsidP="008A73A9">
      <w:pPr>
        <w:pStyle w:val="Fundamentos"/>
      </w:pPr>
    </w:p>
    <w:p w14:paraId="48A8307E" w14:textId="77777777" w:rsidR="008A73A9" w:rsidRPr="00C11E29" w:rsidRDefault="008A73A9" w:rsidP="008A73A9">
      <w:pPr>
        <w:pStyle w:val="Fundamentos"/>
        <w:rPr>
          <w:lang w:val="es-MX"/>
        </w:rPr>
      </w:pPr>
      <w:r w:rsidRPr="00C11E29">
        <w:rPr>
          <w:b/>
          <w:lang w:val="es-MX"/>
        </w:rPr>
        <w:t>Artículo 24.</w:t>
      </w:r>
      <w:r w:rsidRPr="00C11E29">
        <w:rPr>
          <w:lang w:val="es-MX"/>
        </w:rPr>
        <w:t xml:space="preserve"> (…)</w:t>
      </w:r>
    </w:p>
    <w:p w14:paraId="775932BA" w14:textId="77777777" w:rsidR="008A73A9" w:rsidRPr="00C11E29" w:rsidRDefault="008A73A9" w:rsidP="008A73A9">
      <w:pPr>
        <w:pStyle w:val="Fundamentos"/>
        <w:rPr>
          <w:lang w:val="es-MX"/>
        </w:rPr>
      </w:pPr>
    </w:p>
    <w:p w14:paraId="33FC0B6C" w14:textId="77777777" w:rsidR="008A73A9" w:rsidRPr="00C11E29" w:rsidRDefault="008A73A9" w:rsidP="008A73A9">
      <w:pPr>
        <w:pStyle w:val="Fundamentos"/>
      </w:pPr>
      <w:r w:rsidRPr="00C11E29">
        <w:rPr>
          <w:lang w:val="es-MX"/>
        </w:rPr>
        <w:t>Los sujetos obligados solo proporcionarán la información pública que generen, administren o posean en el ejercicio de sus atribuciones.</w:t>
      </w:r>
    </w:p>
    <w:p w14:paraId="674EFFD4" w14:textId="77777777" w:rsidR="008A73A9" w:rsidRPr="00C11E29" w:rsidRDefault="008A73A9" w:rsidP="008A73A9"/>
    <w:p w14:paraId="5CB960CC" w14:textId="77777777" w:rsidR="008A73A9" w:rsidRPr="00C11E29" w:rsidRDefault="008A73A9" w:rsidP="008A73A9">
      <w:r w:rsidRPr="00C11E29">
        <w:t xml:space="preserve">De los preceptos citados se desprende que toda la información generada, </w:t>
      </w:r>
      <w:r w:rsidRPr="00C11E29">
        <w:rPr>
          <w:b/>
          <w:bCs/>
        </w:rPr>
        <w:t>poseída o administrada</w:t>
      </w:r>
      <w:r w:rsidRPr="00C11E29">
        <w:t xml:space="preserve"> por los sujetos obligados en el ejercicio de sus atribuciones, facultades o atribuciones </w:t>
      </w:r>
      <w:r w:rsidRPr="00C11E29">
        <w:rPr>
          <w:b/>
          <w:bCs/>
        </w:rPr>
        <w:t>es pública</w:t>
      </w:r>
      <w:r w:rsidRPr="00C11E29">
        <w:t>, y que los sujetos obligados se encuentran constreñidos a hacer entrega de la información que les sea solicitada, que obre en sus archivos y en el estado en el que esta se encuentre, sin estar impelidos a presentar la información conforme el interés del solicitante o procesarla.</w:t>
      </w:r>
    </w:p>
    <w:p w14:paraId="43CD2A5B" w14:textId="77777777" w:rsidR="008A73A9" w:rsidRPr="00C11E29" w:rsidRDefault="008A73A9" w:rsidP="008A73A9"/>
    <w:p w14:paraId="6AB061D9" w14:textId="76266CDD" w:rsidR="008A73A9" w:rsidRPr="00C11E29" w:rsidRDefault="008A73A9" w:rsidP="008A73A9">
      <w:r w:rsidRPr="00C11E29">
        <w:t xml:space="preserve">En consecuencia, se estima que los motivos de inconformidad planteados por el Recurrente devienen fundados, por lo que es procedente revocar la respuesta del Sujeto Obligado y ordenar que se realice una búsqueda exhaustiva en los archivos de las áreas </w:t>
      </w:r>
      <w:r w:rsidRPr="00C11E29">
        <w:lastRenderedPageBreak/>
        <w:t>que se consideren competentes para poseer o administrar la información</w:t>
      </w:r>
      <w:r w:rsidR="00BF247A" w:rsidRPr="00C11E29">
        <w:t xml:space="preserve">, la cual deberá contemplar el periodo </w:t>
      </w:r>
      <w:r w:rsidR="00427EC3" w:rsidRPr="00C11E29">
        <w:t xml:space="preserve">comprendido </w:t>
      </w:r>
      <w:r w:rsidR="00BF247A" w:rsidRPr="00C11E29">
        <w:t>del diez de julio de dos mil veintidós al diez de julio de dos mil veintitrés y se haga entrega de los informes justificados que se hayan rendido ante este Instituto en versión pública de ser procedente.</w:t>
      </w:r>
      <w:r w:rsidRPr="00C11E29">
        <w:t xml:space="preserve"> </w:t>
      </w:r>
    </w:p>
    <w:p w14:paraId="21E54880" w14:textId="77777777" w:rsidR="008A73A9" w:rsidRPr="00C11E29" w:rsidRDefault="008A73A9" w:rsidP="008A73A9"/>
    <w:p w14:paraId="0F48F03B" w14:textId="77777777" w:rsidR="00427EC3" w:rsidRPr="00C11E29" w:rsidRDefault="00427EC3" w:rsidP="00427EC3">
      <w:pPr>
        <w:pStyle w:val="Ttulo3"/>
        <w:rPr>
          <w:rFonts w:eastAsia="Palatino Linotype"/>
        </w:rPr>
      </w:pPr>
      <w:r w:rsidRPr="00C11E29">
        <w:rPr>
          <w:rFonts w:eastAsia="Palatino Linotype"/>
        </w:rPr>
        <w:t>DE LA VERSIÓN PÚBLICA</w:t>
      </w:r>
    </w:p>
    <w:p w14:paraId="7C34BA02" w14:textId="77777777" w:rsidR="00427EC3" w:rsidRPr="00C11E29" w:rsidRDefault="00427EC3" w:rsidP="00427EC3">
      <w:pPr>
        <w:rPr>
          <w:rFonts w:eastAsia="Palatino Linotype" w:cs="Palatino Linotype"/>
          <w:szCs w:val="24"/>
        </w:rPr>
      </w:pPr>
      <w:r w:rsidRPr="00C11E29">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DD0CFDF" w14:textId="77777777" w:rsidR="00427EC3" w:rsidRPr="00C11E29" w:rsidRDefault="00427EC3" w:rsidP="00427EC3">
      <w:pPr>
        <w:rPr>
          <w:rFonts w:eastAsia="Palatino Linotype" w:cs="Palatino Linotype"/>
          <w:szCs w:val="24"/>
        </w:rPr>
      </w:pPr>
    </w:p>
    <w:p w14:paraId="1EC35C21"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Artículo 3.</w:t>
      </w:r>
      <w:r w:rsidRPr="00C11E29">
        <w:rPr>
          <w:rFonts w:eastAsia="Palatino Linotype" w:cs="Palatino Linotype"/>
          <w:i/>
          <w:color w:val="000000"/>
          <w:sz w:val="22"/>
          <w:szCs w:val="24"/>
        </w:rPr>
        <w:t xml:space="preserve"> Para los efectos de la presente Ley se entenderá por:</w:t>
      </w:r>
    </w:p>
    <w:p w14:paraId="47B227B8"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w:t>
      </w:r>
    </w:p>
    <w:p w14:paraId="18AA8D7F"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IX. Datos personales:</w:t>
      </w:r>
      <w:r w:rsidRPr="00C11E29">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6202F7D5"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XX.</w:t>
      </w:r>
      <w:r w:rsidRPr="00C11E29">
        <w:rPr>
          <w:rFonts w:eastAsia="Palatino Linotype" w:cs="Palatino Linotype"/>
          <w:i/>
          <w:color w:val="000000"/>
          <w:sz w:val="22"/>
          <w:szCs w:val="24"/>
        </w:rPr>
        <w:t xml:space="preserve"> </w:t>
      </w:r>
      <w:r w:rsidRPr="00C11E29">
        <w:rPr>
          <w:rFonts w:eastAsia="Palatino Linotype" w:cs="Palatino Linotype"/>
          <w:b/>
          <w:i/>
          <w:color w:val="000000"/>
          <w:sz w:val="22"/>
          <w:szCs w:val="24"/>
        </w:rPr>
        <w:t>Información clasificada:</w:t>
      </w:r>
      <w:r w:rsidRPr="00C11E29">
        <w:rPr>
          <w:rFonts w:eastAsia="Palatino Linotype" w:cs="Palatino Linotype"/>
          <w:i/>
          <w:color w:val="000000"/>
          <w:sz w:val="22"/>
          <w:szCs w:val="24"/>
        </w:rPr>
        <w:t xml:space="preserve"> Aquella considerada por la presente Ley como reservada o confidencial;</w:t>
      </w:r>
    </w:p>
    <w:p w14:paraId="26EA9726"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XXI.</w:t>
      </w:r>
      <w:r w:rsidRPr="00C11E29">
        <w:rPr>
          <w:rFonts w:eastAsia="Palatino Linotype" w:cs="Palatino Linotype"/>
          <w:i/>
          <w:color w:val="000000"/>
          <w:sz w:val="22"/>
          <w:szCs w:val="24"/>
        </w:rPr>
        <w:t xml:space="preserve"> </w:t>
      </w:r>
      <w:r w:rsidRPr="00C11E29">
        <w:rPr>
          <w:rFonts w:eastAsia="Palatino Linotype" w:cs="Palatino Linotype"/>
          <w:b/>
          <w:i/>
          <w:color w:val="000000"/>
          <w:sz w:val="22"/>
          <w:szCs w:val="24"/>
        </w:rPr>
        <w:t>Información confidencial:</w:t>
      </w:r>
      <w:r w:rsidRPr="00C11E29">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B54E72"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w:t>
      </w:r>
    </w:p>
    <w:p w14:paraId="168F2363"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XLV.</w:t>
      </w:r>
      <w:r w:rsidRPr="00C11E29">
        <w:rPr>
          <w:rFonts w:eastAsia="Palatino Linotype" w:cs="Palatino Linotype"/>
          <w:i/>
          <w:color w:val="000000"/>
          <w:sz w:val="22"/>
          <w:szCs w:val="24"/>
        </w:rPr>
        <w:t xml:space="preserve"> </w:t>
      </w:r>
      <w:r w:rsidRPr="00C11E29">
        <w:rPr>
          <w:rFonts w:eastAsia="Palatino Linotype" w:cs="Palatino Linotype"/>
          <w:b/>
          <w:i/>
          <w:color w:val="000000"/>
          <w:sz w:val="22"/>
          <w:szCs w:val="24"/>
        </w:rPr>
        <w:t>Versión pública:</w:t>
      </w:r>
      <w:r w:rsidRPr="00C11E29">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0C4D5ABE"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w:t>
      </w:r>
    </w:p>
    <w:p w14:paraId="0E9EF355"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2E9C239"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 xml:space="preserve">Artículo 91. </w:t>
      </w:r>
      <w:r w:rsidRPr="00C11E29">
        <w:rPr>
          <w:rFonts w:eastAsia="Palatino Linotype" w:cs="Palatino Linotype"/>
          <w:i/>
          <w:color w:val="000000"/>
          <w:sz w:val="22"/>
          <w:szCs w:val="24"/>
        </w:rPr>
        <w:t>El acceso a la información pública será restringido excepcionalmente, cuando ésta sea clasificada como reservada o confidencial.</w:t>
      </w:r>
    </w:p>
    <w:p w14:paraId="5CCCBCFA"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57AAC79"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Artículo 132.</w:t>
      </w:r>
      <w:r w:rsidRPr="00C11E29">
        <w:rPr>
          <w:rFonts w:eastAsia="Palatino Linotype" w:cs="Palatino Linotype"/>
          <w:i/>
          <w:color w:val="000000"/>
          <w:sz w:val="22"/>
          <w:szCs w:val="24"/>
        </w:rPr>
        <w:t xml:space="preserve"> </w:t>
      </w:r>
      <w:r w:rsidRPr="00C11E29">
        <w:rPr>
          <w:rFonts w:eastAsia="Palatino Linotype" w:cs="Palatino Linotype"/>
          <w:i/>
          <w:color w:val="000000"/>
          <w:sz w:val="22"/>
          <w:szCs w:val="24"/>
          <w:u w:val="single"/>
        </w:rPr>
        <w:t>La clasificación de la información se llevará a cabo en el momento en que</w:t>
      </w:r>
      <w:r w:rsidRPr="00C11E29">
        <w:rPr>
          <w:rFonts w:eastAsia="Palatino Linotype" w:cs="Palatino Linotype"/>
          <w:i/>
          <w:color w:val="000000"/>
          <w:sz w:val="22"/>
          <w:szCs w:val="24"/>
        </w:rPr>
        <w:t>:</w:t>
      </w:r>
    </w:p>
    <w:p w14:paraId="3E376CC8"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I.</w:t>
      </w:r>
      <w:r w:rsidRPr="00C11E29">
        <w:rPr>
          <w:rFonts w:eastAsia="Palatino Linotype" w:cs="Palatino Linotype"/>
          <w:i/>
          <w:color w:val="000000"/>
          <w:sz w:val="22"/>
          <w:szCs w:val="24"/>
        </w:rPr>
        <w:t xml:space="preserve"> Se reciba una solicitud de acceso a la información;</w:t>
      </w:r>
    </w:p>
    <w:p w14:paraId="6F5511CA"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lastRenderedPageBreak/>
        <w:t>II.</w:t>
      </w:r>
      <w:r w:rsidRPr="00C11E29">
        <w:rPr>
          <w:rFonts w:eastAsia="Palatino Linotype" w:cs="Palatino Linotype"/>
          <w:i/>
          <w:color w:val="000000"/>
          <w:sz w:val="22"/>
          <w:szCs w:val="24"/>
        </w:rPr>
        <w:t xml:space="preserve"> </w:t>
      </w:r>
      <w:r w:rsidRPr="00C11E29">
        <w:rPr>
          <w:rFonts w:eastAsia="Palatino Linotype" w:cs="Palatino Linotype"/>
          <w:i/>
          <w:color w:val="000000"/>
          <w:sz w:val="22"/>
          <w:szCs w:val="24"/>
          <w:u w:val="single"/>
        </w:rPr>
        <w:t>Se determine mediante resolución de autoridad competente; o</w:t>
      </w:r>
    </w:p>
    <w:p w14:paraId="2D986A1F"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C11E29">
        <w:rPr>
          <w:rFonts w:eastAsia="Palatino Linotype" w:cs="Palatino Linotype"/>
          <w:b/>
          <w:i/>
          <w:color w:val="000000"/>
          <w:sz w:val="22"/>
          <w:szCs w:val="24"/>
        </w:rPr>
        <w:t>III.</w:t>
      </w:r>
      <w:r w:rsidRPr="00C11E29">
        <w:rPr>
          <w:rFonts w:eastAsia="Palatino Linotype" w:cs="Palatino Linotype"/>
          <w:i/>
          <w:color w:val="000000"/>
          <w:sz w:val="22"/>
          <w:szCs w:val="24"/>
        </w:rPr>
        <w:t xml:space="preserve"> </w:t>
      </w:r>
      <w:r w:rsidRPr="00C11E29">
        <w:rPr>
          <w:rFonts w:eastAsia="Palatino Linotype" w:cs="Palatino Linotype"/>
          <w:i/>
          <w:color w:val="000000"/>
          <w:sz w:val="22"/>
          <w:szCs w:val="24"/>
          <w:u w:val="single"/>
        </w:rPr>
        <w:t>Se generen versiones públicas para dar cumplimiento a las obligaciones de transparencia previstas en esta Ley.</w:t>
      </w:r>
    </w:p>
    <w:p w14:paraId="4B2BE4C7"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w:t>
      </w:r>
    </w:p>
    <w:p w14:paraId="6DF48500" w14:textId="77777777" w:rsidR="00427EC3" w:rsidRPr="00C11E29" w:rsidRDefault="00427EC3" w:rsidP="00427EC3">
      <w:pPr>
        <w:rPr>
          <w:rFonts w:eastAsia="Palatino Linotype" w:cs="Palatino Linotype"/>
          <w:i/>
          <w:szCs w:val="24"/>
        </w:rPr>
      </w:pPr>
    </w:p>
    <w:p w14:paraId="589F419E" w14:textId="77777777" w:rsidR="00427EC3" w:rsidRPr="00C11E29" w:rsidRDefault="00427EC3" w:rsidP="00427EC3">
      <w:pPr>
        <w:rPr>
          <w:rFonts w:eastAsia="Palatino Linotype" w:cs="Palatino Linotype"/>
          <w:szCs w:val="24"/>
        </w:rPr>
      </w:pPr>
      <w:r w:rsidRPr="00C11E29">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0A52489" w14:textId="77777777" w:rsidR="00427EC3" w:rsidRPr="00C11E29" w:rsidRDefault="00427EC3" w:rsidP="00427EC3">
      <w:pPr>
        <w:rPr>
          <w:rFonts w:eastAsia="Palatino Linotype" w:cs="Palatino Linotype"/>
          <w:szCs w:val="24"/>
        </w:rPr>
      </w:pPr>
    </w:p>
    <w:p w14:paraId="0A778951" w14:textId="77777777" w:rsidR="00427EC3" w:rsidRPr="00C11E29" w:rsidRDefault="00427EC3" w:rsidP="00427EC3">
      <w:pPr>
        <w:rPr>
          <w:rFonts w:eastAsia="Palatino Linotype" w:cs="Palatino Linotype"/>
          <w:szCs w:val="24"/>
        </w:rPr>
      </w:pPr>
      <w:r w:rsidRPr="00C11E29">
        <w:rPr>
          <w:rFonts w:eastAsia="Palatino Linotype" w:cs="Palatino Linotype"/>
          <w:szCs w:val="24"/>
        </w:rPr>
        <w:t xml:space="preserve">Por otro lado, los </w:t>
      </w:r>
      <w:r w:rsidRPr="00C11E29">
        <w:rPr>
          <w:rFonts w:eastAsia="Palatino Linotype" w:cs="Palatino Linotype"/>
          <w:i/>
          <w:szCs w:val="24"/>
        </w:rPr>
        <w:t>Lineamientos Generales en Materia de Clasificación y Desclasificación de la Información, así como para la elaboración de Versiones Públicas</w:t>
      </w:r>
      <w:r w:rsidRPr="00C11E29">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DBB155" w14:textId="77777777" w:rsidR="00427EC3" w:rsidRPr="00C11E29" w:rsidRDefault="00427EC3" w:rsidP="00427EC3">
      <w:pPr>
        <w:rPr>
          <w:rFonts w:eastAsia="Palatino Linotype" w:cs="Palatino Linotype"/>
          <w:szCs w:val="24"/>
        </w:rPr>
      </w:pPr>
    </w:p>
    <w:p w14:paraId="552ED99A" w14:textId="77777777" w:rsidR="00427EC3" w:rsidRPr="00C11E29" w:rsidRDefault="00427EC3" w:rsidP="00427EC3">
      <w:pPr>
        <w:rPr>
          <w:rFonts w:eastAsia="Palatino Linotype" w:cs="Palatino Linotype"/>
          <w:szCs w:val="24"/>
        </w:rPr>
      </w:pPr>
      <w:r w:rsidRPr="00C11E29">
        <w:rPr>
          <w:rFonts w:eastAsia="Palatino Linotype" w:cs="Palatino Linotype"/>
          <w:szCs w:val="24"/>
        </w:rPr>
        <w:t>Asimismo, los Lineamientos Quincuagésimo sexto, Quincuagésimo séptimo y Quincuagésimo octavo, establecen lo siguiente:</w:t>
      </w:r>
    </w:p>
    <w:p w14:paraId="015ECCFB" w14:textId="77777777" w:rsidR="00427EC3" w:rsidRPr="00C11E29" w:rsidRDefault="00427EC3" w:rsidP="00427EC3">
      <w:pPr>
        <w:rPr>
          <w:rFonts w:eastAsia="Palatino Linotype" w:cs="Palatino Linotype"/>
        </w:rPr>
      </w:pPr>
    </w:p>
    <w:p w14:paraId="2CEA591B"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C11E29">
        <w:rPr>
          <w:rFonts w:eastAsia="Palatino Linotype" w:cs="Palatino Linotype"/>
          <w:b/>
          <w:i/>
          <w:color w:val="000000"/>
          <w:sz w:val="22"/>
          <w:szCs w:val="24"/>
        </w:rPr>
        <w:t>Quincuagésimo sexto.</w:t>
      </w:r>
      <w:r w:rsidRPr="00C11E29">
        <w:rPr>
          <w:rFonts w:eastAsia="Palatino Linotype" w:cs="Palatino Linotype"/>
          <w:i/>
          <w:color w:val="000000"/>
          <w:sz w:val="22"/>
          <w:szCs w:val="24"/>
        </w:rPr>
        <w:t xml:space="preserve"> </w:t>
      </w:r>
      <w:r w:rsidRPr="00C11E29">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56922D3"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D69B89B"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lastRenderedPageBreak/>
        <w:t>Quincuagésimo séptimo.</w:t>
      </w:r>
      <w:r w:rsidRPr="00C11E29">
        <w:rPr>
          <w:rFonts w:eastAsia="Palatino Linotype" w:cs="Palatino Linotype"/>
          <w:i/>
          <w:color w:val="000000"/>
          <w:sz w:val="22"/>
          <w:szCs w:val="24"/>
        </w:rPr>
        <w:t xml:space="preserve"> Se considera, en principio, como información pública y no podrá omitirse de las versiones públicas la siguiente:</w:t>
      </w:r>
    </w:p>
    <w:p w14:paraId="7BDBDA29"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C4D5E84"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7F2FBEF2"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65BD57AD"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BD97B2A"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156C2A3"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875D2E4"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B2828FB" w14:textId="77777777" w:rsidR="00427EC3" w:rsidRPr="00C11E29" w:rsidRDefault="00427EC3" w:rsidP="00427EC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C11E29">
        <w:rPr>
          <w:rFonts w:eastAsia="Palatino Linotype" w:cs="Palatino Linotype"/>
          <w:b/>
          <w:i/>
          <w:color w:val="000000"/>
          <w:sz w:val="22"/>
          <w:szCs w:val="24"/>
        </w:rPr>
        <w:t>Quincuagésimo octavo.</w:t>
      </w:r>
      <w:r w:rsidRPr="00C11E29">
        <w:rPr>
          <w:rFonts w:eastAsia="Palatino Linotype" w:cs="Palatino Linotype"/>
          <w:i/>
          <w:color w:val="000000"/>
          <w:sz w:val="22"/>
          <w:szCs w:val="24"/>
        </w:rPr>
        <w:t xml:space="preserve"> Los sujetos obligados garantizarán que los sistemas o medios empleados para eliminar la información en las versiones públicas sean irreversibles, de tal forma que no permitan la recuperación o visualización de la misma.</w:t>
      </w:r>
    </w:p>
    <w:p w14:paraId="3EB8E8D8" w14:textId="77777777" w:rsidR="00427EC3" w:rsidRPr="00C11E29" w:rsidRDefault="00427EC3" w:rsidP="00427EC3">
      <w:pPr>
        <w:rPr>
          <w:rFonts w:eastAsia="Palatino Linotype" w:cs="Palatino Linotype"/>
          <w:i/>
          <w:szCs w:val="24"/>
        </w:rPr>
      </w:pPr>
    </w:p>
    <w:p w14:paraId="56C98122" w14:textId="77777777" w:rsidR="00427EC3" w:rsidRPr="00C11E29" w:rsidRDefault="00427EC3" w:rsidP="00427EC3">
      <w:pPr>
        <w:rPr>
          <w:rFonts w:eastAsia="Palatino Linotype" w:cs="Palatino Linotype"/>
          <w:szCs w:val="24"/>
        </w:rPr>
      </w:pPr>
      <w:r w:rsidRPr="00C11E29">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B6BC6F4" w14:textId="77777777" w:rsidR="00427EC3" w:rsidRPr="00C11E29" w:rsidRDefault="00427EC3" w:rsidP="00427EC3">
      <w:pPr>
        <w:rPr>
          <w:rFonts w:eastAsia="Palatino Linotype" w:cs="Palatino Linotype"/>
          <w:szCs w:val="24"/>
        </w:rPr>
      </w:pPr>
    </w:p>
    <w:p w14:paraId="40BC2AB3" w14:textId="77777777" w:rsidR="00427EC3" w:rsidRPr="00C11E29" w:rsidRDefault="00427EC3" w:rsidP="00427EC3">
      <w:pPr>
        <w:rPr>
          <w:rFonts w:eastAsia="Palatino Linotype" w:cs="Palatino Linotype"/>
          <w:szCs w:val="24"/>
        </w:rPr>
      </w:pPr>
      <w:r w:rsidRPr="00C11E29">
        <w:rPr>
          <w:rFonts w:eastAsia="Palatino Linotype" w:cs="Palatino Linotype"/>
          <w:szCs w:val="24"/>
        </w:rPr>
        <w:lastRenderedPageBreak/>
        <w:t>Por lo que respecta al Acuerdo del Comité de Transparencia que sustente la versión pública de la documentación a entregar, deberá ser notificado mediante el SAIMEX.</w:t>
      </w:r>
    </w:p>
    <w:p w14:paraId="0DBEE760" w14:textId="77777777" w:rsidR="00427EC3" w:rsidRPr="00C11E29" w:rsidRDefault="00427EC3" w:rsidP="00427EC3">
      <w:pPr>
        <w:rPr>
          <w:rFonts w:eastAsia="Palatino Linotype" w:cs="Palatino Linotype"/>
          <w:szCs w:val="24"/>
        </w:rPr>
      </w:pPr>
    </w:p>
    <w:p w14:paraId="6FBF1940" w14:textId="77777777" w:rsidR="00427EC3" w:rsidRPr="00C11E29" w:rsidRDefault="00427EC3" w:rsidP="00427EC3">
      <w:pPr>
        <w:pBdr>
          <w:top w:val="nil"/>
          <w:left w:val="nil"/>
          <w:bottom w:val="nil"/>
          <w:right w:val="nil"/>
          <w:between w:val="nil"/>
        </w:pBdr>
        <w:rPr>
          <w:rFonts w:eastAsia="Palatino Linotype" w:cs="Palatino Linotype"/>
          <w:color w:val="000000"/>
          <w:szCs w:val="24"/>
        </w:rPr>
      </w:pPr>
      <w:r w:rsidRPr="00C11E29">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288597CC" w14:textId="77777777" w:rsidR="00BF247A" w:rsidRPr="00C11E29" w:rsidRDefault="00BF247A" w:rsidP="001A6797"/>
    <w:p w14:paraId="0BED678B" w14:textId="70DE346B" w:rsidR="00B97B0E" w:rsidRPr="00C11E29" w:rsidRDefault="00B97B0E" w:rsidP="00B97B0E">
      <w:pPr>
        <w:pBdr>
          <w:top w:val="nil"/>
          <w:left w:val="nil"/>
          <w:bottom w:val="nil"/>
          <w:right w:val="nil"/>
          <w:between w:val="nil"/>
        </w:pBdr>
        <w:rPr>
          <w:rFonts w:eastAsia="Palatino Linotype" w:cs="Palatino Linotype"/>
          <w:color w:val="000000"/>
          <w:szCs w:val="24"/>
        </w:rPr>
      </w:pPr>
      <w:r w:rsidRPr="00C11E29">
        <w:rPr>
          <w:rFonts w:eastAsia="Palatino Linotype" w:cs="Palatino Linotype"/>
          <w:color w:val="000000"/>
          <w:szCs w:val="24"/>
        </w:rPr>
        <w:t xml:space="preserve">En mérito de lo expuesto en líneas anteriores, este Instituto considera que los motivos de inconformidad planteados por la Recurrente resultan fundados en el recurso de revisión que es materia de esta resolución; por ello </w:t>
      </w:r>
      <w:r w:rsidR="00D26DE4" w:rsidRPr="00C11E29">
        <w:rPr>
          <w:rFonts w:eastAsia="Palatino Linotype" w:cs="Palatino Linotype"/>
          <w:b/>
          <w:color w:val="000000"/>
          <w:szCs w:val="24"/>
        </w:rPr>
        <w:t>con fundamento en la primera</w:t>
      </w:r>
      <w:r w:rsidRPr="00C11E29">
        <w:rPr>
          <w:rFonts w:eastAsia="Palatino Linotype" w:cs="Palatino Linotype"/>
          <w:b/>
          <w:color w:val="000000"/>
          <w:szCs w:val="24"/>
        </w:rPr>
        <w:t xml:space="preserve"> hipótesis de la fracción III del artículo 186 </w:t>
      </w:r>
      <w:r w:rsidRPr="00C11E29">
        <w:rPr>
          <w:rFonts w:eastAsia="Palatino Linotype" w:cs="Palatino Linotype"/>
          <w:color w:val="000000"/>
          <w:szCs w:val="24"/>
        </w:rPr>
        <w:t xml:space="preserve">de la Ley de Transparencia y Acceso a la Información Pública del Estado de México y Municipios, se </w:t>
      </w:r>
      <w:r w:rsidR="00D26DE4" w:rsidRPr="00C11E29">
        <w:rPr>
          <w:rFonts w:eastAsia="Palatino Linotype" w:cs="Palatino Linotype"/>
          <w:b/>
          <w:color w:val="000000"/>
          <w:szCs w:val="24"/>
        </w:rPr>
        <w:t>REVO</w:t>
      </w:r>
      <w:r w:rsidRPr="00C11E29">
        <w:rPr>
          <w:rFonts w:eastAsia="Palatino Linotype" w:cs="Palatino Linotype"/>
          <w:b/>
          <w:color w:val="000000"/>
          <w:szCs w:val="24"/>
        </w:rPr>
        <w:t xml:space="preserve">CA </w:t>
      </w:r>
      <w:r w:rsidRPr="00C11E29">
        <w:rPr>
          <w:rFonts w:eastAsia="Palatino Linotype" w:cs="Palatino Linotype"/>
          <w:color w:val="000000"/>
          <w:szCs w:val="24"/>
        </w:rPr>
        <w:t>la respuesta a la solicitud de información número</w:t>
      </w:r>
      <w:r w:rsidRPr="00C11E29">
        <w:rPr>
          <w:rFonts w:eastAsia="Palatino Linotype" w:cs="Palatino Linotype"/>
          <w:b/>
          <w:color w:val="000000"/>
          <w:szCs w:val="24"/>
        </w:rPr>
        <w:t xml:space="preserve"> </w:t>
      </w:r>
      <w:r w:rsidR="00E1504E" w:rsidRPr="00C11E29">
        <w:rPr>
          <w:rFonts w:eastAsia="Palatino Linotype" w:cs="Palatino Linotype"/>
          <w:b/>
          <w:bCs/>
          <w:color w:val="000000"/>
          <w:szCs w:val="24"/>
        </w:rPr>
        <w:t>005</w:t>
      </w:r>
      <w:r w:rsidR="00427EC3" w:rsidRPr="00C11E29">
        <w:rPr>
          <w:rFonts w:eastAsia="Palatino Linotype" w:cs="Palatino Linotype"/>
          <w:b/>
          <w:bCs/>
          <w:color w:val="000000"/>
          <w:szCs w:val="24"/>
        </w:rPr>
        <w:t>20</w:t>
      </w:r>
      <w:r w:rsidR="00E1504E" w:rsidRPr="00C11E29">
        <w:rPr>
          <w:rFonts w:eastAsia="Palatino Linotype" w:cs="Palatino Linotype"/>
          <w:b/>
          <w:bCs/>
          <w:color w:val="000000"/>
          <w:szCs w:val="24"/>
        </w:rPr>
        <w:t>/ZINACANT/IP/2023</w:t>
      </w:r>
      <w:r w:rsidRPr="00C11E29">
        <w:rPr>
          <w:rFonts w:eastAsia="Palatino Linotype" w:cs="Palatino Linotype"/>
          <w:color w:val="000000"/>
          <w:szCs w:val="24"/>
        </w:rPr>
        <w:t>, que ha sido materia del presente estudio.</w:t>
      </w:r>
    </w:p>
    <w:p w14:paraId="41A90339" w14:textId="0EE9DA60" w:rsidR="00B97B0E" w:rsidRPr="00C11E29" w:rsidRDefault="00B97B0E" w:rsidP="00F012D3"/>
    <w:p w14:paraId="7ACEF5D9" w14:textId="4DA52709" w:rsidR="00B97B0E" w:rsidRPr="00C11E29" w:rsidRDefault="00B97B0E" w:rsidP="00B97B0E">
      <w:pPr>
        <w:pBdr>
          <w:top w:val="nil"/>
          <w:left w:val="nil"/>
          <w:bottom w:val="nil"/>
          <w:right w:val="nil"/>
          <w:between w:val="nil"/>
        </w:pBdr>
        <w:rPr>
          <w:rFonts w:eastAsia="Palatino Linotype" w:cs="Palatino Linotype"/>
          <w:color w:val="000000"/>
          <w:szCs w:val="24"/>
        </w:rPr>
      </w:pPr>
      <w:r w:rsidRPr="00C11E29">
        <w:rPr>
          <w:rFonts w:eastAsia="Palatino Linotype" w:cs="Palatino Linotype"/>
          <w:color w:val="000000"/>
          <w:szCs w:val="24"/>
        </w:rPr>
        <w:t>Por lo antes expuesto y fundado es de resolverse y,</w:t>
      </w:r>
    </w:p>
    <w:p w14:paraId="53D7684C" w14:textId="2F0D11F4" w:rsidR="00B97B0E" w:rsidRPr="00C11E29" w:rsidRDefault="00B97B0E" w:rsidP="00B97B0E">
      <w:pPr>
        <w:pBdr>
          <w:top w:val="nil"/>
          <w:left w:val="nil"/>
          <w:bottom w:val="nil"/>
          <w:right w:val="nil"/>
          <w:between w:val="nil"/>
        </w:pBdr>
        <w:rPr>
          <w:rFonts w:eastAsia="Palatino Linotype" w:cs="Palatino Linotype"/>
          <w:color w:val="000000"/>
          <w:szCs w:val="24"/>
        </w:rPr>
      </w:pPr>
    </w:p>
    <w:p w14:paraId="70BA7519" w14:textId="77777777" w:rsidR="00B97B0E" w:rsidRPr="00C11E29" w:rsidRDefault="00B97B0E" w:rsidP="005C5EB4">
      <w:pPr>
        <w:pStyle w:val="Ttulo1"/>
        <w:rPr>
          <w:rFonts w:eastAsia="Palatino Linotype"/>
        </w:rPr>
      </w:pPr>
      <w:r w:rsidRPr="00C11E29">
        <w:rPr>
          <w:rFonts w:eastAsia="Palatino Linotype"/>
        </w:rPr>
        <w:t>S E    R E S U E L V E</w:t>
      </w:r>
    </w:p>
    <w:p w14:paraId="3C2B363F" w14:textId="77777777" w:rsidR="00B97B0E" w:rsidRPr="00C11E29" w:rsidRDefault="00B97B0E" w:rsidP="00B97B0E">
      <w:pPr>
        <w:pBdr>
          <w:top w:val="nil"/>
          <w:left w:val="nil"/>
          <w:bottom w:val="nil"/>
          <w:right w:val="nil"/>
          <w:between w:val="nil"/>
        </w:pBdr>
        <w:rPr>
          <w:rFonts w:eastAsia="Palatino Linotype" w:cs="Palatino Linotype"/>
          <w:b/>
          <w:color w:val="000000"/>
          <w:szCs w:val="24"/>
        </w:rPr>
      </w:pPr>
    </w:p>
    <w:p w14:paraId="60CCD398" w14:textId="0F1889C7" w:rsidR="00B97B0E" w:rsidRPr="00C11E29" w:rsidRDefault="6011CFBC" w:rsidP="6011CFBC">
      <w:pPr>
        <w:pBdr>
          <w:top w:val="nil"/>
          <w:left w:val="nil"/>
          <w:bottom w:val="nil"/>
          <w:right w:val="nil"/>
          <w:between w:val="nil"/>
        </w:pBdr>
        <w:rPr>
          <w:rFonts w:eastAsia="Palatino Linotype" w:cs="Palatino Linotype"/>
          <w:color w:val="000000"/>
        </w:rPr>
      </w:pPr>
      <w:r w:rsidRPr="00C11E29">
        <w:rPr>
          <w:rFonts w:eastAsia="Palatino Linotype" w:cs="Palatino Linotype"/>
          <w:b/>
          <w:bCs/>
          <w:color w:val="000000" w:themeColor="text1"/>
        </w:rPr>
        <w:t>PRIMERO.</w:t>
      </w:r>
      <w:r w:rsidRPr="00C11E29">
        <w:rPr>
          <w:rFonts w:eastAsia="Palatino Linotype" w:cs="Palatino Linotype"/>
          <w:color w:val="000000" w:themeColor="text1"/>
        </w:rPr>
        <w:t xml:space="preserve"> Se </w:t>
      </w:r>
      <w:r w:rsidR="00D26DE4" w:rsidRPr="00C11E29">
        <w:rPr>
          <w:rFonts w:eastAsia="Palatino Linotype" w:cs="Palatino Linotype"/>
          <w:b/>
          <w:bCs/>
          <w:color w:val="000000" w:themeColor="text1"/>
        </w:rPr>
        <w:t>REVO</w:t>
      </w:r>
      <w:r w:rsidRPr="00C11E29">
        <w:rPr>
          <w:rFonts w:eastAsia="Palatino Linotype" w:cs="Palatino Linotype"/>
          <w:b/>
          <w:bCs/>
          <w:color w:val="000000" w:themeColor="text1"/>
        </w:rPr>
        <w:t>CA</w:t>
      </w:r>
      <w:r w:rsidRPr="00C11E29">
        <w:rPr>
          <w:rFonts w:eastAsia="Palatino Linotype" w:cs="Palatino Linotype"/>
          <w:color w:val="000000" w:themeColor="text1"/>
        </w:rPr>
        <w:t xml:space="preserve"> la respuesta entregada por el Sujeto Obligado</w:t>
      </w:r>
      <w:r w:rsidRPr="00C11E29">
        <w:rPr>
          <w:rFonts w:eastAsia="Palatino Linotype" w:cs="Palatino Linotype"/>
          <w:b/>
          <w:bCs/>
          <w:color w:val="000000" w:themeColor="text1"/>
        </w:rPr>
        <w:t xml:space="preserve"> </w:t>
      </w:r>
      <w:r w:rsidRPr="00C11E29">
        <w:rPr>
          <w:rFonts w:eastAsia="Palatino Linotype" w:cs="Palatino Linotype"/>
          <w:color w:val="000000" w:themeColor="text1"/>
        </w:rPr>
        <w:t xml:space="preserve">a la solicitud de información número </w:t>
      </w:r>
      <w:r w:rsidR="00E1504E" w:rsidRPr="00C11E29">
        <w:rPr>
          <w:rFonts w:eastAsia="Palatino Linotype" w:cs="Palatino Linotype"/>
          <w:b/>
          <w:bCs/>
          <w:color w:val="000000" w:themeColor="text1"/>
        </w:rPr>
        <w:t>005</w:t>
      </w:r>
      <w:r w:rsidR="00427EC3" w:rsidRPr="00C11E29">
        <w:rPr>
          <w:rFonts w:eastAsia="Palatino Linotype" w:cs="Palatino Linotype"/>
          <w:b/>
          <w:bCs/>
          <w:color w:val="000000" w:themeColor="text1"/>
        </w:rPr>
        <w:t>20</w:t>
      </w:r>
      <w:r w:rsidR="00E1504E" w:rsidRPr="00C11E29">
        <w:rPr>
          <w:rFonts w:eastAsia="Palatino Linotype" w:cs="Palatino Linotype"/>
          <w:b/>
          <w:bCs/>
          <w:color w:val="000000" w:themeColor="text1"/>
        </w:rPr>
        <w:t>/ZINACANT/IP/2023</w:t>
      </w:r>
      <w:r w:rsidRPr="00C11E29">
        <w:rPr>
          <w:rFonts w:eastAsia="Palatino Linotype" w:cs="Palatino Linotype"/>
          <w:color w:val="000000" w:themeColor="text1"/>
        </w:rPr>
        <w:t xml:space="preserve">, por resultar fundados los motivos de </w:t>
      </w:r>
      <w:r w:rsidRPr="00C11E29">
        <w:rPr>
          <w:rFonts w:eastAsia="Palatino Linotype" w:cs="Palatino Linotype"/>
          <w:color w:val="000000" w:themeColor="text1"/>
        </w:rPr>
        <w:lastRenderedPageBreak/>
        <w:t>inconformidad argüidos por el Recurrente, en términos del</w:t>
      </w:r>
      <w:r w:rsidRPr="00C11E29">
        <w:rPr>
          <w:rFonts w:eastAsia="Palatino Linotype" w:cs="Palatino Linotype"/>
          <w:b/>
          <w:bCs/>
          <w:color w:val="000000" w:themeColor="text1"/>
        </w:rPr>
        <w:t xml:space="preserve"> Considerando QUINTO </w:t>
      </w:r>
      <w:r w:rsidRPr="00C11E29">
        <w:rPr>
          <w:rFonts w:eastAsia="Palatino Linotype" w:cs="Palatino Linotype"/>
          <w:color w:val="000000" w:themeColor="text1"/>
        </w:rPr>
        <w:t xml:space="preserve">de la presente resolución. </w:t>
      </w:r>
    </w:p>
    <w:p w14:paraId="2CDE5DB7" w14:textId="77777777" w:rsidR="00B97B0E" w:rsidRPr="00C11E29" w:rsidRDefault="00B97B0E" w:rsidP="00B97B0E">
      <w:pPr>
        <w:pBdr>
          <w:top w:val="nil"/>
          <w:left w:val="nil"/>
          <w:bottom w:val="nil"/>
          <w:right w:val="nil"/>
          <w:between w:val="nil"/>
        </w:pBdr>
        <w:rPr>
          <w:rFonts w:eastAsia="Palatino Linotype" w:cs="Palatino Linotype"/>
          <w:color w:val="000000"/>
          <w:szCs w:val="24"/>
        </w:rPr>
      </w:pPr>
    </w:p>
    <w:p w14:paraId="0C9CBB44" w14:textId="037CBC90" w:rsidR="00B97B0E" w:rsidRPr="00C11E29" w:rsidRDefault="09192ACC" w:rsidP="09192ACC">
      <w:pPr>
        <w:pBdr>
          <w:top w:val="nil"/>
          <w:left w:val="nil"/>
          <w:bottom w:val="nil"/>
          <w:right w:val="nil"/>
          <w:between w:val="nil"/>
        </w:pBdr>
        <w:rPr>
          <w:rFonts w:eastAsia="Palatino Linotype" w:cs="Palatino Linotype"/>
          <w:color w:val="000000"/>
        </w:rPr>
      </w:pPr>
      <w:r w:rsidRPr="00C11E29">
        <w:rPr>
          <w:rFonts w:eastAsia="Palatino Linotype" w:cs="Palatino Linotype"/>
          <w:b/>
          <w:bCs/>
          <w:color w:val="000000" w:themeColor="text1"/>
        </w:rPr>
        <w:t>SEGUNDO.</w:t>
      </w:r>
      <w:r w:rsidRPr="00C11E29">
        <w:rPr>
          <w:rFonts w:eastAsia="Palatino Linotype" w:cs="Palatino Linotype"/>
          <w:color w:val="000000" w:themeColor="text1"/>
        </w:rPr>
        <w:t xml:space="preserve"> Se </w:t>
      </w:r>
      <w:r w:rsidRPr="00C11E29">
        <w:rPr>
          <w:rFonts w:eastAsia="Palatino Linotype" w:cs="Palatino Linotype"/>
          <w:b/>
          <w:bCs/>
          <w:color w:val="000000" w:themeColor="text1"/>
        </w:rPr>
        <w:t>ORDENA</w:t>
      </w:r>
      <w:r w:rsidRPr="00C11E29">
        <w:rPr>
          <w:rFonts w:eastAsia="Palatino Linotype" w:cs="Palatino Linotype"/>
          <w:color w:val="000000" w:themeColor="text1"/>
        </w:rPr>
        <w:t xml:space="preserve"> al Sujeto Obligado que realice una búsqueda exhaustiva y razonable en los archivos de las áreas que se consideren competentes para poseer o administrar la información con la finalidad de que se haga entrega al Recurrente mediante el Sistema de Acceso a la Información Mexiquense (SAIMEX), en versión pública de ser procedente y en términos del </w:t>
      </w:r>
      <w:r w:rsidRPr="00C11E29">
        <w:rPr>
          <w:rFonts w:eastAsia="Palatino Linotype" w:cs="Palatino Linotype"/>
          <w:b/>
          <w:bCs/>
          <w:color w:val="000000" w:themeColor="text1"/>
        </w:rPr>
        <w:t>Considerando QUINTO</w:t>
      </w:r>
      <w:r w:rsidRPr="00C11E29">
        <w:rPr>
          <w:rFonts w:eastAsia="Palatino Linotype" w:cs="Palatino Linotype"/>
          <w:color w:val="000000" w:themeColor="text1"/>
        </w:rPr>
        <w:t>, de lo siguiente:</w:t>
      </w:r>
    </w:p>
    <w:p w14:paraId="1BD1E6A9" w14:textId="77777777" w:rsidR="00D26DE4" w:rsidRPr="00C11E29" w:rsidRDefault="00D26DE4" w:rsidP="00B97B0E">
      <w:pPr>
        <w:pBdr>
          <w:top w:val="nil"/>
          <w:left w:val="nil"/>
          <w:bottom w:val="nil"/>
          <w:right w:val="nil"/>
          <w:between w:val="nil"/>
        </w:pBdr>
        <w:rPr>
          <w:rFonts w:eastAsia="Palatino Linotype" w:cs="Palatino Linotype"/>
          <w:color w:val="000000"/>
          <w:szCs w:val="24"/>
        </w:rPr>
      </w:pPr>
    </w:p>
    <w:p w14:paraId="5E8AA92D" w14:textId="66D7DEEF" w:rsidR="00D26DE4" w:rsidRPr="00C11E29" w:rsidRDefault="00427EC3" w:rsidP="00427EC3">
      <w:pPr>
        <w:pStyle w:val="Prrafodelista"/>
        <w:numPr>
          <w:ilvl w:val="0"/>
          <w:numId w:val="35"/>
        </w:numPr>
        <w:pBdr>
          <w:top w:val="nil"/>
          <w:left w:val="nil"/>
          <w:bottom w:val="nil"/>
          <w:right w:val="nil"/>
          <w:between w:val="nil"/>
        </w:pBdr>
        <w:spacing w:line="276" w:lineRule="auto"/>
        <w:rPr>
          <w:rFonts w:eastAsia="Palatino Linotype" w:cs="Palatino Linotype"/>
          <w:i/>
          <w:iCs/>
          <w:color w:val="000000"/>
        </w:rPr>
      </w:pPr>
      <w:r w:rsidRPr="00C11E29">
        <w:rPr>
          <w:rFonts w:eastAsia="Palatino Linotype" w:cs="Palatino Linotype"/>
          <w:i/>
          <w:iCs/>
          <w:color w:val="000000" w:themeColor="text1"/>
          <w:lang w:val="es-ES_tradnl"/>
        </w:rPr>
        <w:t>Los informes justificados rendidos ante el Instituto de Transparencia, Acceso a la Información Pública y Protección de Datos Personales del Estado de México y Municipios</w:t>
      </w:r>
      <w:r w:rsidR="00115960" w:rsidRPr="00C11E29">
        <w:rPr>
          <w:rFonts w:eastAsia="Palatino Linotype" w:cs="Palatino Linotype"/>
          <w:i/>
          <w:iCs/>
          <w:color w:val="000000" w:themeColor="text1"/>
          <w:lang w:val="es-ES_tradnl"/>
        </w:rPr>
        <w:t>, generados durante el periodo comprendido del diez de julio de dos mil veintidós al diez de julio de dos mil veintitrés,</w:t>
      </w:r>
    </w:p>
    <w:p w14:paraId="7D7F392B" w14:textId="77777777" w:rsidR="00B97B0E" w:rsidRPr="00C11E29" w:rsidRDefault="00B97B0E" w:rsidP="00B97B0E">
      <w:pPr>
        <w:pBdr>
          <w:top w:val="nil"/>
          <w:left w:val="nil"/>
          <w:bottom w:val="nil"/>
          <w:right w:val="nil"/>
          <w:between w:val="nil"/>
        </w:pBdr>
        <w:rPr>
          <w:rFonts w:eastAsia="Palatino Linotype" w:cs="Palatino Linotype"/>
          <w:color w:val="000000"/>
          <w:szCs w:val="24"/>
        </w:rPr>
      </w:pPr>
    </w:p>
    <w:p w14:paraId="55201964" w14:textId="77777777" w:rsidR="00427EC3" w:rsidRPr="00C11E29" w:rsidRDefault="00427EC3" w:rsidP="00427EC3">
      <w:pPr>
        <w:pBdr>
          <w:top w:val="nil"/>
          <w:left w:val="nil"/>
          <w:bottom w:val="nil"/>
          <w:right w:val="nil"/>
          <w:between w:val="nil"/>
        </w:pBdr>
        <w:rPr>
          <w:rFonts w:eastAsia="Palatino Linotype" w:cs="Palatino Linotype"/>
          <w:color w:val="000000"/>
          <w:szCs w:val="24"/>
        </w:rPr>
      </w:pPr>
      <w:r w:rsidRPr="00C11E29">
        <w:rPr>
          <w:rFonts w:eastAsia="Palatino Linotype" w:cs="Palatino Linotype"/>
          <w:color w:val="000000"/>
          <w:szCs w:val="24"/>
        </w:rPr>
        <w:t>De ser necesario, como sustento de la versión pública de los documentos referidos,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13EF0F06" w14:textId="77777777" w:rsidR="00427EC3" w:rsidRPr="00C11E29" w:rsidRDefault="00427EC3" w:rsidP="00B97B0E">
      <w:pPr>
        <w:pBdr>
          <w:top w:val="nil"/>
          <w:left w:val="nil"/>
          <w:bottom w:val="nil"/>
          <w:right w:val="nil"/>
          <w:between w:val="nil"/>
        </w:pBdr>
        <w:rPr>
          <w:rFonts w:eastAsia="Palatino Linotype" w:cs="Palatino Linotype"/>
          <w:color w:val="000000"/>
          <w:szCs w:val="24"/>
        </w:rPr>
      </w:pPr>
    </w:p>
    <w:p w14:paraId="11B92982" w14:textId="0EF4EB73" w:rsidR="00B97B0E" w:rsidRPr="00C11E29" w:rsidRDefault="00B97B0E" w:rsidP="00B97B0E">
      <w:pPr>
        <w:pBdr>
          <w:top w:val="nil"/>
          <w:left w:val="nil"/>
          <w:bottom w:val="nil"/>
          <w:right w:val="nil"/>
          <w:between w:val="nil"/>
        </w:pBdr>
        <w:rPr>
          <w:rFonts w:eastAsia="Palatino Linotype" w:cs="Palatino Linotype"/>
          <w:color w:val="000000"/>
          <w:szCs w:val="24"/>
        </w:rPr>
      </w:pPr>
      <w:r w:rsidRPr="00C11E29">
        <w:rPr>
          <w:rFonts w:eastAsia="Palatino Linotype" w:cs="Palatino Linotype"/>
          <w:b/>
          <w:color w:val="000000"/>
          <w:szCs w:val="24"/>
        </w:rPr>
        <w:t>TERCERO. Notifíquese</w:t>
      </w:r>
      <w:r w:rsidR="005C5EB4" w:rsidRPr="00C11E29">
        <w:rPr>
          <w:rFonts w:eastAsia="Palatino Linotype" w:cs="Palatino Linotype"/>
          <w:color w:val="000000"/>
          <w:szCs w:val="24"/>
        </w:rPr>
        <w:t xml:space="preserve"> 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w:t>
      </w:r>
      <w:r w:rsidR="005C5EB4" w:rsidRPr="00C11E29">
        <w:rPr>
          <w:rFonts w:eastAsia="Palatino Linotype" w:cs="Palatino Linotype"/>
          <w:color w:val="000000"/>
          <w:szCs w:val="24"/>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7A2145" w14:textId="77777777" w:rsidR="00B97B0E" w:rsidRPr="00C11E29" w:rsidRDefault="00B97B0E" w:rsidP="00B97B0E">
      <w:pPr>
        <w:pBdr>
          <w:top w:val="nil"/>
          <w:left w:val="nil"/>
          <w:bottom w:val="nil"/>
          <w:right w:val="nil"/>
          <w:between w:val="nil"/>
        </w:pBdr>
        <w:rPr>
          <w:rFonts w:eastAsia="Palatino Linotype" w:cs="Palatino Linotype"/>
          <w:color w:val="000000"/>
          <w:szCs w:val="24"/>
        </w:rPr>
      </w:pPr>
    </w:p>
    <w:p w14:paraId="735AFAA7" w14:textId="77777777" w:rsidR="00B97B0E" w:rsidRPr="00C11E29" w:rsidRDefault="00B97B0E" w:rsidP="00B97B0E">
      <w:pPr>
        <w:pBdr>
          <w:top w:val="nil"/>
          <w:left w:val="nil"/>
          <w:bottom w:val="nil"/>
          <w:right w:val="nil"/>
          <w:between w:val="nil"/>
        </w:pBdr>
        <w:rPr>
          <w:rFonts w:eastAsia="Palatino Linotype" w:cs="Palatino Linotype"/>
          <w:color w:val="000000"/>
          <w:szCs w:val="24"/>
        </w:rPr>
      </w:pPr>
      <w:r w:rsidRPr="00C11E29">
        <w:rPr>
          <w:rFonts w:eastAsia="Palatino Linotype" w:cs="Palatino Linotype"/>
          <w:b/>
          <w:color w:val="000000"/>
          <w:szCs w:val="24"/>
        </w:rPr>
        <w:t xml:space="preserve">CUARTO. </w:t>
      </w:r>
      <w:r w:rsidRPr="00C11E29">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4EC76A" w14:textId="77777777" w:rsidR="00B97B0E" w:rsidRPr="00C11E29" w:rsidRDefault="00B97B0E" w:rsidP="00B97B0E">
      <w:pPr>
        <w:pBdr>
          <w:top w:val="nil"/>
          <w:left w:val="nil"/>
          <w:bottom w:val="nil"/>
          <w:right w:val="nil"/>
          <w:between w:val="nil"/>
        </w:pBdr>
        <w:rPr>
          <w:rFonts w:eastAsia="Palatino Linotype" w:cs="Palatino Linotype"/>
          <w:b/>
          <w:color w:val="000000"/>
          <w:szCs w:val="24"/>
        </w:rPr>
      </w:pPr>
    </w:p>
    <w:p w14:paraId="5D44F2F7" w14:textId="77777777" w:rsidR="00B97B0E" w:rsidRPr="00C11E29" w:rsidRDefault="00B97B0E" w:rsidP="00B97B0E">
      <w:pPr>
        <w:contextualSpacing/>
        <w:rPr>
          <w:rFonts w:eastAsia="Palatino Linotype" w:cs="Palatino Linotype"/>
          <w:color w:val="000000"/>
          <w:szCs w:val="24"/>
        </w:rPr>
      </w:pPr>
      <w:r w:rsidRPr="00C11E29">
        <w:rPr>
          <w:rFonts w:eastAsia="Palatino Linotype" w:cs="Palatino Linotype"/>
          <w:b/>
          <w:color w:val="000000"/>
          <w:szCs w:val="24"/>
        </w:rPr>
        <w:t xml:space="preserve">QUINTO. Notifíquese </w:t>
      </w:r>
      <w:r w:rsidRPr="00C11E29">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3C6B48A7" w14:textId="77777777" w:rsidR="00B97B0E" w:rsidRPr="00C11E29" w:rsidRDefault="00B97B0E" w:rsidP="00F012D3"/>
    <w:p w14:paraId="20573BFF" w14:textId="300F0DAB" w:rsidR="00A970D5" w:rsidRPr="00C11E29" w:rsidRDefault="006922F5" w:rsidP="00235736">
      <w:pPr>
        <w:pBdr>
          <w:top w:val="nil"/>
          <w:left w:val="nil"/>
          <w:bottom w:val="nil"/>
          <w:right w:val="nil"/>
          <w:between w:val="nil"/>
        </w:pBdr>
        <w:ind w:right="-8"/>
        <w:contextualSpacing/>
        <w:rPr>
          <w:rFonts w:eastAsia="Palatino Linotype" w:cs="Palatino Linotype"/>
          <w:color w:val="000000"/>
          <w:szCs w:val="24"/>
        </w:rPr>
      </w:pPr>
      <w:r w:rsidRPr="00C11E29">
        <w:rPr>
          <w:rFonts w:eastAsia="Palatino Linotype" w:cs="Palatino Linotype"/>
          <w:color w:val="000000"/>
          <w:szCs w:val="24"/>
        </w:rPr>
        <w:t xml:space="preserve">ASÍ LO RESUELVE, POR </w:t>
      </w:r>
      <w:r w:rsidR="00593725" w:rsidRPr="00C11E29">
        <w:rPr>
          <w:rFonts w:eastAsia="Palatino Linotype" w:cs="Palatino Linotype"/>
          <w:color w:val="000000"/>
          <w:szCs w:val="24"/>
        </w:rPr>
        <w:t xml:space="preserve">UNANIMIDAD </w:t>
      </w:r>
      <w:r w:rsidRPr="00C11E29">
        <w:rPr>
          <w:rFonts w:eastAsia="Palatino Linotype" w:cs="Palatino Linotype"/>
          <w:color w:val="000000"/>
          <w:szCs w:val="24"/>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C11E29">
        <w:rPr>
          <w:rFonts w:eastAsia="Palatino Linotype" w:cs="Palatino Linotype"/>
          <w:color w:val="000000"/>
          <w:szCs w:val="24"/>
        </w:rPr>
        <w:lastRenderedPageBreak/>
        <w:t xml:space="preserve">NORIEGA Y GUADALUPE RAMÍREZ PEÑA, EN LA </w:t>
      </w:r>
      <w:r w:rsidR="00D36791" w:rsidRPr="00C11E29">
        <w:rPr>
          <w:rFonts w:eastAsia="Palatino Linotype" w:cs="Palatino Linotype"/>
          <w:color w:val="000000"/>
          <w:szCs w:val="24"/>
        </w:rPr>
        <w:t>CUADRAGÉSIMA</w:t>
      </w:r>
      <w:r w:rsidRPr="00C11E29">
        <w:rPr>
          <w:rFonts w:eastAsia="Palatino Linotype" w:cs="Palatino Linotype"/>
          <w:color w:val="000000"/>
          <w:szCs w:val="24"/>
        </w:rPr>
        <w:t xml:space="preserve"> SESIÓN ORDINARIA CELEBRADA EL</w:t>
      </w:r>
      <w:r w:rsidR="00D36791" w:rsidRPr="00C11E29">
        <w:rPr>
          <w:rFonts w:eastAsia="Palatino Linotype" w:cs="Palatino Linotype"/>
          <w:color w:val="000000"/>
          <w:szCs w:val="24"/>
        </w:rPr>
        <w:t xml:space="preserve"> OCHO DE NOVIEMBRE</w:t>
      </w:r>
      <w:r w:rsidR="00593725" w:rsidRPr="00C11E29">
        <w:rPr>
          <w:rFonts w:eastAsia="Palatino Linotype" w:cs="Palatino Linotype"/>
          <w:color w:val="000000"/>
          <w:szCs w:val="24"/>
        </w:rPr>
        <w:t xml:space="preserve"> DE DOS MIL VEINTITRÉS</w:t>
      </w:r>
      <w:r w:rsidRPr="00C11E29">
        <w:rPr>
          <w:rFonts w:eastAsia="Palatino Linotype" w:cs="Palatino Linotype"/>
          <w:color w:val="000000"/>
          <w:szCs w:val="24"/>
        </w:rPr>
        <w:t xml:space="preserve">, ANTE EL SECRETARIO TÉCNICO </w:t>
      </w:r>
      <w:r w:rsidR="00235736" w:rsidRPr="00C11E29">
        <w:rPr>
          <w:rFonts w:eastAsia="Palatino Linotype" w:cs="Palatino Linotype"/>
          <w:color w:val="000000"/>
          <w:szCs w:val="24"/>
        </w:rPr>
        <w:t>DEL PLENO, ALEXIS TAPIA RAMÍREZ</w:t>
      </w:r>
      <w:r w:rsidR="00A970D5" w:rsidRPr="00C11E29">
        <w:rPr>
          <w:rFonts w:eastAsia="Palatino Linotype" w:cs="Palatino Linotype"/>
          <w:color w:val="000000"/>
          <w:szCs w:val="24"/>
        </w:rPr>
        <w:t>.------------------------------------------------------------------</w:t>
      </w:r>
      <w:r w:rsidR="007F15FE" w:rsidRPr="00C11E29">
        <w:rPr>
          <w:rFonts w:eastAsia="Palatino Linotype" w:cs="Palatino Linotype"/>
          <w:color w:val="000000"/>
          <w:szCs w:val="24"/>
        </w:rPr>
        <w:t>--------------</w:t>
      </w:r>
      <w:r w:rsidRPr="00C11E29">
        <w:rPr>
          <w:rFonts w:eastAsia="Palatino Linotype" w:cs="Palatino Linotype"/>
          <w:color w:val="000000"/>
          <w:szCs w:val="24"/>
        </w:rPr>
        <w:t>---------------------------------------------------------------------------------------------------------------------</w:t>
      </w:r>
      <w:r w:rsidR="00BB2A3A" w:rsidRPr="00C11E29">
        <w:rPr>
          <w:rFonts w:eastAsia="Palatino Linotype" w:cs="Palatino Linotype"/>
          <w:color w:val="000000"/>
          <w:szCs w:val="24"/>
        </w:rPr>
        <w:t>---------------------</w:t>
      </w:r>
      <w:r w:rsidR="00235736" w:rsidRPr="00C11E29">
        <w:rPr>
          <w:rFonts w:eastAsia="Palatino Linotype" w:cs="Palatino Linotype"/>
          <w:color w:val="000000"/>
          <w:szCs w:val="24"/>
        </w:rPr>
        <w:t>----------------------------------------------------------------------------------------------------------------------</w:t>
      </w:r>
      <w:r w:rsidR="00B25DBA" w:rsidRPr="00C11E29">
        <w:rPr>
          <w:rFonts w:eastAsia="Palatino Linotype" w:cs="Palatino Linotype"/>
          <w:color w:val="000000"/>
          <w:szCs w:val="24"/>
        </w:rPr>
        <w:t>-----------------------------------------------------------------------------------------------------------------------------------------------------------------------------------------------------------------------------------------------------------------------</w:t>
      </w:r>
      <w:r w:rsidR="005C5EB4" w:rsidRPr="00C11E29">
        <w:rPr>
          <w:rFonts w:eastAsia="Palatino Linotype" w:cs="Palatino Linotype"/>
          <w:color w:val="000000"/>
          <w:szCs w:val="24"/>
        </w:rPr>
        <w:t>-----------------------------------------------------------------------------------------------------------------------------------------------------------------------------------</w:t>
      </w:r>
      <w:r w:rsidR="004F59BD" w:rsidRPr="00C11E29">
        <w:rPr>
          <w:rFonts w:eastAsia="Palatino Linotype" w:cs="Palatino Linotype"/>
          <w:color w:val="000000"/>
          <w:szCs w:val="24"/>
        </w:rPr>
        <w:t>--------------------------</w:t>
      </w:r>
      <w:r w:rsidR="00115960" w:rsidRPr="00C11E29">
        <w:rPr>
          <w:rFonts w:eastAsia="Palatino Linotype" w:cs="Palatino Linotype"/>
          <w:color w:val="000000"/>
          <w:szCs w:val="24"/>
        </w:rPr>
        <w:t>---------------------------------------------------------------------------------------------------------------------------------------------------------------------------------------------------------------------------------------------------------------------------------------------------------------------------------------------------------------------------------------------------------------------------------------------------------------------------------------------------------------------------------------------------------------------------------------------------------------------------------------------------------------------------------------------------------------------------------------------------------------------------------------------------------------------------------------------------------------------------------------------------------------------------------------------------------------------------------------------------------------------------------------------------------------------------------------------------------------------------------------------------------------------------------------------------------------------------------------------------------------------------------------------------------------------------------------------------------------------------------------------------------------------------------------------------------------------------------------------------------------------------------------------------------------------------------</w:t>
      </w:r>
      <w:r w:rsidR="00D36791" w:rsidRPr="00C11E29">
        <w:rPr>
          <w:rFonts w:eastAsia="Palatino Linotype" w:cs="Palatino Linotype"/>
          <w:color w:val="000000"/>
          <w:szCs w:val="24"/>
        </w:rPr>
        <w:t>-----------------------------</w:t>
      </w:r>
    </w:p>
    <w:p w14:paraId="4DA57669" w14:textId="77777777" w:rsidR="00A970D5" w:rsidRPr="004B7011" w:rsidRDefault="00A970D5" w:rsidP="00235736">
      <w:pPr>
        <w:pBdr>
          <w:top w:val="nil"/>
          <w:left w:val="nil"/>
          <w:bottom w:val="nil"/>
          <w:right w:val="nil"/>
          <w:between w:val="nil"/>
        </w:pBdr>
        <w:spacing w:line="240" w:lineRule="auto"/>
        <w:ind w:right="-8"/>
        <w:contextualSpacing/>
        <w:rPr>
          <w:rFonts w:eastAsia="Palatino Linotype" w:cs="Palatino Linotype"/>
          <w:color w:val="000000"/>
          <w:sz w:val="20"/>
          <w:szCs w:val="20"/>
        </w:rPr>
      </w:pPr>
      <w:r w:rsidRPr="00C11E29">
        <w:rPr>
          <w:rFonts w:eastAsia="Palatino Linotype" w:cs="Palatino Linotype"/>
          <w:color w:val="000000"/>
          <w:sz w:val="20"/>
          <w:szCs w:val="20"/>
        </w:rPr>
        <w:t>JMV/CCR/</w:t>
      </w:r>
      <w:proofErr w:type="spellStart"/>
      <w:r w:rsidRPr="00C11E29">
        <w:rPr>
          <w:rFonts w:eastAsia="Palatino Linotype" w:cs="Palatino Linotype"/>
          <w:color w:val="000000"/>
          <w:sz w:val="20"/>
          <w:szCs w:val="20"/>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F04C02">
      <w:headerReference w:type="even" r:id="rId12"/>
      <w:headerReference w:type="default" r:id="rId13"/>
      <w:footerReference w:type="default" r:id="rId14"/>
      <w:headerReference w:type="first" r:id="rId15"/>
      <w:footerReference w:type="first" r:id="rId16"/>
      <w:pgSz w:w="12240" w:h="1584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F453F" w14:textId="77777777" w:rsidR="00B57EA0" w:rsidRDefault="00B57EA0" w:rsidP="00F2498E">
      <w:pPr>
        <w:spacing w:line="240" w:lineRule="auto"/>
      </w:pPr>
      <w:r>
        <w:separator/>
      </w:r>
    </w:p>
  </w:endnote>
  <w:endnote w:type="continuationSeparator" w:id="0">
    <w:p w14:paraId="2E302BF5" w14:textId="77777777" w:rsidR="00B57EA0" w:rsidRDefault="00B57EA0" w:rsidP="00F2498E">
      <w:pPr>
        <w:spacing w:line="240" w:lineRule="auto"/>
      </w:pPr>
      <w:r>
        <w:continuationSeparator/>
      </w:r>
    </w:p>
  </w:endnote>
  <w:endnote w:type="continuationNotice" w:id="1">
    <w:p w14:paraId="3C1471B3" w14:textId="77777777" w:rsidR="00B57EA0" w:rsidRDefault="00B57E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8240F4" w:rsidRPr="00871A91" w:rsidRDefault="008240F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9547B">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9547B">
      <w:rPr>
        <w:rFonts w:ascii="Palatino Linotype" w:hAnsi="Palatino Linotype"/>
        <w:b/>
        <w:bCs/>
        <w:noProof/>
        <w:sz w:val="20"/>
      </w:rPr>
      <w:t>33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8240F4" w:rsidRPr="00871A91" w:rsidRDefault="008240F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9547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9547B">
      <w:rPr>
        <w:rFonts w:ascii="Palatino Linotype" w:hAnsi="Palatino Linotype"/>
        <w:b/>
        <w:bCs/>
        <w:noProof/>
        <w:sz w:val="20"/>
      </w:rPr>
      <w:t>33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2D5E9" w14:textId="77777777" w:rsidR="00B57EA0" w:rsidRDefault="00B57EA0" w:rsidP="00F2498E">
      <w:pPr>
        <w:spacing w:line="240" w:lineRule="auto"/>
      </w:pPr>
      <w:r>
        <w:separator/>
      </w:r>
    </w:p>
  </w:footnote>
  <w:footnote w:type="continuationSeparator" w:id="0">
    <w:p w14:paraId="0DF1FF0A" w14:textId="77777777" w:rsidR="00B57EA0" w:rsidRDefault="00B57EA0" w:rsidP="00F2498E">
      <w:pPr>
        <w:spacing w:line="240" w:lineRule="auto"/>
      </w:pPr>
      <w:r>
        <w:continuationSeparator/>
      </w:r>
    </w:p>
  </w:footnote>
  <w:footnote w:type="continuationNotice" w:id="1">
    <w:p w14:paraId="66049961" w14:textId="77777777" w:rsidR="00B57EA0" w:rsidRDefault="00B57EA0">
      <w:pPr>
        <w:spacing w:line="240" w:lineRule="auto"/>
      </w:pPr>
    </w:p>
  </w:footnote>
  <w:footnote w:id="2">
    <w:p w14:paraId="7822D80A" w14:textId="77777777" w:rsidR="008240F4" w:rsidRPr="0031280C" w:rsidRDefault="008240F4" w:rsidP="00B728EA">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BC6F955" w14:textId="77777777" w:rsidR="008240F4" w:rsidRPr="0031280C" w:rsidRDefault="008240F4" w:rsidP="00B728EA">
      <w:pPr>
        <w:pBdr>
          <w:top w:val="nil"/>
          <w:left w:val="nil"/>
          <w:bottom w:val="nil"/>
          <w:right w:val="nil"/>
          <w:between w:val="nil"/>
        </w:pBdr>
        <w:spacing w:line="240" w:lineRule="auto"/>
        <w:rPr>
          <w:rFonts w:eastAsia="Palatino Linotype" w:cs="Palatino Linotype"/>
          <w:color w:val="000000"/>
          <w:sz w:val="20"/>
          <w:szCs w:val="20"/>
        </w:rPr>
      </w:pPr>
    </w:p>
    <w:p w14:paraId="4B581BE7" w14:textId="77777777" w:rsidR="008240F4" w:rsidRPr="0031280C" w:rsidRDefault="008240F4" w:rsidP="00B728EA">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E3347A9" w14:textId="77777777" w:rsidR="008240F4" w:rsidRPr="0031280C" w:rsidRDefault="008240F4" w:rsidP="00B728EA">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8240F4" w:rsidRDefault="0089547B">
    <w:pPr>
      <w:pStyle w:val="Encabezado"/>
    </w:pPr>
    <w:r>
      <w:rPr>
        <w:noProof/>
        <w:lang w:val="es-MX" w:eastAsia="es-MX"/>
      </w:rPr>
      <w:pict w14:anchorId="383A6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4099"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240F4" w:rsidRPr="00B17577" w14:paraId="37B9EBDE" w14:textId="77777777" w:rsidTr="003938ED">
      <w:trPr>
        <w:trHeight w:val="227"/>
      </w:trPr>
      <w:tc>
        <w:tcPr>
          <w:tcW w:w="5103" w:type="dxa"/>
          <w:hideMark/>
        </w:tcPr>
        <w:p w14:paraId="4964FBC5" w14:textId="54CDA645" w:rsidR="008240F4" w:rsidRPr="00096248" w:rsidRDefault="008240F4"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4AE624FB" w:rsidR="008240F4" w:rsidRPr="00096248" w:rsidRDefault="00DE2799" w:rsidP="00011C4D">
          <w:pPr>
            <w:spacing w:after="120" w:line="240" w:lineRule="auto"/>
            <w:ind w:right="71"/>
            <w:jc w:val="right"/>
            <w:rPr>
              <w:rFonts w:cs="Arial"/>
              <w:b/>
              <w:szCs w:val="24"/>
            </w:rPr>
          </w:pPr>
          <w:r>
            <w:rPr>
              <w:rFonts w:cs="Arial"/>
              <w:b/>
              <w:bCs/>
              <w:szCs w:val="24"/>
            </w:rPr>
            <w:t>0</w:t>
          </w:r>
          <w:r w:rsidR="00D36791">
            <w:rPr>
              <w:rFonts w:cs="Arial"/>
              <w:b/>
              <w:bCs/>
              <w:szCs w:val="24"/>
            </w:rPr>
            <w:t>4770</w:t>
          </w:r>
          <w:r w:rsidR="008240F4" w:rsidRPr="001D0070">
            <w:rPr>
              <w:rFonts w:cs="Arial"/>
              <w:b/>
              <w:bCs/>
              <w:szCs w:val="24"/>
            </w:rPr>
            <w:t>/INFOEM/IP/RR/2023</w:t>
          </w:r>
        </w:p>
      </w:tc>
    </w:tr>
    <w:tr w:rsidR="008240F4" w14:paraId="7591D3C9" w14:textId="77777777" w:rsidTr="003938ED">
      <w:trPr>
        <w:trHeight w:val="242"/>
      </w:trPr>
      <w:tc>
        <w:tcPr>
          <w:tcW w:w="5103" w:type="dxa"/>
          <w:hideMark/>
        </w:tcPr>
        <w:p w14:paraId="729A65A8" w14:textId="77777777" w:rsidR="008240F4" w:rsidRPr="00096248" w:rsidRDefault="008240F4"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34E71BB" w:rsidR="008240F4" w:rsidRPr="00096248" w:rsidRDefault="00DE2799" w:rsidP="00100663">
          <w:pPr>
            <w:spacing w:after="120" w:line="240" w:lineRule="auto"/>
            <w:ind w:left="-81" w:right="71"/>
            <w:jc w:val="right"/>
            <w:rPr>
              <w:rFonts w:cs="Arial"/>
              <w:szCs w:val="24"/>
            </w:rPr>
          </w:pPr>
          <w:r w:rsidRPr="00DE2799">
            <w:rPr>
              <w:rFonts w:cs="Arial"/>
              <w:szCs w:val="24"/>
            </w:rPr>
            <w:t xml:space="preserve">Ayuntamiento de </w:t>
          </w:r>
          <w:r w:rsidR="00DA7D12">
            <w:rPr>
              <w:rFonts w:cs="Arial"/>
              <w:szCs w:val="24"/>
            </w:rPr>
            <w:t>Zinacantepec</w:t>
          </w:r>
        </w:p>
      </w:tc>
    </w:tr>
    <w:tr w:rsidR="008240F4" w:rsidRPr="00F63239" w14:paraId="037E914D" w14:textId="77777777" w:rsidTr="003938ED">
      <w:trPr>
        <w:trHeight w:val="342"/>
      </w:trPr>
      <w:tc>
        <w:tcPr>
          <w:tcW w:w="5103" w:type="dxa"/>
          <w:hideMark/>
        </w:tcPr>
        <w:p w14:paraId="7676B68F" w14:textId="64D69EAF" w:rsidR="008240F4" w:rsidRPr="00096248" w:rsidRDefault="008240F4"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8240F4" w:rsidRDefault="008240F4"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8240F4" w:rsidRPr="00711916" w:rsidRDefault="008240F4" w:rsidP="00011C4D">
          <w:pPr>
            <w:spacing w:after="120" w:line="240" w:lineRule="auto"/>
            <w:ind w:left="-486" w:right="71" w:firstLine="567"/>
            <w:jc w:val="right"/>
            <w:rPr>
              <w:rFonts w:cs="Arial"/>
              <w:sz w:val="2"/>
              <w:szCs w:val="2"/>
            </w:rPr>
          </w:pPr>
        </w:p>
      </w:tc>
    </w:tr>
  </w:tbl>
  <w:p w14:paraId="2998DBFD" w14:textId="25A9F426" w:rsidR="008240F4" w:rsidRPr="00871A91" w:rsidRDefault="0089547B">
    <w:pPr>
      <w:pStyle w:val="Encabezado"/>
      <w:rPr>
        <w:sz w:val="2"/>
      </w:rPr>
    </w:pPr>
    <w:r>
      <w:rPr>
        <w:noProof/>
        <w:lang w:val="es-MX" w:eastAsia="es-MX"/>
      </w:rPr>
      <w:pict w14:anchorId="2F66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4098" type="#_x0000_t75" alt="" style="position:absolute;left:0;text-align:left;margin-left:-81.25pt;margin-top:-146.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8240F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240F4" w14:paraId="0F9FE9B6" w14:textId="77777777" w:rsidTr="003938ED">
      <w:trPr>
        <w:trHeight w:val="227"/>
      </w:trPr>
      <w:tc>
        <w:tcPr>
          <w:tcW w:w="5103" w:type="dxa"/>
          <w:hideMark/>
        </w:tcPr>
        <w:p w14:paraId="6D1D9D71" w14:textId="11150E5A" w:rsidR="008240F4" w:rsidRPr="00663A37" w:rsidRDefault="008240F4"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8E8F15D" w:rsidR="008240F4" w:rsidRPr="00C81ECD" w:rsidRDefault="00DE2799" w:rsidP="00011C4D">
          <w:pPr>
            <w:spacing w:after="120" w:line="240" w:lineRule="auto"/>
            <w:ind w:left="-486" w:right="68" w:firstLine="558"/>
            <w:jc w:val="right"/>
            <w:rPr>
              <w:rFonts w:cs="Arial"/>
              <w:b/>
              <w:szCs w:val="24"/>
            </w:rPr>
          </w:pPr>
          <w:r>
            <w:rPr>
              <w:rFonts w:cs="Arial"/>
              <w:b/>
              <w:bCs/>
              <w:szCs w:val="24"/>
            </w:rPr>
            <w:t>0</w:t>
          </w:r>
          <w:r w:rsidR="00D36791">
            <w:rPr>
              <w:rFonts w:cs="Arial"/>
              <w:b/>
              <w:bCs/>
              <w:szCs w:val="24"/>
            </w:rPr>
            <w:t>4770</w:t>
          </w:r>
          <w:r w:rsidR="008240F4" w:rsidRPr="001D0070">
            <w:rPr>
              <w:rFonts w:cs="Arial"/>
              <w:b/>
              <w:bCs/>
              <w:szCs w:val="24"/>
            </w:rPr>
            <w:t>/INFOEM/IP/RR/2023</w:t>
          </w:r>
        </w:p>
      </w:tc>
    </w:tr>
    <w:tr w:rsidR="008240F4" w:rsidRPr="001F57CD" w14:paraId="1377D264" w14:textId="77777777" w:rsidTr="003938ED">
      <w:trPr>
        <w:trHeight w:val="196"/>
      </w:trPr>
      <w:tc>
        <w:tcPr>
          <w:tcW w:w="5103" w:type="dxa"/>
          <w:hideMark/>
        </w:tcPr>
        <w:p w14:paraId="04D597A1" w14:textId="77777777" w:rsidR="008240F4" w:rsidRPr="00663A37" w:rsidRDefault="008240F4"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0561587B" w:rsidR="008240F4" w:rsidRPr="00663A37" w:rsidRDefault="0089547B" w:rsidP="00011C4D">
          <w:pPr>
            <w:spacing w:after="120" w:line="240" w:lineRule="auto"/>
            <w:ind w:right="68"/>
            <w:jc w:val="right"/>
            <w:rPr>
              <w:rFonts w:cs="Arial"/>
              <w:szCs w:val="24"/>
            </w:rPr>
          </w:pPr>
          <w:r>
            <w:rPr>
              <w:rFonts w:cs="Arial"/>
              <w:szCs w:val="24"/>
            </w:rPr>
            <w:t>XXXX</w:t>
          </w:r>
        </w:p>
      </w:tc>
    </w:tr>
    <w:tr w:rsidR="008240F4" w14:paraId="4DC11993" w14:textId="77777777" w:rsidTr="003938ED">
      <w:trPr>
        <w:trHeight w:val="242"/>
      </w:trPr>
      <w:tc>
        <w:tcPr>
          <w:tcW w:w="5103" w:type="dxa"/>
          <w:hideMark/>
        </w:tcPr>
        <w:p w14:paraId="76CEF1B5" w14:textId="77777777" w:rsidR="008240F4" w:rsidRPr="00663A37" w:rsidRDefault="008240F4"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7D02410" w:rsidR="008240F4" w:rsidRPr="00663A37" w:rsidRDefault="00DE2799" w:rsidP="00DE2799">
          <w:pPr>
            <w:spacing w:after="120" w:line="240" w:lineRule="auto"/>
            <w:ind w:left="-70" w:right="68"/>
            <w:jc w:val="right"/>
            <w:rPr>
              <w:rFonts w:cs="Arial"/>
              <w:szCs w:val="24"/>
            </w:rPr>
          </w:pPr>
          <w:r>
            <w:rPr>
              <w:rFonts w:cs="Arial"/>
              <w:szCs w:val="24"/>
            </w:rPr>
            <w:t xml:space="preserve">Ayuntamiento de </w:t>
          </w:r>
          <w:r w:rsidR="00DA7D12">
            <w:rPr>
              <w:rFonts w:cs="Arial"/>
              <w:szCs w:val="24"/>
            </w:rPr>
            <w:t>Zinacantepec</w:t>
          </w:r>
        </w:p>
      </w:tc>
    </w:tr>
    <w:tr w:rsidR="008240F4" w14:paraId="5C2B511D" w14:textId="77777777" w:rsidTr="003938ED">
      <w:trPr>
        <w:trHeight w:val="342"/>
      </w:trPr>
      <w:tc>
        <w:tcPr>
          <w:tcW w:w="5103" w:type="dxa"/>
          <w:hideMark/>
        </w:tcPr>
        <w:p w14:paraId="03FEF68C" w14:textId="45E91CF4" w:rsidR="008240F4" w:rsidRPr="00663A37" w:rsidRDefault="008240F4"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8240F4" w:rsidRPr="00663A37" w:rsidRDefault="008240F4"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8240F4" w:rsidRPr="00871A91" w:rsidRDefault="0089547B">
    <w:pPr>
      <w:pStyle w:val="Encabezado"/>
      <w:rPr>
        <w:sz w:val="2"/>
      </w:rPr>
    </w:pPr>
    <w:r>
      <w:rPr>
        <w:noProof/>
        <w:lang w:val="es-MX" w:eastAsia="es-MX"/>
      </w:rPr>
      <w:pict w14:anchorId="6E8B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left:0;text-align:left;margin-left:-81.95pt;margin-top:-146.4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8240F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1B4E1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4"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35CB7CB8"/>
    <w:multiLevelType w:val="hybridMultilevel"/>
    <w:tmpl w:val="BE927FBC"/>
    <w:lvl w:ilvl="0" w:tplc="536CA59C">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D278A4"/>
    <w:multiLevelType w:val="hybridMultilevel"/>
    <w:tmpl w:val="7160FAA8"/>
    <w:lvl w:ilvl="0" w:tplc="BEE4EC0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27"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96121A"/>
    <w:multiLevelType w:val="hybridMultilevel"/>
    <w:tmpl w:val="8B584792"/>
    <w:lvl w:ilvl="0" w:tplc="0E089F44">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4" w15:restartNumberingAfterBreak="0">
    <w:nsid w:val="7C7D0EA7"/>
    <w:multiLevelType w:val="hybridMultilevel"/>
    <w:tmpl w:val="B6986D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27"/>
  </w:num>
  <w:num w:numId="3">
    <w:abstractNumId w:val="5"/>
  </w:num>
  <w:num w:numId="4">
    <w:abstractNumId w:val="22"/>
  </w:num>
  <w:num w:numId="5">
    <w:abstractNumId w:val="20"/>
  </w:num>
  <w:num w:numId="6">
    <w:abstractNumId w:val="8"/>
  </w:num>
  <w:num w:numId="7">
    <w:abstractNumId w:val="24"/>
  </w:num>
  <w:num w:numId="8">
    <w:abstractNumId w:val="32"/>
  </w:num>
  <w:num w:numId="9">
    <w:abstractNumId w:val="26"/>
  </w:num>
  <w:num w:numId="10">
    <w:abstractNumId w:val="4"/>
  </w:num>
  <w:num w:numId="11">
    <w:abstractNumId w:val="23"/>
  </w:num>
  <w:num w:numId="12">
    <w:abstractNumId w:val="9"/>
  </w:num>
  <w:num w:numId="13">
    <w:abstractNumId w:val="10"/>
  </w:num>
  <w:num w:numId="14">
    <w:abstractNumId w:val="21"/>
  </w:num>
  <w:num w:numId="15">
    <w:abstractNumId w:val="13"/>
  </w:num>
  <w:num w:numId="16">
    <w:abstractNumId w:val="28"/>
  </w:num>
  <w:num w:numId="17">
    <w:abstractNumId w:val="30"/>
  </w:num>
  <w:num w:numId="18">
    <w:abstractNumId w:val="2"/>
  </w:num>
  <w:num w:numId="19">
    <w:abstractNumId w:val="25"/>
  </w:num>
  <w:num w:numId="20">
    <w:abstractNumId w:val="7"/>
  </w:num>
  <w:num w:numId="21">
    <w:abstractNumId w:val="17"/>
  </w:num>
  <w:num w:numId="22">
    <w:abstractNumId w:val="3"/>
  </w:num>
  <w:num w:numId="23">
    <w:abstractNumId w:val="1"/>
  </w:num>
  <w:num w:numId="24">
    <w:abstractNumId w:val="11"/>
  </w:num>
  <w:num w:numId="25">
    <w:abstractNumId w:val="14"/>
  </w:num>
  <w:num w:numId="26">
    <w:abstractNumId w:val="12"/>
  </w:num>
  <w:num w:numId="27">
    <w:abstractNumId w:val="31"/>
  </w:num>
  <w:num w:numId="28">
    <w:abstractNumId w:val="29"/>
  </w:num>
  <w:num w:numId="29">
    <w:abstractNumId w:val="6"/>
  </w:num>
  <w:num w:numId="30">
    <w:abstractNumId w:val="18"/>
  </w:num>
  <w:num w:numId="31">
    <w:abstractNumId w:val="15"/>
  </w:num>
  <w:num w:numId="32">
    <w:abstractNumId w:val="35"/>
  </w:num>
  <w:num w:numId="33">
    <w:abstractNumId w:val="33"/>
  </w:num>
  <w:num w:numId="34">
    <w:abstractNumId w:val="19"/>
  </w:num>
  <w:num w:numId="35">
    <w:abstractNumId w:val="34"/>
  </w:num>
  <w:num w:numId="3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A2"/>
    <w:rsid w:val="00002C6A"/>
    <w:rsid w:val="00002CED"/>
    <w:rsid w:val="00003412"/>
    <w:rsid w:val="000034AA"/>
    <w:rsid w:val="00003F45"/>
    <w:rsid w:val="00004014"/>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521B"/>
    <w:rsid w:val="0003577D"/>
    <w:rsid w:val="00035A30"/>
    <w:rsid w:val="0003692B"/>
    <w:rsid w:val="00036D5F"/>
    <w:rsid w:val="00036EFC"/>
    <w:rsid w:val="000405E6"/>
    <w:rsid w:val="00040A10"/>
    <w:rsid w:val="00041421"/>
    <w:rsid w:val="00041670"/>
    <w:rsid w:val="000417BE"/>
    <w:rsid w:val="00041AE7"/>
    <w:rsid w:val="00041DEA"/>
    <w:rsid w:val="00042C95"/>
    <w:rsid w:val="00045F86"/>
    <w:rsid w:val="00046A15"/>
    <w:rsid w:val="00050D85"/>
    <w:rsid w:val="00050FF1"/>
    <w:rsid w:val="00051732"/>
    <w:rsid w:val="00051F5E"/>
    <w:rsid w:val="00051F7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935"/>
    <w:rsid w:val="00087AFB"/>
    <w:rsid w:val="00087F54"/>
    <w:rsid w:val="0009020C"/>
    <w:rsid w:val="00090297"/>
    <w:rsid w:val="00090A37"/>
    <w:rsid w:val="00091848"/>
    <w:rsid w:val="00092681"/>
    <w:rsid w:val="00092D82"/>
    <w:rsid w:val="0009320C"/>
    <w:rsid w:val="0009328A"/>
    <w:rsid w:val="0009397B"/>
    <w:rsid w:val="00094B23"/>
    <w:rsid w:val="00094FD7"/>
    <w:rsid w:val="000951B9"/>
    <w:rsid w:val="0009609D"/>
    <w:rsid w:val="00096248"/>
    <w:rsid w:val="00097890"/>
    <w:rsid w:val="000A00BB"/>
    <w:rsid w:val="000A110B"/>
    <w:rsid w:val="000A1D0D"/>
    <w:rsid w:val="000A2CA6"/>
    <w:rsid w:val="000A2F65"/>
    <w:rsid w:val="000A3F41"/>
    <w:rsid w:val="000A4202"/>
    <w:rsid w:val="000A4CE4"/>
    <w:rsid w:val="000A5EA1"/>
    <w:rsid w:val="000B1F27"/>
    <w:rsid w:val="000B2390"/>
    <w:rsid w:val="000B28CF"/>
    <w:rsid w:val="000B491D"/>
    <w:rsid w:val="000B51CE"/>
    <w:rsid w:val="000B5608"/>
    <w:rsid w:val="000B65C3"/>
    <w:rsid w:val="000C0203"/>
    <w:rsid w:val="000C03A4"/>
    <w:rsid w:val="000C066A"/>
    <w:rsid w:val="000C0E5D"/>
    <w:rsid w:val="000C2D59"/>
    <w:rsid w:val="000C416A"/>
    <w:rsid w:val="000C51AF"/>
    <w:rsid w:val="000C568A"/>
    <w:rsid w:val="000C661C"/>
    <w:rsid w:val="000C7472"/>
    <w:rsid w:val="000C7F8F"/>
    <w:rsid w:val="000D0CD3"/>
    <w:rsid w:val="000D14DA"/>
    <w:rsid w:val="000D2C63"/>
    <w:rsid w:val="000D3C8A"/>
    <w:rsid w:val="000D422C"/>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0663"/>
    <w:rsid w:val="0010147E"/>
    <w:rsid w:val="0010149D"/>
    <w:rsid w:val="00103C89"/>
    <w:rsid w:val="00103D8C"/>
    <w:rsid w:val="00104611"/>
    <w:rsid w:val="001050A9"/>
    <w:rsid w:val="001059AF"/>
    <w:rsid w:val="001067FE"/>
    <w:rsid w:val="00107256"/>
    <w:rsid w:val="001107C4"/>
    <w:rsid w:val="0011110C"/>
    <w:rsid w:val="001116B7"/>
    <w:rsid w:val="0011295F"/>
    <w:rsid w:val="00114C24"/>
    <w:rsid w:val="00114F1E"/>
    <w:rsid w:val="00115495"/>
    <w:rsid w:val="00115960"/>
    <w:rsid w:val="00116E4B"/>
    <w:rsid w:val="00116F6B"/>
    <w:rsid w:val="00121842"/>
    <w:rsid w:val="00121F46"/>
    <w:rsid w:val="001235A0"/>
    <w:rsid w:val="00123A80"/>
    <w:rsid w:val="00123D0B"/>
    <w:rsid w:val="00130C18"/>
    <w:rsid w:val="00131262"/>
    <w:rsid w:val="00131C40"/>
    <w:rsid w:val="00131C54"/>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61"/>
    <w:rsid w:val="00151FF5"/>
    <w:rsid w:val="00152B40"/>
    <w:rsid w:val="001530E5"/>
    <w:rsid w:val="00154F75"/>
    <w:rsid w:val="001552C5"/>
    <w:rsid w:val="00155CC6"/>
    <w:rsid w:val="00155F53"/>
    <w:rsid w:val="001564E3"/>
    <w:rsid w:val="00156699"/>
    <w:rsid w:val="001568D5"/>
    <w:rsid w:val="00157D2B"/>
    <w:rsid w:val="001602ED"/>
    <w:rsid w:val="00160608"/>
    <w:rsid w:val="001624E8"/>
    <w:rsid w:val="0016322B"/>
    <w:rsid w:val="0016339A"/>
    <w:rsid w:val="0016392B"/>
    <w:rsid w:val="00165898"/>
    <w:rsid w:val="00166171"/>
    <w:rsid w:val="00167DF0"/>
    <w:rsid w:val="00171192"/>
    <w:rsid w:val="00171AAD"/>
    <w:rsid w:val="00171BBC"/>
    <w:rsid w:val="00171F77"/>
    <w:rsid w:val="0017292D"/>
    <w:rsid w:val="00172A77"/>
    <w:rsid w:val="00172A87"/>
    <w:rsid w:val="0017523B"/>
    <w:rsid w:val="00175B42"/>
    <w:rsid w:val="0017633C"/>
    <w:rsid w:val="00176522"/>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D28"/>
    <w:rsid w:val="001A0E96"/>
    <w:rsid w:val="001A1BDB"/>
    <w:rsid w:val="001A316F"/>
    <w:rsid w:val="001A3982"/>
    <w:rsid w:val="001A3C5F"/>
    <w:rsid w:val="001A3F75"/>
    <w:rsid w:val="001A4BDF"/>
    <w:rsid w:val="001A6797"/>
    <w:rsid w:val="001A6849"/>
    <w:rsid w:val="001A773B"/>
    <w:rsid w:val="001B0259"/>
    <w:rsid w:val="001B0262"/>
    <w:rsid w:val="001B28D1"/>
    <w:rsid w:val="001B3FD2"/>
    <w:rsid w:val="001B4435"/>
    <w:rsid w:val="001B482D"/>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0070"/>
    <w:rsid w:val="001D1B77"/>
    <w:rsid w:val="001D225B"/>
    <w:rsid w:val="001D3563"/>
    <w:rsid w:val="001D3687"/>
    <w:rsid w:val="001D3EE2"/>
    <w:rsid w:val="001D41E0"/>
    <w:rsid w:val="001D4382"/>
    <w:rsid w:val="001D6CA8"/>
    <w:rsid w:val="001E04CC"/>
    <w:rsid w:val="001E1A95"/>
    <w:rsid w:val="001E2186"/>
    <w:rsid w:val="001E21A0"/>
    <w:rsid w:val="001E2646"/>
    <w:rsid w:val="001E2BA9"/>
    <w:rsid w:val="001E3430"/>
    <w:rsid w:val="001E35AE"/>
    <w:rsid w:val="001E4583"/>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357"/>
    <w:rsid w:val="00205455"/>
    <w:rsid w:val="00205FAC"/>
    <w:rsid w:val="00206139"/>
    <w:rsid w:val="00206A67"/>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DBC"/>
    <w:rsid w:val="00230E13"/>
    <w:rsid w:val="0023118D"/>
    <w:rsid w:val="00232621"/>
    <w:rsid w:val="0023293E"/>
    <w:rsid w:val="00232A7A"/>
    <w:rsid w:val="00232DA5"/>
    <w:rsid w:val="00232F2F"/>
    <w:rsid w:val="00232F87"/>
    <w:rsid w:val="002338B9"/>
    <w:rsid w:val="00234061"/>
    <w:rsid w:val="002349A9"/>
    <w:rsid w:val="00234E3C"/>
    <w:rsid w:val="00235736"/>
    <w:rsid w:val="0023573F"/>
    <w:rsid w:val="00236B9A"/>
    <w:rsid w:val="002372F0"/>
    <w:rsid w:val="00240046"/>
    <w:rsid w:val="00241201"/>
    <w:rsid w:val="002432E1"/>
    <w:rsid w:val="00243315"/>
    <w:rsid w:val="002437A2"/>
    <w:rsid w:val="00244421"/>
    <w:rsid w:val="00245AC1"/>
    <w:rsid w:val="00246269"/>
    <w:rsid w:val="0024670D"/>
    <w:rsid w:val="00252443"/>
    <w:rsid w:val="002530AE"/>
    <w:rsid w:val="0025386E"/>
    <w:rsid w:val="00253E5E"/>
    <w:rsid w:val="002547B2"/>
    <w:rsid w:val="0025565C"/>
    <w:rsid w:val="00255FD1"/>
    <w:rsid w:val="00256CE0"/>
    <w:rsid w:val="00261886"/>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06D1"/>
    <w:rsid w:val="002811E3"/>
    <w:rsid w:val="002813B2"/>
    <w:rsid w:val="00282431"/>
    <w:rsid w:val="00282E9E"/>
    <w:rsid w:val="00283BBD"/>
    <w:rsid w:val="00283D5E"/>
    <w:rsid w:val="00284245"/>
    <w:rsid w:val="00285034"/>
    <w:rsid w:val="00285A94"/>
    <w:rsid w:val="00286AA3"/>
    <w:rsid w:val="00287C9D"/>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2203"/>
    <w:rsid w:val="002A51B8"/>
    <w:rsid w:val="002A5ADD"/>
    <w:rsid w:val="002A5FDF"/>
    <w:rsid w:val="002A650A"/>
    <w:rsid w:val="002A6FCE"/>
    <w:rsid w:val="002A7501"/>
    <w:rsid w:val="002B0EA1"/>
    <w:rsid w:val="002B317E"/>
    <w:rsid w:val="002B3CE2"/>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039"/>
    <w:rsid w:val="00340ADD"/>
    <w:rsid w:val="00341178"/>
    <w:rsid w:val="00341B42"/>
    <w:rsid w:val="00341DB4"/>
    <w:rsid w:val="003420E1"/>
    <w:rsid w:val="003423FC"/>
    <w:rsid w:val="0034444F"/>
    <w:rsid w:val="00344766"/>
    <w:rsid w:val="00344AD3"/>
    <w:rsid w:val="00345089"/>
    <w:rsid w:val="00345427"/>
    <w:rsid w:val="00345687"/>
    <w:rsid w:val="00345708"/>
    <w:rsid w:val="00346373"/>
    <w:rsid w:val="003467CD"/>
    <w:rsid w:val="003471F0"/>
    <w:rsid w:val="003505B2"/>
    <w:rsid w:val="0035063B"/>
    <w:rsid w:val="003519DC"/>
    <w:rsid w:val="00352677"/>
    <w:rsid w:val="0035393E"/>
    <w:rsid w:val="00355981"/>
    <w:rsid w:val="00357437"/>
    <w:rsid w:val="00360189"/>
    <w:rsid w:val="0036188D"/>
    <w:rsid w:val="00362013"/>
    <w:rsid w:val="00362136"/>
    <w:rsid w:val="003623F5"/>
    <w:rsid w:val="0036336C"/>
    <w:rsid w:val="003637A1"/>
    <w:rsid w:val="00364169"/>
    <w:rsid w:val="003647C3"/>
    <w:rsid w:val="00364C0A"/>
    <w:rsid w:val="0037112D"/>
    <w:rsid w:val="003713C2"/>
    <w:rsid w:val="0037145D"/>
    <w:rsid w:val="0037172A"/>
    <w:rsid w:val="0037269A"/>
    <w:rsid w:val="0037526D"/>
    <w:rsid w:val="0037545E"/>
    <w:rsid w:val="00376405"/>
    <w:rsid w:val="0038157C"/>
    <w:rsid w:val="0038209B"/>
    <w:rsid w:val="003839F9"/>
    <w:rsid w:val="00385421"/>
    <w:rsid w:val="00386A48"/>
    <w:rsid w:val="00386F51"/>
    <w:rsid w:val="00387CF3"/>
    <w:rsid w:val="00390611"/>
    <w:rsid w:val="00391DD0"/>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94C"/>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30DA"/>
    <w:rsid w:val="003C4A15"/>
    <w:rsid w:val="003C4FF5"/>
    <w:rsid w:val="003C57BF"/>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5F"/>
    <w:rsid w:val="003E468A"/>
    <w:rsid w:val="003E4972"/>
    <w:rsid w:val="003E606D"/>
    <w:rsid w:val="003E6C77"/>
    <w:rsid w:val="003E6E17"/>
    <w:rsid w:val="003E7594"/>
    <w:rsid w:val="003F2491"/>
    <w:rsid w:val="003F308A"/>
    <w:rsid w:val="003F4582"/>
    <w:rsid w:val="003F5D5C"/>
    <w:rsid w:val="003F6192"/>
    <w:rsid w:val="003F61FA"/>
    <w:rsid w:val="00400915"/>
    <w:rsid w:val="0040187C"/>
    <w:rsid w:val="00402CBA"/>
    <w:rsid w:val="00403319"/>
    <w:rsid w:val="00404754"/>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B00"/>
    <w:rsid w:val="00421DD1"/>
    <w:rsid w:val="004232C6"/>
    <w:rsid w:val="00423414"/>
    <w:rsid w:val="00426124"/>
    <w:rsid w:val="00426F24"/>
    <w:rsid w:val="00427EC3"/>
    <w:rsid w:val="00430C63"/>
    <w:rsid w:val="004310BB"/>
    <w:rsid w:val="004325EA"/>
    <w:rsid w:val="004338C7"/>
    <w:rsid w:val="00433E65"/>
    <w:rsid w:val="00434C3F"/>
    <w:rsid w:val="00434EAD"/>
    <w:rsid w:val="00437085"/>
    <w:rsid w:val="004406B5"/>
    <w:rsid w:val="004431D5"/>
    <w:rsid w:val="004436C5"/>
    <w:rsid w:val="00444E7F"/>
    <w:rsid w:val="00445514"/>
    <w:rsid w:val="0044558A"/>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529A"/>
    <w:rsid w:val="00487BBD"/>
    <w:rsid w:val="004900E8"/>
    <w:rsid w:val="0049095E"/>
    <w:rsid w:val="00490C99"/>
    <w:rsid w:val="0049216F"/>
    <w:rsid w:val="004928F5"/>
    <w:rsid w:val="004933FC"/>
    <w:rsid w:val="0049368A"/>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E3"/>
    <w:rsid w:val="004D571F"/>
    <w:rsid w:val="004D6095"/>
    <w:rsid w:val="004D66AD"/>
    <w:rsid w:val="004D6995"/>
    <w:rsid w:val="004D7EE2"/>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59BD"/>
    <w:rsid w:val="004F60C9"/>
    <w:rsid w:val="004F662C"/>
    <w:rsid w:val="004F6671"/>
    <w:rsid w:val="004F78C4"/>
    <w:rsid w:val="00500E29"/>
    <w:rsid w:val="00501E92"/>
    <w:rsid w:val="005025C7"/>
    <w:rsid w:val="00504B42"/>
    <w:rsid w:val="00506DB2"/>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2DFA"/>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921"/>
    <w:rsid w:val="00565C1E"/>
    <w:rsid w:val="005660D0"/>
    <w:rsid w:val="00566380"/>
    <w:rsid w:val="0056658C"/>
    <w:rsid w:val="00567D41"/>
    <w:rsid w:val="005701EF"/>
    <w:rsid w:val="00570367"/>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3CB"/>
    <w:rsid w:val="00587B1E"/>
    <w:rsid w:val="00587E84"/>
    <w:rsid w:val="005913E6"/>
    <w:rsid w:val="0059209A"/>
    <w:rsid w:val="00593725"/>
    <w:rsid w:val="005944ED"/>
    <w:rsid w:val="005964D7"/>
    <w:rsid w:val="00596D61"/>
    <w:rsid w:val="00597018"/>
    <w:rsid w:val="005A030B"/>
    <w:rsid w:val="005A0521"/>
    <w:rsid w:val="005A1C6D"/>
    <w:rsid w:val="005A1EA5"/>
    <w:rsid w:val="005A2CE7"/>
    <w:rsid w:val="005A2F92"/>
    <w:rsid w:val="005A43E7"/>
    <w:rsid w:val="005A4480"/>
    <w:rsid w:val="005A60E9"/>
    <w:rsid w:val="005A77E1"/>
    <w:rsid w:val="005A7E33"/>
    <w:rsid w:val="005B10CC"/>
    <w:rsid w:val="005B4D45"/>
    <w:rsid w:val="005B4E14"/>
    <w:rsid w:val="005B52A0"/>
    <w:rsid w:val="005B538B"/>
    <w:rsid w:val="005B6FFD"/>
    <w:rsid w:val="005B72D5"/>
    <w:rsid w:val="005C0894"/>
    <w:rsid w:val="005C16D1"/>
    <w:rsid w:val="005C196C"/>
    <w:rsid w:val="005C32BE"/>
    <w:rsid w:val="005C3DF3"/>
    <w:rsid w:val="005C5501"/>
    <w:rsid w:val="005C5AEA"/>
    <w:rsid w:val="005C5EB4"/>
    <w:rsid w:val="005C629E"/>
    <w:rsid w:val="005C798F"/>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7E9F"/>
    <w:rsid w:val="005F1439"/>
    <w:rsid w:val="005F21B0"/>
    <w:rsid w:val="005F30F1"/>
    <w:rsid w:val="005F3103"/>
    <w:rsid w:val="005F4D3D"/>
    <w:rsid w:val="005F5B10"/>
    <w:rsid w:val="005F6CAB"/>
    <w:rsid w:val="0060129A"/>
    <w:rsid w:val="0060244C"/>
    <w:rsid w:val="006055AB"/>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544"/>
    <w:rsid w:val="006818D9"/>
    <w:rsid w:val="006834AD"/>
    <w:rsid w:val="006838C7"/>
    <w:rsid w:val="00685A60"/>
    <w:rsid w:val="0068643A"/>
    <w:rsid w:val="00686CD9"/>
    <w:rsid w:val="00687F16"/>
    <w:rsid w:val="00690405"/>
    <w:rsid w:val="00690944"/>
    <w:rsid w:val="006914D2"/>
    <w:rsid w:val="00691C06"/>
    <w:rsid w:val="006922F5"/>
    <w:rsid w:val="00692DBD"/>
    <w:rsid w:val="00693CE2"/>
    <w:rsid w:val="0069448A"/>
    <w:rsid w:val="006950D6"/>
    <w:rsid w:val="006967F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D1EC8"/>
    <w:rsid w:val="006D2D2B"/>
    <w:rsid w:val="006D3F59"/>
    <w:rsid w:val="006D41A6"/>
    <w:rsid w:val="006D438A"/>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676C"/>
    <w:rsid w:val="006F6AB6"/>
    <w:rsid w:val="00700C90"/>
    <w:rsid w:val="00701D18"/>
    <w:rsid w:val="00701F34"/>
    <w:rsid w:val="007031A2"/>
    <w:rsid w:val="00704693"/>
    <w:rsid w:val="0070491A"/>
    <w:rsid w:val="00704AB9"/>
    <w:rsid w:val="007054D8"/>
    <w:rsid w:val="00706D47"/>
    <w:rsid w:val="007070E1"/>
    <w:rsid w:val="00711916"/>
    <w:rsid w:val="00711EE2"/>
    <w:rsid w:val="00712D71"/>
    <w:rsid w:val="007130DA"/>
    <w:rsid w:val="00713380"/>
    <w:rsid w:val="00713DD5"/>
    <w:rsid w:val="007147B9"/>
    <w:rsid w:val="0071601C"/>
    <w:rsid w:val="007167AE"/>
    <w:rsid w:val="00720D8F"/>
    <w:rsid w:val="0072119A"/>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665B"/>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96785"/>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4416"/>
    <w:rsid w:val="007B46BF"/>
    <w:rsid w:val="007B6DD8"/>
    <w:rsid w:val="007C009D"/>
    <w:rsid w:val="007C05DC"/>
    <w:rsid w:val="007C0FF7"/>
    <w:rsid w:val="007C14EE"/>
    <w:rsid w:val="007C17F1"/>
    <w:rsid w:val="007C3040"/>
    <w:rsid w:val="007C354C"/>
    <w:rsid w:val="007C35DF"/>
    <w:rsid w:val="007C3BA4"/>
    <w:rsid w:val="007C3BBF"/>
    <w:rsid w:val="007C44C8"/>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0F4"/>
    <w:rsid w:val="00824570"/>
    <w:rsid w:val="00824E58"/>
    <w:rsid w:val="008275DC"/>
    <w:rsid w:val="0082778F"/>
    <w:rsid w:val="00827D60"/>
    <w:rsid w:val="008302C5"/>
    <w:rsid w:val="00830AF7"/>
    <w:rsid w:val="00830D47"/>
    <w:rsid w:val="00831867"/>
    <w:rsid w:val="00831D6C"/>
    <w:rsid w:val="00832F6C"/>
    <w:rsid w:val="008341ED"/>
    <w:rsid w:val="008362CE"/>
    <w:rsid w:val="00837584"/>
    <w:rsid w:val="00841673"/>
    <w:rsid w:val="00841963"/>
    <w:rsid w:val="008441B1"/>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0A94"/>
    <w:rsid w:val="00891CFC"/>
    <w:rsid w:val="00891E79"/>
    <w:rsid w:val="008921AE"/>
    <w:rsid w:val="00895187"/>
    <w:rsid w:val="0089547B"/>
    <w:rsid w:val="00895BD3"/>
    <w:rsid w:val="00896EDC"/>
    <w:rsid w:val="00897CF4"/>
    <w:rsid w:val="008A06D7"/>
    <w:rsid w:val="008A0C9F"/>
    <w:rsid w:val="008A14F6"/>
    <w:rsid w:val="008A1645"/>
    <w:rsid w:val="008A3E6F"/>
    <w:rsid w:val="008A56C3"/>
    <w:rsid w:val="008A73A9"/>
    <w:rsid w:val="008A7EF2"/>
    <w:rsid w:val="008B003A"/>
    <w:rsid w:val="008B0DFB"/>
    <w:rsid w:val="008B2951"/>
    <w:rsid w:val="008B2BBB"/>
    <w:rsid w:val="008B389B"/>
    <w:rsid w:val="008B60D9"/>
    <w:rsid w:val="008B646D"/>
    <w:rsid w:val="008B6842"/>
    <w:rsid w:val="008B6CDF"/>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5682"/>
    <w:rsid w:val="008F1C22"/>
    <w:rsid w:val="008F2554"/>
    <w:rsid w:val="008F47DC"/>
    <w:rsid w:val="008F52B5"/>
    <w:rsid w:val="008F635E"/>
    <w:rsid w:val="008F738E"/>
    <w:rsid w:val="009002CE"/>
    <w:rsid w:val="009025FB"/>
    <w:rsid w:val="009029DB"/>
    <w:rsid w:val="009038A8"/>
    <w:rsid w:val="009042E8"/>
    <w:rsid w:val="00905C6E"/>
    <w:rsid w:val="0090753F"/>
    <w:rsid w:val="009118BA"/>
    <w:rsid w:val="00913E51"/>
    <w:rsid w:val="00914986"/>
    <w:rsid w:val="00914DFE"/>
    <w:rsid w:val="0091549C"/>
    <w:rsid w:val="0091614B"/>
    <w:rsid w:val="00916CEC"/>
    <w:rsid w:val="0091735D"/>
    <w:rsid w:val="0091759C"/>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2A88"/>
    <w:rsid w:val="00963717"/>
    <w:rsid w:val="00963E37"/>
    <w:rsid w:val="00964678"/>
    <w:rsid w:val="00965CC4"/>
    <w:rsid w:val="0096624D"/>
    <w:rsid w:val="00966A2E"/>
    <w:rsid w:val="009674D4"/>
    <w:rsid w:val="009676E3"/>
    <w:rsid w:val="00970143"/>
    <w:rsid w:val="00970B7F"/>
    <w:rsid w:val="00970C38"/>
    <w:rsid w:val="00971614"/>
    <w:rsid w:val="00972340"/>
    <w:rsid w:val="009752FA"/>
    <w:rsid w:val="00977693"/>
    <w:rsid w:val="00977BB1"/>
    <w:rsid w:val="009818E4"/>
    <w:rsid w:val="00982494"/>
    <w:rsid w:val="009845F3"/>
    <w:rsid w:val="009845FD"/>
    <w:rsid w:val="009849E0"/>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21A"/>
    <w:rsid w:val="009B3A1D"/>
    <w:rsid w:val="009B41F0"/>
    <w:rsid w:val="009B4F7E"/>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09"/>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4451"/>
    <w:rsid w:val="00A34742"/>
    <w:rsid w:val="00A35811"/>
    <w:rsid w:val="00A35D0A"/>
    <w:rsid w:val="00A37D64"/>
    <w:rsid w:val="00A40E66"/>
    <w:rsid w:val="00A40FB6"/>
    <w:rsid w:val="00A41712"/>
    <w:rsid w:val="00A42629"/>
    <w:rsid w:val="00A42FC0"/>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24B2"/>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54C"/>
    <w:rsid w:val="00A94751"/>
    <w:rsid w:val="00A954D7"/>
    <w:rsid w:val="00A95B2A"/>
    <w:rsid w:val="00A95E7F"/>
    <w:rsid w:val="00A96228"/>
    <w:rsid w:val="00A96DBD"/>
    <w:rsid w:val="00A970D5"/>
    <w:rsid w:val="00A97638"/>
    <w:rsid w:val="00A978AF"/>
    <w:rsid w:val="00AA0B4E"/>
    <w:rsid w:val="00AA1BBB"/>
    <w:rsid w:val="00AA1E74"/>
    <w:rsid w:val="00AA24D2"/>
    <w:rsid w:val="00AA423E"/>
    <w:rsid w:val="00AA7316"/>
    <w:rsid w:val="00AA78CE"/>
    <w:rsid w:val="00AA7F42"/>
    <w:rsid w:val="00AB0C12"/>
    <w:rsid w:val="00AB0FA7"/>
    <w:rsid w:val="00AB2605"/>
    <w:rsid w:val="00AB26D5"/>
    <w:rsid w:val="00AB3885"/>
    <w:rsid w:val="00AB49EA"/>
    <w:rsid w:val="00AB4F00"/>
    <w:rsid w:val="00AB5F3B"/>
    <w:rsid w:val="00AC004D"/>
    <w:rsid w:val="00AC09F1"/>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D7FA9"/>
    <w:rsid w:val="00AE19D1"/>
    <w:rsid w:val="00AE2666"/>
    <w:rsid w:val="00AE29DB"/>
    <w:rsid w:val="00AE2E9B"/>
    <w:rsid w:val="00AE3BE0"/>
    <w:rsid w:val="00AE50C7"/>
    <w:rsid w:val="00AE514C"/>
    <w:rsid w:val="00AE5D09"/>
    <w:rsid w:val="00AE6037"/>
    <w:rsid w:val="00AE6272"/>
    <w:rsid w:val="00AE6B11"/>
    <w:rsid w:val="00AE7EBC"/>
    <w:rsid w:val="00AF434D"/>
    <w:rsid w:val="00AF4BA6"/>
    <w:rsid w:val="00AF4EE4"/>
    <w:rsid w:val="00AF75A2"/>
    <w:rsid w:val="00B0036F"/>
    <w:rsid w:val="00B00C8E"/>
    <w:rsid w:val="00B02AA5"/>
    <w:rsid w:val="00B04F50"/>
    <w:rsid w:val="00B05CA6"/>
    <w:rsid w:val="00B1073D"/>
    <w:rsid w:val="00B11CD7"/>
    <w:rsid w:val="00B1205D"/>
    <w:rsid w:val="00B128F0"/>
    <w:rsid w:val="00B13307"/>
    <w:rsid w:val="00B1367C"/>
    <w:rsid w:val="00B13B7B"/>
    <w:rsid w:val="00B14F62"/>
    <w:rsid w:val="00B15202"/>
    <w:rsid w:val="00B1553A"/>
    <w:rsid w:val="00B15939"/>
    <w:rsid w:val="00B17577"/>
    <w:rsid w:val="00B21CD1"/>
    <w:rsid w:val="00B23256"/>
    <w:rsid w:val="00B24CF5"/>
    <w:rsid w:val="00B25DBA"/>
    <w:rsid w:val="00B26507"/>
    <w:rsid w:val="00B269CE"/>
    <w:rsid w:val="00B3055A"/>
    <w:rsid w:val="00B31CD8"/>
    <w:rsid w:val="00B32535"/>
    <w:rsid w:val="00B3277B"/>
    <w:rsid w:val="00B32B21"/>
    <w:rsid w:val="00B367AA"/>
    <w:rsid w:val="00B36B86"/>
    <w:rsid w:val="00B37176"/>
    <w:rsid w:val="00B373AA"/>
    <w:rsid w:val="00B37787"/>
    <w:rsid w:val="00B40823"/>
    <w:rsid w:val="00B40DF9"/>
    <w:rsid w:val="00B418C9"/>
    <w:rsid w:val="00B42083"/>
    <w:rsid w:val="00B42270"/>
    <w:rsid w:val="00B427A9"/>
    <w:rsid w:val="00B42ED1"/>
    <w:rsid w:val="00B43455"/>
    <w:rsid w:val="00B435F8"/>
    <w:rsid w:val="00B4620E"/>
    <w:rsid w:val="00B46CB0"/>
    <w:rsid w:val="00B4725D"/>
    <w:rsid w:val="00B52A3F"/>
    <w:rsid w:val="00B539AD"/>
    <w:rsid w:val="00B5462A"/>
    <w:rsid w:val="00B54BC7"/>
    <w:rsid w:val="00B565AE"/>
    <w:rsid w:val="00B56C15"/>
    <w:rsid w:val="00B57348"/>
    <w:rsid w:val="00B57EA0"/>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28EA"/>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97B0E"/>
    <w:rsid w:val="00BA088E"/>
    <w:rsid w:val="00BA152C"/>
    <w:rsid w:val="00BA2861"/>
    <w:rsid w:val="00BA3873"/>
    <w:rsid w:val="00BA636A"/>
    <w:rsid w:val="00BA6707"/>
    <w:rsid w:val="00BA74AF"/>
    <w:rsid w:val="00BA7C0B"/>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A07"/>
    <w:rsid w:val="00BE1E12"/>
    <w:rsid w:val="00BE346A"/>
    <w:rsid w:val="00BE46DF"/>
    <w:rsid w:val="00BE635E"/>
    <w:rsid w:val="00BE6364"/>
    <w:rsid w:val="00BE6D71"/>
    <w:rsid w:val="00BE718D"/>
    <w:rsid w:val="00BE7A12"/>
    <w:rsid w:val="00BE7ADF"/>
    <w:rsid w:val="00BE7CAE"/>
    <w:rsid w:val="00BF247A"/>
    <w:rsid w:val="00BF5945"/>
    <w:rsid w:val="00BF6362"/>
    <w:rsid w:val="00BF7293"/>
    <w:rsid w:val="00BF7B4F"/>
    <w:rsid w:val="00C009C1"/>
    <w:rsid w:val="00C01B8A"/>
    <w:rsid w:val="00C01E0C"/>
    <w:rsid w:val="00C01FED"/>
    <w:rsid w:val="00C02596"/>
    <w:rsid w:val="00C027B1"/>
    <w:rsid w:val="00C0468A"/>
    <w:rsid w:val="00C0496A"/>
    <w:rsid w:val="00C049A8"/>
    <w:rsid w:val="00C05398"/>
    <w:rsid w:val="00C056BE"/>
    <w:rsid w:val="00C06182"/>
    <w:rsid w:val="00C06249"/>
    <w:rsid w:val="00C068BC"/>
    <w:rsid w:val="00C07871"/>
    <w:rsid w:val="00C0787B"/>
    <w:rsid w:val="00C07B7F"/>
    <w:rsid w:val="00C07EC8"/>
    <w:rsid w:val="00C10243"/>
    <w:rsid w:val="00C10601"/>
    <w:rsid w:val="00C11E29"/>
    <w:rsid w:val="00C134F6"/>
    <w:rsid w:val="00C13C38"/>
    <w:rsid w:val="00C1424F"/>
    <w:rsid w:val="00C14933"/>
    <w:rsid w:val="00C14D71"/>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2F0F"/>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77CBD"/>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1E78"/>
    <w:rsid w:val="00CB2149"/>
    <w:rsid w:val="00CB2159"/>
    <w:rsid w:val="00CB252D"/>
    <w:rsid w:val="00CB4BBD"/>
    <w:rsid w:val="00CB4C86"/>
    <w:rsid w:val="00CB508B"/>
    <w:rsid w:val="00CB51F5"/>
    <w:rsid w:val="00CB5B7B"/>
    <w:rsid w:val="00CB5F3F"/>
    <w:rsid w:val="00CB6418"/>
    <w:rsid w:val="00CB740B"/>
    <w:rsid w:val="00CC0C48"/>
    <w:rsid w:val="00CC2F81"/>
    <w:rsid w:val="00CC3DCA"/>
    <w:rsid w:val="00CC435D"/>
    <w:rsid w:val="00CC4F1E"/>
    <w:rsid w:val="00CC5FBE"/>
    <w:rsid w:val="00CC66A0"/>
    <w:rsid w:val="00CC6A79"/>
    <w:rsid w:val="00CC6BC0"/>
    <w:rsid w:val="00CC7706"/>
    <w:rsid w:val="00CD0CAF"/>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CE1"/>
    <w:rsid w:val="00CE7E37"/>
    <w:rsid w:val="00CF0972"/>
    <w:rsid w:val="00CF0AE0"/>
    <w:rsid w:val="00CF120B"/>
    <w:rsid w:val="00CF13CB"/>
    <w:rsid w:val="00CF31B4"/>
    <w:rsid w:val="00CF4606"/>
    <w:rsid w:val="00CF4CEF"/>
    <w:rsid w:val="00CF6431"/>
    <w:rsid w:val="00CF6592"/>
    <w:rsid w:val="00CF6E52"/>
    <w:rsid w:val="00D00B10"/>
    <w:rsid w:val="00D00DC9"/>
    <w:rsid w:val="00D01DCF"/>
    <w:rsid w:val="00D01F15"/>
    <w:rsid w:val="00D02606"/>
    <w:rsid w:val="00D0448D"/>
    <w:rsid w:val="00D04514"/>
    <w:rsid w:val="00D05D6D"/>
    <w:rsid w:val="00D062B1"/>
    <w:rsid w:val="00D067C4"/>
    <w:rsid w:val="00D076D9"/>
    <w:rsid w:val="00D100BF"/>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6DE4"/>
    <w:rsid w:val="00D278F0"/>
    <w:rsid w:val="00D32986"/>
    <w:rsid w:val="00D3335D"/>
    <w:rsid w:val="00D338DB"/>
    <w:rsid w:val="00D3511F"/>
    <w:rsid w:val="00D360DF"/>
    <w:rsid w:val="00D36791"/>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6683"/>
    <w:rsid w:val="00D574A2"/>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2EDA"/>
    <w:rsid w:val="00DA432C"/>
    <w:rsid w:val="00DA4677"/>
    <w:rsid w:val="00DA5392"/>
    <w:rsid w:val="00DA7D12"/>
    <w:rsid w:val="00DB0034"/>
    <w:rsid w:val="00DB08A2"/>
    <w:rsid w:val="00DB0D6D"/>
    <w:rsid w:val="00DB1035"/>
    <w:rsid w:val="00DB1F84"/>
    <w:rsid w:val="00DB2F12"/>
    <w:rsid w:val="00DB44A1"/>
    <w:rsid w:val="00DB5CD7"/>
    <w:rsid w:val="00DB6647"/>
    <w:rsid w:val="00DB67DA"/>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799"/>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504E"/>
    <w:rsid w:val="00E1701F"/>
    <w:rsid w:val="00E2168A"/>
    <w:rsid w:val="00E22FD4"/>
    <w:rsid w:val="00E23A0E"/>
    <w:rsid w:val="00E23EE3"/>
    <w:rsid w:val="00E245A1"/>
    <w:rsid w:val="00E24831"/>
    <w:rsid w:val="00E25228"/>
    <w:rsid w:val="00E27953"/>
    <w:rsid w:val="00E31001"/>
    <w:rsid w:val="00E314BF"/>
    <w:rsid w:val="00E34A4E"/>
    <w:rsid w:val="00E41D06"/>
    <w:rsid w:val="00E41D0D"/>
    <w:rsid w:val="00E41E33"/>
    <w:rsid w:val="00E426BD"/>
    <w:rsid w:val="00E43C83"/>
    <w:rsid w:val="00E44669"/>
    <w:rsid w:val="00E45508"/>
    <w:rsid w:val="00E46545"/>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56F7E"/>
    <w:rsid w:val="00E600CD"/>
    <w:rsid w:val="00E61239"/>
    <w:rsid w:val="00E62EF4"/>
    <w:rsid w:val="00E632EA"/>
    <w:rsid w:val="00E654A0"/>
    <w:rsid w:val="00E65521"/>
    <w:rsid w:val="00E65D6D"/>
    <w:rsid w:val="00E67455"/>
    <w:rsid w:val="00E67FF3"/>
    <w:rsid w:val="00E701AC"/>
    <w:rsid w:val="00E70BF9"/>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238F"/>
    <w:rsid w:val="00EC291E"/>
    <w:rsid w:val="00EC2EEA"/>
    <w:rsid w:val="00EC6033"/>
    <w:rsid w:val="00EC690F"/>
    <w:rsid w:val="00EC6ABB"/>
    <w:rsid w:val="00EC7B44"/>
    <w:rsid w:val="00ED10D9"/>
    <w:rsid w:val="00ED28F4"/>
    <w:rsid w:val="00ED2D91"/>
    <w:rsid w:val="00ED30A9"/>
    <w:rsid w:val="00ED30BB"/>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4EEF"/>
    <w:rsid w:val="00EF52F1"/>
    <w:rsid w:val="00EF5FF8"/>
    <w:rsid w:val="00EF6F58"/>
    <w:rsid w:val="00EF7935"/>
    <w:rsid w:val="00F012D3"/>
    <w:rsid w:val="00F01526"/>
    <w:rsid w:val="00F020CC"/>
    <w:rsid w:val="00F023A7"/>
    <w:rsid w:val="00F02EDC"/>
    <w:rsid w:val="00F039E2"/>
    <w:rsid w:val="00F04A95"/>
    <w:rsid w:val="00F04C02"/>
    <w:rsid w:val="00F058D3"/>
    <w:rsid w:val="00F10A38"/>
    <w:rsid w:val="00F1176A"/>
    <w:rsid w:val="00F11FF3"/>
    <w:rsid w:val="00F123B3"/>
    <w:rsid w:val="00F12BF1"/>
    <w:rsid w:val="00F12F4D"/>
    <w:rsid w:val="00F12FB0"/>
    <w:rsid w:val="00F12FD5"/>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C66"/>
    <w:rsid w:val="00F74FB9"/>
    <w:rsid w:val="00F775A3"/>
    <w:rsid w:val="00F77D38"/>
    <w:rsid w:val="00F809C6"/>
    <w:rsid w:val="00F81408"/>
    <w:rsid w:val="00F815F4"/>
    <w:rsid w:val="00F82913"/>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 w:val="09192ACC"/>
    <w:rsid w:val="14E66B03"/>
    <w:rsid w:val="6011CFBC"/>
    <w:rsid w:val="72304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5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 w:type="paragraph" w:styleId="Listaconvietas">
    <w:name w:val="List Bullet"/>
    <w:basedOn w:val="Normal"/>
    <w:uiPriority w:val="99"/>
    <w:unhideWhenUsed/>
    <w:rsid w:val="00CD0CAF"/>
    <w:pPr>
      <w:numPr>
        <w:numId w:val="36"/>
      </w:numPr>
      <w:contextualSpacing/>
    </w:pPr>
  </w:style>
  <w:style w:type="character" w:customStyle="1" w:styleId="Mencinsinresolver2">
    <w:name w:val="Mención sin resolver2"/>
    <w:basedOn w:val="Fuentedeprrafopredeter"/>
    <w:uiPriority w:val="99"/>
    <w:semiHidden/>
    <w:unhideWhenUsed/>
    <w:rsid w:val="00172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BB0E4-C67E-4383-B5EF-B7EC69BD8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8046</Words>
  <Characters>44254</Characters>
  <Application>Microsoft Office Word</Application>
  <DocSecurity>0</DocSecurity>
  <Lines>368</Lines>
  <Paragraphs>104</Paragraphs>
  <ScaleCrop>false</ScaleCrop>
  <Company/>
  <LinksUpToDate>false</LinksUpToDate>
  <CharactersWithSpaces>52196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6</cp:revision>
  <cp:lastPrinted>2019-06-13T15:30:00Z</cp:lastPrinted>
  <dcterms:created xsi:type="dcterms:W3CDTF">2023-11-01T00:34:00Z</dcterms:created>
  <dcterms:modified xsi:type="dcterms:W3CDTF">2023-11-21T17:15:00Z</dcterms:modified>
</cp:coreProperties>
</file>