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AF2BF3" w:rsidP="00AF6ADC" w:rsidRDefault="00AF2BF3" w14:paraId="7D223A11" w14:textId="77777777">
      <w:pPr>
        <w:spacing w:line="360" w:lineRule="auto"/>
        <w:contextualSpacing/>
        <w:jc w:val="both"/>
        <w:rPr>
          <w:rFonts w:ascii="Palatino Linotype" w:hAnsi="Palatino Linotype" w:cs="Tahoma"/>
          <w:bCs/>
          <w:sz w:val="22"/>
          <w:szCs w:val="22"/>
        </w:rPr>
      </w:pPr>
    </w:p>
    <w:p w:rsidRPr="00C61C11" w:rsidR="00B03EDE" w:rsidP="00AF6ADC" w:rsidRDefault="00B03EDE" w14:paraId="2F1F87E7" w14:textId="20723AD1">
      <w:pPr>
        <w:spacing w:line="360" w:lineRule="auto"/>
        <w:contextualSpacing/>
        <w:jc w:val="both"/>
        <w:rPr>
          <w:rFonts w:ascii="Palatino Linotype" w:hAnsi="Palatino Linotype"/>
          <w:noProof/>
          <w:sz w:val="22"/>
          <w:szCs w:val="22"/>
          <w:lang w:val="es-ES"/>
        </w:rPr>
      </w:pPr>
      <w:r w:rsidRPr="00C61C1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50A9E">
        <w:rPr>
          <w:rFonts w:ascii="Palatino Linotype" w:hAnsi="Palatino Linotype" w:cs="Tahoma"/>
          <w:bCs/>
          <w:sz w:val="22"/>
          <w:szCs w:val="22"/>
        </w:rPr>
        <w:t>nueve</w:t>
      </w:r>
      <w:r w:rsidR="0026417C">
        <w:rPr>
          <w:rFonts w:ascii="Palatino Linotype" w:hAnsi="Palatino Linotype" w:cs="Tahoma"/>
          <w:bCs/>
          <w:sz w:val="22"/>
          <w:szCs w:val="22"/>
        </w:rPr>
        <w:t xml:space="preserve"> de febrero</w:t>
      </w:r>
      <w:r w:rsidR="001B7091">
        <w:rPr>
          <w:rFonts w:ascii="Palatino Linotype" w:hAnsi="Palatino Linotype" w:cs="Tahoma"/>
          <w:bCs/>
          <w:sz w:val="22"/>
          <w:szCs w:val="22"/>
        </w:rPr>
        <w:t xml:space="preserve"> de dos mil </w:t>
      </w:r>
      <w:r w:rsidR="00022391">
        <w:rPr>
          <w:rFonts w:ascii="Palatino Linotype" w:hAnsi="Palatino Linotype" w:cs="Tahoma"/>
          <w:bCs/>
          <w:sz w:val="22"/>
          <w:szCs w:val="22"/>
        </w:rPr>
        <w:t>veintitrés</w:t>
      </w:r>
      <w:r w:rsidRPr="00C61C11">
        <w:rPr>
          <w:rFonts w:ascii="Palatino Linotype" w:hAnsi="Palatino Linotype" w:cs="Tahoma"/>
          <w:bCs/>
          <w:sz w:val="22"/>
          <w:szCs w:val="22"/>
        </w:rPr>
        <w:t>.</w:t>
      </w:r>
    </w:p>
    <w:p w:rsidRPr="00C61C11" w:rsidR="00B03EDE" w:rsidP="00AF6ADC" w:rsidRDefault="00B03EDE" w14:paraId="67AD71AC" w14:textId="77777777">
      <w:pPr>
        <w:spacing w:line="360" w:lineRule="auto"/>
        <w:contextualSpacing/>
        <w:jc w:val="both"/>
        <w:rPr>
          <w:rFonts w:ascii="Palatino Linotype" w:hAnsi="Palatino Linotype"/>
          <w:noProof/>
          <w:sz w:val="22"/>
          <w:szCs w:val="22"/>
          <w:lang w:val="es-ES"/>
        </w:rPr>
      </w:pPr>
    </w:p>
    <w:p w:rsidRPr="00C61C11" w:rsidR="00B03EDE" w:rsidP="00AF6ADC" w:rsidRDefault="00B03EDE" w14:paraId="03EEBBA4" w14:textId="3B48BEF5">
      <w:pPr>
        <w:spacing w:line="360" w:lineRule="auto"/>
        <w:contextualSpacing/>
        <w:jc w:val="both"/>
        <w:rPr>
          <w:rFonts w:ascii="Palatino Linotype" w:hAnsi="Palatino Linotype" w:eastAsia="Calibri" w:cs="Tahoma"/>
          <w:sz w:val="22"/>
          <w:szCs w:val="22"/>
          <w:lang w:val="es-ES" w:eastAsia="en-US"/>
        </w:rPr>
      </w:pPr>
      <w:r w:rsidRPr="7B61CCE5" w:rsidR="7B61CCE5">
        <w:rPr>
          <w:rFonts w:ascii="Palatino Linotype" w:hAnsi="Palatino Linotype" w:cs="Tahoma"/>
          <w:b w:val="1"/>
          <w:bCs w:val="1"/>
          <w:color w:val="0D0D0D" w:themeColor="text1" w:themeTint="F2" w:themeShade="FF"/>
          <w:sz w:val="22"/>
          <w:szCs w:val="22"/>
        </w:rPr>
        <w:t>VISTO</w:t>
      </w:r>
      <w:r w:rsidRPr="7B61CCE5" w:rsidR="7B61CCE5">
        <w:rPr>
          <w:rFonts w:ascii="Palatino Linotype" w:hAnsi="Palatino Linotype" w:cs="Tahoma"/>
          <w:color w:val="0D0D0D" w:themeColor="text1" w:themeTint="F2" w:themeShade="FF"/>
          <w:sz w:val="22"/>
          <w:szCs w:val="22"/>
        </w:rPr>
        <w:t xml:space="preserve"> el expediente conformado con motivo del Recurso de Revisión </w:t>
      </w:r>
      <w:r w:rsidRPr="7B61CCE5" w:rsidR="7B61CCE5">
        <w:rPr>
          <w:rFonts w:ascii="Palatino Linotype" w:hAnsi="Palatino Linotype" w:eastAsia="Calibri" w:cs="Tahoma"/>
          <w:sz w:val="22"/>
          <w:szCs w:val="22"/>
          <w:lang w:eastAsia="en-US"/>
        </w:rPr>
        <w:t xml:space="preserve">00116/INFOEM/IP/RR/2023, </w:t>
      </w:r>
      <w:r w:rsidRPr="7B61CCE5" w:rsidR="7B61CCE5">
        <w:rPr>
          <w:rFonts w:ascii="Palatino Linotype" w:hAnsi="Palatino Linotype" w:cs="Tahoma"/>
          <w:color w:val="0D0D0D" w:themeColor="text1" w:themeTint="F2" w:themeShade="FF"/>
          <w:sz w:val="22"/>
          <w:szCs w:val="22"/>
        </w:rPr>
        <w:t>interpuesto por</w:t>
      </w:r>
      <w:r w:rsidRPr="7B61CCE5" w:rsidR="7B61CCE5">
        <w:rPr>
          <w:rFonts w:ascii="Palatino Linotype" w:hAnsi="Palatino Linotype" w:eastAsia="Calibri" w:cs="Tahoma"/>
          <w:sz w:val="22"/>
          <w:szCs w:val="22"/>
          <w:lang w:eastAsia="en-US"/>
        </w:rPr>
        <w:t xml:space="preserve"> </w:t>
      </w:r>
      <w:r w:rsidRPr="7B61CCE5" w:rsidR="7B61CCE5">
        <w:rPr>
          <w:rFonts w:ascii="Palatino Linotype" w:hAnsi="Palatino Linotype" w:eastAsia="Calibri" w:cs="Tahoma"/>
          <w:sz w:val="22"/>
          <w:szCs w:val="22"/>
          <w:highlight w:val="black"/>
          <w:lang w:eastAsia="en-US"/>
        </w:rPr>
        <w:t>XXXXXX</w:t>
      </w:r>
      <w:r w:rsidRPr="7B61CCE5" w:rsidR="7B61CCE5">
        <w:rPr>
          <w:rFonts w:ascii="Palatino Linotype" w:hAnsi="Palatino Linotype" w:eastAsia="Calibri" w:cs="Tahoma"/>
          <w:sz w:val="22"/>
          <w:szCs w:val="22"/>
          <w:lang w:eastAsia="en-US"/>
        </w:rPr>
        <w:t>, en lo sucesivo</w:t>
      </w:r>
      <w:r w:rsidRPr="7B61CCE5" w:rsidR="7B61CCE5">
        <w:rPr>
          <w:rFonts w:ascii="Palatino Linotype" w:hAnsi="Palatino Linotype" w:cs="Tahoma"/>
          <w:color w:val="0D0D0D" w:themeColor="text1" w:themeTint="F2" w:themeShade="FF"/>
          <w:sz w:val="22"/>
          <w:szCs w:val="22"/>
        </w:rPr>
        <w:t xml:space="preserve"> Recurrente o Particular, </w:t>
      </w:r>
      <w:r w:rsidRPr="7B61CCE5" w:rsidR="7B61CCE5">
        <w:rPr>
          <w:rFonts w:ascii="Palatino Linotype" w:hAnsi="Palatino Linotype" w:eastAsia="Calibri" w:cs="Tahoma"/>
          <w:sz w:val="22"/>
          <w:szCs w:val="22"/>
          <w:lang w:val="es-ES" w:eastAsia="en-US"/>
        </w:rPr>
        <w:t xml:space="preserve">en contra de la respuesta del Sujeto Obligado, </w:t>
      </w:r>
      <w:r w:rsidRPr="7B61CCE5" w:rsidR="7B61CCE5">
        <w:rPr>
          <w:rFonts w:ascii="Palatino Linotype" w:hAnsi="Palatino Linotype" w:eastAsia="Calibri" w:cs="Tahoma"/>
          <w:sz w:val="22"/>
          <w:szCs w:val="22"/>
          <w:lang w:val="es-ES" w:eastAsia="en-US"/>
        </w:rPr>
        <w:t>Fiscal</w:t>
      </w:r>
      <w:bookmarkStart w:name="_GoBack" w:id="0"/>
      <w:bookmarkEnd w:id="0"/>
      <w:r w:rsidRPr="7B61CCE5" w:rsidR="7B61CCE5">
        <w:rPr>
          <w:rFonts w:ascii="Palatino Linotype" w:hAnsi="Palatino Linotype" w:eastAsia="Calibri" w:cs="Tahoma"/>
          <w:sz w:val="22"/>
          <w:szCs w:val="22"/>
          <w:lang w:val="es-ES" w:eastAsia="en-US"/>
        </w:rPr>
        <w:t>ía General</w:t>
      </w:r>
      <w:r w:rsidRPr="7B61CCE5" w:rsidR="7B61CCE5">
        <w:rPr>
          <w:rFonts w:ascii="Palatino Linotype" w:hAnsi="Palatino Linotype" w:eastAsia="Calibri" w:cs="Tahoma"/>
          <w:sz w:val="22"/>
          <w:szCs w:val="22"/>
          <w:lang w:val="es-ES" w:eastAsia="en-US"/>
        </w:rPr>
        <w:t xml:space="preserve"> de Justicia del Estado de México, a la solicitud de acceso a la información </w:t>
      </w:r>
      <w:r w:rsidRPr="7B61CCE5" w:rsidR="7B61CCE5">
        <w:rPr>
          <w:rFonts w:ascii="Palatino Linotype" w:hAnsi="Palatino Linotype" w:eastAsia="Calibri" w:cs="Tahoma"/>
          <w:sz w:val="22"/>
          <w:szCs w:val="22"/>
          <w:lang w:eastAsia="en-US"/>
        </w:rPr>
        <w:t>00883/FGJ/IP/2022</w:t>
      </w:r>
      <w:r w:rsidRPr="7B61CCE5" w:rsidR="7B61CCE5">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61C11" w:rsidR="00B03EDE" w:rsidP="00AF6ADC"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61C11" w:rsidR="00B03EDE" w:rsidP="00AF6ADC"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C61C11">
        <w:rPr>
          <w:rFonts w:ascii="Palatino Linotype" w:hAnsi="Palatino Linotype" w:eastAsia="Calibri" w:cs="Tahoma"/>
          <w:b/>
          <w:bCs/>
          <w:sz w:val="22"/>
          <w:szCs w:val="22"/>
          <w:lang w:eastAsia="en-US"/>
        </w:rPr>
        <w:t>A N T E C E D E N T E S:</w:t>
      </w:r>
    </w:p>
    <w:p w:rsidRPr="00C61C11" w:rsidR="00B03EDE" w:rsidP="00AF6ADC"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C61C11" w:rsidR="00B03EDE" w:rsidP="00AF6ADC"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C61C11">
        <w:rPr>
          <w:rFonts w:ascii="Palatino Linotype" w:hAnsi="Palatino Linotype" w:eastAsia="Calibri" w:cs="Tahoma"/>
          <w:b/>
          <w:bCs/>
          <w:sz w:val="22"/>
          <w:szCs w:val="22"/>
          <w:lang w:eastAsia="en-US"/>
        </w:rPr>
        <w:t>I. Presentación de la solicitud de información.</w:t>
      </w:r>
      <w:r w:rsidRPr="00C61C11" w:rsidR="00046E37">
        <w:rPr>
          <w:rFonts w:ascii="Palatino Linotype" w:hAnsi="Palatino Linotype" w:eastAsia="Calibri" w:cs="Tahoma"/>
          <w:b/>
          <w:bCs/>
          <w:sz w:val="22"/>
          <w:szCs w:val="22"/>
          <w:lang w:eastAsia="en-US"/>
        </w:rPr>
        <w:t xml:space="preserve"> </w:t>
      </w:r>
    </w:p>
    <w:p w:rsidRPr="00C61C11" w:rsidR="00B03EDE" w:rsidP="00AF6ADC"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A02742" w:rsidR="00A02742" w:rsidP="00A02742" w:rsidRDefault="00A02742" w14:paraId="249B4FB4" w14:textId="37748F92">
      <w:pPr>
        <w:autoSpaceDE w:val="0"/>
        <w:autoSpaceDN w:val="0"/>
        <w:adjustRightInd w:val="0"/>
        <w:spacing w:line="360" w:lineRule="auto"/>
        <w:jc w:val="both"/>
        <w:rPr>
          <w:rFonts w:ascii="Palatino Linotype" w:hAnsi="Palatino Linotype" w:cs="Tahoma"/>
          <w:sz w:val="24"/>
          <w:szCs w:val="24"/>
        </w:rPr>
      </w:pPr>
      <w:r w:rsidRPr="00A02742">
        <w:rPr>
          <w:rFonts w:ascii="Palatino Linotype" w:hAnsi="Palatino Linotype" w:cs="Tahoma"/>
          <w:sz w:val="22"/>
          <w:szCs w:val="22"/>
          <w:lang w:val="es-ES_tradnl"/>
        </w:rPr>
        <w:t xml:space="preserve">Con fecha </w:t>
      </w:r>
      <w:r w:rsidR="00696977">
        <w:rPr>
          <w:rFonts w:ascii="Palatino Linotype" w:hAnsi="Palatino Linotype" w:cs="Tahoma"/>
          <w:sz w:val="22"/>
          <w:szCs w:val="22"/>
          <w:lang w:val="es-ES_tradnl"/>
        </w:rPr>
        <w:t>cinco de noviembre</w:t>
      </w:r>
      <w:r w:rsidRPr="00A02742">
        <w:rPr>
          <w:rFonts w:ascii="Palatino Linotype" w:hAnsi="Palatino Linotype" w:cs="Tahoma"/>
          <w:sz w:val="22"/>
          <w:szCs w:val="22"/>
          <w:lang w:val="es-ES_tradnl"/>
        </w:rPr>
        <w:t xml:space="preserve"> de dos mil veintidós, el Particular presentó </w:t>
      </w:r>
      <w:r>
        <w:rPr>
          <w:rFonts w:ascii="Palatino Linotype" w:hAnsi="Palatino Linotype" w:cs="Tahoma"/>
          <w:sz w:val="22"/>
          <w:szCs w:val="22"/>
          <w:lang w:val="es-ES_tradnl"/>
        </w:rPr>
        <w:t>una</w:t>
      </w:r>
      <w:r w:rsidRPr="00A02742">
        <w:rPr>
          <w:rFonts w:ascii="Palatino Linotype" w:hAnsi="Palatino Linotype" w:cs="Tahoma"/>
          <w:sz w:val="22"/>
          <w:szCs w:val="22"/>
          <w:lang w:val="es-ES_tradnl"/>
        </w:rPr>
        <w:t xml:space="preserve"> solicitud de acceso a la información pública, </w:t>
      </w:r>
      <w:r w:rsidRPr="00A02742">
        <w:rPr>
          <w:rFonts w:ascii="Palatino Linotype" w:hAnsi="Palatino Linotype" w:cs="Tahoma"/>
          <w:sz w:val="22"/>
          <w:szCs w:val="22"/>
        </w:rPr>
        <w:t xml:space="preserve">a través del Sistema de Acceso a la Información Mexiquense (SAIMEX), ante </w:t>
      </w:r>
      <w:r w:rsidR="00696977">
        <w:rPr>
          <w:rFonts w:ascii="Palatino Linotype" w:hAnsi="Palatino Linotype" w:cs="Tahoma"/>
          <w:sz w:val="22"/>
          <w:szCs w:val="22"/>
        </w:rPr>
        <w:t>la</w:t>
      </w:r>
      <w:r>
        <w:rPr>
          <w:rFonts w:ascii="Palatino Linotype" w:hAnsi="Palatino Linotype" w:cs="Tahoma"/>
          <w:sz w:val="22"/>
          <w:szCs w:val="22"/>
        </w:rPr>
        <w:t xml:space="preserve"> </w:t>
      </w:r>
      <w:r w:rsidR="00696977">
        <w:rPr>
          <w:rFonts w:ascii="Palatino Linotype" w:hAnsi="Palatino Linotype" w:eastAsia="Calibri" w:cs="Tahoma"/>
          <w:sz w:val="22"/>
          <w:szCs w:val="22"/>
          <w:lang w:val="es-ES" w:eastAsia="en-US"/>
        </w:rPr>
        <w:t>Fiscalía General de Justicia del Estado de México</w:t>
      </w:r>
      <w:r w:rsidRPr="00A02742">
        <w:rPr>
          <w:rFonts w:ascii="Palatino Linotype" w:hAnsi="Palatino Linotype" w:cs="Tahoma"/>
          <w:sz w:val="22"/>
          <w:szCs w:val="22"/>
        </w:rPr>
        <w:t xml:space="preserve">, </w:t>
      </w:r>
      <w:r w:rsidRPr="00A02742">
        <w:rPr>
          <w:rFonts w:ascii="Palatino Linotype" w:hAnsi="Palatino Linotype" w:eastAsia="Calibri"/>
          <w:bCs/>
          <w:sz w:val="22"/>
          <w:szCs w:val="22"/>
        </w:rPr>
        <w:t>en los siguientes términos</w:t>
      </w:r>
      <w:r>
        <w:rPr>
          <w:rFonts w:ascii="Palatino Linotype" w:hAnsi="Palatino Linotype" w:eastAsia="Calibri"/>
          <w:bCs/>
          <w:sz w:val="22"/>
          <w:szCs w:val="22"/>
        </w:rPr>
        <w:t>:</w:t>
      </w:r>
    </w:p>
    <w:p w:rsidRPr="00AF2BF3" w:rsidR="00AF2BF3" w:rsidP="00AF6ADC" w:rsidRDefault="00AF2BF3" w14:paraId="251AA4F9" w14:textId="77777777">
      <w:pPr>
        <w:spacing w:line="360" w:lineRule="auto"/>
        <w:ind w:right="567"/>
        <w:contextualSpacing/>
        <w:jc w:val="both"/>
        <w:rPr>
          <w:rFonts w:ascii="Palatino Linotype" w:hAnsi="Palatino Linotype" w:cs="Tahoma"/>
          <w:b/>
          <w:i/>
          <w:iCs/>
          <w:sz w:val="22"/>
        </w:rPr>
      </w:pPr>
    </w:p>
    <w:p w:rsidRPr="00C61C11" w:rsidR="00CD1229" w:rsidP="00AF6ADC" w:rsidRDefault="00CD1229" w14:paraId="1C439638" w14:textId="77777777">
      <w:pPr>
        <w:tabs>
          <w:tab w:val="left" w:pos="4667"/>
        </w:tabs>
        <w:spacing w:line="360" w:lineRule="auto"/>
        <w:ind w:left="567" w:right="567"/>
        <w:jc w:val="both"/>
        <w:rPr>
          <w:rFonts w:ascii="Palatino Linotype" w:hAnsi="Palatino Linotype" w:cs="Tahoma"/>
          <w:b/>
          <w:bCs/>
          <w:i/>
        </w:rPr>
      </w:pPr>
      <w:r w:rsidRPr="00C61C11">
        <w:rPr>
          <w:rFonts w:ascii="Palatino Linotype" w:hAnsi="Palatino Linotype" w:cs="Tahoma"/>
          <w:b/>
          <w:bCs/>
          <w:i/>
        </w:rPr>
        <w:t>“DESCRIPCIÓN CLARA Y PRECISA DE LA INFORMACIÓN SOLICITADA:</w:t>
      </w:r>
    </w:p>
    <w:p w:rsidRPr="00C61C11" w:rsidR="00CD1229" w:rsidP="00AF6ADC" w:rsidRDefault="00696977" w14:paraId="67E6A9F9" w14:textId="3980A813">
      <w:pPr>
        <w:tabs>
          <w:tab w:val="left" w:pos="4667"/>
        </w:tabs>
        <w:spacing w:line="360" w:lineRule="auto"/>
        <w:ind w:left="567" w:right="567"/>
        <w:jc w:val="both"/>
        <w:rPr>
          <w:rFonts w:ascii="Palatino Linotype" w:hAnsi="Palatino Linotype" w:cs="Tahoma"/>
          <w:bCs/>
          <w:i/>
        </w:rPr>
      </w:pPr>
      <w:r w:rsidRPr="00696977">
        <w:rPr>
          <w:rFonts w:ascii="Palatino Linotype" w:hAnsi="Palatino Linotype"/>
          <w:i/>
          <w:iCs/>
          <w:color w:val="000000"/>
        </w:rPr>
        <w:t xml:space="preserve">Por medio del presente, me dirijo a ustedes con la finalidad de solicitar información de interés que coadyuve académicamente en mi proyecto de investigación, el cual persigue objetivos sociales en favor de la procuración de justicia por lo que es factible compartir con ustedes la directriz para esta investigación: Actualmente México se encuentra referenciado por la sociedad y por organismos no gubernamentales nacionales e internacionales como un país con una crisis forense en temas de identificación humana, advirtiendo consecuencias que afectan directamente a víctimas desaparecidas, cadáveres no identificados o desconocidos, así como los familiares de las víctimas, por </w:t>
      </w:r>
      <w:r w:rsidRPr="00696977">
        <w:rPr>
          <w:rFonts w:ascii="Palatino Linotype" w:hAnsi="Palatino Linotype"/>
          <w:i/>
          <w:iCs/>
          <w:color w:val="000000"/>
        </w:rPr>
        <w:lastRenderedPageBreak/>
        <w:t xml:space="preserve">lo que el objetivo primordial en esta investigación es proporcionar al personal vinculado y encargado a la investigación forense información científica y metodológica que aporte un modelo técnico auxiliar en el análisis e interpretación </w:t>
      </w:r>
      <w:proofErr w:type="spellStart"/>
      <w:r w:rsidRPr="00696977">
        <w:rPr>
          <w:rFonts w:ascii="Palatino Linotype" w:hAnsi="Palatino Linotype"/>
          <w:i/>
          <w:iCs/>
          <w:color w:val="000000"/>
        </w:rPr>
        <w:t>criminalístico</w:t>
      </w:r>
      <w:proofErr w:type="spellEnd"/>
      <w:r w:rsidRPr="00696977">
        <w:rPr>
          <w:rFonts w:ascii="Palatino Linotype" w:hAnsi="Palatino Linotype"/>
          <w:i/>
          <w:iCs/>
          <w:color w:val="000000"/>
        </w:rPr>
        <w:t xml:space="preserve"> de prendas de vestir relacionadas con cadáveres no identificados y desconocidos en el proceso de la identificación humana. Se adjunta archivo de </w:t>
      </w:r>
      <w:proofErr w:type="spellStart"/>
      <w:r w:rsidRPr="00696977">
        <w:rPr>
          <w:rFonts w:ascii="Palatino Linotype" w:hAnsi="Palatino Linotype"/>
          <w:i/>
          <w:iCs/>
          <w:color w:val="000000"/>
        </w:rPr>
        <w:t>word</w:t>
      </w:r>
      <w:proofErr w:type="spellEnd"/>
      <w:r w:rsidRPr="00696977">
        <w:rPr>
          <w:rFonts w:ascii="Palatino Linotype" w:hAnsi="Palatino Linotype"/>
          <w:i/>
          <w:iCs/>
          <w:color w:val="000000"/>
        </w:rPr>
        <w:t xml:space="preserve"> editable para mayor facilidad y manejo de las instituciones.</w:t>
      </w:r>
      <w:r w:rsidRPr="00C61C11" w:rsidR="00CD1229">
        <w:rPr>
          <w:rFonts w:ascii="Palatino Linotype" w:hAnsi="Palatino Linotype" w:cs="Tahoma"/>
          <w:bCs/>
          <w:i/>
        </w:rPr>
        <w:t>” (Sic)</w:t>
      </w:r>
    </w:p>
    <w:p w:rsidRPr="00C61C11" w:rsidR="00CD1229" w:rsidP="00AF6ADC" w:rsidRDefault="00CD1229" w14:paraId="1713A82D" w14:textId="77777777">
      <w:pPr>
        <w:tabs>
          <w:tab w:val="left" w:pos="4667"/>
        </w:tabs>
        <w:spacing w:line="360" w:lineRule="auto"/>
        <w:ind w:left="567" w:right="567"/>
        <w:jc w:val="both"/>
        <w:rPr>
          <w:rFonts w:ascii="Palatino Linotype" w:hAnsi="Palatino Linotype" w:cs="Tahoma"/>
          <w:bCs/>
          <w:i/>
        </w:rPr>
      </w:pPr>
    </w:p>
    <w:p w:rsidRPr="00AF2BF3" w:rsidR="00AF2BF3" w:rsidP="00AF2BF3" w:rsidRDefault="00AF2BF3" w14:paraId="4D780CA2" w14:textId="77777777">
      <w:pPr>
        <w:tabs>
          <w:tab w:val="left" w:pos="4667"/>
        </w:tabs>
        <w:spacing w:line="360" w:lineRule="auto"/>
        <w:ind w:left="567" w:right="567"/>
        <w:jc w:val="both"/>
        <w:rPr>
          <w:rFonts w:ascii="Palatino Linotype" w:hAnsi="Palatino Linotype" w:cs="Tahoma"/>
          <w:b/>
          <w:bCs/>
          <w:i/>
          <w:iCs/>
          <w:szCs w:val="22"/>
        </w:rPr>
      </w:pPr>
      <w:r w:rsidRPr="00AF2BF3">
        <w:rPr>
          <w:rFonts w:ascii="Palatino Linotype" w:hAnsi="Palatino Linotype" w:cs="Tahoma"/>
          <w:b/>
          <w:bCs/>
          <w:i/>
          <w:iCs/>
          <w:szCs w:val="22"/>
        </w:rPr>
        <w:t>“MODALIDAD PARA RECIBIR INFORMACIÓN Y NOTIFICACIONES:</w:t>
      </w:r>
    </w:p>
    <w:p w:rsidR="00AF2BF3" w:rsidP="00AF2BF3" w:rsidRDefault="001B7091" w14:paraId="62A6D94B" w14:textId="2F9ECEF3">
      <w:pPr>
        <w:tabs>
          <w:tab w:val="left" w:pos="4667"/>
        </w:tabs>
        <w:spacing w:line="360" w:lineRule="auto"/>
        <w:ind w:left="567" w:right="567"/>
        <w:jc w:val="both"/>
        <w:rPr>
          <w:rFonts w:ascii="Palatino Linotype" w:hAnsi="Palatino Linotype" w:cs="Tahoma"/>
          <w:i/>
          <w:iCs/>
          <w:szCs w:val="22"/>
        </w:rPr>
      </w:pPr>
      <w:r w:rsidRPr="001B7091">
        <w:rPr>
          <w:rFonts w:ascii="Palatino Linotype" w:hAnsi="Palatino Linotype" w:cs="Tahoma"/>
          <w:i/>
          <w:iCs/>
          <w:szCs w:val="22"/>
        </w:rPr>
        <w:t>Entrega por el sistema de solicitudes de acceso a la información de la PNT</w:t>
      </w:r>
    </w:p>
    <w:p w:rsidRPr="00AF2BF3" w:rsidR="001B7091" w:rsidP="00AF2BF3" w:rsidRDefault="001B7091" w14:paraId="7A760CB3" w14:textId="77777777">
      <w:pPr>
        <w:tabs>
          <w:tab w:val="left" w:pos="4667"/>
        </w:tabs>
        <w:spacing w:line="360" w:lineRule="auto"/>
        <w:ind w:left="567" w:right="567"/>
        <w:jc w:val="both"/>
        <w:rPr>
          <w:rFonts w:ascii="Palatino Linotype" w:hAnsi="Palatino Linotype" w:cs="Tahoma"/>
          <w:b/>
          <w:bCs/>
          <w:i/>
          <w:iCs/>
          <w:szCs w:val="22"/>
        </w:rPr>
      </w:pPr>
    </w:p>
    <w:p w:rsidRPr="00AF2BF3" w:rsidR="00AF2BF3" w:rsidP="00AF2BF3" w:rsidRDefault="00AF2BF3" w14:paraId="35EAF9B9" w14:textId="77777777">
      <w:pPr>
        <w:tabs>
          <w:tab w:val="left" w:pos="4667"/>
        </w:tabs>
        <w:spacing w:line="360" w:lineRule="auto"/>
        <w:ind w:left="567" w:right="567"/>
        <w:jc w:val="both"/>
        <w:rPr>
          <w:rFonts w:ascii="Palatino Linotype" w:hAnsi="Palatino Linotype" w:cs="Tahoma"/>
          <w:b/>
          <w:bCs/>
          <w:i/>
          <w:iCs/>
          <w:szCs w:val="22"/>
        </w:rPr>
      </w:pPr>
      <w:r w:rsidRPr="00AF2BF3">
        <w:rPr>
          <w:rFonts w:ascii="Palatino Linotype" w:hAnsi="Palatino Linotype" w:cs="Tahoma"/>
          <w:b/>
          <w:bCs/>
          <w:i/>
          <w:iCs/>
          <w:szCs w:val="22"/>
        </w:rPr>
        <w:t>“INDIQUE COMO DESEA RECIBIR NOTIFICACIONES:</w:t>
      </w:r>
    </w:p>
    <w:p w:rsidRPr="00AF2BF3" w:rsidR="00AF2BF3" w:rsidP="00AF2BF3" w:rsidRDefault="001B7091" w14:paraId="127B0221" w14:textId="3F3F2515">
      <w:pPr>
        <w:tabs>
          <w:tab w:val="left" w:pos="4667"/>
        </w:tabs>
        <w:spacing w:line="360" w:lineRule="auto"/>
        <w:ind w:left="567" w:right="567"/>
        <w:jc w:val="both"/>
        <w:rPr>
          <w:rFonts w:ascii="Palatino Linotype" w:hAnsi="Palatino Linotype" w:cs="Tahoma"/>
          <w:i/>
          <w:iCs/>
          <w:szCs w:val="22"/>
        </w:rPr>
      </w:pPr>
      <w:r w:rsidRPr="001B7091">
        <w:rPr>
          <w:rFonts w:ascii="Palatino Linotype" w:hAnsi="Palatino Linotype" w:cs="Tahoma"/>
          <w:i/>
          <w:iCs/>
          <w:szCs w:val="22"/>
        </w:rPr>
        <w:t>Electrónico a través del sistema de solicitudes de acceso la</w:t>
      </w:r>
      <w:r w:rsidRPr="00AF2BF3" w:rsidR="00AF2BF3">
        <w:rPr>
          <w:rFonts w:ascii="Palatino Linotype" w:hAnsi="Palatino Linotype" w:cs="Tahoma"/>
          <w:i/>
          <w:iCs/>
          <w:szCs w:val="22"/>
        </w:rPr>
        <w:t xml:space="preserve">” </w:t>
      </w:r>
    </w:p>
    <w:p w:rsidRPr="00AF2BF3" w:rsidR="00AF2BF3" w:rsidP="00AF2BF3" w:rsidRDefault="00AF2BF3" w14:paraId="52E03E58" w14:textId="77777777">
      <w:pPr>
        <w:spacing w:line="360" w:lineRule="auto"/>
        <w:jc w:val="both"/>
        <w:rPr>
          <w:rFonts w:ascii="Palatino Linotype" w:hAnsi="Palatino Linotype" w:cs="Tahoma"/>
          <w:sz w:val="22"/>
          <w:szCs w:val="22"/>
        </w:rPr>
      </w:pPr>
    </w:p>
    <w:p w:rsidR="001B7091" w:rsidP="001B7091" w:rsidRDefault="001B7091" w14:paraId="5C2E4989" w14:textId="77777777">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Cabe señalar que el sistema de solicitudes de acceso a la información de la Plataforma Nacional de Transparencia (PNT), se encuentra vinculado al Sistema de Acceso a la Información Mexiquense (SAIMEX), por lo que, se tiene como modalidad para recibir notificaciones y entrega de la información </w:t>
      </w:r>
      <w:r>
        <w:rPr>
          <w:rFonts w:ascii="Palatino Linotype" w:hAnsi="Palatino Linotype" w:cs="Tahoma"/>
          <w:i/>
          <w:sz w:val="22"/>
          <w:szCs w:val="22"/>
        </w:rPr>
        <w:t>“A través del SAIMEX”</w:t>
      </w:r>
      <w:r>
        <w:rPr>
          <w:rFonts w:ascii="Palatino Linotype" w:hAnsi="Palatino Linotype" w:cs="Tahoma"/>
          <w:sz w:val="22"/>
          <w:szCs w:val="22"/>
        </w:rPr>
        <w:t>.</w:t>
      </w:r>
    </w:p>
    <w:p w:rsidR="001B7091" w:rsidP="001B7091" w:rsidRDefault="001B7091" w14:paraId="76C7E1BC" w14:textId="77777777">
      <w:pPr>
        <w:autoSpaceDE w:val="0"/>
        <w:autoSpaceDN w:val="0"/>
        <w:adjustRightInd w:val="0"/>
        <w:spacing w:line="360" w:lineRule="auto"/>
        <w:jc w:val="both"/>
        <w:rPr>
          <w:rFonts w:ascii="Palatino Linotype" w:hAnsi="Palatino Linotype" w:cs="Tahoma"/>
          <w:sz w:val="22"/>
          <w:szCs w:val="22"/>
        </w:rPr>
      </w:pPr>
    </w:p>
    <w:p w:rsidR="00696977" w:rsidP="001B7091" w:rsidRDefault="00696977" w14:paraId="3EB0D88F" w14:textId="7F2D048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Particular adjuntó la digitalización de un escrito libre, del cuatro de noviembre de dos mil veintidós, cuyo contenido es el siguiente:</w:t>
      </w:r>
    </w:p>
    <w:p w:rsidR="00696977" w:rsidP="001B7091" w:rsidRDefault="00696977" w14:paraId="7D13D7C7" w14:textId="77777777">
      <w:pPr>
        <w:autoSpaceDE w:val="0"/>
        <w:autoSpaceDN w:val="0"/>
        <w:adjustRightInd w:val="0"/>
        <w:spacing w:line="360" w:lineRule="auto"/>
        <w:jc w:val="both"/>
        <w:rPr>
          <w:rFonts w:ascii="Palatino Linotype" w:hAnsi="Palatino Linotype" w:cs="Tahoma"/>
          <w:sz w:val="22"/>
          <w:szCs w:val="22"/>
        </w:rPr>
      </w:pPr>
    </w:p>
    <w:p w:rsidR="00696977" w:rsidP="00696977" w:rsidRDefault="00696977" w14:paraId="7D49EF97" w14:textId="38E43C48">
      <w:pPr>
        <w:autoSpaceDE w:val="0"/>
        <w:autoSpaceDN w:val="0"/>
        <w:adjustRightInd w:val="0"/>
        <w:spacing w:line="360" w:lineRule="auto"/>
        <w:ind w:left="567" w:right="567"/>
        <w:jc w:val="both"/>
        <w:rPr>
          <w:rFonts w:ascii="Palatino Linotype" w:hAnsi="Palatino Linotype" w:cs="Tahoma"/>
          <w:i/>
          <w:szCs w:val="22"/>
        </w:rPr>
      </w:pPr>
      <w:r w:rsidRPr="00696977">
        <w:rPr>
          <w:rFonts w:ascii="Palatino Linotype" w:hAnsi="Palatino Linotype" w:cs="Tahoma"/>
          <w:i/>
          <w:szCs w:val="22"/>
        </w:rPr>
        <w:t>“…</w:t>
      </w:r>
    </w:p>
    <w:p w:rsidRPr="00696977" w:rsidR="00696977" w:rsidP="00696977" w:rsidRDefault="00696977" w14:paraId="39E01CF9"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Por medio del presente, me dirijo a ustedes con la finalidad de solicitar información de interés que coadyuve académicamente en mi proyecto de investigación, el cual persigue objetivos sociales en favor de la procuración de justicia por lo que es factible compartir con ustedes la directriz para esta investigación:</w:t>
      </w:r>
    </w:p>
    <w:p w:rsidRPr="00696977" w:rsidR="00696977" w:rsidP="00696977" w:rsidRDefault="00696977" w14:paraId="65C44E0D"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36F34182" w14:textId="77777777">
      <w:pPr>
        <w:autoSpaceDE w:val="0"/>
        <w:autoSpaceDN w:val="0"/>
        <w:adjustRightInd w:val="0"/>
        <w:spacing w:line="360" w:lineRule="auto"/>
        <w:ind w:left="567" w:right="567"/>
        <w:jc w:val="both"/>
        <w:rPr>
          <w:rFonts w:ascii="Palatino Linotype" w:hAnsi="Palatino Linotype" w:cs="Tahoma"/>
          <w:i/>
          <w:iCs/>
          <w:szCs w:val="22"/>
          <w:lang w:val="es-ES_tradnl"/>
        </w:rPr>
      </w:pPr>
      <w:r w:rsidRPr="00696977">
        <w:rPr>
          <w:rFonts w:ascii="Palatino Linotype" w:hAnsi="Palatino Linotype" w:cs="Tahoma"/>
          <w:i/>
          <w:iCs/>
          <w:szCs w:val="22"/>
          <w:lang w:val="es-ES_tradnl"/>
        </w:rPr>
        <w:t xml:space="preserve">Actualmente México se encuentra referenciado por la sociedad y por organismos no gubernamentales  nacionales e internacionales como un país con una crisis forense en temas de </w:t>
      </w:r>
      <w:r w:rsidRPr="00696977">
        <w:rPr>
          <w:rFonts w:ascii="Palatino Linotype" w:hAnsi="Palatino Linotype" w:cs="Tahoma"/>
          <w:i/>
          <w:iCs/>
          <w:szCs w:val="22"/>
          <w:lang w:val="es-ES_tradnl"/>
        </w:rPr>
        <w:lastRenderedPageBreak/>
        <w:t xml:space="preserve">identificación humana, advirtiendo consecuencias que afectan directamente a víctimas desaparecidas, cadáveres no identificados o desconocidos, así como los familiares de las víctimas, por lo que el objetivo primordial en esta investigación es proporcionar al personal vinculado y encargado a la investigación forense información científica y metodológica que aporte un modelo técnico auxiliar en el análisis e interpretación </w:t>
      </w:r>
      <w:proofErr w:type="spellStart"/>
      <w:r w:rsidRPr="00696977">
        <w:rPr>
          <w:rFonts w:ascii="Palatino Linotype" w:hAnsi="Palatino Linotype" w:cs="Tahoma"/>
          <w:i/>
          <w:iCs/>
          <w:szCs w:val="22"/>
          <w:lang w:val="es-ES_tradnl"/>
        </w:rPr>
        <w:t>criminalístico</w:t>
      </w:r>
      <w:proofErr w:type="spellEnd"/>
      <w:r w:rsidRPr="00696977">
        <w:rPr>
          <w:rFonts w:ascii="Palatino Linotype" w:hAnsi="Palatino Linotype" w:cs="Tahoma"/>
          <w:i/>
          <w:iCs/>
          <w:szCs w:val="22"/>
          <w:lang w:val="es-ES_tradnl"/>
        </w:rPr>
        <w:t xml:space="preserve"> de prendas de vestir relacionadas con cadáveres no identificados y desconocidos en el proceso de la identificación humana.</w:t>
      </w:r>
    </w:p>
    <w:p w:rsidRPr="00696977" w:rsidR="00696977" w:rsidP="00696977" w:rsidRDefault="00696977" w14:paraId="2D24EA93"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7C47D4C7"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Solicito de la manera más atenta a los Servicios Periciales, Instituto de Ciencias Forenses, Servicio Médico Forense o con denominaciones afines de la Fiscalía del Estado de los 32 estados de la República Mexicana así como a la Coordinación General de Servicios Periciales y Centro Médico Forense Federal de la Fiscalía General de la República; me proporcione Información relacionada sobre el ingreso y análisis forense realizado a cadáveres y restos humanos no identificados y de las prendas de vestir relacionados a ellos, registrados en el periodo del 01 de enero de 2020 al 31 de agosto de 2022, los siguientes datos:</w:t>
      </w:r>
    </w:p>
    <w:p w:rsidRPr="00696977" w:rsidR="00696977" w:rsidP="00696977" w:rsidRDefault="00696977" w14:paraId="6ABACC27"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1B36E9BC"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Número total de cadáveres y/o restos humanos ingresados a esta institución en los años citados.</w:t>
      </w:r>
    </w:p>
    <w:p w:rsidRPr="00696977" w:rsidR="00696977" w:rsidP="00696977" w:rsidRDefault="00696977" w14:paraId="24B1848D"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4936D1FD"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5722BCA9"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6AAC92DB"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798AD83C"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Número total de cadáveres y/o restos humanos analizados como no identificados.</w:t>
      </w:r>
    </w:p>
    <w:p w:rsidRPr="00696977" w:rsidR="00696977" w:rsidP="00696977" w:rsidRDefault="00696977" w14:paraId="5E967F97"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4EA99F31"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5C4D04BF"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11BC0D73"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765CA421"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Cuantos cadáveres y/o restos humanos no identificados fueron identificados como desaparecidos.</w:t>
      </w:r>
    </w:p>
    <w:p w:rsidRPr="00696977" w:rsidR="00696977" w:rsidP="00696977" w:rsidRDefault="00696977" w14:paraId="5B117E66"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492AE4FF"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0D9FF197"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lastRenderedPageBreak/>
        <w:t>01 de enero 2022 al 31 de agosto de 2022.</w:t>
      </w:r>
    </w:p>
    <w:p w:rsidRPr="00696977" w:rsidR="00696977" w:rsidP="00696977" w:rsidRDefault="00696977" w14:paraId="4C03F75C"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4F356587"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Refiera el lugar de localización de todos los cadáveres y/o restos humanos no identificados (dirección y coordenadas geográficas).</w:t>
      </w:r>
    </w:p>
    <w:p w:rsidRPr="00696977" w:rsidR="00696977" w:rsidP="00696977" w:rsidRDefault="00696977" w14:paraId="4E84D577"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58FE25DF"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Edad aproximada o estimada de todos los ingresados como no identificados.</w:t>
      </w:r>
    </w:p>
    <w:p w:rsidRPr="00696977" w:rsidR="00696977" w:rsidP="00696977" w:rsidRDefault="00696977" w14:paraId="28FFCE94"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78A4D330"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6646C6F4"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444B7BD9"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1EDAFB51"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La determinación de sexo de todos los cadáveres y/o restos humanos analizados como no identificados. </w:t>
      </w:r>
    </w:p>
    <w:p w:rsidRPr="00696977" w:rsidR="00696977" w:rsidP="00696977" w:rsidRDefault="00696977" w14:paraId="51E810D7"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4EDAEDB5"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3FDE1E48"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473C8EB7"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793BE528"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Mencionar las fases cadavéricas en la que fueron localizados todos los no identificados.</w:t>
      </w:r>
    </w:p>
    <w:p w:rsidRPr="00696977" w:rsidR="00696977" w:rsidP="00696977" w:rsidRDefault="00696977" w14:paraId="09D33834"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071FE25C"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6D3B9120"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213B7130"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0071FBF5"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Menciones la complexión de todos los cadáveres de los no identificados.</w:t>
      </w:r>
    </w:p>
    <w:p w:rsidRPr="00696977" w:rsidR="00696977" w:rsidP="00696977" w:rsidRDefault="00696977" w14:paraId="2FDB9E5A"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1756ACF4"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7335CBD7"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71D9EC54"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65026124"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Refiera las lesiones que presentaban todos los no identificados.</w:t>
      </w:r>
    </w:p>
    <w:p w:rsidRPr="00696977" w:rsidR="00696977" w:rsidP="00696977" w:rsidRDefault="00696977" w14:paraId="2755A1D5"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1B2E369B"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56F1A40F"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lastRenderedPageBreak/>
        <w:t>01 de enero 2022 al 31 de agosto de 2022.</w:t>
      </w:r>
    </w:p>
    <w:p w:rsidRPr="00696977" w:rsidR="00696977" w:rsidP="00696977" w:rsidRDefault="00696977" w14:paraId="0F2FC5CB"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36C3B744"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¿Es necesario el uso de un protocolo o procedimiento de identificación humana específico para no identificados?</w:t>
      </w:r>
    </w:p>
    <w:tbl>
      <w:tblPr>
        <w:tblStyle w:val="Tablaconcuadrcula"/>
        <w:tblW w:w="0" w:type="auto"/>
        <w:tblInd w:w="720" w:type="dxa"/>
        <w:tblLook w:val="04A0" w:firstRow="1" w:lastRow="0" w:firstColumn="1" w:lastColumn="0" w:noHBand="0" w:noVBand="1"/>
      </w:tblPr>
      <w:tblGrid>
        <w:gridCol w:w="2232"/>
        <w:gridCol w:w="501"/>
      </w:tblGrid>
      <w:tr w:rsidRPr="00696977" w:rsidR="00696977" w:rsidTr="004D34CE" w14:paraId="6AACA7C5" w14:textId="77777777">
        <w:trPr>
          <w:trHeight w:val="290"/>
        </w:trPr>
        <w:tc>
          <w:tcPr>
            <w:tcW w:w="2176" w:type="dxa"/>
            <w:shd w:val="clear" w:color="auto" w:fill="B4C6E7" w:themeFill="accent1" w:themeFillTint="66"/>
          </w:tcPr>
          <w:p w:rsidRPr="00696977" w:rsidR="00696977" w:rsidP="00696977" w:rsidRDefault="00696977" w14:paraId="0D5A803A"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Muy de acuerdo</w:t>
            </w:r>
          </w:p>
        </w:tc>
        <w:tc>
          <w:tcPr>
            <w:tcW w:w="501" w:type="dxa"/>
          </w:tcPr>
          <w:p w:rsidRPr="00696977" w:rsidR="00696977" w:rsidP="00696977" w:rsidRDefault="00696977" w14:paraId="63F5E059"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2F591C55" w14:textId="77777777">
        <w:trPr>
          <w:trHeight w:val="300"/>
        </w:trPr>
        <w:tc>
          <w:tcPr>
            <w:tcW w:w="2176" w:type="dxa"/>
            <w:shd w:val="clear" w:color="auto" w:fill="B4C6E7" w:themeFill="accent1" w:themeFillTint="66"/>
          </w:tcPr>
          <w:p w:rsidRPr="00696977" w:rsidR="00696977" w:rsidP="00696977" w:rsidRDefault="00696977" w14:paraId="7CAD30EA"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De a cuerdo </w:t>
            </w:r>
          </w:p>
        </w:tc>
        <w:tc>
          <w:tcPr>
            <w:tcW w:w="501" w:type="dxa"/>
          </w:tcPr>
          <w:p w:rsidRPr="00696977" w:rsidR="00696977" w:rsidP="00696977" w:rsidRDefault="00696977" w14:paraId="1B3A86FB"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35354D33" w14:textId="77777777">
        <w:trPr>
          <w:trHeight w:val="290"/>
        </w:trPr>
        <w:tc>
          <w:tcPr>
            <w:tcW w:w="2176" w:type="dxa"/>
            <w:shd w:val="clear" w:color="auto" w:fill="B4C6E7" w:themeFill="accent1" w:themeFillTint="66"/>
          </w:tcPr>
          <w:p w:rsidRPr="00696977" w:rsidR="00696977" w:rsidP="00696977" w:rsidRDefault="00696977" w14:paraId="08A0B7DB"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En desacuerdo </w:t>
            </w:r>
          </w:p>
        </w:tc>
        <w:tc>
          <w:tcPr>
            <w:tcW w:w="501" w:type="dxa"/>
          </w:tcPr>
          <w:p w:rsidRPr="00696977" w:rsidR="00696977" w:rsidP="00696977" w:rsidRDefault="00696977" w14:paraId="18BA1145"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785373E9" w14:textId="77777777">
        <w:trPr>
          <w:trHeight w:val="290"/>
        </w:trPr>
        <w:tc>
          <w:tcPr>
            <w:tcW w:w="2176" w:type="dxa"/>
            <w:shd w:val="clear" w:color="auto" w:fill="B4C6E7" w:themeFill="accent1" w:themeFillTint="66"/>
          </w:tcPr>
          <w:p w:rsidRPr="00696977" w:rsidR="00696977" w:rsidP="00696977" w:rsidRDefault="00696977" w14:paraId="58DF5BCB"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Muy en desacuerdo </w:t>
            </w:r>
          </w:p>
        </w:tc>
        <w:tc>
          <w:tcPr>
            <w:tcW w:w="501" w:type="dxa"/>
          </w:tcPr>
          <w:p w:rsidRPr="00696977" w:rsidR="00696977" w:rsidP="00696977" w:rsidRDefault="00696977" w14:paraId="0BD1526A"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3492B5D2"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7B55FCA5"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En el caso de los no identificados ¿cuál es el protocolo o procedimiento de identificación humana empleado en esta institución?</w:t>
      </w:r>
    </w:p>
    <w:p w:rsidRPr="00696977" w:rsidR="00696977" w:rsidP="00696977" w:rsidRDefault="00696977" w14:paraId="2CCA5176"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68A3D7BC"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¿Cuál es la causa de muerte de todos los no identificados?</w:t>
      </w:r>
    </w:p>
    <w:p w:rsidRPr="00696977" w:rsidR="00696977" w:rsidP="00696977" w:rsidRDefault="00696977" w14:paraId="70982627"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17FCA4BA"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52481F1A"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33DE16BE"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6A1B38E2"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De los no identificados ingresados y analizados en esta institución ¿cuántos presentaban prendas de vestir?  </w:t>
      </w:r>
    </w:p>
    <w:p w:rsidRPr="00696977" w:rsidR="00696977" w:rsidP="00696977" w:rsidRDefault="00696977" w14:paraId="31622958"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1DD8D662"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22A53709"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373D080C"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3B6A7B8B"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Mencione las prendas de vestir que portaban los no identificados por cada uno de ellos, anexando tallas y marca comercial de la ropa.</w:t>
      </w:r>
    </w:p>
    <w:p w:rsidRPr="00696977" w:rsidR="00696977" w:rsidP="00696977" w:rsidRDefault="00696977" w14:paraId="7F124C66"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7C09DB23"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Mencione el estado de conservación en que se localizaban las prendas de vestir que portaban los no identificados por cada uno de ellos; de no contar con prendas de vestir mencionar “sin prendas de vestir”.</w:t>
      </w:r>
    </w:p>
    <w:p w:rsidRPr="00696977" w:rsidR="00696977" w:rsidP="00696977" w:rsidRDefault="00696977" w14:paraId="2128D81C"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2020 al 31 de diciembre de 2020.</w:t>
      </w:r>
    </w:p>
    <w:p w:rsidRPr="00696977" w:rsidR="00696977" w:rsidP="00696977" w:rsidRDefault="00696977" w14:paraId="36F77088"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2021 al 31 de diciembre de 2021.</w:t>
      </w:r>
    </w:p>
    <w:p w:rsidRPr="00696977" w:rsidR="00696977" w:rsidP="00696977" w:rsidRDefault="00696977" w14:paraId="4DA4DA63" w14:textId="77777777">
      <w:pPr>
        <w:numPr>
          <w:ilvl w:val="1"/>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01 de enero 2022 al 31 de agosto de 2022.</w:t>
      </w:r>
    </w:p>
    <w:p w:rsidRPr="00696977" w:rsidR="00696977" w:rsidP="00696977" w:rsidRDefault="00696977" w14:paraId="485ADEA8"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611CB2F0"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¿Se realizó un análisis técnico forense a las prendas de vestir de los no identificados?</w:t>
      </w:r>
    </w:p>
    <w:tbl>
      <w:tblPr>
        <w:tblStyle w:val="Tablaconcuadrcula"/>
        <w:tblW w:w="0" w:type="auto"/>
        <w:tblInd w:w="720" w:type="dxa"/>
        <w:tblLook w:val="04A0" w:firstRow="1" w:lastRow="0" w:firstColumn="1" w:lastColumn="0" w:noHBand="0" w:noVBand="1"/>
      </w:tblPr>
      <w:tblGrid>
        <w:gridCol w:w="2176"/>
        <w:gridCol w:w="501"/>
      </w:tblGrid>
      <w:tr w:rsidRPr="00696977" w:rsidR="00696977" w:rsidTr="004D34CE" w14:paraId="1DBD3462" w14:textId="77777777">
        <w:trPr>
          <w:trHeight w:val="290"/>
        </w:trPr>
        <w:tc>
          <w:tcPr>
            <w:tcW w:w="2176" w:type="dxa"/>
            <w:shd w:val="clear" w:color="auto" w:fill="B4C6E7" w:themeFill="accent1" w:themeFillTint="66"/>
          </w:tcPr>
          <w:p w:rsidRPr="00696977" w:rsidR="00696977" w:rsidP="00696977" w:rsidRDefault="00696977" w14:paraId="25098E36"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Si</w:t>
            </w:r>
          </w:p>
        </w:tc>
        <w:tc>
          <w:tcPr>
            <w:tcW w:w="501" w:type="dxa"/>
          </w:tcPr>
          <w:p w:rsidRPr="00696977" w:rsidR="00696977" w:rsidP="00696977" w:rsidRDefault="00696977" w14:paraId="7AA16C1B"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57C7506C" w14:textId="77777777">
        <w:trPr>
          <w:trHeight w:val="300"/>
        </w:trPr>
        <w:tc>
          <w:tcPr>
            <w:tcW w:w="2176" w:type="dxa"/>
            <w:shd w:val="clear" w:color="auto" w:fill="B4C6E7" w:themeFill="accent1" w:themeFillTint="66"/>
          </w:tcPr>
          <w:p w:rsidRPr="00696977" w:rsidR="00696977" w:rsidP="00696977" w:rsidRDefault="00696977" w14:paraId="7E8F4EB7"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No </w:t>
            </w:r>
          </w:p>
        </w:tc>
        <w:tc>
          <w:tcPr>
            <w:tcW w:w="501" w:type="dxa"/>
          </w:tcPr>
          <w:p w:rsidRPr="00696977" w:rsidR="00696977" w:rsidP="00696977" w:rsidRDefault="00696977" w14:paraId="5ACBCEBF"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146533AD"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097C31AB"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De ser afirmativo, ¿cuál fue el análisis técnico forense realizado a las prendas de vestir?</w:t>
      </w:r>
    </w:p>
    <w:p w:rsidRPr="00696977" w:rsidR="00696977" w:rsidP="00696977" w:rsidRDefault="00696977" w14:paraId="7C8A1AF9"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5939C8F4"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En el estudio o análisis que realiza el especialista forense directamente a las prendas de vestir pertenecientes a cadáveres o restos humanos de los no identificados, ¿se valoran características de orden identificativo (talla, marca, modelo, tipo color etc.)?</w:t>
      </w:r>
    </w:p>
    <w:tbl>
      <w:tblPr>
        <w:tblStyle w:val="Tablaconcuadrcula"/>
        <w:tblW w:w="0" w:type="auto"/>
        <w:tblInd w:w="720" w:type="dxa"/>
        <w:tblLook w:val="04A0" w:firstRow="1" w:lastRow="0" w:firstColumn="1" w:lastColumn="0" w:noHBand="0" w:noVBand="1"/>
      </w:tblPr>
      <w:tblGrid>
        <w:gridCol w:w="2232"/>
        <w:gridCol w:w="501"/>
      </w:tblGrid>
      <w:tr w:rsidRPr="00696977" w:rsidR="00696977" w:rsidTr="004D34CE" w14:paraId="14FDCBD4" w14:textId="77777777">
        <w:trPr>
          <w:trHeight w:val="290"/>
        </w:trPr>
        <w:tc>
          <w:tcPr>
            <w:tcW w:w="2176" w:type="dxa"/>
            <w:shd w:val="clear" w:color="auto" w:fill="B4C6E7" w:themeFill="accent1" w:themeFillTint="66"/>
          </w:tcPr>
          <w:p w:rsidRPr="00696977" w:rsidR="00696977" w:rsidP="00696977" w:rsidRDefault="00696977" w14:paraId="18DF1448"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Muy de acuerdo</w:t>
            </w:r>
          </w:p>
        </w:tc>
        <w:tc>
          <w:tcPr>
            <w:tcW w:w="501" w:type="dxa"/>
          </w:tcPr>
          <w:p w:rsidRPr="00696977" w:rsidR="00696977" w:rsidP="00696977" w:rsidRDefault="00696977" w14:paraId="4119C740"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49A2AAA1" w14:textId="77777777">
        <w:trPr>
          <w:trHeight w:val="300"/>
        </w:trPr>
        <w:tc>
          <w:tcPr>
            <w:tcW w:w="2176" w:type="dxa"/>
            <w:shd w:val="clear" w:color="auto" w:fill="B4C6E7" w:themeFill="accent1" w:themeFillTint="66"/>
          </w:tcPr>
          <w:p w:rsidRPr="00696977" w:rsidR="00696977" w:rsidP="00696977" w:rsidRDefault="00696977" w14:paraId="678134DE"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De a cuerdo </w:t>
            </w:r>
          </w:p>
        </w:tc>
        <w:tc>
          <w:tcPr>
            <w:tcW w:w="501" w:type="dxa"/>
          </w:tcPr>
          <w:p w:rsidRPr="00696977" w:rsidR="00696977" w:rsidP="00696977" w:rsidRDefault="00696977" w14:paraId="62D612F8"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6465B6ED" w14:textId="77777777">
        <w:trPr>
          <w:trHeight w:val="290"/>
        </w:trPr>
        <w:tc>
          <w:tcPr>
            <w:tcW w:w="2176" w:type="dxa"/>
            <w:shd w:val="clear" w:color="auto" w:fill="B4C6E7" w:themeFill="accent1" w:themeFillTint="66"/>
          </w:tcPr>
          <w:p w:rsidRPr="00696977" w:rsidR="00696977" w:rsidP="00696977" w:rsidRDefault="00696977" w14:paraId="0078C9F8"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En desacuerdo </w:t>
            </w:r>
          </w:p>
        </w:tc>
        <w:tc>
          <w:tcPr>
            <w:tcW w:w="501" w:type="dxa"/>
          </w:tcPr>
          <w:p w:rsidRPr="00696977" w:rsidR="00696977" w:rsidP="00696977" w:rsidRDefault="00696977" w14:paraId="34E8DCA7"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64729E06" w14:textId="77777777">
        <w:trPr>
          <w:trHeight w:val="290"/>
        </w:trPr>
        <w:tc>
          <w:tcPr>
            <w:tcW w:w="2176" w:type="dxa"/>
            <w:shd w:val="clear" w:color="auto" w:fill="B4C6E7" w:themeFill="accent1" w:themeFillTint="66"/>
          </w:tcPr>
          <w:p w:rsidRPr="00696977" w:rsidR="00696977" w:rsidP="00696977" w:rsidRDefault="00696977" w14:paraId="2D2799A6"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Muy en desacuerdo </w:t>
            </w:r>
          </w:p>
        </w:tc>
        <w:tc>
          <w:tcPr>
            <w:tcW w:w="501" w:type="dxa"/>
          </w:tcPr>
          <w:p w:rsidRPr="00696977" w:rsidR="00696977" w:rsidP="00696977" w:rsidRDefault="00696977" w14:paraId="633E348B"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1C252ABE"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58E57757"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En el estudio o análisis que realiza el especialista forense directamente a las prendas de vestir pertenecientes a cadáveres o restos humanos de los no identificados, ¿se valoran características de orden reconstructivo (orificios, rasgaduras, </w:t>
      </w:r>
      <w:proofErr w:type="spellStart"/>
      <w:r w:rsidRPr="00696977">
        <w:rPr>
          <w:rFonts w:ascii="Palatino Linotype" w:hAnsi="Palatino Linotype" w:cs="Tahoma"/>
          <w:i/>
          <w:szCs w:val="22"/>
          <w:lang w:val="es-ES_tradnl"/>
        </w:rPr>
        <w:t>deshilachamientos</w:t>
      </w:r>
      <w:proofErr w:type="spellEnd"/>
      <w:r w:rsidRPr="00696977">
        <w:rPr>
          <w:rFonts w:ascii="Palatino Linotype" w:hAnsi="Palatino Linotype" w:cs="Tahoma"/>
          <w:i/>
          <w:szCs w:val="22"/>
          <w:lang w:val="es-ES_tradnl"/>
        </w:rPr>
        <w:t>, quemaduras etc.)?</w:t>
      </w:r>
    </w:p>
    <w:tbl>
      <w:tblPr>
        <w:tblStyle w:val="Tablaconcuadrcula"/>
        <w:tblW w:w="0" w:type="auto"/>
        <w:tblInd w:w="720" w:type="dxa"/>
        <w:tblLook w:val="04A0" w:firstRow="1" w:lastRow="0" w:firstColumn="1" w:lastColumn="0" w:noHBand="0" w:noVBand="1"/>
      </w:tblPr>
      <w:tblGrid>
        <w:gridCol w:w="2232"/>
        <w:gridCol w:w="501"/>
      </w:tblGrid>
      <w:tr w:rsidRPr="00696977" w:rsidR="00696977" w:rsidTr="004D34CE" w14:paraId="69A95C19" w14:textId="77777777">
        <w:trPr>
          <w:trHeight w:val="290"/>
        </w:trPr>
        <w:tc>
          <w:tcPr>
            <w:tcW w:w="2176" w:type="dxa"/>
            <w:shd w:val="clear" w:color="auto" w:fill="B4C6E7" w:themeFill="accent1" w:themeFillTint="66"/>
          </w:tcPr>
          <w:p w:rsidRPr="00696977" w:rsidR="00696977" w:rsidP="00696977" w:rsidRDefault="00696977" w14:paraId="762026E9"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lastRenderedPageBreak/>
              <w:t>Muy de acuerdo</w:t>
            </w:r>
          </w:p>
        </w:tc>
        <w:tc>
          <w:tcPr>
            <w:tcW w:w="501" w:type="dxa"/>
          </w:tcPr>
          <w:p w:rsidRPr="00696977" w:rsidR="00696977" w:rsidP="00696977" w:rsidRDefault="00696977" w14:paraId="4A819E79"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6B5FB52C" w14:textId="77777777">
        <w:trPr>
          <w:trHeight w:val="300"/>
        </w:trPr>
        <w:tc>
          <w:tcPr>
            <w:tcW w:w="2176" w:type="dxa"/>
            <w:shd w:val="clear" w:color="auto" w:fill="B4C6E7" w:themeFill="accent1" w:themeFillTint="66"/>
          </w:tcPr>
          <w:p w:rsidRPr="00696977" w:rsidR="00696977" w:rsidP="00696977" w:rsidRDefault="00696977" w14:paraId="213F2A9D"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De a cuerdo </w:t>
            </w:r>
          </w:p>
        </w:tc>
        <w:tc>
          <w:tcPr>
            <w:tcW w:w="501" w:type="dxa"/>
          </w:tcPr>
          <w:p w:rsidRPr="00696977" w:rsidR="00696977" w:rsidP="00696977" w:rsidRDefault="00696977" w14:paraId="0F52825C"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71A9294C" w14:textId="77777777">
        <w:trPr>
          <w:trHeight w:val="290"/>
        </w:trPr>
        <w:tc>
          <w:tcPr>
            <w:tcW w:w="2176" w:type="dxa"/>
            <w:shd w:val="clear" w:color="auto" w:fill="B4C6E7" w:themeFill="accent1" w:themeFillTint="66"/>
          </w:tcPr>
          <w:p w:rsidRPr="00696977" w:rsidR="00696977" w:rsidP="00696977" w:rsidRDefault="00696977" w14:paraId="51B64A33"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En desacuerdo </w:t>
            </w:r>
          </w:p>
        </w:tc>
        <w:tc>
          <w:tcPr>
            <w:tcW w:w="501" w:type="dxa"/>
          </w:tcPr>
          <w:p w:rsidRPr="00696977" w:rsidR="00696977" w:rsidP="00696977" w:rsidRDefault="00696977" w14:paraId="5949720C"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320B3865" w14:textId="77777777">
        <w:trPr>
          <w:trHeight w:val="290"/>
        </w:trPr>
        <w:tc>
          <w:tcPr>
            <w:tcW w:w="2176" w:type="dxa"/>
            <w:shd w:val="clear" w:color="auto" w:fill="B4C6E7" w:themeFill="accent1" w:themeFillTint="66"/>
          </w:tcPr>
          <w:p w:rsidRPr="00696977" w:rsidR="00696977" w:rsidP="00696977" w:rsidRDefault="00696977" w14:paraId="01A23AE1"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Muy en desacuerdo </w:t>
            </w:r>
          </w:p>
        </w:tc>
        <w:tc>
          <w:tcPr>
            <w:tcW w:w="501" w:type="dxa"/>
          </w:tcPr>
          <w:p w:rsidRPr="00696977" w:rsidR="00696977" w:rsidP="00696977" w:rsidRDefault="00696977" w14:paraId="47B97D5D"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737F574D"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7745124A"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¿Qué proceso de análisis forense realizan los peritos en criminalística a las prendas de vestir?</w:t>
      </w:r>
    </w:p>
    <w:p w:rsidRPr="00696977" w:rsidR="00696977" w:rsidP="00696977" w:rsidRDefault="00696977" w14:paraId="2FDBA1B0"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17D699B5"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Las prendas de vestir asociadas a cadáveres o restos humanos de no identificados reciben un tratamiento o procedimiento de limpieza para que permita apreciar sus características identificativas, tales como talla, color, marca, etc.</w:t>
      </w:r>
    </w:p>
    <w:tbl>
      <w:tblPr>
        <w:tblStyle w:val="Tablaconcuadrcula"/>
        <w:tblW w:w="0" w:type="auto"/>
        <w:tblInd w:w="720" w:type="dxa"/>
        <w:tblLook w:val="04A0" w:firstRow="1" w:lastRow="0" w:firstColumn="1" w:lastColumn="0" w:noHBand="0" w:noVBand="1"/>
      </w:tblPr>
      <w:tblGrid>
        <w:gridCol w:w="1595"/>
        <w:gridCol w:w="425"/>
      </w:tblGrid>
      <w:tr w:rsidRPr="00696977" w:rsidR="00696977" w:rsidTr="004D34CE" w14:paraId="0685B6D1" w14:textId="77777777">
        <w:tc>
          <w:tcPr>
            <w:tcW w:w="551" w:type="dxa"/>
            <w:shd w:val="clear" w:color="auto" w:fill="B4C6E7" w:themeFill="accent1" w:themeFillTint="66"/>
          </w:tcPr>
          <w:p w:rsidRPr="00696977" w:rsidR="00696977" w:rsidP="00696977" w:rsidRDefault="00696977" w14:paraId="1ED37425"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Si</w:t>
            </w:r>
          </w:p>
        </w:tc>
        <w:tc>
          <w:tcPr>
            <w:tcW w:w="425" w:type="dxa"/>
          </w:tcPr>
          <w:p w:rsidRPr="00696977" w:rsidR="00696977" w:rsidP="00696977" w:rsidRDefault="00696977" w14:paraId="311B7C8B"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723C55BF" w14:textId="77777777">
        <w:tc>
          <w:tcPr>
            <w:tcW w:w="551" w:type="dxa"/>
            <w:shd w:val="clear" w:color="auto" w:fill="B4C6E7" w:themeFill="accent1" w:themeFillTint="66"/>
          </w:tcPr>
          <w:p w:rsidRPr="00696977" w:rsidR="00696977" w:rsidP="00696977" w:rsidRDefault="00696977" w14:paraId="52C32CFE"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No</w:t>
            </w:r>
          </w:p>
        </w:tc>
        <w:tc>
          <w:tcPr>
            <w:tcW w:w="425" w:type="dxa"/>
          </w:tcPr>
          <w:p w:rsidRPr="00696977" w:rsidR="00696977" w:rsidP="00696977" w:rsidRDefault="00696977" w14:paraId="24A1E78A"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0FB27E92"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4DAE5605"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De ser afirmativo refiera el tratamiento y la metodología empleada para el tratamiento o procedimiento de limpieza de las prendas de vestir.</w:t>
      </w:r>
    </w:p>
    <w:p w:rsidRPr="00696977" w:rsidR="00696977" w:rsidP="00696977" w:rsidRDefault="00696977" w14:paraId="3426D363"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50884113"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Las prendas de vestir asociadas a cadáveres o restos humanos de no identificados reciben un tratamiento o procedimiento de limpieza para que permita apreciar sus características reconstructivas, tales como cortes, orificios, rasgaduras, alteraciones, etc.</w:t>
      </w:r>
    </w:p>
    <w:tbl>
      <w:tblPr>
        <w:tblStyle w:val="Tablaconcuadrcula"/>
        <w:tblW w:w="0" w:type="auto"/>
        <w:tblInd w:w="720" w:type="dxa"/>
        <w:tblLook w:val="04A0" w:firstRow="1" w:lastRow="0" w:firstColumn="1" w:lastColumn="0" w:noHBand="0" w:noVBand="1"/>
      </w:tblPr>
      <w:tblGrid>
        <w:gridCol w:w="1595"/>
        <w:gridCol w:w="425"/>
      </w:tblGrid>
      <w:tr w:rsidRPr="00696977" w:rsidR="00696977" w:rsidTr="004D34CE" w14:paraId="63FF02D2" w14:textId="77777777">
        <w:tc>
          <w:tcPr>
            <w:tcW w:w="551" w:type="dxa"/>
            <w:shd w:val="clear" w:color="auto" w:fill="B4C6E7" w:themeFill="accent1" w:themeFillTint="66"/>
          </w:tcPr>
          <w:p w:rsidRPr="00696977" w:rsidR="00696977" w:rsidP="00696977" w:rsidRDefault="00696977" w14:paraId="16355404"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Si</w:t>
            </w:r>
          </w:p>
        </w:tc>
        <w:tc>
          <w:tcPr>
            <w:tcW w:w="425" w:type="dxa"/>
          </w:tcPr>
          <w:p w:rsidRPr="00696977" w:rsidR="00696977" w:rsidP="00696977" w:rsidRDefault="00696977" w14:paraId="16E4D654"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232F3593" w14:textId="77777777">
        <w:tc>
          <w:tcPr>
            <w:tcW w:w="551" w:type="dxa"/>
            <w:shd w:val="clear" w:color="auto" w:fill="B4C6E7" w:themeFill="accent1" w:themeFillTint="66"/>
          </w:tcPr>
          <w:p w:rsidRPr="00696977" w:rsidR="00696977" w:rsidP="00696977" w:rsidRDefault="00696977" w14:paraId="491C15DE"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No</w:t>
            </w:r>
          </w:p>
        </w:tc>
        <w:tc>
          <w:tcPr>
            <w:tcW w:w="425" w:type="dxa"/>
          </w:tcPr>
          <w:p w:rsidRPr="00696977" w:rsidR="00696977" w:rsidP="00696977" w:rsidRDefault="00696977" w14:paraId="557FCED9"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6526FA9A"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2368DA9C"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De ser afirmativo refiera el tratamiento y la metodología empleada para el tratamiento o procedimiento de limpieza de las prendas de vestir.</w:t>
      </w:r>
    </w:p>
    <w:p w:rsidRPr="00696977" w:rsidR="00696977" w:rsidP="00696977" w:rsidRDefault="00696977" w14:paraId="08976565"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33199B8C"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lastRenderedPageBreak/>
        <w:t>Para esta institución las prendas de vestir son denominadas como:</w:t>
      </w:r>
    </w:p>
    <w:tbl>
      <w:tblPr>
        <w:tblStyle w:val="Tablaconcuadrcula"/>
        <w:tblW w:w="0" w:type="auto"/>
        <w:tblInd w:w="720" w:type="dxa"/>
        <w:tblLook w:val="04A0" w:firstRow="1" w:lastRow="0" w:firstColumn="1" w:lastColumn="0" w:noHBand="0" w:noVBand="1"/>
      </w:tblPr>
      <w:tblGrid>
        <w:gridCol w:w="2377"/>
        <w:gridCol w:w="415"/>
      </w:tblGrid>
      <w:tr w:rsidRPr="00696977" w:rsidR="00696977" w:rsidTr="004D34CE" w14:paraId="34CCAEAB" w14:textId="77777777">
        <w:tc>
          <w:tcPr>
            <w:tcW w:w="1270" w:type="dxa"/>
            <w:shd w:val="clear" w:color="auto" w:fill="B4C6E7" w:themeFill="accent1" w:themeFillTint="66"/>
          </w:tcPr>
          <w:p w:rsidRPr="00696977" w:rsidR="00696977" w:rsidP="00696977" w:rsidRDefault="00696977" w14:paraId="78712B1D"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Pertenencias</w:t>
            </w:r>
          </w:p>
        </w:tc>
        <w:tc>
          <w:tcPr>
            <w:tcW w:w="415" w:type="dxa"/>
          </w:tcPr>
          <w:p w:rsidRPr="00696977" w:rsidR="00696977" w:rsidP="00696977" w:rsidRDefault="00696977" w14:paraId="288FEEE6"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2DD3A5A9" w14:textId="77777777">
        <w:tc>
          <w:tcPr>
            <w:tcW w:w="1270" w:type="dxa"/>
            <w:shd w:val="clear" w:color="auto" w:fill="B4C6E7" w:themeFill="accent1" w:themeFillTint="66"/>
          </w:tcPr>
          <w:p w:rsidRPr="00696977" w:rsidR="00696977" w:rsidP="00696977" w:rsidRDefault="00696977" w14:paraId="2B55AA0B"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Indicios</w:t>
            </w:r>
          </w:p>
        </w:tc>
        <w:tc>
          <w:tcPr>
            <w:tcW w:w="415" w:type="dxa"/>
          </w:tcPr>
          <w:p w:rsidRPr="00696977" w:rsidR="00696977" w:rsidP="00696977" w:rsidRDefault="00696977" w14:paraId="10692C42"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208DDE24" w14:textId="77777777">
        <w:tc>
          <w:tcPr>
            <w:tcW w:w="1270" w:type="dxa"/>
            <w:shd w:val="clear" w:color="auto" w:fill="B4C6E7" w:themeFill="accent1" w:themeFillTint="66"/>
          </w:tcPr>
          <w:p w:rsidRPr="00696977" w:rsidR="00696977" w:rsidP="00696977" w:rsidRDefault="00696977" w14:paraId="2B871B63"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Ambas</w:t>
            </w:r>
          </w:p>
        </w:tc>
        <w:tc>
          <w:tcPr>
            <w:tcW w:w="415" w:type="dxa"/>
          </w:tcPr>
          <w:p w:rsidRPr="00696977" w:rsidR="00696977" w:rsidP="00696977" w:rsidRDefault="00696977" w14:paraId="79327A61"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7D8FCB23"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10710989"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¿Cuál es el procedimiento de embalaje y resguardo de las prendas de vestir?</w:t>
      </w:r>
    </w:p>
    <w:p w:rsidRPr="00696977" w:rsidR="00696977" w:rsidP="00696977" w:rsidRDefault="00696977" w14:paraId="5B877E25"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77FF462D"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En esta institución ¿existe una bodega de almacenamiento de prendas de vestir que resguarde y proteja estos objetos?</w:t>
      </w:r>
    </w:p>
    <w:tbl>
      <w:tblPr>
        <w:tblStyle w:val="Tablaconcuadrcula"/>
        <w:tblW w:w="0" w:type="auto"/>
        <w:tblInd w:w="720" w:type="dxa"/>
        <w:tblLook w:val="04A0" w:firstRow="1" w:lastRow="0" w:firstColumn="1" w:lastColumn="0" w:noHBand="0" w:noVBand="1"/>
      </w:tblPr>
      <w:tblGrid>
        <w:gridCol w:w="1595"/>
        <w:gridCol w:w="425"/>
      </w:tblGrid>
      <w:tr w:rsidRPr="00696977" w:rsidR="00696977" w:rsidTr="004D34CE" w14:paraId="3458ACAC" w14:textId="77777777">
        <w:tc>
          <w:tcPr>
            <w:tcW w:w="551" w:type="dxa"/>
            <w:shd w:val="clear" w:color="auto" w:fill="B4C6E7" w:themeFill="accent1" w:themeFillTint="66"/>
          </w:tcPr>
          <w:p w:rsidRPr="00696977" w:rsidR="00696977" w:rsidP="00696977" w:rsidRDefault="00696977" w14:paraId="17342C67"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Si</w:t>
            </w:r>
          </w:p>
        </w:tc>
        <w:tc>
          <w:tcPr>
            <w:tcW w:w="425" w:type="dxa"/>
          </w:tcPr>
          <w:p w:rsidRPr="00696977" w:rsidR="00696977" w:rsidP="00696977" w:rsidRDefault="00696977" w14:paraId="47982F3A"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340B1119" w14:textId="77777777">
        <w:tc>
          <w:tcPr>
            <w:tcW w:w="551" w:type="dxa"/>
            <w:shd w:val="clear" w:color="auto" w:fill="B4C6E7" w:themeFill="accent1" w:themeFillTint="66"/>
          </w:tcPr>
          <w:p w:rsidRPr="00696977" w:rsidR="00696977" w:rsidP="00696977" w:rsidRDefault="00696977" w14:paraId="48E50BD7"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No</w:t>
            </w:r>
          </w:p>
        </w:tc>
        <w:tc>
          <w:tcPr>
            <w:tcW w:w="425" w:type="dxa"/>
          </w:tcPr>
          <w:p w:rsidRPr="00696977" w:rsidR="00696977" w:rsidP="00696977" w:rsidRDefault="00696977" w14:paraId="16040A47"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279BB49D"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1B6CBE48"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De ser positiva la respuesta anterior, mencione como es denominado dicho espacio y que funciones se realiza dentro del mismo.</w:t>
      </w:r>
    </w:p>
    <w:p w:rsidRPr="00696977" w:rsidR="00696977" w:rsidP="00696977" w:rsidRDefault="00696977" w14:paraId="35CCA26E"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06801A60"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Esta institución cuenta con una base de datos donde se localice información de prendas de vestir portadas o asociadas a no identificados.</w:t>
      </w:r>
    </w:p>
    <w:tbl>
      <w:tblPr>
        <w:tblStyle w:val="Tablaconcuadrcula"/>
        <w:tblW w:w="0" w:type="auto"/>
        <w:tblInd w:w="720" w:type="dxa"/>
        <w:tblLook w:val="04A0" w:firstRow="1" w:lastRow="0" w:firstColumn="1" w:lastColumn="0" w:noHBand="0" w:noVBand="1"/>
      </w:tblPr>
      <w:tblGrid>
        <w:gridCol w:w="1595"/>
        <w:gridCol w:w="425"/>
      </w:tblGrid>
      <w:tr w:rsidRPr="00696977" w:rsidR="00696977" w:rsidTr="004D34CE" w14:paraId="6EBBB8AF" w14:textId="77777777">
        <w:tc>
          <w:tcPr>
            <w:tcW w:w="551" w:type="dxa"/>
            <w:shd w:val="clear" w:color="auto" w:fill="B4C6E7" w:themeFill="accent1" w:themeFillTint="66"/>
          </w:tcPr>
          <w:p w:rsidRPr="00696977" w:rsidR="00696977" w:rsidP="00696977" w:rsidRDefault="00696977" w14:paraId="7B808221"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Si</w:t>
            </w:r>
          </w:p>
        </w:tc>
        <w:tc>
          <w:tcPr>
            <w:tcW w:w="425" w:type="dxa"/>
          </w:tcPr>
          <w:p w:rsidRPr="00696977" w:rsidR="00696977" w:rsidP="00696977" w:rsidRDefault="00696977" w14:paraId="0C0D211B"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r w:rsidRPr="00696977" w:rsidR="00696977" w:rsidTr="004D34CE" w14:paraId="28D2A709" w14:textId="77777777">
        <w:tc>
          <w:tcPr>
            <w:tcW w:w="551" w:type="dxa"/>
            <w:shd w:val="clear" w:color="auto" w:fill="B4C6E7" w:themeFill="accent1" w:themeFillTint="66"/>
          </w:tcPr>
          <w:p w:rsidRPr="00696977" w:rsidR="00696977" w:rsidP="00696977" w:rsidRDefault="00696977" w14:paraId="32A91466"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No</w:t>
            </w:r>
          </w:p>
        </w:tc>
        <w:tc>
          <w:tcPr>
            <w:tcW w:w="425" w:type="dxa"/>
          </w:tcPr>
          <w:p w:rsidRPr="00696977" w:rsidR="00696977" w:rsidP="00696977" w:rsidRDefault="00696977" w14:paraId="1B806C97" w14:textId="77777777">
            <w:pPr>
              <w:autoSpaceDE w:val="0"/>
              <w:autoSpaceDN w:val="0"/>
              <w:adjustRightInd w:val="0"/>
              <w:spacing w:line="360" w:lineRule="auto"/>
              <w:ind w:left="567" w:right="567"/>
              <w:jc w:val="both"/>
              <w:rPr>
                <w:rFonts w:ascii="Palatino Linotype" w:hAnsi="Palatino Linotype" w:cs="Tahoma"/>
                <w:i/>
                <w:szCs w:val="22"/>
                <w:lang w:val="es-ES_tradnl"/>
              </w:rPr>
            </w:pPr>
          </w:p>
        </w:tc>
      </w:tr>
    </w:tbl>
    <w:p w:rsidRPr="00696977" w:rsidR="00696977" w:rsidP="00696977" w:rsidRDefault="00696977" w14:paraId="345ED75E"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3578F57C"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Si esta Fiscalía presenta una base de datos de prendas de vestir ¿cuál es su función primaria y que datos aloja?</w:t>
      </w:r>
    </w:p>
    <w:p w:rsidRPr="00696977" w:rsidR="00696977" w:rsidP="00696977" w:rsidRDefault="00696977" w14:paraId="7C6E62B2"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31CD3FE6"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Anexar por lo menos 20 fotografías de prendas de vestir de no identificados.</w:t>
      </w:r>
    </w:p>
    <w:p w:rsidRPr="00696977" w:rsidR="00696977" w:rsidP="00696977" w:rsidRDefault="00696977" w14:paraId="2A193080"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23665F17" w14:textId="77777777">
      <w:pPr>
        <w:numPr>
          <w:ilvl w:val="0"/>
          <w:numId w:val="38"/>
        </w:numPr>
        <w:autoSpaceDE w:val="0"/>
        <w:autoSpaceDN w:val="0"/>
        <w:adjustRightInd w:val="0"/>
        <w:spacing w:line="360" w:lineRule="auto"/>
        <w:ind w:right="567"/>
        <w:jc w:val="both"/>
        <w:rPr>
          <w:rFonts w:ascii="Palatino Linotype" w:hAnsi="Palatino Linotype" w:cs="Tahoma"/>
          <w:i/>
          <w:szCs w:val="22"/>
          <w:lang w:val="es-ES_tradnl"/>
        </w:rPr>
      </w:pPr>
      <w:r w:rsidRPr="00696977">
        <w:rPr>
          <w:rFonts w:ascii="Palatino Linotype" w:hAnsi="Palatino Linotype" w:cs="Tahoma"/>
          <w:i/>
          <w:szCs w:val="22"/>
          <w:lang w:val="es-ES_tradnl"/>
        </w:rPr>
        <w:t>Se solicita anexar las opiniones técnicas, productos, dictámenes o informes en criminalística (de ser el caso versión pública, es decir sin datos vulnerables), respecto a prendas de vestir de los cadáveres y/o restos humanos de no identificados, específicamente la descripción, análisis y conclusión.</w:t>
      </w:r>
    </w:p>
    <w:p w:rsidRPr="00696977" w:rsidR="00696977" w:rsidP="00696977" w:rsidRDefault="00696977" w14:paraId="295ABEDD"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1958DF08"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Cabe hacer mención, si la información antes solicitada se encuentra en formato .</w:t>
      </w:r>
      <w:proofErr w:type="spellStart"/>
      <w:r w:rsidRPr="00696977">
        <w:rPr>
          <w:rFonts w:ascii="Palatino Linotype" w:hAnsi="Palatino Linotype" w:cs="Tahoma"/>
          <w:i/>
          <w:szCs w:val="22"/>
          <w:lang w:val="es-ES_tradnl"/>
        </w:rPr>
        <w:t>xlsx</w:t>
      </w:r>
      <w:proofErr w:type="spellEnd"/>
      <w:r w:rsidRPr="00696977">
        <w:rPr>
          <w:rFonts w:ascii="Palatino Linotype" w:hAnsi="Palatino Linotype" w:cs="Tahoma"/>
          <w:i/>
          <w:szCs w:val="22"/>
          <w:lang w:val="es-ES_tradnl"/>
        </w:rPr>
        <w:t xml:space="preserve"> (Excel) o cualquier medio electrónico, solicito que sea remitido en dicho formato.</w:t>
      </w:r>
    </w:p>
    <w:p w:rsidRPr="00696977" w:rsidR="00696977" w:rsidP="00696977" w:rsidRDefault="00696977" w14:paraId="0170F8F9"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660C0B5F"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No omito manifestar que la información solicitada se encuentra relacionada con los informes de Registro Nacional de Personas Desaparecidas y NO Localizadas realizados por la secretaria de Gobernación a cargo del subsecretario de derechos humanos y migración Alejandro Encinas Rodríguez, informes que se publican a partir de los registros proporcionados por las fiscalías de cada entidad federativa.</w:t>
      </w:r>
    </w:p>
    <w:p w:rsidRPr="00696977" w:rsidR="00696977" w:rsidP="00696977" w:rsidRDefault="00696977" w14:paraId="771D2E13"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357D9028"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 xml:space="preserve">Hago hincapié que los datos solicitados No podrá clasificarse como reservada aquella información que esté relacionada con violaciones graves a derechos humanos o delitos de lesa humanidad, de conformidad con el derecho nacional o los tratados internacionales de los que el Estado mexicano sea parte; esto fundamentado por el artículo 5, y 113 fracción III y 115 fracción I de la Ley General de Transparencia y Acceso a la Información Pública; por otro lado, tampoco podrán ser clasificados como confidenciales </w:t>
      </w:r>
      <w:r w:rsidRPr="00696977">
        <w:rPr>
          <w:rFonts w:ascii="Palatino Linotype" w:hAnsi="Palatino Linotype" w:cs="Tahoma"/>
          <w:i/>
          <w:iCs/>
          <w:szCs w:val="22"/>
          <w:u w:val="single"/>
          <w:lang w:val="es-ES_tradnl"/>
        </w:rPr>
        <w:t>por no tratarse de Información que incluya datos personales de víctimas involucradas o de alguna persona identificable</w:t>
      </w:r>
      <w:r w:rsidRPr="00696977">
        <w:rPr>
          <w:rFonts w:ascii="Palatino Linotype" w:hAnsi="Palatino Linotype" w:cs="Tahoma"/>
          <w:i/>
          <w:szCs w:val="22"/>
          <w:lang w:val="es-ES_tradnl"/>
        </w:rPr>
        <w:t>, esto según el artículo 116 de la ley ya referida.</w:t>
      </w:r>
    </w:p>
    <w:p w:rsidRPr="00696977" w:rsidR="00696977" w:rsidP="00696977" w:rsidRDefault="00696977" w14:paraId="2D100EBF" w14:textId="77777777">
      <w:pPr>
        <w:autoSpaceDE w:val="0"/>
        <w:autoSpaceDN w:val="0"/>
        <w:adjustRightInd w:val="0"/>
        <w:spacing w:line="360" w:lineRule="auto"/>
        <w:ind w:left="567" w:right="567"/>
        <w:jc w:val="both"/>
        <w:rPr>
          <w:rFonts w:ascii="Palatino Linotype" w:hAnsi="Palatino Linotype" w:cs="Tahoma"/>
          <w:i/>
          <w:szCs w:val="22"/>
          <w:lang w:val="es-ES_tradnl"/>
        </w:rPr>
      </w:pPr>
    </w:p>
    <w:p w:rsidRPr="00696977" w:rsidR="00696977" w:rsidP="00696977" w:rsidRDefault="00696977" w14:paraId="5C128269" w14:textId="77777777">
      <w:pPr>
        <w:autoSpaceDE w:val="0"/>
        <w:autoSpaceDN w:val="0"/>
        <w:adjustRightInd w:val="0"/>
        <w:spacing w:line="360" w:lineRule="auto"/>
        <w:ind w:left="567" w:right="567"/>
        <w:jc w:val="both"/>
        <w:rPr>
          <w:rFonts w:ascii="Palatino Linotype" w:hAnsi="Palatino Linotype" w:cs="Tahoma"/>
          <w:i/>
          <w:szCs w:val="22"/>
          <w:lang w:val="es-ES_tradnl"/>
        </w:rPr>
      </w:pPr>
      <w:r w:rsidRPr="00696977">
        <w:rPr>
          <w:rFonts w:ascii="Palatino Linotype" w:hAnsi="Palatino Linotype" w:cs="Tahoma"/>
          <w:i/>
          <w:szCs w:val="22"/>
          <w:lang w:val="es-ES_tradnl"/>
        </w:rPr>
        <w:t>La presente solicitud se fundamenta en el derecho de petición de información establecida de conformidad con el artículo 123 de la Ley Federal de Transparencia y Acceso a la Información Pública.</w:t>
      </w:r>
    </w:p>
    <w:p w:rsidRPr="00696977" w:rsidR="00696977" w:rsidP="00696977" w:rsidRDefault="00696977" w14:paraId="26E95CE4" w14:textId="5BB70A85">
      <w:pPr>
        <w:autoSpaceDE w:val="0"/>
        <w:autoSpaceDN w:val="0"/>
        <w:adjustRightInd w:val="0"/>
        <w:spacing w:line="360" w:lineRule="auto"/>
        <w:ind w:left="567" w:right="567"/>
        <w:jc w:val="both"/>
        <w:rPr>
          <w:rFonts w:ascii="Palatino Linotype" w:hAnsi="Palatino Linotype" w:cs="Tahoma"/>
          <w:i/>
          <w:szCs w:val="22"/>
        </w:rPr>
      </w:pPr>
      <w:r w:rsidRPr="00696977">
        <w:rPr>
          <w:rFonts w:ascii="Palatino Linotype" w:hAnsi="Palatino Linotype" w:cs="Tahoma"/>
          <w:i/>
          <w:szCs w:val="22"/>
        </w:rPr>
        <w:t>…”</w:t>
      </w:r>
    </w:p>
    <w:p w:rsidR="00696977" w:rsidP="001B7091" w:rsidRDefault="00696977" w14:paraId="2170AE8F" w14:textId="77777777">
      <w:pPr>
        <w:autoSpaceDE w:val="0"/>
        <w:autoSpaceDN w:val="0"/>
        <w:adjustRightInd w:val="0"/>
        <w:spacing w:line="360" w:lineRule="auto"/>
        <w:jc w:val="both"/>
        <w:rPr>
          <w:rFonts w:ascii="Palatino Linotype" w:hAnsi="Palatino Linotype" w:cs="Tahoma"/>
          <w:sz w:val="22"/>
          <w:szCs w:val="22"/>
        </w:rPr>
      </w:pPr>
    </w:p>
    <w:p w:rsidRPr="00C61C11" w:rsidR="00763041" w:rsidP="00AF6ADC" w:rsidRDefault="00B43BFA" w14:paraId="2FD6EB2E" w14:textId="29A7B5DB">
      <w:pPr>
        <w:pStyle w:val="Prrafodelista"/>
        <w:tabs>
          <w:tab w:val="left" w:pos="567"/>
        </w:tabs>
        <w:spacing w:line="360" w:lineRule="auto"/>
        <w:ind w:left="0"/>
        <w:jc w:val="both"/>
        <w:rPr>
          <w:rFonts w:ascii="Palatino Linotype" w:hAnsi="Palatino Linotype" w:cs="Tahoma"/>
          <w:i/>
          <w:sz w:val="20"/>
          <w:szCs w:val="22"/>
        </w:rPr>
      </w:pPr>
      <w:r w:rsidRPr="00C61C11">
        <w:rPr>
          <w:rFonts w:ascii="Palatino Linotype" w:hAnsi="Palatino Linotype" w:cs="Tahoma"/>
          <w:b/>
          <w:szCs w:val="22"/>
        </w:rPr>
        <w:t xml:space="preserve">II. </w:t>
      </w:r>
      <w:r w:rsidRPr="00C61C11" w:rsidR="00B03EDE">
        <w:rPr>
          <w:rFonts w:ascii="Palatino Linotype" w:hAnsi="Palatino Linotype" w:cs="Tahoma"/>
          <w:b/>
          <w:szCs w:val="22"/>
        </w:rPr>
        <w:t>Respuesta del Sujeto Obligado.</w:t>
      </w:r>
      <w:r w:rsidRPr="00C61C11" w:rsidR="00763041">
        <w:rPr>
          <w:rFonts w:ascii="Palatino Linotype" w:hAnsi="Palatino Linotype" w:cs="Tahoma"/>
          <w:b/>
          <w:szCs w:val="22"/>
        </w:rPr>
        <w:t xml:space="preserve"> </w:t>
      </w:r>
    </w:p>
    <w:p w:rsidRPr="00C61C11" w:rsidR="00286FC0" w:rsidP="00AF6ADC" w:rsidRDefault="00286FC0" w14:paraId="21F85F4A" w14:textId="77777777">
      <w:pPr>
        <w:pStyle w:val="Prrafodelista"/>
        <w:tabs>
          <w:tab w:val="left" w:pos="567"/>
        </w:tabs>
        <w:spacing w:line="360" w:lineRule="auto"/>
        <w:ind w:left="0"/>
        <w:jc w:val="both"/>
        <w:rPr>
          <w:rFonts w:ascii="Palatino Linotype" w:hAnsi="Palatino Linotype" w:cs="Tahoma"/>
          <w:i/>
          <w:sz w:val="20"/>
          <w:szCs w:val="22"/>
        </w:rPr>
      </w:pPr>
    </w:p>
    <w:p w:rsidR="0026417C" w:rsidP="008170C5" w:rsidRDefault="00AF2BF3" w14:paraId="5D956FD6" w14:textId="7D8F20A6">
      <w:pPr>
        <w:tabs>
          <w:tab w:val="left" w:pos="4667"/>
        </w:tabs>
        <w:spacing w:line="360" w:lineRule="auto"/>
        <w:jc w:val="both"/>
        <w:rPr>
          <w:rFonts w:ascii="Palatino Linotype" w:hAnsi="Palatino Linotype"/>
          <w:sz w:val="22"/>
        </w:rPr>
      </w:pPr>
      <w:r>
        <w:rPr>
          <w:rFonts w:ascii="Palatino Linotype" w:hAnsi="Palatino Linotype" w:cs="Tahoma"/>
          <w:sz w:val="22"/>
        </w:rPr>
        <w:t>Con fecha</w:t>
      </w:r>
      <w:r w:rsidR="00D040DA">
        <w:rPr>
          <w:rFonts w:ascii="Palatino Linotype" w:hAnsi="Palatino Linotype" w:cs="Tahoma"/>
          <w:sz w:val="22"/>
        </w:rPr>
        <w:t xml:space="preserve"> </w:t>
      </w:r>
      <w:r w:rsidR="0026417C">
        <w:rPr>
          <w:rFonts w:ascii="Palatino Linotype" w:hAnsi="Palatino Linotype" w:cs="Tahoma"/>
          <w:sz w:val="22"/>
        </w:rPr>
        <w:t xml:space="preserve">once de </w:t>
      </w:r>
      <w:r w:rsidR="00696977">
        <w:rPr>
          <w:rFonts w:ascii="Palatino Linotype" w:hAnsi="Palatino Linotype" w:cs="Tahoma"/>
          <w:sz w:val="22"/>
        </w:rPr>
        <w:t>noviembre</w:t>
      </w:r>
      <w:r w:rsidR="00D040DA">
        <w:rPr>
          <w:rFonts w:ascii="Palatino Linotype" w:hAnsi="Palatino Linotype" w:cs="Tahoma"/>
          <w:sz w:val="22"/>
        </w:rPr>
        <w:t xml:space="preserve"> de dos mil veintidós, la </w:t>
      </w:r>
      <w:r w:rsidR="00696977">
        <w:rPr>
          <w:rFonts w:ascii="Palatino Linotype" w:hAnsi="Palatino Linotype" w:eastAsia="Calibri" w:cs="Tahoma"/>
          <w:sz w:val="22"/>
          <w:szCs w:val="22"/>
          <w:lang w:val="es-ES" w:eastAsia="en-US"/>
        </w:rPr>
        <w:t>Fiscalía General de Justicia del Estado de México</w:t>
      </w:r>
      <w:r w:rsidR="00D040DA">
        <w:rPr>
          <w:rFonts w:ascii="Palatino Linotype" w:hAnsi="Palatino Linotype" w:cs="Tahoma"/>
          <w:sz w:val="22"/>
        </w:rPr>
        <w:t xml:space="preserve">, notificó al Solicitante, mediante el Sistema de Acceso a la Información Mexiquense (SAIMEX), la respuesta a la solicitud de acceso a la información, por medio </w:t>
      </w:r>
      <w:r w:rsidR="0026417C">
        <w:rPr>
          <w:rFonts w:ascii="Palatino Linotype" w:hAnsi="Palatino Linotype" w:cs="Tahoma"/>
          <w:sz w:val="22"/>
        </w:rPr>
        <w:t xml:space="preserve">del oficio </w:t>
      </w:r>
      <w:r w:rsidR="008170C5">
        <w:rPr>
          <w:rFonts w:ascii="Palatino Linotype" w:hAnsi="Palatino Linotype" w:cs="Tahoma"/>
          <w:sz w:val="22"/>
        </w:rPr>
        <w:lastRenderedPageBreak/>
        <w:t>02531/MAIP/FGJ/2022</w:t>
      </w:r>
      <w:r w:rsidR="0026417C">
        <w:rPr>
          <w:rFonts w:ascii="Palatino Linotype" w:hAnsi="Palatino Linotype" w:cs="Tahoma"/>
          <w:sz w:val="22"/>
        </w:rPr>
        <w:t xml:space="preserve">, </w:t>
      </w:r>
      <w:r w:rsidR="008170C5">
        <w:rPr>
          <w:rFonts w:ascii="Palatino Linotype" w:hAnsi="Palatino Linotype" w:cs="Tahoma"/>
          <w:sz w:val="22"/>
        </w:rPr>
        <w:t>de la misma fecha, suscrito por la</w:t>
      </w:r>
      <w:r w:rsidR="0026417C">
        <w:rPr>
          <w:rFonts w:ascii="Palatino Linotype" w:hAnsi="Palatino Linotype" w:cs="Tahoma"/>
          <w:sz w:val="22"/>
        </w:rPr>
        <w:t xml:space="preserve"> Titular de la Unidad de Transparencia y dirigido al Solicitante, por medio del cual </w:t>
      </w:r>
      <w:r w:rsidR="008170C5">
        <w:rPr>
          <w:rFonts w:ascii="Palatino Linotype" w:hAnsi="Palatino Linotype" w:cs="Tahoma"/>
          <w:sz w:val="22"/>
        </w:rPr>
        <w:t>da respuesta a su requerimiento.</w:t>
      </w:r>
    </w:p>
    <w:p w:rsidR="0026417C" w:rsidP="00AF6ADC" w:rsidRDefault="0026417C" w14:paraId="398E1BFC" w14:textId="77777777">
      <w:pPr>
        <w:autoSpaceDE w:val="0"/>
        <w:autoSpaceDN w:val="0"/>
        <w:adjustRightInd w:val="0"/>
        <w:spacing w:line="360" w:lineRule="auto"/>
        <w:jc w:val="both"/>
        <w:rPr>
          <w:rFonts w:ascii="Palatino Linotype" w:hAnsi="Palatino Linotype" w:cs="Tahoma"/>
          <w:b/>
          <w:sz w:val="22"/>
          <w:szCs w:val="22"/>
        </w:rPr>
      </w:pPr>
    </w:p>
    <w:p w:rsidRPr="00C61C11" w:rsidR="00B03EDE" w:rsidP="00AF6ADC" w:rsidRDefault="00AF6ADC" w14:paraId="4FE2F672" w14:textId="121DE766">
      <w:pPr>
        <w:autoSpaceDE w:val="0"/>
        <w:autoSpaceDN w:val="0"/>
        <w:adjustRightInd w:val="0"/>
        <w:spacing w:line="360" w:lineRule="auto"/>
        <w:jc w:val="both"/>
        <w:rPr>
          <w:rFonts w:ascii="Palatino Linotype" w:hAnsi="Palatino Linotype" w:cs="Tahoma"/>
          <w:b/>
          <w:sz w:val="22"/>
          <w:szCs w:val="22"/>
        </w:rPr>
      </w:pPr>
      <w:r w:rsidRPr="00C61C11">
        <w:rPr>
          <w:rFonts w:ascii="Palatino Linotype" w:hAnsi="Palatino Linotype" w:cs="Tahoma"/>
          <w:b/>
          <w:sz w:val="22"/>
          <w:szCs w:val="22"/>
        </w:rPr>
        <w:t>III</w:t>
      </w:r>
      <w:r w:rsidRPr="00C61C11" w:rsidR="00B03EDE">
        <w:rPr>
          <w:rFonts w:ascii="Palatino Linotype" w:hAnsi="Palatino Linotype" w:cs="Tahoma"/>
          <w:b/>
          <w:sz w:val="22"/>
          <w:szCs w:val="22"/>
        </w:rPr>
        <w:t>. Interposición del Recurso de Revisión.</w:t>
      </w:r>
    </w:p>
    <w:p w:rsidRPr="00C61C11" w:rsidR="00B03EDE" w:rsidP="00AF6ADC" w:rsidRDefault="00B03EDE" w14:paraId="51154276" w14:textId="77777777">
      <w:pPr>
        <w:widowControl w:val="0"/>
        <w:spacing w:line="360" w:lineRule="auto"/>
        <w:jc w:val="both"/>
        <w:rPr>
          <w:rFonts w:ascii="Palatino Linotype" w:hAnsi="Palatino Linotype" w:cs="Tahoma"/>
          <w:sz w:val="22"/>
          <w:szCs w:val="22"/>
        </w:rPr>
      </w:pPr>
    </w:p>
    <w:p w:rsidR="0062576E" w:rsidP="00AF6ADC" w:rsidRDefault="0062576E" w14:paraId="6CC6720F" w14:textId="62E6ED57">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8170C5">
        <w:rPr>
          <w:rFonts w:ascii="Palatino Linotype" w:hAnsi="Palatino Linotype" w:cs="Tahoma"/>
          <w:sz w:val="22"/>
          <w:szCs w:val="22"/>
        </w:rPr>
        <w:t>nueve de enero de dos mil veintitrés</w:t>
      </w:r>
      <w:r>
        <w:rPr>
          <w:rFonts w:ascii="Palatino Linotype" w:hAnsi="Palatino Linotype" w:cs="Tahoma"/>
          <w:sz w:val="22"/>
          <w:szCs w:val="22"/>
        </w:rPr>
        <w:t xml:space="preserve">, </w:t>
      </w:r>
      <w:r w:rsidR="006436DA">
        <w:rPr>
          <w:rFonts w:ascii="Palatino Linotype" w:hAnsi="Palatino Linotype" w:cs="Tahoma"/>
          <w:sz w:val="22"/>
          <w:szCs w:val="22"/>
        </w:rPr>
        <w:t>se tuvo por recibido en este Instituto</w:t>
      </w:r>
      <w:r>
        <w:rPr>
          <w:rFonts w:ascii="Palatino Linotype" w:hAnsi="Palatino Linotype" w:eastAsia="Calibri" w:cs="Tahoma"/>
          <w:sz w:val="22"/>
          <w:szCs w:val="22"/>
          <w:lang w:eastAsia="en-US"/>
        </w:rPr>
        <w:t xml:space="preserve">,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el Recurso de Revisión interpuesto por la parte Recurrente, en contra de la respuesta del Sujeto Obligado</w:t>
      </w:r>
      <w:r w:rsidR="006436DA">
        <w:rPr>
          <w:rFonts w:ascii="Palatino Linotype" w:hAnsi="Palatino Linotype" w:cs="Tahoma"/>
          <w:sz w:val="22"/>
          <w:szCs w:val="22"/>
        </w:rPr>
        <w:t xml:space="preserve"> (ya que si bien se presentó </w:t>
      </w:r>
      <w:r w:rsidR="008170C5">
        <w:rPr>
          <w:rFonts w:ascii="Palatino Linotype" w:hAnsi="Palatino Linotype" w:cs="Tahoma"/>
          <w:sz w:val="22"/>
          <w:szCs w:val="22"/>
        </w:rPr>
        <w:t>seis de dicho mes y año</w:t>
      </w:r>
      <w:r w:rsidR="006436DA">
        <w:rPr>
          <w:rFonts w:ascii="Palatino Linotype" w:hAnsi="Palatino Linotype" w:cs="Tahoma"/>
          <w:sz w:val="22"/>
          <w:szCs w:val="22"/>
        </w:rPr>
        <w:t>, este día fue inhábil, por lo que, se tuvo por recibido el hábil subsecuente)</w:t>
      </w:r>
      <w:r>
        <w:rPr>
          <w:rFonts w:ascii="Palatino Linotype" w:hAnsi="Palatino Linotype" w:cs="Tahoma"/>
          <w:sz w:val="22"/>
          <w:szCs w:val="22"/>
        </w:rPr>
        <w:t>, en los siguientes términos:</w:t>
      </w:r>
    </w:p>
    <w:p w:rsidR="0062576E" w:rsidP="00AF6ADC" w:rsidRDefault="0062576E" w14:paraId="3E3D0840" w14:textId="77777777">
      <w:pPr>
        <w:widowControl w:val="0"/>
        <w:spacing w:line="360" w:lineRule="auto"/>
        <w:jc w:val="both"/>
        <w:rPr>
          <w:rFonts w:ascii="Palatino Linotype" w:hAnsi="Palatino Linotype" w:cs="Tahoma"/>
          <w:sz w:val="22"/>
          <w:szCs w:val="22"/>
        </w:rPr>
      </w:pPr>
    </w:p>
    <w:p w:rsidR="0062576E" w:rsidP="0062576E" w:rsidRDefault="0062576E" w14:paraId="3577765C"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“ACTO IMPUGNADO</w:t>
      </w:r>
    </w:p>
    <w:p w:rsidR="0062576E" w:rsidP="0062576E" w:rsidRDefault="0026417C" w14:paraId="43048828" w14:textId="021B329F">
      <w:pPr>
        <w:autoSpaceDE w:val="0"/>
        <w:autoSpaceDN w:val="0"/>
        <w:adjustRightInd w:val="0"/>
        <w:spacing w:line="360" w:lineRule="auto"/>
        <w:ind w:left="567" w:right="567"/>
        <w:jc w:val="both"/>
        <w:rPr>
          <w:rFonts w:ascii="Palatino Linotype" w:hAnsi="Palatino Linotype" w:cs="Tahoma"/>
          <w:i/>
        </w:rPr>
      </w:pPr>
      <w:r w:rsidRPr="0026417C">
        <w:rPr>
          <w:rFonts w:ascii="Palatino Linotype" w:hAnsi="Palatino Linotype"/>
          <w:i/>
          <w:iCs/>
          <w:color w:val="000000"/>
        </w:rPr>
        <w:t xml:space="preserve">Al momento de contestar la petición, me llega un acuse el cual informa que se anexa la información requerida y al momento de verificar el anexo, dicho apartado se encuentra </w:t>
      </w:r>
      <w:proofErr w:type="spellStart"/>
      <w:r w:rsidRPr="0026417C">
        <w:rPr>
          <w:rFonts w:ascii="Palatino Linotype" w:hAnsi="Palatino Linotype"/>
          <w:i/>
          <w:iCs/>
          <w:color w:val="000000"/>
        </w:rPr>
        <w:t>vacio</w:t>
      </w:r>
      <w:proofErr w:type="spellEnd"/>
      <w:r w:rsidR="0062576E">
        <w:rPr>
          <w:rFonts w:ascii="Palatino Linotype" w:hAnsi="Palatino Linotype" w:cs="Tahoma"/>
          <w:i/>
        </w:rPr>
        <w:t>” (Sic.)</w:t>
      </w:r>
    </w:p>
    <w:p w:rsidRPr="008170C5" w:rsidR="0062576E" w:rsidP="008170C5" w:rsidRDefault="0062576E" w14:paraId="1FE82D1E" w14:textId="77777777">
      <w:pPr>
        <w:widowControl w:val="0"/>
        <w:spacing w:line="360" w:lineRule="auto"/>
        <w:jc w:val="both"/>
        <w:rPr>
          <w:rFonts w:ascii="Palatino Linotype" w:hAnsi="Palatino Linotype" w:cs="Tahoma"/>
          <w:sz w:val="22"/>
          <w:szCs w:val="22"/>
        </w:rPr>
      </w:pPr>
    </w:p>
    <w:p w:rsidRPr="008170C5" w:rsidR="008170C5" w:rsidP="008170C5" w:rsidRDefault="008170C5" w14:paraId="502C1CAA" w14:textId="3654DECC">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El Particular adjuntó la digitalización de un archivo “XLSX”, que contiene diversas relaciones denominadas “Datos de Cadáveres y Restos Humanos no Identificados”.</w:t>
      </w:r>
    </w:p>
    <w:p w:rsidRPr="008170C5" w:rsidR="008170C5" w:rsidP="008170C5" w:rsidRDefault="008170C5" w14:paraId="47547B7A" w14:textId="77777777">
      <w:pPr>
        <w:widowControl w:val="0"/>
        <w:spacing w:line="360" w:lineRule="auto"/>
        <w:jc w:val="both"/>
        <w:rPr>
          <w:rFonts w:ascii="Palatino Linotype" w:hAnsi="Palatino Linotype" w:cs="Tahoma"/>
          <w:sz w:val="22"/>
          <w:szCs w:val="22"/>
        </w:rPr>
      </w:pPr>
    </w:p>
    <w:p w:rsidRPr="00C61C11" w:rsidR="00B03EDE" w:rsidP="00AF6ADC" w:rsidRDefault="00AF6ADC" w14:paraId="01EC7854" w14:textId="5BB3E9A6">
      <w:pPr>
        <w:spacing w:line="360" w:lineRule="auto"/>
        <w:jc w:val="both"/>
        <w:rPr>
          <w:rFonts w:ascii="Palatino Linotype" w:hAnsi="Palatino Linotype" w:eastAsia="Batang" w:cs="Tahoma"/>
          <w:b/>
          <w:bCs/>
          <w:sz w:val="22"/>
          <w:szCs w:val="22"/>
        </w:rPr>
      </w:pPr>
      <w:r w:rsidRPr="00C61C11">
        <w:rPr>
          <w:rFonts w:ascii="Palatino Linotype" w:hAnsi="Palatino Linotype" w:cs="Tahoma"/>
          <w:b/>
          <w:sz w:val="22"/>
          <w:szCs w:val="22"/>
        </w:rPr>
        <w:t>I</w:t>
      </w:r>
      <w:r w:rsidRPr="00C61C11" w:rsidR="00B03EDE">
        <w:rPr>
          <w:rFonts w:ascii="Palatino Linotype" w:hAnsi="Palatino Linotype" w:cs="Tahoma"/>
          <w:b/>
          <w:sz w:val="22"/>
          <w:szCs w:val="22"/>
        </w:rPr>
        <w:t xml:space="preserve">V. </w:t>
      </w:r>
      <w:r w:rsidRPr="00C61C11" w:rsidR="00B03EDE">
        <w:rPr>
          <w:rFonts w:ascii="Palatino Linotype" w:hAnsi="Palatino Linotype" w:eastAsia="Batang" w:cs="Tahoma"/>
          <w:b/>
          <w:bCs/>
          <w:sz w:val="22"/>
          <w:szCs w:val="22"/>
        </w:rPr>
        <w:t>Trámite del Recurso de Revisión</w:t>
      </w:r>
      <w:r w:rsidRPr="00C61C11" w:rsidR="00B03EDE">
        <w:rPr>
          <w:rFonts w:ascii="Palatino Linotype" w:hAnsi="Palatino Linotype" w:cs="Tahoma"/>
          <w:b/>
          <w:sz w:val="22"/>
          <w:szCs w:val="22"/>
        </w:rPr>
        <w:t xml:space="preserve"> </w:t>
      </w:r>
      <w:r w:rsidRPr="00C61C11" w:rsidR="00B03EDE">
        <w:rPr>
          <w:rFonts w:ascii="Palatino Linotype" w:hAnsi="Palatino Linotype" w:eastAsia="Batang" w:cs="Tahoma"/>
          <w:b/>
          <w:bCs/>
          <w:sz w:val="22"/>
          <w:szCs w:val="22"/>
        </w:rPr>
        <w:t>ante el Instituto.</w:t>
      </w:r>
    </w:p>
    <w:p w:rsidRPr="00C61C11" w:rsidR="00B03EDE" w:rsidP="00AF6ADC" w:rsidRDefault="00B03EDE" w14:paraId="67D0DF97" w14:textId="77777777">
      <w:pPr>
        <w:spacing w:line="360" w:lineRule="auto"/>
        <w:jc w:val="both"/>
        <w:rPr>
          <w:rFonts w:ascii="Palatino Linotype" w:hAnsi="Palatino Linotype" w:eastAsia="Batang" w:cs="Tahoma"/>
          <w:b/>
          <w:bCs/>
          <w:sz w:val="22"/>
          <w:szCs w:val="22"/>
        </w:rPr>
      </w:pPr>
    </w:p>
    <w:p w:rsidR="00B03EDE" w:rsidP="00AF6ADC" w:rsidRDefault="00A40212" w14:paraId="531EA316" w14:textId="246E6237">
      <w:pPr>
        <w:spacing w:line="360" w:lineRule="auto"/>
        <w:jc w:val="both"/>
        <w:rPr>
          <w:rFonts w:ascii="Palatino Linotype" w:hAnsi="Palatino Linotype" w:eastAsia="Batang" w:cs="Tahoma"/>
          <w:bCs/>
          <w:sz w:val="22"/>
          <w:szCs w:val="22"/>
          <w:lang w:val="es-ES_tradnl"/>
        </w:rPr>
      </w:pPr>
      <w:r>
        <w:rPr>
          <w:rFonts w:ascii="Palatino Linotype" w:hAnsi="Palatino Linotype"/>
          <w:b/>
          <w:bCs/>
          <w:sz w:val="22"/>
          <w:szCs w:val="22"/>
        </w:rPr>
        <w:t xml:space="preserve">a) Turno del Recurso de Revisión. </w:t>
      </w:r>
      <w:r>
        <w:rPr>
          <w:rFonts w:ascii="Palatino Linotype" w:hAnsi="Palatino Linotype" w:eastAsia="Batang" w:cs="Tahoma"/>
          <w:bCs/>
          <w:sz w:val="22"/>
          <w:szCs w:val="22"/>
          <w:lang w:val="es-ES_tradnl"/>
        </w:rPr>
        <w:t xml:space="preserve">El </w:t>
      </w:r>
      <w:r w:rsidR="008170C5">
        <w:rPr>
          <w:rFonts w:ascii="Palatino Linotype" w:hAnsi="Palatino Linotype" w:cs="Tahoma"/>
          <w:sz w:val="22"/>
          <w:szCs w:val="22"/>
          <w:lang w:val="es-ES_tradnl"/>
        </w:rPr>
        <w:t>nueve de enero de dos mil veintitrés</w:t>
      </w:r>
      <w:r>
        <w:rPr>
          <w:rFonts w:ascii="Palatino Linotype" w:hAnsi="Palatino Linotype" w:eastAsia="Batang" w:cs="Tahoma"/>
          <w:bCs/>
          <w:sz w:val="22"/>
          <w:szCs w:val="22"/>
          <w:lang w:val="es-ES_tradnl"/>
        </w:rPr>
        <w:t xml:space="preserve">, el Sistema de Acceso a la Información Mexiquense (SAIMEX), asignó el número de expediente </w:t>
      </w:r>
      <w:r w:rsidR="00696977">
        <w:rPr>
          <w:rFonts w:ascii="Palatino Linotype" w:hAnsi="Palatino Linotype" w:eastAsia="Batang" w:cs="Tahoma"/>
          <w:b/>
          <w:sz w:val="22"/>
          <w:szCs w:val="22"/>
          <w:lang w:val="es-ES_tradnl"/>
        </w:rPr>
        <w:t>00116/INFOEM/IP/RR/2023</w:t>
      </w:r>
      <w:r w:rsidR="008170C5">
        <w:rPr>
          <w:rFonts w:ascii="Palatino Linotype" w:hAnsi="Palatino Linotype" w:eastAsia="Batang" w:cs="Tahoma"/>
          <w:bCs/>
          <w:sz w:val="22"/>
          <w:szCs w:val="22"/>
          <w:lang w:val="es-ES_tradnl"/>
        </w:rPr>
        <w:t>, al Medio de I</w:t>
      </w:r>
      <w:r>
        <w:rPr>
          <w:rFonts w:ascii="Palatino Linotype" w:hAnsi="Palatino Linotype" w:eastAsia="Batang" w:cs="Tahoma"/>
          <w:bCs/>
          <w:sz w:val="22"/>
          <w:szCs w:val="22"/>
          <w:lang w:val="es-ES_tradnl"/>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40212" w:rsidR="006436DA" w:rsidP="00AF6ADC" w:rsidRDefault="006436DA" w14:paraId="18342019" w14:textId="77777777">
      <w:pPr>
        <w:spacing w:line="360" w:lineRule="auto"/>
        <w:jc w:val="both"/>
        <w:rPr>
          <w:rFonts w:ascii="Palatino Linotype" w:hAnsi="Palatino Linotype" w:eastAsia="Batang" w:cs="Tahoma"/>
          <w:bCs/>
          <w:sz w:val="22"/>
          <w:szCs w:val="22"/>
        </w:rPr>
      </w:pPr>
    </w:p>
    <w:p w:rsidR="00BB0B4E" w:rsidP="00AF6ADC" w:rsidRDefault="00BB0B4E" w14:paraId="5B3B35A4" w14:textId="0BBC6F6B">
      <w:pPr>
        <w:spacing w:line="360" w:lineRule="auto"/>
        <w:jc w:val="both"/>
        <w:rPr>
          <w:rFonts w:ascii="Palatino Linotype" w:hAnsi="Palatino Linotype" w:eastAsia="Batang" w:cs="Tahoma"/>
          <w:b/>
          <w:bCs/>
          <w:sz w:val="22"/>
          <w:szCs w:val="22"/>
        </w:rPr>
      </w:pPr>
      <w:r>
        <w:rPr>
          <w:rFonts w:ascii="Palatino Linotype" w:hAnsi="Palatino Linotype" w:eastAsia="Batang" w:cs="Tahoma"/>
          <w:b/>
          <w:bCs/>
          <w:sz w:val="22"/>
          <w:szCs w:val="22"/>
        </w:rPr>
        <w:lastRenderedPageBreak/>
        <w:t xml:space="preserve">b) Admisión de los </w:t>
      </w:r>
      <w:r>
        <w:rPr>
          <w:rFonts w:ascii="Palatino Linotype" w:hAnsi="Palatino Linotype" w:cs="Tahoma"/>
          <w:b/>
          <w:sz w:val="22"/>
          <w:szCs w:val="22"/>
        </w:rPr>
        <w:t>Recursos de Revisión</w:t>
      </w:r>
      <w:r>
        <w:rPr>
          <w:rFonts w:ascii="Palatino Linotype" w:hAnsi="Palatino Linotype" w:eastAsia="Batang" w:cs="Tahoma"/>
          <w:b/>
          <w:bCs/>
          <w:sz w:val="22"/>
          <w:szCs w:val="22"/>
          <w:lang w:val="es-ES_tradnl"/>
        </w:rPr>
        <w:t xml:space="preserve">. </w:t>
      </w:r>
      <w:r>
        <w:rPr>
          <w:rFonts w:ascii="Palatino Linotype" w:hAnsi="Palatino Linotype" w:eastAsia="Batang" w:cs="Tahoma"/>
          <w:bCs/>
          <w:sz w:val="22"/>
          <w:szCs w:val="22"/>
          <w:lang w:val="es-ES_tradnl"/>
        </w:rPr>
        <w:t xml:space="preserve">El </w:t>
      </w:r>
      <w:r w:rsidR="008170C5">
        <w:rPr>
          <w:rFonts w:ascii="Palatino Linotype" w:hAnsi="Palatino Linotype" w:eastAsia="Batang" w:cs="Tahoma"/>
          <w:bCs/>
          <w:sz w:val="22"/>
          <w:szCs w:val="22"/>
          <w:lang w:val="es-ES_tradnl"/>
        </w:rPr>
        <w:t>doce de enero de dos mil veintitrés</w:t>
      </w:r>
      <w:r>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841C86">
        <w:rPr>
          <w:rFonts w:ascii="Palatino Linotype" w:hAnsi="Palatino Linotype" w:eastAsia="Batang" w:cs="Tahoma"/>
          <w:bCs/>
          <w:sz w:val="22"/>
          <w:szCs w:val="22"/>
          <w:lang w:val="es-ES_tradnl"/>
        </w:rPr>
        <w:t xml:space="preserve">el </w:t>
      </w:r>
      <w:r w:rsidR="008170C5">
        <w:rPr>
          <w:rFonts w:ascii="Palatino Linotype" w:hAnsi="Palatino Linotype" w:eastAsia="Batang" w:cs="Tahoma"/>
          <w:bCs/>
          <w:sz w:val="22"/>
          <w:szCs w:val="22"/>
          <w:lang w:val="es-ES_tradnl"/>
        </w:rPr>
        <w:t>dieciséis de dicho mes y año</w:t>
      </w:r>
      <w:r>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C61C11" w:rsidR="00B03EDE" w:rsidP="00AF6ADC" w:rsidRDefault="00B03EDE" w14:paraId="65E011B0" w14:textId="77777777">
      <w:pPr>
        <w:spacing w:line="360" w:lineRule="auto"/>
        <w:jc w:val="both"/>
        <w:rPr>
          <w:rFonts w:ascii="Palatino Linotype" w:hAnsi="Palatino Linotype" w:eastAsia="Batang" w:cs="Tahoma"/>
          <w:bCs/>
          <w:sz w:val="22"/>
          <w:szCs w:val="22"/>
        </w:rPr>
      </w:pPr>
    </w:p>
    <w:p w:rsidR="009E3BCA" w:rsidP="006436DA" w:rsidRDefault="00B03EDE" w14:paraId="08476A63" w14:textId="45CD85C5">
      <w:pPr>
        <w:spacing w:line="360" w:lineRule="auto"/>
        <w:jc w:val="both"/>
        <w:rPr>
          <w:rFonts w:ascii="Palatino Linotype" w:hAnsi="Palatino Linotype" w:cs="Tahoma"/>
          <w:bCs/>
          <w:iCs/>
          <w:sz w:val="22"/>
          <w:szCs w:val="22"/>
        </w:rPr>
      </w:pPr>
      <w:r w:rsidRPr="00C61C11">
        <w:rPr>
          <w:rFonts w:ascii="Palatino Linotype" w:hAnsi="Palatino Linotype"/>
          <w:b/>
          <w:bCs/>
          <w:sz w:val="22"/>
          <w:szCs w:val="22"/>
        </w:rPr>
        <w:t xml:space="preserve">c) </w:t>
      </w:r>
      <w:r w:rsidRPr="00C61C11">
        <w:rPr>
          <w:rFonts w:ascii="Palatino Linotype" w:hAnsi="Palatino Linotype"/>
          <w:b/>
          <w:sz w:val="22"/>
          <w:szCs w:val="22"/>
          <w:lang w:val="es-ES_tradnl"/>
        </w:rPr>
        <w:t xml:space="preserve">Informe Justificado. </w:t>
      </w:r>
      <w:r w:rsidRPr="00653D4B" w:rsidR="00653D4B">
        <w:rPr>
          <w:rFonts w:ascii="Palatino Linotype" w:hAnsi="Palatino Linotype" w:cs="Tahoma"/>
          <w:bCs/>
          <w:sz w:val="22"/>
          <w:szCs w:val="22"/>
          <w:lang w:val="es-ES_tradnl"/>
        </w:rPr>
        <w:t xml:space="preserve">El </w:t>
      </w:r>
      <w:r w:rsidR="008170C5">
        <w:rPr>
          <w:rFonts w:ascii="Palatino Linotype" w:hAnsi="Palatino Linotype" w:cs="Tahoma"/>
          <w:bCs/>
          <w:sz w:val="22"/>
          <w:szCs w:val="22"/>
          <w:lang w:val="es-ES_tradnl"/>
        </w:rPr>
        <w:t>veinticinco de enero</w:t>
      </w:r>
      <w:r w:rsidR="00841C86">
        <w:rPr>
          <w:rFonts w:ascii="Palatino Linotype" w:hAnsi="Palatino Linotype" w:cs="Tahoma"/>
          <w:bCs/>
          <w:sz w:val="22"/>
          <w:szCs w:val="22"/>
          <w:lang w:val="es-ES_tradnl"/>
        </w:rPr>
        <w:t xml:space="preserve"> de dos mil veintidós</w:t>
      </w:r>
      <w:r w:rsidRPr="00653D4B" w:rsidR="00653D4B">
        <w:rPr>
          <w:rFonts w:ascii="Palatino Linotype" w:hAnsi="Palatino Linotype" w:cs="Tahoma"/>
          <w:sz w:val="22"/>
          <w:szCs w:val="22"/>
          <w:lang w:val="es-ES_tradnl"/>
        </w:rPr>
        <w:t xml:space="preserve">, se recibió, a través del </w:t>
      </w:r>
      <w:r w:rsidRPr="00653D4B" w:rsidR="00653D4B">
        <w:rPr>
          <w:rFonts w:ascii="Palatino Linotype" w:hAnsi="Palatino Linotype" w:cs="Tahoma"/>
          <w:sz w:val="22"/>
          <w:szCs w:val="22"/>
          <w:lang w:val="es-ES"/>
        </w:rPr>
        <w:t>Sistema de Acceso a la Información Mexiquense (SAIMEX)</w:t>
      </w:r>
      <w:r w:rsidRPr="00653D4B" w:rsidR="00653D4B">
        <w:rPr>
          <w:rFonts w:ascii="Palatino Linotype" w:hAnsi="Palatino Linotype" w:cs="Tahoma"/>
          <w:sz w:val="22"/>
          <w:szCs w:val="22"/>
          <w:lang w:val="es-ES_tradnl"/>
        </w:rPr>
        <w:t xml:space="preserve">, </w:t>
      </w:r>
      <w:r w:rsidRPr="00653D4B" w:rsidR="00653D4B">
        <w:rPr>
          <w:rFonts w:ascii="Palatino Linotype" w:hAnsi="Palatino Linotype" w:cs="Tahoma"/>
          <w:bCs/>
          <w:iCs/>
          <w:sz w:val="22"/>
          <w:szCs w:val="22"/>
          <w:lang w:val="es-ES"/>
        </w:rPr>
        <w:t xml:space="preserve">el Informe Justificado </w:t>
      </w:r>
      <w:r w:rsidRPr="00653D4B" w:rsidR="00653D4B">
        <w:rPr>
          <w:rFonts w:ascii="Palatino Linotype" w:hAnsi="Palatino Linotype" w:cs="Tahoma"/>
          <w:bCs/>
          <w:iCs/>
          <w:sz w:val="22"/>
          <w:szCs w:val="22"/>
        </w:rPr>
        <w:t xml:space="preserve">interpuesto por el Sujeto Obligado, por medio oficio </w:t>
      </w:r>
      <w:r w:rsidR="008170C5">
        <w:rPr>
          <w:rFonts w:ascii="Palatino Linotype" w:hAnsi="Palatino Linotype" w:cs="Tahoma"/>
          <w:bCs/>
          <w:iCs/>
          <w:sz w:val="22"/>
          <w:szCs w:val="22"/>
        </w:rPr>
        <w:t>número 0183/MAIP/FGJ/2023, de la misma fecha</w:t>
      </w:r>
      <w:r w:rsidR="00841C86">
        <w:rPr>
          <w:rFonts w:ascii="Palatino Linotype" w:hAnsi="Palatino Linotype" w:cs="Tahoma"/>
          <w:bCs/>
          <w:iCs/>
          <w:sz w:val="22"/>
          <w:szCs w:val="22"/>
        </w:rPr>
        <w:t xml:space="preserve">, suscrito por </w:t>
      </w:r>
      <w:r w:rsidR="008170C5">
        <w:rPr>
          <w:rFonts w:ascii="Palatino Linotype" w:hAnsi="Palatino Linotype" w:cs="Tahoma"/>
          <w:bCs/>
          <w:iCs/>
          <w:sz w:val="22"/>
          <w:szCs w:val="22"/>
        </w:rPr>
        <w:t>la Encargada</w:t>
      </w:r>
      <w:r w:rsidR="006436DA">
        <w:rPr>
          <w:rFonts w:ascii="Palatino Linotype" w:hAnsi="Palatino Linotype" w:cs="Tahoma"/>
          <w:bCs/>
          <w:iCs/>
          <w:sz w:val="22"/>
          <w:szCs w:val="22"/>
        </w:rPr>
        <w:t xml:space="preserve"> de la Unidad de Transparencia y dirigido al Comisionado Ponente, </w:t>
      </w:r>
      <w:r w:rsidR="008170C5">
        <w:rPr>
          <w:rFonts w:ascii="Palatino Linotype" w:hAnsi="Palatino Linotype" w:cs="Tahoma"/>
          <w:bCs/>
          <w:iCs/>
          <w:sz w:val="22"/>
          <w:szCs w:val="22"/>
        </w:rPr>
        <w:t>por medio del cual remite diversa información estadística, obtenida de la Coordinación General de Servicios Periciales.</w:t>
      </w:r>
    </w:p>
    <w:p w:rsidR="008170C5" w:rsidP="006436DA" w:rsidRDefault="008170C5" w14:paraId="75C08835" w14:textId="77777777">
      <w:pPr>
        <w:spacing w:line="360" w:lineRule="auto"/>
        <w:jc w:val="both"/>
        <w:rPr>
          <w:rFonts w:ascii="Palatino Linotype" w:hAnsi="Palatino Linotype" w:cs="Tahoma"/>
          <w:bCs/>
          <w:iCs/>
          <w:sz w:val="22"/>
          <w:szCs w:val="22"/>
        </w:rPr>
      </w:pPr>
    </w:p>
    <w:p w:rsidR="00D45F20" w:rsidP="00D45F20" w:rsidRDefault="00B613D5" w14:paraId="605623D6" w14:textId="6CF4F84F">
      <w:pPr>
        <w:autoSpaceDE w:val="0"/>
        <w:autoSpaceDN w:val="0"/>
        <w:adjustRightInd w:val="0"/>
        <w:spacing w:line="360" w:lineRule="auto"/>
        <w:jc w:val="both"/>
        <w:rPr>
          <w:rFonts w:cs="Tahoma"/>
          <w:b/>
          <w:bCs/>
          <w:iCs/>
          <w:lang w:val="es-ES_tradnl"/>
        </w:rPr>
      </w:pPr>
      <w:r w:rsidRPr="00C61C11">
        <w:rPr>
          <w:rFonts w:ascii="Palatino Linotype" w:hAnsi="Palatino Linotype" w:eastAsia="Calibri" w:cs="Tahoma"/>
          <w:b/>
          <w:bCs/>
          <w:sz w:val="22"/>
          <w:szCs w:val="22"/>
          <w:lang w:val="es-ES" w:eastAsia="en-US"/>
        </w:rPr>
        <w:t>d) Vista del Informe Justificado.</w:t>
      </w:r>
      <w:r w:rsidRPr="00C61C11">
        <w:rPr>
          <w:rFonts w:ascii="Palatino Linotype" w:hAnsi="Palatino Linotype" w:eastAsia="Calibri" w:cs="Tahoma"/>
          <w:bCs/>
          <w:sz w:val="22"/>
          <w:szCs w:val="22"/>
          <w:lang w:val="es-ES" w:eastAsia="en-US"/>
        </w:rPr>
        <w:t xml:space="preserve"> </w:t>
      </w:r>
      <w:r w:rsidRPr="00D45F20" w:rsidR="00D45F20">
        <w:rPr>
          <w:rFonts w:ascii="Palatino Linotype" w:hAnsi="Palatino Linotype" w:cs="Tahoma"/>
          <w:sz w:val="22"/>
          <w:szCs w:val="22"/>
        </w:rPr>
        <w:t xml:space="preserve">El </w:t>
      </w:r>
      <w:r w:rsidR="00841C86">
        <w:rPr>
          <w:rFonts w:ascii="Palatino Linotype" w:hAnsi="Palatino Linotype" w:cs="Tahoma"/>
          <w:sz w:val="22"/>
          <w:szCs w:val="22"/>
        </w:rPr>
        <w:t>treinta</w:t>
      </w:r>
      <w:r w:rsidR="006436DA">
        <w:rPr>
          <w:rFonts w:ascii="Palatino Linotype" w:hAnsi="Palatino Linotype" w:cs="Tahoma"/>
          <w:sz w:val="22"/>
          <w:szCs w:val="22"/>
        </w:rPr>
        <w:t xml:space="preserve"> de enero de dos mil veintitrés</w:t>
      </w:r>
      <w:r w:rsidRPr="00D45F20" w:rsidR="00D45F20">
        <w:rPr>
          <w:rFonts w:ascii="Palatino Linotype" w:hAnsi="Palatino Linotype" w:cs="Tahoma"/>
          <w:sz w:val="22"/>
          <w:szCs w:val="22"/>
        </w:rPr>
        <w:t xml:space="preserve">, se dictó acuerdo mediante el cual </w:t>
      </w:r>
      <w:r w:rsidRPr="00D45F20" w:rsidR="00D45F20">
        <w:rPr>
          <w:rFonts w:ascii="Palatino Linotype" w:hAnsi="Palatino Linotype" w:cs="Tahoma"/>
          <w:b/>
          <w:bCs/>
          <w:sz w:val="22"/>
          <w:szCs w:val="22"/>
        </w:rPr>
        <w:t>se puso a la vista de la Particular el Informe Justificado</w:t>
      </w:r>
      <w:r w:rsidRPr="00D45F20" w:rsidR="00D45F20">
        <w:rPr>
          <w:rFonts w:ascii="Palatino Linotype" w:hAnsi="Palatino Linotype" w:cs="Tahoma"/>
          <w:sz w:val="22"/>
          <w:szCs w:val="22"/>
        </w:rPr>
        <w:t xml:space="preserve"> entregado por el Sujeto Obligado, el cual fue notificado al Recurrente, a través del Sistema de Acceso a la Información Mexiquense (SAIMEX), el</w:t>
      </w:r>
      <w:r w:rsidR="00D45F20">
        <w:rPr>
          <w:rFonts w:ascii="Palatino Linotype" w:hAnsi="Palatino Linotype" w:cs="Tahoma"/>
          <w:sz w:val="22"/>
          <w:szCs w:val="22"/>
        </w:rPr>
        <w:t xml:space="preserve"> veintiséis del mismo mes y año</w:t>
      </w:r>
      <w:r w:rsidRPr="00D45F20" w:rsidR="00D45F20">
        <w:rPr>
          <w:rFonts w:ascii="Palatino Linotype" w:hAnsi="Palatino Linotype" w:cs="Tahoma"/>
          <w:sz w:val="22"/>
          <w:szCs w:val="22"/>
        </w:rPr>
        <w:t xml:space="preserve">. </w:t>
      </w:r>
      <w:r w:rsidRPr="00D45F20" w:rsidR="00D45F20">
        <w:rPr>
          <w:rFonts w:ascii="Palatino Linotype" w:hAnsi="Palatino Linotype" w:cs="Tahoma"/>
          <w:b/>
          <w:sz w:val="22"/>
          <w:szCs w:val="22"/>
        </w:rPr>
        <w:t>No obstante</w:t>
      </w:r>
      <w:r w:rsidRPr="00D45F20" w:rsidR="00D45F20">
        <w:rPr>
          <w:rFonts w:ascii="Palatino Linotype" w:hAnsi="Palatino Linotype" w:cs="Tahoma"/>
          <w:b/>
          <w:bCs/>
          <w:iCs/>
          <w:sz w:val="22"/>
          <w:szCs w:val="22"/>
          <w:lang w:val="es-ES_tradnl"/>
        </w:rPr>
        <w:t>, el Particular omitió realizar manifestación alguna que a su derecho conviniera y asistiera</w:t>
      </w:r>
      <w:r w:rsidR="00D45F20">
        <w:rPr>
          <w:rFonts w:ascii="Palatino Linotype" w:hAnsi="Palatino Linotype" w:cs="Tahoma"/>
          <w:b/>
          <w:bCs/>
          <w:iCs/>
          <w:sz w:val="22"/>
          <w:szCs w:val="22"/>
          <w:lang w:val="es-ES_tradnl"/>
        </w:rPr>
        <w:t>.</w:t>
      </w:r>
    </w:p>
    <w:p w:rsidRPr="00C61C11" w:rsidR="00006798" w:rsidP="00AF6ADC" w:rsidRDefault="00006798" w14:paraId="66A31318" w14:textId="77777777">
      <w:pPr>
        <w:spacing w:line="360" w:lineRule="auto"/>
        <w:jc w:val="both"/>
        <w:rPr>
          <w:rFonts w:ascii="Palatino Linotype" w:hAnsi="Palatino Linotype" w:cs="Tahoma"/>
          <w:b/>
          <w:sz w:val="22"/>
          <w:szCs w:val="22"/>
        </w:rPr>
      </w:pPr>
    </w:p>
    <w:p w:rsidRPr="00C61C11" w:rsidR="00B03EDE" w:rsidP="00AF6ADC" w:rsidRDefault="00A317F9" w14:paraId="1AD10A0A" w14:textId="0FCFE378">
      <w:pPr>
        <w:spacing w:line="360" w:lineRule="auto"/>
        <w:jc w:val="both"/>
        <w:rPr>
          <w:rFonts w:ascii="Palatino Linotype" w:hAnsi="Palatino Linotype" w:cs="Tahoma"/>
          <w:sz w:val="22"/>
          <w:szCs w:val="22"/>
          <w:lang w:val="es-ES"/>
        </w:rPr>
      </w:pPr>
      <w:r w:rsidRPr="00C61C11">
        <w:rPr>
          <w:rFonts w:ascii="Palatino Linotype" w:hAnsi="Palatino Linotype" w:cs="Tahoma"/>
          <w:b/>
          <w:sz w:val="22"/>
          <w:szCs w:val="22"/>
        </w:rPr>
        <w:t>e</w:t>
      </w:r>
      <w:r w:rsidRPr="00C61C11" w:rsidR="00B03EDE">
        <w:rPr>
          <w:rFonts w:ascii="Palatino Linotype" w:hAnsi="Palatino Linotype" w:cs="Tahoma"/>
          <w:b/>
          <w:sz w:val="22"/>
          <w:szCs w:val="22"/>
        </w:rPr>
        <w:t>) Cierre de instrucción.</w:t>
      </w:r>
      <w:r w:rsidRPr="00C61C11" w:rsidR="00B03EDE">
        <w:rPr>
          <w:rFonts w:ascii="Palatino Linotype" w:hAnsi="Palatino Linotype" w:cs="Tahoma"/>
          <w:sz w:val="22"/>
          <w:szCs w:val="22"/>
        </w:rPr>
        <w:t xml:space="preserve"> El </w:t>
      </w:r>
      <w:r w:rsidR="00841C86">
        <w:rPr>
          <w:rFonts w:ascii="Palatino Linotype" w:hAnsi="Palatino Linotype" w:cs="Tahoma"/>
          <w:sz w:val="22"/>
          <w:szCs w:val="22"/>
        </w:rPr>
        <w:t>tres de febrero</w:t>
      </w:r>
      <w:r w:rsidR="006436DA">
        <w:rPr>
          <w:rFonts w:ascii="Palatino Linotype" w:hAnsi="Palatino Linotype" w:cs="Tahoma"/>
          <w:sz w:val="22"/>
          <w:szCs w:val="22"/>
        </w:rPr>
        <w:t xml:space="preserve"> de dos mil veintitrés</w:t>
      </w:r>
      <w:r w:rsidRPr="00C61C11"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C61C11" w:rsidR="00B03EDE">
        <w:rPr>
          <w:rFonts w:ascii="Palatino Linotype" w:hAnsi="Palatino Linotype" w:cs="Tahoma"/>
          <w:sz w:val="22"/>
          <w:szCs w:val="22"/>
        </w:rPr>
        <w:lastRenderedPageBreak/>
        <w:t xml:space="preserve">Pública del Estado de México y Municipios, mismo que fue notificado a las partes el mismo día, a través del </w:t>
      </w:r>
      <w:r w:rsidRPr="00C61C11" w:rsidR="00B03EDE">
        <w:rPr>
          <w:rFonts w:ascii="Palatino Linotype" w:hAnsi="Palatino Linotype" w:cs="Tahoma"/>
          <w:sz w:val="22"/>
          <w:szCs w:val="22"/>
          <w:lang w:val="es-ES"/>
        </w:rPr>
        <w:t>Sistema de Acceso a la Información Mexiquense (SAIMEX)</w:t>
      </w:r>
      <w:r w:rsidRPr="00C61C11" w:rsidR="00B03EDE">
        <w:rPr>
          <w:rFonts w:ascii="Palatino Linotype" w:hAnsi="Palatino Linotype" w:cs="Tahoma"/>
          <w:sz w:val="22"/>
          <w:szCs w:val="22"/>
        </w:rPr>
        <w:t>.</w:t>
      </w:r>
    </w:p>
    <w:p w:rsidRPr="00C61C11" w:rsidR="00B03EDE" w:rsidP="00AF6ADC" w:rsidRDefault="00B03EDE" w14:paraId="607AE451" w14:textId="77777777">
      <w:pPr>
        <w:spacing w:line="360" w:lineRule="auto"/>
        <w:jc w:val="both"/>
        <w:rPr>
          <w:rFonts w:ascii="Palatino Linotype" w:hAnsi="Palatino Linotype" w:cs="Tahoma"/>
          <w:sz w:val="22"/>
          <w:szCs w:val="22"/>
        </w:rPr>
      </w:pPr>
    </w:p>
    <w:p w:rsidRPr="00C61C11" w:rsidR="00B03EDE" w:rsidP="00AF6ADC" w:rsidRDefault="00B03EDE" w14:paraId="6595EA97" w14:textId="77777777">
      <w:pPr>
        <w:spacing w:line="360" w:lineRule="auto"/>
        <w:jc w:val="both"/>
        <w:rPr>
          <w:rFonts w:ascii="Palatino Linotype" w:hAnsi="Palatino Linotype" w:cs="Tahoma"/>
          <w:color w:val="000000"/>
          <w:sz w:val="22"/>
          <w:szCs w:val="22"/>
        </w:rPr>
      </w:pPr>
      <w:r w:rsidRPr="00C61C11">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C61C11" w:rsidR="00B03EDE" w:rsidP="00AF6ADC" w:rsidRDefault="00B03EDE" w14:paraId="435583AA" w14:textId="77777777">
      <w:pPr>
        <w:spacing w:line="360" w:lineRule="auto"/>
        <w:contextualSpacing/>
        <w:jc w:val="both"/>
        <w:rPr>
          <w:rFonts w:ascii="Palatino Linotype" w:hAnsi="Palatino Linotype" w:cs="Tahoma"/>
          <w:color w:val="000000"/>
          <w:sz w:val="22"/>
          <w:szCs w:val="22"/>
        </w:rPr>
      </w:pPr>
    </w:p>
    <w:p w:rsidRPr="00C61C11" w:rsidR="00B03EDE" w:rsidP="00AF6ADC" w:rsidRDefault="00B03EDE" w14:paraId="42A8DE4F" w14:textId="77777777">
      <w:pPr>
        <w:spacing w:line="360" w:lineRule="auto"/>
        <w:jc w:val="center"/>
        <w:rPr>
          <w:rFonts w:ascii="Palatino Linotype" w:hAnsi="Palatino Linotype" w:cs="Tahoma"/>
          <w:b/>
          <w:sz w:val="22"/>
          <w:szCs w:val="22"/>
        </w:rPr>
      </w:pPr>
      <w:r w:rsidRPr="00C61C11">
        <w:rPr>
          <w:rFonts w:ascii="Palatino Linotype" w:hAnsi="Palatino Linotype" w:cs="Tahoma"/>
          <w:b/>
          <w:sz w:val="22"/>
          <w:szCs w:val="22"/>
        </w:rPr>
        <w:t>C O N S I D E R A N D O S</w:t>
      </w:r>
    </w:p>
    <w:p w:rsidRPr="00C61C11" w:rsidR="00B03EDE" w:rsidP="00AF6ADC" w:rsidRDefault="00B03EDE" w14:paraId="63655676" w14:textId="77777777">
      <w:pPr>
        <w:spacing w:line="360" w:lineRule="auto"/>
        <w:rPr>
          <w:rFonts w:ascii="Palatino Linotype" w:hAnsi="Palatino Linotype" w:cs="Tahoma"/>
          <w:b/>
          <w:sz w:val="22"/>
          <w:szCs w:val="22"/>
        </w:rPr>
      </w:pPr>
    </w:p>
    <w:p w:rsidRPr="00C61C11" w:rsidR="00B03EDE" w:rsidP="00AF6ADC" w:rsidRDefault="00B03EDE" w14:paraId="41B2DDEF" w14:textId="77777777">
      <w:pPr>
        <w:spacing w:line="360" w:lineRule="auto"/>
        <w:jc w:val="both"/>
        <w:rPr>
          <w:rFonts w:ascii="Palatino Linotype" w:hAnsi="Palatino Linotype" w:eastAsia="Batang" w:cs="Tahoma"/>
          <w:b/>
          <w:bCs/>
          <w:sz w:val="22"/>
          <w:szCs w:val="22"/>
        </w:rPr>
      </w:pPr>
      <w:r w:rsidRPr="00C61C11">
        <w:rPr>
          <w:rFonts w:ascii="Palatino Linotype" w:hAnsi="Palatino Linotype" w:eastAsia="Batang" w:cs="Tahoma"/>
          <w:b/>
          <w:bCs/>
          <w:sz w:val="22"/>
          <w:szCs w:val="22"/>
        </w:rPr>
        <w:t xml:space="preserve">PRIMERO. Competencia. </w:t>
      </w:r>
    </w:p>
    <w:p w:rsidRPr="00C61C11" w:rsidR="00B03EDE" w:rsidP="00AF6ADC" w:rsidRDefault="00B03EDE" w14:paraId="05F8F757" w14:textId="77777777">
      <w:pPr>
        <w:spacing w:line="360" w:lineRule="auto"/>
        <w:jc w:val="both"/>
        <w:rPr>
          <w:rFonts w:ascii="Palatino Linotype" w:hAnsi="Palatino Linotype" w:eastAsia="Batang" w:cs="Tahoma"/>
          <w:b/>
          <w:bCs/>
          <w:sz w:val="22"/>
          <w:szCs w:val="22"/>
        </w:rPr>
      </w:pPr>
    </w:p>
    <w:p w:rsidRPr="00C61C11" w:rsidR="00B03EDE" w:rsidP="00AF6ADC" w:rsidRDefault="00B03EDE" w14:paraId="3B356C18" w14:textId="107EAD6E">
      <w:pPr>
        <w:spacing w:line="360" w:lineRule="auto"/>
        <w:jc w:val="both"/>
        <w:rPr>
          <w:rFonts w:ascii="Palatino Linotype" w:hAnsi="Palatino Linotype" w:cs="Tahoma"/>
          <w:bCs/>
          <w:sz w:val="22"/>
          <w:szCs w:val="22"/>
        </w:rPr>
      </w:pPr>
      <w:bookmarkStart w:name="_Hlk63334754" w:id="1"/>
      <w:r w:rsidRPr="00C61C11">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C61C11" w:rsidR="00930F5B">
        <w:rPr>
          <w:rFonts w:ascii="Palatino Linotype" w:hAnsi="Palatino Linotype" w:cs="Tahoma"/>
          <w:bCs/>
          <w:sz w:val="22"/>
          <w:szCs w:val="22"/>
        </w:rPr>
        <w:t>trigésimo, trigésimo primero y trigésimo segundo</w:t>
      </w:r>
      <w:r w:rsidRPr="00C61C11">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61C11">
        <w:rPr>
          <w:rFonts w:ascii="Palatino Linotype" w:hAnsi="Palatino Linotype"/>
          <w:bCs/>
          <w:sz w:val="22"/>
          <w:szCs w:val="22"/>
        </w:rPr>
        <w:t xml:space="preserve"> 7°, </w:t>
      </w:r>
      <w:r w:rsidRPr="00C61C11">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1"/>
    <w:p w:rsidRPr="00C61C11" w:rsidR="00B03EDE" w:rsidP="00AF6ADC" w:rsidRDefault="00B03EDE" w14:paraId="0B80A3FF" w14:textId="77777777">
      <w:pPr>
        <w:spacing w:line="360" w:lineRule="auto"/>
        <w:jc w:val="both"/>
        <w:rPr>
          <w:rFonts w:ascii="Palatino Linotype" w:hAnsi="Palatino Linotype" w:eastAsia="Calibri" w:cs="Tahoma"/>
          <w:bCs/>
          <w:color w:val="000000"/>
          <w:sz w:val="22"/>
          <w:szCs w:val="22"/>
          <w:lang w:eastAsia="es-ES_tradnl"/>
        </w:rPr>
      </w:pPr>
    </w:p>
    <w:p w:rsidRPr="00C61C11" w:rsidR="00B03EDE" w:rsidP="00AF6ADC" w:rsidRDefault="00B03EDE" w14:paraId="612027DB" w14:textId="2E7E1B11">
      <w:pPr>
        <w:spacing w:line="360" w:lineRule="auto"/>
        <w:jc w:val="both"/>
        <w:rPr>
          <w:rFonts w:ascii="Palatino Linotype" w:hAnsi="Palatino Linotype" w:cs="Tahoma"/>
          <w:b/>
          <w:bCs/>
          <w:sz w:val="22"/>
          <w:szCs w:val="22"/>
        </w:rPr>
      </w:pPr>
      <w:r w:rsidRPr="00C61C11">
        <w:rPr>
          <w:rFonts w:ascii="Palatino Linotype" w:hAnsi="Palatino Linotype" w:cs="Tahoma"/>
          <w:b/>
          <w:bCs/>
          <w:sz w:val="22"/>
          <w:szCs w:val="22"/>
        </w:rPr>
        <w:t>SEGUNDO. Causales de procedencia.</w:t>
      </w:r>
    </w:p>
    <w:p w:rsidRPr="00C61C11" w:rsidR="00B03EDE" w:rsidP="00AF6ADC" w:rsidRDefault="00B03EDE" w14:paraId="29A5DB92" w14:textId="75D8B8E7">
      <w:pPr>
        <w:spacing w:line="360" w:lineRule="auto"/>
        <w:jc w:val="both"/>
        <w:rPr>
          <w:rFonts w:ascii="Palatino Linotype" w:hAnsi="Palatino Linotype" w:cs="Tahoma"/>
          <w:bCs/>
          <w:sz w:val="22"/>
          <w:szCs w:val="22"/>
        </w:rPr>
      </w:pPr>
    </w:p>
    <w:p w:rsidR="00B03EDE" w:rsidP="00AF6ADC" w:rsidRDefault="00B03EDE" w14:paraId="583A61FA" w14:textId="77777777">
      <w:pPr>
        <w:spacing w:line="360" w:lineRule="auto"/>
        <w:jc w:val="both"/>
        <w:rPr>
          <w:rFonts w:ascii="Palatino Linotype" w:hAnsi="Palatino Linotype" w:cs="Tahoma"/>
          <w:bCs/>
          <w:color w:val="000000"/>
          <w:sz w:val="22"/>
          <w:szCs w:val="22"/>
        </w:rPr>
      </w:pPr>
      <w:r w:rsidRPr="00C61C11">
        <w:rPr>
          <w:rFonts w:ascii="Palatino Linotype" w:hAnsi="Palatino Linotype" w:cs="Tahoma"/>
          <w:bCs/>
          <w:sz w:val="22"/>
          <w:szCs w:val="22"/>
        </w:rPr>
        <w:lastRenderedPageBreak/>
        <w:t>Este Instituto realiza el estudio oficioso de las causales de improcedencia, por tratarse de una cuestión de orden público y de estudio preferente (acorde con el Criterio orientador en la Tesis</w:t>
      </w:r>
      <w:r w:rsidRPr="00C61C11">
        <w:rPr>
          <w:rFonts w:ascii="Palatino Linotype" w:hAnsi="Palatino Linotype" w:cs="Tahoma"/>
          <w:bCs/>
          <w:color w:val="000000"/>
          <w:sz w:val="22"/>
          <w:szCs w:val="22"/>
        </w:rPr>
        <w:t xml:space="preserve">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61C11" w:rsidR="00841C86" w:rsidP="00AF6ADC" w:rsidRDefault="00841C86" w14:paraId="35561E81" w14:textId="77777777">
      <w:pPr>
        <w:spacing w:line="360" w:lineRule="auto"/>
        <w:jc w:val="both"/>
        <w:rPr>
          <w:rFonts w:ascii="Palatino Linotype" w:hAnsi="Palatino Linotype" w:cs="Tahoma"/>
          <w:bCs/>
          <w:color w:val="000000"/>
          <w:sz w:val="22"/>
          <w:szCs w:val="22"/>
        </w:rPr>
      </w:pPr>
    </w:p>
    <w:p w:rsidRPr="00C61C11" w:rsidR="00896C40" w:rsidP="00896C40" w:rsidRDefault="00896C40" w14:paraId="7891332C" w14:textId="77777777">
      <w:pPr>
        <w:spacing w:line="360" w:lineRule="auto"/>
        <w:jc w:val="both"/>
        <w:rPr>
          <w:rFonts w:ascii="Palatino Linotype" w:hAnsi="Palatino Linotype" w:cs="Tahoma"/>
          <w:sz w:val="22"/>
          <w:szCs w:val="24"/>
        </w:rPr>
      </w:pPr>
      <w:r w:rsidRPr="00C61C11">
        <w:rPr>
          <w:rFonts w:ascii="Palatino Linotype" w:hAnsi="Palatino Linotype" w:cs="Tahoma"/>
          <w:sz w:val="22"/>
          <w:szCs w:val="24"/>
        </w:rPr>
        <w:t>En el presente caso, </w:t>
      </w:r>
      <w:r w:rsidRPr="00C61C11">
        <w:rPr>
          <w:rFonts w:ascii="Palatino Linotype" w:hAnsi="Palatino Linotype" w:cs="Tahoma"/>
          <w:b/>
          <w:bCs/>
          <w:sz w:val="22"/>
          <w:szCs w:val="24"/>
        </w:rPr>
        <w:t>no se actualiza ninguna de las causales de improcedencia</w:t>
      </w:r>
      <w:r w:rsidRPr="00C61C11">
        <w:rPr>
          <w:rFonts w:ascii="Palatino Linotype" w:hAnsi="Palatino Linotype" w:cs="Tahoma"/>
          <w:sz w:val="22"/>
          <w:szCs w:val="24"/>
        </w:rPr>
        <w:t> establecidas en el ordenamiento jurídico previamente señalado, en sus fracciones II a VII,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C61C11" w:rsidR="00896C40" w:rsidP="00896C40" w:rsidRDefault="00896C40" w14:paraId="75651811" w14:textId="77777777">
      <w:pPr>
        <w:spacing w:line="360" w:lineRule="auto"/>
        <w:jc w:val="both"/>
        <w:rPr>
          <w:rFonts w:ascii="Palatino Linotype" w:hAnsi="Palatino Linotype" w:cs="Tahoma"/>
          <w:sz w:val="22"/>
          <w:szCs w:val="22"/>
        </w:rPr>
      </w:pPr>
    </w:p>
    <w:p w:rsidRPr="00C61C11" w:rsidR="00896C40" w:rsidP="00896C40" w:rsidRDefault="00896C40" w14:paraId="42593265" w14:textId="77777777">
      <w:pPr>
        <w:spacing w:line="360" w:lineRule="auto"/>
        <w:jc w:val="both"/>
        <w:rPr>
          <w:rFonts w:ascii="Palatino Linotype" w:hAnsi="Palatino Linotype" w:cs="Tahoma"/>
          <w:sz w:val="22"/>
          <w:szCs w:val="22"/>
          <w:lang w:val="es-ES"/>
        </w:rPr>
      </w:pPr>
      <w:r w:rsidRPr="00C61C11">
        <w:rPr>
          <w:rFonts w:ascii="Palatino Linotype" w:hAnsi="Palatino Linotype" w:cs="Tahoma"/>
          <w:sz w:val="22"/>
          <w:szCs w:val="22"/>
        </w:rPr>
        <w:t>Asimismo, se considera por lo que hace a la fracción I, del artículo 191, de la Ley de la materia, toda vez, que ya ha sido admitido el Recurso de Revisión, se realizará el análisis correspondiente en el Considerando Tercero.</w:t>
      </w:r>
    </w:p>
    <w:p w:rsidR="004B3B50" w:rsidP="00896C40" w:rsidRDefault="004B3B50" w14:paraId="75974BD8" w14:textId="77777777">
      <w:pPr>
        <w:spacing w:line="360" w:lineRule="auto"/>
        <w:jc w:val="both"/>
        <w:rPr>
          <w:rFonts w:ascii="Palatino Linotype" w:hAnsi="Palatino Linotype" w:cs="Tahoma"/>
          <w:b/>
          <w:bCs/>
          <w:sz w:val="22"/>
          <w:szCs w:val="22"/>
        </w:rPr>
      </w:pPr>
    </w:p>
    <w:p w:rsidRPr="00C61C11" w:rsidR="00896C40" w:rsidP="00896C40" w:rsidRDefault="00896C40" w14:paraId="7C974872" w14:textId="77777777">
      <w:pPr>
        <w:spacing w:line="360" w:lineRule="auto"/>
        <w:jc w:val="both"/>
        <w:rPr>
          <w:rFonts w:ascii="Palatino Linotype" w:hAnsi="Palatino Linotype" w:cs="Tahoma"/>
          <w:sz w:val="22"/>
          <w:szCs w:val="22"/>
        </w:rPr>
      </w:pPr>
      <w:r w:rsidRPr="00C61C11">
        <w:rPr>
          <w:rFonts w:ascii="Palatino Linotype" w:hAnsi="Palatino Linotype" w:cs="Tahoma"/>
          <w:b/>
          <w:bCs/>
          <w:sz w:val="22"/>
          <w:szCs w:val="22"/>
        </w:rPr>
        <w:t>TERCERO. Causales de sobreseimiento.</w:t>
      </w:r>
    </w:p>
    <w:p w:rsidRPr="00C61C11" w:rsidR="00896C40" w:rsidP="00896C40" w:rsidRDefault="00896C40" w14:paraId="52C335D3" w14:textId="77777777">
      <w:pPr>
        <w:spacing w:line="360" w:lineRule="auto"/>
        <w:jc w:val="both"/>
        <w:rPr>
          <w:rFonts w:ascii="Palatino Linotype" w:hAnsi="Palatino Linotype" w:cs="Tahoma"/>
          <w:sz w:val="22"/>
          <w:szCs w:val="22"/>
        </w:rPr>
      </w:pPr>
      <w:r w:rsidRPr="00C61C11">
        <w:rPr>
          <w:rFonts w:ascii="Palatino Linotype" w:hAnsi="Palatino Linotype" w:cs="Tahoma"/>
          <w:sz w:val="22"/>
          <w:szCs w:val="22"/>
        </w:rPr>
        <w:t> </w:t>
      </w:r>
    </w:p>
    <w:p w:rsidR="00896C40" w:rsidP="00F56366" w:rsidRDefault="00896C40" w14:paraId="44A0B47D" w14:textId="3D0C5BA0">
      <w:pPr>
        <w:spacing w:line="360" w:lineRule="auto"/>
        <w:jc w:val="both"/>
        <w:rPr>
          <w:rFonts w:ascii="Palatino Linotype" w:hAnsi="Palatino Linotype" w:eastAsia="Calibri" w:cs="Tahoma"/>
          <w:sz w:val="22"/>
          <w:szCs w:val="22"/>
          <w:lang w:eastAsia="es-ES_tradnl"/>
        </w:rPr>
      </w:pPr>
      <w:r w:rsidRPr="00C61C11">
        <w:rPr>
          <w:rFonts w:ascii="Palatino Linotype" w:hAnsi="Palatino Linotype" w:cs="Tahoma"/>
          <w:sz w:val="22"/>
          <w:szCs w:val="22"/>
        </w:rPr>
        <w:t>Por ser de previo y especial pronunciamiento, este Instituto analiza si se actualiza alguna causal de sobreseimiento.</w:t>
      </w:r>
      <w:r w:rsidR="00F56366">
        <w:rPr>
          <w:rFonts w:ascii="Palatino Linotype" w:hAnsi="Palatino Linotype" w:cs="Tahoma"/>
          <w:sz w:val="22"/>
          <w:szCs w:val="22"/>
        </w:rPr>
        <w:t xml:space="preserve"> </w:t>
      </w:r>
      <w:r w:rsidRPr="00C61C11">
        <w:rPr>
          <w:rFonts w:ascii="Palatino Linotype" w:hAnsi="Palatino Linotype" w:cs="Tahoma"/>
          <w:sz w:val="22"/>
          <w:szCs w:val="22"/>
        </w:rPr>
        <w:t xml:space="preserve">El artículo 192 de la </w:t>
      </w:r>
      <w:r w:rsidRPr="00C61C11">
        <w:rPr>
          <w:rFonts w:ascii="Palatino Linotype" w:hAnsi="Palatino Linotype" w:eastAsia="Calibri"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C61C11">
        <w:rPr>
          <w:rFonts w:ascii="Palatino Linotype" w:hAnsi="Palatino Linotype" w:eastAsia="Calibri" w:cs="Tahoma"/>
          <w:sz w:val="22"/>
          <w:szCs w:val="22"/>
          <w:lang w:eastAsia="es-ES_tradnl"/>
        </w:rPr>
        <w:t xml:space="preserve">del análisis realizado por este </w:t>
      </w:r>
      <w:r w:rsidRPr="00C61C11">
        <w:rPr>
          <w:rFonts w:ascii="Palatino Linotype" w:hAnsi="Palatino Linotype" w:eastAsia="Calibri" w:cs="Tahoma"/>
          <w:sz w:val="22"/>
          <w:szCs w:val="22"/>
          <w:lang w:eastAsia="es-ES_tradnl"/>
        </w:rPr>
        <w:lastRenderedPageBreak/>
        <w:t>Instituto, se advierte que</w:t>
      </w:r>
      <w:r w:rsidRPr="00C61C11">
        <w:rPr>
          <w:rFonts w:ascii="Palatino Linotype" w:hAnsi="Palatino Linotype" w:eastAsia="Calibri" w:cs="Tahoma"/>
          <w:b/>
          <w:sz w:val="22"/>
          <w:szCs w:val="22"/>
          <w:lang w:eastAsia="es-ES_tradnl"/>
        </w:rPr>
        <w:t xml:space="preserve"> no se configuran las causales establecidas en las fracciones I, II, III, y V, </w:t>
      </w:r>
      <w:r w:rsidRPr="00C61C11">
        <w:rPr>
          <w:rFonts w:ascii="Palatino Linotype" w:hAnsi="Palatino Linotype" w:eastAsia="Calibri" w:cs="Tahoma"/>
          <w:sz w:val="22"/>
          <w:szCs w:val="22"/>
          <w:lang w:eastAsia="es-ES_tradnl"/>
        </w:rPr>
        <w:t>toda vez que no hay constancias en el expediente en que se actúa, de que el Recurrente se haya desistido, fallecido, que el Sujeto Obligado hubiese modificado o revocado el acto impugnado o bien, haya quedado sin materia.</w:t>
      </w:r>
    </w:p>
    <w:p w:rsidRPr="00C61C11" w:rsidR="00D47AB9" w:rsidP="00896C40" w:rsidRDefault="00D47AB9" w14:paraId="642089AD" w14:textId="77777777">
      <w:pPr>
        <w:widowControl w:val="0"/>
        <w:spacing w:line="360" w:lineRule="auto"/>
        <w:jc w:val="both"/>
        <w:rPr>
          <w:rFonts w:ascii="Palatino Linotype" w:hAnsi="Palatino Linotype" w:eastAsia="Calibri" w:cs="Tahoma"/>
          <w:sz w:val="22"/>
          <w:szCs w:val="22"/>
          <w:lang w:eastAsia="es-ES_tradnl"/>
        </w:rPr>
      </w:pPr>
    </w:p>
    <w:p w:rsidRPr="00C61C11" w:rsidR="00896C40" w:rsidP="00896C40" w:rsidRDefault="00896C40" w14:paraId="79D5B160" w14:textId="6FDC9CD7">
      <w:pPr>
        <w:spacing w:line="360" w:lineRule="auto"/>
        <w:jc w:val="both"/>
        <w:rPr>
          <w:rFonts w:ascii="Palatino Linotype" w:hAnsi="Palatino Linotype" w:eastAsia="Batang" w:cs="Tahoma"/>
          <w:bCs/>
          <w:sz w:val="22"/>
          <w:szCs w:val="22"/>
        </w:rPr>
      </w:pPr>
      <w:r w:rsidRPr="00C61C11">
        <w:rPr>
          <w:rFonts w:ascii="Palatino Linotype" w:hAnsi="Palatino Linotype" w:eastAsia="Calibri" w:cs="Tahoma"/>
          <w:sz w:val="22"/>
          <w:szCs w:val="22"/>
          <w:lang w:eastAsia="es-ES_tradnl"/>
        </w:rPr>
        <w:t xml:space="preserve">No obstante, por lo que hace a la hipótesis prevista en la fracción IV, a saber, que una vez admitido el Recurso de Revisión, aparezca alguna causal de improcedencia en términos de la presente Ley, cabe señalar que </w:t>
      </w:r>
      <w:r w:rsidRPr="00C61C11">
        <w:rPr>
          <w:rFonts w:ascii="Palatino Linotype" w:hAnsi="Palatino Linotype" w:cs="Tahoma"/>
          <w:color w:val="000000"/>
          <w:sz w:val="22"/>
          <w:szCs w:val="22"/>
        </w:rPr>
        <w:t xml:space="preserve">el artículo 191 de la </w:t>
      </w:r>
      <w:r w:rsidRPr="00C61C11">
        <w:rPr>
          <w:rFonts w:ascii="Palatino Linotype" w:hAnsi="Palatino Linotype" w:eastAsia="Batang" w:cs="Tahoma"/>
          <w:bCs/>
          <w:sz w:val="22"/>
          <w:szCs w:val="22"/>
        </w:rPr>
        <w:t>Ley de Transparencia y Acceso a la Información Pública del Estado de México y Municipios, indica, entre otras causales, que el Recurso de Revisión será desechado por improcedente, cuando sea extemporáneo por haber transcurrido el plazo establecido por el artículo 178 del mismo ordenamiento.</w:t>
      </w:r>
    </w:p>
    <w:p w:rsidRPr="00C61C11" w:rsidR="00896C40" w:rsidP="00896C40" w:rsidRDefault="00896C40" w14:paraId="16029F85" w14:textId="77777777">
      <w:pPr>
        <w:spacing w:line="360" w:lineRule="auto"/>
        <w:jc w:val="both"/>
        <w:rPr>
          <w:rFonts w:ascii="Palatino Linotype" w:hAnsi="Palatino Linotype" w:eastAsia="Batang" w:cs="Tahoma"/>
          <w:bCs/>
          <w:sz w:val="22"/>
          <w:szCs w:val="22"/>
        </w:rPr>
      </w:pPr>
    </w:p>
    <w:p w:rsidRPr="00C61C11" w:rsidR="00896C40" w:rsidP="00896C40" w:rsidRDefault="00896C40" w14:paraId="7DAE7DAA" w14:textId="3AFCBEBB">
      <w:pPr>
        <w:spacing w:line="360" w:lineRule="auto"/>
        <w:jc w:val="both"/>
        <w:rPr>
          <w:rFonts w:ascii="Palatino Linotype" w:hAnsi="Palatino Linotype" w:eastAsia="Batang" w:cs="Tahoma"/>
          <w:bCs/>
          <w:sz w:val="22"/>
          <w:szCs w:val="22"/>
        </w:rPr>
      </w:pPr>
      <w:r w:rsidRPr="00C61C11">
        <w:rPr>
          <w:rFonts w:ascii="Palatino Linotype" w:hAnsi="Palatino Linotype" w:eastAsia="Batang" w:cs="Tahoma"/>
          <w:bCs/>
          <w:sz w:val="22"/>
          <w:szCs w:val="22"/>
        </w:rPr>
        <w:t xml:space="preserve">Al respecto dicho artículo, señala que, en caso de existir respuesta, el Recurso de Revisión podrá interponerse dentro de los </w:t>
      </w:r>
      <w:r w:rsidRPr="00D47AB9">
        <w:rPr>
          <w:rFonts w:ascii="Palatino Linotype" w:hAnsi="Palatino Linotype" w:eastAsia="Batang" w:cs="Tahoma"/>
          <w:b/>
          <w:sz w:val="22"/>
          <w:szCs w:val="22"/>
        </w:rPr>
        <w:t>quince días hábiles</w:t>
      </w:r>
      <w:r w:rsidRPr="00C61C11">
        <w:rPr>
          <w:rFonts w:ascii="Palatino Linotype" w:hAnsi="Palatino Linotype" w:eastAsia="Batang" w:cs="Tahoma"/>
          <w:bCs/>
          <w:sz w:val="22"/>
          <w:szCs w:val="22"/>
        </w:rPr>
        <w:t xml:space="preserve">, siguientes a la fecha de notificación de </w:t>
      </w:r>
      <w:r w:rsidRPr="00C61C11" w:rsidR="00437FA1">
        <w:rPr>
          <w:rFonts w:ascii="Palatino Linotype" w:hAnsi="Palatino Linotype" w:eastAsia="Batang" w:cs="Tahoma"/>
          <w:bCs/>
          <w:sz w:val="22"/>
          <w:szCs w:val="22"/>
        </w:rPr>
        <w:t>dicha contestación</w:t>
      </w:r>
      <w:r w:rsidR="001C0572">
        <w:rPr>
          <w:rFonts w:ascii="Palatino Linotype" w:hAnsi="Palatino Linotype" w:eastAsia="Batang" w:cs="Tahoma"/>
          <w:bCs/>
          <w:sz w:val="22"/>
          <w:szCs w:val="22"/>
        </w:rPr>
        <w:t xml:space="preserve">; sobre este punto cabe puntualizar que el ahora Recurrente solicitó la información, a través </w:t>
      </w:r>
      <w:r w:rsidR="00A24A79">
        <w:rPr>
          <w:rFonts w:ascii="Palatino Linotype" w:hAnsi="Palatino Linotype" w:eastAsia="Batang" w:cs="Tahoma"/>
          <w:bCs/>
          <w:sz w:val="22"/>
          <w:szCs w:val="22"/>
        </w:rPr>
        <w:t>de la Plataforma Nacional de Transparencia (PNT), el cual se encuentra vinculado a</w:t>
      </w:r>
      <w:r w:rsidR="001C0572">
        <w:rPr>
          <w:rFonts w:ascii="Palatino Linotype" w:hAnsi="Palatino Linotype" w:eastAsia="Batang" w:cs="Tahoma"/>
          <w:bCs/>
          <w:sz w:val="22"/>
          <w:szCs w:val="22"/>
        </w:rPr>
        <w:t>l Sistema de Acceso a la Información Mexiquense (SAIMEX)</w:t>
      </w:r>
      <w:r w:rsidR="00A24A79">
        <w:rPr>
          <w:rFonts w:ascii="Palatino Linotype" w:hAnsi="Palatino Linotype" w:eastAsia="Batang" w:cs="Tahoma"/>
          <w:bCs/>
          <w:sz w:val="22"/>
          <w:szCs w:val="22"/>
        </w:rPr>
        <w:t>.</w:t>
      </w:r>
    </w:p>
    <w:p w:rsidRPr="00C61C11" w:rsidR="004B3B50" w:rsidP="00896C40" w:rsidRDefault="004B3B50" w14:paraId="484597FA" w14:textId="77777777">
      <w:pPr>
        <w:spacing w:line="360" w:lineRule="auto"/>
        <w:jc w:val="both"/>
        <w:rPr>
          <w:rFonts w:ascii="Palatino Linotype" w:hAnsi="Palatino Linotype" w:eastAsia="Batang" w:cs="Tahoma"/>
          <w:bCs/>
          <w:sz w:val="22"/>
          <w:szCs w:val="22"/>
        </w:rPr>
      </w:pPr>
    </w:p>
    <w:p w:rsidRPr="00C61C11" w:rsidR="00896C40" w:rsidP="00FF4120" w:rsidRDefault="00896C40" w14:paraId="624667DD" w14:textId="4E0E8000">
      <w:pPr>
        <w:spacing w:line="360" w:lineRule="auto"/>
        <w:jc w:val="both"/>
        <w:rPr>
          <w:rFonts w:ascii="Palatino Linotype" w:hAnsi="Palatino Linotype" w:eastAsia="Batang" w:cs="Tahoma"/>
          <w:bCs/>
          <w:sz w:val="22"/>
          <w:szCs w:val="22"/>
        </w:rPr>
      </w:pPr>
      <w:r w:rsidRPr="00C61C11">
        <w:rPr>
          <w:rFonts w:ascii="Palatino Linotype" w:hAnsi="Palatino Linotype" w:eastAsia="Batang" w:cs="Tahoma"/>
          <w:bCs/>
          <w:sz w:val="22"/>
          <w:szCs w:val="22"/>
        </w:rPr>
        <w:t xml:space="preserve">Ahora bien, </w:t>
      </w:r>
      <w:r w:rsidR="001C0572">
        <w:rPr>
          <w:rFonts w:ascii="Palatino Linotype" w:hAnsi="Palatino Linotype" w:eastAsia="Batang" w:cs="Tahoma"/>
          <w:bCs/>
          <w:sz w:val="22"/>
          <w:szCs w:val="22"/>
        </w:rPr>
        <w:t xml:space="preserve">de las constancias que obran en el expediente se advierte que el Sujeto Obligado notificó la respuesta, el </w:t>
      </w:r>
      <w:r w:rsidR="00C35CD5">
        <w:rPr>
          <w:rFonts w:ascii="Palatino Linotype" w:hAnsi="Palatino Linotype" w:eastAsia="Batang" w:cs="Tahoma"/>
          <w:bCs/>
          <w:sz w:val="22"/>
          <w:szCs w:val="22"/>
        </w:rPr>
        <w:t>once de noviembre de dos mil veintidós</w:t>
      </w:r>
      <w:r w:rsidR="00A24A79">
        <w:rPr>
          <w:rFonts w:ascii="Palatino Linotype" w:hAnsi="Palatino Linotype" w:eastAsia="Batang" w:cs="Tahoma"/>
          <w:bCs/>
          <w:sz w:val="22"/>
          <w:szCs w:val="22"/>
        </w:rPr>
        <w:t>; p</w:t>
      </w:r>
      <w:r w:rsidRPr="00C61C11">
        <w:rPr>
          <w:rFonts w:ascii="Palatino Linotype" w:hAnsi="Palatino Linotype" w:eastAsia="Batang" w:cs="Tahoma"/>
          <w:bCs/>
          <w:sz w:val="22"/>
          <w:szCs w:val="22"/>
        </w:rPr>
        <w:t xml:space="preserve">or </w:t>
      </w:r>
      <w:r w:rsidR="00A24A79">
        <w:rPr>
          <w:rFonts w:ascii="Palatino Linotype" w:hAnsi="Palatino Linotype" w:eastAsia="Batang" w:cs="Tahoma"/>
          <w:bCs/>
          <w:sz w:val="22"/>
          <w:szCs w:val="22"/>
        </w:rPr>
        <w:t xml:space="preserve">lo </w:t>
      </w:r>
      <w:r w:rsidRPr="00C61C11">
        <w:rPr>
          <w:rFonts w:ascii="Palatino Linotype" w:hAnsi="Palatino Linotype" w:eastAsia="Batang" w:cs="Tahoma"/>
          <w:bCs/>
          <w:sz w:val="22"/>
          <w:szCs w:val="22"/>
        </w:rPr>
        <w:t xml:space="preserve">tanto, el plazo de quince días, contados a partir del día hábil siguiente de la notificación de la </w:t>
      </w:r>
      <w:r w:rsidR="00A24A79">
        <w:rPr>
          <w:rFonts w:ascii="Palatino Linotype" w:hAnsi="Palatino Linotype" w:eastAsia="Batang" w:cs="Tahoma"/>
          <w:bCs/>
          <w:sz w:val="22"/>
          <w:szCs w:val="22"/>
        </w:rPr>
        <w:t>contestación</w:t>
      </w:r>
      <w:r w:rsidRPr="00C61C11">
        <w:rPr>
          <w:rFonts w:ascii="Palatino Linotype" w:hAnsi="Palatino Linotype" w:eastAsia="Batang" w:cs="Tahoma"/>
          <w:bCs/>
          <w:sz w:val="22"/>
          <w:szCs w:val="22"/>
        </w:rPr>
        <w:t xml:space="preserve">, con el que contaba el Solicitante para interponer su Recurso de Revisión, </w:t>
      </w:r>
      <w:r w:rsidRPr="00C61C11">
        <w:rPr>
          <w:rFonts w:ascii="Palatino Linotype" w:hAnsi="Palatino Linotype" w:eastAsia="Batang" w:cs="Tahoma"/>
          <w:b/>
          <w:bCs/>
          <w:sz w:val="22"/>
          <w:szCs w:val="22"/>
        </w:rPr>
        <w:t xml:space="preserve">comenzó a </w:t>
      </w:r>
      <w:r w:rsidR="00D47AB9">
        <w:rPr>
          <w:rFonts w:ascii="Palatino Linotype" w:hAnsi="Palatino Linotype" w:eastAsia="Batang" w:cs="Tahoma"/>
          <w:b/>
          <w:bCs/>
          <w:sz w:val="22"/>
          <w:szCs w:val="22"/>
        </w:rPr>
        <w:t xml:space="preserve">correr el </w:t>
      </w:r>
      <w:r w:rsidR="00F56366">
        <w:rPr>
          <w:rFonts w:ascii="Palatino Linotype" w:hAnsi="Palatino Linotype" w:eastAsia="Batang" w:cs="Tahoma"/>
          <w:b/>
          <w:bCs/>
          <w:sz w:val="22"/>
          <w:szCs w:val="22"/>
        </w:rPr>
        <w:t xml:space="preserve">catorce </w:t>
      </w:r>
      <w:r w:rsidR="00841C86">
        <w:rPr>
          <w:rFonts w:ascii="Palatino Linotype" w:hAnsi="Palatino Linotype" w:eastAsia="Batang" w:cs="Tahoma"/>
          <w:b/>
          <w:bCs/>
          <w:sz w:val="22"/>
          <w:szCs w:val="22"/>
        </w:rPr>
        <w:t xml:space="preserve">de </w:t>
      </w:r>
      <w:r w:rsidR="00C35CD5">
        <w:rPr>
          <w:rFonts w:ascii="Palatino Linotype" w:hAnsi="Palatino Linotype" w:eastAsia="Batang" w:cs="Tahoma"/>
          <w:b/>
          <w:bCs/>
          <w:sz w:val="22"/>
          <w:szCs w:val="22"/>
        </w:rPr>
        <w:t>noviembre</w:t>
      </w:r>
      <w:r w:rsidRPr="00C61C11">
        <w:rPr>
          <w:rFonts w:ascii="Palatino Linotype" w:hAnsi="Palatino Linotype" w:eastAsia="Batang" w:cs="Tahoma"/>
          <w:b/>
          <w:bCs/>
          <w:sz w:val="22"/>
          <w:szCs w:val="22"/>
        </w:rPr>
        <w:t xml:space="preserve"> y </w:t>
      </w:r>
      <w:r w:rsidR="00D47AB9">
        <w:rPr>
          <w:rFonts w:ascii="Palatino Linotype" w:hAnsi="Palatino Linotype" w:eastAsia="Batang" w:cs="Tahoma"/>
          <w:b/>
          <w:bCs/>
          <w:sz w:val="22"/>
          <w:szCs w:val="22"/>
        </w:rPr>
        <w:t>feneció</w:t>
      </w:r>
      <w:r w:rsidRPr="00C61C11">
        <w:rPr>
          <w:rFonts w:ascii="Palatino Linotype" w:hAnsi="Palatino Linotype" w:eastAsia="Batang" w:cs="Tahoma"/>
          <w:b/>
          <w:bCs/>
          <w:sz w:val="22"/>
          <w:szCs w:val="22"/>
        </w:rPr>
        <w:t xml:space="preserve"> el </w:t>
      </w:r>
      <w:r w:rsidR="00F56366">
        <w:rPr>
          <w:rFonts w:ascii="Palatino Linotype" w:hAnsi="Palatino Linotype" w:eastAsia="Batang" w:cs="Tahoma"/>
          <w:b/>
          <w:bCs/>
          <w:sz w:val="22"/>
          <w:szCs w:val="22"/>
        </w:rPr>
        <w:t>cinco de diciembre</w:t>
      </w:r>
      <w:r w:rsidR="00A24A79">
        <w:rPr>
          <w:rFonts w:ascii="Palatino Linotype" w:hAnsi="Palatino Linotype" w:eastAsia="Batang" w:cs="Tahoma"/>
          <w:b/>
          <w:bCs/>
          <w:sz w:val="22"/>
          <w:szCs w:val="22"/>
        </w:rPr>
        <w:t>,</w:t>
      </w:r>
      <w:r w:rsidRPr="00C61C11" w:rsidR="00765D8B">
        <w:rPr>
          <w:rFonts w:ascii="Palatino Linotype" w:hAnsi="Palatino Linotype" w:eastAsia="Batang" w:cs="Tahoma"/>
          <w:b/>
          <w:bCs/>
          <w:sz w:val="22"/>
          <w:szCs w:val="22"/>
        </w:rPr>
        <w:t xml:space="preserve"> </w:t>
      </w:r>
      <w:r w:rsidRPr="00D47AB9" w:rsidR="00D47AB9">
        <w:rPr>
          <w:rFonts w:ascii="Palatino Linotype" w:hAnsi="Palatino Linotype" w:eastAsia="Calibri" w:cs="Tahoma"/>
          <w:sz w:val="22"/>
          <w:szCs w:val="22"/>
        </w:rPr>
        <w:t>ambos</w:t>
      </w:r>
      <w:r w:rsidR="00D65AA4">
        <w:rPr>
          <w:rFonts w:ascii="Palatino Linotype" w:hAnsi="Palatino Linotype" w:eastAsia="Calibri" w:cs="Tahoma"/>
          <w:sz w:val="22"/>
          <w:szCs w:val="22"/>
        </w:rPr>
        <w:t xml:space="preserve"> </w:t>
      </w:r>
      <w:r w:rsidR="00A24A79">
        <w:rPr>
          <w:rFonts w:ascii="Palatino Linotype" w:hAnsi="Palatino Linotype" w:eastAsia="Calibri" w:cs="Tahoma"/>
          <w:sz w:val="22"/>
          <w:szCs w:val="22"/>
        </w:rPr>
        <w:t>del año referido</w:t>
      </w:r>
      <w:r w:rsidR="00D47AB9">
        <w:rPr>
          <w:rFonts w:ascii="Palatino Linotype" w:hAnsi="Palatino Linotype" w:eastAsia="Batang" w:cs="Tahoma"/>
          <w:bCs/>
          <w:sz w:val="24"/>
          <w:szCs w:val="24"/>
        </w:rPr>
        <w:t xml:space="preserve">, </w:t>
      </w:r>
      <w:r w:rsidRPr="00D47AB9" w:rsidR="00D47AB9">
        <w:rPr>
          <w:rFonts w:ascii="Palatino Linotype" w:hAnsi="Palatino Linotype" w:eastAsia="Calibri" w:cs="Tahoma"/>
          <w:sz w:val="22"/>
          <w:szCs w:val="22"/>
        </w:rPr>
        <w:t>lo anterior, sin contar los</w:t>
      </w:r>
      <w:r w:rsidR="00F56366">
        <w:rPr>
          <w:rFonts w:ascii="Palatino Linotype" w:hAnsi="Palatino Linotype" w:eastAsia="Calibri" w:cs="Tahoma"/>
          <w:sz w:val="22"/>
          <w:szCs w:val="22"/>
        </w:rPr>
        <w:t xml:space="preserve"> días, doce, trece,</w:t>
      </w:r>
      <w:r w:rsidRPr="00D47AB9" w:rsidR="00D47AB9">
        <w:rPr>
          <w:rFonts w:ascii="Palatino Linotype" w:hAnsi="Palatino Linotype" w:eastAsia="Calibri" w:cs="Tahoma"/>
          <w:sz w:val="22"/>
          <w:szCs w:val="22"/>
        </w:rPr>
        <w:t xml:space="preserve"> </w:t>
      </w:r>
      <w:r w:rsidR="00F56366">
        <w:rPr>
          <w:rFonts w:ascii="Palatino Linotype" w:hAnsi="Palatino Linotype" w:eastAsia="Calibri" w:cs="Tahoma"/>
          <w:sz w:val="22"/>
          <w:szCs w:val="22"/>
        </w:rPr>
        <w:t>diecinueve, veinte, veintiuno, veintiséis y veintisiete de noviembre, así como, tres y cuatro de diciembre, todos</w:t>
      </w:r>
      <w:r w:rsidR="00A24A79">
        <w:rPr>
          <w:rFonts w:ascii="Palatino Linotype" w:hAnsi="Palatino Linotype" w:eastAsia="Batang" w:cs="Tahoma"/>
          <w:bCs/>
          <w:sz w:val="22"/>
          <w:szCs w:val="22"/>
        </w:rPr>
        <w:t xml:space="preserve"> del dos mil veintidós</w:t>
      </w:r>
      <w:r w:rsidRPr="00C61C11">
        <w:rPr>
          <w:rFonts w:ascii="Palatino Linotype" w:hAnsi="Palatino Linotype" w:eastAsia="Batang" w:cs="Tahoma"/>
          <w:bCs/>
          <w:sz w:val="22"/>
          <w:szCs w:val="22"/>
        </w:rPr>
        <w:t xml:space="preserve">, </w:t>
      </w:r>
      <w:r w:rsidRPr="00FF4120" w:rsidR="00FF4120">
        <w:rPr>
          <w:rFonts w:ascii="Palatino Linotype" w:hAnsi="Palatino Linotype" w:eastAsia="Calibri" w:cs="Tahoma"/>
          <w:sz w:val="22"/>
          <w:szCs w:val="22"/>
        </w:rPr>
        <w:t xml:space="preserve">al ser inhábiles, </w:t>
      </w:r>
      <w:r w:rsidRPr="00FF4120" w:rsidR="00FF4120">
        <w:rPr>
          <w:rFonts w:ascii="Palatino Linotype" w:hAnsi="Palatino Linotype" w:eastAsia="Batang" w:cs="Tahoma"/>
          <w:bCs/>
          <w:sz w:val="22"/>
          <w:szCs w:val="22"/>
        </w:rPr>
        <w:t xml:space="preserve">de conformidad con los artículos 3°, fracción X, de la Ley de Transparencia y Acceso a la </w:t>
      </w:r>
      <w:r w:rsidRPr="00FF4120" w:rsidR="00FF4120">
        <w:rPr>
          <w:rFonts w:ascii="Palatino Linotype" w:hAnsi="Palatino Linotype" w:eastAsia="Batang" w:cs="Tahoma"/>
          <w:bCs/>
          <w:sz w:val="22"/>
          <w:szCs w:val="22"/>
        </w:rPr>
        <w:lastRenderedPageBreak/>
        <w:t xml:space="preserve">Información Pública del Estado de México y Municipios y el </w:t>
      </w:r>
      <w:r w:rsidRPr="00FF4120" w:rsidR="00FF4120">
        <w:rPr>
          <w:rFonts w:ascii="Palatino Linotype" w:hAnsi="Palatino Linotype" w:eastAsia="Batang" w:cs="Tahoma"/>
          <w:sz w:val="22"/>
          <w:szCs w:val="22"/>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r w:rsidR="00FF4120">
        <w:rPr>
          <w:rFonts w:ascii="Palatino Linotype" w:hAnsi="Palatino Linotype" w:eastAsia="Batang" w:cs="Tahoma"/>
          <w:sz w:val="22"/>
          <w:szCs w:val="22"/>
          <w:lang w:val="es-ES"/>
        </w:rPr>
        <w:t>.</w:t>
      </w:r>
    </w:p>
    <w:p w:rsidRPr="00C61C11" w:rsidR="00896C40" w:rsidP="00896C40" w:rsidRDefault="00896C40" w14:paraId="420B7E06" w14:textId="77777777">
      <w:pPr>
        <w:spacing w:line="360" w:lineRule="auto"/>
        <w:jc w:val="both"/>
        <w:rPr>
          <w:rFonts w:ascii="Palatino Linotype" w:hAnsi="Palatino Linotype" w:eastAsia="Batang" w:cs="Tahoma"/>
          <w:bCs/>
          <w:sz w:val="22"/>
          <w:szCs w:val="22"/>
        </w:rPr>
      </w:pPr>
    </w:p>
    <w:p w:rsidRPr="00C61C11" w:rsidR="00896C40" w:rsidP="00F56366" w:rsidRDefault="00896C40" w14:paraId="593BA404" w14:textId="0E289E20">
      <w:pPr>
        <w:spacing w:line="360" w:lineRule="auto"/>
        <w:jc w:val="both"/>
        <w:rPr>
          <w:rFonts w:ascii="Palatino Linotype" w:hAnsi="Palatino Linotype" w:cs="Arial"/>
          <w:bCs/>
          <w:color w:val="000000" w:themeColor="text1"/>
          <w:szCs w:val="22"/>
          <w:lang w:val="es-ES"/>
        </w:rPr>
      </w:pPr>
      <w:r w:rsidRPr="00C61C11">
        <w:rPr>
          <w:rFonts w:ascii="Palatino Linotype" w:hAnsi="Palatino Linotype" w:eastAsia="Batang" w:cs="Tahoma"/>
          <w:bCs/>
          <w:sz w:val="22"/>
          <w:szCs w:val="22"/>
        </w:rPr>
        <w:t>Por su parte, el ahora Recurrente, como se desprende de</w:t>
      </w:r>
      <w:r w:rsidRPr="00C61C11" w:rsidR="00765D8B">
        <w:rPr>
          <w:rFonts w:ascii="Palatino Linotype" w:hAnsi="Palatino Linotype" w:eastAsia="Batang" w:cs="Tahoma"/>
          <w:bCs/>
          <w:sz w:val="22"/>
          <w:szCs w:val="22"/>
        </w:rPr>
        <w:t xml:space="preserve">l </w:t>
      </w:r>
      <w:r w:rsidRPr="00C61C11">
        <w:rPr>
          <w:rFonts w:ascii="Palatino Linotype" w:hAnsi="Palatino Linotype" w:eastAsia="Batang" w:cs="Tahoma"/>
          <w:bCs/>
          <w:sz w:val="22"/>
          <w:szCs w:val="22"/>
        </w:rPr>
        <w:t>Sistema de Acceso a la Información Mex</w:t>
      </w:r>
      <w:r w:rsidR="00F56366">
        <w:rPr>
          <w:rFonts w:ascii="Palatino Linotype" w:hAnsi="Palatino Linotype" w:eastAsia="Batang" w:cs="Tahoma"/>
          <w:bCs/>
          <w:sz w:val="22"/>
          <w:szCs w:val="22"/>
        </w:rPr>
        <w:t>iquense (SAIMEX), interpuso su Medio de I</w:t>
      </w:r>
      <w:r w:rsidRPr="00C61C11">
        <w:rPr>
          <w:rFonts w:ascii="Palatino Linotype" w:hAnsi="Palatino Linotype" w:eastAsia="Batang" w:cs="Tahoma"/>
          <w:bCs/>
          <w:sz w:val="22"/>
          <w:szCs w:val="22"/>
        </w:rPr>
        <w:t xml:space="preserve">mpugnación, </w:t>
      </w:r>
      <w:r w:rsidRPr="00C61C11">
        <w:rPr>
          <w:rFonts w:ascii="Palatino Linotype" w:hAnsi="Palatino Linotype" w:eastAsia="Batang" w:cs="Tahoma"/>
          <w:b/>
          <w:bCs/>
          <w:sz w:val="22"/>
          <w:szCs w:val="22"/>
        </w:rPr>
        <w:t>el</w:t>
      </w:r>
      <w:r w:rsidR="00764D7C">
        <w:rPr>
          <w:rFonts w:ascii="Palatino Linotype" w:hAnsi="Palatino Linotype" w:eastAsia="Batang" w:cs="Tahoma"/>
          <w:b/>
          <w:bCs/>
          <w:sz w:val="22"/>
          <w:szCs w:val="22"/>
        </w:rPr>
        <w:t xml:space="preserve"> </w:t>
      </w:r>
      <w:r w:rsidR="00F56366">
        <w:rPr>
          <w:rFonts w:ascii="Palatino Linotype" w:hAnsi="Palatino Linotype" w:eastAsia="Batang" w:cs="Tahoma"/>
          <w:b/>
          <w:bCs/>
          <w:sz w:val="22"/>
          <w:szCs w:val="22"/>
        </w:rPr>
        <w:t xml:space="preserve">nueve de enero de dos mil veintitrés. </w:t>
      </w:r>
      <w:r w:rsidRPr="00F56366">
        <w:rPr>
          <w:rFonts w:ascii="Palatino Linotype" w:hAnsi="Palatino Linotype" w:eastAsia="Batang" w:cs="Tahoma"/>
          <w:bCs/>
          <w:sz w:val="22"/>
          <w:szCs w:val="22"/>
        </w:rPr>
        <w:t>Por tanto, al interponerse el Recurso de Revisión ante este Instituto, en dicha fecha, se concluye que se realizó una vez fenecido el plazo legal establecido al efecto</w:t>
      </w:r>
      <w:r w:rsidRPr="00F56366" w:rsidR="00841C86">
        <w:rPr>
          <w:rFonts w:ascii="Palatino Linotype" w:hAnsi="Palatino Linotype" w:eastAsia="Batang" w:cs="Tahoma"/>
          <w:bCs/>
          <w:sz w:val="22"/>
          <w:szCs w:val="22"/>
        </w:rPr>
        <w:t xml:space="preserve">, a saber, </w:t>
      </w:r>
      <w:r w:rsidRPr="00F56366" w:rsidR="00F56366">
        <w:rPr>
          <w:rFonts w:ascii="Palatino Linotype" w:hAnsi="Palatino Linotype" w:eastAsia="Batang" w:cs="Tahoma"/>
          <w:bCs/>
          <w:sz w:val="22"/>
          <w:szCs w:val="22"/>
        </w:rPr>
        <w:t>veintiocho</w:t>
      </w:r>
      <w:r w:rsidRPr="00F56366" w:rsidR="00841C86">
        <w:rPr>
          <w:rFonts w:ascii="Palatino Linotype" w:hAnsi="Palatino Linotype" w:eastAsia="Batang" w:cs="Tahoma"/>
          <w:bCs/>
          <w:sz w:val="22"/>
          <w:szCs w:val="22"/>
        </w:rPr>
        <w:t xml:space="preserve"> días hábiles posteriores a la notificación</w:t>
      </w:r>
      <w:r w:rsidRPr="00F56366" w:rsidR="00A24A79">
        <w:rPr>
          <w:rFonts w:ascii="Palatino Linotype" w:hAnsi="Palatino Linotype" w:eastAsia="Batang" w:cs="Tahoma"/>
          <w:bCs/>
          <w:sz w:val="22"/>
          <w:szCs w:val="22"/>
        </w:rPr>
        <w:t>,</w:t>
      </w:r>
      <w:r w:rsidRPr="00F56366">
        <w:rPr>
          <w:rFonts w:ascii="Palatino Linotype" w:hAnsi="Palatino Linotype" w:eastAsia="Batang" w:cs="Tahoma"/>
          <w:bCs/>
          <w:sz w:val="22"/>
          <w:szCs w:val="22"/>
        </w:rPr>
        <w:t xml:space="preserve"> </w:t>
      </w:r>
      <w:r w:rsidRPr="00F56366">
        <w:rPr>
          <w:rFonts w:ascii="Palatino Linotype" w:hAnsi="Palatino Linotype" w:eastAsia="Batang" w:cs="Tahoma"/>
          <w:b/>
          <w:bCs/>
          <w:sz w:val="22"/>
          <w:szCs w:val="22"/>
        </w:rPr>
        <w:t xml:space="preserve">resultando extemporánea la presentación del </w:t>
      </w:r>
      <w:r w:rsidRPr="00F56366" w:rsidR="00F838CE">
        <w:rPr>
          <w:rFonts w:ascii="Palatino Linotype" w:hAnsi="Palatino Linotype" w:eastAsia="Batang" w:cs="Tahoma"/>
          <w:b/>
          <w:bCs/>
          <w:sz w:val="22"/>
          <w:szCs w:val="22"/>
        </w:rPr>
        <w:t>M</w:t>
      </w:r>
      <w:r w:rsidRPr="00F56366">
        <w:rPr>
          <w:rFonts w:ascii="Palatino Linotype" w:hAnsi="Palatino Linotype" w:eastAsia="Batang" w:cs="Tahoma"/>
          <w:b/>
          <w:bCs/>
          <w:sz w:val="22"/>
          <w:szCs w:val="22"/>
        </w:rPr>
        <w:t xml:space="preserve">edio de </w:t>
      </w:r>
      <w:r w:rsidRPr="00F56366" w:rsidR="00F838CE">
        <w:rPr>
          <w:rFonts w:ascii="Palatino Linotype" w:hAnsi="Palatino Linotype" w:eastAsia="Batang" w:cs="Tahoma"/>
          <w:b/>
          <w:bCs/>
          <w:sz w:val="22"/>
          <w:szCs w:val="22"/>
        </w:rPr>
        <w:t>I</w:t>
      </w:r>
      <w:r w:rsidRPr="00F56366">
        <w:rPr>
          <w:rFonts w:ascii="Palatino Linotype" w:hAnsi="Palatino Linotype" w:eastAsia="Batang" w:cs="Tahoma"/>
          <w:b/>
          <w:bCs/>
          <w:sz w:val="22"/>
          <w:szCs w:val="22"/>
        </w:rPr>
        <w:t xml:space="preserve">mpugnación. </w:t>
      </w:r>
      <w:r w:rsidRPr="00F56366">
        <w:rPr>
          <w:rFonts w:ascii="Palatino Linotype" w:hAnsi="Palatino Linotype" w:cs="Arial"/>
          <w:bCs/>
          <w:color w:val="000000" w:themeColor="text1"/>
          <w:sz w:val="22"/>
          <w:szCs w:val="22"/>
          <w:lang w:val="es-ES"/>
        </w:rPr>
        <w:t>Dicha situación, se robustece, con el historial de la solicitud de información citado al rubro, localizado en el Sistema de Acceso a la Información Mexiquense (SAIMEX), tal como se muestra a continuación:</w:t>
      </w:r>
    </w:p>
    <w:p w:rsidR="00896C40" w:rsidP="00896C40" w:rsidRDefault="00896C40" w14:paraId="6010214A" w14:textId="04D4A760">
      <w:pPr>
        <w:pStyle w:val="Prrafodelista"/>
        <w:tabs>
          <w:tab w:val="left" w:pos="567"/>
        </w:tabs>
        <w:spacing w:line="360" w:lineRule="auto"/>
        <w:ind w:left="0"/>
        <w:contextualSpacing w:val="0"/>
        <w:jc w:val="center"/>
        <w:rPr>
          <w:rFonts w:ascii="Palatino Linotype" w:hAnsi="Palatino Linotype"/>
          <w:noProof/>
          <w:lang w:eastAsia="es-MX"/>
        </w:rPr>
      </w:pPr>
      <w:r w:rsidRPr="00C61C11">
        <w:rPr>
          <w:rFonts w:ascii="Palatino Linotype" w:hAnsi="Palatino Linotype"/>
          <w:noProof/>
          <w:lang w:eastAsia="es-MX"/>
        </w:rPr>
        <w:t xml:space="preserve"> </w:t>
      </w:r>
    </w:p>
    <w:p w:rsidRPr="00C61C11" w:rsidR="00764D7C" w:rsidP="00896C40" w:rsidRDefault="00764D7C" w14:paraId="5E9CF2BA" w14:textId="61B55F32">
      <w:pPr>
        <w:pStyle w:val="Prrafodelista"/>
        <w:tabs>
          <w:tab w:val="left" w:pos="567"/>
        </w:tabs>
        <w:spacing w:line="360" w:lineRule="auto"/>
        <w:ind w:left="0"/>
        <w:contextualSpacing w:val="0"/>
        <w:jc w:val="center"/>
        <w:rPr>
          <w:rFonts w:ascii="Palatino Linotype" w:hAnsi="Palatino Linotype" w:cs="Arial"/>
          <w:bCs/>
          <w:color w:val="000000" w:themeColor="text1"/>
          <w:szCs w:val="22"/>
          <w:lang w:val="es-ES"/>
        </w:rPr>
      </w:pPr>
      <w:r w:rsidRPr="00C61C11">
        <w:rPr>
          <w:rFonts w:ascii="Palatino Linotype" w:hAnsi="Palatino Linotype"/>
          <w:noProof/>
          <w:szCs w:val="22"/>
          <w:lang w:eastAsia="es-MX"/>
        </w:rPr>
        <mc:AlternateContent>
          <mc:Choice Requires="wps">
            <w:drawing>
              <wp:anchor distT="0" distB="0" distL="114300" distR="114300" simplePos="0" relativeHeight="251659264" behindDoc="0" locked="0" layoutInCell="1" allowOverlap="1" wp14:anchorId="342759D8" wp14:editId="42107F72">
                <wp:simplePos x="0" y="0"/>
                <wp:positionH relativeFrom="margin">
                  <wp:posOffset>1591945</wp:posOffset>
                </wp:positionH>
                <wp:positionV relativeFrom="paragraph">
                  <wp:posOffset>1085851</wp:posOffset>
                </wp:positionV>
                <wp:extent cx="2609850" cy="9334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2609850" cy="9334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style="position:absolute;margin-left:125.35pt;margin-top:85.5pt;width:205.5pt;height: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3pt" w14:anchorId="709C5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woQIAAJAFAAAOAAAAZHJzL2Uyb0RvYy54bWysVM1u2zAMvg/YOwi6r7bT9M+oUwQtOgwo&#10;uqLt0LMqS7EBWdQkJU72NnuWvdgoyXaCrthhmA8yJZIfxU8kL6+2nSIbYV0LuqLFUU6J0BzqVq8q&#10;+u359tM5Jc4zXTMFWlR0Jxy9Wnz8cNmbUsygAVULSxBEu7I3FW28N2WWOd6IjrkjMEKjUoLtmMet&#10;XWW1ZT2idyqb5flp1oOtjQUunMPTm6Ski4gvpeD+q5ROeKIqinfzcbVxfQ1rtrhk5coy07R8uAb7&#10;h1t0rNUYdIK6YZ6RtW3/gOpabsGB9EccugykbLmIOWA2Rf4mm6eGGRFzQXKcmWhy/w+W328eLGnr&#10;ip5RolmHT/SIpP36qVdrBeQsENQbV6Ldk3mww86hGLLdStuFP+ZBtpHU3USq2HrC8XB2ml+cnyD3&#10;HHUXx8dzlBEm23sb6/xnAR0JQkUtxo9css2d88l0NAnBNNy2SuE5K5UmfUWPz4s8jx4OVFsHbVDG&#10;GhLXypINw9f322KIe2CFt1AaLxNSTElFye+USPiPQiI7IY0UINTlHpNxLrQvkqphtUihTnL8xmCj&#10;R0xZaQQMyBIvOWEPAKNlAhmxEwGDfXAVsawn5yHzvzlPHjEyaD85d60G+15mCrMaIif7kaRETWDp&#10;Feod1o6F1FTO8NsWH/COOf/ALHYRvjlOBv8VF6kAHwoGiZIG7I/3zoM9FjdqKemxKyvqvq+ZFZSo&#10;LxrL/qKYz0Mbx8385GyGG3uoeT3U6HV3Dfj0Bc4gw6MY7L0aRWmhe8EBsgxRUcU0x9gV5d6Om2uf&#10;pgWOIC6Wy2iGrWuYv9NPhgfwwGoo0OftC7NmqGKP9X8PYwez8k0xJ9vgqWG59iDbWOl7Xge+se1j&#10;4QwjKsyVw3202g/SxW8AAAD//wMAUEsDBBQABgAIAAAAIQA1FsMC4AAAAAsBAAAPAAAAZHJzL2Rv&#10;d25yZXYueG1sTI/NTsMwEITvSH0Haytxo3YKpGmIU6FKHHugQahHN3Z+VHsdxU4beHqWExx35tPs&#10;TLGbnWVXM4beo4RkJYAZrL3usZXwUb09ZMBCVKiV9WgkfJkAu3JxV6hc+xu+m+sxtoxCMORKQhfj&#10;kHMe6s44FVZ+MEhe40enIp1jy/WobhTuLF8LkXKneqQPnRrMvjP15Tg5CSI7dbZ5Oth9dfiuTpdm&#10;+znhVsr75fz6AiyaOf7B8FufqkNJnc5+Qh2YlbB+FhtCydgkNIqINE1IOUt4TDIBvCz4/w3lDwAA&#10;AP//AwBQSwECLQAUAAYACAAAACEAtoM4kv4AAADhAQAAEwAAAAAAAAAAAAAAAAAAAAAAW0NvbnRl&#10;bnRfVHlwZXNdLnhtbFBLAQItABQABgAIAAAAIQA4/SH/1gAAAJQBAAALAAAAAAAAAAAAAAAAAC8B&#10;AABfcmVscy8ucmVsc1BLAQItABQABgAIAAAAIQC/FkwwoQIAAJAFAAAOAAAAAAAAAAAAAAAAAC4C&#10;AABkcnMvZTJvRG9jLnhtbFBLAQItABQABgAIAAAAIQA1FsMC4AAAAAsBAAAPAAAAAAAAAAAAAAAA&#10;APsEAABkcnMvZG93bnJldi54bWxQSwUGAAAAAAQABADzAAAACAYAAAAA&#10;">
                <w10:wrap anchorx="margin"/>
              </v:rect>
            </w:pict>
          </mc:Fallback>
        </mc:AlternateContent>
      </w:r>
      <w:r w:rsidRPr="00A24A79" w:rsidR="00A24A79">
        <w:rPr>
          <w:noProof/>
        </w:rPr>
        <w:t xml:space="preserve"> </w:t>
      </w:r>
      <w:r w:rsidRPr="00F56366" w:rsidR="00F56366">
        <w:rPr>
          <w:noProof/>
          <w:lang w:eastAsia="es-MX"/>
        </w:rPr>
        <w:drawing>
          <wp:inline distT="0" distB="0" distL="0" distR="0" wp14:anchorId="0611F29C" wp14:editId="39371EBD">
            <wp:extent cx="2744575" cy="2047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5032" cy="2063139"/>
                    </a:xfrm>
                    <a:prstGeom prst="rect">
                      <a:avLst/>
                    </a:prstGeom>
                  </pic:spPr>
                </pic:pic>
              </a:graphicData>
            </a:graphic>
          </wp:inline>
        </w:drawing>
      </w:r>
    </w:p>
    <w:p w:rsidR="00F56366" w:rsidP="00896C40" w:rsidRDefault="00F56366" w14:paraId="4746ECF8" w14:textId="77777777">
      <w:pPr>
        <w:spacing w:line="360" w:lineRule="auto"/>
        <w:jc w:val="both"/>
        <w:rPr>
          <w:rFonts w:ascii="Palatino Linotype" w:hAnsi="Palatino Linotype" w:cs="Tahoma"/>
          <w:bCs/>
          <w:color w:val="000000"/>
          <w:sz w:val="22"/>
          <w:szCs w:val="22"/>
        </w:rPr>
      </w:pPr>
    </w:p>
    <w:p w:rsidRPr="00C61C11" w:rsidR="00896C40" w:rsidP="00896C40" w:rsidRDefault="00896C40" w14:paraId="79332DD1" w14:textId="6FA02DDD">
      <w:pPr>
        <w:spacing w:line="360" w:lineRule="auto"/>
        <w:jc w:val="both"/>
        <w:rPr>
          <w:rFonts w:ascii="Palatino Linotype" w:hAnsi="Palatino Linotype" w:cs="Tahoma"/>
          <w:bCs/>
          <w:color w:val="000000"/>
          <w:sz w:val="22"/>
          <w:szCs w:val="22"/>
        </w:rPr>
      </w:pPr>
      <w:r w:rsidRPr="00C61C11">
        <w:rPr>
          <w:rFonts w:ascii="Palatino Linotype" w:hAnsi="Palatino Linotype" w:cs="Tahoma"/>
          <w:bCs/>
          <w:color w:val="000000"/>
          <w:sz w:val="22"/>
          <w:szCs w:val="22"/>
        </w:rPr>
        <w:t>En consecuencia, toda vez que</w:t>
      </w:r>
      <w:r w:rsidRPr="00C61C11" w:rsidR="00F838CE">
        <w:rPr>
          <w:rFonts w:ascii="Palatino Linotype" w:hAnsi="Palatino Linotype" w:cs="Tahoma"/>
          <w:bCs/>
          <w:color w:val="000000"/>
          <w:sz w:val="22"/>
          <w:szCs w:val="22"/>
        </w:rPr>
        <w:t xml:space="preserve">, en el presente caso, </w:t>
      </w:r>
      <w:r w:rsidRPr="00C61C11">
        <w:rPr>
          <w:rFonts w:ascii="Palatino Linotype" w:hAnsi="Palatino Linotype" w:cs="Tahoma"/>
          <w:bCs/>
          <w:color w:val="000000"/>
          <w:sz w:val="22"/>
          <w:szCs w:val="22"/>
        </w:rPr>
        <w:t>si hubo</w:t>
      </w:r>
      <w:r w:rsidR="00764D7C">
        <w:rPr>
          <w:rFonts w:ascii="Palatino Linotype" w:hAnsi="Palatino Linotype" w:cs="Tahoma"/>
          <w:bCs/>
          <w:color w:val="000000"/>
          <w:sz w:val="22"/>
          <w:szCs w:val="22"/>
        </w:rPr>
        <w:t xml:space="preserve"> </w:t>
      </w:r>
      <w:r w:rsidRPr="00C61C11">
        <w:rPr>
          <w:rFonts w:ascii="Palatino Linotype" w:hAnsi="Palatino Linotype" w:cs="Tahoma"/>
          <w:bCs/>
          <w:color w:val="000000"/>
          <w:sz w:val="22"/>
          <w:szCs w:val="22"/>
        </w:rPr>
        <w:t>respuesta al requerimiento informativo, por parte de</w:t>
      </w:r>
      <w:r w:rsidR="00764D7C">
        <w:rPr>
          <w:rFonts w:ascii="Palatino Linotype" w:hAnsi="Palatino Linotype" w:cs="Tahoma"/>
          <w:bCs/>
          <w:color w:val="000000"/>
          <w:sz w:val="22"/>
          <w:szCs w:val="22"/>
        </w:rPr>
        <w:t xml:space="preserve"> la </w:t>
      </w:r>
      <w:r w:rsidR="00696977">
        <w:rPr>
          <w:rFonts w:ascii="Palatino Linotype" w:hAnsi="Palatino Linotype" w:cs="Tahoma"/>
          <w:bCs/>
          <w:color w:val="000000"/>
          <w:sz w:val="22"/>
          <w:szCs w:val="22"/>
        </w:rPr>
        <w:t>Fiscalía General de Justicia del Estado de México</w:t>
      </w:r>
      <w:r w:rsidRPr="00C61C11" w:rsidR="00F838CE">
        <w:rPr>
          <w:rFonts w:ascii="Palatino Linotype" w:hAnsi="Palatino Linotype" w:cs="Tahoma"/>
          <w:bCs/>
          <w:color w:val="000000"/>
          <w:sz w:val="22"/>
          <w:szCs w:val="22"/>
        </w:rPr>
        <w:t xml:space="preserve">, </w:t>
      </w:r>
      <w:r w:rsidR="00D65AA4">
        <w:rPr>
          <w:rFonts w:ascii="Palatino Linotype" w:hAnsi="Palatino Linotype" w:cs="Tahoma"/>
          <w:bCs/>
          <w:color w:val="000000"/>
          <w:sz w:val="22"/>
          <w:szCs w:val="22"/>
        </w:rPr>
        <w:t xml:space="preserve">por la vía seleccionada por el Particular, </w:t>
      </w:r>
      <w:r w:rsidRPr="00C61C11" w:rsidR="00F838CE">
        <w:rPr>
          <w:rFonts w:ascii="Palatino Linotype" w:hAnsi="Palatino Linotype" w:cs="Tahoma"/>
          <w:bCs/>
          <w:color w:val="000000"/>
          <w:sz w:val="22"/>
          <w:szCs w:val="22"/>
        </w:rPr>
        <w:t>se advierte que</w:t>
      </w:r>
      <w:r w:rsidRPr="00C61C11">
        <w:rPr>
          <w:rFonts w:ascii="Palatino Linotype" w:hAnsi="Palatino Linotype" w:cs="Tahoma"/>
          <w:bCs/>
          <w:color w:val="000000"/>
          <w:sz w:val="22"/>
          <w:szCs w:val="22"/>
        </w:rPr>
        <w:t xml:space="preserve"> el Medio de Impugnación fue presentado de manera extemporánea.</w:t>
      </w:r>
    </w:p>
    <w:p w:rsidR="00896C40" w:rsidP="00896C40" w:rsidRDefault="00896C40" w14:paraId="133D5D0C" w14:textId="7878A802">
      <w:pPr>
        <w:spacing w:line="360" w:lineRule="auto"/>
        <w:jc w:val="both"/>
        <w:rPr>
          <w:rFonts w:ascii="Palatino Linotype" w:hAnsi="Palatino Linotype" w:cs="Tahoma"/>
          <w:bCs/>
          <w:color w:val="0D0D0D" w:themeColor="text1" w:themeTint="F2"/>
          <w:sz w:val="22"/>
          <w:szCs w:val="22"/>
        </w:rPr>
      </w:pPr>
      <w:r w:rsidRPr="00C61C11">
        <w:rPr>
          <w:rFonts w:ascii="Palatino Linotype" w:hAnsi="Palatino Linotype" w:cs="Tahoma"/>
          <w:bCs/>
          <w:color w:val="000000"/>
          <w:sz w:val="22"/>
          <w:szCs w:val="22"/>
        </w:rPr>
        <w:lastRenderedPageBreak/>
        <w:t xml:space="preserve">En ese sentido, toda vez que el Solicitante interpuso Recurso de Revisión, en fecha posterior al plazo establecido en el artículo 178 de la Ley de Transparencia y Acceso a la Información Pública del Estado de México y Municipios, se actualiza la causal de </w:t>
      </w:r>
      <w:proofErr w:type="spellStart"/>
      <w:r w:rsidRPr="00C61C11">
        <w:rPr>
          <w:rFonts w:ascii="Palatino Linotype" w:hAnsi="Palatino Linotype" w:cs="Tahoma"/>
          <w:bCs/>
          <w:color w:val="000000"/>
          <w:sz w:val="22"/>
          <w:szCs w:val="22"/>
        </w:rPr>
        <w:t>desechamiento</w:t>
      </w:r>
      <w:proofErr w:type="spellEnd"/>
      <w:r w:rsidRPr="00C61C11">
        <w:rPr>
          <w:rFonts w:ascii="Palatino Linotype" w:hAnsi="Palatino Linotype" w:cs="Tahoma"/>
          <w:bCs/>
          <w:color w:val="000000"/>
          <w:sz w:val="22"/>
          <w:szCs w:val="22"/>
        </w:rPr>
        <w:t xml:space="preserve"> establecida en el diverso 191, fracción I, </w:t>
      </w:r>
      <w:r w:rsidRPr="00C61C11">
        <w:rPr>
          <w:rFonts w:ascii="Palatino Linotype" w:hAnsi="Palatino Linotype" w:cs="Tahoma"/>
          <w:bCs/>
          <w:color w:val="000000"/>
          <w:sz w:val="22"/>
          <w:szCs w:val="22"/>
          <w:lang w:val="es-ES"/>
        </w:rPr>
        <w:t xml:space="preserve">de la Ley de la materia; sin embargo, toda vez que fue necesario admitir el Medio de Impugnación, para verificar </w:t>
      </w:r>
      <w:r w:rsidRPr="00C61C11" w:rsidR="00C61C11">
        <w:rPr>
          <w:rFonts w:ascii="Palatino Linotype" w:hAnsi="Palatino Linotype" w:cs="Tahoma"/>
          <w:bCs/>
          <w:color w:val="000000"/>
          <w:sz w:val="22"/>
          <w:szCs w:val="22"/>
          <w:lang w:val="es-ES"/>
        </w:rPr>
        <w:t>que el Particular haya tenido acceso a la respuesta</w:t>
      </w:r>
      <w:r w:rsidRPr="00C61C11">
        <w:rPr>
          <w:rFonts w:ascii="Palatino Linotype" w:hAnsi="Palatino Linotype" w:cs="Tahoma"/>
          <w:bCs/>
          <w:color w:val="0D0D0D" w:themeColor="text1" w:themeTint="F2"/>
          <w:sz w:val="22"/>
          <w:szCs w:val="22"/>
        </w:rPr>
        <w:t xml:space="preserve">, lo procedente es </w:t>
      </w:r>
      <w:r w:rsidRPr="00C61C11">
        <w:rPr>
          <w:rFonts w:ascii="Palatino Linotype" w:hAnsi="Palatino Linotype" w:cs="Tahoma"/>
          <w:b/>
          <w:bCs/>
          <w:color w:val="0D0D0D" w:themeColor="text1" w:themeTint="F2"/>
          <w:sz w:val="22"/>
          <w:szCs w:val="22"/>
        </w:rPr>
        <w:t xml:space="preserve">SOBRESEER </w:t>
      </w:r>
      <w:r w:rsidRPr="00C61C11">
        <w:rPr>
          <w:rFonts w:ascii="Palatino Linotype" w:hAnsi="Palatino Linotype" w:cs="Tahoma"/>
          <w:bCs/>
          <w:color w:val="0D0D0D" w:themeColor="text1" w:themeTint="F2"/>
          <w:sz w:val="22"/>
          <w:szCs w:val="22"/>
        </w:rPr>
        <w:t>el mismo.</w:t>
      </w:r>
    </w:p>
    <w:p w:rsidR="00A24A79" w:rsidP="00896C40" w:rsidRDefault="00A24A79" w14:paraId="47D25AD9" w14:textId="6BF41610">
      <w:pPr>
        <w:spacing w:line="360" w:lineRule="auto"/>
        <w:jc w:val="both"/>
        <w:rPr>
          <w:rFonts w:ascii="Palatino Linotype" w:hAnsi="Palatino Linotype" w:cs="Tahoma"/>
          <w:bCs/>
          <w:color w:val="0D0D0D" w:themeColor="text1" w:themeTint="F2"/>
          <w:sz w:val="22"/>
          <w:szCs w:val="22"/>
        </w:rPr>
      </w:pPr>
    </w:p>
    <w:p w:rsidR="00A408E7" w:rsidP="00A408E7" w:rsidRDefault="00A408E7" w14:paraId="65C2EE67" w14:textId="77777777">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CUARTO. Decisión. </w:t>
      </w:r>
    </w:p>
    <w:p w:rsidR="00A408E7" w:rsidP="00A408E7" w:rsidRDefault="00A408E7" w14:paraId="0240C388" w14:textId="77777777">
      <w:pPr>
        <w:spacing w:line="360" w:lineRule="auto"/>
        <w:jc w:val="both"/>
        <w:rPr>
          <w:rFonts w:ascii="Palatino Linotype" w:hAnsi="Palatino Linotype" w:cs="Tahoma"/>
          <w:b/>
          <w:sz w:val="22"/>
          <w:szCs w:val="22"/>
          <w:lang w:val="es-ES"/>
        </w:rPr>
      </w:pPr>
    </w:p>
    <w:p w:rsidRPr="008A627A" w:rsidR="00A408E7" w:rsidP="00A408E7" w:rsidRDefault="00A408E7" w14:paraId="0999F148" w14:textId="180543DF">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sidRPr="00961CCC">
        <w:rPr>
          <w:rFonts w:ascii="Palatino Linotype" w:hAnsi="Palatino Linotype" w:cs="Tahoma"/>
          <w:sz w:val="22"/>
          <w:szCs w:val="22"/>
          <w:lang w:val="es-ES"/>
        </w:rPr>
        <w:t xml:space="preserve">el </w:t>
      </w:r>
      <w:r>
        <w:rPr>
          <w:rFonts w:ascii="Palatino Linotype" w:hAnsi="Palatino Linotype" w:cs="Tahoma"/>
          <w:sz w:val="22"/>
          <w:szCs w:val="22"/>
          <w:lang w:val="es-ES"/>
        </w:rPr>
        <w:t>Recurso de R</w:t>
      </w:r>
      <w:r w:rsidRPr="00961CCC">
        <w:rPr>
          <w:rFonts w:ascii="Palatino Linotype" w:hAnsi="Palatino Linotype" w:cs="Tahoma"/>
          <w:sz w:val="22"/>
          <w:szCs w:val="22"/>
          <w:lang w:val="es-ES"/>
        </w:rPr>
        <w:t>evisión</w:t>
      </w:r>
      <w:r w:rsidR="00886002">
        <w:rPr>
          <w:rFonts w:ascii="Palatino Linotype" w:hAnsi="Palatino Linotype" w:cs="Tahoma"/>
          <w:sz w:val="22"/>
          <w:szCs w:val="22"/>
          <w:lang w:val="es-ES"/>
        </w:rPr>
        <w:t xml:space="preserve"> </w:t>
      </w:r>
      <w:r w:rsidR="00696977">
        <w:rPr>
          <w:rFonts w:ascii="Palatino Linotype" w:hAnsi="Palatino Linotype" w:eastAsia="Calibri" w:cs="Tahoma"/>
          <w:sz w:val="22"/>
          <w:szCs w:val="22"/>
        </w:rPr>
        <w:t>00116/INFOEM/IP/RR/2023</w:t>
      </w:r>
      <w:r w:rsidRPr="00961CCC">
        <w:rPr>
          <w:rFonts w:ascii="Palatino Linotype" w:hAnsi="Palatino Linotype" w:cs="Tahoma"/>
          <w:sz w:val="22"/>
          <w:szCs w:val="22"/>
          <w:lang w:val="es-ES"/>
        </w:rPr>
        <w:t>,</w:t>
      </w:r>
      <w:r>
        <w:rPr>
          <w:rFonts w:ascii="Palatino Linotype" w:hAnsi="Palatino Linotype" w:cs="Tahoma"/>
          <w:sz w:val="22"/>
          <w:szCs w:val="22"/>
          <w:lang w:val="es-ES"/>
        </w:rPr>
        <w:t xml:space="preserve"> en virtud de que se actualiza la hipótesis normativa prevista en la fracción IV, del diverso 192, en relación, con el 191, fracción I, ambos del citado ordenamiento legal.</w:t>
      </w:r>
    </w:p>
    <w:p w:rsidR="00977B7D" w:rsidP="00977B7D" w:rsidRDefault="00977B7D" w14:paraId="1B26857C" w14:textId="7DBBF7B6">
      <w:pPr>
        <w:spacing w:line="360" w:lineRule="auto"/>
        <w:jc w:val="both"/>
        <w:rPr>
          <w:rFonts w:ascii="Palatino Linotype" w:hAnsi="Palatino Linotype" w:eastAsia="Calibri" w:cs="Tahoma"/>
          <w:b/>
          <w:bCs/>
          <w:sz w:val="22"/>
          <w:szCs w:val="22"/>
          <w:lang w:val="es-ES_tradnl" w:eastAsia="en-US"/>
        </w:rPr>
      </w:pPr>
    </w:p>
    <w:p w:rsidRPr="00AE5AE5" w:rsidR="00AE5AE5" w:rsidP="00AE5AE5" w:rsidRDefault="00AE5AE5" w14:paraId="26DAE051" w14:textId="77777777">
      <w:pPr>
        <w:spacing w:line="360" w:lineRule="auto"/>
        <w:jc w:val="both"/>
        <w:rPr>
          <w:rFonts w:ascii="Palatino Linotype" w:hAnsi="Palatino Linotype" w:eastAsiaTheme="minorHAnsi" w:cstheme="minorBidi"/>
          <w:b/>
          <w:bCs/>
          <w:iCs/>
          <w:color w:val="000000" w:themeColor="text1"/>
          <w:sz w:val="22"/>
          <w:szCs w:val="22"/>
          <w:lang w:val="es-ES" w:eastAsia="en-US"/>
        </w:rPr>
      </w:pPr>
      <w:r w:rsidRPr="00AE5AE5">
        <w:rPr>
          <w:rFonts w:ascii="Palatino Linotype" w:hAnsi="Palatino Linotype" w:eastAsiaTheme="minorHAnsi" w:cstheme="minorBidi"/>
          <w:b/>
          <w:bCs/>
          <w:iCs/>
          <w:color w:val="000000" w:themeColor="text1"/>
          <w:sz w:val="22"/>
          <w:szCs w:val="22"/>
          <w:lang w:val="es-ES" w:eastAsia="en-US"/>
        </w:rPr>
        <w:t>Términos de la Resolución para conocimiento del Particular.</w:t>
      </w:r>
    </w:p>
    <w:p w:rsidRPr="00AE5AE5" w:rsidR="00AE5AE5" w:rsidP="00AE5AE5" w:rsidRDefault="00AE5AE5" w14:paraId="35DC4032"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AE5AE5" w:rsidR="00AE5AE5" w:rsidP="00AE5AE5" w:rsidRDefault="00AE5AE5" w14:paraId="5D977D8D" w14:textId="0446EA67">
      <w:pPr>
        <w:spacing w:line="360" w:lineRule="auto"/>
        <w:jc w:val="both"/>
        <w:rPr>
          <w:rFonts w:ascii="Palatino Linotype" w:hAnsi="Palatino Linotype" w:eastAsiaTheme="minorHAnsi" w:cstheme="minorBidi"/>
          <w:bCs/>
          <w:iCs/>
          <w:color w:val="000000" w:themeColor="text1"/>
          <w:sz w:val="22"/>
          <w:szCs w:val="22"/>
          <w:lang w:eastAsia="en-US"/>
        </w:rPr>
      </w:pPr>
      <w:r w:rsidRPr="00AE5AE5">
        <w:rPr>
          <w:rFonts w:ascii="Palatino Linotype" w:hAnsi="Palatino Linotype" w:eastAsiaTheme="minorHAnsi" w:cstheme="minorBidi"/>
          <w:bCs/>
          <w:color w:val="000000" w:themeColor="text1"/>
          <w:sz w:val="22"/>
          <w:szCs w:val="22"/>
          <w:lang w:val="es-ES" w:eastAsia="en-US"/>
        </w:rPr>
        <w:t>Se le hace del conocimiento al Particular, que</w:t>
      </w:r>
      <w:r>
        <w:rPr>
          <w:rFonts w:ascii="Palatino Linotype" w:hAnsi="Palatino Linotype" w:eastAsiaTheme="minorHAnsi" w:cstheme="minorBidi"/>
          <w:bCs/>
          <w:color w:val="000000" w:themeColor="text1"/>
          <w:sz w:val="22"/>
          <w:szCs w:val="22"/>
          <w:lang w:val="es-ES" w:eastAsia="en-US"/>
        </w:rPr>
        <w:t xml:space="preserve"> </w:t>
      </w:r>
      <w:r w:rsidRPr="00AE5AE5">
        <w:rPr>
          <w:rFonts w:ascii="Palatino Linotype" w:hAnsi="Palatino Linotype" w:eastAsiaTheme="minorHAnsi" w:cstheme="minorBidi"/>
          <w:bCs/>
          <w:color w:val="000000" w:themeColor="text1"/>
          <w:sz w:val="22"/>
          <w:szCs w:val="22"/>
          <w:lang w:val="es-ES" w:eastAsia="en-US"/>
        </w:rPr>
        <w:t xml:space="preserve">presentó su Recurso de Revisión, una vez fenecido el plazo para realizar dicha acción, pues solamente contaba con quince días hábiles posteriores </w:t>
      </w:r>
      <w:r>
        <w:rPr>
          <w:rFonts w:ascii="Palatino Linotype" w:hAnsi="Palatino Linotype" w:eastAsiaTheme="minorHAnsi" w:cstheme="minorBidi"/>
          <w:bCs/>
          <w:color w:val="000000" w:themeColor="text1"/>
          <w:sz w:val="22"/>
          <w:szCs w:val="22"/>
          <w:lang w:val="es-ES" w:eastAsia="en-US"/>
        </w:rPr>
        <w:t>a la notificación de la respuesta</w:t>
      </w:r>
      <w:r w:rsidR="000E321B">
        <w:rPr>
          <w:rFonts w:ascii="Palatino Linotype" w:hAnsi="Palatino Linotype" w:eastAsiaTheme="minorHAnsi" w:cstheme="minorBidi"/>
          <w:bCs/>
          <w:color w:val="000000" w:themeColor="text1"/>
          <w:sz w:val="22"/>
          <w:szCs w:val="22"/>
          <w:lang w:val="es-ES" w:eastAsia="en-US"/>
        </w:rPr>
        <w:t>.</w:t>
      </w:r>
      <w:r w:rsidR="00F56366">
        <w:rPr>
          <w:rFonts w:ascii="Palatino Linotype" w:hAnsi="Palatino Linotype" w:eastAsiaTheme="minorHAnsi" w:cstheme="minorBidi"/>
          <w:bCs/>
          <w:color w:val="000000" w:themeColor="text1"/>
          <w:sz w:val="22"/>
          <w:szCs w:val="22"/>
          <w:lang w:val="es-ES" w:eastAsia="en-US"/>
        </w:rPr>
        <w:t xml:space="preserve"> </w:t>
      </w:r>
      <w:r w:rsidRPr="00AE5AE5">
        <w:rPr>
          <w:rFonts w:ascii="Palatino Linotype" w:hAnsi="Palatino Linotype" w:eastAsiaTheme="minorHAnsi" w:cstheme="minorBidi"/>
          <w:bCs/>
          <w:iCs/>
          <w:color w:val="000000" w:themeColor="text1"/>
          <w:sz w:val="22"/>
          <w:szCs w:val="22"/>
          <w:lang w:eastAsia="en-US"/>
        </w:rPr>
        <w:t xml:space="preserve">Finalmente, </w:t>
      </w:r>
      <w:r w:rsidR="00D65AA4">
        <w:rPr>
          <w:rFonts w:ascii="Palatino Linotype" w:hAnsi="Palatino Linotype" w:eastAsiaTheme="minorHAnsi" w:cstheme="minorBidi"/>
          <w:bCs/>
          <w:iCs/>
          <w:color w:val="000000" w:themeColor="text1"/>
          <w:sz w:val="22"/>
          <w:szCs w:val="22"/>
          <w:lang w:eastAsia="en-US"/>
        </w:rPr>
        <w:t>se le informa que la labor del Instituto de Transparencia, Acceso a la Información Pública y Protección de Datos Personales del Estado de México y Municipios</w:t>
      </w:r>
      <w:r w:rsidRPr="00AE5AE5">
        <w:rPr>
          <w:rFonts w:ascii="Palatino Linotype" w:hAnsi="Palatino Linotype" w:eastAsiaTheme="minorHAnsi" w:cstheme="minorBidi"/>
          <w:bCs/>
          <w:iCs/>
          <w:color w:val="000000" w:themeColor="text1"/>
          <w:sz w:val="22"/>
          <w:szCs w:val="22"/>
          <w:lang w:eastAsia="en-US"/>
        </w:rPr>
        <w:t>, es apoyar a la población a acceder a la información pública y garantizar la protección de sus datos personales.</w:t>
      </w:r>
    </w:p>
    <w:p w:rsidR="00AE5AE5" w:rsidP="00977B7D" w:rsidRDefault="00AE5AE5" w14:paraId="703F6CCD" w14:textId="77777777">
      <w:pPr>
        <w:spacing w:line="360" w:lineRule="auto"/>
        <w:ind w:right="-93"/>
        <w:jc w:val="both"/>
        <w:rPr>
          <w:rFonts w:ascii="Palatino Linotype" w:hAnsi="Palatino Linotype" w:eastAsia="Calibri" w:cs="Tahoma"/>
          <w:bCs/>
          <w:sz w:val="22"/>
          <w:szCs w:val="22"/>
          <w:lang w:eastAsia="en-US"/>
        </w:rPr>
      </w:pPr>
    </w:p>
    <w:p w:rsidRPr="00C61C11" w:rsidR="00977B7D" w:rsidP="00977B7D" w:rsidRDefault="00977B7D" w14:paraId="2FDB945B" w14:textId="1E34F248">
      <w:pPr>
        <w:spacing w:line="360" w:lineRule="auto"/>
        <w:ind w:right="-93"/>
        <w:jc w:val="both"/>
        <w:rPr>
          <w:rFonts w:ascii="Palatino Linotype" w:hAnsi="Palatino Linotype" w:eastAsia="Calibri" w:cs="Tahoma"/>
          <w:bCs/>
          <w:sz w:val="22"/>
          <w:szCs w:val="22"/>
          <w:lang w:eastAsia="en-US"/>
        </w:rPr>
      </w:pPr>
      <w:r w:rsidRPr="00C61C11">
        <w:rPr>
          <w:rFonts w:ascii="Palatino Linotype" w:hAnsi="Palatino Linotype" w:eastAsia="Calibri" w:cs="Tahoma"/>
          <w:bCs/>
          <w:sz w:val="22"/>
          <w:szCs w:val="22"/>
          <w:lang w:eastAsia="en-US"/>
        </w:rPr>
        <w:t>Por lo expuesto y fundado, este Pleno:</w:t>
      </w:r>
    </w:p>
    <w:p w:rsidRPr="00C61C11" w:rsidR="00D65AA4" w:rsidP="00AF6ADC" w:rsidRDefault="00D65AA4" w14:paraId="0135B53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C61C11" w:rsidR="00B03EDE" w:rsidP="00AF6ADC" w:rsidRDefault="00B03EDE" w14:paraId="36DA8DE3" w14:textId="77777777">
      <w:pPr>
        <w:spacing w:line="360" w:lineRule="auto"/>
        <w:ind w:right="-28"/>
        <w:jc w:val="center"/>
        <w:rPr>
          <w:rFonts w:ascii="Palatino Linotype" w:hAnsi="Palatino Linotype" w:eastAsia="Calibri" w:cs="Tahoma"/>
          <w:b/>
          <w:bCs/>
          <w:sz w:val="22"/>
          <w:szCs w:val="22"/>
        </w:rPr>
      </w:pPr>
      <w:r w:rsidRPr="00C61C11">
        <w:rPr>
          <w:rFonts w:ascii="Palatino Linotype" w:hAnsi="Palatino Linotype" w:eastAsia="Calibri" w:cs="Tahoma"/>
          <w:b/>
          <w:bCs/>
          <w:sz w:val="22"/>
          <w:szCs w:val="22"/>
        </w:rPr>
        <w:lastRenderedPageBreak/>
        <w:t>R E S U E L V E:</w:t>
      </w:r>
    </w:p>
    <w:p w:rsidRPr="00C61C11" w:rsidR="00B03EDE" w:rsidP="00AF6ADC" w:rsidRDefault="00B03EDE" w14:paraId="7981FCC7" w14:textId="77777777">
      <w:pPr>
        <w:spacing w:line="360" w:lineRule="auto"/>
        <w:rPr>
          <w:rFonts w:ascii="Palatino Linotype" w:hAnsi="Palatino Linotype"/>
          <w:sz w:val="22"/>
          <w:szCs w:val="22"/>
          <w:lang w:val="es-ES" w:eastAsia="es-ES_tradnl"/>
        </w:rPr>
      </w:pPr>
    </w:p>
    <w:p w:rsidR="00A408E7" w:rsidP="00A408E7" w:rsidRDefault="00A408E7" w14:paraId="100F3DD7" w14:textId="0E60346C">
      <w:pPr>
        <w:spacing w:line="360" w:lineRule="auto"/>
        <w:jc w:val="both"/>
        <w:rPr>
          <w:rFonts w:ascii="Palatino Linotype" w:hAnsi="Palatino Linotype" w:cs="Arial"/>
          <w:bCs/>
          <w:color w:val="000000" w:themeColor="text1"/>
          <w:sz w:val="22"/>
          <w:szCs w:val="22"/>
          <w:lang w:val="es-ES"/>
        </w:rPr>
      </w:pPr>
      <w:r w:rsidRPr="00F143B3">
        <w:rPr>
          <w:rFonts w:ascii="Palatino Linotype" w:hAnsi="Palatino Linotype" w:cs="Arial"/>
          <w:b/>
          <w:bCs/>
          <w:color w:val="000000" w:themeColor="text1"/>
          <w:sz w:val="22"/>
          <w:szCs w:val="22"/>
          <w:lang w:val="es-ES"/>
        </w:rPr>
        <w:t xml:space="preserve">PRIMERO. </w:t>
      </w:r>
      <w:r w:rsidRPr="00D65AA4" w:rsidR="00D65AA4">
        <w:rPr>
          <w:rFonts w:ascii="Palatino Linotype" w:hAnsi="Palatino Linotype" w:cs="Arial"/>
          <w:bCs/>
          <w:color w:val="000000" w:themeColor="text1"/>
          <w:sz w:val="22"/>
          <w:szCs w:val="22"/>
          <w:lang w:val="es-ES"/>
        </w:rPr>
        <w:t xml:space="preserve">Se </w:t>
      </w:r>
      <w:r w:rsidRPr="00D65AA4" w:rsidR="00D65AA4">
        <w:rPr>
          <w:rFonts w:ascii="Palatino Linotype" w:hAnsi="Palatino Linotype" w:cs="Arial"/>
          <w:b/>
          <w:bCs/>
          <w:color w:val="000000" w:themeColor="text1"/>
          <w:sz w:val="22"/>
          <w:szCs w:val="22"/>
          <w:lang w:val="es-ES"/>
        </w:rPr>
        <w:t>SOBRESEE</w:t>
      </w:r>
      <w:r w:rsidRPr="00D65AA4" w:rsidR="00D65AA4">
        <w:rPr>
          <w:rFonts w:ascii="Palatino Linotype" w:hAnsi="Palatino Linotype" w:cs="Arial"/>
          <w:bCs/>
          <w:color w:val="000000" w:themeColor="text1"/>
          <w:sz w:val="22"/>
          <w:szCs w:val="22"/>
          <w:lang w:val="es-ES"/>
        </w:rPr>
        <w:t xml:space="preserve"> el Recurso de Revisión número </w:t>
      </w:r>
      <w:r w:rsidR="00696977">
        <w:rPr>
          <w:rFonts w:ascii="Palatino Linotype" w:hAnsi="Palatino Linotype" w:cs="Arial"/>
          <w:b/>
          <w:bCs/>
          <w:color w:val="000000" w:themeColor="text1"/>
          <w:sz w:val="22"/>
          <w:szCs w:val="22"/>
        </w:rPr>
        <w:t>00116/INFOEM/IP/RR/2023</w:t>
      </w:r>
      <w:r w:rsidRPr="007F2507" w:rsidR="00D65AA4">
        <w:rPr>
          <w:rFonts w:ascii="Palatino Linotype" w:hAnsi="Palatino Linotype" w:cs="Arial"/>
          <w:b/>
          <w:bCs/>
          <w:color w:val="000000" w:themeColor="text1"/>
          <w:sz w:val="22"/>
          <w:szCs w:val="22"/>
          <w:lang w:val="es-ES"/>
        </w:rPr>
        <w:t>,</w:t>
      </w:r>
      <w:r w:rsidRPr="00D65AA4" w:rsidR="00D65AA4">
        <w:rPr>
          <w:rFonts w:ascii="Palatino Linotype" w:hAnsi="Palatino Linotype" w:cs="Arial"/>
          <w:bCs/>
          <w:color w:val="000000" w:themeColor="text1"/>
          <w:sz w:val="22"/>
          <w:szCs w:val="22"/>
        </w:rPr>
        <w:t xml:space="preserve"> </w:t>
      </w:r>
      <w:r w:rsidRPr="00D65AA4" w:rsidR="00D65AA4">
        <w:rPr>
          <w:rFonts w:ascii="Palatino Linotype" w:hAnsi="Palatino Linotype" w:cs="Arial"/>
          <w:bCs/>
          <w:color w:val="000000" w:themeColor="text1"/>
          <w:sz w:val="22"/>
          <w:szCs w:val="22"/>
          <w:lang w:val="es-ES"/>
        </w:rPr>
        <w:t>en términos del artículo 192, fracción IV, de la Ley de Transparencia y Acceso a la Información Pública del Estado de México y Municipios, por actualizarse la causal de improcedencia establecida en la fracción I, del diverso 191</w:t>
      </w:r>
      <w:r w:rsidR="007F2507">
        <w:rPr>
          <w:rFonts w:ascii="Palatino Linotype" w:hAnsi="Palatino Linotype" w:cs="Arial"/>
          <w:bCs/>
          <w:color w:val="000000" w:themeColor="text1"/>
          <w:sz w:val="22"/>
          <w:szCs w:val="22"/>
          <w:lang w:val="es-ES"/>
        </w:rPr>
        <w:t>,</w:t>
      </w:r>
      <w:r w:rsidRPr="00D65AA4" w:rsidR="00D65AA4">
        <w:rPr>
          <w:rFonts w:ascii="Palatino Linotype" w:hAnsi="Palatino Linotype" w:cs="Arial"/>
          <w:bCs/>
          <w:color w:val="000000" w:themeColor="text1"/>
          <w:sz w:val="22"/>
          <w:szCs w:val="22"/>
          <w:lang w:val="es-ES"/>
        </w:rPr>
        <w:t xml:space="preserve"> de dicho ordenamiento jurídico, de conformidad con los Considerandos TERCERO y CUARTO de la presente Resolución.</w:t>
      </w:r>
    </w:p>
    <w:p w:rsidRPr="00C61C11" w:rsidR="00156E72" w:rsidP="00977B7D" w:rsidRDefault="00156E72" w14:paraId="45225D22" w14:textId="2B10EE44">
      <w:pPr>
        <w:spacing w:line="360" w:lineRule="auto"/>
        <w:jc w:val="both"/>
        <w:rPr>
          <w:rFonts w:ascii="Palatino Linotype" w:hAnsi="Palatino Linotype" w:cs="Tahoma"/>
          <w:szCs w:val="22"/>
        </w:rPr>
      </w:pPr>
    </w:p>
    <w:p w:rsidR="00B03EDE" w:rsidP="00F57C4C" w:rsidRDefault="00977B7D" w14:paraId="48C0A47F" w14:textId="6E8E27C7">
      <w:pPr>
        <w:spacing w:line="360" w:lineRule="auto"/>
        <w:jc w:val="both"/>
        <w:rPr>
          <w:rFonts w:ascii="Palatino Linotype" w:hAnsi="Palatino Linotype" w:cs="Tahoma"/>
          <w:sz w:val="22"/>
          <w:szCs w:val="22"/>
        </w:rPr>
      </w:pPr>
      <w:r w:rsidRPr="00C61C11">
        <w:rPr>
          <w:rFonts w:ascii="Palatino Linotype" w:hAnsi="Palatino Linotype" w:eastAsia="Calibri" w:cs="Tahoma"/>
          <w:b/>
          <w:bCs/>
          <w:sz w:val="22"/>
          <w:szCs w:val="22"/>
          <w:lang w:eastAsia="en-US"/>
        </w:rPr>
        <w:t>SEGUNDO.</w:t>
      </w:r>
      <w:r w:rsidRPr="00C61C11">
        <w:rPr>
          <w:rFonts w:ascii="Palatino Linotype" w:hAnsi="Palatino Linotype" w:eastAsia="Calibri" w:cs="Tahoma"/>
          <w:sz w:val="22"/>
          <w:szCs w:val="22"/>
          <w:lang w:eastAsia="es-MX"/>
        </w:rPr>
        <w:t xml:space="preserve">  </w:t>
      </w:r>
      <w:r w:rsidRPr="00C61C11">
        <w:rPr>
          <w:rFonts w:ascii="Palatino Linotype" w:hAnsi="Palatino Linotype" w:cs="Tahoma"/>
          <w:b/>
          <w:sz w:val="22"/>
          <w:szCs w:val="22"/>
        </w:rPr>
        <w:t xml:space="preserve">NOTIFÍQUESE </w:t>
      </w:r>
      <w:r w:rsidRPr="00C61C11">
        <w:rPr>
          <w:rFonts w:ascii="Palatino Linotype" w:hAnsi="Palatino Linotype" w:cs="Tahoma"/>
          <w:sz w:val="22"/>
          <w:szCs w:val="22"/>
        </w:rPr>
        <w:t xml:space="preserve">la </w:t>
      </w:r>
      <w:r w:rsidR="00F965D0">
        <w:rPr>
          <w:rFonts w:ascii="Palatino Linotype" w:hAnsi="Palatino Linotype" w:cs="Tahoma"/>
          <w:sz w:val="22"/>
          <w:szCs w:val="22"/>
        </w:rPr>
        <w:t xml:space="preserve">presente </w:t>
      </w:r>
      <w:r w:rsidRPr="00C61C11">
        <w:rPr>
          <w:rFonts w:ascii="Palatino Linotype" w:hAnsi="Palatino Linotype" w:cs="Tahoma"/>
          <w:sz w:val="22"/>
          <w:szCs w:val="22"/>
        </w:rPr>
        <w:t>resolución al Titular de la Unidad de Transparencia del</w:t>
      </w:r>
      <w:r w:rsidR="00F965D0">
        <w:rPr>
          <w:rFonts w:ascii="Palatino Linotype" w:hAnsi="Palatino Linotype" w:cs="Tahoma"/>
          <w:sz w:val="22"/>
          <w:szCs w:val="22"/>
        </w:rPr>
        <w:t xml:space="preserve"> Sujeto Obligado</w:t>
      </w:r>
      <w:r w:rsidR="00F57C4C">
        <w:rPr>
          <w:rFonts w:ascii="Palatino Linotype" w:hAnsi="Palatino Linotype" w:cs="Tahoma"/>
          <w:sz w:val="22"/>
          <w:szCs w:val="22"/>
        </w:rPr>
        <w:t>.</w:t>
      </w:r>
    </w:p>
    <w:p w:rsidRPr="00C61C11" w:rsidR="00F57C4C" w:rsidP="00F57C4C" w:rsidRDefault="00F57C4C" w14:paraId="616EF56A" w14:textId="77777777">
      <w:pPr>
        <w:spacing w:line="360" w:lineRule="auto"/>
        <w:jc w:val="both"/>
        <w:rPr>
          <w:rFonts w:ascii="Palatino Linotype" w:hAnsi="Palatino Linotype" w:cs="Tahoma"/>
          <w:sz w:val="22"/>
          <w:szCs w:val="22"/>
        </w:rPr>
      </w:pPr>
    </w:p>
    <w:p w:rsidRPr="00C61C11" w:rsidR="00B03EDE" w:rsidP="00AF6ADC" w:rsidRDefault="00A408E7" w14:paraId="217365B8" w14:textId="6460389F">
      <w:pPr>
        <w:spacing w:line="360" w:lineRule="auto"/>
        <w:ind w:right="-93"/>
        <w:jc w:val="both"/>
        <w:rPr>
          <w:rFonts w:ascii="Palatino Linotype" w:hAnsi="Palatino Linotype" w:cs="Tahoma"/>
          <w:sz w:val="22"/>
          <w:szCs w:val="22"/>
        </w:rPr>
      </w:pPr>
      <w:r>
        <w:rPr>
          <w:rFonts w:ascii="Palatino Linotype" w:hAnsi="Palatino Linotype" w:eastAsia="Calibri" w:cs="Tahoma"/>
          <w:b/>
          <w:sz w:val="22"/>
          <w:szCs w:val="22"/>
          <w:lang w:eastAsia="es-MX"/>
        </w:rPr>
        <w:t>TERCERO</w:t>
      </w:r>
      <w:r w:rsidRPr="00C61C11" w:rsidR="00B03EDE">
        <w:rPr>
          <w:rFonts w:ascii="Palatino Linotype" w:hAnsi="Palatino Linotype" w:eastAsia="Calibri" w:cs="Tahoma"/>
          <w:b/>
          <w:bCs/>
          <w:sz w:val="22"/>
          <w:szCs w:val="22"/>
          <w:lang w:eastAsia="en-US"/>
        </w:rPr>
        <w:t>.</w:t>
      </w:r>
      <w:r w:rsidRPr="00C61C11" w:rsidR="00B03EDE">
        <w:rPr>
          <w:rFonts w:ascii="Palatino Linotype" w:hAnsi="Palatino Linotype" w:eastAsia="Calibri" w:cs="Tahoma"/>
          <w:sz w:val="22"/>
          <w:szCs w:val="22"/>
          <w:lang w:eastAsia="es-MX"/>
        </w:rPr>
        <w:t xml:space="preserve"> </w:t>
      </w:r>
      <w:r w:rsidRPr="00C61C11" w:rsidR="00B03EDE">
        <w:rPr>
          <w:rFonts w:ascii="Palatino Linotype" w:hAnsi="Palatino Linotype" w:cs="Tahoma"/>
          <w:b/>
          <w:sz w:val="22"/>
          <w:szCs w:val="22"/>
        </w:rPr>
        <w:t>NOTIFÍQUESE</w:t>
      </w:r>
      <w:r w:rsidRPr="00C61C11" w:rsidR="00B03EDE">
        <w:rPr>
          <w:rFonts w:ascii="Palatino Linotype" w:hAnsi="Palatino Linotype" w:cs="Tahoma"/>
          <w:sz w:val="22"/>
          <w:szCs w:val="22"/>
        </w:rPr>
        <w:t xml:space="preserve"> al Recurrente la presente Resolución</w:t>
      </w:r>
      <w:r w:rsidRPr="00C61C11" w:rsidR="00AF6ADC">
        <w:rPr>
          <w:rFonts w:ascii="Palatino Linotype" w:hAnsi="Palatino Linotype" w:cs="Tahoma"/>
          <w:sz w:val="22"/>
          <w:szCs w:val="22"/>
        </w:rPr>
        <w:t>, través del Sistema de Acceso a la Información Mexiquense (SAIMEX)</w:t>
      </w:r>
      <w:r w:rsidRPr="00C61C11" w:rsidR="00B03EDE">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61C11" w:rsidR="00954468" w:rsidP="00AF6ADC" w:rsidRDefault="00954468" w14:paraId="2A89A674" w14:textId="77777777">
      <w:pPr>
        <w:spacing w:line="360" w:lineRule="auto"/>
        <w:ind w:right="-93"/>
        <w:jc w:val="both"/>
        <w:rPr>
          <w:rFonts w:ascii="Palatino Linotype" w:hAnsi="Palatino Linotype" w:cs="Tahoma"/>
          <w:sz w:val="22"/>
          <w:szCs w:val="22"/>
        </w:rPr>
      </w:pPr>
    </w:p>
    <w:p w:rsidRPr="00A03529" w:rsidR="00A03529" w:rsidP="00A03529" w:rsidRDefault="00A03529" w14:paraId="4AEFC61F" w14:textId="6458D8A6">
      <w:pPr>
        <w:spacing w:line="360" w:lineRule="auto"/>
        <w:jc w:val="both"/>
        <w:rPr>
          <w:rFonts w:ascii="Palatino Linotype" w:hAnsi="Palatino Linotype" w:cs="Tahoma"/>
          <w:bCs/>
          <w:sz w:val="22"/>
          <w:szCs w:val="22"/>
        </w:rPr>
      </w:pPr>
      <w:r w:rsidRPr="00A03529">
        <w:rPr>
          <w:rFonts w:ascii="Palatino Linotype" w:hAnsi="Palatino Linotype" w:cs="Tahoma"/>
          <w:bCs/>
          <w:sz w:val="22"/>
          <w:szCs w:val="22"/>
        </w:rPr>
        <w:t xml:space="preserve">ASÍ LO RESUELVE, POR </w:t>
      </w:r>
      <w:r w:rsidRPr="00A03529">
        <w:rPr>
          <w:rFonts w:ascii="Palatino Linotype" w:hAnsi="Palatino Linotype" w:cs="Tahoma"/>
          <w:b/>
          <w:sz w:val="22"/>
          <w:szCs w:val="22"/>
        </w:rPr>
        <w:t>UNANIMIDAD</w:t>
      </w:r>
      <w:r w:rsidRPr="00A03529">
        <w:rPr>
          <w:rFonts w:ascii="Palatino Linotype" w:hAnsi="Palatino Linotype" w:cs="Tahoma"/>
          <w:b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A03529" w:rsidR="00850A9E">
        <w:rPr>
          <w:rFonts w:ascii="Palatino Linotype" w:hAnsi="Palatino Linotype" w:cs="Tahoma"/>
          <w:bCs/>
          <w:sz w:val="22"/>
          <w:szCs w:val="22"/>
        </w:rPr>
        <w:t xml:space="preserve">GUADALUPE RAMÍREZ PEÑA, EN LA </w:t>
      </w:r>
      <w:r w:rsidR="00850A9E">
        <w:rPr>
          <w:rFonts w:ascii="Palatino Linotype" w:hAnsi="Palatino Linotype" w:cs="Tahoma"/>
          <w:bCs/>
          <w:sz w:val="22"/>
          <w:szCs w:val="22"/>
        </w:rPr>
        <w:t>QUINTA</w:t>
      </w:r>
      <w:r w:rsidRPr="00A03529" w:rsidR="00850A9E">
        <w:rPr>
          <w:rFonts w:ascii="Palatino Linotype" w:hAnsi="Palatino Linotype" w:cs="Tahoma"/>
          <w:bCs/>
          <w:sz w:val="22"/>
          <w:szCs w:val="22"/>
        </w:rPr>
        <w:t xml:space="preserve"> SESIÓN ORDINARIA, CELEBRADA EL </w:t>
      </w:r>
      <w:r w:rsidR="00850A9E">
        <w:rPr>
          <w:rFonts w:ascii="Palatino Linotype" w:hAnsi="Palatino Linotype" w:cs="Tahoma"/>
          <w:bCs/>
          <w:sz w:val="22"/>
          <w:szCs w:val="22"/>
        </w:rPr>
        <w:t>NUEVE DE FEBRERO DE DOS MIL VEINTITRÉS</w:t>
      </w:r>
      <w:r w:rsidRPr="00A03529" w:rsidR="00850A9E">
        <w:rPr>
          <w:rFonts w:ascii="Palatino Linotype" w:hAnsi="Palatino Linotype" w:cs="Tahoma"/>
          <w:bCs/>
          <w:sz w:val="22"/>
          <w:szCs w:val="22"/>
        </w:rPr>
        <w:t xml:space="preserve">, ANTE EL SECRETARIO TÉCNICO DEL PLENO, ALEXIS </w:t>
      </w:r>
      <w:r w:rsidRPr="00A03529">
        <w:rPr>
          <w:rFonts w:ascii="Palatino Linotype" w:hAnsi="Palatino Linotype" w:cs="Tahoma"/>
          <w:bCs/>
          <w:sz w:val="22"/>
          <w:szCs w:val="22"/>
        </w:rPr>
        <w:t>TAPIA RAMÍREZ.</w:t>
      </w:r>
    </w:p>
    <w:p w:rsidR="00A03529" w:rsidP="00977B7D" w:rsidRDefault="00A03529" w14:paraId="0660CEF2" w14:textId="77777777">
      <w:pPr>
        <w:spacing w:line="360" w:lineRule="auto"/>
        <w:contextualSpacing/>
        <w:jc w:val="both"/>
        <w:rPr>
          <w:rFonts w:ascii="Palatino Linotype" w:hAnsi="Palatino Linotype" w:cs="Tahoma"/>
          <w:sz w:val="22"/>
          <w:szCs w:val="22"/>
        </w:rPr>
      </w:pPr>
    </w:p>
    <w:p w:rsidRPr="00C61C11" w:rsidR="00977B7D" w:rsidP="00F57C4C" w:rsidRDefault="00977B7D" w14:paraId="4A313A81" w14:textId="71F8B73E">
      <w:pPr>
        <w:spacing w:after="160" w:line="259" w:lineRule="auto"/>
        <w:rPr>
          <w:rFonts w:ascii="Palatino Linotype" w:hAnsi="Palatino Linotype" w:cs="Tahoma"/>
          <w:sz w:val="22"/>
          <w:szCs w:val="22"/>
        </w:rPr>
      </w:pPr>
      <w:r w:rsidRPr="00C61C11">
        <w:rPr>
          <w:rFonts w:ascii="Palatino Linotype" w:hAnsi="Palatino Linotype" w:cs="Tahoma"/>
          <w:sz w:val="22"/>
          <w:szCs w:val="22"/>
        </w:rPr>
        <w:br w:type="page"/>
      </w:r>
    </w:p>
    <w:sectPr w:rsidRPr="00C61C11" w:rsidR="00977B7D" w:rsidSect="00D83492">
      <w:headerReference w:type="even" r:id="rId9"/>
      <w:headerReference w:type="default" r:id="rId10"/>
      <w:footerReference w:type="default" r:id="rId11"/>
      <w:headerReference w:type="first" r:id="rId12"/>
      <w:footerReference w:type="first" r:id="rId13"/>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073" w:rsidP="00FC7A26" w:rsidRDefault="00167073" w14:paraId="59600CFF" w14:textId="77777777">
      <w:r>
        <w:separator/>
      </w:r>
    </w:p>
  </w:endnote>
  <w:endnote w:type="continuationSeparator" w:id="0">
    <w:p w:rsidR="00167073" w:rsidP="00FC7A26" w:rsidRDefault="00167073" w14:paraId="1976DFD3" w14:textId="77777777">
      <w:r>
        <w:continuationSeparator/>
      </w:r>
    </w:p>
  </w:endnote>
  <w:endnote w:type="continuationNotice" w:id="1">
    <w:p w:rsidR="00167073" w:rsidRDefault="00167073" w14:paraId="312FDA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167073" w14:paraId="54BFC472" w14:textId="77777777">
            <w:pPr>
              <w:pStyle w:val="Piedepgina"/>
              <w:jc w:val="right"/>
              <w:rPr>
                <w:sz w:val="26"/>
                <w:szCs w:val="26"/>
              </w:rPr>
            </w:pPr>
          </w:p>
          <w:p w:rsidR="003135D1" w:rsidRDefault="00BF14ED" w14:paraId="5BE01B4F" w14:textId="285C469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0A9E">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0A9E">
              <w:rPr>
                <w:b/>
                <w:bCs/>
                <w:noProof/>
              </w:rPr>
              <w:t>18</w:t>
            </w:r>
            <w:r>
              <w:rPr>
                <w:b/>
                <w:bCs/>
                <w:sz w:val="24"/>
                <w:szCs w:val="24"/>
              </w:rPr>
              <w:fldChar w:fldCharType="end"/>
            </w:r>
          </w:p>
        </w:sdtContent>
      </w:sdt>
    </w:sdtContent>
  </w:sdt>
  <w:p w:rsidR="003135D1" w:rsidRDefault="00167073" w14:paraId="3F8493F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167073" w14:paraId="215FCE47" w14:textId="77777777">
    <w:pPr>
      <w:pStyle w:val="Piedepgina"/>
      <w:jc w:val="right"/>
    </w:pPr>
  </w:p>
  <w:p w:rsidR="003135D1" w:rsidRDefault="00167073" w14:paraId="73795115" w14:textId="77777777">
    <w:pPr>
      <w:pStyle w:val="Piedepgina"/>
      <w:jc w:val="right"/>
    </w:pPr>
  </w:p>
  <w:p w:rsidR="003135D1" w:rsidRDefault="00167073" w14:paraId="102883EC" w14:textId="77777777">
    <w:pPr>
      <w:pStyle w:val="Piedepgina"/>
      <w:jc w:val="right"/>
    </w:pPr>
  </w:p>
  <w:p w:rsidR="003135D1" w:rsidRDefault="00BF14ED" w14:paraId="7D59C0C8" w14:textId="2F8841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0A9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0A9E">
      <w:rPr>
        <w:b/>
        <w:bCs/>
        <w:noProof/>
      </w:rPr>
      <w:t>18</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073" w:rsidP="00FC7A26" w:rsidRDefault="00167073" w14:paraId="2B804762" w14:textId="77777777">
      <w:r>
        <w:separator/>
      </w:r>
    </w:p>
  </w:footnote>
  <w:footnote w:type="continuationSeparator" w:id="0">
    <w:p w:rsidR="00167073" w:rsidP="00FC7A26" w:rsidRDefault="00167073" w14:paraId="5C10AD54" w14:textId="77777777">
      <w:r>
        <w:continuationSeparator/>
      </w:r>
    </w:p>
  </w:footnote>
  <w:footnote w:type="continuationNotice" w:id="1">
    <w:p w:rsidR="00167073" w:rsidRDefault="00167073" w14:paraId="69EACA23" w14:textId="777777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167073"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8B41A2" w:rsidP="009E6858" w:rsidRDefault="00167073"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603" w:type="dxa"/>
      <w:tblLayout w:type="fixed"/>
      <w:tblLook w:val="04A0" w:firstRow="1" w:lastRow="0" w:firstColumn="1" w:lastColumn="0" w:noHBand="0" w:noVBand="1"/>
    </w:tblPr>
    <w:tblGrid>
      <w:gridCol w:w="2410"/>
      <w:gridCol w:w="7193"/>
    </w:tblGrid>
    <w:tr w:rsidRPr="005C106F" w:rsidR="008B41A2" w:rsidTr="001C0572" w14:paraId="54DC5BBB" w14:textId="77777777">
      <w:trPr>
        <w:trHeight w:val="70"/>
      </w:trPr>
      <w:tc>
        <w:tcPr>
          <w:tcW w:w="2410" w:type="dxa"/>
          <w:shd w:val="clear" w:color="auto" w:fill="auto"/>
        </w:tcPr>
        <w:p w:rsidRPr="005C106F" w:rsidR="008B41A2" w:rsidP="008B41A2" w:rsidRDefault="00167073" w14:paraId="7390C447" w14:textId="77777777">
          <w:pPr>
            <w:tabs>
              <w:tab w:val="right" w:pos="4273"/>
            </w:tabs>
            <w:rPr>
              <w:rFonts w:ascii="Garamond" w:hAnsi="Garamond" w:eastAsia="Calibri"/>
              <w:sz w:val="16"/>
              <w:szCs w:val="16"/>
            </w:rPr>
          </w:pPr>
        </w:p>
      </w:tc>
      <w:tc>
        <w:tcPr>
          <w:tcW w:w="7193" w:type="dxa"/>
          <w:shd w:val="clear" w:color="auto" w:fill="auto"/>
        </w:tcPr>
        <w:p w:rsidR="001C0572" w:rsidRDefault="001C0572" w14:paraId="6EB10174" w14:textId="77777777"/>
        <w:tbl>
          <w:tblPr>
            <w:tblStyle w:val="Tablaconcuadrcula"/>
            <w:tblW w:w="7229"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821"/>
          </w:tblGrid>
          <w:tr w:rsidR="008B41A2" w:rsidTr="001C0572"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821" w:type="dxa"/>
              </w:tcPr>
              <w:p w:rsidRPr="00651A13" w:rsidR="008B41A2" w:rsidP="00B43BFA" w:rsidRDefault="00696977" w14:paraId="79E321B5" w14:textId="5B91D51B">
                <w:pPr>
                  <w:tabs>
                    <w:tab w:val="right" w:pos="8838"/>
                  </w:tabs>
                  <w:ind w:left="-28" w:right="683"/>
                  <w:rPr>
                    <w:rFonts w:ascii="Palatino Linotype" w:hAnsi="Palatino Linotype" w:eastAsia="Calibri" w:cs="Tahoma"/>
                    <w:sz w:val="22"/>
                    <w:szCs w:val="22"/>
                  </w:rPr>
                </w:pPr>
                <w:r>
                  <w:rPr>
                    <w:rFonts w:ascii="Palatino Linotype" w:hAnsi="Palatino Linotype" w:eastAsia="Calibri" w:cs="Tahoma"/>
                    <w:sz w:val="22"/>
                    <w:szCs w:val="22"/>
                    <w:lang w:val="es-MX"/>
                  </w:rPr>
                  <w:t>00116/INFOEM/IP/RR/2023</w:t>
                </w:r>
              </w:p>
            </w:tc>
          </w:tr>
          <w:tr w:rsidR="008B41A2" w:rsidTr="001C0572"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821" w:type="dxa"/>
              </w:tcPr>
              <w:p w:rsidRPr="008B41A2" w:rsidR="008B41A2" w:rsidP="001C0572" w:rsidRDefault="00696977" w14:paraId="5B3372D4" w14:textId="4B532B04">
                <w:pPr>
                  <w:tabs>
                    <w:tab w:val="right" w:pos="8838"/>
                  </w:tabs>
                  <w:ind w:right="116"/>
                  <w:rPr>
                    <w:rFonts w:ascii="Palatino Linotype" w:hAnsi="Palatino Linotype" w:eastAsia="Calibri" w:cs="Tahoma"/>
                    <w:sz w:val="22"/>
                    <w:szCs w:val="22"/>
                    <w:lang w:val="es-MX"/>
                  </w:rPr>
                </w:pPr>
                <w:r>
                  <w:rPr>
                    <w:rFonts w:ascii="Palatino Linotype" w:hAnsi="Palatino Linotype" w:eastAsia="Calibri" w:cs="Tahoma"/>
                    <w:sz w:val="22"/>
                    <w:szCs w:val="22"/>
                    <w:lang w:val="es-MX" w:eastAsia="en-US"/>
                  </w:rPr>
                  <w:t>Fiscalía General de Justicia del Estado de México</w:t>
                </w:r>
              </w:p>
            </w:tc>
          </w:tr>
          <w:tr w:rsidR="008B41A2" w:rsidTr="001C0572"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821"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167073" w14:paraId="39322C5A" w14:textId="77777777">
          <w:pPr>
            <w:tabs>
              <w:tab w:val="right" w:pos="8838"/>
            </w:tabs>
            <w:ind w:left="-28"/>
            <w:rPr>
              <w:rFonts w:ascii="Arial" w:hAnsi="Arial" w:eastAsia="Calibri" w:cs="Arial"/>
              <w:b/>
            </w:rPr>
          </w:pPr>
        </w:p>
      </w:tc>
    </w:tr>
  </w:tbl>
  <w:p w:rsidR="003135D1" w:rsidP="000930AE" w:rsidRDefault="00167073" w14:paraId="413B7D7D" w14:textId="77777777">
    <w:pPr>
      <w:pStyle w:val="Encabezado"/>
      <w:rPr>
        <w:sz w:val="14"/>
      </w:rPr>
    </w:pPr>
  </w:p>
  <w:p w:rsidRPr="00443C6B" w:rsidR="003135D1" w:rsidP="000930AE" w:rsidRDefault="00167073" w14:paraId="2249EFA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2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4394"/>
    </w:tblGrid>
    <w:tr w:rsidRPr="00264223" w:rsidR="003135D1" w:rsidTr="7B61CCE5" w14:paraId="0296A02D" w14:textId="77777777">
      <w:trPr>
        <w:trHeight w:val="284"/>
      </w:trPr>
      <w:tc>
        <w:tcPr>
          <w:tcW w:w="2410" w:type="dxa"/>
          <w:tcMar/>
        </w:tcPr>
        <w:p w:rsidRPr="00D3618F" w:rsidR="003135D1" w:rsidP="00155288" w:rsidRDefault="00BF14ED" w14:paraId="7A127E60"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4394" w:type="dxa"/>
          <w:tcMar/>
        </w:tcPr>
        <w:p w:rsidRPr="00651A13" w:rsidR="003135D1" w:rsidP="0026417C" w:rsidRDefault="00696977" w14:paraId="328710A7" w14:textId="6DC8B74F">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00116/INFOEM/IP/RR/2023</w:t>
          </w:r>
        </w:p>
      </w:tc>
    </w:tr>
    <w:tr w:rsidRPr="00264223" w:rsidR="003135D1" w:rsidTr="7B61CCE5" w14:paraId="612E08F0" w14:textId="77777777">
      <w:trPr>
        <w:trHeight w:val="104"/>
      </w:trPr>
      <w:tc>
        <w:tcPr>
          <w:tcW w:w="241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4394" w:type="dxa"/>
          <w:tcMar/>
        </w:tcPr>
        <w:p w:rsidRPr="00EE2A06" w:rsidR="003135D1" w:rsidP="7B61CCE5" w:rsidRDefault="00AF2BF3" w14:paraId="717CF0C7" w14:textId="3D2D6C1B">
          <w:pPr>
            <w:pStyle w:val="Normal"/>
            <w:tabs>
              <w:tab w:val="right" w:leader="none" w:pos="8838"/>
            </w:tabs>
            <w:bidi w:val="0"/>
            <w:spacing w:before="0" w:beforeAutospacing="off" w:after="0" w:afterAutospacing="off" w:line="240" w:lineRule="auto"/>
            <w:ind w:left="-28" w:right="0"/>
            <w:jc w:val="both"/>
            <w:rPr>
              <w:rFonts w:ascii="Palatino Linotype" w:hAnsi="Palatino Linotype" w:eastAsia="Calibri" w:cs="Tahoma"/>
              <w:sz w:val="22"/>
              <w:szCs w:val="22"/>
              <w:highlight w:val="black"/>
              <w:lang w:val="es-MX" w:eastAsia="en-US"/>
            </w:rPr>
          </w:pPr>
          <w:r w:rsidRPr="7B61CCE5" w:rsidR="7B61CCE5">
            <w:rPr>
              <w:rFonts w:ascii="Palatino Linotype" w:hAnsi="Palatino Linotype" w:eastAsia="Calibri" w:cs="Tahoma"/>
              <w:sz w:val="22"/>
              <w:szCs w:val="22"/>
              <w:highlight w:val="black"/>
              <w:lang w:val="es-MX" w:eastAsia="en-US"/>
            </w:rPr>
            <w:t>XXXXXX</w:t>
          </w:r>
        </w:p>
      </w:tc>
    </w:tr>
    <w:tr w:rsidRPr="00264223" w:rsidR="003135D1" w:rsidTr="7B61CCE5" w14:paraId="3A9CDB69" w14:textId="77777777">
      <w:trPr>
        <w:trHeight w:val="234"/>
      </w:trPr>
      <w:tc>
        <w:tcPr>
          <w:tcW w:w="241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4394" w:type="dxa"/>
          <w:tcMar/>
        </w:tcPr>
        <w:p w:rsidRPr="00651A13" w:rsidR="003135D1" w:rsidP="0026417C" w:rsidRDefault="00696977" w14:paraId="7E37B80E" w14:textId="59C1F9B4">
          <w:pPr>
            <w:tabs>
              <w:tab w:val="right" w:pos="8838"/>
            </w:tabs>
            <w:ind w:left="-28"/>
            <w:jc w:val="both"/>
            <w:rPr>
              <w:rFonts w:ascii="Palatino Linotype" w:hAnsi="Palatino Linotype" w:eastAsia="Calibri" w:cs="Tahoma"/>
              <w:sz w:val="22"/>
              <w:szCs w:val="22"/>
              <w:lang w:val="es-MX" w:eastAsia="en-US"/>
            </w:rPr>
          </w:pPr>
          <w:r>
            <w:rPr>
              <w:rFonts w:ascii="Palatino Linotype" w:hAnsi="Palatino Linotype" w:eastAsia="Calibri" w:cs="Tahoma"/>
              <w:sz w:val="22"/>
              <w:szCs w:val="22"/>
              <w:lang w:val="es-MX" w:eastAsia="en-US"/>
            </w:rPr>
            <w:t>Fiscalía General de Justicia del Estado de México</w:t>
          </w:r>
        </w:p>
      </w:tc>
    </w:tr>
    <w:tr w:rsidRPr="00264223" w:rsidR="003135D1" w:rsidTr="7B61CCE5" w14:paraId="1AF8B0BB" w14:textId="77777777">
      <w:trPr>
        <w:trHeight w:val="234"/>
      </w:trPr>
      <w:tc>
        <w:tcPr>
          <w:tcW w:w="241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4394" w:type="dxa"/>
          <w:tcMar/>
        </w:tcPr>
        <w:p w:rsidRPr="00D3618F" w:rsidR="003135D1" w:rsidP="0026417C"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167073"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27498"/>
    <w:multiLevelType w:val="hybridMultilevel"/>
    <w:tmpl w:val="5C7A2CE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2C53DA5"/>
    <w:multiLevelType w:val="hybridMultilevel"/>
    <w:tmpl w:val="4BD2300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14924792"/>
    <w:multiLevelType w:val="hybridMultilevel"/>
    <w:tmpl w:val="7AB61912"/>
    <w:lvl w:ilvl="0" w:tplc="080A000F">
      <w:start w:val="1"/>
      <w:numFmt w:val="decimal"/>
      <w:lvlText w:val="%1."/>
      <w:lvlJc w:val="left"/>
      <w:pPr>
        <w:ind w:left="928"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852B6A"/>
    <w:multiLevelType w:val="hybridMultilevel"/>
    <w:tmpl w:val="8E76C47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6"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CB20B3"/>
    <w:multiLevelType w:val="hybridMultilevel"/>
    <w:tmpl w:val="E8AA6AE2"/>
    <w:lvl w:ilvl="0" w:tplc="040A0017">
      <w:start w:val="1"/>
      <w:numFmt w:val="lowerLetter"/>
      <w:lvlText w:val="%1)"/>
      <w:lvlJc w:val="left"/>
      <w:pPr>
        <w:ind w:left="776" w:hanging="360"/>
      </w:pPr>
      <w:rPr>
        <w:rFonts w:hint="default"/>
      </w:rPr>
    </w:lvl>
    <w:lvl w:ilvl="1" w:tplc="040A0003" w:tentative="1">
      <w:start w:val="1"/>
      <w:numFmt w:val="bullet"/>
      <w:lvlText w:val="o"/>
      <w:lvlJc w:val="left"/>
      <w:pPr>
        <w:ind w:left="1496" w:hanging="360"/>
      </w:pPr>
      <w:rPr>
        <w:rFonts w:hint="default" w:ascii="Courier New" w:hAnsi="Courier New" w:cs="Courier New"/>
      </w:rPr>
    </w:lvl>
    <w:lvl w:ilvl="2" w:tplc="040A0005" w:tentative="1">
      <w:start w:val="1"/>
      <w:numFmt w:val="bullet"/>
      <w:lvlText w:val=""/>
      <w:lvlJc w:val="left"/>
      <w:pPr>
        <w:ind w:left="2216" w:hanging="360"/>
      </w:pPr>
      <w:rPr>
        <w:rFonts w:hint="default" w:ascii="Wingdings" w:hAnsi="Wingdings"/>
      </w:rPr>
    </w:lvl>
    <w:lvl w:ilvl="3" w:tplc="040A0001" w:tentative="1">
      <w:start w:val="1"/>
      <w:numFmt w:val="bullet"/>
      <w:lvlText w:val=""/>
      <w:lvlJc w:val="left"/>
      <w:pPr>
        <w:ind w:left="2936" w:hanging="360"/>
      </w:pPr>
      <w:rPr>
        <w:rFonts w:hint="default" w:ascii="Symbol" w:hAnsi="Symbol"/>
      </w:rPr>
    </w:lvl>
    <w:lvl w:ilvl="4" w:tplc="040A0003" w:tentative="1">
      <w:start w:val="1"/>
      <w:numFmt w:val="bullet"/>
      <w:lvlText w:val="o"/>
      <w:lvlJc w:val="left"/>
      <w:pPr>
        <w:ind w:left="3656" w:hanging="360"/>
      </w:pPr>
      <w:rPr>
        <w:rFonts w:hint="default" w:ascii="Courier New" w:hAnsi="Courier New" w:cs="Courier New"/>
      </w:rPr>
    </w:lvl>
    <w:lvl w:ilvl="5" w:tplc="040A0005" w:tentative="1">
      <w:start w:val="1"/>
      <w:numFmt w:val="bullet"/>
      <w:lvlText w:val=""/>
      <w:lvlJc w:val="left"/>
      <w:pPr>
        <w:ind w:left="4376" w:hanging="360"/>
      </w:pPr>
      <w:rPr>
        <w:rFonts w:hint="default" w:ascii="Wingdings" w:hAnsi="Wingdings"/>
      </w:rPr>
    </w:lvl>
    <w:lvl w:ilvl="6" w:tplc="040A0001" w:tentative="1">
      <w:start w:val="1"/>
      <w:numFmt w:val="bullet"/>
      <w:lvlText w:val=""/>
      <w:lvlJc w:val="left"/>
      <w:pPr>
        <w:ind w:left="5096" w:hanging="360"/>
      </w:pPr>
      <w:rPr>
        <w:rFonts w:hint="default" w:ascii="Symbol" w:hAnsi="Symbol"/>
      </w:rPr>
    </w:lvl>
    <w:lvl w:ilvl="7" w:tplc="040A0003" w:tentative="1">
      <w:start w:val="1"/>
      <w:numFmt w:val="bullet"/>
      <w:lvlText w:val="o"/>
      <w:lvlJc w:val="left"/>
      <w:pPr>
        <w:ind w:left="5816" w:hanging="360"/>
      </w:pPr>
      <w:rPr>
        <w:rFonts w:hint="default" w:ascii="Courier New" w:hAnsi="Courier New" w:cs="Courier New"/>
      </w:rPr>
    </w:lvl>
    <w:lvl w:ilvl="8" w:tplc="040A0005" w:tentative="1">
      <w:start w:val="1"/>
      <w:numFmt w:val="bullet"/>
      <w:lvlText w:val=""/>
      <w:lvlJc w:val="left"/>
      <w:pPr>
        <w:ind w:left="6536" w:hanging="360"/>
      </w:pPr>
      <w:rPr>
        <w:rFonts w:hint="default" w:ascii="Wingdings" w:hAnsi="Wingdings"/>
      </w:rPr>
    </w:lvl>
  </w:abstractNum>
  <w:abstractNum w:abstractNumId="18"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0"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4607D6"/>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22" w15:restartNumberingAfterBreak="0">
    <w:nsid w:val="44996727"/>
    <w:multiLevelType w:val="hybridMultilevel"/>
    <w:tmpl w:val="0A1079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3"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52E90D0B"/>
    <w:multiLevelType w:val="hybridMultilevel"/>
    <w:tmpl w:val="792E6B2A"/>
    <w:lvl w:ilvl="0" w:tplc="848C7A26">
      <w:start w:val="1"/>
      <w:numFmt w:val="lowerRoman"/>
      <w:lvlText w:val="%1."/>
      <w:lvlJc w:val="right"/>
      <w:pPr>
        <w:ind w:left="720" w:hanging="360"/>
      </w:pPr>
      <w:rPr>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1885FB3"/>
    <w:multiLevelType w:val="hybridMultilevel"/>
    <w:tmpl w:val="3AC03DD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0" w15:restartNumberingAfterBreak="0">
    <w:nsid w:val="629C3994"/>
    <w:multiLevelType w:val="hybridMultilevel"/>
    <w:tmpl w:val="87BA92E4"/>
    <w:lvl w:ilvl="0" w:tplc="040A0017">
      <w:start w:val="1"/>
      <w:numFmt w:val="lowerLetter"/>
      <w:lvlText w:val="%1)"/>
      <w:lvlJc w:val="left"/>
      <w:pPr>
        <w:ind w:left="776" w:hanging="360"/>
      </w:pPr>
    </w:lvl>
    <w:lvl w:ilvl="1" w:tplc="040A0019" w:tentative="1">
      <w:start w:val="1"/>
      <w:numFmt w:val="lowerLetter"/>
      <w:lvlText w:val="%2."/>
      <w:lvlJc w:val="left"/>
      <w:pPr>
        <w:ind w:left="1496" w:hanging="360"/>
      </w:pPr>
    </w:lvl>
    <w:lvl w:ilvl="2" w:tplc="040A001B" w:tentative="1">
      <w:start w:val="1"/>
      <w:numFmt w:val="lowerRoman"/>
      <w:lvlText w:val="%3."/>
      <w:lvlJc w:val="right"/>
      <w:pPr>
        <w:ind w:left="2216" w:hanging="180"/>
      </w:pPr>
    </w:lvl>
    <w:lvl w:ilvl="3" w:tplc="040A000F" w:tentative="1">
      <w:start w:val="1"/>
      <w:numFmt w:val="decimal"/>
      <w:lvlText w:val="%4."/>
      <w:lvlJc w:val="left"/>
      <w:pPr>
        <w:ind w:left="2936" w:hanging="360"/>
      </w:pPr>
    </w:lvl>
    <w:lvl w:ilvl="4" w:tplc="040A0019" w:tentative="1">
      <w:start w:val="1"/>
      <w:numFmt w:val="lowerLetter"/>
      <w:lvlText w:val="%5."/>
      <w:lvlJc w:val="left"/>
      <w:pPr>
        <w:ind w:left="3656" w:hanging="360"/>
      </w:pPr>
    </w:lvl>
    <w:lvl w:ilvl="5" w:tplc="040A001B" w:tentative="1">
      <w:start w:val="1"/>
      <w:numFmt w:val="lowerRoman"/>
      <w:lvlText w:val="%6."/>
      <w:lvlJc w:val="right"/>
      <w:pPr>
        <w:ind w:left="4376" w:hanging="180"/>
      </w:pPr>
    </w:lvl>
    <w:lvl w:ilvl="6" w:tplc="040A000F" w:tentative="1">
      <w:start w:val="1"/>
      <w:numFmt w:val="decimal"/>
      <w:lvlText w:val="%7."/>
      <w:lvlJc w:val="left"/>
      <w:pPr>
        <w:ind w:left="5096" w:hanging="360"/>
      </w:pPr>
    </w:lvl>
    <w:lvl w:ilvl="7" w:tplc="040A0019" w:tentative="1">
      <w:start w:val="1"/>
      <w:numFmt w:val="lowerLetter"/>
      <w:lvlText w:val="%8."/>
      <w:lvlJc w:val="left"/>
      <w:pPr>
        <w:ind w:left="5816" w:hanging="360"/>
      </w:pPr>
    </w:lvl>
    <w:lvl w:ilvl="8" w:tplc="040A001B" w:tentative="1">
      <w:start w:val="1"/>
      <w:numFmt w:val="lowerRoman"/>
      <w:lvlText w:val="%9."/>
      <w:lvlJc w:val="right"/>
      <w:pPr>
        <w:ind w:left="6536" w:hanging="180"/>
      </w:pPr>
    </w:lvl>
  </w:abstractNum>
  <w:abstractNum w:abstractNumId="31"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7A5A41"/>
    <w:multiLevelType w:val="hybridMultilevel"/>
    <w:tmpl w:val="651C7D3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0"/>
  </w:num>
  <w:num w:numId="2">
    <w:abstractNumId w:val="24"/>
  </w:num>
  <w:num w:numId="3">
    <w:abstractNumId w:val="12"/>
  </w:num>
  <w:num w:numId="4">
    <w:abstractNumId w:val="28"/>
  </w:num>
  <w:num w:numId="5">
    <w:abstractNumId w:val="6"/>
  </w:num>
  <w:num w:numId="6">
    <w:abstractNumId w:val="0"/>
  </w:num>
  <w:num w:numId="7">
    <w:abstractNumId w:val="10"/>
  </w:num>
  <w:num w:numId="8">
    <w:abstractNumId w:val="31"/>
  </w:num>
  <w:num w:numId="9">
    <w:abstractNumId w:val="27"/>
  </w:num>
  <w:num w:numId="10">
    <w:abstractNumId w:val="23"/>
  </w:num>
  <w:num w:numId="11">
    <w:abstractNumId w:val="16"/>
  </w:num>
  <w:num w:numId="12">
    <w:abstractNumId w:val="14"/>
  </w:num>
  <w:num w:numId="13">
    <w:abstractNumId w:val="33"/>
  </w:num>
  <w:num w:numId="14">
    <w:abstractNumId w:val="19"/>
  </w:num>
  <w:num w:numId="15">
    <w:abstractNumId w:val="8"/>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 w:numId="19">
    <w:abstractNumId w:val="26"/>
  </w:num>
  <w:num w:numId="20">
    <w:abstractNumId w:val="36"/>
  </w:num>
  <w:num w:numId="21">
    <w:abstractNumId w:val="34"/>
  </w:num>
  <w:num w:numId="22">
    <w:abstractNumId w:val="13"/>
  </w:num>
  <w:num w:numId="23">
    <w:abstractNumId w:val="15"/>
  </w:num>
  <w:num w:numId="24">
    <w:abstractNumId w:val="18"/>
  </w:num>
  <w:num w:numId="25">
    <w:abstractNumId w:val="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35"/>
  </w:num>
  <w:num w:numId="30">
    <w:abstractNumId w:val="29"/>
  </w:num>
  <w:num w:numId="31">
    <w:abstractNumId w:val="22"/>
  </w:num>
  <w:num w:numId="32">
    <w:abstractNumId w:val="5"/>
  </w:num>
  <w:num w:numId="33">
    <w:abstractNumId w:val="17"/>
  </w:num>
  <w:num w:numId="34">
    <w:abstractNumId w:val="3"/>
  </w:num>
  <w:num w:numId="35">
    <w:abstractNumId w:val="21"/>
  </w:num>
  <w:num w:numId="36">
    <w:abstractNumId w:val="30"/>
  </w:num>
  <w:num w:numId="37">
    <w:abstractNumId w:val="2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DE"/>
    <w:rsid w:val="00005692"/>
    <w:rsid w:val="00006798"/>
    <w:rsid w:val="00011665"/>
    <w:rsid w:val="00022391"/>
    <w:rsid w:val="000227D4"/>
    <w:rsid w:val="00041105"/>
    <w:rsid w:val="00042AF8"/>
    <w:rsid w:val="00046E37"/>
    <w:rsid w:val="000500C2"/>
    <w:rsid w:val="00053263"/>
    <w:rsid w:val="00057F3C"/>
    <w:rsid w:val="00061CF3"/>
    <w:rsid w:val="00081899"/>
    <w:rsid w:val="00091543"/>
    <w:rsid w:val="000A0CEF"/>
    <w:rsid w:val="000C37FA"/>
    <w:rsid w:val="000E321B"/>
    <w:rsid w:val="000E606C"/>
    <w:rsid w:val="000F1A23"/>
    <w:rsid w:val="000F5957"/>
    <w:rsid w:val="001013A5"/>
    <w:rsid w:val="001120F6"/>
    <w:rsid w:val="00117A4F"/>
    <w:rsid w:val="00122F06"/>
    <w:rsid w:val="00131B30"/>
    <w:rsid w:val="00135E85"/>
    <w:rsid w:val="00137BB0"/>
    <w:rsid w:val="0014223F"/>
    <w:rsid w:val="0014762D"/>
    <w:rsid w:val="00150B3D"/>
    <w:rsid w:val="001567FA"/>
    <w:rsid w:val="00156E72"/>
    <w:rsid w:val="00161D14"/>
    <w:rsid w:val="00165C2C"/>
    <w:rsid w:val="00167073"/>
    <w:rsid w:val="001803D4"/>
    <w:rsid w:val="00181B17"/>
    <w:rsid w:val="001875A9"/>
    <w:rsid w:val="001904EF"/>
    <w:rsid w:val="00190D99"/>
    <w:rsid w:val="001975D3"/>
    <w:rsid w:val="001B246F"/>
    <w:rsid w:val="001B3B9E"/>
    <w:rsid w:val="001B7091"/>
    <w:rsid w:val="001C0572"/>
    <w:rsid w:val="001C0F48"/>
    <w:rsid w:val="001C759E"/>
    <w:rsid w:val="001E78ED"/>
    <w:rsid w:val="00200F81"/>
    <w:rsid w:val="00207F72"/>
    <w:rsid w:val="00221416"/>
    <w:rsid w:val="002365A5"/>
    <w:rsid w:val="002425E2"/>
    <w:rsid w:val="00244FC7"/>
    <w:rsid w:val="002460D9"/>
    <w:rsid w:val="00256424"/>
    <w:rsid w:val="00263744"/>
    <w:rsid w:val="0026417C"/>
    <w:rsid w:val="00285630"/>
    <w:rsid w:val="00286FC0"/>
    <w:rsid w:val="00293189"/>
    <w:rsid w:val="002A40CB"/>
    <w:rsid w:val="002A49D0"/>
    <w:rsid w:val="002A7B9E"/>
    <w:rsid w:val="002B025D"/>
    <w:rsid w:val="002C073E"/>
    <w:rsid w:val="002C356D"/>
    <w:rsid w:val="002D5C1D"/>
    <w:rsid w:val="002F3493"/>
    <w:rsid w:val="002F3B8D"/>
    <w:rsid w:val="002F3D3B"/>
    <w:rsid w:val="00305AF4"/>
    <w:rsid w:val="0031159D"/>
    <w:rsid w:val="00311CA5"/>
    <w:rsid w:val="00330AE8"/>
    <w:rsid w:val="00341710"/>
    <w:rsid w:val="0035025E"/>
    <w:rsid w:val="00357B4D"/>
    <w:rsid w:val="003664C7"/>
    <w:rsid w:val="0037277E"/>
    <w:rsid w:val="0037403C"/>
    <w:rsid w:val="003843A4"/>
    <w:rsid w:val="00386E35"/>
    <w:rsid w:val="0039288A"/>
    <w:rsid w:val="003945E3"/>
    <w:rsid w:val="003A20D5"/>
    <w:rsid w:val="003A22DE"/>
    <w:rsid w:val="003C2640"/>
    <w:rsid w:val="003C3A57"/>
    <w:rsid w:val="003C687A"/>
    <w:rsid w:val="003D0637"/>
    <w:rsid w:val="003E215A"/>
    <w:rsid w:val="003E35F9"/>
    <w:rsid w:val="003E3F56"/>
    <w:rsid w:val="003E4FC1"/>
    <w:rsid w:val="003F4223"/>
    <w:rsid w:val="003F5D7F"/>
    <w:rsid w:val="00411440"/>
    <w:rsid w:val="00416901"/>
    <w:rsid w:val="00437FA1"/>
    <w:rsid w:val="00443F40"/>
    <w:rsid w:val="00452014"/>
    <w:rsid w:val="00461E91"/>
    <w:rsid w:val="00463F05"/>
    <w:rsid w:val="00475BFB"/>
    <w:rsid w:val="00483128"/>
    <w:rsid w:val="004A0B13"/>
    <w:rsid w:val="004A4A62"/>
    <w:rsid w:val="004B22AD"/>
    <w:rsid w:val="004B3B50"/>
    <w:rsid w:val="004C3C05"/>
    <w:rsid w:val="004C636B"/>
    <w:rsid w:val="004F03BB"/>
    <w:rsid w:val="004F45D5"/>
    <w:rsid w:val="004F4774"/>
    <w:rsid w:val="00511CFF"/>
    <w:rsid w:val="00512F04"/>
    <w:rsid w:val="0051321B"/>
    <w:rsid w:val="0052168E"/>
    <w:rsid w:val="005310FA"/>
    <w:rsid w:val="00532E87"/>
    <w:rsid w:val="00533909"/>
    <w:rsid w:val="005360CC"/>
    <w:rsid w:val="00544E16"/>
    <w:rsid w:val="00545769"/>
    <w:rsid w:val="005501EB"/>
    <w:rsid w:val="00553AF4"/>
    <w:rsid w:val="00565189"/>
    <w:rsid w:val="00575786"/>
    <w:rsid w:val="00576102"/>
    <w:rsid w:val="00577873"/>
    <w:rsid w:val="005801C1"/>
    <w:rsid w:val="00580E40"/>
    <w:rsid w:val="0058347D"/>
    <w:rsid w:val="005A117F"/>
    <w:rsid w:val="005A78BC"/>
    <w:rsid w:val="005B1591"/>
    <w:rsid w:val="005B2724"/>
    <w:rsid w:val="005D02A6"/>
    <w:rsid w:val="005D7143"/>
    <w:rsid w:val="005E5B10"/>
    <w:rsid w:val="005E7B22"/>
    <w:rsid w:val="005F5BCE"/>
    <w:rsid w:val="005F7F1D"/>
    <w:rsid w:val="006041D2"/>
    <w:rsid w:val="00605324"/>
    <w:rsid w:val="00615F5E"/>
    <w:rsid w:val="00622A40"/>
    <w:rsid w:val="0062576E"/>
    <w:rsid w:val="0063645E"/>
    <w:rsid w:val="006436DA"/>
    <w:rsid w:val="00646ED4"/>
    <w:rsid w:val="00647F5E"/>
    <w:rsid w:val="00651A13"/>
    <w:rsid w:val="00651CBC"/>
    <w:rsid w:val="00653D4B"/>
    <w:rsid w:val="00654867"/>
    <w:rsid w:val="00657DAD"/>
    <w:rsid w:val="0066424F"/>
    <w:rsid w:val="0066649C"/>
    <w:rsid w:val="006762A8"/>
    <w:rsid w:val="006869B3"/>
    <w:rsid w:val="0069111A"/>
    <w:rsid w:val="00694683"/>
    <w:rsid w:val="00696977"/>
    <w:rsid w:val="00697530"/>
    <w:rsid w:val="006A2922"/>
    <w:rsid w:val="006A40B6"/>
    <w:rsid w:val="006A6335"/>
    <w:rsid w:val="006B123A"/>
    <w:rsid w:val="006B1909"/>
    <w:rsid w:val="006C7888"/>
    <w:rsid w:val="006E3868"/>
    <w:rsid w:val="006F24F6"/>
    <w:rsid w:val="006F397F"/>
    <w:rsid w:val="0070237E"/>
    <w:rsid w:val="00731FDC"/>
    <w:rsid w:val="0074570A"/>
    <w:rsid w:val="00745E69"/>
    <w:rsid w:val="00753E39"/>
    <w:rsid w:val="00757B9F"/>
    <w:rsid w:val="00763041"/>
    <w:rsid w:val="00764D7C"/>
    <w:rsid w:val="00765D8B"/>
    <w:rsid w:val="00767700"/>
    <w:rsid w:val="00775AD6"/>
    <w:rsid w:val="00785507"/>
    <w:rsid w:val="00796584"/>
    <w:rsid w:val="007B0305"/>
    <w:rsid w:val="007B06F7"/>
    <w:rsid w:val="007B6774"/>
    <w:rsid w:val="007D165C"/>
    <w:rsid w:val="007D27B6"/>
    <w:rsid w:val="007D6069"/>
    <w:rsid w:val="007E4724"/>
    <w:rsid w:val="007E6BB3"/>
    <w:rsid w:val="007F1526"/>
    <w:rsid w:val="007F2507"/>
    <w:rsid w:val="007F610D"/>
    <w:rsid w:val="00804728"/>
    <w:rsid w:val="0080704F"/>
    <w:rsid w:val="00814BA4"/>
    <w:rsid w:val="008170C5"/>
    <w:rsid w:val="00823EE0"/>
    <w:rsid w:val="00830C1C"/>
    <w:rsid w:val="0083345D"/>
    <w:rsid w:val="0083373C"/>
    <w:rsid w:val="00836858"/>
    <w:rsid w:val="00841C86"/>
    <w:rsid w:val="00846822"/>
    <w:rsid w:val="00847CE9"/>
    <w:rsid w:val="00850A9E"/>
    <w:rsid w:val="00852981"/>
    <w:rsid w:val="008537FC"/>
    <w:rsid w:val="008624BC"/>
    <w:rsid w:val="008640E0"/>
    <w:rsid w:val="00867A39"/>
    <w:rsid w:val="00885A19"/>
    <w:rsid w:val="00886002"/>
    <w:rsid w:val="00896C40"/>
    <w:rsid w:val="008A69CA"/>
    <w:rsid w:val="008B0BBF"/>
    <w:rsid w:val="008B3AD0"/>
    <w:rsid w:val="008C1BE9"/>
    <w:rsid w:val="008C34B0"/>
    <w:rsid w:val="008D5A62"/>
    <w:rsid w:val="008D5EBA"/>
    <w:rsid w:val="008E2C41"/>
    <w:rsid w:val="008E43A3"/>
    <w:rsid w:val="008F39E0"/>
    <w:rsid w:val="00902E6F"/>
    <w:rsid w:val="00904980"/>
    <w:rsid w:val="00910B13"/>
    <w:rsid w:val="0092440D"/>
    <w:rsid w:val="0092732B"/>
    <w:rsid w:val="00930F5B"/>
    <w:rsid w:val="00941F39"/>
    <w:rsid w:val="00944027"/>
    <w:rsid w:val="00945867"/>
    <w:rsid w:val="00945D21"/>
    <w:rsid w:val="00952ABF"/>
    <w:rsid w:val="00954468"/>
    <w:rsid w:val="009652C3"/>
    <w:rsid w:val="00965C5B"/>
    <w:rsid w:val="00966F9B"/>
    <w:rsid w:val="00972688"/>
    <w:rsid w:val="00977B7D"/>
    <w:rsid w:val="00984724"/>
    <w:rsid w:val="00986D11"/>
    <w:rsid w:val="0099096D"/>
    <w:rsid w:val="00996BE3"/>
    <w:rsid w:val="009A0E49"/>
    <w:rsid w:val="009A251B"/>
    <w:rsid w:val="009A3A12"/>
    <w:rsid w:val="009A7A52"/>
    <w:rsid w:val="009B2098"/>
    <w:rsid w:val="009B36B9"/>
    <w:rsid w:val="009B4BA6"/>
    <w:rsid w:val="009B6B15"/>
    <w:rsid w:val="009E0D9F"/>
    <w:rsid w:val="009E17E8"/>
    <w:rsid w:val="009E3BCA"/>
    <w:rsid w:val="009E5B56"/>
    <w:rsid w:val="009F4DEE"/>
    <w:rsid w:val="00A02742"/>
    <w:rsid w:val="00A03529"/>
    <w:rsid w:val="00A12F71"/>
    <w:rsid w:val="00A2053F"/>
    <w:rsid w:val="00A24A79"/>
    <w:rsid w:val="00A317F9"/>
    <w:rsid w:val="00A40212"/>
    <w:rsid w:val="00A408E7"/>
    <w:rsid w:val="00A42E2F"/>
    <w:rsid w:val="00A453E5"/>
    <w:rsid w:val="00A47ABA"/>
    <w:rsid w:val="00A5031B"/>
    <w:rsid w:val="00A576E9"/>
    <w:rsid w:val="00A63130"/>
    <w:rsid w:val="00A634A7"/>
    <w:rsid w:val="00A8026C"/>
    <w:rsid w:val="00A80303"/>
    <w:rsid w:val="00A8392A"/>
    <w:rsid w:val="00A90DCF"/>
    <w:rsid w:val="00AA41A2"/>
    <w:rsid w:val="00AB20A9"/>
    <w:rsid w:val="00AC5B19"/>
    <w:rsid w:val="00AD2F43"/>
    <w:rsid w:val="00AD4E98"/>
    <w:rsid w:val="00AD5375"/>
    <w:rsid w:val="00AE1CB6"/>
    <w:rsid w:val="00AE3803"/>
    <w:rsid w:val="00AE5AE5"/>
    <w:rsid w:val="00AE5CA3"/>
    <w:rsid w:val="00AF2BF3"/>
    <w:rsid w:val="00AF6ADC"/>
    <w:rsid w:val="00B03EDE"/>
    <w:rsid w:val="00B101A9"/>
    <w:rsid w:val="00B12743"/>
    <w:rsid w:val="00B208D0"/>
    <w:rsid w:val="00B271A3"/>
    <w:rsid w:val="00B27233"/>
    <w:rsid w:val="00B32716"/>
    <w:rsid w:val="00B43BFA"/>
    <w:rsid w:val="00B5003B"/>
    <w:rsid w:val="00B55179"/>
    <w:rsid w:val="00B613D5"/>
    <w:rsid w:val="00B6798C"/>
    <w:rsid w:val="00B71C2B"/>
    <w:rsid w:val="00B71EEE"/>
    <w:rsid w:val="00B7344D"/>
    <w:rsid w:val="00B77C41"/>
    <w:rsid w:val="00B828E2"/>
    <w:rsid w:val="00B86D0D"/>
    <w:rsid w:val="00B946CE"/>
    <w:rsid w:val="00BA012E"/>
    <w:rsid w:val="00BA0ACE"/>
    <w:rsid w:val="00BA0B7F"/>
    <w:rsid w:val="00BA6085"/>
    <w:rsid w:val="00BB0B4E"/>
    <w:rsid w:val="00BB2B58"/>
    <w:rsid w:val="00BB38FC"/>
    <w:rsid w:val="00BB56EF"/>
    <w:rsid w:val="00BB6380"/>
    <w:rsid w:val="00BB69EF"/>
    <w:rsid w:val="00BC4DCF"/>
    <w:rsid w:val="00BC5193"/>
    <w:rsid w:val="00BD3344"/>
    <w:rsid w:val="00BE2986"/>
    <w:rsid w:val="00BE4C73"/>
    <w:rsid w:val="00BF14ED"/>
    <w:rsid w:val="00BF19D2"/>
    <w:rsid w:val="00BF73DF"/>
    <w:rsid w:val="00C03811"/>
    <w:rsid w:val="00C1189C"/>
    <w:rsid w:val="00C1369F"/>
    <w:rsid w:val="00C17433"/>
    <w:rsid w:val="00C22667"/>
    <w:rsid w:val="00C34B10"/>
    <w:rsid w:val="00C35CD5"/>
    <w:rsid w:val="00C36852"/>
    <w:rsid w:val="00C36AE4"/>
    <w:rsid w:val="00C37911"/>
    <w:rsid w:val="00C47841"/>
    <w:rsid w:val="00C50354"/>
    <w:rsid w:val="00C56DA6"/>
    <w:rsid w:val="00C61C11"/>
    <w:rsid w:val="00C7224B"/>
    <w:rsid w:val="00C73B3A"/>
    <w:rsid w:val="00C81870"/>
    <w:rsid w:val="00C87E36"/>
    <w:rsid w:val="00C90160"/>
    <w:rsid w:val="00C907D1"/>
    <w:rsid w:val="00C93ACB"/>
    <w:rsid w:val="00CB6D50"/>
    <w:rsid w:val="00CB7AF4"/>
    <w:rsid w:val="00CC449F"/>
    <w:rsid w:val="00CC5EC2"/>
    <w:rsid w:val="00CD1229"/>
    <w:rsid w:val="00CD65D7"/>
    <w:rsid w:val="00CE5D6E"/>
    <w:rsid w:val="00CF4448"/>
    <w:rsid w:val="00D0124B"/>
    <w:rsid w:val="00D03B35"/>
    <w:rsid w:val="00D040DA"/>
    <w:rsid w:val="00D1711B"/>
    <w:rsid w:val="00D203DC"/>
    <w:rsid w:val="00D20D13"/>
    <w:rsid w:val="00D26D69"/>
    <w:rsid w:val="00D34C71"/>
    <w:rsid w:val="00D3577B"/>
    <w:rsid w:val="00D357A4"/>
    <w:rsid w:val="00D3649E"/>
    <w:rsid w:val="00D44317"/>
    <w:rsid w:val="00D45413"/>
    <w:rsid w:val="00D45F20"/>
    <w:rsid w:val="00D47AB9"/>
    <w:rsid w:val="00D6284F"/>
    <w:rsid w:val="00D6464E"/>
    <w:rsid w:val="00D65AA4"/>
    <w:rsid w:val="00D66AF5"/>
    <w:rsid w:val="00D71B3E"/>
    <w:rsid w:val="00D73E54"/>
    <w:rsid w:val="00D761B6"/>
    <w:rsid w:val="00D8394F"/>
    <w:rsid w:val="00D96384"/>
    <w:rsid w:val="00DA0579"/>
    <w:rsid w:val="00DA6CBB"/>
    <w:rsid w:val="00DB03AC"/>
    <w:rsid w:val="00DB0B40"/>
    <w:rsid w:val="00DB249D"/>
    <w:rsid w:val="00DC17E4"/>
    <w:rsid w:val="00DC7952"/>
    <w:rsid w:val="00DD089E"/>
    <w:rsid w:val="00DD0E57"/>
    <w:rsid w:val="00DE71E3"/>
    <w:rsid w:val="00DF0F8B"/>
    <w:rsid w:val="00E03817"/>
    <w:rsid w:val="00E209FC"/>
    <w:rsid w:val="00E22215"/>
    <w:rsid w:val="00E2314B"/>
    <w:rsid w:val="00E25C61"/>
    <w:rsid w:val="00E3439B"/>
    <w:rsid w:val="00E35B9A"/>
    <w:rsid w:val="00E46B98"/>
    <w:rsid w:val="00E61D50"/>
    <w:rsid w:val="00E62F3C"/>
    <w:rsid w:val="00E6681D"/>
    <w:rsid w:val="00E757AD"/>
    <w:rsid w:val="00E76B08"/>
    <w:rsid w:val="00E97989"/>
    <w:rsid w:val="00EA14B2"/>
    <w:rsid w:val="00EA27C0"/>
    <w:rsid w:val="00EA4AE7"/>
    <w:rsid w:val="00EA5DCF"/>
    <w:rsid w:val="00EB0747"/>
    <w:rsid w:val="00EB1B1E"/>
    <w:rsid w:val="00EB377F"/>
    <w:rsid w:val="00EB7457"/>
    <w:rsid w:val="00ED178F"/>
    <w:rsid w:val="00ED3B02"/>
    <w:rsid w:val="00EE0D79"/>
    <w:rsid w:val="00EE664C"/>
    <w:rsid w:val="00EF0FB1"/>
    <w:rsid w:val="00EF4CB0"/>
    <w:rsid w:val="00EF4DFB"/>
    <w:rsid w:val="00EF62C1"/>
    <w:rsid w:val="00F20BDB"/>
    <w:rsid w:val="00F30C0E"/>
    <w:rsid w:val="00F400FE"/>
    <w:rsid w:val="00F44F10"/>
    <w:rsid w:val="00F46B4A"/>
    <w:rsid w:val="00F47135"/>
    <w:rsid w:val="00F529C4"/>
    <w:rsid w:val="00F56366"/>
    <w:rsid w:val="00F57C4C"/>
    <w:rsid w:val="00F74A11"/>
    <w:rsid w:val="00F838CE"/>
    <w:rsid w:val="00F965D0"/>
    <w:rsid w:val="00FA74D3"/>
    <w:rsid w:val="00FB1090"/>
    <w:rsid w:val="00FC7A26"/>
    <w:rsid w:val="00FD1F42"/>
    <w:rsid w:val="00FD5C1F"/>
    <w:rsid w:val="00FD61F9"/>
    <w:rsid w:val="00FE5B29"/>
    <w:rsid w:val="00FE6964"/>
    <w:rsid w:val="00FF4120"/>
    <w:rsid w:val="00FF434E"/>
    <w:rsid w:val="00FF7945"/>
    <w:rsid w:val="7B61CC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4468"/>
    <w:pPr>
      <w:spacing w:after="0" w:line="240" w:lineRule="auto"/>
    </w:pPr>
    <w:rPr>
      <w:rFonts w:ascii="Times New Roman" w:hAnsi="Times New Roman" w:eastAsia="Times New Roman" w:cs="Times New Roman"/>
      <w:sz w:val="20"/>
      <w:szCs w:val="20"/>
      <w:lang w:eastAsia="es-ES"/>
    </w:rPr>
  </w:style>
  <w:style w:type="paragraph" w:styleId="Ttulo2">
    <w:name w:val="heading 2"/>
    <w:basedOn w:val="Normal"/>
    <w:next w:val="Normal"/>
    <w:link w:val="Ttulo2Car"/>
    <w:uiPriority w:val="9"/>
    <w:unhideWhenUsed/>
    <w:qFormat/>
    <w:rsid w:val="00CD122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1" w:customStyle="1">
    <w:name w:val="Mención sin resolver1"/>
    <w:basedOn w:val="Fuentedeprrafopredeter"/>
    <w:uiPriority w:val="99"/>
    <w:semiHidden/>
    <w:unhideWhenUsed/>
    <w:rsid w:val="00E22215"/>
    <w:rPr>
      <w:color w:val="605E5C"/>
      <w:shd w:val="clear" w:color="auto" w:fill="E1DFDD"/>
    </w:rPr>
  </w:style>
  <w:style w:type="character" w:styleId="Ttulo2Car" w:customStyle="1">
    <w:name w:val="Título 2 Car"/>
    <w:basedOn w:val="Fuentedeprrafopredeter"/>
    <w:link w:val="Ttulo2"/>
    <w:uiPriority w:val="9"/>
    <w:rsid w:val="00CD1229"/>
    <w:rPr>
      <w:rFonts w:asciiTheme="majorHAnsi" w:hAnsiTheme="majorHAnsi" w:eastAsiaTheme="majorEastAsia" w:cstheme="majorBidi"/>
      <w:color w:val="2F5496" w:themeColor="accent1" w:themeShade="BF"/>
      <w:sz w:val="26"/>
      <w:szCs w:val="26"/>
      <w:lang w:eastAsia="es-ES"/>
    </w:rPr>
  </w:style>
  <w:style w:type="character" w:styleId="Mencinsinresolver2" w:customStyle="1">
    <w:name w:val="Mención sin resolver2"/>
    <w:basedOn w:val="Fuentedeprrafopredeter"/>
    <w:uiPriority w:val="99"/>
    <w:semiHidden/>
    <w:unhideWhenUsed/>
    <w:rsid w:val="00C61C11"/>
    <w:rPr>
      <w:color w:val="605E5C"/>
      <w:shd w:val="clear" w:color="auto" w:fill="E1DFDD"/>
    </w:rPr>
  </w:style>
  <w:style w:type="character" w:styleId="normaltextrun" w:customStyle="1">
    <w:name w:val="normaltextrun"/>
    <w:basedOn w:val="Fuentedeprrafopredeter"/>
    <w:rsid w:val="00C93ACB"/>
  </w:style>
  <w:style w:type="paragraph" w:styleId="paragraph" w:customStyle="1">
    <w:name w:val="paragraph"/>
    <w:basedOn w:val="Normal"/>
    <w:rsid w:val="00C93ACB"/>
    <w:pPr>
      <w:spacing w:before="100" w:beforeAutospacing="1" w:after="100" w:afterAutospacing="1"/>
    </w:pPr>
    <w:rPr>
      <w:sz w:val="24"/>
      <w:szCs w:val="24"/>
      <w:lang w:val="en-US" w:eastAsia="en-US"/>
    </w:rPr>
  </w:style>
  <w:style w:type="paragraph" w:styleId="NormalWeb">
    <w:name w:val="Normal (Web)"/>
    <w:basedOn w:val="Normal"/>
    <w:uiPriority w:val="99"/>
    <w:semiHidden/>
    <w:unhideWhenUsed/>
    <w:rsid w:val="00C93ACB"/>
    <w:pPr>
      <w:spacing w:before="100" w:beforeAutospacing="1" w:after="100" w:afterAutospacing="1"/>
    </w:pPr>
    <w:rPr>
      <w:sz w:val="24"/>
      <w:szCs w:val="24"/>
      <w:lang w:val="en-US" w:eastAsia="en-US"/>
    </w:rPr>
  </w:style>
  <w:style w:type="paragraph" w:styleId="Sinespaciado">
    <w:name w:val="No Spacing"/>
    <w:uiPriority w:val="1"/>
    <w:qFormat/>
    <w:rsid w:val="00625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72">
      <w:bodyDiv w:val="1"/>
      <w:marLeft w:val="0"/>
      <w:marRight w:val="0"/>
      <w:marTop w:val="0"/>
      <w:marBottom w:val="0"/>
      <w:divBdr>
        <w:top w:val="none" w:sz="0" w:space="0" w:color="auto"/>
        <w:left w:val="none" w:sz="0" w:space="0" w:color="auto"/>
        <w:bottom w:val="none" w:sz="0" w:space="0" w:color="auto"/>
        <w:right w:val="none" w:sz="0" w:space="0" w:color="auto"/>
      </w:divBdr>
    </w:div>
    <w:div w:id="238953127">
      <w:bodyDiv w:val="1"/>
      <w:marLeft w:val="0"/>
      <w:marRight w:val="0"/>
      <w:marTop w:val="0"/>
      <w:marBottom w:val="0"/>
      <w:divBdr>
        <w:top w:val="none" w:sz="0" w:space="0" w:color="auto"/>
        <w:left w:val="none" w:sz="0" w:space="0" w:color="auto"/>
        <w:bottom w:val="none" w:sz="0" w:space="0" w:color="auto"/>
        <w:right w:val="none" w:sz="0" w:space="0" w:color="auto"/>
      </w:divBdr>
    </w:div>
    <w:div w:id="311174530">
      <w:bodyDiv w:val="1"/>
      <w:marLeft w:val="0"/>
      <w:marRight w:val="0"/>
      <w:marTop w:val="0"/>
      <w:marBottom w:val="0"/>
      <w:divBdr>
        <w:top w:val="none" w:sz="0" w:space="0" w:color="auto"/>
        <w:left w:val="none" w:sz="0" w:space="0" w:color="auto"/>
        <w:bottom w:val="none" w:sz="0" w:space="0" w:color="auto"/>
        <w:right w:val="none" w:sz="0" w:space="0" w:color="auto"/>
      </w:divBdr>
    </w:div>
    <w:div w:id="827792538">
      <w:bodyDiv w:val="1"/>
      <w:marLeft w:val="0"/>
      <w:marRight w:val="0"/>
      <w:marTop w:val="0"/>
      <w:marBottom w:val="0"/>
      <w:divBdr>
        <w:top w:val="none" w:sz="0" w:space="0" w:color="auto"/>
        <w:left w:val="none" w:sz="0" w:space="0" w:color="auto"/>
        <w:bottom w:val="none" w:sz="0" w:space="0" w:color="auto"/>
        <w:right w:val="none" w:sz="0" w:space="0" w:color="auto"/>
      </w:divBdr>
    </w:div>
    <w:div w:id="1078017418">
      <w:bodyDiv w:val="1"/>
      <w:marLeft w:val="0"/>
      <w:marRight w:val="0"/>
      <w:marTop w:val="0"/>
      <w:marBottom w:val="0"/>
      <w:divBdr>
        <w:top w:val="none" w:sz="0" w:space="0" w:color="auto"/>
        <w:left w:val="none" w:sz="0" w:space="0" w:color="auto"/>
        <w:bottom w:val="none" w:sz="0" w:space="0" w:color="auto"/>
        <w:right w:val="none" w:sz="0" w:space="0" w:color="auto"/>
      </w:divBdr>
    </w:div>
    <w:div w:id="1593246520">
      <w:bodyDiv w:val="1"/>
      <w:marLeft w:val="0"/>
      <w:marRight w:val="0"/>
      <w:marTop w:val="0"/>
      <w:marBottom w:val="0"/>
      <w:divBdr>
        <w:top w:val="none" w:sz="0" w:space="0" w:color="auto"/>
        <w:left w:val="none" w:sz="0" w:space="0" w:color="auto"/>
        <w:bottom w:val="none" w:sz="0" w:space="0" w:color="auto"/>
        <w:right w:val="none" w:sz="0" w:space="0" w:color="auto"/>
      </w:divBdr>
    </w:div>
    <w:div w:id="1709186362">
      <w:bodyDiv w:val="1"/>
      <w:marLeft w:val="0"/>
      <w:marRight w:val="0"/>
      <w:marTop w:val="0"/>
      <w:marBottom w:val="0"/>
      <w:divBdr>
        <w:top w:val="none" w:sz="0" w:space="0" w:color="auto"/>
        <w:left w:val="none" w:sz="0" w:space="0" w:color="auto"/>
        <w:bottom w:val="none" w:sz="0" w:space="0" w:color="auto"/>
        <w:right w:val="none" w:sz="0" w:space="0" w:color="auto"/>
      </w:divBdr>
    </w:div>
    <w:div w:id="1816949067">
      <w:bodyDiv w:val="1"/>
      <w:marLeft w:val="0"/>
      <w:marRight w:val="0"/>
      <w:marTop w:val="0"/>
      <w:marBottom w:val="0"/>
      <w:divBdr>
        <w:top w:val="none" w:sz="0" w:space="0" w:color="auto"/>
        <w:left w:val="none" w:sz="0" w:space="0" w:color="auto"/>
        <w:bottom w:val="none" w:sz="0" w:space="0" w:color="auto"/>
        <w:right w:val="none" w:sz="0" w:space="0" w:color="auto"/>
      </w:divBdr>
    </w:div>
    <w:div w:id="182762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a107ce7b0f154b4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73c1a71-e3eb-45c4-8dd8-fce9f65b4fdf}"/>
      </w:docPartPr>
      <w:docPartBody>
        <w:p w14:paraId="10534F5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ED91-967F-411E-B035-591D9426E4D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4</revision>
  <dcterms:created xsi:type="dcterms:W3CDTF">2023-02-01T22:04:00.0000000Z</dcterms:created>
  <dcterms:modified xsi:type="dcterms:W3CDTF">2023-03-09T17:12:07.6749428Z</dcterms:modified>
</coreProperties>
</file>