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952F4" w14:textId="5E75EAF4" w:rsidR="7D712084" w:rsidRDefault="7D712084" w:rsidP="7D712084">
      <w:pPr>
        <w:tabs>
          <w:tab w:val="left" w:pos="3465"/>
        </w:tabs>
        <w:spacing w:line="360" w:lineRule="auto"/>
        <w:jc w:val="both"/>
        <w:rPr>
          <w:rFonts w:ascii="Palatino Linotype" w:eastAsia="Palatino Linotype" w:hAnsi="Palatino Linotype" w:cs="Palatino Linotype"/>
        </w:rPr>
      </w:pPr>
      <w:r w:rsidRPr="7D712084">
        <w:rPr>
          <w:rFonts w:ascii="Palatino Linotype" w:eastAsiaTheme="minorEastAsia"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w:t>
      </w:r>
      <w:r w:rsidRPr="7D712084">
        <w:rPr>
          <w:rFonts w:ascii="Palatino Linotype" w:eastAsia="Palatino Linotype" w:hAnsi="Palatino Linotype" w:cs="Palatino Linotype"/>
          <w:color w:val="000000" w:themeColor="text1"/>
        </w:rPr>
        <w:t>dieciséis (16) de agosto de dos mil veintitrés.</w:t>
      </w:r>
    </w:p>
    <w:p w14:paraId="4CD92C47" w14:textId="01A4E92F" w:rsidR="001B067D" w:rsidRPr="000353E1" w:rsidRDefault="001B067D" w:rsidP="000353E1">
      <w:pPr>
        <w:tabs>
          <w:tab w:val="left" w:pos="567"/>
          <w:tab w:val="left" w:pos="709"/>
          <w:tab w:val="left" w:pos="3465"/>
        </w:tabs>
        <w:spacing w:before="240" w:after="360" w:line="360" w:lineRule="auto"/>
        <w:jc w:val="both"/>
        <w:rPr>
          <w:rFonts w:ascii="Palatino Linotype" w:eastAsiaTheme="minorEastAsia" w:hAnsi="Palatino Linotype"/>
          <w:b/>
          <w:bCs/>
          <w:color w:val="000000" w:themeColor="text1"/>
          <w:lang w:val="es-ES_tradnl"/>
        </w:rPr>
      </w:pPr>
      <w:r w:rsidRPr="000353E1">
        <w:rPr>
          <w:rFonts w:ascii="Palatino Linotype" w:eastAsiaTheme="minorEastAsia" w:hAnsi="Palatino Linotype"/>
          <w:b/>
          <w:color w:val="000000" w:themeColor="text1"/>
          <w:lang w:val="es-ES_tradnl"/>
        </w:rPr>
        <w:t>VISTO</w:t>
      </w:r>
      <w:r w:rsidRPr="000353E1">
        <w:rPr>
          <w:rFonts w:ascii="Palatino Linotype" w:eastAsiaTheme="minorEastAsia" w:hAnsi="Palatino Linotype"/>
          <w:color w:val="000000" w:themeColor="text1"/>
          <w:lang w:val="es-ES_tradnl"/>
        </w:rPr>
        <w:t xml:space="preserve"> el expediente electrónico formado con motivo del recurso de </w:t>
      </w:r>
      <w:r w:rsidR="00875E26" w:rsidRPr="000353E1">
        <w:rPr>
          <w:rFonts w:ascii="Palatino Linotype" w:eastAsiaTheme="minorEastAsia" w:hAnsi="Palatino Linotype"/>
          <w:color w:val="000000" w:themeColor="text1"/>
          <w:lang w:val="es-ES_tradnl"/>
        </w:rPr>
        <w:t>revisión</w:t>
      </w:r>
      <w:r w:rsidR="009D2B11" w:rsidRPr="000353E1">
        <w:rPr>
          <w:rFonts w:ascii="Palatino Linotype" w:eastAsiaTheme="minorEastAsia" w:hAnsi="Palatino Linotype"/>
          <w:color w:val="000000" w:themeColor="text1"/>
          <w:lang w:val="es-ES_tradnl"/>
        </w:rPr>
        <w:t xml:space="preserve"> </w:t>
      </w:r>
      <w:r w:rsidR="009D2B11" w:rsidRPr="000353E1">
        <w:rPr>
          <w:rFonts w:ascii="Palatino Linotype" w:eastAsiaTheme="minorEastAsia" w:hAnsi="Palatino Linotype"/>
          <w:b/>
          <w:color w:val="000000" w:themeColor="text1"/>
          <w:lang w:val="es-ES_tradnl"/>
        </w:rPr>
        <w:t>16733/INFOEM/IP/RR/2022</w:t>
      </w:r>
      <w:r w:rsidR="00CC5D3A" w:rsidRPr="000353E1">
        <w:rPr>
          <w:rFonts w:ascii="Palatino Linotype" w:eastAsiaTheme="minorEastAsia" w:hAnsi="Palatino Linotype"/>
          <w:b/>
          <w:bCs/>
          <w:color w:val="000000" w:themeColor="text1"/>
          <w:lang w:val="es-ES_tradnl"/>
        </w:rPr>
        <w:t xml:space="preserve">, </w:t>
      </w:r>
      <w:r w:rsidR="00CC5D3A" w:rsidRPr="000353E1">
        <w:rPr>
          <w:rFonts w:ascii="Palatino Linotype" w:eastAsia="MS Mincho" w:hAnsi="Palatino Linotype"/>
          <w:color w:val="000000"/>
          <w:lang w:val="es-ES_tradnl"/>
        </w:rPr>
        <w:t xml:space="preserve">promovido por </w:t>
      </w:r>
      <w:r w:rsidR="00CC5D3A" w:rsidRPr="00553A8B">
        <w:rPr>
          <w:rFonts w:ascii="Palatino Linotype" w:eastAsia="MS Mincho" w:hAnsi="Palatino Linotype"/>
          <w:b/>
          <w:color w:val="000000"/>
          <w:lang w:val="es-ES_tradnl"/>
        </w:rPr>
        <w:t>un usuario del Sistema de Acceso a la Información Mexiquense</w:t>
      </w:r>
      <w:r w:rsidR="00CC5D3A" w:rsidRPr="000353E1">
        <w:rPr>
          <w:rFonts w:ascii="Palatino Linotype" w:eastAsia="MS Mincho" w:hAnsi="Palatino Linotype"/>
          <w:color w:val="000000"/>
          <w:lang w:val="es-ES_tradnl"/>
        </w:rPr>
        <w:t xml:space="preserve"> (</w:t>
      </w:r>
      <w:r w:rsidR="00CC5D3A" w:rsidRPr="000353E1">
        <w:rPr>
          <w:rFonts w:ascii="Palatino Linotype" w:eastAsia="MS Mincho" w:hAnsi="Palatino Linotype"/>
          <w:b/>
          <w:color w:val="000000"/>
          <w:lang w:val="es-ES_tradnl"/>
        </w:rPr>
        <w:t>SAIMEX</w:t>
      </w:r>
      <w:r w:rsidR="00CC5D3A" w:rsidRPr="000353E1">
        <w:rPr>
          <w:rFonts w:ascii="Palatino Linotype" w:eastAsia="MS Mincho" w:hAnsi="Palatino Linotype"/>
          <w:color w:val="000000"/>
          <w:lang w:val="es-ES_tradnl"/>
        </w:rPr>
        <w:t>), qu</w:t>
      </w:r>
      <w:r w:rsidR="00553A8B">
        <w:rPr>
          <w:rFonts w:ascii="Palatino Linotype" w:eastAsia="MS Mincho" w:hAnsi="Palatino Linotype"/>
          <w:color w:val="000000"/>
          <w:lang w:val="es-ES_tradnl"/>
        </w:rPr>
        <w:t>ien</w:t>
      </w:r>
      <w:r w:rsidR="00CC5D3A" w:rsidRPr="000353E1">
        <w:rPr>
          <w:rFonts w:ascii="Palatino Linotype" w:eastAsia="MS Mincho" w:hAnsi="Palatino Linotype"/>
          <w:color w:val="000000"/>
          <w:lang w:val="es-ES_tradnl"/>
        </w:rPr>
        <w:t xml:space="preserve"> no proporcionó nombre</w:t>
      </w:r>
      <w:r w:rsidR="00553A8B">
        <w:rPr>
          <w:rFonts w:ascii="Palatino Linotype" w:eastAsia="MS Mincho" w:hAnsi="Palatino Linotype"/>
          <w:color w:val="000000"/>
          <w:lang w:val="es-ES_tradnl"/>
        </w:rPr>
        <w:t xml:space="preserve"> alguno</w:t>
      </w:r>
      <w:r w:rsidR="00CC5D3A" w:rsidRPr="000353E1">
        <w:rPr>
          <w:rFonts w:ascii="Palatino Linotype" w:eastAsia="MS Mincho" w:hAnsi="Palatino Linotype"/>
          <w:color w:val="000000"/>
          <w:lang w:val="es-ES_tradnl"/>
        </w:rPr>
        <w:t xml:space="preserve"> o seudónimo para ser identificado y quien en lo sucesivo se identificará como el </w:t>
      </w:r>
      <w:r w:rsidR="00CC5D3A" w:rsidRPr="000353E1">
        <w:rPr>
          <w:rFonts w:ascii="Palatino Linotype" w:eastAsia="MS Mincho" w:hAnsi="Palatino Linotype"/>
          <w:b/>
          <w:color w:val="000000"/>
          <w:lang w:val="es-ES_tradnl"/>
        </w:rPr>
        <w:t>RECURRENTE</w:t>
      </w:r>
      <w:r w:rsidR="00CC5D3A" w:rsidRPr="000353E1">
        <w:rPr>
          <w:rFonts w:ascii="Palatino Linotype" w:eastAsia="MS Mincho" w:hAnsi="Palatino Linotype"/>
          <w:color w:val="000000" w:themeColor="text1"/>
          <w:lang w:val="es-ES_tradnl"/>
        </w:rPr>
        <w:t>,</w:t>
      </w:r>
      <w:r w:rsidR="00CC5D3A" w:rsidRPr="000353E1">
        <w:rPr>
          <w:rFonts w:ascii="Palatino Linotype" w:eastAsiaTheme="minorEastAsia" w:hAnsi="Palatino Linotype"/>
          <w:color w:val="000000" w:themeColor="text1"/>
          <w:lang w:val="es-ES_tradnl"/>
        </w:rPr>
        <w:t xml:space="preserve"> </w:t>
      </w:r>
      <w:r w:rsidR="004D372C" w:rsidRPr="000353E1">
        <w:rPr>
          <w:rFonts w:ascii="Palatino Linotype" w:eastAsiaTheme="minorEastAsia" w:hAnsi="Palatino Linotype"/>
          <w:color w:val="000000" w:themeColor="text1"/>
          <w:lang w:val="es-ES_tradnl"/>
        </w:rPr>
        <w:t>en contra de la respuesta</w:t>
      </w:r>
      <w:r w:rsidRPr="000353E1">
        <w:rPr>
          <w:rFonts w:ascii="Palatino Linotype" w:eastAsiaTheme="minorEastAsia" w:hAnsi="Palatino Linotype"/>
          <w:color w:val="000000" w:themeColor="text1"/>
          <w:lang w:val="es-ES_tradnl"/>
        </w:rPr>
        <w:t xml:space="preserve"> </w:t>
      </w:r>
      <w:r w:rsidR="00CC5D3A" w:rsidRPr="000353E1">
        <w:rPr>
          <w:rFonts w:ascii="Palatino Linotype" w:eastAsiaTheme="minorEastAsia" w:hAnsi="Palatino Linotype"/>
          <w:color w:val="000000" w:themeColor="text1"/>
          <w:lang w:val="es-ES_tradnl"/>
        </w:rPr>
        <w:t>de</w:t>
      </w:r>
      <w:r w:rsidR="009D2B11" w:rsidRPr="000353E1">
        <w:rPr>
          <w:rFonts w:ascii="Palatino Linotype" w:eastAsiaTheme="minorEastAsia" w:hAnsi="Palatino Linotype"/>
          <w:b/>
          <w:color w:val="000000" w:themeColor="text1"/>
          <w:lang w:val="es-ES_tradnl"/>
        </w:rPr>
        <w:t xml:space="preserve"> </w:t>
      </w:r>
      <w:r w:rsidR="009D2B11" w:rsidRPr="000353E1">
        <w:rPr>
          <w:rFonts w:ascii="Palatino Linotype" w:eastAsiaTheme="minorEastAsia" w:hAnsi="Palatino Linotype"/>
          <w:color w:val="000000" w:themeColor="text1"/>
          <w:lang w:val="es-ES_tradnl"/>
        </w:rPr>
        <w:t>la</w:t>
      </w:r>
      <w:r w:rsidR="009D2B11" w:rsidRPr="000353E1">
        <w:rPr>
          <w:rFonts w:ascii="Palatino Linotype" w:eastAsiaTheme="minorEastAsia" w:hAnsi="Palatino Linotype"/>
          <w:b/>
          <w:color w:val="000000" w:themeColor="text1"/>
          <w:lang w:val="es-ES_tradnl"/>
        </w:rPr>
        <w:t xml:space="preserve"> Secretaría de Finanzas</w:t>
      </w:r>
      <w:r w:rsidR="00CC5D3A" w:rsidRPr="000353E1">
        <w:rPr>
          <w:rFonts w:ascii="Palatino Linotype" w:eastAsiaTheme="minorEastAsia" w:hAnsi="Palatino Linotype"/>
          <w:b/>
          <w:color w:val="000000" w:themeColor="text1"/>
          <w:lang w:val="es-ES_tradnl"/>
        </w:rPr>
        <w:t xml:space="preserve"> </w:t>
      </w:r>
      <w:r w:rsidRPr="000353E1">
        <w:rPr>
          <w:rFonts w:ascii="Palatino Linotype" w:eastAsiaTheme="minorEastAsia" w:hAnsi="Palatino Linotype"/>
          <w:color w:val="000000" w:themeColor="text1"/>
          <w:lang w:val="es-ES_tradnl"/>
        </w:rPr>
        <w:t>en lo sucesivo el</w:t>
      </w:r>
      <w:r w:rsidRPr="000353E1">
        <w:rPr>
          <w:rFonts w:ascii="Palatino Linotype" w:eastAsiaTheme="minorEastAsia" w:hAnsi="Palatino Linotype"/>
          <w:b/>
          <w:color w:val="000000" w:themeColor="text1"/>
          <w:lang w:val="es-ES_tradnl"/>
        </w:rPr>
        <w:t xml:space="preserve"> SUJETO OBLIGADO, </w:t>
      </w:r>
      <w:r w:rsidRPr="000353E1">
        <w:rPr>
          <w:rFonts w:ascii="Palatino Linotype" w:eastAsiaTheme="minorEastAsia" w:hAnsi="Palatino Linotype"/>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650223E5" w:rsidR="00F216D7" w:rsidRPr="000353E1" w:rsidRDefault="00EA0165" w:rsidP="000353E1">
      <w:pPr>
        <w:pStyle w:val="Ttulo1"/>
        <w:tabs>
          <w:tab w:val="left" w:pos="567"/>
          <w:tab w:val="left" w:pos="709"/>
        </w:tabs>
        <w:spacing w:line="360" w:lineRule="auto"/>
        <w:jc w:val="center"/>
        <w:rPr>
          <w:rFonts w:ascii="Palatino Linotype" w:hAnsi="Palatino Linotype" w:cs="Times New Roman"/>
          <w:b/>
          <w:color w:val="000000" w:themeColor="text1"/>
          <w:sz w:val="24"/>
          <w:szCs w:val="24"/>
          <w:lang w:val="es-MX" w:eastAsia="en-US"/>
        </w:rPr>
      </w:pPr>
      <w:bookmarkStart w:id="3" w:name="_Toc105089657"/>
      <w:r w:rsidRPr="000353E1">
        <w:rPr>
          <w:rFonts w:ascii="Palatino Linotype" w:hAnsi="Palatino Linotype" w:cs="Times New Roman"/>
          <w:b/>
          <w:color w:val="000000" w:themeColor="text1"/>
          <w:sz w:val="24"/>
          <w:szCs w:val="24"/>
          <w:lang w:val="es-MX" w:eastAsia="en-US"/>
        </w:rPr>
        <w:t>ANTECEDENTES</w:t>
      </w:r>
      <w:bookmarkEnd w:id="0"/>
      <w:bookmarkEnd w:id="1"/>
      <w:bookmarkEnd w:id="2"/>
      <w:bookmarkEnd w:id="3"/>
    </w:p>
    <w:p w14:paraId="2584B3C8" w14:textId="4107A9A3" w:rsidR="00132CE1" w:rsidRPr="000353E1" w:rsidRDefault="00EA0165" w:rsidP="000353E1">
      <w:pPr>
        <w:pStyle w:val="Prrafodelista"/>
        <w:numPr>
          <w:ilvl w:val="0"/>
          <w:numId w:val="2"/>
        </w:numPr>
        <w:tabs>
          <w:tab w:val="left" w:pos="567"/>
        </w:tabs>
        <w:spacing w:before="240" w:after="240" w:line="360" w:lineRule="auto"/>
        <w:ind w:left="0" w:firstLine="0"/>
        <w:contextualSpacing/>
        <w:jc w:val="both"/>
        <w:rPr>
          <w:rFonts w:ascii="Palatino Linotype" w:eastAsia="Calibri" w:hAnsi="Palatino Linotype"/>
          <w:color w:val="000000" w:themeColor="text1"/>
        </w:rPr>
      </w:pPr>
      <w:r w:rsidRPr="000353E1">
        <w:rPr>
          <w:rFonts w:ascii="Palatino Linotype" w:eastAsia="Calibri" w:hAnsi="Palatino Linotype"/>
          <w:color w:val="000000" w:themeColor="text1"/>
        </w:rPr>
        <w:t>El</w:t>
      </w:r>
      <w:r w:rsidR="00F216D7" w:rsidRPr="000353E1">
        <w:rPr>
          <w:rFonts w:ascii="Palatino Linotype" w:eastAsia="Calibri" w:hAnsi="Palatino Linotype"/>
          <w:color w:val="000000" w:themeColor="text1"/>
        </w:rPr>
        <w:t xml:space="preserve"> </w:t>
      </w:r>
      <w:r w:rsidR="009D2B11" w:rsidRPr="000353E1">
        <w:rPr>
          <w:rFonts w:ascii="Palatino Linotype" w:eastAsia="Calibri" w:hAnsi="Palatino Linotype"/>
          <w:color w:val="000000" w:themeColor="text1"/>
        </w:rPr>
        <w:t>veinticinco</w:t>
      </w:r>
      <w:r w:rsidR="006D0C3D" w:rsidRPr="000353E1">
        <w:rPr>
          <w:rFonts w:ascii="Palatino Linotype" w:eastAsia="Calibri" w:hAnsi="Palatino Linotype"/>
          <w:color w:val="000000" w:themeColor="text1"/>
        </w:rPr>
        <w:t xml:space="preserve"> </w:t>
      </w:r>
      <w:r w:rsidRPr="000353E1">
        <w:rPr>
          <w:rFonts w:ascii="Palatino Linotype" w:eastAsia="Calibri" w:hAnsi="Palatino Linotype"/>
          <w:color w:val="000000" w:themeColor="text1"/>
        </w:rPr>
        <w:t>(</w:t>
      </w:r>
      <w:r w:rsidR="009D2B11" w:rsidRPr="000353E1">
        <w:rPr>
          <w:rFonts w:ascii="Palatino Linotype" w:eastAsia="Calibri" w:hAnsi="Palatino Linotype"/>
          <w:color w:val="000000" w:themeColor="text1"/>
        </w:rPr>
        <w:t>25</w:t>
      </w:r>
      <w:r w:rsidRPr="000353E1">
        <w:rPr>
          <w:rFonts w:ascii="Palatino Linotype" w:eastAsia="Calibri" w:hAnsi="Palatino Linotype"/>
          <w:color w:val="000000" w:themeColor="text1"/>
        </w:rPr>
        <w:t>) de</w:t>
      </w:r>
      <w:r w:rsidR="009D2B11" w:rsidRPr="000353E1">
        <w:rPr>
          <w:rFonts w:ascii="Palatino Linotype" w:eastAsia="Calibri" w:hAnsi="Palatino Linotype"/>
          <w:color w:val="000000" w:themeColor="text1"/>
        </w:rPr>
        <w:t xml:space="preserve"> octubre</w:t>
      </w:r>
      <w:r w:rsidR="008A42D6" w:rsidRPr="000353E1">
        <w:rPr>
          <w:rFonts w:ascii="Palatino Linotype" w:eastAsia="Calibri" w:hAnsi="Palatino Linotype"/>
          <w:color w:val="000000" w:themeColor="text1"/>
        </w:rPr>
        <w:t xml:space="preserve"> </w:t>
      </w:r>
      <w:r w:rsidRPr="000353E1">
        <w:rPr>
          <w:rFonts w:ascii="Palatino Linotype" w:eastAsia="Calibri" w:hAnsi="Palatino Linotype"/>
          <w:color w:val="000000" w:themeColor="text1"/>
        </w:rPr>
        <w:t xml:space="preserve">de dos mil </w:t>
      </w:r>
      <w:r w:rsidR="00A91CCB" w:rsidRPr="000353E1">
        <w:rPr>
          <w:rFonts w:ascii="Palatino Linotype" w:eastAsia="Calibri" w:hAnsi="Palatino Linotype"/>
          <w:color w:val="000000" w:themeColor="text1"/>
        </w:rPr>
        <w:t>veintidós</w:t>
      </w:r>
      <w:r w:rsidRPr="000353E1">
        <w:rPr>
          <w:rFonts w:ascii="Palatino Linotype" w:eastAsia="Calibri" w:hAnsi="Palatino Linotype"/>
          <w:color w:val="000000" w:themeColor="text1"/>
        </w:rPr>
        <w:t xml:space="preserve">, </w:t>
      </w:r>
      <w:r w:rsidRPr="000353E1">
        <w:rPr>
          <w:rFonts w:ascii="Palatino Linotype" w:eastAsiaTheme="minorEastAsia" w:hAnsi="Palatino Linotype"/>
          <w:color w:val="000000" w:themeColor="text1"/>
          <w:lang w:val="es-ES_tradnl"/>
        </w:rPr>
        <w:t>el particular presentó</w:t>
      </w:r>
      <w:r w:rsidR="004E2BC2" w:rsidRPr="000353E1">
        <w:rPr>
          <w:rFonts w:ascii="Palatino Linotype" w:eastAsiaTheme="minorEastAsia" w:hAnsi="Palatino Linotype"/>
          <w:bCs/>
          <w:color w:val="000000" w:themeColor="text1"/>
          <w:lang w:val="es-ES_tradnl"/>
        </w:rPr>
        <w:t xml:space="preserve"> a través del Sistema de Acceso a la Información Mexiquense (</w:t>
      </w:r>
      <w:r w:rsidR="004E2BC2" w:rsidRPr="000353E1">
        <w:rPr>
          <w:rFonts w:ascii="Palatino Linotype" w:eastAsiaTheme="minorEastAsia" w:hAnsi="Palatino Linotype"/>
          <w:b/>
          <w:bCs/>
          <w:color w:val="000000" w:themeColor="text1"/>
          <w:lang w:val="es-ES_tradnl"/>
        </w:rPr>
        <w:t>SAIMEX</w:t>
      </w:r>
      <w:r w:rsidR="004E2BC2" w:rsidRPr="000353E1">
        <w:rPr>
          <w:rFonts w:ascii="Palatino Linotype" w:eastAsiaTheme="minorEastAsia" w:hAnsi="Palatino Linotype"/>
          <w:bCs/>
          <w:color w:val="000000" w:themeColor="text1"/>
          <w:lang w:val="es-ES_tradnl"/>
        </w:rPr>
        <w:t>)</w:t>
      </w:r>
      <w:r w:rsidRPr="000353E1">
        <w:rPr>
          <w:rFonts w:ascii="Palatino Linotype" w:eastAsia="Calibri" w:hAnsi="Palatino Linotype"/>
          <w:b/>
          <w:color w:val="000000" w:themeColor="text1"/>
        </w:rPr>
        <w:t xml:space="preserve">, </w:t>
      </w:r>
      <w:r w:rsidRPr="000353E1">
        <w:rPr>
          <w:rFonts w:ascii="Palatino Linotype" w:eastAsia="Calibri" w:hAnsi="Palatino Linotype"/>
          <w:color w:val="000000" w:themeColor="text1"/>
        </w:rPr>
        <w:t>la solicitud de información pública registrada con el número</w:t>
      </w:r>
      <w:r w:rsidR="0050018F" w:rsidRPr="000353E1">
        <w:rPr>
          <w:rFonts w:ascii="Palatino Linotype" w:hAnsi="Palatino Linotype"/>
          <w:b/>
          <w:bCs/>
          <w:color w:val="FF0000"/>
        </w:rPr>
        <w:t xml:space="preserve"> </w:t>
      </w:r>
      <w:r w:rsidR="009D2B11" w:rsidRPr="000353E1">
        <w:rPr>
          <w:rFonts w:ascii="Palatino Linotype" w:eastAsia="Calibri" w:hAnsi="Palatino Linotype"/>
          <w:b/>
          <w:bCs/>
          <w:color w:val="000000" w:themeColor="text1"/>
        </w:rPr>
        <w:t>00491/SF/IP/2022</w:t>
      </w:r>
      <w:r w:rsidR="000965A1" w:rsidRPr="000353E1">
        <w:rPr>
          <w:rFonts w:ascii="Palatino Linotype" w:eastAsia="Calibri" w:hAnsi="Palatino Linotype"/>
          <w:b/>
          <w:bCs/>
          <w:color w:val="000000" w:themeColor="text1"/>
        </w:rPr>
        <w:t>,</w:t>
      </w:r>
      <w:r w:rsidRPr="000353E1">
        <w:rPr>
          <w:rFonts w:ascii="Palatino Linotype" w:eastAsia="Calibri" w:hAnsi="Palatino Linotype"/>
          <w:color w:val="000000" w:themeColor="text1"/>
        </w:rPr>
        <w:t xml:space="preserve"> </w:t>
      </w:r>
      <w:r w:rsidR="00553A8B">
        <w:rPr>
          <w:rFonts w:ascii="Palatino Linotype" w:eastAsia="Calibri" w:hAnsi="Palatino Linotype"/>
          <w:color w:val="000000" w:themeColor="text1"/>
        </w:rPr>
        <w:t>en la que</w:t>
      </w:r>
      <w:r w:rsidRPr="000353E1">
        <w:rPr>
          <w:rFonts w:ascii="Palatino Linotype" w:eastAsia="Calibri" w:hAnsi="Palatino Linotype"/>
          <w:color w:val="000000" w:themeColor="text1"/>
        </w:rPr>
        <w:t xml:space="preserve"> requirió:</w:t>
      </w:r>
    </w:p>
    <w:p w14:paraId="364028B4" w14:textId="578180DE" w:rsidR="008A42D6" w:rsidRPr="000353E1" w:rsidRDefault="00EA0165" w:rsidP="000353E1">
      <w:pPr>
        <w:tabs>
          <w:tab w:val="left" w:pos="567"/>
          <w:tab w:val="left" w:pos="709"/>
        </w:tabs>
        <w:spacing w:line="360" w:lineRule="auto"/>
        <w:ind w:left="567" w:right="891"/>
        <w:contextualSpacing/>
        <w:jc w:val="both"/>
        <w:rPr>
          <w:rFonts w:ascii="Palatino Linotype" w:eastAsiaTheme="minorEastAsia" w:hAnsi="Palatino Linotype"/>
          <w:i/>
          <w:color w:val="000000" w:themeColor="text1"/>
          <w:lang w:val="es-ES_tradnl"/>
        </w:rPr>
      </w:pPr>
      <w:r w:rsidRPr="000353E1">
        <w:rPr>
          <w:rFonts w:ascii="Palatino Linotype" w:eastAsiaTheme="minorEastAsia" w:hAnsi="Palatino Linotype"/>
          <w:i/>
          <w:color w:val="000000" w:themeColor="text1"/>
          <w:lang w:val="es-ES_tradnl"/>
        </w:rPr>
        <w:t>“</w:t>
      </w:r>
      <w:r w:rsidR="009D2B11" w:rsidRPr="000353E1">
        <w:rPr>
          <w:rFonts w:ascii="Palatino Linotype" w:eastAsiaTheme="minorEastAsia" w:hAnsi="Palatino Linotype"/>
          <w:i/>
          <w:color w:val="000000" w:themeColor="text1"/>
          <w:lang w:val="es-ES_tradnl"/>
        </w:rPr>
        <w:t>Nombre de las personas contratadas por el Gobierno del Estado de México, a través de "Contratación de Servicios de Asesorías asociadas a convenios o acuerdos", dependencia a la que están adscritas.</w:t>
      </w:r>
      <w:r w:rsidRPr="000353E1">
        <w:rPr>
          <w:rFonts w:ascii="Palatino Linotype" w:eastAsiaTheme="minorEastAsia" w:hAnsi="Palatino Linotype"/>
          <w:i/>
          <w:color w:val="000000" w:themeColor="text1"/>
          <w:lang w:val="es-ES_tradnl"/>
        </w:rPr>
        <w:t xml:space="preserve">” </w:t>
      </w:r>
      <w:r w:rsidR="00F86968" w:rsidRPr="000353E1">
        <w:rPr>
          <w:rFonts w:ascii="Palatino Linotype" w:eastAsiaTheme="minorEastAsia" w:hAnsi="Palatino Linotype"/>
          <w:color w:val="000000" w:themeColor="text1"/>
          <w:lang w:val="es-ES_tradnl"/>
        </w:rPr>
        <w:t>(Sic)</w:t>
      </w:r>
      <w:r w:rsidR="007178BC" w:rsidRPr="000353E1">
        <w:rPr>
          <w:rFonts w:ascii="Palatino Linotype" w:eastAsiaTheme="minorEastAsia" w:hAnsi="Palatino Linotype"/>
          <w:color w:val="000000" w:themeColor="text1"/>
          <w:lang w:val="es-ES_tradnl"/>
        </w:rPr>
        <w:t>.</w:t>
      </w:r>
    </w:p>
    <w:p w14:paraId="4E4ECC91" w14:textId="77777777" w:rsidR="008A42D6" w:rsidRPr="000353E1" w:rsidRDefault="008A42D6" w:rsidP="000353E1">
      <w:pPr>
        <w:tabs>
          <w:tab w:val="left" w:pos="567"/>
          <w:tab w:val="left" w:pos="709"/>
        </w:tabs>
        <w:spacing w:line="360" w:lineRule="auto"/>
        <w:ind w:left="567" w:right="891"/>
        <w:contextualSpacing/>
        <w:jc w:val="both"/>
        <w:rPr>
          <w:rFonts w:ascii="Palatino Linotype" w:eastAsiaTheme="minorEastAsia" w:hAnsi="Palatino Linotype"/>
          <w:color w:val="000000" w:themeColor="text1"/>
          <w:lang w:val="es-ES_tradnl"/>
        </w:rPr>
      </w:pPr>
    </w:p>
    <w:p w14:paraId="65D47105" w14:textId="566661AC" w:rsidR="008A42D6" w:rsidRPr="000353E1" w:rsidRDefault="008A42D6" w:rsidP="000353E1">
      <w:pPr>
        <w:pStyle w:val="Prrafodelista"/>
        <w:numPr>
          <w:ilvl w:val="0"/>
          <w:numId w:val="3"/>
        </w:numPr>
        <w:spacing w:line="360" w:lineRule="auto"/>
        <w:ind w:left="851" w:right="891" w:hanging="284"/>
        <w:contextualSpacing/>
        <w:jc w:val="both"/>
        <w:rPr>
          <w:rFonts w:ascii="Palatino Linotype" w:eastAsiaTheme="minorEastAsia" w:hAnsi="Palatino Linotype"/>
          <w:color w:val="000000" w:themeColor="text1"/>
          <w:lang w:val="es-ES_tradnl"/>
        </w:rPr>
      </w:pPr>
      <w:r w:rsidRPr="000353E1">
        <w:rPr>
          <w:rFonts w:ascii="Palatino Linotype" w:eastAsiaTheme="minorEastAsia" w:hAnsi="Palatino Linotype"/>
          <w:color w:val="000000" w:themeColor="text1"/>
          <w:lang w:val="es-ES_tradnl"/>
        </w:rPr>
        <w:t>Se eligió como modalidad de entrega de la información: A través del SAIMEX</w:t>
      </w:r>
    </w:p>
    <w:p w14:paraId="72CAEACA" w14:textId="77777777" w:rsidR="00457E23" w:rsidRPr="000353E1" w:rsidRDefault="00457E23" w:rsidP="000353E1">
      <w:pPr>
        <w:pStyle w:val="Prrafodelista"/>
        <w:tabs>
          <w:tab w:val="left" w:pos="284"/>
          <w:tab w:val="left" w:pos="567"/>
          <w:tab w:val="left" w:pos="709"/>
        </w:tabs>
        <w:spacing w:before="240" w:after="240" w:line="360" w:lineRule="auto"/>
        <w:ind w:left="0"/>
        <w:contextualSpacing/>
        <w:jc w:val="both"/>
        <w:rPr>
          <w:rFonts w:ascii="Palatino Linotype" w:eastAsia="MS Mincho" w:hAnsi="Palatino Linotype"/>
          <w:lang w:val="es-ES_tradnl"/>
        </w:rPr>
      </w:pPr>
    </w:p>
    <w:p w14:paraId="505B198F" w14:textId="537260BB" w:rsidR="006E050D" w:rsidRPr="000353E1" w:rsidRDefault="009D2B11" w:rsidP="000353E1">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lang w:val="es-ES_tradnl"/>
        </w:rPr>
      </w:pPr>
      <w:r w:rsidRPr="000353E1">
        <w:rPr>
          <w:rFonts w:ascii="Palatino Linotype" w:eastAsia="MS Mincho" w:hAnsi="Palatino Linotype"/>
          <w:color w:val="000000" w:themeColor="text1"/>
          <w:lang w:val="es-ES_tradnl"/>
        </w:rPr>
        <w:lastRenderedPageBreak/>
        <w:t>El dieciséis (16) de noviembre</w:t>
      </w:r>
      <w:r w:rsidR="00AD41F1" w:rsidRPr="000353E1">
        <w:rPr>
          <w:rFonts w:ascii="Palatino Linotype" w:eastAsia="MS Mincho" w:hAnsi="Palatino Linotype"/>
          <w:color w:val="000000" w:themeColor="text1"/>
          <w:lang w:val="es-ES_tradnl"/>
        </w:rPr>
        <w:t xml:space="preserve"> </w:t>
      </w:r>
      <w:r w:rsidR="00084863" w:rsidRPr="000353E1">
        <w:rPr>
          <w:rFonts w:ascii="Palatino Linotype" w:eastAsia="MS Mincho" w:hAnsi="Palatino Linotype"/>
          <w:color w:val="000000" w:themeColor="text1"/>
          <w:lang w:val="es-ES_tradnl"/>
        </w:rPr>
        <w:t xml:space="preserve">de dos mil veintidós </w:t>
      </w:r>
      <w:r w:rsidR="00457E23" w:rsidRPr="000353E1">
        <w:rPr>
          <w:rFonts w:ascii="Palatino Linotype" w:eastAsia="MS Mincho" w:hAnsi="Palatino Linotype"/>
          <w:color w:val="000000" w:themeColor="text1"/>
          <w:lang w:val="es-ES_tradnl"/>
        </w:rPr>
        <w:t xml:space="preserve">el </w:t>
      </w:r>
      <w:r w:rsidR="00457E23" w:rsidRPr="000353E1">
        <w:rPr>
          <w:rFonts w:ascii="Palatino Linotype" w:eastAsia="MS Mincho" w:hAnsi="Palatino Linotype"/>
          <w:b/>
          <w:color w:val="000000" w:themeColor="text1"/>
          <w:lang w:val="es-ES_tradnl"/>
        </w:rPr>
        <w:t>SUJETO OBLIGADO</w:t>
      </w:r>
      <w:r w:rsidR="00457E23" w:rsidRPr="000353E1">
        <w:rPr>
          <w:rFonts w:ascii="Palatino Linotype" w:eastAsia="MS Mincho" w:hAnsi="Palatino Linotype"/>
          <w:color w:val="000000" w:themeColor="text1"/>
          <w:lang w:val="es-ES_tradnl"/>
        </w:rPr>
        <w:t xml:space="preserve"> dio respuesta a la solicitud de informa</w:t>
      </w:r>
      <w:r w:rsidR="00413A3F" w:rsidRPr="000353E1">
        <w:rPr>
          <w:rFonts w:ascii="Palatino Linotype" w:eastAsia="MS Mincho" w:hAnsi="Palatino Linotype"/>
          <w:color w:val="000000" w:themeColor="text1"/>
          <w:lang w:val="es-ES_tradnl"/>
        </w:rPr>
        <w:t>ción en los siguientes términos:</w:t>
      </w:r>
    </w:p>
    <w:p w14:paraId="4DD8905A" w14:textId="77777777" w:rsidR="00457E23" w:rsidRPr="00553A8B" w:rsidRDefault="00457E23" w:rsidP="000353E1">
      <w:pPr>
        <w:pStyle w:val="Prrafodelista"/>
        <w:tabs>
          <w:tab w:val="left" w:pos="567"/>
          <w:tab w:val="left" w:pos="709"/>
        </w:tabs>
        <w:spacing w:line="360" w:lineRule="auto"/>
        <w:ind w:left="567" w:right="891"/>
        <w:jc w:val="right"/>
        <w:rPr>
          <w:rFonts w:ascii="Palatino Linotype" w:eastAsia="MS Mincho" w:hAnsi="Palatino Linotype"/>
          <w:sz w:val="22"/>
          <w:lang w:val="es-ES_tradnl"/>
        </w:rPr>
      </w:pPr>
    </w:p>
    <w:p w14:paraId="62F0DF27" w14:textId="77777777" w:rsidR="009D2B11" w:rsidRPr="00553A8B" w:rsidRDefault="00457E23" w:rsidP="000353E1">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i/>
          <w:sz w:val="22"/>
          <w:lang w:val="es-ES_tradnl"/>
        </w:rPr>
      </w:pPr>
      <w:r w:rsidRPr="00553A8B">
        <w:rPr>
          <w:rFonts w:ascii="Palatino Linotype" w:eastAsia="MS Mincho" w:hAnsi="Palatino Linotype"/>
          <w:sz w:val="22"/>
          <w:lang w:val="es-ES_tradnl"/>
        </w:rPr>
        <w:t>“</w:t>
      </w:r>
      <w:r w:rsidR="009D2B11" w:rsidRPr="00553A8B">
        <w:rPr>
          <w:rFonts w:ascii="Palatino Linotype" w:eastAsia="MS Mincho" w:hAnsi="Palatino Linotype"/>
          <w:i/>
          <w:sz w:val="22"/>
          <w:lang w:val="es-ES_tradnl"/>
        </w:rPr>
        <w:t>Metepec, México a 16 de Noviembre de 2022</w:t>
      </w:r>
    </w:p>
    <w:p w14:paraId="4DADB382"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i/>
          <w:sz w:val="22"/>
          <w:lang w:val="es-ES_tradnl"/>
        </w:rPr>
      </w:pPr>
      <w:r w:rsidRPr="00553A8B">
        <w:rPr>
          <w:rFonts w:ascii="Palatino Linotype" w:eastAsia="MS Mincho" w:hAnsi="Palatino Linotype"/>
          <w:i/>
          <w:sz w:val="22"/>
          <w:lang w:val="es-ES_tradnl"/>
        </w:rPr>
        <w:t>Nombre del solicitante: C. Solicitante</w:t>
      </w:r>
    </w:p>
    <w:p w14:paraId="1BCC61FD"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i/>
          <w:sz w:val="22"/>
          <w:lang w:val="es-ES_tradnl"/>
        </w:rPr>
      </w:pPr>
      <w:r w:rsidRPr="00553A8B">
        <w:rPr>
          <w:rFonts w:ascii="Palatino Linotype" w:eastAsia="MS Mincho" w:hAnsi="Palatino Linotype"/>
          <w:i/>
          <w:sz w:val="22"/>
          <w:lang w:val="es-ES_tradnl"/>
        </w:rPr>
        <w:t>Folio de la solicitud: 00491/SF/IP/2022</w:t>
      </w:r>
    </w:p>
    <w:p w14:paraId="69465259" w14:textId="77777777" w:rsidR="009D2B11" w:rsidRPr="00553A8B" w:rsidRDefault="009D2B11" w:rsidP="000353E1">
      <w:pPr>
        <w:pStyle w:val="Prrafodelista"/>
        <w:tabs>
          <w:tab w:val="left" w:pos="567"/>
        </w:tabs>
        <w:spacing w:before="240" w:after="240" w:line="360" w:lineRule="auto"/>
        <w:ind w:left="567" w:right="891"/>
        <w:contextualSpacing/>
        <w:jc w:val="both"/>
        <w:rPr>
          <w:rFonts w:ascii="Palatino Linotype" w:eastAsia="MS Mincho" w:hAnsi="Palatino Linotype"/>
          <w:i/>
          <w:sz w:val="22"/>
          <w:lang w:val="es-ES_tradnl"/>
        </w:rPr>
      </w:pPr>
    </w:p>
    <w:p w14:paraId="0AD7DFA2"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i/>
          <w:sz w:val="22"/>
          <w:lang w:val="es-ES_tradnl"/>
        </w:rPr>
      </w:pPr>
      <w:r w:rsidRPr="00553A8B">
        <w:rPr>
          <w:rFonts w:ascii="Palatino Linotype" w:eastAsia="MS Mincho" w:hAnsi="Palatino Linotype"/>
          <w:i/>
          <w:sz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9D2221C"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i/>
          <w:sz w:val="22"/>
          <w:lang w:val="es-ES_tradnl"/>
        </w:rPr>
      </w:pPr>
    </w:p>
    <w:p w14:paraId="16AB1096"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i/>
          <w:sz w:val="22"/>
          <w:lang w:val="es-ES_tradnl"/>
        </w:rPr>
      </w:pPr>
      <w:r w:rsidRPr="00553A8B">
        <w:rPr>
          <w:rFonts w:ascii="Palatino Linotype" w:eastAsia="MS Mincho" w:hAnsi="Palatino Linotype"/>
          <w:i/>
          <w:sz w:val="22"/>
          <w:lang w:val="es-ES_tradnl"/>
        </w:rPr>
        <w:t>Sobre el particular, sírvase encontrar en archivo adjunto copia del oficio de notificación número 20700004S/UT-1995/2022 mediante el cual se detalla lo referente a su solicitud.</w:t>
      </w:r>
    </w:p>
    <w:p w14:paraId="1D7356BA"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i/>
          <w:sz w:val="22"/>
          <w:lang w:val="es-ES_tradnl"/>
        </w:rPr>
      </w:pPr>
    </w:p>
    <w:p w14:paraId="3BA80FF4" w14:textId="77777777" w:rsidR="009D2B11" w:rsidRPr="00553A8B" w:rsidRDefault="009D2B11" w:rsidP="000353E1">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i/>
          <w:sz w:val="22"/>
          <w:lang w:val="es-ES_tradnl"/>
        </w:rPr>
      </w:pPr>
      <w:r w:rsidRPr="00553A8B">
        <w:rPr>
          <w:rFonts w:ascii="Palatino Linotype" w:eastAsia="MS Mincho" w:hAnsi="Palatino Linotype"/>
          <w:i/>
          <w:sz w:val="22"/>
          <w:lang w:val="es-ES_tradnl"/>
        </w:rPr>
        <w:t>ATENTAMENTE</w:t>
      </w:r>
    </w:p>
    <w:p w14:paraId="1ED6C42B" w14:textId="1E39AAEE" w:rsidR="00FA5F1F" w:rsidRPr="00553A8B" w:rsidRDefault="009D2B11" w:rsidP="000353E1">
      <w:pPr>
        <w:pStyle w:val="Prrafodelista"/>
        <w:tabs>
          <w:tab w:val="left" w:pos="284"/>
          <w:tab w:val="left" w:pos="567"/>
          <w:tab w:val="left" w:pos="709"/>
        </w:tabs>
        <w:spacing w:before="240" w:after="240" w:line="360" w:lineRule="auto"/>
        <w:ind w:left="567" w:right="891"/>
        <w:contextualSpacing/>
        <w:jc w:val="both"/>
        <w:rPr>
          <w:rFonts w:ascii="Palatino Linotype" w:eastAsia="MS Mincho" w:hAnsi="Palatino Linotype"/>
          <w:sz w:val="22"/>
          <w:lang w:val="es-ES_tradnl"/>
        </w:rPr>
      </w:pPr>
      <w:r w:rsidRPr="00553A8B">
        <w:rPr>
          <w:rFonts w:ascii="Palatino Linotype" w:eastAsia="MS Mincho" w:hAnsi="Palatino Linotype"/>
          <w:i/>
          <w:sz w:val="22"/>
          <w:lang w:val="es-ES_tradnl"/>
        </w:rPr>
        <w:t>Lic. Rodolfo Esteban Rivadeneyra Hernández</w:t>
      </w:r>
      <w:r w:rsidR="00F86968" w:rsidRPr="00553A8B">
        <w:rPr>
          <w:rFonts w:ascii="Palatino Linotype" w:eastAsia="MS Mincho" w:hAnsi="Palatino Linotype"/>
          <w:sz w:val="22"/>
          <w:lang w:val="es-ES_tradnl"/>
        </w:rPr>
        <w:t>” (Sic)</w:t>
      </w:r>
      <w:r w:rsidR="007178BC" w:rsidRPr="00553A8B">
        <w:rPr>
          <w:rFonts w:ascii="Palatino Linotype" w:eastAsia="MS Mincho" w:hAnsi="Palatino Linotype"/>
          <w:sz w:val="22"/>
          <w:lang w:val="es-ES_tradnl"/>
        </w:rPr>
        <w:t>.</w:t>
      </w:r>
    </w:p>
    <w:p w14:paraId="530DF742" w14:textId="77777777" w:rsidR="00AD41F1" w:rsidRPr="000353E1" w:rsidRDefault="00AD41F1" w:rsidP="000353E1">
      <w:pPr>
        <w:pStyle w:val="Prrafodelista"/>
        <w:tabs>
          <w:tab w:val="left" w:pos="284"/>
          <w:tab w:val="left" w:pos="567"/>
          <w:tab w:val="left" w:pos="709"/>
        </w:tabs>
        <w:spacing w:before="240" w:after="240" w:line="360" w:lineRule="auto"/>
        <w:ind w:left="567" w:right="891"/>
        <w:contextualSpacing/>
        <w:jc w:val="right"/>
        <w:rPr>
          <w:rFonts w:ascii="Palatino Linotype" w:eastAsia="MS Mincho" w:hAnsi="Palatino Linotype"/>
          <w:lang w:val="es-ES_tradnl"/>
        </w:rPr>
      </w:pPr>
    </w:p>
    <w:p w14:paraId="65370A25" w14:textId="693D1B8B" w:rsidR="00C30DDA" w:rsidRPr="000353E1" w:rsidRDefault="00C30DDA" w:rsidP="000353E1">
      <w:pPr>
        <w:pStyle w:val="Prrafodelista"/>
        <w:numPr>
          <w:ilvl w:val="0"/>
          <w:numId w:val="2"/>
        </w:numPr>
        <w:tabs>
          <w:tab w:val="left" w:pos="567"/>
        </w:tabs>
        <w:spacing w:before="240" w:after="240" w:line="360" w:lineRule="auto"/>
        <w:ind w:left="0" w:right="40" w:firstLine="0"/>
        <w:contextualSpacing/>
        <w:jc w:val="both"/>
        <w:rPr>
          <w:rFonts w:ascii="Palatino Linotype" w:eastAsia="MS Mincho" w:hAnsi="Palatino Linotype"/>
          <w:lang w:val="es-ES_tradnl"/>
        </w:rPr>
      </w:pPr>
      <w:r w:rsidRPr="000353E1">
        <w:rPr>
          <w:rFonts w:ascii="Palatino Linotype" w:hAnsi="Palatino Linotype" w:cs="Arial"/>
          <w:color w:val="000000" w:themeColor="text1"/>
        </w:rPr>
        <w:t xml:space="preserve">Asimismo, el </w:t>
      </w:r>
      <w:r w:rsidRPr="000353E1">
        <w:rPr>
          <w:rFonts w:ascii="Palatino Linotype" w:hAnsi="Palatino Linotype" w:cs="Arial"/>
          <w:b/>
          <w:color w:val="000000" w:themeColor="text1"/>
        </w:rPr>
        <w:t>SUJETO OBLIGADO</w:t>
      </w:r>
      <w:r w:rsidRPr="000353E1">
        <w:rPr>
          <w:rFonts w:ascii="Palatino Linotype" w:hAnsi="Palatino Linotype" w:cs="Arial"/>
          <w:color w:val="000000" w:themeColor="text1"/>
        </w:rPr>
        <w:t xml:space="preserve"> adjuntó a su respuesta los archivos electrónicos que se describen a continuación:</w:t>
      </w:r>
    </w:p>
    <w:p w14:paraId="4BFF4947" w14:textId="77777777" w:rsidR="00CC7A9D" w:rsidRPr="000353E1" w:rsidRDefault="00CC7A9D" w:rsidP="000353E1">
      <w:pPr>
        <w:pStyle w:val="Prrafodelista"/>
        <w:tabs>
          <w:tab w:val="left" w:pos="567"/>
        </w:tabs>
        <w:spacing w:before="240" w:after="240" w:line="360" w:lineRule="auto"/>
        <w:ind w:left="0" w:right="891"/>
        <w:contextualSpacing/>
        <w:jc w:val="both"/>
        <w:rPr>
          <w:rFonts w:ascii="Palatino Linotype" w:eastAsia="MS Mincho" w:hAnsi="Palatino Linotype"/>
          <w:lang w:val="es-ES_tradnl"/>
        </w:rPr>
      </w:pPr>
    </w:p>
    <w:p w14:paraId="37A4B821" w14:textId="5754674D" w:rsidR="009D2B11" w:rsidRPr="000353E1" w:rsidRDefault="009D2B11" w:rsidP="000353E1">
      <w:pPr>
        <w:pStyle w:val="Prrafodelista"/>
        <w:numPr>
          <w:ilvl w:val="0"/>
          <w:numId w:val="3"/>
        </w:numPr>
        <w:tabs>
          <w:tab w:val="left" w:pos="567"/>
          <w:tab w:val="left" w:pos="851"/>
        </w:tabs>
        <w:spacing w:before="240" w:after="240" w:line="360" w:lineRule="auto"/>
        <w:ind w:left="567" w:right="891" w:firstLine="0"/>
        <w:contextualSpacing/>
        <w:jc w:val="both"/>
        <w:rPr>
          <w:rFonts w:ascii="Palatino Linotype" w:eastAsia="MS Mincho" w:hAnsi="Palatino Linotype"/>
          <w:b/>
          <w:u w:val="single"/>
          <w:lang w:val="es-ES_tradnl"/>
        </w:rPr>
      </w:pPr>
      <w:r w:rsidRPr="000353E1">
        <w:rPr>
          <w:rFonts w:ascii="Palatino Linotype" w:eastAsia="MS Mincho" w:hAnsi="Palatino Linotype"/>
          <w:b/>
          <w:u w:val="single"/>
          <w:lang w:val="es-ES_tradnl"/>
        </w:rPr>
        <w:t>491 DGRM.pdf</w:t>
      </w:r>
      <w:r w:rsidR="00FC2113" w:rsidRPr="000353E1">
        <w:rPr>
          <w:rFonts w:ascii="Palatino Linotype" w:eastAsia="MS Mincho" w:hAnsi="Palatino Linotype"/>
          <w:lang w:val="es-ES_tradnl"/>
        </w:rPr>
        <w:t>: D</w:t>
      </w:r>
      <w:r w:rsidRPr="000353E1">
        <w:rPr>
          <w:rFonts w:ascii="Palatino Linotype" w:eastAsia="MS Mincho" w:hAnsi="Palatino Linotype"/>
          <w:lang w:val="es-ES_tradnl"/>
        </w:rPr>
        <w:t>ocumento que consta de una</w:t>
      </w:r>
      <w:r w:rsidR="00FC2113" w:rsidRPr="000353E1">
        <w:rPr>
          <w:rFonts w:ascii="Palatino Linotype" w:eastAsia="MS Mincho" w:hAnsi="Palatino Linotype"/>
          <w:lang w:val="es-ES_tradnl"/>
        </w:rPr>
        <w:t xml:space="preserve"> (01)</w:t>
      </w:r>
      <w:r w:rsidRPr="000353E1">
        <w:rPr>
          <w:rFonts w:ascii="Palatino Linotype" w:eastAsia="MS Mincho" w:hAnsi="Palatino Linotype"/>
          <w:lang w:val="es-ES_tradnl"/>
        </w:rPr>
        <w:t xml:space="preserve"> foja, suscrito por el Director General de Recursos Materiales, mediante el cual refiere que de conformidad con el Manual General de Organización de la Secretaria de Finanzas del Gobierno del estadio de M</w:t>
      </w:r>
      <w:r w:rsidR="00030295" w:rsidRPr="000353E1">
        <w:rPr>
          <w:rFonts w:ascii="Palatino Linotype" w:eastAsia="MS Mincho" w:hAnsi="Palatino Linotype"/>
          <w:lang w:val="es-ES_tradnl"/>
        </w:rPr>
        <w:t>éxico</w:t>
      </w:r>
      <w:r w:rsidRPr="000353E1">
        <w:rPr>
          <w:rFonts w:ascii="Palatino Linotype" w:eastAsia="MS Mincho" w:hAnsi="Palatino Linotype"/>
          <w:lang w:val="es-ES_tradnl"/>
        </w:rPr>
        <w:t xml:space="preserve">, </w:t>
      </w:r>
      <w:r w:rsidR="00030295" w:rsidRPr="000353E1">
        <w:rPr>
          <w:rFonts w:ascii="Palatino Linotype" w:eastAsia="MS Mincho" w:hAnsi="Palatino Linotype"/>
          <w:lang w:val="es-ES_tradnl"/>
        </w:rPr>
        <w:lastRenderedPageBreak/>
        <w:t xml:space="preserve">después de una búsqueda exhaustiva y razonable de la información solicitada, en las unidades administrativas que integran la coordinación de procedimientos Adquisitivos de la Dirección  General de Recursos Materiales, informa que no se encuentra con información de personas contratadas por el Gobierno del Estado de México, adscritas a dependencias, a través de contratación de servicios de asesoría a convenios o acuerdos. </w:t>
      </w:r>
    </w:p>
    <w:p w14:paraId="5C0BCB24" w14:textId="77777777" w:rsidR="00FC2113" w:rsidRPr="000353E1" w:rsidRDefault="00FC2113" w:rsidP="000353E1">
      <w:pPr>
        <w:pStyle w:val="Prrafodelista"/>
        <w:tabs>
          <w:tab w:val="left" w:pos="567"/>
          <w:tab w:val="left" w:pos="851"/>
        </w:tabs>
        <w:spacing w:before="240" w:after="240" w:line="360" w:lineRule="auto"/>
        <w:ind w:left="567" w:right="891"/>
        <w:contextualSpacing/>
        <w:jc w:val="both"/>
        <w:rPr>
          <w:rFonts w:ascii="Palatino Linotype" w:eastAsia="MS Mincho" w:hAnsi="Palatino Linotype"/>
          <w:b/>
          <w:u w:val="single"/>
          <w:lang w:val="es-ES_tradnl"/>
        </w:rPr>
      </w:pPr>
    </w:p>
    <w:p w14:paraId="3BD79B33" w14:textId="642032BB" w:rsidR="00FA5F1F" w:rsidRPr="000353E1" w:rsidRDefault="009D2B11" w:rsidP="000353E1">
      <w:pPr>
        <w:pStyle w:val="Prrafodelista"/>
        <w:numPr>
          <w:ilvl w:val="0"/>
          <w:numId w:val="3"/>
        </w:numPr>
        <w:tabs>
          <w:tab w:val="left" w:pos="851"/>
          <w:tab w:val="left" w:pos="1418"/>
        </w:tabs>
        <w:spacing w:before="240" w:after="240" w:line="360" w:lineRule="auto"/>
        <w:ind w:left="567" w:right="891" w:firstLine="0"/>
        <w:contextualSpacing/>
        <w:jc w:val="both"/>
        <w:rPr>
          <w:rFonts w:ascii="Palatino Linotype" w:eastAsia="MS Mincho" w:hAnsi="Palatino Linotype"/>
          <w:b/>
          <w:u w:val="single"/>
          <w:lang w:val="es-ES_tradnl"/>
        </w:rPr>
      </w:pPr>
      <w:r w:rsidRPr="000353E1">
        <w:rPr>
          <w:rFonts w:ascii="Palatino Linotype" w:eastAsia="MS Mincho" w:hAnsi="Palatino Linotype"/>
          <w:b/>
          <w:u w:val="single"/>
          <w:lang w:val="es-ES_tradnl"/>
        </w:rPr>
        <w:t>UIPPE 491.pdf</w:t>
      </w:r>
      <w:r w:rsidR="00FC2113" w:rsidRPr="000353E1">
        <w:rPr>
          <w:rFonts w:ascii="Palatino Linotype" w:eastAsia="MS Mincho" w:hAnsi="Palatino Linotype"/>
          <w:lang w:val="es-ES_tradnl"/>
        </w:rPr>
        <w:t>:</w:t>
      </w:r>
      <w:r w:rsidR="00030295" w:rsidRPr="000353E1">
        <w:rPr>
          <w:rFonts w:ascii="Palatino Linotype" w:eastAsia="MS Mincho" w:hAnsi="Palatino Linotype"/>
          <w:lang w:val="es-ES_tradnl"/>
        </w:rPr>
        <w:t xml:space="preserve"> </w:t>
      </w:r>
      <w:r w:rsidR="00FC2113" w:rsidRPr="000353E1">
        <w:rPr>
          <w:rFonts w:ascii="Palatino Linotype" w:eastAsia="MS Mincho" w:hAnsi="Palatino Linotype"/>
          <w:lang w:val="es-ES_tradnl"/>
        </w:rPr>
        <w:t>C</w:t>
      </w:r>
      <w:r w:rsidR="000D214C" w:rsidRPr="000353E1">
        <w:rPr>
          <w:rFonts w:ascii="Palatino Linotype" w:eastAsia="MS Mincho" w:hAnsi="Palatino Linotype"/>
          <w:lang w:val="es-ES_tradnl"/>
        </w:rPr>
        <w:t xml:space="preserve">orresponde al </w:t>
      </w:r>
      <w:r w:rsidR="00030295" w:rsidRPr="000353E1">
        <w:rPr>
          <w:rFonts w:ascii="Palatino Linotype" w:eastAsia="MS Mincho" w:hAnsi="Palatino Linotype"/>
          <w:lang w:val="es-ES_tradnl"/>
        </w:rPr>
        <w:t xml:space="preserve">oficio </w:t>
      </w:r>
      <w:r w:rsidR="00F4260D" w:rsidRPr="000353E1">
        <w:rPr>
          <w:rFonts w:ascii="Palatino Linotype" w:eastAsia="MS Mincho" w:hAnsi="Palatino Linotype"/>
          <w:lang w:val="es-ES_tradnl"/>
        </w:rPr>
        <w:t>número 20700004S</w:t>
      </w:r>
      <w:r w:rsidR="000D214C" w:rsidRPr="000353E1">
        <w:rPr>
          <w:rFonts w:ascii="Palatino Linotype" w:eastAsia="MS Mincho" w:hAnsi="Palatino Linotype"/>
          <w:lang w:val="es-ES_tradnl"/>
        </w:rPr>
        <w:t xml:space="preserve">/UT-1995/2022, refiriendo que en atención a la solicitud de información, se adjunta la copia del archivo con </w:t>
      </w:r>
      <w:r w:rsidR="00FC2113" w:rsidRPr="000353E1">
        <w:rPr>
          <w:rFonts w:ascii="Palatino Linotype" w:eastAsia="MS Mincho" w:hAnsi="Palatino Linotype"/>
          <w:lang w:val="es-ES_tradnl"/>
        </w:rPr>
        <w:t>número</w:t>
      </w:r>
      <w:r w:rsidR="000D214C" w:rsidRPr="000353E1">
        <w:rPr>
          <w:rFonts w:ascii="Palatino Linotype" w:eastAsia="MS Mincho" w:hAnsi="Palatino Linotype"/>
          <w:lang w:val="es-ES_tradnl"/>
        </w:rPr>
        <w:t xml:space="preserve"> de oficio 20706004000100S-477/2022, emitido por el servidor público habilitado de la Dirección General de P</w:t>
      </w:r>
      <w:r w:rsidR="00F4260D" w:rsidRPr="000353E1">
        <w:rPr>
          <w:rFonts w:ascii="Palatino Linotype" w:eastAsia="MS Mincho" w:hAnsi="Palatino Linotype"/>
          <w:lang w:val="es-ES_tradnl"/>
        </w:rPr>
        <w:t xml:space="preserve">ersonal. </w:t>
      </w:r>
    </w:p>
    <w:p w14:paraId="6896E49C" w14:textId="77777777" w:rsidR="00F4260D" w:rsidRPr="000353E1" w:rsidRDefault="00F4260D" w:rsidP="000353E1">
      <w:pPr>
        <w:pStyle w:val="Prrafodelista"/>
        <w:tabs>
          <w:tab w:val="left" w:pos="851"/>
          <w:tab w:val="left" w:pos="1418"/>
        </w:tabs>
        <w:spacing w:before="240" w:after="240" w:line="360" w:lineRule="auto"/>
        <w:ind w:left="567" w:right="891"/>
        <w:contextualSpacing/>
        <w:jc w:val="both"/>
        <w:rPr>
          <w:rFonts w:ascii="Palatino Linotype" w:eastAsia="MS Mincho" w:hAnsi="Palatino Linotype"/>
          <w:b/>
          <w:u w:val="single"/>
          <w:lang w:val="es-ES_tradnl"/>
        </w:rPr>
      </w:pPr>
    </w:p>
    <w:p w14:paraId="4BB5C5BA" w14:textId="0629D436" w:rsidR="00EA0165" w:rsidRPr="000353E1" w:rsidRDefault="00B23E81" w:rsidP="000353E1">
      <w:pPr>
        <w:pStyle w:val="Prrafodelista"/>
        <w:numPr>
          <w:ilvl w:val="0"/>
          <w:numId w:val="2"/>
        </w:numPr>
        <w:tabs>
          <w:tab w:val="left" w:pos="0"/>
          <w:tab w:val="left" w:pos="567"/>
          <w:tab w:val="left" w:pos="709"/>
        </w:tabs>
        <w:spacing w:line="360" w:lineRule="auto"/>
        <w:ind w:left="0" w:firstLine="0"/>
        <w:contextualSpacing/>
        <w:jc w:val="both"/>
        <w:rPr>
          <w:rFonts w:ascii="Palatino Linotype" w:eastAsiaTheme="minorEastAsia" w:hAnsi="Palatino Linotype"/>
          <w:color w:val="000000" w:themeColor="text1"/>
          <w:lang w:val="es-ES_tradnl"/>
        </w:rPr>
      </w:pPr>
      <w:r w:rsidRPr="000353E1">
        <w:rPr>
          <w:rFonts w:ascii="Palatino Linotype" w:hAnsi="Palatino Linotype"/>
          <w:color w:val="000000" w:themeColor="text1"/>
        </w:rPr>
        <w:t>E</w:t>
      </w:r>
      <w:r w:rsidR="00394E20" w:rsidRPr="000353E1">
        <w:rPr>
          <w:rFonts w:ascii="Palatino Linotype" w:hAnsi="Palatino Linotype"/>
          <w:color w:val="000000" w:themeColor="text1"/>
        </w:rPr>
        <w:t>l</w:t>
      </w:r>
      <w:r w:rsidR="00F4260D" w:rsidRPr="000353E1">
        <w:rPr>
          <w:rFonts w:ascii="Palatino Linotype" w:hAnsi="Palatino Linotype"/>
          <w:color w:val="000000" w:themeColor="text1"/>
        </w:rPr>
        <w:t xml:space="preserve"> veintidós (22</w:t>
      </w:r>
      <w:r w:rsidR="00C6721C" w:rsidRPr="000353E1">
        <w:rPr>
          <w:rFonts w:ascii="Palatino Linotype" w:hAnsi="Palatino Linotype"/>
          <w:color w:val="000000" w:themeColor="text1"/>
        </w:rPr>
        <w:t>)</w:t>
      </w:r>
      <w:r w:rsidR="00394E20" w:rsidRPr="000353E1">
        <w:rPr>
          <w:rFonts w:ascii="Palatino Linotype" w:hAnsi="Palatino Linotype"/>
          <w:color w:val="000000" w:themeColor="text1"/>
        </w:rPr>
        <w:t xml:space="preserve"> </w:t>
      </w:r>
      <w:r w:rsidR="00F4260D" w:rsidRPr="000353E1">
        <w:rPr>
          <w:rFonts w:ascii="Palatino Linotype" w:hAnsi="Palatino Linotype"/>
          <w:color w:val="000000" w:themeColor="text1"/>
        </w:rPr>
        <w:t>de noviembre</w:t>
      </w:r>
      <w:r w:rsidR="00E1052D" w:rsidRPr="000353E1">
        <w:rPr>
          <w:rFonts w:ascii="Palatino Linotype" w:hAnsi="Palatino Linotype"/>
          <w:color w:val="000000" w:themeColor="text1"/>
        </w:rPr>
        <w:t xml:space="preserve"> </w:t>
      </w:r>
      <w:r w:rsidR="00EA0165" w:rsidRPr="000353E1">
        <w:rPr>
          <w:rFonts w:ascii="Palatino Linotype" w:hAnsi="Palatino Linotype"/>
          <w:color w:val="000000" w:themeColor="text1"/>
        </w:rPr>
        <w:t xml:space="preserve">de dos mil </w:t>
      </w:r>
      <w:r w:rsidR="00E1052D" w:rsidRPr="000353E1">
        <w:rPr>
          <w:rFonts w:ascii="Palatino Linotype" w:hAnsi="Palatino Linotype"/>
          <w:color w:val="000000" w:themeColor="text1"/>
        </w:rPr>
        <w:t>veintidós</w:t>
      </w:r>
      <w:r w:rsidR="00C6721C" w:rsidRPr="000353E1">
        <w:rPr>
          <w:rFonts w:ascii="Palatino Linotype" w:hAnsi="Palatino Linotype"/>
          <w:color w:val="000000" w:themeColor="text1"/>
        </w:rPr>
        <w:t>,</w:t>
      </w:r>
      <w:r w:rsidR="00EA0165" w:rsidRPr="000353E1">
        <w:rPr>
          <w:rFonts w:ascii="Palatino Linotype" w:hAnsi="Palatino Linotype"/>
          <w:color w:val="000000" w:themeColor="text1"/>
        </w:rPr>
        <w:t xml:space="preserve"> el particular interpuso el recurso de revisión</w:t>
      </w:r>
      <w:r w:rsidR="00F4260D" w:rsidRPr="000353E1">
        <w:rPr>
          <w:rFonts w:ascii="Palatino Linotype" w:hAnsi="Palatino Linotype"/>
          <w:b/>
          <w:bCs/>
          <w:color w:val="FF0000"/>
        </w:rPr>
        <w:t xml:space="preserve"> </w:t>
      </w:r>
      <w:r w:rsidR="00F4260D" w:rsidRPr="000353E1">
        <w:rPr>
          <w:rFonts w:ascii="Palatino Linotype" w:eastAsia="Calibri" w:hAnsi="Palatino Linotype"/>
          <w:b/>
          <w:color w:val="000000" w:themeColor="text1"/>
        </w:rPr>
        <w:t>16733/INFOEM/IP/RR/2022</w:t>
      </w:r>
      <w:r w:rsidR="00EA0165" w:rsidRPr="000353E1">
        <w:rPr>
          <w:rFonts w:ascii="Palatino Linotype" w:eastAsia="Calibri" w:hAnsi="Palatino Linotype"/>
          <w:b/>
          <w:color w:val="000000" w:themeColor="text1"/>
        </w:rPr>
        <w:t>;</w:t>
      </w:r>
      <w:r w:rsidR="00EA0165" w:rsidRPr="000353E1">
        <w:rPr>
          <w:rFonts w:ascii="Palatino Linotype" w:hAnsi="Palatino Linotype"/>
          <w:color w:val="000000" w:themeColor="text1"/>
        </w:rPr>
        <w:t xml:space="preserve"> impugnación en la que refirió lo siguiente:</w:t>
      </w:r>
    </w:p>
    <w:p w14:paraId="176F4252" w14:textId="77777777" w:rsidR="00EA0165" w:rsidRPr="000353E1" w:rsidRDefault="00EA0165" w:rsidP="000353E1">
      <w:pPr>
        <w:tabs>
          <w:tab w:val="left" w:pos="426"/>
          <w:tab w:val="left" w:pos="567"/>
          <w:tab w:val="left" w:pos="709"/>
        </w:tabs>
        <w:spacing w:line="360" w:lineRule="auto"/>
        <w:ind w:left="567"/>
        <w:contextualSpacing/>
        <w:jc w:val="both"/>
        <w:rPr>
          <w:rFonts w:ascii="Palatino Linotype" w:hAnsi="Palatino Linotype"/>
          <w:color w:val="000000" w:themeColor="text1"/>
        </w:rPr>
      </w:pPr>
    </w:p>
    <w:p w14:paraId="224FFDC9" w14:textId="255F1D9E" w:rsidR="00EA0165" w:rsidRPr="000353E1" w:rsidRDefault="00EA0165" w:rsidP="000353E1">
      <w:pPr>
        <w:numPr>
          <w:ilvl w:val="0"/>
          <w:numId w:val="1"/>
        </w:numPr>
        <w:tabs>
          <w:tab w:val="left" w:pos="567"/>
          <w:tab w:val="left" w:pos="851"/>
        </w:tabs>
        <w:spacing w:line="360" w:lineRule="auto"/>
        <w:ind w:left="567" w:right="909" w:firstLine="0"/>
        <w:contextualSpacing/>
        <w:jc w:val="both"/>
        <w:rPr>
          <w:rFonts w:ascii="Palatino Linotype" w:hAnsi="Palatino Linotype"/>
          <w:color w:val="000000" w:themeColor="text1"/>
        </w:rPr>
      </w:pPr>
      <w:r w:rsidRPr="000353E1">
        <w:rPr>
          <w:rFonts w:ascii="Palatino Linotype" w:hAnsi="Palatino Linotype"/>
          <w:b/>
          <w:color w:val="000000" w:themeColor="text1"/>
        </w:rPr>
        <w:t>Acto impugnado:</w:t>
      </w:r>
      <w:r w:rsidRPr="000353E1">
        <w:rPr>
          <w:rFonts w:ascii="Palatino Linotype" w:hAnsi="Palatino Linotype"/>
          <w:color w:val="000000" w:themeColor="text1"/>
        </w:rPr>
        <w:t xml:space="preserve"> </w:t>
      </w:r>
      <w:r w:rsidRPr="000353E1">
        <w:rPr>
          <w:rFonts w:ascii="Palatino Linotype" w:hAnsi="Palatino Linotype"/>
          <w:i/>
          <w:color w:val="000000" w:themeColor="text1"/>
        </w:rPr>
        <w:t>“</w:t>
      </w:r>
      <w:r w:rsidR="00F4260D" w:rsidRPr="000353E1">
        <w:rPr>
          <w:rFonts w:ascii="Palatino Linotype" w:hAnsi="Palatino Linotype"/>
          <w:i/>
          <w:color w:val="000000" w:themeColor="text1"/>
        </w:rPr>
        <w:t>La respuesta del sujeto obligado</w:t>
      </w:r>
      <w:r w:rsidRPr="000353E1">
        <w:rPr>
          <w:rFonts w:ascii="Palatino Linotype" w:hAnsi="Palatino Linotype"/>
          <w:i/>
          <w:color w:val="000000" w:themeColor="text1"/>
        </w:rPr>
        <w:t>”</w:t>
      </w:r>
      <w:r w:rsidR="004B0EAD" w:rsidRPr="000353E1">
        <w:rPr>
          <w:rFonts w:ascii="Palatino Linotype" w:hAnsi="Palatino Linotype"/>
          <w:color w:val="000000" w:themeColor="text1"/>
        </w:rPr>
        <w:t xml:space="preserve"> </w:t>
      </w:r>
      <w:r w:rsidR="00F86968" w:rsidRPr="000353E1">
        <w:rPr>
          <w:rFonts w:ascii="Palatino Linotype" w:hAnsi="Palatino Linotype"/>
          <w:color w:val="000000" w:themeColor="text1"/>
        </w:rPr>
        <w:t>(Sic)</w:t>
      </w:r>
      <w:r w:rsidR="007178BC" w:rsidRPr="000353E1">
        <w:rPr>
          <w:rFonts w:ascii="Palatino Linotype" w:hAnsi="Palatino Linotype"/>
          <w:color w:val="000000" w:themeColor="text1"/>
        </w:rPr>
        <w:t>.</w:t>
      </w:r>
    </w:p>
    <w:p w14:paraId="71C7D21F" w14:textId="77777777" w:rsidR="00EA0165" w:rsidRPr="000353E1" w:rsidRDefault="00EA0165" w:rsidP="000353E1">
      <w:pPr>
        <w:tabs>
          <w:tab w:val="left" w:pos="709"/>
          <w:tab w:val="left" w:pos="851"/>
        </w:tabs>
        <w:spacing w:line="360" w:lineRule="auto"/>
        <w:ind w:left="851" w:right="909"/>
        <w:contextualSpacing/>
        <w:jc w:val="both"/>
        <w:rPr>
          <w:rFonts w:ascii="Palatino Linotype" w:hAnsi="Palatino Linotype"/>
          <w:color w:val="000000" w:themeColor="text1"/>
        </w:rPr>
      </w:pPr>
    </w:p>
    <w:p w14:paraId="16E57192" w14:textId="4CFFEFDE" w:rsidR="00EA0165" w:rsidRPr="000353E1" w:rsidRDefault="00EA0165" w:rsidP="000353E1">
      <w:pPr>
        <w:numPr>
          <w:ilvl w:val="0"/>
          <w:numId w:val="1"/>
        </w:numPr>
        <w:tabs>
          <w:tab w:val="left" w:pos="851"/>
        </w:tabs>
        <w:spacing w:line="360" w:lineRule="auto"/>
        <w:ind w:left="567" w:right="909" w:firstLine="0"/>
        <w:contextualSpacing/>
        <w:jc w:val="both"/>
        <w:rPr>
          <w:rFonts w:ascii="Palatino Linotype" w:hAnsi="Palatino Linotype"/>
          <w:color w:val="000000" w:themeColor="text1"/>
        </w:rPr>
      </w:pPr>
      <w:r w:rsidRPr="000353E1">
        <w:rPr>
          <w:rFonts w:ascii="Palatino Linotype" w:hAnsi="Palatino Linotype"/>
          <w:b/>
          <w:color w:val="000000" w:themeColor="text1"/>
        </w:rPr>
        <w:t>Razones o motivos de inconformidad:</w:t>
      </w:r>
      <w:r w:rsidRPr="000353E1">
        <w:rPr>
          <w:rFonts w:ascii="Palatino Linotype" w:hAnsi="Palatino Linotype"/>
          <w:color w:val="000000" w:themeColor="text1"/>
        </w:rPr>
        <w:t xml:space="preserve"> </w:t>
      </w:r>
      <w:r w:rsidRPr="000353E1">
        <w:rPr>
          <w:rFonts w:ascii="Palatino Linotype" w:hAnsi="Palatino Linotype"/>
          <w:i/>
          <w:color w:val="000000" w:themeColor="text1"/>
        </w:rPr>
        <w:t>“</w:t>
      </w:r>
      <w:r w:rsidR="00F4260D" w:rsidRPr="000353E1">
        <w:rPr>
          <w:rFonts w:ascii="Palatino Linotype" w:hAnsi="Palatino Linotype"/>
          <w:i/>
          <w:color w:val="000000" w:themeColor="text1"/>
        </w:rPr>
        <w:t xml:space="preserve">El sujeto obligado, menciona que después de una búsqueda exhaustiva, no se tiene la información; sin embargo, dentro de las dependencias del Gobierno se cuentan con contratos de personas, a través de esta partida presupuestal, en este contexto, de no </w:t>
      </w:r>
      <w:r w:rsidR="00F4260D" w:rsidRPr="000353E1">
        <w:rPr>
          <w:rFonts w:ascii="Palatino Linotype" w:hAnsi="Palatino Linotype"/>
          <w:i/>
          <w:color w:val="000000" w:themeColor="text1"/>
        </w:rPr>
        <w:lastRenderedPageBreak/>
        <w:t>haber información, se tiene que decretar a través de un acuerdo de Comité, mismo que no remite.</w:t>
      </w:r>
      <w:r w:rsidRPr="000353E1">
        <w:rPr>
          <w:rFonts w:ascii="Palatino Linotype" w:hAnsi="Palatino Linotype"/>
          <w:i/>
          <w:color w:val="000000" w:themeColor="text1"/>
        </w:rPr>
        <w:t xml:space="preserve">” </w:t>
      </w:r>
      <w:r w:rsidR="00F86968" w:rsidRPr="000353E1">
        <w:rPr>
          <w:rFonts w:ascii="Palatino Linotype" w:hAnsi="Palatino Linotype"/>
          <w:color w:val="000000" w:themeColor="text1"/>
        </w:rPr>
        <w:t>(Sic)</w:t>
      </w:r>
      <w:r w:rsidR="007178BC" w:rsidRPr="000353E1">
        <w:rPr>
          <w:rFonts w:ascii="Palatino Linotype" w:hAnsi="Palatino Linotype"/>
          <w:color w:val="000000" w:themeColor="text1"/>
        </w:rPr>
        <w:t>.</w:t>
      </w:r>
    </w:p>
    <w:p w14:paraId="043CB478" w14:textId="77777777" w:rsidR="001C06FF" w:rsidRPr="000353E1" w:rsidRDefault="001C06FF" w:rsidP="000353E1">
      <w:pPr>
        <w:tabs>
          <w:tab w:val="left" w:pos="0"/>
          <w:tab w:val="left" w:pos="567"/>
          <w:tab w:val="left" w:pos="709"/>
          <w:tab w:val="left" w:pos="851"/>
        </w:tabs>
        <w:spacing w:line="360" w:lineRule="auto"/>
        <w:ind w:right="616"/>
        <w:contextualSpacing/>
        <w:jc w:val="both"/>
        <w:rPr>
          <w:rFonts w:ascii="Palatino Linotype" w:hAnsi="Palatino Linotype"/>
          <w:color w:val="000000" w:themeColor="text1"/>
        </w:rPr>
      </w:pPr>
    </w:p>
    <w:p w14:paraId="5E6117FD" w14:textId="4E5831F2" w:rsidR="00E1052D" w:rsidRPr="000353E1" w:rsidRDefault="00EA0165" w:rsidP="000353E1">
      <w:pPr>
        <w:pStyle w:val="Prrafodelista"/>
        <w:numPr>
          <w:ilvl w:val="0"/>
          <w:numId w:val="2"/>
        </w:numPr>
        <w:tabs>
          <w:tab w:val="left" w:pos="567"/>
        </w:tabs>
        <w:spacing w:line="360" w:lineRule="auto"/>
        <w:ind w:left="0" w:firstLine="0"/>
        <w:contextualSpacing/>
        <w:jc w:val="both"/>
        <w:rPr>
          <w:rFonts w:ascii="Palatino Linotype" w:eastAsia="Calibri" w:hAnsi="Palatino Linotype"/>
          <w:color w:val="000000" w:themeColor="text1"/>
        </w:rPr>
      </w:pPr>
      <w:r w:rsidRPr="000353E1">
        <w:rPr>
          <w:rFonts w:ascii="Palatino Linotype" w:hAnsi="Palatino Linotype"/>
          <w:color w:val="000000" w:themeColor="text1"/>
        </w:rPr>
        <w:t xml:space="preserve">Se registró el recurso de revisión bajo el número de expediente </w:t>
      </w:r>
      <w:r w:rsidRPr="000353E1">
        <w:rPr>
          <w:rFonts w:ascii="Palatino Linotype" w:eastAsiaTheme="minorEastAsia" w:hAnsi="Palatino Linotype"/>
          <w:bCs/>
          <w:color w:val="000000" w:themeColor="text1"/>
          <w:lang w:val="es-ES_tradnl"/>
        </w:rPr>
        <w:t xml:space="preserve">al rubro indicado, asimismo, con fundamento en lo dispuesto por el </w:t>
      </w:r>
      <w:r w:rsidRPr="000353E1">
        <w:rPr>
          <w:rFonts w:ascii="Palatino Linotype" w:eastAsia="Calibri" w:hAnsi="Palatino Linotype"/>
          <w:color w:val="000000" w:themeColor="text1"/>
        </w:rPr>
        <w:t xml:space="preserve">artículo 185 fracción I de la </w:t>
      </w:r>
      <w:r w:rsidRPr="000353E1">
        <w:rPr>
          <w:rFonts w:ascii="Palatino Linotype" w:eastAsia="Calibri" w:hAnsi="Palatino Linotype"/>
          <w:b/>
          <w:color w:val="000000" w:themeColor="text1"/>
        </w:rPr>
        <w:t xml:space="preserve">Ley de Transparencia y Acceso a la Información Pública del Estado de México y Municipios </w:t>
      </w:r>
      <w:r w:rsidR="005E6282" w:rsidRPr="000353E1">
        <w:rPr>
          <w:rFonts w:ascii="Palatino Linotype" w:hAnsi="Palatino Linotype"/>
          <w:color w:val="000000" w:themeColor="text1"/>
        </w:rPr>
        <w:t>se turnó a</w:t>
      </w:r>
      <w:r w:rsidR="00351568" w:rsidRPr="000353E1">
        <w:rPr>
          <w:rFonts w:ascii="Palatino Linotype" w:hAnsi="Palatino Linotype"/>
          <w:color w:val="000000" w:themeColor="text1"/>
        </w:rPr>
        <w:t xml:space="preserve"> la </w:t>
      </w:r>
      <w:r w:rsidR="00E3149E" w:rsidRPr="000353E1">
        <w:rPr>
          <w:rFonts w:ascii="Palatino Linotype" w:hAnsi="Palatino Linotype"/>
          <w:b/>
          <w:color w:val="000000" w:themeColor="text1"/>
        </w:rPr>
        <w:t>C</w:t>
      </w:r>
      <w:r w:rsidR="00351568" w:rsidRPr="000353E1">
        <w:rPr>
          <w:rFonts w:ascii="Palatino Linotype" w:hAnsi="Palatino Linotype"/>
          <w:b/>
          <w:color w:val="000000" w:themeColor="text1"/>
        </w:rPr>
        <w:t>omisionada María del Rosario Mejía Ayala</w:t>
      </w:r>
      <w:r w:rsidRPr="000353E1">
        <w:rPr>
          <w:rFonts w:ascii="Palatino Linotype" w:hAnsi="Palatino Linotype"/>
          <w:b/>
          <w:color w:val="000000" w:themeColor="text1"/>
        </w:rPr>
        <w:t xml:space="preserve">, </w:t>
      </w:r>
      <w:r w:rsidR="00553A8B">
        <w:rPr>
          <w:rFonts w:ascii="Palatino Linotype" w:hAnsi="Palatino Linotype"/>
          <w:color w:val="000000" w:themeColor="text1"/>
        </w:rPr>
        <w:t>para</w:t>
      </w:r>
      <w:r w:rsidRPr="000353E1">
        <w:rPr>
          <w:rFonts w:ascii="Palatino Linotype" w:hAnsi="Palatino Linotype"/>
          <w:color w:val="000000" w:themeColor="text1"/>
        </w:rPr>
        <w:t xml:space="preserve"> </w:t>
      </w:r>
      <w:r w:rsidRPr="000353E1">
        <w:rPr>
          <w:rFonts w:ascii="Palatino Linotype" w:hAnsi="Palatino Linotype"/>
          <w:color w:val="000000" w:themeColor="text1"/>
          <w:lang w:val="es-MX"/>
        </w:rPr>
        <w:t>su análisis.</w:t>
      </w:r>
    </w:p>
    <w:p w14:paraId="781B6DE6" w14:textId="77777777" w:rsidR="00E1052D" w:rsidRPr="000353E1" w:rsidRDefault="00E1052D" w:rsidP="000353E1">
      <w:pPr>
        <w:pStyle w:val="Prrafodelista"/>
        <w:tabs>
          <w:tab w:val="left" w:pos="567"/>
          <w:tab w:val="left" w:pos="709"/>
        </w:tabs>
        <w:spacing w:line="360" w:lineRule="auto"/>
        <w:ind w:left="0"/>
        <w:contextualSpacing/>
        <w:jc w:val="both"/>
        <w:rPr>
          <w:rFonts w:ascii="Palatino Linotype" w:eastAsia="Calibri" w:hAnsi="Palatino Linotype"/>
          <w:color w:val="000000" w:themeColor="text1"/>
        </w:rPr>
      </w:pPr>
    </w:p>
    <w:p w14:paraId="37A1E7F9" w14:textId="04C1D497" w:rsidR="00284F43" w:rsidRPr="000353E1" w:rsidRDefault="00351568" w:rsidP="000353E1">
      <w:pPr>
        <w:pStyle w:val="Prrafodelista"/>
        <w:numPr>
          <w:ilvl w:val="0"/>
          <w:numId w:val="2"/>
        </w:numPr>
        <w:tabs>
          <w:tab w:val="left" w:pos="567"/>
        </w:tabs>
        <w:spacing w:line="360" w:lineRule="auto"/>
        <w:ind w:left="0" w:firstLine="0"/>
        <w:contextualSpacing/>
        <w:jc w:val="both"/>
        <w:rPr>
          <w:rFonts w:ascii="Palatino Linotype" w:eastAsia="Calibri" w:hAnsi="Palatino Linotype"/>
          <w:color w:val="000000" w:themeColor="text1"/>
        </w:rPr>
      </w:pPr>
      <w:r w:rsidRPr="000353E1">
        <w:rPr>
          <w:rFonts w:ascii="Palatino Linotype" w:hAnsi="Palatino Linotype"/>
          <w:color w:val="000000" w:themeColor="text1"/>
        </w:rPr>
        <w:t xml:space="preserve">La </w:t>
      </w:r>
      <w:r w:rsidRPr="000353E1">
        <w:rPr>
          <w:rFonts w:ascii="Palatino Linotype" w:hAnsi="Palatino Linotype"/>
          <w:b/>
          <w:color w:val="000000" w:themeColor="text1"/>
        </w:rPr>
        <w:t>Comisionada María del Rosario Mejía Ayala</w:t>
      </w:r>
      <w:r w:rsidR="00EA0165" w:rsidRPr="000353E1">
        <w:rPr>
          <w:rFonts w:ascii="Palatino Linotype" w:eastAsia="Calibri" w:hAnsi="Palatino Linotype"/>
          <w:color w:val="000000" w:themeColor="text1"/>
        </w:rPr>
        <w:t>, con fundamento en lo dispuesto por el artículo 185 fracción II de la ley de la materia, a</w:t>
      </w:r>
      <w:r w:rsidR="008D7419" w:rsidRPr="000353E1">
        <w:rPr>
          <w:rFonts w:ascii="Palatino Linotype" w:eastAsia="Calibri" w:hAnsi="Palatino Linotype"/>
          <w:color w:val="000000" w:themeColor="text1"/>
        </w:rPr>
        <w:t xml:space="preserve"> través del acuerdo de admisión </w:t>
      </w:r>
      <w:r w:rsidR="00EA0165" w:rsidRPr="000353E1">
        <w:rPr>
          <w:rFonts w:ascii="Palatino Linotype" w:eastAsia="Calibri" w:hAnsi="Palatino Linotype"/>
          <w:color w:val="000000" w:themeColor="text1"/>
        </w:rPr>
        <w:t>de</w:t>
      </w:r>
      <w:r w:rsidR="00F4260D" w:rsidRPr="000353E1">
        <w:rPr>
          <w:rFonts w:ascii="Palatino Linotype" w:eastAsia="Calibri" w:hAnsi="Palatino Linotype"/>
          <w:color w:val="000000" w:themeColor="text1"/>
        </w:rPr>
        <w:t xml:space="preserve"> veintiocho</w:t>
      </w:r>
      <w:r w:rsidR="00696BCC" w:rsidRPr="000353E1">
        <w:rPr>
          <w:rFonts w:ascii="Palatino Linotype" w:eastAsia="Calibri" w:hAnsi="Palatino Linotype"/>
          <w:color w:val="000000" w:themeColor="text1"/>
        </w:rPr>
        <w:t xml:space="preserve"> </w:t>
      </w:r>
      <w:r w:rsidR="00EA0165" w:rsidRPr="000353E1">
        <w:rPr>
          <w:rFonts w:ascii="Palatino Linotype" w:eastAsia="Calibri" w:hAnsi="Palatino Linotype"/>
          <w:color w:val="000000" w:themeColor="text1"/>
        </w:rPr>
        <w:t>(</w:t>
      </w:r>
      <w:r w:rsidR="00F4260D" w:rsidRPr="000353E1">
        <w:rPr>
          <w:rFonts w:ascii="Palatino Linotype" w:eastAsia="Calibri" w:hAnsi="Palatino Linotype"/>
          <w:color w:val="000000" w:themeColor="text1"/>
        </w:rPr>
        <w:t>28</w:t>
      </w:r>
      <w:r w:rsidR="00EA0165" w:rsidRPr="000353E1">
        <w:rPr>
          <w:rFonts w:ascii="Palatino Linotype" w:eastAsia="Calibri" w:hAnsi="Palatino Linotype"/>
          <w:color w:val="000000" w:themeColor="text1"/>
        </w:rPr>
        <w:t>) de</w:t>
      </w:r>
      <w:r w:rsidR="00F4260D" w:rsidRPr="000353E1">
        <w:rPr>
          <w:rFonts w:ascii="Palatino Linotype" w:eastAsia="Calibri" w:hAnsi="Palatino Linotype"/>
          <w:color w:val="000000" w:themeColor="text1"/>
        </w:rPr>
        <w:t xml:space="preserve"> noviembre </w:t>
      </w:r>
      <w:r w:rsidR="00132CE1" w:rsidRPr="000353E1">
        <w:rPr>
          <w:rFonts w:ascii="Palatino Linotype" w:eastAsia="Calibri" w:hAnsi="Palatino Linotype"/>
          <w:color w:val="000000" w:themeColor="text1"/>
        </w:rPr>
        <w:t xml:space="preserve">de dos mil </w:t>
      </w:r>
      <w:r w:rsidR="00966711" w:rsidRPr="000353E1">
        <w:rPr>
          <w:rFonts w:ascii="Palatino Linotype" w:eastAsia="Calibri" w:hAnsi="Palatino Linotype"/>
          <w:color w:val="000000" w:themeColor="text1"/>
        </w:rPr>
        <w:t>veintidós</w:t>
      </w:r>
      <w:r w:rsidR="00EA0165" w:rsidRPr="000353E1">
        <w:rPr>
          <w:rFonts w:ascii="Palatino Linotype" w:eastAsia="Calibri" w:hAnsi="Palatino Linotype"/>
          <w:color w:val="000000" w:themeColor="text1"/>
        </w:rPr>
        <w:t xml:space="preserve">, puso a disposición de las partes el expediente electrónico </w:t>
      </w:r>
      <w:r w:rsidR="00EA0165" w:rsidRPr="000353E1">
        <w:rPr>
          <w:rFonts w:ascii="Palatino Linotype" w:eastAsia="Calibri" w:hAnsi="Palatino Linotype"/>
          <w:color w:val="000000" w:themeColor="text1"/>
          <w:lang w:val="es-ES_tradnl"/>
        </w:rPr>
        <w:t xml:space="preserve">vía </w:t>
      </w:r>
      <w:r w:rsidR="00EA0165" w:rsidRPr="000353E1">
        <w:rPr>
          <w:rFonts w:ascii="Palatino Linotype" w:eastAsia="Calibri" w:hAnsi="Palatino Linotype"/>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0353E1">
        <w:rPr>
          <w:rFonts w:ascii="Palatino Linotype" w:eastAsia="Calibri" w:hAnsi="Palatino Linotype"/>
          <w:b/>
          <w:color w:val="000000" w:themeColor="text1"/>
        </w:rPr>
        <w:t>SUJETO OBLIGADO</w:t>
      </w:r>
      <w:r w:rsidR="00EA0165" w:rsidRPr="000353E1">
        <w:rPr>
          <w:rFonts w:ascii="Palatino Linotype" w:eastAsia="Calibri" w:hAnsi="Palatino Linotype"/>
          <w:color w:val="000000" w:themeColor="text1"/>
        </w:rPr>
        <w:t xml:space="preserve"> presentara el</w:t>
      </w:r>
      <w:r w:rsidR="00266490" w:rsidRPr="000353E1">
        <w:rPr>
          <w:rFonts w:ascii="Palatino Linotype" w:eastAsia="Calibri" w:hAnsi="Palatino Linotype"/>
          <w:color w:val="000000" w:themeColor="text1"/>
        </w:rPr>
        <w:t xml:space="preserve"> </w:t>
      </w:r>
      <w:r w:rsidR="00770DBB" w:rsidRPr="000353E1">
        <w:rPr>
          <w:rFonts w:ascii="Palatino Linotype" w:eastAsia="Calibri" w:hAnsi="Palatino Linotype"/>
          <w:color w:val="000000" w:themeColor="text1"/>
        </w:rPr>
        <w:t>i</w:t>
      </w:r>
      <w:r w:rsidR="00167079" w:rsidRPr="000353E1">
        <w:rPr>
          <w:rFonts w:ascii="Palatino Linotype" w:eastAsia="Calibri" w:hAnsi="Palatino Linotype"/>
          <w:color w:val="000000" w:themeColor="text1"/>
        </w:rPr>
        <w:t>nforme justificado procedente</w:t>
      </w:r>
      <w:bookmarkStart w:id="4" w:name="_Toc461555889"/>
      <w:bookmarkStart w:id="5" w:name="_Toc466371858"/>
      <w:bookmarkStart w:id="6" w:name="_Toc68804758"/>
      <w:r w:rsidR="00E1052D" w:rsidRPr="000353E1">
        <w:rPr>
          <w:rFonts w:ascii="Palatino Linotype" w:eastAsia="Calibri" w:hAnsi="Palatino Linotype"/>
          <w:color w:val="000000" w:themeColor="text1"/>
        </w:rPr>
        <w:t>.</w:t>
      </w:r>
    </w:p>
    <w:p w14:paraId="162FA4BB" w14:textId="77777777" w:rsidR="00E041D7" w:rsidRPr="000353E1" w:rsidRDefault="00E041D7" w:rsidP="000353E1">
      <w:pPr>
        <w:pStyle w:val="Prrafodelista"/>
        <w:spacing w:line="360" w:lineRule="auto"/>
        <w:rPr>
          <w:rFonts w:ascii="Palatino Linotype" w:eastAsia="Calibri" w:hAnsi="Palatino Linotype"/>
          <w:color w:val="000000" w:themeColor="text1"/>
        </w:rPr>
      </w:pPr>
    </w:p>
    <w:p w14:paraId="7D02E457" w14:textId="619A6F2D" w:rsidR="00E041D7" w:rsidRPr="000353E1" w:rsidRDefault="00E041D7" w:rsidP="000353E1">
      <w:pPr>
        <w:pStyle w:val="Prrafodelista"/>
        <w:numPr>
          <w:ilvl w:val="0"/>
          <w:numId w:val="2"/>
        </w:numPr>
        <w:tabs>
          <w:tab w:val="left" w:pos="567"/>
        </w:tabs>
        <w:spacing w:line="360" w:lineRule="auto"/>
        <w:ind w:left="0" w:firstLine="0"/>
        <w:contextualSpacing/>
        <w:jc w:val="both"/>
        <w:rPr>
          <w:rFonts w:ascii="Palatino Linotype" w:eastAsia="Calibri" w:hAnsi="Palatino Linotype"/>
          <w:color w:val="000000" w:themeColor="text1"/>
        </w:rPr>
      </w:pPr>
      <w:r w:rsidRPr="000353E1">
        <w:rPr>
          <w:rFonts w:ascii="Palatino Linotype" w:eastAsia="Calibri" w:hAnsi="Palatino Linotype"/>
          <w:color w:val="000000" w:themeColor="text1"/>
        </w:rPr>
        <w:t xml:space="preserve">En fecha seis (06) de diciembre de dos mil veintidós </w:t>
      </w:r>
      <w:r w:rsidRPr="000353E1">
        <w:rPr>
          <w:rFonts w:ascii="Palatino Linotype" w:eastAsia="Calibri" w:hAnsi="Palatino Linotype"/>
          <w:b/>
          <w:color w:val="000000" w:themeColor="text1"/>
        </w:rPr>
        <w:t>el SUJETO OBLIGADO</w:t>
      </w:r>
      <w:r w:rsidRPr="000353E1">
        <w:rPr>
          <w:rFonts w:ascii="Palatino Linotype" w:eastAsia="Calibri" w:hAnsi="Palatino Linotype"/>
          <w:color w:val="000000" w:themeColor="text1"/>
        </w:rPr>
        <w:t xml:space="preserve"> realizó entrega de un documento en calidad de informe justificado, mismos que se hicieron de conocimiento del </w:t>
      </w:r>
      <w:r w:rsidRPr="000353E1">
        <w:rPr>
          <w:rFonts w:ascii="Palatino Linotype" w:eastAsia="Calibri" w:hAnsi="Palatino Linotype"/>
          <w:b/>
          <w:color w:val="000000" w:themeColor="text1"/>
        </w:rPr>
        <w:t>RECURRENTE</w:t>
      </w:r>
      <w:r w:rsidRPr="000353E1">
        <w:rPr>
          <w:rFonts w:ascii="Palatino Linotype" w:eastAsia="Calibri" w:hAnsi="Palatino Linotype"/>
          <w:color w:val="000000" w:themeColor="text1"/>
        </w:rPr>
        <w:t xml:space="preserve"> mediante acuerdo de fecha uno (01) de agosto de dos mil veintitrés, no obstante, y afecto de que no exista opacidad se describe a continuación:</w:t>
      </w:r>
    </w:p>
    <w:p w14:paraId="5CB793A2" w14:textId="77777777" w:rsidR="00FC2113" w:rsidRPr="000353E1" w:rsidRDefault="00FC2113" w:rsidP="000353E1">
      <w:pPr>
        <w:pStyle w:val="Prrafodelista"/>
        <w:spacing w:line="360" w:lineRule="auto"/>
        <w:rPr>
          <w:rFonts w:ascii="Palatino Linotype" w:eastAsia="Calibri" w:hAnsi="Palatino Linotype"/>
          <w:color w:val="000000" w:themeColor="text1"/>
        </w:rPr>
      </w:pPr>
    </w:p>
    <w:p w14:paraId="1633CFCC" w14:textId="409A8527" w:rsidR="00FC2113" w:rsidRPr="000353E1" w:rsidRDefault="00FC2113" w:rsidP="000353E1">
      <w:pPr>
        <w:pStyle w:val="Prrafodelista"/>
        <w:tabs>
          <w:tab w:val="left" w:pos="567"/>
        </w:tabs>
        <w:spacing w:line="360" w:lineRule="auto"/>
        <w:ind w:left="0"/>
        <w:contextualSpacing/>
        <w:jc w:val="both"/>
        <w:rPr>
          <w:rFonts w:ascii="Palatino Linotype" w:eastAsia="Calibri" w:hAnsi="Palatino Linotype"/>
          <w:color w:val="000000" w:themeColor="text1"/>
        </w:rPr>
      </w:pPr>
    </w:p>
    <w:p w14:paraId="6DEC2F28" w14:textId="6CD4C1FE" w:rsidR="003B64C9" w:rsidRPr="000353E1" w:rsidRDefault="003B64C9" w:rsidP="000353E1">
      <w:pPr>
        <w:pStyle w:val="Prrafodelista"/>
        <w:numPr>
          <w:ilvl w:val="0"/>
          <w:numId w:val="12"/>
        </w:numPr>
        <w:tabs>
          <w:tab w:val="left" w:pos="567"/>
          <w:tab w:val="left" w:pos="1134"/>
        </w:tabs>
        <w:spacing w:line="360" w:lineRule="auto"/>
        <w:ind w:left="567" w:right="891" w:firstLine="0"/>
        <w:contextualSpacing/>
        <w:jc w:val="both"/>
        <w:rPr>
          <w:rFonts w:ascii="Palatino Linotype" w:eastAsia="Calibri" w:hAnsi="Palatino Linotype"/>
          <w:color w:val="000000" w:themeColor="text1"/>
        </w:rPr>
      </w:pPr>
      <w:r w:rsidRPr="000353E1">
        <w:rPr>
          <w:rFonts w:ascii="Palatino Linotype" w:eastAsia="Calibri" w:hAnsi="Palatino Linotype"/>
          <w:b/>
          <w:color w:val="000000" w:themeColor="text1"/>
          <w:u w:val="single"/>
        </w:rPr>
        <w:lastRenderedPageBreak/>
        <w:t>RR 16733-2022 DGRM.pdf</w:t>
      </w:r>
      <w:r w:rsidR="00FC2113" w:rsidRPr="000353E1">
        <w:rPr>
          <w:rFonts w:ascii="Palatino Linotype" w:eastAsia="Calibri" w:hAnsi="Palatino Linotype"/>
          <w:color w:val="000000" w:themeColor="text1"/>
        </w:rPr>
        <w:t>: C</w:t>
      </w:r>
      <w:r w:rsidRPr="000353E1">
        <w:rPr>
          <w:rFonts w:ascii="Palatino Linotype" w:eastAsia="Calibri" w:hAnsi="Palatino Linotype"/>
          <w:color w:val="000000" w:themeColor="text1"/>
        </w:rPr>
        <w:t>orresponde al oficio 2070</w:t>
      </w:r>
      <w:r w:rsidR="009F71F3" w:rsidRPr="000353E1">
        <w:rPr>
          <w:rFonts w:ascii="Palatino Linotype" w:eastAsia="Calibri" w:hAnsi="Palatino Linotype"/>
          <w:color w:val="000000" w:themeColor="text1"/>
        </w:rPr>
        <w:t>6005000200S_0495/2022, suscrito por el Director General de Recursos Materiales, m</w:t>
      </w:r>
      <w:r w:rsidR="00292304" w:rsidRPr="000353E1">
        <w:rPr>
          <w:rFonts w:ascii="Palatino Linotype" w:eastAsia="Calibri" w:hAnsi="Palatino Linotype"/>
          <w:color w:val="000000" w:themeColor="text1"/>
        </w:rPr>
        <w:t xml:space="preserve">ediante el cual se ratifica la respuesta proporcionada mediante el oficio 2070600500200S-0477/2022, de fecha 10 de noviembre de 2022. </w:t>
      </w:r>
    </w:p>
    <w:p w14:paraId="5FF19034" w14:textId="77777777" w:rsidR="00FC2113" w:rsidRPr="000353E1" w:rsidRDefault="00FC2113" w:rsidP="000353E1">
      <w:pPr>
        <w:pStyle w:val="Prrafodelista"/>
        <w:tabs>
          <w:tab w:val="left" w:pos="567"/>
          <w:tab w:val="left" w:pos="1134"/>
        </w:tabs>
        <w:spacing w:line="360" w:lineRule="auto"/>
        <w:ind w:left="567" w:right="891"/>
        <w:contextualSpacing/>
        <w:jc w:val="both"/>
        <w:rPr>
          <w:rFonts w:ascii="Palatino Linotype" w:eastAsia="Calibri" w:hAnsi="Palatino Linotype"/>
          <w:color w:val="000000" w:themeColor="text1"/>
        </w:rPr>
      </w:pPr>
    </w:p>
    <w:p w14:paraId="52C0CFF9" w14:textId="3233FAE7" w:rsidR="003B64C9" w:rsidRPr="000353E1" w:rsidRDefault="003B64C9" w:rsidP="000353E1">
      <w:pPr>
        <w:pStyle w:val="Prrafodelista"/>
        <w:numPr>
          <w:ilvl w:val="0"/>
          <w:numId w:val="12"/>
        </w:numPr>
        <w:tabs>
          <w:tab w:val="left" w:pos="567"/>
          <w:tab w:val="left" w:pos="1134"/>
        </w:tabs>
        <w:spacing w:line="360" w:lineRule="auto"/>
        <w:ind w:left="567" w:right="891" w:firstLine="0"/>
        <w:contextualSpacing/>
        <w:jc w:val="both"/>
        <w:rPr>
          <w:rFonts w:ascii="Palatino Linotype" w:eastAsia="Calibri" w:hAnsi="Palatino Linotype"/>
          <w:b/>
          <w:color w:val="000000" w:themeColor="text1"/>
          <w:u w:val="single"/>
        </w:rPr>
      </w:pPr>
      <w:r w:rsidRPr="000353E1">
        <w:rPr>
          <w:rFonts w:ascii="Palatino Linotype" w:eastAsia="Calibri" w:hAnsi="Palatino Linotype"/>
          <w:b/>
          <w:color w:val="000000" w:themeColor="text1"/>
          <w:u w:val="single"/>
        </w:rPr>
        <w:t>RR 16733-2022 Informe Justificado.pdf</w:t>
      </w:r>
      <w:r w:rsidR="00FC2113" w:rsidRPr="000353E1">
        <w:rPr>
          <w:rFonts w:ascii="Palatino Linotype" w:eastAsia="Calibri" w:hAnsi="Palatino Linotype"/>
          <w:color w:val="000000" w:themeColor="text1"/>
        </w:rPr>
        <w:t>: D</w:t>
      </w:r>
      <w:r w:rsidR="009C5A46" w:rsidRPr="000353E1">
        <w:rPr>
          <w:rFonts w:ascii="Palatino Linotype" w:eastAsia="Calibri" w:hAnsi="Palatino Linotype"/>
          <w:color w:val="000000" w:themeColor="text1"/>
        </w:rPr>
        <w:t xml:space="preserve">ocumento suscrito por el Titular de la Unidad de Transparencia de la Secretaria de Finanzas, en el que se describen cada una de las actuaciones realizadas por las partes, reiterando la respuesta otorgada, mediante el oficio 20706005000200S-0477/2022, signado por el servidor público habilitado de la Dirección General de Recursos Materiales, correspondiente a la solicitud de información número 00491/SFIP/2022. </w:t>
      </w:r>
    </w:p>
    <w:p w14:paraId="2879EDED" w14:textId="77777777" w:rsidR="009C5A46" w:rsidRPr="000353E1" w:rsidRDefault="009C5A46" w:rsidP="000353E1">
      <w:pPr>
        <w:pStyle w:val="Prrafodelista"/>
        <w:tabs>
          <w:tab w:val="left" w:pos="567"/>
        </w:tabs>
        <w:spacing w:line="360" w:lineRule="auto"/>
        <w:ind w:left="720"/>
        <w:contextualSpacing/>
        <w:jc w:val="both"/>
        <w:rPr>
          <w:rFonts w:ascii="Palatino Linotype" w:eastAsia="Calibri" w:hAnsi="Palatino Linotype"/>
          <w:color w:val="000000" w:themeColor="text1"/>
        </w:rPr>
      </w:pPr>
    </w:p>
    <w:p w14:paraId="2E80D0FB" w14:textId="39E69C2E" w:rsidR="002D50FA" w:rsidRPr="000353E1" w:rsidRDefault="002D50FA" w:rsidP="000353E1">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0353E1">
        <w:rPr>
          <w:rFonts w:ascii="Palatino Linotype" w:hAnsi="Palatino Linotype"/>
          <w:color w:val="000000"/>
          <w:lang w:val="es-ES_tradnl"/>
        </w:rPr>
        <w:t xml:space="preserve">Por su parte </w:t>
      </w:r>
      <w:r w:rsidRPr="000353E1">
        <w:rPr>
          <w:rFonts w:ascii="Palatino Linotype" w:hAnsi="Palatino Linotype"/>
          <w:b/>
          <w:color w:val="000000"/>
          <w:lang w:val="es-ES_tradnl"/>
        </w:rPr>
        <w:t xml:space="preserve">EL PARTICULAR </w:t>
      </w:r>
      <w:r w:rsidRPr="000353E1">
        <w:rPr>
          <w:rFonts w:ascii="Palatino Linotype" w:hAnsi="Palatino Linotype"/>
          <w:color w:val="000000"/>
          <w:lang w:val="es-ES_tradnl"/>
        </w:rPr>
        <w:t>dejó de realizar manifestaciones que a su derecho conviniera y asistiera.</w:t>
      </w:r>
    </w:p>
    <w:p w14:paraId="646B821A" w14:textId="77777777" w:rsidR="002D50FA" w:rsidRPr="000353E1" w:rsidRDefault="002D50FA" w:rsidP="000353E1">
      <w:pPr>
        <w:pStyle w:val="Prrafodelista"/>
        <w:tabs>
          <w:tab w:val="left" w:pos="567"/>
          <w:tab w:val="left" w:pos="709"/>
        </w:tabs>
        <w:spacing w:line="360" w:lineRule="auto"/>
        <w:ind w:left="0"/>
        <w:contextualSpacing/>
        <w:jc w:val="both"/>
        <w:rPr>
          <w:rFonts w:ascii="Palatino Linotype" w:eastAsia="Calibri" w:hAnsi="Palatino Linotype"/>
          <w:color w:val="000000" w:themeColor="text1"/>
        </w:rPr>
      </w:pPr>
    </w:p>
    <w:p w14:paraId="31B56376" w14:textId="116584BA" w:rsidR="007869C8" w:rsidRPr="000353E1" w:rsidRDefault="00C807B4" w:rsidP="000353E1">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0353E1">
        <w:rPr>
          <w:rFonts w:ascii="Palatino Linotype" w:eastAsiaTheme="minorEastAsia" w:hAnsi="Palatino Linotype"/>
          <w:color w:val="000000" w:themeColor="text1"/>
          <w:lang w:val="es-MX"/>
        </w:rPr>
        <w:t xml:space="preserve">El </w:t>
      </w:r>
      <w:r w:rsidR="00545D19" w:rsidRPr="000353E1">
        <w:rPr>
          <w:rFonts w:ascii="Palatino Linotype" w:eastAsiaTheme="minorEastAsia" w:hAnsi="Palatino Linotype"/>
          <w:color w:val="000000" w:themeColor="text1"/>
          <w:lang w:val="es-MX"/>
        </w:rPr>
        <w:t xml:space="preserve">veintitrés </w:t>
      </w:r>
      <w:r w:rsidR="00143CC5" w:rsidRPr="000353E1">
        <w:rPr>
          <w:rFonts w:ascii="Palatino Linotype" w:eastAsiaTheme="minorEastAsia" w:hAnsi="Palatino Linotype"/>
          <w:color w:val="000000" w:themeColor="text1"/>
          <w:lang w:val="es-MX"/>
        </w:rPr>
        <w:t>(</w:t>
      </w:r>
      <w:r w:rsidR="00545D19" w:rsidRPr="000353E1">
        <w:rPr>
          <w:rFonts w:ascii="Palatino Linotype" w:eastAsiaTheme="minorEastAsia" w:hAnsi="Palatino Linotype"/>
          <w:color w:val="000000" w:themeColor="text1"/>
          <w:lang w:val="es-MX"/>
        </w:rPr>
        <w:t>23) de junio</w:t>
      </w:r>
      <w:r w:rsidR="00A0466C" w:rsidRPr="000353E1">
        <w:rPr>
          <w:rFonts w:ascii="Palatino Linotype" w:eastAsiaTheme="minorEastAsia" w:hAnsi="Palatino Linotype"/>
          <w:color w:val="000000" w:themeColor="text1"/>
          <w:lang w:val="es-MX"/>
        </w:rPr>
        <w:t xml:space="preserve"> </w:t>
      </w:r>
      <w:r w:rsidR="00C3208F" w:rsidRPr="000353E1">
        <w:rPr>
          <w:rFonts w:ascii="Palatino Linotype" w:eastAsiaTheme="minorEastAsia" w:hAnsi="Palatino Linotype"/>
          <w:color w:val="000000" w:themeColor="text1"/>
          <w:lang w:val="es-MX"/>
        </w:rPr>
        <w:t>de do</w:t>
      </w:r>
      <w:r w:rsidR="00545D19" w:rsidRPr="000353E1">
        <w:rPr>
          <w:rFonts w:ascii="Palatino Linotype" w:eastAsiaTheme="minorEastAsia" w:hAnsi="Palatino Linotype"/>
          <w:color w:val="000000" w:themeColor="text1"/>
          <w:lang w:val="es-MX"/>
        </w:rPr>
        <w:t>s mil veintitrés</w:t>
      </w:r>
      <w:r w:rsidR="00A0466C" w:rsidRPr="000353E1">
        <w:rPr>
          <w:rFonts w:ascii="Palatino Linotype" w:eastAsiaTheme="minorEastAsia" w:hAnsi="Palatino Linotype"/>
          <w:color w:val="000000" w:themeColor="text1"/>
          <w:lang w:val="es-MX"/>
        </w:rPr>
        <w:t xml:space="preserve"> </w:t>
      </w:r>
      <w:r w:rsidR="007869C8" w:rsidRPr="000353E1">
        <w:rPr>
          <w:rFonts w:ascii="Palatino Linotype" w:eastAsiaTheme="minorEastAsia" w:hAnsi="Palatino Linotype"/>
          <w:color w:val="000000" w:themeColor="text1"/>
          <w:lang w:val="es-MX"/>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17C714A3" w14:textId="2A29BDFE" w:rsidR="007869C8" w:rsidRPr="000353E1" w:rsidRDefault="007869C8" w:rsidP="000353E1">
      <w:pPr>
        <w:pStyle w:val="Prrafodelista"/>
        <w:tabs>
          <w:tab w:val="left" w:pos="567"/>
          <w:tab w:val="left" w:pos="709"/>
        </w:tabs>
        <w:spacing w:line="360" w:lineRule="auto"/>
        <w:rPr>
          <w:rFonts w:ascii="Palatino Linotype" w:eastAsia="Calibri" w:hAnsi="Palatino Linotype"/>
          <w:color w:val="000000" w:themeColor="text1"/>
        </w:rPr>
      </w:pPr>
    </w:p>
    <w:p w14:paraId="52566593" w14:textId="000F7784" w:rsidR="00C3208F" w:rsidRPr="000353E1" w:rsidRDefault="00F5306F" w:rsidP="000353E1">
      <w:pPr>
        <w:pStyle w:val="Prrafodelista"/>
        <w:numPr>
          <w:ilvl w:val="0"/>
          <w:numId w:val="2"/>
        </w:numPr>
        <w:tabs>
          <w:tab w:val="left" w:pos="567"/>
          <w:tab w:val="left" w:pos="709"/>
        </w:tabs>
        <w:spacing w:line="360" w:lineRule="auto"/>
        <w:ind w:left="0" w:firstLine="0"/>
        <w:contextualSpacing/>
        <w:jc w:val="both"/>
        <w:rPr>
          <w:rFonts w:ascii="Palatino Linotype" w:eastAsia="Calibri" w:hAnsi="Palatino Linotype"/>
          <w:color w:val="000000" w:themeColor="text1"/>
        </w:rPr>
      </w:pPr>
      <w:r w:rsidRPr="000353E1">
        <w:rPr>
          <w:rFonts w:ascii="Palatino Linotype" w:eastAsia="MS Mincho"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5DAF82" w14:textId="77777777" w:rsidR="002870C9" w:rsidRPr="000353E1" w:rsidRDefault="002870C9" w:rsidP="000353E1">
      <w:pPr>
        <w:pStyle w:val="Prrafodelista"/>
        <w:tabs>
          <w:tab w:val="left" w:pos="567"/>
          <w:tab w:val="left" w:pos="709"/>
        </w:tabs>
        <w:spacing w:before="240" w:after="240" w:line="360" w:lineRule="auto"/>
        <w:ind w:left="0" w:right="49"/>
        <w:contextualSpacing/>
        <w:jc w:val="both"/>
        <w:rPr>
          <w:rFonts w:ascii="Palatino Linotype" w:eastAsia="Calibri" w:hAnsi="Palatino Linotype"/>
          <w:color w:val="000000" w:themeColor="text1"/>
        </w:rPr>
      </w:pPr>
    </w:p>
    <w:p w14:paraId="57AFAB6F" w14:textId="2BE4454B" w:rsidR="00F5306F" w:rsidRPr="000353E1" w:rsidRDefault="00F5306F" w:rsidP="000353E1">
      <w:pPr>
        <w:pStyle w:val="Prrafodelista"/>
        <w:numPr>
          <w:ilvl w:val="0"/>
          <w:numId w:val="2"/>
        </w:numPr>
        <w:tabs>
          <w:tab w:val="left" w:pos="0"/>
          <w:tab w:val="left" w:pos="567"/>
        </w:tabs>
        <w:spacing w:before="240" w:after="240" w:line="360" w:lineRule="auto"/>
        <w:ind w:left="0" w:right="49" w:firstLine="0"/>
        <w:contextualSpacing/>
        <w:jc w:val="both"/>
        <w:rPr>
          <w:rFonts w:ascii="Palatino Linotype" w:eastAsia="MS Mincho" w:hAnsi="Palatino Linotype"/>
          <w:b/>
        </w:rPr>
      </w:pPr>
      <w:r w:rsidRPr="000353E1">
        <w:rPr>
          <w:rFonts w:ascii="Palatino Linotype" w:eastAsia="MS Mincho"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950A56F"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0353E1">
        <w:rPr>
          <w:rFonts w:ascii="Palatino Linotype" w:eastAsia="MS Mincho"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5E73A36" w14:textId="77777777" w:rsidR="00F5306F" w:rsidRPr="000353E1" w:rsidRDefault="00F5306F" w:rsidP="000353E1">
      <w:pPr>
        <w:tabs>
          <w:tab w:val="left" w:pos="567"/>
          <w:tab w:val="left" w:pos="709"/>
        </w:tabs>
        <w:spacing w:line="360" w:lineRule="auto"/>
        <w:ind w:left="720"/>
        <w:contextualSpacing/>
        <w:rPr>
          <w:rFonts w:ascii="Palatino Linotype" w:eastAsia="MS Mincho" w:hAnsi="Palatino Linotype"/>
        </w:rPr>
      </w:pPr>
    </w:p>
    <w:p w14:paraId="42B10DDF"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0353E1">
        <w:rPr>
          <w:rFonts w:ascii="Palatino Linotype" w:eastAsia="MS Mincho"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6DFF5A" w14:textId="77777777" w:rsidR="00F5306F" w:rsidRPr="000353E1" w:rsidRDefault="00F5306F" w:rsidP="000353E1">
      <w:pPr>
        <w:tabs>
          <w:tab w:val="left" w:pos="567"/>
          <w:tab w:val="left" w:pos="709"/>
        </w:tabs>
        <w:spacing w:line="360" w:lineRule="auto"/>
        <w:ind w:left="720"/>
        <w:contextualSpacing/>
        <w:rPr>
          <w:rFonts w:ascii="Palatino Linotype" w:eastAsia="MS Mincho" w:hAnsi="Palatino Linotype"/>
        </w:rPr>
      </w:pPr>
    </w:p>
    <w:p w14:paraId="1FE9E348"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b/>
        </w:rPr>
      </w:pPr>
      <w:r w:rsidRPr="000353E1">
        <w:rPr>
          <w:rFonts w:ascii="Palatino Linotype" w:eastAsia="MS Mincho"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AC114D9"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0353E1">
        <w:rPr>
          <w:rFonts w:ascii="Palatino Linotype" w:eastAsia="MS Mincho" w:hAnsi="Palatino Linotype"/>
        </w:rPr>
        <w:t xml:space="preserve"> </w:t>
      </w:r>
    </w:p>
    <w:p w14:paraId="0C49C4EB"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0353E1">
        <w:rPr>
          <w:rFonts w:ascii="Palatino Linotype" w:eastAsia="MS Mincho" w:hAnsi="Palatino Linotype"/>
        </w:rPr>
        <w:t>a)      Complejidad del asunto: La complejidad de la prueba, la pluralidad de sujetos procesales, el tiempo transcurrido, las características y contexto del recurso.</w:t>
      </w:r>
    </w:p>
    <w:p w14:paraId="0514170F"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0353E1">
        <w:rPr>
          <w:rFonts w:ascii="Palatino Linotype" w:eastAsia="MS Mincho" w:hAnsi="Palatino Linotype"/>
        </w:rPr>
        <w:t>b)     Actividad Procesal del interesado: Acciones u omisiones del interesado.</w:t>
      </w:r>
    </w:p>
    <w:p w14:paraId="6EC549F4" w14:textId="75057C6B" w:rsidR="00F5306F" w:rsidRPr="000353E1" w:rsidRDefault="00553A8B"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r>
        <w:rPr>
          <w:rFonts w:ascii="Palatino Linotype" w:eastAsia="MS Mincho" w:hAnsi="Palatino Linotype"/>
        </w:rPr>
        <w:t xml:space="preserve">c)  </w:t>
      </w:r>
      <w:r w:rsidR="00F5306F" w:rsidRPr="000353E1">
        <w:rPr>
          <w:rFonts w:ascii="Palatino Linotype" w:eastAsia="MS Mincho" w:hAnsi="Palatino Linotype"/>
        </w:rPr>
        <w:t>Conducta de la Autoridad: Las Acciones u omisiones realizadas en el procedimiento. Así como si la autoridad actuó con la debida diligencia.</w:t>
      </w:r>
    </w:p>
    <w:p w14:paraId="21B2F5A0" w14:textId="6E831C90"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0353E1">
        <w:rPr>
          <w:rFonts w:ascii="Palatino Linotype" w:eastAsia="MS Mincho" w:hAnsi="Palatino Linotype"/>
        </w:rPr>
        <w:t xml:space="preserve">d) </w:t>
      </w:r>
      <w:r w:rsidR="00553A8B">
        <w:rPr>
          <w:rFonts w:ascii="Palatino Linotype" w:eastAsia="MS Mincho" w:hAnsi="Palatino Linotype"/>
        </w:rPr>
        <w:t xml:space="preserve">    </w:t>
      </w:r>
      <w:r w:rsidRPr="000353E1">
        <w:rPr>
          <w:rFonts w:ascii="Palatino Linotype" w:eastAsia="MS Mincho" w:hAnsi="Palatino Linotype"/>
        </w:rPr>
        <w:t>La afectación generada en la situación jurídica de la persona involucrada en el proceso: Violación a sus derechos humanos.</w:t>
      </w:r>
    </w:p>
    <w:p w14:paraId="6985C8D3"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4C762E5A" w14:textId="77777777" w:rsidR="00F5306F" w:rsidRPr="000353E1" w:rsidRDefault="00F5306F" w:rsidP="000353E1">
      <w:pPr>
        <w:numPr>
          <w:ilvl w:val="0"/>
          <w:numId w:val="2"/>
        </w:numPr>
        <w:tabs>
          <w:tab w:val="left" w:pos="567"/>
        </w:tabs>
        <w:spacing w:before="240" w:after="240" w:line="360" w:lineRule="auto"/>
        <w:ind w:left="0" w:right="49" w:firstLine="0"/>
        <w:contextualSpacing/>
        <w:jc w:val="both"/>
        <w:rPr>
          <w:rFonts w:ascii="Palatino Linotype" w:eastAsia="MS Mincho" w:hAnsi="Palatino Linotype"/>
        </w:rPr>
      </w:pPr>
      <w:r w:rsidRPr="000353E1">
        <w:rPr>
          <w:rFonts w:ascii="Palatino Linotype" w:eastAsia="MS Mincho"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CDD1B85"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79759B93"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0353E1">
        <w:rPr>
          <w:rFonts w:ascii="Palatino Linotype" w:eastAsia="MS Mincho"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w:t>
      </w:r>
      <w:r w:rsidRPr="000353E1">
        <w:rPr>
          <w:rFonts w:ascii="Palatino Linotype" w:eastAsia="MS Mincho" w:hAnsi="Palatino Linotype"/>
        </w:rPr>
        <w:lastRenderedPageBreak/>
        <w:t>CARACTERÍSTICAS DEL CASO.”, visible en la Gaceta del Seminario Judicial de la Federación con el registro digital 205635.</w:t>
      </w:r>
    </w:p>
    <w:p w14:paraId="2FDE43B9" w14:textId="77777777" w:rsidR="00F5306F" w:rsidRPr="000353E1" w:rsidRDefault="00F5306F" w:rsidP="000353E1">
      <w:pPr>
        <w:tabs>
          <w:tab w:val="left" w:pos="567"/>
          <w:tab w:val="left" w:pos="709"/>
        </w:tabs>
        <w:spacing w:line="360" w:lineRule="auto"/>
        <w:ind w:left="720"/>
        <w:contextualSpacing/>
        <w:rPr>
          <w:rFonts w:ascii="Palatino Linotype" w:eastAsia="MS Mincho" w:hAnsi="Palatino Linotype"/>
        </w:rPr>
      </w:pPr>
    </w:p>
    <w:p w14:paraId="7CD8EAA4"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0353E1">
        <w:rPr>
          <w:rFonts w:ascii="Palatino Linotype" w:eastAsia="MS Mincho"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8AE9F00" w14:textId="77777777" w:rsidR="00F5306F" w:rsidRPr="000353E1" w:rsidRDefault="00F5306F" w:rsidP="000353E1">
      <w:pPr>
        <w:tabs>
          <w:tab w:val="left" w:pos="567"/>
          <w:tab w:val="left" w:pos="709"/>
        </w:tabs>
        <w:spacing w:line="360" w:lineRule="auto"/>
        <w:ind w:left="720"/>
        <w:contextualSpacing/>
        <w:rPr>
          <w:rFonts w:ascii="Palatino Linotype" w:eastAsia="MS Mincho" w:hAnsi="Palatino Linotype"/>
        </w:rPr>
      </w:pPr>
    </w:p>
    <w:p w14:paraId="4E167B92"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0353E1">
        <w:rPr>
          <w:rFonts w:ascii="Palatino Linotype" w:eastAsia="MS Mincho" w:hAnsi="Palatino Linotype"/>
        </w:rPr>
        <w:t>Al respecto, también son de considerar los criterios sostenidos por el Cuarto Tribunal Colegiado en Materia Administrativa del Primer Circuito, cuyos rubros y datos de identificación son los siguientes:</w:t>
      </w:r>
    </w:p>
    <w:p w14:paraId="4F8F6F33"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r w:rsidRPr="000353E1">
        <w:rPr>
          <w:rFonts w:ascii="Palatino Linotype" w:eastAsia="MS Mincho" w:hAnsi="Palatino Linotype"/>
        </w:rPr>
        <w:t xml:space="preserve"> “PLAZO RAZONABLE PARA RESOLVER. DIMENSIÓN Y EFECTOS DE ESTE CONCEPTO CUANDO SE ADUCE EXCESIVA CARGA DE TRABAJO.” consultable en el Seminario Judicial de la Federación y su gaceta, con el registro digital 2002351.</w:t>
      </w:r>
    </w:p>
    <w:p w14:paraId="4CA9C53A" w14:textId="77777777" w:rsidR="00F5306F" w:rsidRPr="00553A8B"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sz w:val="22"/>
        </w:rPr>
      </w:pPr>
      <w:r w:rsidRPr="000353E1">
        <w:rPr>
          <w:rFonts w:ascii="Palatino Linotype" w:eastAsia="MS Mincho" w:hAnsi="Palatino Linotype"/>
        </w:rPr>
        <w:t xml:space="preserve"> </w:t>
      </w:r>
    </w:p>
    <w:p w14:paraId="280029C6" w14:textId="77777777" w:rsidR="00F5306F" w:rsidRPr="00553A8B"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sz w:val="22"/>
        </w:rPr>
      </w:pPr>
      <w:r w:rsidRPr="00553A8B">
        <w:rPr>
          <w:rFonts w:ascii="Palatino Linotype" w:eastAsia="MS Mincho" w:hAnsi="Palatino Linotype"/>
          <w:sz w:val="22"/>
        </w:rPr>
        <w:t xml:space="preserve">“PLAZO RAZONABLE PARA RESOLVER. CONCEPTO Y ELEMENTOS QUE LO INTEGRAN A LA LUZ DEL DERECHO INTERNACIONAL DE LOS DERECHOS </w:t>
      </w:r>
      <w:r w:rsidRPr="00553A8B">
        <w:rPr>
          <w:rFonts w:ascii="Palatino Linotype" w:eastAsia="MS Mincho" w:hAnsi="Palatino Linotype"/>
          <w:sz w:val="22"/>
        </w:rPr>
        <w:lastRenderedPageBreak/>
        <w:t>HUMANOS.”, visible en el Seminario Judicial de la Federación y su gaceta, con el registro digital 2002350.</w:t>
      </w:r>
    </w:p>
    <w:p w14:paraId="294F5365" w14:textId="77777777" w:rsidR="00F5306F" w:rsidRPr="000353E1" w:rsidRDefault="00F5306F" w:rsidP="000353E1">
      <w:pPr>
        <w:tabs>
          <w:tab w:val="left" w:pos="284"/>
          <w:tab w:val="left" w:pos="567"/>
          <w:tab w:val="left" w:pos="709"/>
        </w:tabs>
        <w:spacing w:before="240" w:after="240" w:line="360" w:lineRule="auto"/>
        <w:ind w:right="49"/>
        <w:contextualSpacing/>
        <w:jc w:val="both"/>
        <w:rPr>
          <w:rFonts w:ascii="Palatino Linotype" w:eastAsia="MS Mincho" w:hAnsi="Palatino Linotype"/>
        </w:rPr>
      </w:pPr>
    </w:p>
    <w:p w14:paraId="633F0196" w14:textId="77777777" w:rsidR="00F5306F" w:rsidRPr="000353E1" w:rsidRDefault="00F5306F" w:rsidP="000353E1">
      <w:pPr>
        <w:numPr>
          <w:ilvl w:val="0"/>
          <w:numId w:val="2"/>
        </w:numPr>
        <w:tabs>
          <w:tab w:val="left" w:pos="567"/>
          <w:tab w:val="left" w:pos="709"/>
        </w:tabs>
        <w:spacing w:before="240" w:after="240" w:line="360" w:lineRule="auto"/>
        <w:ind w:left="0" w:right="49" w:firstLine="0"/>
        <w:contextualSpacing/>
        <w:jc w:val="both"/>
        <w:rPr>
          <w:rFonts w:ascii="Palatino Linotype" w:eastAsia="MS Mincho" w:hAnsi="Palatino Linotype"/>
        </w:rPr>
      </w:pPr>
      <w:r w:rsidRPr="000353E1">
        <w:rPr>
          <w:rFonts w:ascii="Palatino Linotype" w:eastAsia="MS Mincho" w:hAnsi="Palatino Linotype"/>
        </w:rPr>
        <w:t>Por ello, este organismo garante comprometido con la tutela de los derechos humanos confiados, señala que este exceso del plazo legal para resolver el presente asunto, resulta de carácter excepcional.</w:t>
      </w:r>
    </w:p>
    <w:p w14:paraId="032CC4AB" w14:textId="77777777" w:rsidR="00F5306F" w:rsidRPr="000353E1" w:rsidRDefault="00F5306F" w:rsidP="000353E1">
      <w:pPr>
        <w:tabs>
          <w:tab w:val="left" w:pos="567"/>
          <w:tab w:val="left" w:pos="709"/>
        </w:tabs>
        <w:spacing w:after="160" w:line="360" w:lineRule="auto"/>
        <w:ind w:right="49"/>
        <w:contextualSpacing/>
        <w:jc w:val="both"/>
        <w:rPr>
          <w:rFonts w:ascii="Palatino Linotype" w:hAnsi="Palatino Linotype"/>
          <w:lang w:val="es-ES_tradnl"/>
        </w:rPr>
      </w:pPr>
    </w:p>
    <w:p w14:paraId="27AF6C9D" w14:textId="61F51B02" w:rsidR="00FC2113" w:rsidRPr="000353E1" w:rsidRDefault="00553A8B" w:rsidP="000353E1">
      <w:pPr>
        <w:pStyle w:val="Prrafodelista"/>
        <w:numPr>
          <w:ilvl w:val="0"/>
          <w:numId w:val="2"/>
        </w:numPr>
        <w:tabs>
          <w:tab w:val="left" w:pos="567"/>
          <w:tab w:val="left" w:pos="709"/>
        </w:tabs>
        <w:spacing w:line="360" w:lineRule="auto"/>
        <w:ind w:left="0" w:firstLine="0"/>
        <w:contextualSpacing/>
        <w:jc w:val="both"/>
        <w:rPr>
          <w:rFonts w:ascii="Palatino Linotype" w:eastAsiaTheme="minorEastAsia" w:hAnsi="Palatino Linotype"/>
          <w:b/>
          <w:color w:val="000000" w:themeColor="text1"/>
          <w:lang w:val="es-ES_tradnl"/>
        </w:rPr>
      </w:pPr>
      <w:r>
        <w:rPr>
          <w:rFonts w:ascii="Palatino Linotype" w:eastAsiaTheme="minorEastAsia" w:hAnsi="Palatino Linotype"/>
          <w:color w:val="000000" w:themeColor="text1"/>
          <w:lang w:val="es-ES_tradnl"/>
        </w:rPr>
        <w:t xml:space="preserve"> Así las cosas</w:t>
      </w:r>
      <w:r w:rsidR="00F5306F" w:rsidRPr="000353E1">
        <w:rPr>
          <w:rFonts w:ascii="Palatino Linotype" w:eastAsiaTheme="minorEastAsia" w:hAnsi="Palatino Linotype"/>
          <w:color w:val="000000" w:themeColor="text1"/>
          <w:lang w:val="es-ES_tradnl"/>
        </w:rPr>
        <w:t xml:space="preserve"> la</w:t>
      </w:r>
      <w:r w:rsidR="00F5306F" w:rsidRPr="000353E1">
        <w:rPr>
          <w:rFonts w:ascii="Palatino Linotype" w:eastAsiaTheme="minorEastAsia" w:hAnsi="Palatino Linotype"/>
          <w:b/>
          <w:color w:val="000000" w:themeColor="text1"/>
          <w:lang w:val="es-ES_tradnl"/>
        </w:rPr>
        <w:t xml:space="preserve"> Comisionada María del Rosario Mejía Ayala</w:t>
      </w:r>
      <w:r>
        <w:rPr>
          <w:rFonts w:ascii="Palatino Linotype" w:eastAsiaTheme="minorEastAsia" w:hAnsi="Palatino Linotype"/>
          <w:b/>
          <w:color w:val="000000" w:themeColor="text1"/>
          <w:lang w:val="es-ES_tradnl"/>
        </w:rPr>
        <w:t>,</w:t>
      </w:r>
      <w:r w:rsidR="00F5306F" w:rsidRPr="000353E1">
        <w:rPr>
          <w:rFonts w:ascii="Palatino Linotype" w:eastAsiaTheme="minorEastAsia" w:hAnsi="Palatino Linotype"/>
          <w:color w:val="000000" w:themeColor="text1"/>
          <w:lang w:val="es-ES_tradnl"/>
        </w:rPr>
        <w:t xml:space="preserve"> decretó el cierre de instrucción med</w:t>
      </w:r>
      <w:r w:rsidR="00E96D0E" w:rsidRPr="000353E1">
        <w:rPr>
          <w:rFonts w:ascii="Palatino Linotype" w:eastAsiaTheme="minorEastAsia" w:hAnsi="Palatino Linotype"/>
          <w:color w:val="000000" w:themeColor="text1"/>
          <w:lang w:val="es-ES_tradnl"/>
        </w:rPr>
        <w:t>iant</w:t>
      </w:r>
      <w:r w:rsidR="00B81B4A" w:rsidRPr="000353E1">
        <w:rPr>
          <w:rFonts w:ascii="Palatino Linotype" w:eastAsiaTheme="minorEastAsia" w:hAnsi="Palatino Linotype"/>
          <w:color w:val="000000" w:themeColor="text1"/>
          <w:lang w:val="es-ES_tradnl"/>
        </w:rPr>
        <w:t xml:space="preserve">e acuerdo de </w:t>
      </w:r>
      <w:r w:rsidR="00E041D7" w:rsidRPr="000353E1">
        <w:rPr>
          <w:rFonts w:ascii="Palatino Linotype" w:eastAsiaTheme="minorEastAsia" w:hAnsi="Palatino Linotype"/>
          <w:color w:val="000000" w:themeColor="text1"/>
          <w:lang w:val="es-ES_tradnl"/>
        </w:rPr>
        <w:t>fecha siete (07</w:t>
      </w:r>
      <w:r w:rsidR="00A0466C" w:rsidRPr="000353E1">
        <w:rPr>
          <w:rFonts w:ascii="Palatino Linotype" w:eastAsiaTheme="minorEastAsia" w:hAnsi="Palatino Linotype"/>
          <w:color w:val="000000" w:themeColor="text1"/>
          <w:lang w:val="es-ES_tradnl"/>
        </w:rPr>
        <w:t xml:space="preserve">) </w:t>
      </w:r>
      <w:r w:rsidR="00B81B4A" w:rsidRPr="000353E1">
        <w:rPr>
          <w:rFonts w:ascii="Palatino Linotype" w:eastAsiaTheme="minorEastAsia" w:hAnsi="Palatino Linotype"/>
          <w:color w:val="000000" w:themeColor="text1"/>
          <w:lang w:val="es-ES_tradnl"/>
        </w:rPr>
        <w:t xml:space="preserve">de agosto </w:t>
      </w:r>
      <w:r w:rsidR="00143CC5" w:rsidRPr="000353E1">
        <w:rPr>
          <w:rFonts w:ascii="Palatino Linotype" w:eastAsiaTheme="minorEastAsia" w:hAnsi="Palatino Linotype"/>
          <w:color w:val="000000" w:themeColor="text1"/>
          <w:lang w:val="es-ES_tradnl"/>
        </w:rPr>
        <w:t>de dos mil veintitrés</w:t>
      </w:r>
      <w:r w:rsidR="00F5306F" w:rsidRPr="000353E1">
        <w:rPr>
          <w:rFonts w:ascii="Palatino Linotype" w:eastAsiaTheme="minorEastAsia" w:hAnsi="Palatino Linotype"/>
          <w:color w:val="000000" w:themeColor="text1"/>
          <w:lang w:val="es-ES_tradnl"/>
        </w:rPr>
        <w:t xml:space="preserve">. </w:t>
      </w:r>
      <w:bookmarkStart w:id="7" w:name="_Toc105089658"/>
    </w:p>
    <w:p w14:paraId="4892F5BF" w14:textId="77777777" w:rsidR="00273102" w:rsidRPr="000353E1" w:rsidRDefault="00273102" w:rsidP="000353E1">
      <w:pPr>
        <w:pStyle w:val="Prrafodelista"/>
        <w:tabs>
          <w:tab w:val="left" w:pos="567"/>
          <w:tab w:val="left" w:pos="709"/>
        </w:tabs>
        <w:spacing w:line="360" w:lineRule="auto"/>
        <w:ind w:left="0"/>
        <w:contextualSpacing/>
        <w:jc w:val="both"/>
        <w:rPr>
          <w:rFonts w:ascii="Palatino Linotype" w:eastAsiaTheme="minorEastAsia" w:hAnsi="Palatino Linotype"/>
          <w:b/>
          <w:color w:val="000000" w:themeColor="text1"/>
          <w:lang w:val="es-ES_tradnl"/>
        </w:rPr>
      </w:pPr>
    </w:p>
    <w:p w14:paraId="494F97AD" w14:textId="7DCA4FFC" w:rsidR="00EA0165" w:rsidRPr="000353E1" w:rsidRDefault="00EA0165" w:rsidP="000353E1">
      <w:pPr>
        <w:pStyle w:val="Prrafodelista"/>
        <w:tabs>
          <w:tab w:val="left" w:pos="567"/>
          <w:tab w:val="left" w:pos="709"/>
        </w:tabs>
        <w:spacing w:line="360" w:lineRule="auto"/>
        <w:ind w:left="0"/>
        <w:contextualSpacing/>
        <w:jc w:val="center"/>
        <w:rPr>
          <w:rFonts w:ascii="Palatino Linotype" w:eastAsiaTheme="minorEastAsia" w:hAnsi="Palatino Linotype"/>
          <w:b/>
          <w:color w:val="000000" w:themeColor="text1"/>
          <w:lang w:val="es-ES_tradnl"/>
        </w:rPr>
      </w:pPr>
      <w:r w:rsidRPr="000353E1">
        <w:rPr>
          <w:rFonts w:ascii="Palatino Linotype" w:hAnsi="Palatino Linotype"/>
          <w:b/>
          <w:color w:val="000000" w:themeColor="text1"/>
          <w:lang w:val="es-MX" w:eastAsia="en-US"/>
        </w:rPr>
        <w:t>CONSIDERANDO</w:t>
      </w:r>
      <w:bookmarkEnd w:id="4"/>
      <w:bookmarkEnd w:id="5"/>
      <w:bookmarkEnd w:id="6"/>
      <w:bookmarkEnd w:id="7"/>
    </w:p>
    <w:p w14:paraId="0D7AA06B" w14:textId="77777777" w:rsidR="00EA0165" w:rsidRPr="000353E1" w:rsidRDefault="00EA0165" w:rsidP="000353E1">
      <w:pPr>
        <w:tabs>
          <w:tab w:val="left" w:pos="567"/>
          <w:tab w:val="left" w:pos="709"/>
        </w:tabs>
        <w:spacing w:line="360" w:lineRule="auto"/>
        <w:jc w:val="both"/>
        <w:rPr>
          <w:rFonts w:ascii="Palatino Linotype" w:eastAsiaTheme="minorEastAsia" w:hAnsi="Palatino Linotype"/>
          <w:color w:val="000000" w:themeColor="text1"/>
          <w:lang w:val="es-MX" w:eastAsia="en-US"/>
        </w:rPr>
      </w:pPr>
    </w:p>
    <w:p w14:paraId="3468D0CF" w14:textId="320985D7" w:rsidR="00EA0165" w:rsidRPr="000353E1" w:rsidRDefault="00EA0165" w:rsidP="000353E1">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8" w:name="_Toc461555890"/>
      <w:bookmarkStart w:id="9" w:name="_Toc466371859"/>
      <w:bookmarkStart w:id="10" w:name="_Toc68804759"/>
      <w:bookmarkStart w:id="11" w:name="_Toc105089659"/>
      <w:r w:rsidRPr="000353E1">
        <w:rPr>
          <w:rFonts w:ascii="Palatino Linotype" w:hAnsi="Palatino Linotype" w:cs="Times New Roman"/>
          <w:b/>
          <w:color w:val="000000" w:themeColor="text1"/>
          <w:sz w:val="24"/>
          <w:szCs w:val="24"/>
          <w:lang w:val="es-MX" w:eastAsia="en-US"/>
        </w:rPr>
        <w:t>PRIMERO. De la competencia</w:t>
      </w:r>
      <w:bookmarkEnd w:id="8"/>
      <w:bookmarkEnd w:id="9"/>
      <w:bookmarkEnd w:id="10"/>
      <w:r w:rsidR="00537427" w:rsidRPr="000353E1">
        <w:rPr>
          <w:rFonts w:ascii="Palatino Linotype" w:hAnsi="Palatino Linotype" w:cs="Times New Roman"/>
          <w:b/>
          <w:color w:val="000000" w:themeColor="text1"/>
          <w:sz w:val="24"/>
          <w:szCs w:val="24"/>
          <w:lang w:val="es-MX" w:eastAsia="en-US"/>
        </w:rPr>
        <w:t>.</w:t>
      </w:r>
      <w:bookmarkEnd w:id="11"/>
    </w:p>
    <w:p w14:paraId="15D1D21E" w14:textId="0DFC958A" w:rsidR="00EA0165" w:rsidRPr="000353E1" w:rsidRDefault="00EA0165" w:rsidP="7D712084">
      <w:pPr>
        <w:pStyle w:val="Prrafodelista"/>
        <w:numPr>
          <w:ilvl w:val="0"/>
          <w:numId w:val="2"/>
        </w:numPr>
        <w:tabs>
          <w:tab w:val="left" w:pos="567"/>
        </w:tabs>
        <w:spacing w:after="160" w:line="360" w:lineRule="auto"/>
        <w:ind w:left="0" w:firstLine="0"/>
        <w:contextualSpacing/>
        <w:jc w:val="both"/>
      </w:pPr>
      <w:r w:rsidRPr="000353E1">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7D712084">
        <w:rPr>
          <w:rFonts w:ascii="Palatino Linotype" w:eastAsia="Calibri" w:hAnsi="Palatino Linotype"/>
          <w:b/>
          <w:bCs/>
        </w:rPr>
        <w:t>Constitución Política de los Estados Unidos Mexicanos</w:t>
      </w:r>
      <w:r w:rsidRPr="000353E1">
        <w:rPr>
          <w:rFonts w:ascii="Palatino Linotype" w:eastAsia="Calibri" w:hAnsi="Palatino Linotype"/>
        </w:rPr>
        <w:t xml:space="preserve">; </w:t>
      </w:r>
      <w:r w:rsidR="7D712084" w:rsidRPr="7D712084">
        <w:rPr>
          <w:rFonts w:ascii="Palatino Linotype" w:eastAsia="Palatino Linotype" w:hAnsi="Palatino Linotype" w:cs="Palatino Linotype"/>
          <w:color w:val="000000" w:themeColor="text1"/>
        </w:rPr>
        <w:t>5, párrafos</w:t>
      </w:r>
      <w:r w:rsidR="7D712084" w:rsidRPr="7D712084">
        <w:rPr>
          <w:rFonts w:ascii="Palatino Linotype" w:eastAsia="Palatino Linotype" w:hAnsi="Palatino Linotype" w:cs="Palatino Linotype"/>
          <w:color w:val="000000" w:themeColor="text1"/>
          <w:lang w:val="es-MX"/>
        </w:rPr>
        <w:t xml:space="preserve"> trigésimo segundo, trigésimo tercero  y trigésimo cuarto, fracciones  IV y V</w:t>
      </w:r>
      <w:r w:rsidR="7D712084" w:rsidRPr="7D712084">
        <w:rPr>
          <w:rFonts w:ascii="Palatino Linotype" w:eastAsia="Palatino Linotype" w:hAnsi="Palatino Linotype" w:cs="Palatino Linotype"/>
          <w:color w:val="000000" w:themeColor="text1"/>
        </w:rPr>
        <w:t>,</w:t>
      </w:r>
      <w:r w:rsidR="7D712084" w:rsidRPr="7D712084">
        <w:t xml:space="preserve"> </w:t>
      </w:r>
      <w:r w:rsidRPr="000353E1">
        <w:rPr>
          <w:rFonts w:ascii="Palatino Linotype" w:eastAsia="Calibri" w:hAnsi="Palatino Linotype"/>
        </w:rPr>
        <w:t xml:space="preserve">de la </w:t>
      </w:r>
      <w:r w:rsidRPr="7D712084">
        <w:rPr>
          <w:rFonts w:ascii="Palatino Linotype" w:eastAsia="Calibri" w:hAnsi="Palatino Linotype"/>
          <w:b/>
          <w:bCs/>
        </w:rPr>
        <w:t>Constitución Política del Estado Libre y Soberano de México</w:t>
      </w:r>
      <w:r w:rsidRPr="000353E1">
        <w:rPr>
          <w:rFonts w:ascii="Palatino Linotype" w:eastAsia="Calibri" w:hAnsi="Palatino Linotype"/>
        </w:rPr>
        <w:t xml:space="preserve">; artículos 1, 2 fracción II, 13, 29, 36 fracciones I y II, 176, 178, 179, 181 párrafo tercero y 185 de la </w:t>
      </w:r>
      <w:r w:rsidRPr="7D712084">
        <w:rPr>
          <w:rFonts w:ascii="Palatino Linotype" w:eastAsia="Calibri" w:hAnsi="Palatino Linotype"/>
          <w:b/>
          <w:bCs/>
        </w:rPr>
        <w:t>Ley de Transparencia y Acceso a la Información Pública del Estado de México y Municipios</w:t>
      </w:r>
      <w:r w:rsidRPr="000353E1">
        <w:rPr>
          <w:rFonts w:ascii="Palatino Linotype" w:eastAsia="Calibri" w:hAnsi="Palatino Linotype"/>
        </w:rPr>
        <w:t xml:space="preserve">; </w:t>
      </w:r>
      <w:r w:rsidRPr="7D712084">
        <w:rPr>
          <w:rFonts w:ascii="Palatino Linotype" w:eastAsia="Calibri" w:hAnsi="Palatino Linotype"/>
          <w:b/>
          <w:bCs/>
        </w:rPr>
        <w:t xml:space="preserve">7, 9 fracciones </w:t>
      </w:r>
      <w:r w:rsidR="00881049" w:rsidRPr="7D712084">
        <w:rPr>
          <w:rFonts w:ascii="Palatino Linotype" w:eastAsia="Calibri" w:hAnsi="Palatino Linotype"/>
          <w:b/>
          <w:bCs/>
        </w:rPr>
        <w:t>I y XXIII</w:t>
      </w:r>
      <w:r w:rsidRPr="7D712084">
        <w:rPr>
          <w:rFonts w:ascii="Palatino Linotype" w:eastAsia="Calibri" w:hAnsi="Palatino Linotype"/>
          <w:b/>
          <w:bCs/>
        </w:rPr>
        <w:t>, y 11</w:t>
      </w:r>
      <w:r w:rsidRPr="000353E1">
        <w:rPr>
          <w:rFonts w:ascii="Palatino Linotype" w:eastAsia="Calibri" w:hAnsi="Palatino Linotype"/>
        </w:rPr>
        <w:t xml:space="preserve"> del </w:t>
      </w:r>
      <w:r w:rsidRPr="7D712084">
        <w:rPr>
          <w:rFonts w:ascii="Palatino Linotype" w:eastAsia="Calibri" w:hAnsi="Palatino Linotype"/>
          <w:b/>
          <w:bCs/>
        </w:rPr>
        <w:t>Reglamento Interior del Instituto de Transparencia, Acceso a la Información Pública y Protección de Datos Personales del Estado de México y Municipios</w:t>
      </w:r>
      <w:r w:rsidR="009A1E3F" w:rsidRPr="7D712084">
        <w:rPr>
          <w:rFonts w:ascii="Palatino Linotype" w:eastAsia="Calibri" w:hAnsi="Palatino Linotype"/>
          <w:b/>
          <w:bCs/>
        </w:rPr>
        <w:t>.</w:t>
      </w:r>
    </w:p>
    <w:p w14:paraId="343B0FCF" w14:textId="3CE38DC6" w:rsidR="00EA0165" w:rsidRPr="000353E1" w:rsidRDefault="00EA0165" w:rsidP="000353E1">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12" w:name="_Toc461555891"/>
      <w:bookmarkStart w:id="13" w:name="_Toc466371860"/>
      <w:bookmarkStart w:id="14" w:name="_Toc68804760"/>
      <w:bookmarkStart w:id="15" w:name="_Toc105089660"/>
      <w:r w:rsidRPr="000353E1">
        <w:rPr>
          <w:rFonts w:ascii="Palatino Linotype" w:hAnsi="Palatino Linotype" w:cs="Times New Roman"/>
          <w:b/>
          <w:color w:val="000000" w:themeColor="text1"/>
          <w:sz w:val="24"/>
          <w:szCs w:val="24"/>
          <w:lang w:val="es-MX" w:eastAsia="en-US"/>
        </w:rPr>
        <w:lastRenderedPageBreak/>
        <w:t>SEGUNDO. De la oportunidad y procedencia.</w:t>
      </w:r>
      <w:bookmarkEnd w:id="12"/>
      <w:bookmarkEnd w:id="13"/>
      <w:bookmarkEnd w:id="14"/>
      <w:bookmarkEnd w:id="15"/>
    </w:p>
    <w:p w14:paraId="489BB18C" w14:textId="7D6C4488" w:rsidR="00EA0165" w:rsidRPr="000353E1" w:rsidRDefault="00EA0165" w:rsidP="000353E1">
      <w:pPr>
        <w:pStyle w:val="Ttulo1"/>
        <w:tabs>
          <w:tab w:val="left" w:pos="567"/>
          <w:tab w:val="left" w:pos="709"/>
        </w:tabs>
        <w:spacing w:line="360" w:lineRule="auto"/>
        <w:jc w:val="both"/>
        <w:rPr>
          <w:rFonts w:ascii="Palatino Linotype" w:hAnsi="Palatino Linotype" w:cs="Times New Roman"/>
          <w:b/>
          <w:color w:val="000000" w:themeColor="text1"/>
          <w:sz w:val="24"/>
          <w:szCs w:val="24"/>
          <w:lang w:val="es-MX" w:eastAsia="en-US"/>
        </w:rPr>
      </w:pPr>
      <w:bookmarkStart w:id="16" w:name="_Toc67587985"/>
      <w:bookmarkStart w:id="17" w:name="_Toc68804761"/>
      <w:bookmarkStart w:id="18" w:name="_Toc105089661"/>
      <w:r w:rsidRPr="000353E1">
        <w:rPr>
          <w:rFonts w:ascii="Palatino Linotype" w:hAnsi="Palatino Linotype" w:cs="Times New Roman"/>
          <w:b/>
          <w:color w:val="000000" w:themeColor="text1"/>
          <w:sz w:val="24"/>
          <w:szCs w:val="24"/>
          <w:lang w:val="es-MX" w:eastAsia="en-US"/>
        </w:rPr>
        <w:t>De la interposición del recurso.</w:t>
      </w:r>
      <w:bookmarkEnd w:id="16"/>
      <w:bookmarkEnd w:id="17"/>
      <w:bookmarkEnd w:id="18"/>
      <w:r w:rsidRPr="000353E1">
        <w:rPr>
          <w:rFonts w:ascii="Palatino Linotype" w:hAnsi="Palatino Linotype" w:cs="Times New Roman"/>
          <w:b/>
          <w:color w:val="000000" w:themeColor="text1"/>
          <w:sz w:val="24"/>
          <w:szCs w:val="24"/>
          <w:lang w:val="es-MX" w:eastAsia="en-US"/>
        </w:rPr>
        <w:t xml:space="preserve"> </w:t>
      </w:r>
    </w:p>
    <w:p w14:paraId="306BBFFB" w14:textId="654B50C7" w:rsidR="00143CC5" w:rsidRPr="000353E1" w:rsidRDefault="7D712084" w:rsidP="000353E1">
      <w:pPr>
        <w:pStyle w:val="Prrafodelista"/>
        <w:numPr>
          <w:ilvl w:val="0"/>
          <w:numId w:val="2"/>
        </w:numPr>
        <w:tabs>
          <w:tab w:val="left" w:pos="567"/>
        </w:tabs>
        <w:spacing w:after="160" w:line="360" w:lineRule="auto"/>
        <w:ind w:left="0" w:right="49" w:firstLine="0"/>
        <w:contextualSpacing/>
        <w:jc w:val="both"/>
        <w:rPr>
          <w:rFonts w:ascii="Palatino Linotype" w:hAnsi="Palatino Linotype"/>
          <w:b/>
          <w:color w:val="000000" w:themeColor="text1"/>
          <w:lang w:val="es-MX" w:eastAsia="en-US"/>
        </w:rPr>
      </w:pPr>
      <w:bookmarkStart w:id="19" w:name="_Toc67587987"/>
      <w:bookmarkStart w:id="20" w:name="_Toc68804763"/>
      <w:bookmarkStart w:id="21" w:name="_Toc105089663"/>
      <w:r w:rsidRPr="7D712084">
        <w:rPr>
          <w:rFonts w:ascii="Palatino Linotype" w:eastAsia="Calibri" w:hAnsi="Palatino Linotype"/>
        </w:rPr>
        <w:t xml:space="preserve">El medio de impugnación fue presentado a través del </w:t>
      </w:r>
      <w:r w:rsidRPr="7D712084">
        <w:rPr>
          <w:rFonts w:ascii="Palatino Linotype" w:eastAsia="Calibri" w:hAnsi="Palatino Linotype"/>
          <w:b/>
          <w:bCs/>
        </w:rPr>
        <w:t>SAIMEX,</w:t>
      </w:r>
      <w:r w:rsidRPr="7D712084">
        <w:rPr>
          <w:rFonts w:ascii="Palatino Linotype" w:eastAsia="Calibri" w:hAnsi="Palatino Linotype"/>
        </w:rPr>
        <w:t xml:space="preserve"> en el formato previamente aprobado para tal efecto y dentro del plazo legal de quince días hábiles otorgados; para el caso en particular es de señalar que si el </w:t>
      </w:r>
      <w:r w:rsidRPr="7D712084">
        <w:rPr>
          <w:rFonts w:ascii="Palatino Linotype" w:eastAsia="Calibri" w:hAnsi="Palatino Linotype"/>
          <w:b/>
          <w:bCs/>
        </w:rPr>
        <w:t>SUJETO OBLIGADO</w:t>
      </w:r>
      <w:r w:rsidRPr="7D712084">
        <w:rPr>
          <w:rFonts w:ascii="Palatino Linotype" w:eastAsia="Calibri" w:hAnsi="Palatino Linotype"/>
        </w:rPr>
        <w:t xml:space="preserve"> entregó respuesta el día dieciséis (16) de noviembre de dos mil veintidós</w:t>
      </w:r>
      <w:r w:rsidRPr="7D712084">
        <w:rPr>
          <w:rFonts w:ascii="Palatino Linotype" w:eastAsia="Calibri" w:hAnsi="Palatino Linotype"/>
          <w:lang w:val="es-MX" w:eastAsia="en-US"/>
        </w:rPr>
        <w:t xml:space="preserve">, el plazo para interponer el recurso de revisión trascurrió del diecisiete (17) noviembre al ocho (08) de diciembre de dos mil veintidós, por lo que si el particular interpuso recurso de revisión el veintidós (22) de noviembre de dos mil veintidós, </w:t>
      </w:r>
      <w:r w:rsidRPr="7D712084">
        <w:rPr>
          <w:rFonts w:ascii="Palatino Linotype" w:hAnsi="Palatino Linotype"/>
        </w:rPr>
        <w:t xml:space="preserve">se encuentra dentro del periodo establecido por la Ley. </w:t>
      </w:r>
    </w:p>
    <w:p w14:paraId="6BBE855F" w14:textId="77777777" w:rsidR="00832CDB" w:rsidRPr="000353E1" w:rsidRDefault="00832CDB" w:rsidP="000353E1">
      <w:pPr>
        <w:pStyle w:val="Prrafodelista"/>
        <w:tabs>
          <w:tab w:val="left" w:pos="567"/>
        </w:tabs>
        <w:spacing w:after="160" w:line="360" w:lineRule="auto"/>
        <w:ind w:left="0" w:right="49"/>
        <w:contextualSpacing/>
        <w:jc w:val="both"/>
        <w:rPr>
          <w:rFonts w:ascii="Palatino Linotype" w:hAnsi="Palatino Linotype"/>
          <w:b/>
          <w:color w:val="000000" w:themeColor="text1"/>
          <w:lang w:val="es-MX" w:eastAsia="en-US"/>
        </w:rPr>
      </w:pPr>
    </w:p>
    <w:p w14:paraId="0B79AEE5" w14:textId="77777777" w:rsidR="00832CDB" w:rsidRPr="000353E1" w:rsidRDefault="7D712084" w:rsidP="000353E1">
      <w:pPr>
        <w:pStyle w:val="Prrafodelista"/>
        <w:numPr>
          <w:ilvl w:val="0"/>
          <w:numId w:val="2"/>
        </w:numPr>
        <w:tabs>
          <w:tab w:val="left" w:pos="567"/>
        </w:tabs>
        <w:spacing w:line="360" w:lineRule="auto"/>
        <w:ind w:left="0" w:firstLine="0"/>
        <w:jc w:val="both"/>
        <w:rPr>
          <w:rFonts w:ascii="Palatino Linotype" w:hAnsi="Palatino Linotype"/>
          <w:lang w:eastAsia="en-US"/>
        </w:rPr>
      </w:pPr>
      <w:r w:rsidRPr="7D712084">
        <w:rPr>
          <w:rFonts w:ascii="Palatino Linotype" w:eastAsia="Calibri" w:hAnsi="Palatino Linotype" w:cs="Arial"/>
        </w:rPr>
        <w:t xml:space="preserve">Por otra parte, de la revisión al expediente electrónico del </w:t>
      </w:r>
      <w:r w:rsidRPr="7D712084">
        <w:rPr>
          <w:rFonts w:ascii="Palatino Linotype" w:eastAsia="Calibri" w:hAnsi="Palatino Linotype" w:cs="Arial"/>
          <w:b/>
          <w:bCs/>
        </w:rPr>
        <w:t>SAIMEX</w:t>
      </w:r>
      <w:r w:rsidRPr="7D712084">
        <w:rPr>
          <w:rFonts w:ascii="Palatino Linotype" w:eastAsia="Calibri" w:hAnsi="Palatino Linotype" w:cs="Aria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63731CA" w14:textId="77777777" w:rsidR="00832CDB" w:rsidRPr="000353E1" w:rsidRDefault="00832CDB" w:rsidP="000353E1">
      <w:pPr>
        <w:pStyle w:val="Prrafodelista"/>
        <w:tabs>
          <w:tab w:val="left" w:pos="567"/>
        </w:tabs>
        <w:spacing w:line="360" w:lineRule="auto"/>
        <w:ind w:left="0"/>
        <w:jc w:val="both"/>
        <w:rPr>
          <w:rFonts w:ascii="Palatino Linotype" w:hAnsi="Palatino Linotype"/>
          <w:lang w:eastAsia="en-US"/>
        </w:rPr>
      </w:pPr>
    </w:p>
    <w:p w14:paraId="1E7DE31F" w14:textId="798EA4E1" w:rsidR="00832CDB" w:rsidRPr="000353E1" w:rsidRDefault="7D712084" w:rsidP="000353E1">
      <w:pPr>
        <w:pStyle w:val="Prrafodelista"/>
        <w:numPr>
          <w:ilvl w:val="0"/>
          <w:numId w:val="2"/>
        </w:numPr>
        <w:tabs>
          <w:tab w:val="left" w:pos="567"/>
        </w:tabs>
        <w:spacing w:line="360" w:lineRule="auto"/>
        <w:ind w:left="0" w:firstLine="0"/>
        <w:jc w:val="both"/>
        <w:rPr>
          <w:rFonts w:ascii="Palatino Linotype" w:hAnsi="Palatino Linotype"/>
          <w:lang w:eastAsia="en-US"/>
        </w:rPr>
      </w:pPr>
      <w:r w:rsidRPr="7D712084">
        <w:rPr>
          <w:rFonts w:ascii="Palatino Linotype" w:eastAsia="Calibri" w:hAnsi="Palatino Linotype" w:cs="Arial"/>
        </w:rPr>
        <w:t xml:space="preserve">Esto es así, ya que de conformidad con los artículos 6, Apartado A, fracciones III y IV de la Constitución Política de los Estados Unidos Mexicanos y 5, párrafos vigésimo, vigésimo primero y vigésimo segundo fracciones IV y V de la </w:t>
      </w:r>
      <w:r w:rsidRPr="7D712084">
        <w:rPr>
          <w:rFonts w:ascii="Palatino Linotype" w:eastAsia="Calibri" w:hAnsi="Palatino Linotype" w:cs="Arial"/>
        </w:rPr>
        <w:lastRenderedPageBreak/>
        <w:t>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E7ED80E" w14:textId="77777777" w:rsidR="00832CDB" w:rsidRPr="000353E1" w:rsidRDefault="00832CDB" w:rsidP="000353E1">
      <w:pPr>
        <w:pStyle w:val="Prrafodelista"/>
        <w:spacing w:line="360" w:lineRule="auto"/>
        <w:rPr>
          <w:rFonts w:ascii="Palatino Linotype" w:eastAsia="Calibri" w:hAnsi="Palatino Linotype" w:cs="Arial"/>
          <w:lang w:val="es-ES_tradnl"/>
        </w:rPr>
      </w:pPr>
    </w:p>
    <w:p w14:paraId="433368FA" w14:textId="77777777" w:rsidR="00832CDB" w:rsidRPr="000353E1" w:rsidRDefault="7D712084" w:rsidP="000353E1">
      <w:pPr>
        <w:pStyle w:val="Prrafodelista"/>
        <w:numPr>
          <w:ilvl w:val="0"/>
          <w:numId w:val="2"/>
        </w:numPr>
        <w:tabs>
          <w:tab w:val="left" w:pos="567"/>
        </w:tabs>
        <w:spacing w:line="360" w:lineRule="auto"/>
        <w:ind w:left="0" w:firstLine="0"/>
        <w:jc w:val="both"/>
        <w:rPr>
          <w:rFonts w:ascii="Palatino Linotype" w:hAnsi="Palatino Linotype"/>
          <w:lang w:eastAsia="en-US"/>
        </w:rPr>
      </w:pPr>
      <w:r w:rsidRPr="7D712084">
        <w:rPr>
          <w:rFonts w:ascii="Palatino Linotype" w:eastAsia="Calibri" w:hAnsi="Palatino Linotype" w:cs="Aria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64F1B22" w14:textId="77777777" w:rsidR="00832CDB" w:rsidRPr="000353E1" w:rsidRDefault="00832CDB" w:rsidP="000353E1">
      <w:pPr>
        <w:pStyle w:val="Prrafodelista"/>
        <w:spacing w:line="360" w:lineRule="auto"/>
        <w:rPr>
          <w:rFonts w:ascii="Palatino Linotype" w:eastAsia="Calibri" w:hAnsi="Palatino Linotype" w:cs="Arial"/>
          <w:lang w:val="es-ES_tradnl"/>
        </w:rPr>
      </w:pPr>
    </w:p>
    <w:p w14:paraId="43D0B8CC" w14:textId="77777777" w:rsidR="00832CDB" w:rsidRPr="000353E1" w:rsidRDefault="7D712084" w:rsidP="000353E1">
      <w:pPr>
        <w:pStyle w:val="Prrafodelista"/>
        <w:numPr>
          <w:ilvl w:val="0"/>
          <w:numId w:val="2"/>
        </w:numPr>
        <w:tabs>
          <w:tab w:val="left" w:pos="567"/>
        </w:tabs>
        <w:spacing w:line="360" w:lineRule="auto"/>
        <w:ind w:left="0" w:firstLine="0"/>
        <w:jc w:val="both"/>
        <w:rPr>
          <w:rFonts w:ascii="Palatino Linotype" w:hAnsi="Palatino Linotype"/>
          <w:lang w:eastAsia="en-US"/>
        </w:rPr>
      </w:pPr>
      <w:r w:rsidRPr="7D712084">
        <w:rPr>
          <w:rFonts w:ascii="Palatino Linotype" w:eastAsia="Calibri" w:hAnsi="Palatino Linotype" w:cs="Aria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394E54F5" w14:textId="77777777" w:rsidR="00832CDB" w:rsidRPr="000353E1" w:rsidRDefault="00832CDB" w:rsidP="000353E1">
      <w:pPr>
        <w:pStyle w:val="Prrafodelista"/>
        <w:spacing w:line="360" w:lineRule="auto"/>
        <w:rPr>
          <w:rFonts w:ascii="Palatino Linotype" w:eastAsia="Calibri" w:hAnsi="Palatino Linotype" w:cs="Arial"/>
          <w:lang w:val="es-ES_tradnl"/>
        </w:rPr>
      </w:pPr>
    </w:p>
    <w:p w14:paraId="1115619A" w14:textId="6949D507" w:rsidR="00D53E41" w:rsidRPr="000353E1" w:rsidRDefault="7D712084" w:rsidP="000353E1">
      <w:pPr>
        <w:pStyle w:val="Prrafodelista"/>
        <w:numPr>
          <w:ilvl w:val="0"/>
          <w:numId w:val="2"/>
        </w:numPr>
        <w:tabs>
          <w:tab w:val="left" w:pos="567"/>
        </w:tabs>
        <w:spacing w:line="360" w:lineRule="auto"/>
        <w:ind w:left="0" w:firstLine="0"/>
        <w:jc w:val="both"/>
        <w:rPr>
          <w:rFonts w:ascii="Palatino Linotype" w:hAnsi="Palatino Linotype"/>
          <w:lang w:eastAsia="en-US"/>
        </w:rPr>
      </w:pPr>
      <w:r w:rsidRPr="7D712084">
        <w:rPr>
          <w:rFonts w:ascii="Palatino Linotype" w:eastAsia="Calibri" w:hAnsi="Palatino Linotype" w:cs="Arial"/>
        </w:rPr>
        <w:t xml:space="preserve">Por lo que el nombre del solicitando y recurrente no puede ser considerado un requisito indispensable de procedibilidad del recurso de revisión que nos ocupa, ya que el acceso a la información no está condicionado a acreditar algún interés ya sea </w:t>
      </w:r>
      <w:r w:rsidRPr="7D712084">
        <w:rPr>
          <w:rFonts w:ascii="Palatino Linotype" w:eastAsia="Calibri" w:hAnsi="Palatino Linotype" w:cs="Arial"/>
        </w:rPr>
        <w:lastRenderedPageBreak/>
        <w:t>jurídico o legítimo, máxime que es un elemento subsanable por este Órgano Resolutor.</w:t>
      </w:r>
      <w:bookmarkEnd w:id="19"/>
      <w:bookmarkEnd w:id="20"/>
      <w:bookmarkEnd w:id="21"/>
    </w:p>
    <w:p w14:paraId="7F60A113" w14:textId="77777777" w:rsidR="00832CDB" w:rsidRPr="000353E1" w:rsidRDefault="00832CDB" w:rsidP="000353E1">
      <w:pPr>
        <w:pStyle w:val="Prrafodelista"/>
        <w:tabs>
          <w:tab w:val="left" w:pos="567"/>
        </w:tabs>
        <w:spacing w:line="360" w:lineRule="auto"/>
        <w:ind w:left="0"/>
        <w:jc w:val="both"/>
        <w:rPr>
          <w:rFonts w:ascii="Palatino Linotype" w:hAnsi="Palatino Linotype"/>
          <w:lang w:eastAsia="en-US"/>
        </w:rPr>
      </w:pPr>
    </w:p>
    <w:p w14:paraId="7DF2873B" w14:textId="0EC6D713" w:rsidR="00EA0165" w:rsidRPr="000353E1" w:rsidRDefault="7D712084" w:rsidP="000353E1">
      <w:pPr>
        <w:pStyle w:val="Prrafodelista"/>
        <w:numPr>
          <w:ilvl w:val="0"/>
          <w:numId w:val="2"/>
        </w:numPr>
        <w:tabs>
          <w:tab w:val="left" w:pos="567"/>
          <w:tab w:val="left" w:pos="709"/>
        </w:tabs>
        <w:spacing w:after="160" w:line="360" w:lineRule="auto"/>
        <w:ind w:left="0" w:right="49" w:firstLine="0"/>
        <w:contextualSpacing/>
        <w:jc w:val="both"/>
        <w:rPr>
          <w:rFonts w:ascii="Palatino Linotype" w:hAnsi="Palatino Linotype"/>
          <w:lang w:val="es-ES_tradnl"/>
        </w:rPr>
      </w:pPr>
      <w:r w:rsidRPr="7D712084">
        <w:rPr>
          <w:rFonts w:ascii="Palatino Linotype" w:eastAsia="Calibri" w:hAnsi="Palatino Linotype"/>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8E8AA1D" w14:textId="77777777" w:rsidR="0087384D" w:rsidRPr="000353E1" w:rsidRDefault="0087384D" w:rsidP="000353E1">
      <w:pPr>
        <w:pStyle w:val="Prrafodelista"/>
        <w:tabs>
          <w:tab w:val="left" w:pos="567"/>
          <w:tab w:val="left" w:pos="709"/>
        </w:tabs>
        <w:spacing w:after="160" w:line="360" w:lineRule="auto"/>
        <w:ind w:left="0" w:right="49"/>
        <w:contextualSpacing/>
        <w:jc w:val="both"/>
        <w:rPr>
          <w:rFonts w:ascii="Palatino Linotype" w:hAnsi="Palatino Linotype"/>
          <w:lang w:val="es-ES_tradnl"/>
        </w:rPr>
      </w:pPr>
    </w:p>
    <w:p w14:paraId="0EB2E86A" w14:textId="09724DF4" w:rsidR="003669E8" w:rsidRPr="000353E1" w:rsidRDefault="00992BC7" w:rsidP="000353E1">
      <w:pPr>
        <w:pStyle w:val="Ttulo1"/>
        <w:tabs>
          <w:tab w:val="left" w:pos="567"/>
          <w:tab w:val="left" w:pos="709"/>
        </w:tabs>
        <w:spacing w:line="360" w:lineRule="auto"/>
        <w:jc w:val="both"/>
        <w:rPr>
          <w:rFonts w:ascii="Palatino Linotype" w:hAnsi="Palatino Linotype" w:cs="Times New Roman"/>
          <w:sz w:val="24"/>
          <w:szCs w:val="24"/>
          <w:lang w:eastAsia="es-ES_tradnl"/>
        </w:rPr>
      </w:pPr>
      <w:bookmarkStart w:id="22" w:name="_Toc105089664"/>
      <w:r w:rsidRPr="000353E1">
        <w:rPr>
          <w:rFonts w:ascii="Palatino Linotype" w:eastAsia="MS Mincho" w:hAnsi="Palatino Linotype" w:cs="Times New Roman"/>
          <w:b/>
          <w:color w:val="000000" w:themeColor="text1"/>
          <w:sz w:val="24"/>
          <w:szCs w:val="24"/>
          <w:lang w:val="es-ES_tradnl"/>
        </w:rPr>
        <w:t>TERCERO</w:t>
      </w:r>
      <w:r w:rsidRPr="000353E1">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0353E1">
        <w:rPr>
          <w:rFonts w:ascii="Palatino Linotype" w:hAnsi="Palatino Linotype" w:cs="Times New Roman"/>
          <w:b/>
          <w:color w:val="000000" w:themeColor="text1"/>
          <w:sz w:val="24"/>
          <w:szCs w:val="24"/>
        </w:rPr>
        <w:t xml:space="preserve"> </w:t>
      </w:r>
      <w:r w:rsidR="00EA0165" w:rsidRPr="000353E1">
        <w:rPr>
          <w:rFonts w:ascii="Palatino Linotype" w:hAnsi="Palatino Linotype" w:cs="Times New Roman"/>
          <w:b/>
          <w:color w:val="000000" w:themeColor="text1"/>
          <w:sz w:val="24"/>
          <w:szCs w:val="24"/>
          <w:lang w:val="es-MX" w:eastAsia="en-US"/>
        </w:rPr>
        <w:t xml:space="preserve">Del planteamiento de la </w:t>
      </w:r>
      <w:r w:rsidR="00EA0165" w:rsidRPr="000353E1">
        <w:rPr>
          <w:rFonts w:ascii="Palatino Linotype" w:hAnsi="Palatino Linotype" w:cs="Times New Roman"/>
          <w:b/>
          <w:i/>
          <w:color w:val="000000" w:themeColor="text1"/>
          <w:sz w:val="24"/>
          <w:szCs w:val="24"/>
          <w:lang w:val="es-MX" w:eastAsia="en-US"/>
        </w:rPr>
        <w:t>Litis.</w:t>
      </w:r>
      <w:bookmarkEnd w:id="22"/>
      <w:bookmarkEnd w:id="23"/>
      <w:bookmarkEnd w:id="24"/>
    </w:p>
    <w:p w14:paraId="5AA3AE8D" w14:textId="62AACCFE" w:rsidR="0087384D" w:rsidRPr="000353E1" w:rsidRDefault="7D712084" w:rsidP="000353E1">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7D712084">
        <w:rPr>
          <w:rFonts w:ascii="Palatino Linotype" w:hAnsi="Palatino Linotype"/>
        </w:rPr>
        <w:t xml:space="preserve">El recurso revisión tiene como finalidad reparar cualquier posible afectación al derecho de acceso a la información pública en términos del Título Octavo de la </w:t>
      </w:r>
      <w:r w:rsidRPr="7D712084">
        <w:rPr>
          <w:rFonts w:ascii="Palatino Linotype" w:eastAsia="Calibri" w:hAnsi="Palatino Linotype"/>
          <w:b/>
          <w:bCs/>
        </w:rPr>
        <w:t>Ley de Transparencia y Acceso a la Información Pública del Estado de México y Municipios</w:t>
      </w:r>
      <w:r w:rsidRPr="7D712084">
        <w:rPr>
          <w:rFonts w:ascii="Palatino Linotype" w:hAnsi="Palatino Linotype"/>
        </w:rPr>
        <w:t xml:space="preserve"> y determinar la confirmación; revocación o modificación; desechamiento o sobreseimiento; y en su </w:t>
      </w:r>
      <w:r w:rsidRPr="7D712084">
        <w:rPr>
          <w:rFonts w:ascii="Palatino Linotype" w:hAnsi="Palatino Linotype"/>
          <w:b/>
          <w:bCs/>
        </w:rPr>
        <w:t>caso ordenar la entrega de la información,</w:t>
      </w:r>
      <w:r w:rsidRPr="7D712084">
        <w:rPr>
          <w:rFonts w:ascii="Palatino Linotype" w:hAnsi="Palatino Linotype"/>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59AAF60E" w14:textId="77777777" w:rsidR="0087384D" w:rsidRPr="000353E1" w:rsidRDefault="0087384D" w:rsidP="000353E1">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6B8F93A0" w14:textId="7CB851C7" w:rsidR="00024A4C" w:rsidRPr="000353E1" w:rsidRDefault="7D712084" w:rsidP="000353E1">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7D712084">
        <w:rPr>
          <w:rFonts w:ascii="Palatino Linotype" w:hAnsi="Palatino Linotype"/>
        </w:rPr>
        <w:t xml:space="preserve">De las constancias en el expediente al rubro indicado, se desprende que </w:t>
      </w:r>
      <w:bookmarkStart w:id="42" w:name="_Toc68804767"/>
      <w:bookmarkStart w:id="43" w:name="_Toc105089665"/>
      <w:bookmarkStart w:id="44" w:name="_Toc459174366"/>
      <w:bookmarkStart w:id="45" w:name="_Toc459659884"/>
      <w:bookmarkStart w:id="46" w:name="_Toc461687280"/>
      <w:bookmarkStart w:id="47" w:name="_Toc462771051"/>
      <w:bookmarkStart w:id="48" w:name="_Toc464139201"/>
      <w:r w:rsidRPr="7D712084">
        <w:rPr>
          <w:rFonts w:ascii="Palatino Linotype" w:hAnsi="Palatino Linotype"/>
        </w:rPr>
        <w:t>el particular solicitó el nombre de la personas contratadas por el Gobierno del estado de México a través de Contratación de Servicios de Asesorías asociadas a convenios o acuerdos y las dependencias a las que están adscritas.</w:t>
      </w:r>
    </w:p>
    <w:p w14:paraId="3E2EB6E3" w14:textId="77777777" w:rsidR="00024A4C" w:rsidRPr="000353E1" w:rsidRDefault="00024A4C" w:rsidP="000353E1">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5821F50F" w14:textId="7B6B78B6" w:rsidR="00A219B7" w:rsidRPr="000353E1" w:rsidRDefault="7D712084" w:rsidP="000353E1">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7D712084">
        <w:rPr>
          <w:rFonts w:ascii="Palatino Linotype" w:hAnsi="Palatino Linotype"/>
        </w:rPr>
        <w:t>En respuesta, el</w:t>
      </w:r>
      <w:r w:rsidRPr="7D712084">
        <w:rPr>
          <w:rFonts w:ascii="Palatino Linotype" w:hAnsi="Palatino Linotype"/>
          <w:b/>
          <w:bCs/>
        </w:rPr>
        <w:t xml:space="preserve"> SUJETO OBLIGADO </w:t>
      </w:r>
      <w:r w:rsidRPr="7D712084">
        <w:rPr>
          <w:rFonts w:ascii="Palatino Linotype" w:hAnsi="Palatino Linotype"/>
          <w:color w:val="000000" w:themeColor="text1"/>
        </w:rPr>
        <w:t xml:space="preserve">manifestó que no se cuenta con información de personas contratadas por el Gobierno del Estado de México adscritas </w:t>
      </w:r>
      <w:r w:rsidRPr="7D712084">
        <w:rPr>
          <w:rFonts w:ascii="Palatino Linotype" w:hAnsi="Palatino Linotype"/>
          <w:color w:val="000000" w:themeColor="text1"/>
        </w:rPr>
        <w:lastRenderedPageBreak/>
        <w:t xml:space="preserve">a dependencias a través de contratación de servicios de asesorías asociadas a convenios o acuerdo. </w:t>
      </w:r>
    </w:p>
    <w:p w14:paraId="62BFE87A" w14:textId="77777777" w:rsidR="002476F8" w:rsidRPr="000353E1" w:rsidRDefault="002476F8" w:rsidP="000353E1">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17AD8F14" w14:textId="6F56E936" w:rsidR="00167079" w:rsidRPr="000353E1" w:rsidRDefault="7D712084" w:rsidP="000353E1">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i/>
          <w:lang w:val="es-ES_tradnl"/>
        </w:rPr>
      </w:pPr>
      <w:r w:rsidRPr="7D712084">
        <w:rPr>
          <w:rFonts w:ascii="Palatino Linotype" w:eastAsia="SimSun" w:hAnsi="Palatino Linotype"/>
        </w:rPr>
        <w:t xml:space="preserve">En </w:t>
      </w:r>
      <w:r w:rsidRPr="7D712084">
        <w:rPr>
          <w:rFonts w:ascii="Palatino Linotype" w:hAnsi="Palatino Linotype"/>
          <w:color w:val="000000" w:themeColor="text1"/>
        </w:rPr>
        <w:t xml:space="preserve">ese sentido, este Organismo Garante advierte que las razones o motivos de inconformidad manifestados por el </w:t>
      </w:r>
      <w:r w:rsidRPr="7D712084">
        <w:rPr>
          <w:rFonts w:ascii="Palatino Linotype" w:hAnsi="Palatino Linotype"/>
          <w:b/>
          <w:bCs/>
          <w:color w:val="000000" w:themeColor="text1"/>
        </w:rPr>
        <w:t>RECURRENTE</w:t>
      </w:r>
      <w:r w:rsidRPr="7D712084">
        <w:rPr>
          <w:rFonts w:ascii="Palatino Linotype" w:hAnsi="Palatino Linotype"/>
          <w:color w:val="000000" w:themeColor="text1"/>
        </w:rPr>
        <w:t xml:space="preserve"> sugieren que la respuesta proporcionada por el </w:t>
      </w:r>
      <w:r w:rsidRPr="7D712084">
        <w:rPr>
          <w:rFonts w:ascii="Palatino Linotype" w:hAnsi="Palatino Linotype"/>
          <w:b/>
          <w:bCs/>
          <w:color w:val="000000" w:themeColor="text1"/>
        </w:rPr>
        <w:t>SUJETO OBLIGADO</w:t>
      </w:r>
      <w:r w:rsidRPr="7D712084">
        <w:rPr>
          <w:rFonts w:ascii="Palatino Linotype" w:hAnsi="Palatino Linotype"/>
          <w:color w:val="000000" w:themeColor="text1"/>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Pr="7D712084">
        <w:rPr>
          <w:rFonts w:ascii="Palatino Linotype" w:hAnsi="Palatino Linotype"/>
        </w:rPr>
        <w:t>veraz y completa.</w:t>
      </w:r>
    </w:p>
    <w:p w14:paraId="75CD4357" w14:textId="77777777" w:rsidR="00280C64" w:rsidRPr="000353E1" w:rsidRDefault="00280C64" w:rsidP="000353E1">
      <w:pPr>
        <w:pStyle w:val="Prrafodelista"/>
        <w:tabs>
          <w:tab w:val="left" w:pos="567"/>
          <w:tab w:val="left" w:pos="709"/>
        </w:tabs>
        <w:spacing w:before="240" w:after="240" w:line="360" w:lineRule="auto"/>
        <w:ind w:left="0"/>
        <w:contextualSpacing/>
        <w:jc w:val="both"/>
        <w:rPr>
          <w:rFonts w:ascii="Palatino Linotype" w:hAnsi="Palatino Linotype"/>
          <w:i/>
          <w:lang w:val="es-ES_tradnl"/>
        </w:rPr>
      </w:pPr>
    </w:p>
    <w:p w14:paraId="3B03E240" w14:textId="277C60A1" w:rsidR="00A219B7" w:rsidRPr="000353E1" w:rsidRDefault="7D712084" w:rsidP="000353E1">
      <w:pPr>
        <w:pStyle w:val="Prrafodelista"/>
        <w:numPr>
          <w:ilvl w:val="0"/>
          <w:numId w:val="2"/>
        </w:numPr>
        <w:tabs>
          <w:tab w:val="left" w:pos="567"/>
          <w:tab w:val="left" w:pos="709"/>
        </w:tabs>
        <w:spacing w:before="240" w:after="240" w:line="360" w:lineRule="auto"/>
        <w:ind w:left="0" w:firstLine="0"/>
        <w:contextualSpacing/>
        <w:jc w:val="both"/>
        <w:rPr>
          <w:rFonts w:ascii="Palatino Linotype" w:hAnsi="Palatino Linotype"/>
          <w:b/>
          <w:color w:val="000000" w:themeColor="text1"/>
          <w:lang w:val="es-MX" w:eastAsia="en-US"/>
        </w:rPr>
      </w:pPr>
      <w:r w:rsidRPr="7D712084">
        <w:rPr>
          <w:rFonts w:ascii="Palatino Linotype" w:eastAsia="SimSun" w:hAnsi="Palatino Linotype"/>
          <w:color w:val="000000" w:themeColor="text1"/>
        </w:rPr>
        <w:t xml:space="preserve">Por </w:t>
      </w:r>
      <w:r w:rsidRPr="7D712084">
        <w:rPr>
          <w:rFonts w:ascii="Palatino Linotype" w:hAnsi="Palatino Linotype"/>
          <w:color w:val="000000" w:themeColor="text1"/>
        </w:rPr>
        <w:t>lo anterior, el estudio del presente asunto en particular, se basará en determinar si se actualizan las causales de procedencia del recurso de revisión establecidas en el artículo 179, fracción I y III de la Ley de Transparencia y Acceso a la Información Pública del Estado de México y Municipios, las cuales dictan lo siguiente.</w:t>
      </w:r>
    </w:p>
    <w:p w14:paraId="1BA4B0AE" w14:textId="77777777" w:rsidR="00587B7B" w:rsidRPr="00553A8B" w:rsidRDefault="00587B7B" w:rsidP="000353E1">
      <w:pPr>
        <w:pStyle w:val="Prrafodelista"/>
        <w:tabs>
          <w:tab w:val="left" w:pos="567"/>
          <w:tab w:val="left" w:pos="709"/>
        </w:tabs>
        <w:spacing w:line="360" w:lineRule="auto"/>
        <w:rPr>
          <w:rFonts w:ascii="Palatino Linotype" w:hAnsi="Palatino Linotype"/>
          <w:b/>
          <w:color w:val="000000" w:themeColor="text1"/>
          <w:sz w:val="22"/>
          <w:lang w:val="es-MX" w:eastAsia="en-US"/>
        </w:rPr>
      </w:pPr>
    </w:p>
    <w:p w14:paraId="3C003325" w14:textId="77777777" w:rsidR="00167079" w:rsidRPr="00553A8B" w:rsidRDefault="00167079" w:rsidP="000353E1">
      <w:pPr>
        <w:pStyle w:val="Sinespaciado"/>
        <w:tabs>
          <w:tab w:val="left" w:pos="426"/>
          <w:tab w:val="left" w:pos="567"/>
          <w:tab w:val="left" w:pos="709"/>
        </w:tabs>
        <w:spacing w:line="360" w:lineRule="auto"/>
        <w:ind w:left="567" w:right="1032"/>
        <w:jc w:val="both"/>
        <w:rPr>
          <w:rFonts w:ascii="Palatino Linotype" w:hAnsi="Palatino Linotype"/>
          <w:i/>
          <w:color w:val="000000" w:themeColor="text1"/>
          <w:sz w:val="22"/>
        </w:rPr>
      </w:pPr>
      <w:r w:rsidRPr="00553A8B">
        <w:rPr>
          <w:rFonts w:ascii="Palatino Linotype" w:hAnsi="Palatino Linotype"/>
          <w:color w:val="000000" w:themeColor="text1"/>
          <w:sz w:val="22"/>
        </w:rPr>
        <w:t>“</w:t>
      </w:r>
      <w:r w:rsidRPr="00553A8B">
        <w:rPr>
          <w:rFonts w:ascii="Palatino Linotype" w:hAnsi="Palatino Linotype"/>
          <w:b/>
          <w:color w:val="000000" w:themeColor="text1"/>
          <w:sz w:val="22"/>
        </w:rPr>
        <w:t>Artículo 179.</w:t>
      </w:r>
      <w:r w:rsidRPr="00553A8B">
        <w:rPr>
          <w:rFonts w:ascii="Palatino Linotype" w:hAnsi="Palatino Linotype"/>
          <w:color w:val="000000" w:themeColor="text1"/>
          <w:sz w:val="22"/>
        </w:rPr>
        <w:t xml:space="preserve"> </w:t>
      </w:r>
      <w:r w:rsidRPr="00553A8B">
        <w:rPr>
          <w:rFonts w:ascii="Palatino Linotype" w:hAnsi="Palatino Linotype"/>
          <w:i/>
          <w:color w:val="000000" w:themeColor="text1"/>
          <w:sz w:val="22"/>
        </w:rPr>
        <w:t>El recurso de revisión es un medio de protección que la Ley otorga a los particulares, para hacer valer su derecho de acceso a la información pública, y procederá en contra de las siguientes causas:</w:t>
      </w:r>
    </w:p>
    <w:p w14:paraId="78D8ABBE" w14:textId="2AF65199" w:rsidR="00167079" w:rsidRPr="00553A8B" w:rsidRDefault="00511F66" w:rsidP="000353E1">
      <w:pPr>
        <w:pStyle w:val="Sinespaciado"/>
        <w:tabs>
          <w:tab w:val="left" w:pos="426"/>
          <w:tab w:val="left" w:pos="567"/>
          <w:tab w:val="left" w:pos="709"/>
        </w:tabs>
        <w:spacing w:line="360" w:lineRule="auto"/>
        <w:ind w:left="567" w:right="1032"/>
        <w:jc w:val="both"/>
        <w:rPr>
          <w:rFonts w:ascii="Palatino Linotype" w:hAnsi="Palatino Linotype"/>
          <w:i/>
          <w:color w:val="000000" w:themeColor="text1"/>
          <w:sz w:val="22"/>
        </w:rPr>
      </w:pPr>
      <w:r w:rsidRPr="00553A8B">
        <w:rPr>
          <w:rFonts w:ascii="Palatino Linotype" w:hAnsi="Palatino Linotype"/>
          <w:i/>
          <w:color w:val="000000" w:themeColor="text1"/>
          <w:sz w:val="22"/>
        </w:rPr>
        <w:t xml:space="preserve"> </w:t>
      </w:r>
      <w:r w:rsidR="00167079" w:rsidRPr="00553A8B">
        <w:rPr>
          <w:rFonts w:ascii="Palatino Linotype" w:hAnsi="Palatino Linotype"/>
          <w:i/>
          <w:color w:val="000000" w:themeColor="text1"/>
          <w:sz w:val="22"/>
        </w:rPr>
        <w:t>(…)</w:t>
      </w:r>
    </w:p>
    <w:p w14:paraId="1A12A1D1" w14:textId="5C7AADE6" w:rsidR="00DC0674" w:rsidRPr="00553A8B" w:rsidRDefault="00DC0674" w:rsidP="000353E1">
      <w:pPr>
        <w:pStyle w:val="Sinespaciado"/>
        <w:numPr>
          <w:ilvl w:val="0"/>
          <w:numId w:val="13"/>
        </w:numPr>
        <w:tabs>
          <w:tab w:val="left" w:pos="426"/>
          <w:tab w:val="left" w:pos="567"/>
          <w:tab w:val="left" w:pos="709"/>
        </w:tabs>
        <w:spacing w:line="360" w:lineRule="auto"/>
        <w:ind w:right="1032"/>
        <w:jc w:val="both"/>
        <w:rPr>
          <w:rFonts w:ascii="Palatino Linotype" w:hAnsi="Palatino Linotype"/>
          <w:i/>
          <w:color w:val="000000" w:themeColor="text1"/>
          <w:sz w:val="22"/>
        </w:rPr>
      </w:pPr>
      <w:r w:rsidRPr="00553A8B">
        <w:rPr>
          <w:rFonts w:ascii="Palatino Linotype" w:hAnsi="Palatino Linotype"/>
          <w:i/>
          <w:color w:val="000000" w:themeColor="text1"/>
          <w:sz w:val="22"/>
        </w:rPr>
        <w:t>La negativa a la información solicitada;</w:t>
      </w:r>
    </w:p>
    <w:p w14:paraId="7A165A5E" w14:textId="335D8C3B" w:rsidR="002870C9" w:rsidRPr="00553A8B" w:rsidRDefault="00DC0674" w:rsidP="000353E1">
      <w:pPr>
        <w:pStyle w:val="Sinespaciado"/>
        <w:tabs>
          <w:tab w:val="left" w:pos="426"/>
          <w:tab w:val="left" w:pos="567"/>
          <w:tab w:val="left" w:pos="709"/>
        </w:tabs>
        <w:spacing w:line="360" w:lineRule="auto"/>
        <w:ind w:left="567" w:right="1032"/>
        <w:jc w:val="both"/>
        <w:rPr>
          <w:rFonts w:ascii="Palatino Linotype" w:hAnsi="Palatino Linotype"/>
          <w:i/>
          <w:color w:val="000000" w:themeColor="text1"/>
          <w:sz w:val="22"/>
        </w:rPr>
      </w:pPr>
      <w:r w:rsidRPr="00553A8B">
        <w:rPr>
          <w:rFonts w:ascii="Palatino Linotype" w:hAnsi="Palatino Linotype"/>
          <w:i/>
          <w:color w:val="000000" w:themeColor="text1"/>
          <w:sz w:val="22"/>
        </w:rPr>
        <w:t>III. La declaración de inexistencia de la información;</w:t>
      </w:r>
    </w:p>
    <w:p w14:paraId="648AC50A" w14:textId="0E8EA501" w:rsidR="00E96D0E" w:rsidRPr="00553A8B" w:rsidRDefault="00263DC6" w:rsidP="000353E1">
      <w:pPr>
        <w:pStyle w:val="Sinespaciado"/>
        <w:tabs>
          <w:tab w:val="left" w:pos="426"/>
          <w:tab w:val="left" w:pos="567"/>
          <w:tab w:val="left" w:pos="709"/>
        </w:tabs>
        <w:spacing w:line="360" w:lineRule="auto"/>
        <w:ind w:left="567" w:right="1032"/>
        <w:jc w:val="both"/>
        <w:rPr>
          <w:rFonts w:ascii="Palatino Linotype" w:hAnsi="Palatino Linotype"/>
          <w:color w:val="000000" w:themeColor="text1"/>
          <w:sz w:val="22"/>
        </w:rPr>
      </w:pPr>
      <w:r w:rsidRPr="00553A8B">
        <w:rPr>
          <w:rFonts w:ascii="Palatino Linotype" w:hAnsi="Palatino Linotype"/>
          <w:i/>
          <w:color w:val="000000" w:themeColor="text1"/>
          <w:sz w:val="22"/>
        </w:rPr>
        <w:t>(…)”</w:t>
      </w:r>
      <w:r w:rsidR="007178BC" w:rsidRPr="00553A8B">
        <w:rPr>
          <w:rFonts w:ascii="Palatino Linotype" w:hAnsi="Palatino Linotype"/>
          <w:color w:val="000000" w:themeColor="text1"/>
          <w:sz w:val="22"/>
        </w:rPr>
        <w:t xml:space="preserve"> </w:t>
      </w:r>
    </w:p>
    <w:bookmarkEnd w:id="42"/>
    <w:bookmarkEnd w:id="43"/>
    <w:bookmarkEnd w:id="44"/>
    <w:bookmarkEnd w:id="45"/>
    <w:bookmarkEnd w:id="46"/>
    <w:bookmarkEnd w:id="47"/>
    <w:bookmarkEnd w:id="48"/>
    <w:p w14:paraId="7077F021" w14:textId="1FF98FC4" w:rsidR="00A228F0" w:rsidRPr="000353E1" w:rsidRDefault="00C37111" w:rsidP="000353E1">
      <w:pPr>
        <w:pStyle w:val="Prrafodelista"/>
        <w:tabs>
          <w:tab w:val="left" w:pos="567"/>
          <w:tab w:val="left" w:pos="709"/>
        </w:tabs>
        <w:spacing w:before="240" w:after="240" w:line="360" w:lineRule="auto"/>
        <w:ind w:left="0"/>
        <w:contextualSpacing/>
        <w:jc w:val="both"/>
        <w:rPr>
          <w:rFonts w:ascii="Palatino Linotype" w:hAnsi="Palatino Linotype"/>
          <w:color w:val="000000" w:themeColor="text1"/>
          <w:lang w:val="es-MX" w:eastAsia="en-US"/>
        </w:rPr>
      </w:pPr>
      <w:r w:rsidRPr="000353E1">
        <w:rPr>
          <w:rFonts w:ascii="Palatino Linotype" w:hAnsi="Palatino Linotype"/>
          <w:b/>
          <w:color w:val="000000" w:themeColor="text1"/>
          <w:lang w:val="es-MX" w:eastAsia="en-US"/>
        </w:rPr>
        <w:t>CUARTO. Estudio y resolución del asunto.</w:t>
      </w:r>
      <w:r w:rsidR="00887C91" w:rsidRPr="000353E1">
        <w:rPr>
          <w:rFonts w:ascii="Palatino Linotype" w:hAnsi="Palatino Linotype"/>
          <w:color w:val="000000" w:themeColor="text1"/>
          <w:lang w:val="es-MX" w:eastAsia="en-US"/>
        </w:rPr>
        <w:t xml:space="preserve"> </w:t>
      </w:r>
    </w:p>
    <w:p w14:paraId="20E922F5" w14:textId="77777777" w:rsidR="00881049" w:rsidRPr="000353E1" w:rsidRDefault="7D712084" w:rsidP="000353E1">
      <w:pPr>
        <w:pStyle w:val="Prrafodelista"/>
        <w:numPr>
          <w:ilvl w:val="0"/>
          <w:numId w:val="2"/>
        </w:numPr>
        <w:tabs>
          <w:tab w:val="left" w:pos="0"/>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7D712084">
        <w:rPr>
          <w:rFonts w:ascii="Palatino Linotype" w:hAnsi="Palatino Linotype"/>
          <w:color w:val="000000" w:themeColor="text1"/>
          <w:lang w:val="es-MX" w:eastAsia="en-US"/>
        </w:rPr>
        <w:lastRenderedPageBreak/>
        <w:t xml:space="preserve">De las constancia en el expediente al rubro indicado, se desprende que el </w:t>
      </w:r>
      <w:r w:rsidRPr="7D712084">
        <w:rPr>
          <w:rFonts w:ascii="Palatino Linotype" w:hAnsi="Palatino Linotype"/>
          <w:b/>
          <w:bCs/>
          <w:color w:val="000000" w:themeColor="text1"/>
          <w:lang w:val="es-MX" w:eastAsia="en-US"/>
        </w:rPr>
        <w:t xml:space="preserve">RECURRENTE </w:t>
      </w:r>
      <w:r w:rsidRPr="7D712084">
        <w:rPr>
          <w:rFonts w:ascii="Palatino Linotype" w:hAnsi="Palatino Linotype"/>
          <w:color w:val="000000" w:themeColor="text1"/>
          <w:lang w:val="es-MX" w:eastAsia="en-US"/>
        </w:rPr>
        <w:t xml:space="preserve">requirió </w:t>
      </w:r>
      <w:r w:rsidRPr="7D712084">
        <w:rPr>
          <w:rFonts w:ascii="Palatino Linotype" w:hAnsi="Palatino Linotype"/>
        </w:rPr>
        <w:t xml:space="preserve">el nombre de la personas contratadas por el Gobierno del estado de México a través de </w:t>
      </w:r>
      <w:r w:rsidRPr="7D712084">
        <w:rPr>
          <w:rFonts w:ascii="Palatino Linotype" w:hAnsi="Palatino Linotype"/>
          <w:color w:val="000000" w:themeColor="text1"/>
        </w:rPr>
        <w:t>Contratació</w:t>
      </w:r>
      <w:r w:rsidRPr="7D712084">
        <w:rPr>
          <w:rFonts w:ascii="Palatino Linotype" w:hAnsi="Palatino Linotype"/>
        </w:rPr>
        <w:t>n de Servicios de Asesorías asociadas a convenios o acuerdos y las dependencias a la que están adscritas.</w:t>
      </w:r>
    </w:p>
    <w:p w14:paraId="27C31407" w14:textId="77777777" w:rsidR="00881049" w:rsidRPr="000353E1" w:rsidRDefault="00881049" w:rsidP="000353E1">
      <w:pPr>
        <w:pStyle w:val="Prrafodelista"/>
        <w:tabs>
          <w:tab w:val="left" w:pos="0"/>
          <w:tab w:val="left" w:pos="567"/>
        </w:tabs>
        <w:spacing w:before="240" w:after="240" w:line="360" w:lineRule="auto"/>
        <w:ind w:left="0"/>
        <w:contextualSpacing/>
        <w:jc w:val="both"/>
        <w:rPr>
          <w:rFonts w:ascii="Palatino Linotype" w:hAnsi="Palatino Linotype"/>
          <w:color w:val="000000" w:themeColor="text1"/>
          <w:lang w:val="es-MX" w:eastAsia="en-US"/>
        </w:rPr>
      </w:pPr>
    </w:p>
    <w:p w14:paraId="72A580A5" w14:textId="2AEED737" w:rsidR="007311DD" w:rsidRPr="000353E1" w:rsidRDefault="7D712084" w:rsidP="000353E1">
      <w:pPr>
        <w:pStyle w:val="Prrafodelista"/>
        <w:numPr>
          <w:ilvl w:val="0"/>
          <w:numId w:val="2"/>
        </w:numPr>
        <w:tabs>
          <w:tab w:val="left" w:pos="0"/>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7D712084">
        <w:rPr>
          <w:rFonts w:ascii="Palatino Linotype" w:hAnsi="Palatino Linotype" w:cs="Arial"/>
          <w:lang w:eastAsia="es-MX"/>
        </w:rPr>
        <w:t xml:space="preserve">Bajo esas consideraciones, </w:t>
      </w:r>
      <w:r w:rsidRPr="7D712084">
        <w:rPr>
          <w:rFonts w:ascii="Palatino Linotype" w:eastAsia="MS Mincho" w:hAnsi="Palatino Linotype"/>
        </w:rPr>
        <w:t>la Ley de Transparencia establece como uno de sus objetivos el de garantizar a toda persona el derecho 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52453FFD" w14:textId="77777777" w:rsidR="007311DD" w:rsidRPr="000353E1" w:rsidRDefault="007311DD" w:rsidP="000353E1">
      <w:pPr>
        <w:pStyle w:val="Prrafodelista"/>
        <w:spacing w:before="240" w:after="360" w:line="360" w:lineRule="auto"/>
        <w:ind w:left="0"/>
        <w:contextualSpacing/>
        <w:jc w:val="both"/>
        <w:rPr>
          <w:rFonts w:ascii="Palatino Linotype" w:eastAsia="MS Mincho" w:hAnsi="Palatino Linotype" w:cs="Arial"/>
          <w:i/>
          <w:lang w:val="es-MX"/>
        </w:rPr>
      </w:pPr>
    </w:p>
    <w:p w14:paraId="45B4A51A" w14:textId="243E7CB2" w:rsidR="007311DD" w:rsidRPr="00553A8B" w:rsidRDefault="7D712084" w:rsidP="000353E1">
      <w:pPr>
        <w:pStyle w:val="Prrafodelista"/>
        <w:numPr>
          <w:ilvl w:val="0"/>
          <w:numId w:val="2"/>
        </w:numPr>
        <w:tabs>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sz w:val="22"/>
          <w:lang w:val="es-MX"/>
        </w:rPr>
      </w:pPr>
      <w:r w:rsidRPr="7D712084">
        <w:rPr>
          <w:rFonts w:ascii="Palatino Linotype" w:hAnsi="Palatino Linotype" w:cs="Arial"/>
          <w:lang w:eastAsia="es-MX"/>
        </w:rPr>
        <w:t xml:space="preserve">Adquiere relevancia </w:t>
      </w:r>
      <w:r w:rsidRPr="7D712084">
        <w:rPr>
          <w:rFonts w:ascii="Palatino Linotype" w:eastAsia="MS Mincho" w:hAnsi="Palatino Linotype"/>
        </w:rPr>
        <w:t xml:space="preserve">el </w:t>
      </w:r>
      <w:r w:rsidRPr="7D712084">
        <w:rPr>
          <w:rFonts w:ascii="Palatino Linotype" w:eastAsia="Calibri" w:hAnsi="Palatino Linotype" w:cs="Arial"/>
          <w:color w:val="000000" w:themeColor="text1"/>
          <w:lang w:val="es-MX" w:eastAsia="en-US"/>
        </w:rPr>
        <w:t xml:space="preserve">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w:t>
      </w:r>
      <w:r w:rsidRPr="00553A8B">
        <w:rPr>
          <w:rFonts w:ascii="Palatino Linotype" w:eastAsia="Calibri" w:hAnsi="Palatino Linotype" w:cs="Arial"/>
          <w:color w:val="000000" w:themeColor="text1"/>
          <w:sz w:val="22"/>
          <w:lang w:val="es-MX" w:eastAsia="en-US"/>
        </w:rPr>
        <w:t>origen la eventual publicidad de la información como a continuación se observa:</w:t>
      </w:r>
    </w:p>
    <w:p w14:paraId="1EFA2008" w14:textId="115CDD33" w:rsidR="007311DD" w:rsidRPr="00553A8B" w:rsidRDefault="00AE301A" w:rsidP="000353E1">
      <w:pPr>
        <w:widowControl w:val="0"/>
        <w:tabs>
          <w:tab w:val="left" w:pos="7938"/>
          <w:tab w:val="left" w:pos="8080"/>
        </w:tabs>
        <w:autoSpaceDE w:val="0"/>
        <w:autoSpaceDN w:val="0"/>
        <w:adjustRightInd w:val="0"/>
        <w:spacing w:before="240" w:after="240" w:line="360" w:lineRule="auto"/>
        <w:ind w:left="567" w:right="891"/>
        <w:jc w:val="both"/>
        <w:rPr>
          <w:rFonts w:ascii="Palatino Linotype" w:eastAsia="Calibri" w:hAnsi="Palatino Linotype"/>
          <w:sz w:val="22"/>
          <w:lang w:val="es-MX" w:eastAsia="es-ES_tradnl"/>
        </w:rPr>
      </w:pPr>
      <w:r w:rsidRPr="00553A8B">
        <w:rPr>
          <w:rFonts w:ascii="Palatino Linotype" w:eastAsia="Calibri" w:hAnsi="Palatino Linotype"/>
          <w:b/>
          <w:i/>
          <w:sz w:val="22"/>
          <w:lang w:val="es-MX" w:eastAsia="es-ES_tradnl"/>
        </w:rPr>
        <w:t>“</w:t>
      </w:r>
      <w:r w:rsidR="007311DD" w:rsidRPr="00553A8B">
        <w:rPr>
          <w:rFonts w:ascii="Palatino Linotype" w:eastAsia="Calibri" w:hAnsi="Palatino Linotype"/>
          <w:b/>
          <w:i/>
          <w:sz w:val="22"/>
          <w:lang w:val="es-MX" w:eastAsia="es-ES_tradnl"/>
        </w:rPr>
        <w:t>Artículo 18.</w:t>
      </w:r>
      <w:r w:rsidR="007311DD" w:rsidRPr="00553A8B">
        <w:rPr>
          <w:rFonts w:ascii="Palatino Linotype" w:eastAsia="Calibri" w:hAnsi="Palatino Linotype"/>
          <w:i/>
          <w:sz w:val="22"/>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553A8B">
        <w:rPr>
          <w:rFonts w:ascii="Palatino Linotype" w:eastAsia="Calibri" w:hAnsi="Palatino Linotype"/>
          <w:i/>
          <w:sz w:val="22"/>
          <w:lang w:val="es-MX" w:eastAsia="es-ES_tradnl"/>
        </w:rPr>
        <w:t xml:space="preserve">” </w:t>
      </w:r>
    </w:p>
    <w:p w14:paraId="7CAB98E3" w14:textId="77777777" w:rsidR="007311DD" w:rsidRPr="00553A8B" w:rsidRDefault="007311DD" w:rsidP="000353E1">
      <w:pPr>
        <w:spacing w:line="360" w:lineRule="auto"/>
        <w:jc w:val="both"/>
        <w:rPr>
          <w:rFonts w:ascii="Palatino Linotype" w:hAnsi="Palatino Linotype" w:cs="Arial"/>
          <w:sz w:val="22"/>
        </w:rPr>
      </w:pPr>
    </w:p>
    <w:p w14:paraId="5E152F54" w14:textId="77777777" w:rsidR="007311DD" w:rsidRPr="00553A8B" w:rsidRDefault="7D712084" w:rsidP="000353E1">
      <w:pPr>
        <w:numPr>
          <w:ilvl w:val="0"/>
          <w:numId w:val="2"/>
        </w:numPr>
        <w:spacing w:after="160" w:line="360" w:lineRule="auto"/>
        <w:ind w:left="0" w:firstLine="0"/>
        <w:jc w:val="both"/>
        <w:rPr>
          <w:rFonts w:ascii="Palatino Linotype" w:hAnsi="Palatino Linotype" w:cs="Arial"/>
        </w:rPr>
      </w:pPr>
      <w:r w:rsidRPr="00553A8B">
        <w:rPr>
          <w:rFonts w:ascii="Palatino Linotype" w:eastAsia="Calibri" w:hAnsi="Palatino Linotype" w:cs="Arial"/>
          <w:lang w:val="es-MX" w:eastAsia="en-US"/>
        </w:rPr>
        <w:t xml:space="preserve">Por otro lado, </w:t>
      </w:r>
      <w:r w:rsidRPr="00553A8B">
        <w:rPr>
          <w:rFonts w:ascii="Palatino Linotype" w:hAnsi="Palatino Linotype"/>
          <w:lang w:val="es-MX" w:eastAsia="es-MX"/>
        </w:rPr>
        <w:t xml:space="preserve">de acuerdo con la multicitada Ley de Transparencia vigente en la entidad, se entiende que la información pública es toda aquella que sea generada, </w:t>
      </w:r>
      <w:r w:rsidRPr="00553A8B">
        <w:rPr>
          <w:rFonts w:ascii="Palatino Linotype" w:hAnsi="Palatino Linotype"/>
          <w:lang w:val="es-MX" w:eastAsia="es-MX"/>
        </w:rPr>
        <w:lastRenderedPageBreak/>
        <w:t xml:space="preserve">obtenida, adquirida, transformada, administrada o en posesión de los </w:t>
      </w:r>
      <w:r w:rsidRPr="00553A8B">
        <w:rPr>
          <w:rFonts w:ascii="Palatino Linotype" w:hAnsi="Palatino Linotype"/>
          <w:b/>
          <w:bCs/>
          <w:lang w:val="es-MX" w:eastAsia="es-MX"/>
        </w:rPr>
        <w:t>SUJETOS OBLIGADOS</w:t>
      </w:r>
      <w:r w:rsidRPr="00553A8B">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6DC594E3" w14:textId="77777777" w:rsidR="007311DD" w:rsidRPr="00553A8B" w:rsidRDefault="007311DD" w:rsidP="000353E1">
      <w:pPr>
        <w:spacing w:line="360" w:lineRule="auto"/>
        <w:jc w:val="both"/>
        <w:rPr>
          <w:rFonts w:ascii="Palatino Linotype" w:hAnsi="Palatino Linotype" w:cs="Arial"/>
          <w:sz w:val="22"/>
        </w:rPr>
      </w:pPr>
    </w:p>
    <w:p w14:paraId="6C24A8BC" w14:textId="2A8F0CB6" w:rsidR="007311DD" w:rsidRPr="00553A8B" w:rsidRDefault="007311DD" w:rsidP="000353E1">
      <w:pPr>
        <w:spacing w:after="160" w:line="360" w:lineRule="auto"/>
        <w:ind w:left="567" w:right="891"/>
        <w:jc w:val="both"/>
        <w:rPr>
          <w:rFonts w:ascii="Palatino Linotype" w:hAnsi="Palatino Linotype"/>
          <w:i/>
          <w:sz w:val="22"/>
          <w:lang w:eastAsia="en-US"/>
        </w:rPr>
      </w:pPr>
      <w:r w:rsidRPr="00553A8B">
        <w:rPr>
          <w:rFonts w:ascii="Palatino Linotype" w:hAnsi="Palatino Linotype"/>
          <w:i/>
          <w:sz w:val="22"/>
          <w:lang w:eastAsia="en-US"/>
        </w:rPr>
        <w:t>“</w:t>
      </w:r>
      <w:r w:rsidRPr="00553A8B">
        <w:rPr>
          <w:rFonts w:ascii="Palatino Linotype" w:hAnsi="Palatino Linotype"/>
          <w:b/>
          <w:i/>
          <w:sz w:val="22"/>
          <w:lang w:eastAsia="en-US"/>
        </w:rPr>
        <w:t>Artículo 4.</w:t>
      </w:r>
      <w:r w:rsidRPr="00553A8B">
        <w:rPr>
          <w:rFonts w:ascii="Palatino Linotype" w:hAnsi="Palatino Linotype"/>
          <w:i/>
          <w:sz w:val="22"/>
          <w:lang w:eastAsia="en-US"/>
        </w:rPr>
        <w:t xml:space="preserve"> </w:t>
      </w:r>
    </w:p>
    <w:p w14:paraId="556A33D3" w14:textId="77777777" w:rsidR="007311DD" w:rsidRPr="00553A8B" w:rsidRDefault="007311DD" w:rsidP="000353E1">
      <w:pPr>
        <w:spacing w:after="160" w:line="360" w:lineRule="auto"/>
        <w:ind w:left="567" w:right="891"/>
        <w:jc w:val="both"/>
        <w:rPr>
          <w:rFonts w:ascii="Palatino Linotype" w:hAnsi="Palatino Linotype"/>
          <w:i/>
          <w:sz w:val="22"/>
          <w:lang w:eastAsia="en-US"/>
        </w:rPr>
      </w:pPr>
      <w:r w:rsidRPr="00553A8B">
        <w:rPr>
          <w:rFonts w:ascii="Palatino Linotype" w:hAnsi="Palatino Linotype"/>
          <w:i/>
          <w:sz w:val="22"/>
          <w:lang w:eastAsia="en-US"/>
        </w:rPr>
        <w:t>(…)</w:t>
      </w:r>
    </w:p>
    <w:p w14:paraId="1A064C1A" w14:textId="4CE75DE9" w:rsidR="007311DD" w:rsidRPr="00553A8B" w:rsidRDefault="007311DD" w:rsidP="000353E1">
      <w:pPr>
        <w:spacing w:after="160" w:line="360" w:lineRule="auto"/>
        <w:ind w:left="567" w:right="891"/>
        <w:jc w:val="both"/>
        <w:rPr>
          <w:rFonts w:ascii="Palatino Linotype" w:hAnsi="Palatino Linotype"/>
          <w:i/>
          <w:sz w:val="22"/>
          <w:lang w:eastAsia="en-US"/>
        </w:rPr>
      </w:pPr>
      <w:r w:rsidRPr="00553A8B">
        <w:rPr>
          <w:rFonts w:ascii="Palatino Linotype" w:hAnsi="Palatino Linotype"/>
          <w:b/>
          <w:i/>
          <w:sz w:val="22"/>
          <w:lang w:eastAsia="en-US"/>
        </w:rPr>
        <w:t>Toda la información generada, obtenida, adquirida, transformada, administrada o en posesión de los sujetos obligados es pública y accesible de manera permanente a cualquier persona,</w:t>
      </w:r>
      <w:r w:rsidRPr="00553A8B">
        <w:rPr>
          <w:rFonts w:ascii="Palatino Linotype" w:hAnsi="Palatino Linotype"/>
          <w:i/>
          <w:sz w:val="22"/>
          <w:lang w:eastAsia="en-US"/>
        </w:rPr>
        <w:t xml:space="preserve"> en los términos y condiciones que se establezcan en los tratados internacionales de los que el Estado mexicano sea parte, en la Ley General, la presente Ley y demás disposiciones de la materia, privilegiando el </w:t>
      </w:r>
      <w:r w:rsidRPr="00553A8B">
        <w:rPr>
          <w:rFonts w:ascii="Palatino Linotype" w:hAnsi="Palatino Linotype"/>
          <w:b/>
          <w:i/>
          <w:sz w:val="22"/>
          <w:lang w:eastAsia="en-US"/>
        </w:rPr>
        <w:t>principio de máxima publicidad</w:t>
      </w:r>
      <w:r w:rsidRPr="00553A8B">
        <w:rPr>
          <w:rFonts w:ascii="Palatino Linotype" w:hAnsi="Palatino Linotype"/>
          <w:i/>
          <w:sz w:val="22"/>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508A9885" w14:textId="0332AA1C" w:rsidR="00F86968" w:rsidRPr="00553A8B" w:rsidRDefault="007311DD" w:rsidP="000353E1">
      <w:pPr>
        <w:spacing w:after="160" w:line="360" w:lineRule="auto"/>
        <w:ind w:left="567" w:right="891"/>
        <w:jc w:val="both"/>
        <w:rPr>
          <w:rFonts w:ascii="Palatino Linotype" w:hAnsi="Palatino Linotype"/>
          <w:sz w:val="22"/>
          <w:lang w:eastAsia="en-US"/>
        </w:rPr>
      </w:pPr>
      <w:r w:rsidRPr="00553A8B">
        <w:rPr>
          <w:rFonts w:ascii="Palatino Linotype" w:hAnsi="Palatino Linotype"/>
          <w:i/>
          <w:sz w:val="22"/>
          <w:lang w:eastAsia="en-US"/>
        </w:rPr>
        <w:t>(…)</w:t>
      </w:r>
      <w:r w:rsidR="00F86968" w:rsidRPr="00553A8B">
        <w:rPr>
          <w:rFonts w:ascii="Palatino Linotype" w:hAnsi="Palatino Linotype"/>
          <w:i/>
          <w:sz w:val="22"/>
          <w:lang w:eastAsia="en-US"/>
        </w:rPr>
        <w:t xml:space="preserve">” </w:t>
      </w:r>
    </w:p>
    <w:p w14:paraId="3219B949" w14:textId="77777777" w:rsidR="007311DD" w:rsidRPr="00553A8B" w:rsidRDefault="007311DD" w:rsidP="000353E1">
      <w:pPr>
        <w:spacing w:after="160" w:line="360" w:lineRule="auto"/>
        <w:ind w:right="891"/>
        <w:jc w:val="both"/>
        <w:rPr>
          <w:rFonts w:ascii="Palatino Linotype" w:hAnsi="Palatino Linotype"/>
          <w:sz w:val="22"/>
          <w:lang w:eastAsia="en-US"/>
        </w:rPr>
      </w:pPr>
    </w:p>
    <w:p w14:paraId="1FE5E416" w14:textId="77777777" w:rsidR="007311DD" w:rsidRPr="00553A8B" w:rsidRDefault="007311DD" w:rsidP="000353E1">
      <w:pPr>
        <w:spacing w:after="160" w:line="360" w:lineRule="auto"/>
        <w:ind w:left="567" w:right="891"/>
        <w:jc w:val="both"/>
        <w:rPr>
          <w:rFonts w:ascii="Palatino Linotype" w:hAnsi="Palatino Linotype"/>
          <w:i/>
          <w:sz w:val="22"/>
          <w:lang w:eastAsia="en-US"/>
        </w:rPr>
      </w:pPr>
      <w:r w:rsidRPr="00553A8B">
        <w:rPr>
          <w:rFonts w:ascii="Palatino Linotype" w:hAnsi="Palatino Linotype"/>
          <w:i/>
          <w:sz w:val="22"/>
          <w:lang w:eastAsia="en-US"/>
        </w:rPr>
        <w:t>(Énfasis añadido)</w:t>
      </w:r>
    </w:p>
    <w:p w14:paraId="4AAC3097" w14:textId="77777777" w:rsidR="00F86968" w:rsidRPr="00553A8B" w:rsidRDefault="00F86968" w:rsidP="000353E1">
      <w:pPr>
        <w:spacing w:after="160" w:line="360" w:lineRule="auto"/>
        <w:ind w:left="567" w:right="891"/>
        <w:jc w:val="both"/>
        <w:rPr>
          <w:rFonts w:ascii="Palatino Linotype" w:hAnsi="Palatino Linotype"/>
          <w:i/>
          <w:sz w:val="22"/>
          <w:lang w:eastAsia="en-US"/>
        </w:rPr>
      </w:pPr>
    </w:p>
    <w:p w14:paraId="516BED2B" w14:textId="77777777" w:rsidR="007311DD" w:rsidRPr="00553A8B" w:rsidRDefault="7D712084" w:rsidP="000353E1">
      <w:pPr>
        <w:numPr>
          <w:ilvl w:val="0"/>
          <w:numId w:val="2"/>
        </w:numPr>
        <w:spacing w:after="160" w:line="360" w:lineRule="auto"/>
        <w:ind w:left="0" w:firstLine="0"/>
        <w:jc w:val="both"/>
        <w:rPr>
          <w:rFonts w:ascii="Palatino Linotype" w:hAnsi="Palatino Linotype" w:cs="Arial"/>
          <w:sz w:val="22"/>
        </w:rPr>
      </w:pPr>
      <w:r w:rsidRPr="7D712084">
        <w:rPr>
          <w:rFonts w:ascii="Palatino Linotype" w:eastAsia="Calibri" w:hAnsi="Palatino Linotype" w:cs="Arial"/>
          <w:lang w:val="es-MX" w:eastAsia="en-US"/>
        </w:rPr>
        <w:t xml:space="preserve">En ese sentido, no debe de pasar de vista para el </w:t>
      </w:r>
      <w:r w:rsidRPr="7D712084">
        <w:rPr>
          <w:rFonts w:ascii="Palatino Linotype" w:eastAsia="Calibri" w:hAnsi="Palatino Linotype" w:cs="Arial"/>
          <w:b/>
          <w:bCs/>
          <w:lang w:val="es-MX" w:eastAsia="en-US"/>
        </w:rPr>
        <w:t>SUJETO OBLIGADO</w:t>
      </w:r>
      <w:r w:rsidRPr="7D71208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w:t>
      </w:r>
      <w:r w:rsidRPr="7D712084">
        <w:rPr>
          <w:rFonts w:ascii="Palatino Linotype" w:eastAsia="Calibri" w:hAnsi="Palatino Linotype" w:cs="Arial"/>
          <w:lang w:val="es-MX" w:eastAsia="en-US"/>
        </w:rPr>
        <w:lastRenderedPageBreak/>
        <w:t xml:space="preserve">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w:t>
      </w:r>
      <w:r w:rsidRPr="00553A8B">
        <w:rPr>
          <w:rFonts w:ascii="Palatino Linotype" w:eastAsia="Calibri" w:hAnsi="Palatino Linotype" w:cs="Arial"/>
          <w:sz w:val="22"/>
          <w:lang w:val="es-MX" w:eastAsia="en-US"/>
        </w:rPr>
        <w:t>Transparencia y Acceso a la Información Pública del Estado de México y Municipios:</w:t>
      </w:r>
    </w:p>
    <w:p w14:paraId="347667E8" w14:textId="77777777" w:rsidR="007311DD" w:rsidRPr="00553A8B" w:rsidRDefault="007311DD" w:rsidP="000353E1">
      <w:pPr>
        <w:spacing w:line="360" w:lineRule="auto"/>
        <w:jc w:val="both"/>
        <w:rPr>
          <w:rFonts w:ascii="Palatino Linotype" w:hAnsi="Palatino Linotype" w:cs="Arial"/>
          <w:sz w:val="22"/>
        </w:rPr>
      </w:pPr>
    </w:p>
    <w:p w14:paraId="01A5927F" w14:textId="4AD0F6AF" w:rsidR="007311DD" w:rsidRPr="00553A8B" w:rsidRDefault="007311DD" w:rsidP="000353E1">
      <w:pPr>
        <w:spacing w:after="160" w:line="360" w:lineRule="auto"/>
        <w:ind w:left="567" w:right="891"/>
        <w:jc w:val="both"/>
        <w:rPr>
          <w:rFonts w:ascii="Palatino Linotype" w:eastAsia="Calibri" w:hAnsi="Palatino Linotype"/>
          <w:i/>
          <w:sz w:val="22"/>
          <w:lang w:val="es-MX" w:eastAsia="en-US"/>
        </w:rPr>
      </w:pPr>
      <w:r w:rsidRPr="00553A8B">
        <w:rPr>
          <w:rFonts w:ascii="Palatino Linotype" w:eastAsia="Calibri" w:hAnsi="Palatino Linotype"/>
          <w:i/>
          <w:sz w:val="22"/>
          <w:lang w:val="es-MX" w:eastAsia="en-US"/>
        </w:rPr>
        <w:t>“</w:t>
      </w:r>
      <w:r w:rsidRPr="00553A8B">
        <w:rPr>
          <w:rFonts w:ascii="Palatino Linotype" w:eastAsia="Calibri" w:hAnsi="Palatino Linotype"/>
          <w:b/>
          <w:i/>
          <w:sz w:val="22"/>
          <w:lang w:val="es-MX" w:eastAsia="en-US"/>
        </w:rPr>
        <w:t>Artículo 8.</w:t>
      </w:r>
      <w:r w:rsidRPr="00553A8B">
        <w:rPr>
          <w:rFonts w:ascii="Palatino Linotype" w:eastAsia="Calibri" w:hAnsi="Palatino Linotype"/>
          <w:i/>
          <w:sz w:val="22"/>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7F1CB3B" w14:textId="77777777" w:rsidR="007311DD" w:rsidRPr="00553A8B" w:rsidRDefault="007311DD" w:rsidP="000353E1">
      <w:pPr>
        <w:spacing w:after="160" w:line="360" w:lineRule="auto"/>
        <w:ind w:left="567" w:right="891"/>
        <w:jc w:val="both"/>
        <w:rPr>
          <w:rFonts w:ascii="Palatino Linotype" w:eastAsia="Calibri" w:hAnsi="Palatino Linotype"/>
          <w:i/>
          <w:sz w:val="22"/>
          <w:lang w:val="es-MX" w:eastAsia="en-US"/>
        </w:rPr>
      </w:pPr>
      <w:r w:rsidRPr="00553A8B">
        <w:rPr>
          <w:rFonts w:ascii="Palatino Linotype" w:eastAsia="Calibri" w:hAnsi="Palatino Linotype"/>
          <w:b/>
          <w:i/>
          <w:sz w:val="22"/>
          <w:lang w:val="es-MX" w:eastAsia="en-US"/>
        </w:rPr>
        <w:t>En la aplicación e interpretación de la presente Ley deberá prevalecer el principio de máxima publicidad,</w:t>
      </w:r>
      <w:r w:rsidRPr="00553A8B">
        <w:rPr>
          <w:rFonts w:ascii="Palatino Linotype" w:eastAsia="Calibri" w:hAnsi="Palatino Linotype"/>
          <w:i/>
          <w:sz w:val="22"/>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20E8003" w14:textId="77777777" w:rsidR="007311DD" w:rsidRPr="00553A8B" w:rsidRDefault="007311DD" w:rsidP="000353E1">
      <w:pPr>
        <w:spacing w:after="160" w:line="360" w:lineRule="auto"/>
        <w:ind w:left="567" w:right="891"/>
        <w:jc w:val="both"/>
        <w:rPr>
          <w:rFonts w:ascii="Palatino Linotype" w:eastAsia="Calibri" w:hAnsi="Palatino Linotype"/>
          <w:i/>
          <w:sz w:val="22"/>
          <w:lang w:val="es-MX" w:eastAsia="en-US"/>
        </w:rPr>
      </w:pPr>
    </w:p>
    <w:p w14:paraId="2151AF69" w14:textId="49B4B822" w:rsidR="007311DD" w:rsidRPr="00553A8B" w:rsidRDefault="007311DD" w:rsidP="000353E1">
      <w:pPr>
        <w:spacing w:after="160" w:line="360" w:lineRule="auto"/>
        <w:ind w:left="567" w:right="891"/>
        <w:jc w:val="both"/>
        <w:rPr>
          <w:rFonts w:ascii="Palatino Linotype" w:eastAsia="Calibri" w:hAnsi="Palatino Linotype"/>
          <w:sz w:val="22"/>
          <w:lang w:val="es-MX" w:eastAsia="en-US"/>
        </w:rPr>
      </w:pPr>
      <w:r w:rsidRPr="00553A8B">
        <w:rPr>
          <w:rFonts w:ascii="Palatino Linotype" w:eastAsia="Calibri" w:hAnsi="Palatino Linotype"/>
          <w:i/>
          <w:sz w:val="22"/>
          <w:lang w:val="es-MX" w:eastAsia="en-US"/>
        </w:rPr>
        <w:t>Para el caso de la interpretación se podrá tomar en cuenta los criterios, determinaciones y opiniones de los organismos nacionales e internacionales, en materia de transparencia y el derecho de acceso a la información.</w:t>
      </w:r>
      <w:r w:rsidR="00AE301A" w:rsidRPr="00553A8B">
        <w:rPr>
          <w:rFonts w:ascii="Palatino Linotype" w:eastAsia="Calibri" w:hAnsi="Palatino Linotype"/>
          <w:i/>
          <w:sz w:val="22"/>
          <w:lang w:val="es-MX" w:eastAsia="en-US"/>
        </w:rPr>
        <w:t xml:space="preserve">” </w:t>
      </w:r>
    </w:p>
    <w:p w14:paraId="3508C087" w14:textId="77777777" w:rsidR="007178BC" w:rsidRPr="00553A8B" w:rsidRDefault="007178BC" w:rsidP="000353E1">
      <w:pPr>
        <w:spacing w:after="160" w:line="360" w:lineRule="auto"/>
        <w:ind w:left="567" w:right="891"/>
        <w:jc w:val="both"/>
        <w:rPr>
          <w:rFonts w:ascii="Palatino Linotype" w:eastAsia="Calibri" w:hAnsi="Palatino Linotype"/>
          <w:i/>
          <w:sz w:val="22"/>
          <w:lang w:val="es-MX" w:eastAsia="en-US"/>
        </w:rPr>
      </w:pPr>
    </w:p>
    <w:p w14:paraId="55C30B16" w14:textId="77777777" w:rsidR="007311DD" w:rsidRPr="00553A8B" w:rsidRDefault="007311DD" w:rsidP="000353E1">
      <w:pPr>
        <w:spacing w:after="160" w:line="360" w:lineRule="auto"/>
        <w:ind w:left="567" w:right="891"/>
        <w:jc w:val="both"/>
        <w:rPr>
          <w:rFonts w:ascii="Palatino Linotype" w:eastAsia="Calibri" w:hAnsi="Palatino Linotype"/>
          <w:i/>
          <w:sz w:val="22"/>
          <w:lang w:val="es-MX" w:eastAsia="en-US"/>
        </w:rPr>
      </w:pPr>
      <w:r w:rsidRPr="00553A8B">
        <w:rPr>
          <w:rFonts w:ascii="Palatino Linotype" w:eastAsia="Calibri" w:hAnsi="Palatino Linotype"/>
          <w:i/>
          <w:sz w:val="22"/>
          <w:lang w:val="es-MX" w:eastAsia="en-US"/>
        </w:rPr>
        <w:t>(Énfasis añadido)</w:t>
      </w:r>
    </w:p>
    <w:p w14:paraId="368D30D2" w14:textId="77777777" w:rsidR="007311DD" w:rsidRPr="000353E1" w:rsidRDefault="007311DD" w:rsidP="000353E1">
      <w:pPr>
        <w:spacing w:line="360" w:lineRule="auto"/>
        <w:ind w:right="891"/>
        <w:jc w:val="both"/>
        <w:rPr>
          <w:rFonts w:ascii="Palatino Linotype" w:hAnsi="Palatino Linotype" w:cs="Arial"/>
        </w:rPr>
      </w:pPr>
    </w:p>
    <w:p w14:paraId="6196BC5B" w14:textId="77777777" w:rsidR="007311DD" w:rsidRPr="000353E1" w:rsidRDefault="7D712084" w:rsidP="000353E1">
      <w:pPr>
        <w:numPr>
          <w:ilvl w:val="0"/>
          <w:numId w:val="2"/>
        </w:numPr>
        <w:spacing w:after="160" w:line="360" w:lineRule="auto"/>
        <w:ind w:left="0" w:firstLine="0"/>
        <w:jc w:val="both"/>
        <w:rPr>
          <w:rFonts w:ascii="Palatino Linotype" w:hAnsi="Palatino Linotype" w:cs="Arial"/>
        </w:rPr>
      </w:pPr>
      <w:r w:rsidRPr="7D712084">
        <w:rPr>
          <w:rFonts w:ascii="Palatino Linotype" w:eastAsia="Calibri" w:hAnsi="Palatino Linotype"/>
        </w:rPr>
        <w:lastRenderedPageBreak/>
        <w:t>Establecido lo anterior el artículo 7 de la Ley antes citada señala que el estado mexicano garantizará el efectivo acceso a toda persona a la información en su posesión, como se aprecia a continuación:</w:t>
      </w:r>
    </w:p>
    <w:p w14:paraId="12F67C35" w14:textId="2BCED329" w:rsidR="007311DD" w:rsidRPr="00553A8B" w:rsidRDefault="007311DD" w:rsidP="000353E1">
      <w:pPr>
        <w:spacing w:before="240" w:after="240" w:line="360" w:lineRule="auto"/>
        <w:ind w:left="540" w:right="891"/>
        <w:contextualSpacing/>
        <w:jc w:val="both"/>
        <w:rPr>
          <w:rFonts w:ascii="Palatino Linotype" w:eastAsia="Calibri" w:hAnsi="Palatino Linotype"/>
          <w:i/>
          <w:sz w:val="22"/>
        </w:rPr>
      </w:pPr>
      <w:r w:rsidRPr="00553A8B">
        <w:rPr>
          <w:rFonts w:ascii="Palatino Linotype" w:eastAsia="Calibri" w:hAnsi="Palatino Linotype"/>
          <w:sz w:val="22"/>
        </w:rPr>
        <w:t>“</w:t>
      </w:r>
      <w:r w:rsidRPr="00553A8B">
        <w:rPr>
          <w:rFonts w:ascii="Palatino Linotype" w:eastAsia="Calibri" w:hAnsi="Palatino Linotype"/>
          <w:b/>
          <w:i/>
          <w:sz w:val="22"/>
        </w:rPr>
        <w:t>Artículo 7.</w:t>
      </w:r>
      <w:r w:rsidRPr="00553A8B">
        <w:rPr>
          <w:rFonts w:ascii="Palatino Linotype" w:eastAsia="Calibri" w:hAnsi="Palatino Linotype"/>
          <w:i/>
          <w:sz w:val="22"/>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r w:rsidR="00AE301A" w:rsidRPr="00553A8B">
        <w:rPr>
          <w:rFonts w:ascii="Palatino Linotype" w:eastAsia="Calibri" w:hAnsi="Palatino Linotype"/>
          <w:i/>
          <w:sz w:val="22"/>
        </w:rPr>
        <w:t xml:space="preserve"> </w:t>
      </w:r>
    </w:p>
    <w:p w14:paraId="1507AEA2" w14:textId="77777777" w:rsidR="007311DD" w:rsidRPr="000353E1" w:rsidRDefault="007311DD" w:rsidP="000353E1">
      <w:pPr>
        <w:spacing w:line="360" w:lineRule="auto"/>
        <w:jc w:val="both"/>
        <w:rPr>
          <w:rFonts w:ascii="Palatino Linotype" w:hAnsi="Palatino Linotype" w:cs="Arial"/>
        </w:rPr>
      </w:pPr>
    </w:p>
    <w:p w14:paraId="62C34B3A" w14:textId="77777777" w:rsidR="007311DD" w:rsidRPr="000353E1" w:rsidRDefault="7D712084" w:rsidP="000353E1">
      <w:pPr>
        <w:numPr>
          <w:ilvl w:val="0"/>
          <w:numId w:val="2"/>
        </w:numPr>
        <w:tabs>
          <w:tab w:val="left" w:pos="567"/>
        </w:tabs>
        <w:spacing w:after="160" w:line="360" w:lineRule="auto"/>
        <w:ind w:left="0" w:firstLine="0"/>
        <w:jc w:val="both"/>
        <w:rPr>
          <w:rFonts w:ascii="Palatino Linotype" w:hAnsi="Palatino Linotype" w:cs="Arial"/>
        </w:rPr>
      </w:pPr>
      <w:r w:rsidRPr="7D712084">
        <w:rPr>
          <w:rFonts w:ascii="Palatino Linotype" w:eastAsia="Calibri" w:hAnsi="Palatino Linotype" w:cs="Arial"/>
          <w:lang w:val="es-MX" w:eastAsia="en-US"/>
        </w:rPr>
        <w:t xml:space="preserve">Además, </w:t>
      </w:r>
      <w:r w:rsidRPr="7D712084">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7929C9C2" w14:textId="77777777" w:rsidR="007311DD" w:rsidRPr="00553A8B" w:rsidRDefault="007311DD" w:rsidP="000353E1">
      <w:pPr>
        <w:spacing w:line="360" w:lineRule="auto"/>
        <w:jc w:val="both"/>
        <w:rPr>
          <w:rFonts w:ascii="Palatino Linotype" w:hAnsi="Palatino Linotype" w:cs="Arial"/>
          <w:sz w:val="22"/>
        </w:rPr>
      </w:pPr>
    </w:p>
    <w:p w14:paraId="532E0193" w14:textId="77777777" w:rsidR="007311DD" w:rsidRPr="00553A8B" w:rsidRDefault="007311DD" w:rsidP="000353E1">
      <w:pPr>
        <w:spacing w:after="160" w:line="360" w:lineRule="auto"/>
        <w:ind w:left="567" w:right="891"/>
        <w:contextualSpacing/>
        <w:jc w:val="both"/>
        <w:rPr>
          <w:rFonts w:ascii="Palatino Linotype" w:hAnsi="Palatino Linotype" w:cs="Arial"/>
          <w:i/>
          <w:sz w:val="22"/>
          <w:lang w:val="es-MX" w:eastAsia="en-US"/>
        </w:rPr>
      </w:pPr>
      <w:r w:rsidRPr="00553A8B">
        <w:rPr>
          <w:rFonts w:ascii="Palatino Linotype" w:hAnsi="Palatino Linotype" w:cs="Arial"/>
          <w:b/>
          <w:i/>
          <w:sz w:val="22"/>
          <w:lang w:eastAsia="en-US"/>
        </w:rPr>
        <w:t>“Artículo 23.</w:t>
      </w:r>
      <w:r w:rsidRPr="00553A8B">
        <w:rPr>
          <w:rFonts w:ascii="Palatino Linotype" w:hAnsi="Palatino Linotype" w:cs="Arial"/>
          <w:i/>
          <w:sz w:val="22"/>
          <w:lang w:eastAsia="en-US"/>
        </w:rPr>
        <w:t xml:space="preserve"> Son sujetos obligados a transparentar y permitir el acceso a su información y proteger los datos personales que obren en su poder:”</w:t>
      </w:r>
    </w:p>
    <w:p w14:paraId="26FF4609" w14:textId="77777777" w:rsidR="007311DD" w:rsidRPr="00553A8B" w:rsidRDefault="007311DD" w:rsidP="000353E1">
      <w:pPr>
        <w:spacing w:after="160" w:line="360" w:lineRule="auto"/>
        <w:ind w:left="567" w:right="891"/>
        <w:contextualSpacing/>
        <w:jc w:val="both"/>
        <w:rPr>
          <w:rFonts w:ascii="Palatino Linotype" w:eastAsia="MS Mincho" w:hAnsi="Palatino Linotype"/>
          <w:sz w:val="22"/>
          <w:lang w:val="es-MX" w:eastAsia="en-US"/>
        </w:rPr>
      </w:pPr>
    </w:p>
    <w:p w14:paraId="2A2E94BF" w14:textId="77777777" w:rsidR="007311DD" w:rsidRPr="00553A8B" w:rsidRDefault="007311DD" w:rsidP="000353E1">
      <w:pPr>
        <w:spacing w:before="240" w:after="240" w:line="360" w:lineRule="auto"/>
        <w:ind w:left="567" w:right="891"/>
        <w:contextualSpacing/>
        <w:jc w:val="both"/>
        <w:rPr>
          <w:rFonts w:ascii="Palatino Linotype" w:eastAsia="MS Mincho" w:hAnsi="Palatino Linotype" w:cs="Arial"/>
          <w:sz w:val="22"/>
          <w:lang w:val="es-MX"/>
        </w:rPr>
      </w:pPr>
      <w:r w:rsidRPr="00553A8B">
        <w:rPr>
          <w:rFonts w:ascii="Palatino Linotype" w:eastAsia="MS Mincho" w:hAnsi="Palatino Linotype" w:cs="Arial"/>
          <w:sz w:val="22"/>
          <w:lang w:val="es-MX"/>
        </w:rPr>
        <w:t>(…)</w:t>
      </w:r>
    </w:p>
    <w:p w14:paraId="580D362E" w14:textId="77777777" w:rsidR="007311DD" w:rsidRPr="00553A8B" w:rsidRDefault="007311DD" w:rsidP="000353E1">
      <w:pPr>
        <w:spacing w:before="240" w:after="240" w:line="360" w:lineRule="auto"/>
        <w:ind w:left="567" w:right="891"/>
        <w:contextualSpacing/>
        <w:jc w:val="both"/>
        <w:rPr>
          <w:rFonts w:ascii="Palatino Linotype" w:eastAsia="MS Mincho" w:hAnsi="Palatino Linotype" w:cs="Arial"/>
          <w:b/>
          <w:sz w:val="22"/>
          <w:lang w:val="es-MX"/>
        </w:rPr>
      </w:pPr>
    </w:p>
    <w:p w14:paraId="0DE477E7" w14:textId="77777777" w:rsidR="007311DD" w:rsidRPr="00553A8B" w:rsidRDefault="007311DD" w:rsidP="000353E1">
      <w:pPr>
        <w:spacing w:before="240" w:after="240" w:line="360" w:lineRule="auto"/>
        <w:ind w:left="567" w:right="891"/>
        <w:contextualSpacing/>
        <w:jc w:val="both"/>
        <w:rPr>
          <w:rFonts w:ascii="Palatino Linotype" w:eastAsia="MS Mincho" w:hAnsi="Palatino Linotype" w:cs="Arial"/>
          <w:b/>
          <w:i/>
          <w:sz w:val="22"/>
          <w:lang w:val="es-MX"/>
        </w:rPr>
      </w:pPr>
      <w:r w:rsidRPr="00553A8B">
        <w:rPr>
          <w:rFonts w:ascii="Palatino Linotype" w:eastAsia="MS Mincho" w:hAnsi="Palatino Linotype" w:cs="Arial"/>
          <w:b/>
          <w:i/>
          <w:sz w:val="22"/>
        </w:rPr>
        <w:t>IV. Los ayuntamientos y las dependencias, organismos, órganos y entidades de la administración municipal</w:t>
      </w:r>
      <w:r w:rsidRPr="00553A8B">
        <w:rPr>
          <w:rFonts w:ascii="Palatino Linotype" w:eastAsia="MS Mincho" w:hAnsi="Palatino Linotype" w:cs="Arial"/>
          <w:b/>
          <w:i/>
          <w:sz w:val="22"/>
          <w:lang w:val="es-MX"/>
        </w:rPr>
        <w:t>;"</w:t>
      </w:r>
    </w:p>
    <w:p w14:paraId="10D88FB2" w14:textId="77777777" w:rsidR="007311DD" w:rsidRPr="00553A8B" w:rsidRDefault="007311DD" w:rsidP="000353E1">
      <w:pPr>
        <w:tabs>
          <w:tab w:val="left" w:pos="851"/>
        </w:tabs>
        <w:spacing w:line="360" w:lineRule="auto"/>
        <w:ind w:left="567" w:right="891"/>
        <w:contextualSpacing/>
        <w:jc w:val="both"/>
        <w:rPr>
          <w:rFonts w:ascii="Palatino Linotype" w:hAnsi="Palatino Linotype" w:cs="Arial"/>
          <w:b/>
          <w:i/>
          <w:sz w:val="22"/>
          <w:lang w:val="es-MX" w:eastAsia="en-US"/>
        </w:rPr>
      </w:pPr>
    </w:p>
    <w:p w14:paraId="5F0D4AAC" w14:textId="388796C0" w:rsidR="007311DD" w:rsidRPr="00553A8B" w:rsidRDefault="007311DD" w:rsidP="000353E1">
      <w:pPr>
        <w:tabs>
          <w:tab w:val="left" w:pos="851"/>
        </w:tabs>
        <w:spacing w:line="360" w:lineRule="auto"/>
        <w:ind w:left="567" w:right="891"/>
        <w:contextualSpacing/>
        <w:jc w:val="both"/>
        <w:rPr>
          <w:rFonts w:ascii="Palatino Linotype" w:hAnsi="Palatino Linotype" w:cs="Arial"/>
          <w:i/>
          <w:sz w:val="22"/>
          <w:lang w:val="es-MX" w:eastAsia="en-US"/>
        </w:rPr>
      </w:pPr>
      <w:r w:rsidRPr="00553A8B">
        <w:rPr>
          <w:rFonts w:ascii="Palatino Linotype" w:hAnsi="Palatino Linotype" w:cs="Arial"/>
          <w:i/>
          <w:sz w:val="22"/>
          <w:lang w:val="es-MX" w:eastAsia="en-US"/>
        </w:rPr>
        <w:t>(…)”</w:t>
      </w:r>
      <w:r w:rsidR="00F86968" w:rsidRPr="00553A8B">
        <w:rPr>
          <w:rFonts w:ascii="Palatino Linotype" w:hAnsi="Palatino Linotype" w:cs="Arial"/>
          <w:i/>
          <w:sz w:val="22"/>
          <w:lang w:val="es-MX" w:eastAsia="en-US"/>
        </w:rPr>
        <w:t xml:space="preserve"> </w:t>
      </w:r>
    </w:p>
    <w:p w14:paraId="1BF68C5E" w14:textId="77777777" w:rsidR="007311DD" w:rsidRPr="000353E1" w:rsidRDefault="007311DD" w:rsidP="000353E1">
      <w:pPr>
        <w:tabs>
          <w:tab w:val="left" w:pos="851"/>
        </w:tabs>
        <w:spacing w:line="360" w:lineRule="auto"/>
        <w:ind w:left="567" w:right="891"/>
        <w:contextualSpacing/>
        <w:jc w:val="both"/>
        <w:rPr>
          <w:rFonts w:ascii="Palatino Linotype" w:hAnsi="Palatino Linotype" w:cs="Arial"/>
          <w:i/>
          <w:lang w:val="es-MX" w:eastAsia="en-US"/>
        </w:rPr>
      </w:pPr>
    </w:p>
    <w:p w14:paraId="5C73AA7E" w14:textId="77777777" w:rsidR="007311DD" w:rsidRPr="000353E1" w:rsidRDefault="7D712084" w:rsidP="000353E1">
      <w:pPr>
        <w:numPr>
          <w:ilvl w:val="0"/>
          <w:numId w:val="2"/>
        </w:numPr>
        <w:tabs>
          <w:tab w:val="left" w:pos="567"/>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7D712084">
        <w:rPr>
          <w:rFonts w:ascii="Palatino Linotype" w:eastAsiaTheme="minorEastAsia" w:hAnsi="Palatino Linotype" w:cstheme="minorBidi"/>
          <w:color w:val="000000" w:themeColor="text1"/>
          <w:lang w:val="es-MX"/>
        </w:rPr>
        <w:lastRenderedPageBreak/>
        <w:t xml:space="preserve">Por otro lado, el artículo 92 de la normatividad en cita señala que constituye una obligación de transparencia común la entrega de información relacionada con los inventarios de bienes muebles, como a continuación se observa: </w:t>
      </w:r>
    </w:p>
    <w:p w14:paraId="5C609464" w14:textId="77777777" w:rsidR="007311DD" w:rsidRPr="00553A8B" w:rsidRDefault="007311DD" w:rsidP="000353E1">
      <w:pPr>
        <w:tabs>
          <w:tab w:val="left" w:pos="284"/>
          <w:tab w:val="left" w:pos="426"/>
        </w:tabs>
        <w:spacing w:before="240" w:after="240" w:line="360" w:lineRule="auto"/>
        <w:ind w:right="51"/>
        <w:contextualSpacing/>
        <w:jc w:val="both"/>
        <w:rPr>
          <w:rFonts w:ascii="Palatino Linotype" w:eastAsiaTheme="minorEastAsia" w:hAnsi="Palatino Linotype" w:cstheme="minorBidi"/>
          <w:i/>
          <w:color w:val="000000" w:themeColor="text1"/>
          <w:sz w:val="22"/>
          <w:lang w:val="es-MX"/>
        </w:rPr>
      </w:pPr>
    </w:p>
    <w:p w14:paraId="00299A65" w14:textId="013E2115" w:rsidR="007311DD" w:rsidRPr="00553A8B" w:rsidRDefault="00881049"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53A8B">
        <w:rPr>
          <w:rFonts w:ascii="Palatino Linotype" w:eastAsiaTheme="minorEastAsia" w:hAnsi="Palatino Linotype" w:cstheme="minorBidi"/>
          <w:b/>
          <w:i/>
          <w:color w:val="000000" w:themeColor="text1"/>
          <w:sz w:val="22"/>
        </w:rPr>
        <w:t>“</w:t>
      </w:r>
      <w:r w:rsidR="007311DD" w:rsidRPr="00553A8B">
        <w:rPr>
          <w:rFonts w:ascii="Palatino Linotype" w:eastAsiaTheme="minorEastAsia" w:hAnsi="Palatino Linotype" w:cstheme="minorBidi"/>
          <w:b/>
          <w:i/>
          <w:color w:val="000000" w:themeColor="text1"/>
          <w:sz w:val="22"/>
        </w:rPr>
        <w:t>Artículo 92.</w:t>
      </w:r>
      <w:r w:rsidR="007311DD" w:rsidRPr="00553A8B">
        <w:rPr>
          <w:rFonts w:ascii="Palatino Linotype" w:eastAsiaTheme="minorEastAsia" w:hAnsi="Palatino Linotype" w:cstheme="minorBidi"/>
          <w:i/>
          <w:color w:val="000000" w:themeColor="text1"/>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714D4E7" w14:textId="77777777" w:rsidR="007311DD" w:rsidRPr="00553A8B" w:rsidRDefault="007311DD"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p>
    <w:p w14:paraId="5538954F" w14:textId="77777777" w:rsidR="007311DD" w:rsidRPr="00553A8B" w:rsidRDefault="007311DD"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53A8B">
        <w:rPr>
          <w:rFonts w:ascii="Palatino Linotype" w:eastAsiaTheme="minorEastAsia" w:hAnsi="Palatino Linotype" w:cstheme="minorBidi"/>
          <w:b/>
          <w:i/>
          <w:color w:val="000000" w:themeColor="text1"/>
          <w:sz w:val="22"/>
        </w:rPr>
        <w:t>(…</w:t>
      </w:r>
      <w:r w:rsidRPr="00553A8B">
        <w:rPr>
          <w:rFonts w:ascii="Palatino Linotype" w:eastAsiaTheme="minorEastAsia" w:hAnsi="Palatino Linotype" w:cstheme="minorBidi"/>
          <w:i/>
          <w:color w:val="000000" w:themeColor="text1"/>
          <w:sz w:val="22"/>
        </w:rPr>
        <w:t>)</w:t>
      </w:r>
    </w:p>
    <w:p w14:paraId="5E5DF580" w14:textId="2461FFF5" w:rsidR="00881049" w:rsidRPr="00553A8B" w:rsidRDefault="00881049"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53A8B">
        <w:rPr>
          <w:rFonts w:ascii="Palatino Linotype" w:eastAsiaTheme="minorEastAsia" w:hAnsi="Palatino Linotype" w:cstheme="minorBidi"/>
          <w:i/>
          <w:color w:val="000000" w:themeColor="text1"/>
          <w:sz w:val="22"/>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5486129" w14:textId="76B393FC" w:rsidR="00881049" w:rsidRPr="00553A8B" w:rsidRDefault="00881049"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53A8B">
        <w:rPr>
          <w:rFonts w:ascii="Palatino Linotype" w:eastAsiaTheme="minorEastAsia" w:hAnsi="Palatino Linotype" w:cstheme="minorBidi"/>
          <w:i/>
          <w:color w:val="000000" w:themeColor="text1"/>
          <w:sz w:val="22"/>
        </w:rPr>
        <w:t>(…)</w:t>
      </w:r>
    </w:p>
    <w:p w14:paraId="7D873367" w14:textId="69A6981B" w:rsidR="00881049" w:rsidRPr="00F360D6" w:rsidRDefault="00881049"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553A8B">
        <w:rPr>
          <w:rFonts w:ascii="Palatino Linotype" w:eastAsiaTheme="minorEastAsia" w:hAnsi="Palatino Linotype" w:cstheme="minorBidi"/>
          <w:i/>
          <w:color w:val="000000" w:themeColor="text1"/>
          <w:sz w:val="22"/>
        </w:rPr>
        <w:t xml:space="preserve">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w:t>
      </w:r>
      <w:r w:rsidRPr="00F360D6">
        <w:rPr>
          <w:rFonts w:ascii="Palatino Linotype" w:eastAsiaTheme="minorEastAsia" w:hAnsi="Palatino Linotype" w:cstheme="minorBidi"/>
          <w:i/>
          <w:color w:val="000000" w:themeColor="text1"/>
          <w:sz w:val="22"/>
        </w:rPr>
        <w:t>servicios y/o recursos públicos;</w:t>
      </w:r>
    </w:p>
    <w:p w14:paraId="45CBA762" w14:textId="44AF08D5" w:rsidR="00B76C30" w:rsidRPr="00F360D6" w:rsidRDefault="00B76C30" w:rsidP="000353E1">
      <w:pPr>
        <w:tabs>
          <w:tab w:val="left" w:pos="284"/>
          <w:tab w:val="left" w:pos="851"/>
        </w:tabs>
        <w:spacing w:before="240" w:after="240" w:line="360" w:lineRule="auto"/>
        <w:ind w:left="567" w:right="900"/>
        <w:contextualSpacing/>
        <w:jc w:val="both"/>
        <w:rPr>
          <w:rFonts w:ascii="Palatino Linotype" w:eastAsiaTheme="minorEastAsia" w:hAnsi="Palatino Linotype" w:cstheme="minorBidi"/>
          <w:i/>
          <w:color w:val="000000" w:themeColor="text1"/>
          <w:sz w:val="22"/>
        </w:rPr>
      </w:pPr>
      <w:r w:rsidRPr="00F360D6">
        <w:rPr>
          <w:rFonts w:ascii="Palatino Linotype" w:eastAsiaTheme="minorEastAsia" w:hAnsi="Palatino Linotype" w:cstheme="minorBidi"/>
          <w:i/>
          <w:color w:val="000000" w:themeColor="text1"/>
          <w:sz w:val="22"/>
        </w:rPr>
        <w:t xml:space="preserve">(…)” </w:t>
      </w:r>
    </w:p>
    <w:p w14:paraId="5EA510ED" w14:textId="77777777" w:rsidR="00881049" w:rsidRPr="00F360D6" w:rsidRDefault="00881049" w:rsidP="000353E1">
      <w:pPr>
        <w:tabs>
          <w:tab w:val="left" w:pos="284"/>
          <w:tab w:val="left" w:pos="851"/>
        </w:tabs>
        <w:spacing w:before="240" w:after="240" w:line="360" w:lineRule="auto"/>
        <w:ind w:right="900"/>
        <w:contextualSpacing/>
        <w:jc w:val="both"/>
        <w:rPr>
          <w:rFonts w:ascii="Palatino Linotype" w:eastAsiaTheme="minorEastAsia" w:hAnsi="Palatino Linotype" w:cstheme="minorBidi"/>
          <w:i/>
          <w:color w:val="000000" w:themeColor="text1"/>
        </w:rPr>
      </w:pPr>
    </w:p>
    <w:p w14:paraId="4A6C8BBD" w14:textId="1DCD7ED7" w:rsidR="00883D0E" w:rsidRPr="00F360D6" w:rsidRDefault="7D712084" w:rsidP="7D712084">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rPr>
      </w:pPr>
      <w:r w:rsidRPr="00F360D6">
        <w:rPr>
          <w:rFonts w:ascii="Palatino Linotype" w:eastAsia="MS Gothic" w:hAnsi="Palatino Linotype"/>
        </w:rPr>
        <w:t xml:space="preserve">Previo al estudio de la naturaleza de la información solicitada, </w:t>
      </w:r>
      <w:r w:rsidRPr="00F360D6">
        <w:rPr>
          <w:rFonts w:ascii="Palatino Linotype" w:hAnsi="Palatino Linotype"/>
          <w:i/>
          <w:iCs/>
          <w:color w:val="000000" w:themeColor="text1"/>
        </w:rPr>
        <w:t xml:space="preserve"> </w:t>
      </w:r>
      <w:r w:rsidRPr="00F360D6">
        <w:rPr>
          <w:rFonts w:ascii="Palatino Linotype" w:eastAsia="Calibri" w:hAnsi="Palatino Linotype" w:cs="Arial"/>
          <w:color w:val="000000" w:themeColor="text1"/>
        </w:rPr>
        <w:t xml:space="preserve">se observa que se requiere acceso a los </w:t>
      </w:r>
      <w:r w:rsidRPr="00F360D6">
        <w:rPr>
          <w:rFonts w:ascii="Palatino Linotype" w:eastAsia="MS Mincho" w:hAnsi="Palatino Linotype"/>
        </w:rPr>
        <w:t>“</w:t>
      </w:r>
      <w:r w:rsidRPr="00F360D6">
        <w:rPr>
          <w:rFonts w:ascii="Palatino Linotype" w:eastAsia="MS Mincho" w:hAnsi="Palatino Linotype"/>
          <w:i/>
          <w:iCs/>
        </w:rPr>
        <w:t xml:space="preserve">Nombre de las personas contratadas por el Gobierno del Estado de México, a través de “Contratación de Servicios de Asesorías asociadas a convenios o </w:t>
      </w:r>
      <w:r w:rsidRPr="00F360D6">
        <w:rPr>
          <w:rFonts w:ascii="Palatino Linotype" w:eastAsia="MS Mincho" w:hAnsi="Palatino Linotype"/>
          <w:i/>
          <w:iCs/>
        </w:rPr>
        <w:lastRenderedPageBreak/>
        <w:t>acuerdos” dependencia a la que están dscritas</w:t>
      </w:r>
      <w:r w:rsidRPr="00F360D6">
        <w:rPr>
          <w:rFonts w:ascii="Palatino Linotype" w:eastAsia="MS Mincho" w:hAnsi="Palatino Linotype"/>
        </w:rPr>
        <w:t xml:space="preserve">.”(Sic), </w:t>
      </w:r>
      <w:r w:rsidRPr="00F360D6">
        <w:rPr>
          <w:rFonts w:ascii="Palatino Linotype" w:hAnsi="Palatino Linotype"/>
          <w:color w:val="000000" w:themeColor="text1"/>
        </w:rPr>
        <w:t xml:space="preserve">no obstante, </w:t>
      </w:r>
      <w:r w:rsidRPr="00F360D6">
        <w:rPr>
          <w:rFonts w:ascii="Palatino Linotype" w:eastAsia="Calibri" w:hAnsi="Palatino Linotype" w:cs="Arial"/>
          <w:color w:val="000000" w:themeColor="text1"/>
        </w:rPr>
        <w:t xml:space="preserve">es necesario precisar que </w:t>
      </w:r>
      <w:r w:rsidRPr="00F360D6">
        <w:rPr>
          <w:rFonts w:ascii="Palatino Linotype" w:eastAsia="MS Mincho" w:hAnsi="Palatino Linotype"/>
        </w:rPr>
        <w:t>el particular al no ser experto en la materia, eventualmente pudiera no indicar correctamente la información que desea obtener, en relación al área administrativa de la cual requiere información,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27159D32" w14:textId="77777777" w:rsidR="00883D0E" w:rsidRPr="00F360D6" w:rsidRDefault="00883D0E" w:rsidP="000353E1">
      <w:pPr>
        <w:pStyle w:val="Prrafodelista"/>
        <w:tabs>
          <w:tab w:val="left" w:pos="0"/>
          <w:tab w:val="left" w:pos="567"/>
        </w:tabs>
        <w:spacing w:before="240" w:after="240" w:line="360" w:lineRule="auto"/>
        <w:ind w:left="567" w:right="891"/>
        <w:contextualSpacing/>
        <w:jc w:val="both"/>
        <w:rPr>
          <w:rFonts w:ascii="Palatino Linotype" w:eastAsia="MS Mincho" w:hAnsi="Palatino Linotype"/>
          <w:i/>
          <w:sz w:val="22"/>
          <w:lang w:val="es-ES_tradnl"/>
        </w:rPr>
      </w:pPr>
      <w:r w:rsidRPr="00F360D6">
        <w:rPr>
          <w:rFonts w:ascii="Palatino Linotype" w:eastAsia="MS Mincho" w:hAnsi="Palatino Linotype"/>
          <w:i/>
          <w:sz w:val="22"/>
          <w:lang w:val="es-ES_tradnl"/>
        </w:rPr>
        <w:t>“Artículo 13. El Instituto, en el ámbito de sus atribuciones, deberá suplir cualquier deficiencia para garantizar el ejercicio del derecho de acceso a la información.”</w:t>
      </w:r>
    </w:p>
    <w:p w14:paraId="033C4C41" w14:textId="77777777" w:rsidR="00883D0E" w:rsidRPr="00F360D6" w:rsidRDefault="00883D0E" w:rsidP="000353E1">
      <w:pPr>
        <w:pStyle w:val="Prrafodelista"/>
        <w:tabs>
          <w:tab w:val="left" w:pos="0"/>
          <w:tab w:val="left" w:pos="567"/>
        </w:tabs>
        <w:spacing w:before="240" w:after="240" w:line="360" w:lineRule="auto"/>
        <w:ind w:left="567" w:right="891"/>
        <w:contextualSpacing/>
        <w:jc w:val="both"/>
        <w:rPr>
          <w:rFonts w:ascii="Palatino Linotype" w:eastAsia="MS Mincho" w:hAnsi="Palatino Linotype"/>
          <w:i/>
          <w:sz w:val="22"/>
          <w:lang w:val="es-ES_tradnl"/>
        </w:rPr>
      </w:pPr>
    </w:p>
    <w:p w14:paraId="3B45F8DC" w14:textId="77777777" w:rsidR="00883D0E" w:rsidRPr="00F360D6" w:rsidRDefault="00883D0E" w:rsidP="000353E1">
      <w:pPr>
        <w:pStyle w:val="Prrafodelista"/>
        <w:tabs>
          <w:tab w:val="left" w:pos="0"/>
          <w:tab w:val="left" w:pos="567"/>
        </w:tabs>
        <w:spacing w:before="240" w:after="240" w:line="360" w:lineRule="auto"/>
        <w:ind w:left="567" w:right="891"/>
        <w:contextualSpacing/>
        <w:jc w:val="both"/>
        <w:rPr>
          <w:rFonts w:ascii="Palatino Linotype" w:eastAsia="MS Mincho" w:hAnsi="Palatino Linotype"/>
          <w:i/>
          <w:sz w:val="22"/>
          <w:lang w:val="es-ES_tradnl"/>
        </w:rPr>
      </w:pPr>
      <w:r w:rsidRPr="00F360D6">
        <w:rPr>
          <w:rFonts w:ascii="Palatino Linotype" w:eastAsia="MS Mincho" w:hAnsi="Palatino Linotype"/>
          <w:i/>
          <w:sz w:val="22"/>
          <w:lang w:val="es-ES_tradnl"/>
        </w:rPr>
        <w:t>“Artículo 181</w:t>
      </w:r>
    </w:p>
    <w:p w14:paraId="0668DFF4" w14:textId="61F19EC9" w:rsidR="00883D0E" w:rsidRPr="00F360D6" w:rsidRDefault="00883D0E" w:rsidP="000353E1">
      <w:pPr>
        <w:pStyle w:val="Prrafodelista"/>
        <w:tabs>
          <w:tab w:val="left" w:pos="0"/>
          <w:tab w:val="left" w:pos="567"/>
        </w:tabs>
        <w:spacing w:before="240" w:after="240" w:line="360" w:lineRule="auto"/>
        <w:ind w:left="567" w:right="891"/>
        <w:contextualSpacing/>
        <w:jc w:val="both"/>
        <w:rPr>
          <w:rFonts w:ascii="Palatino Linotype" w:eastAsia="MS Mincho" w:hAnsi="Palatino Linotype"/>
          <w:i/>
          <w:sz w:val="22"/>
          <w:lang w:val="es-ES_tradnl"/>
        </w:rPr>
      </w:pPr>
      <w:r w:rsidRPr="00F360D6">
        <w:rPr>
          <w:rFonts w:ascii="Palatino Linotype" w:eastAsia="MS Mincho" w:hAnsi="Palatino Linotype"/>
          <w:i/>
          <w:sz w:val="22"/>
          <w:lang w:val="es-ES_tradnl"/>
        </w:rPr>
        <w:t>(…)</w:t>
      </w:r>
    </w:p>
    <w:p w14:paraId="7358135B" w14:textId="2BEBF718" w:rsidR="00883D0E" w:rsidRPr="00F360D6" w:rsidRDefault="00883D0E" w:rsidP="000353E1">
      <w:pPr>
        <w:pStyle w:val="Prrafodelista"/>
        <w:tabs>
          <w:tab w:val="left" w:pos="0"/>
          <w:tab w:val="left" w:pos="567"/>
        </w:tabs>
        <w:spacing w:before="240" w:after="240" w:line="360" w:lineRule="auto"/>
        <w:ind w:left="567" w:right="891"/>
        <w:contextualSpacing/>
        <w:jc w:val="both"/>
        <w:rPr>
          <w:rFonts w:ascii="Palatino Linotype" w:eastAsia="MS Mincho" w:hAnsi="Palatino Linotype"/>
          <w:i/>
          <w:sz w:val="22"/>
          <w:lang w:val="es-ES_tradnl"/>
        </w:rPr>
      </w:pPr>
      <w:r w:rsidRPr="00F360D6">
        <w:rPr>
          <w:rFonts w:ascii="Palatino Linotype" w:eastAsia="MS Mincho" w:hAnsi="Palatino Linotype"/>
          <w:i/>
          <w:sz w:val="22"/>
          <w:lang w:val="es-ES_tradnl"/>
        </w:rPr>
        <w:t>Durante el procedimiento deberá aplicarse la suplencia de la queja a favor del recurrente, sin cambiar los hechos expuestos, asegurándose de que las partes puedan presentar, de manera oral o escrita, los argumentos que funden y motiven sus pretensiones</w:t>
      </w:r>
    </w:p>
    <w:p w14:paraId="16732A90" w14:textId="562684E7" w:rsidR="00883D0E" w:rsidRPr="00F360D6" w:rsidRDefault="00883D0E" w:rsidP="000353E1">
      <w:pPr>
        <w:pStyle w:val="Prrafodelista"/>
        <w:tabs>
          <w:tab w:val="left" w:pos="0"/>
          <w:tab w:val="left" w:pos="567"/>
        </w:tabs>
        <w:spacing w:before="240" w:after="240" w:line="360" w:lineRule="auto"/>
        <w:ind w:left="567" w:right="891"/>
        <w:contextualSpacing/>
        <w:jc w:val="both"/>
        <w:rPr>
          <w:rFonts w:ascii="Palatino Linotype" w:eastAsia="MS Mincho" w:hAnsi="Palatino Linotype"/>
          <w:sz w:val="22"/>
          <w:lang w:val="es-ES_tradnl"/>
        </w:rPr>
      </w:pPr>
      <w:r w:rsidRPr="00F360D6">
        <w:rPr>
          <w:rFonts w:ascii="Palatino Linotype" w:eastAsia="MS Mincho" w:hAnsi="Palatino Linotype"/>
          <w:i/>
          <w:sz w:val="22"/>
          <w:lang w:val="es-ES_tradnl"/>
        </w:rPr>
        <w:t>(…)”</w:t>
      </w:r>
    </w:p>
    <w:p w14:paraId="6A714B8D" w14:textId="77777777" w:rsidR="00883D0E" w:rsidRPr="00F360D6" w:rsidRDefault="00883D0E" w:rsidP="000353E1">
      <w:pPr>
        <w:pStyle w:val="Prrafodelista"/>
        <w:tabs>
          <w:tab w:val="left" w:pos="0"/>
          <w:tab w:val="left" w:pos="567"/>
        </w:tabs>
        <w:spacing w:before="240" w:after="240" w:line="360" w:lineRule="auto"/>
        <w:ind w:left="0"/>
        <w:contextualSpacing/>
        <w:jc w:val="both"/>
        <w:rPr>
          <w:rFonts w:ascii="Palatino Linotype" w:eastAsia="MS Mincho" w:hAnsi="Palatino Linotype"/>
          <w:lang w:val="es-ES_tradnl"/>
        </w:rPr>
      </w:pPr>
    </w:p>
    <w:p w14:paraId="1C9357AD" w14:textId="2440672E" w:rsidR="00883D0E" w:rsidRPr="00F360D6" w:rsidRDefault="00883D0E" w:rsidP="7D712084">
      <w:pPr>
        <w:pStyle w:val="Prrafodelista"/>
        <w:numPr>
          <w:ilvl w:val="0"/>
          <w:numId w:val="2"/>
        </w:numPr>
        <w:tabs>
          <w:tab w:val="left" w:pos="567"/>
        </w:tabs>
        <w:spacing w:before="240" w:after="240" w:line="360" w:lineRule="auto"/>
        <w:ind w:left="0" w:firstLine="0"/>
        <w:contextualSpacing/>
        <w:jc w:val="both"/>
        <w:rPr>
          <w:rFonts w:ascii="Palatino Linotype" w:eastAsia="MS Mincho" w:hAnsi="Palatino Linotype"/>
        </w:rPr>
      </w:pPr>
      <w:r w:rsidRPr="00F360D6">
        <w:rPr>
          <w:rFonts w:ascii="Palatino Linotype" w:eastAsia="MS Mincho" w:hAnsi="Palatino Linotype"/>
        </w:rPr>
        <w:t>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w:t>
      </w:r>
    </w:p>
    <w:p w14:paraId="0C2C9A67" w14:textId="40716081" w:rsidR="00E30805" w:rsidRPr="00F360D6" w:rsidRDefault="7D712084" w:rsidP="000353E1">
      <w:pPr>
        <w:pStyle w:val="Prrafodelista"/>
        <w:numPr>
          <w:ilvl w:val="0"/>
          <w:numId w:val="2"/>
        </w:numPr>
        <w:tabs>
          <w:tab w:val="left" w:pos="567"/>
        </w:tabs>
        <w:spacing w:before="240" w:after="240" w:line="360" w:lineRule="auto"/>
        <w:ind w:left="0" w:right="49" w:firstLine="0"/>
        <w:contextualSpacing/>
        <w:jc w:val="both"/>
        <w:rPr>
          <w:rFonts w:ascii="Palatino Linotype" w:hAnsi="Palatino Linotype"/>
          <w:lang w:eastAsia="en-US"/>
        </w:rPr>
      </w:pPr>
      <w:r w:rsidRPr="00F360D6">
        <w:rPr>
          <w:rFonts w:ascii="Palatino Linotype" w:eastAsia="MS Mincho" w:hAnsi="Palatino Linotype"/>
        </w:rPr>
        <w:lastRenderedPageBreak/>
        <w:t xml:space="preserve">En ese orden de ideas, no pasa de la óptica de este Órgano Garante que el particular requirió “personas contratadas”, por lo que a efecto de otorgar la protección más amplia al Derecho de Acceso a la Información se puede establecer que se requiere acceso a personas físicas o morales contratadas </w:t>
      </w:r>
      <w:r w:rsidRPr="00F360D6">
        <w:rPr>
          <w:rFonts w:ascii="Palatino Linotype" w:hAnsi="Palatino Linotype"/>
          <w:color w:val="000000" w:themeColor="text1"/>
        </w:rPr>
        <w:t xml:space="preserve">por el Gobierno del Estado de México adscritas a dependencias a través de contratación de servicios de asesorías asociadas a convenios o acuerdo. </w:t>
      </w:r>
    </w:p>
    <w:p w14:paraId="5AF435C4" w14:textId="77777777" w:rsidR="00883D0E" w:rsidRPr="00F360D6" w:rsidRDefault="00883D0E" w:rsidP="000353E1">
      <w:pPr>
        <w:pStyle w:val="Prrafodelista"/>
        <w:tabs>
          <w:tab w:val="left" w:pos="0"/>
          <w:tab w:val="left" w:pos="567"/>
        </w:tabs>
        <w:spacing w:before="240" w:after="240" w:line="360" w:lineRule="auto"/>
        <w:ind w:left="0"/>
        <w:contextualSpacing/>
        <w:jc w:val="both"/>
        <w:rPr>
          <w:rFonts w:ascii="Palatino Linotype" w:eastAsia="MS Mincho" w:hAnsi="Palatino Linotype"/>
          <w:lang w:val="es-ES_tradnl"/>
        </w:rPr>
      </w:pPr>
    </w:p>
    <w:p w14:paraId="0D58BE13" w14:textId="3810A4C6" w:rsidR="00F00AB1" w:rsidRPr="00F360D6" w:rsidRDefault="7D712084" w:rsidP="000353E1">
      <w:pPr>
        <w:pStyle w:val="Prrafodelista"/>
        <w:numPr>
          <w:ilvl w:val="0"/>
          <w:numId w:val="2"/>
        </w:numPr>
        <w:tabs>
          <w:tab w:val="left" w:pos="0"/>
          <w:tab w:val="left" w:pos="567"/>
        </w:tabs>
        <w:spacing w:before="240" w:after="240" w:line="360" w:lineRule="auto"/>
        <w:ind w:left="0" w:firstLine="0"/>
        <w:contextualSpacing/>
        <w:jc w:val="both"/>
        <w:rPr>
          <w:rFonts w:ascii="Palatino Linotype" w:eastAsia="MS Mincho" w:hAnsi="Palatino Linotype"/>
          <w:lang w:val="es-ES_tradnl"/>
        </w:rPr>
      </w:pPr>
      <w:r w:rsidRPr="00F360D6">
        <w:rPr>
          <w:rFonts w:ascii="Palatino Linotype" w:hAnsi="Palatino Linotype"/>
        </w:rPr>
        <w:t xml:space="preserve">Demostrada la procedencia del acceso en términos de la Ley de Transparencia Estatal, por cuanto hace al requerimiento realizado y las contestaciones proporcionadas por la </w:t>
      </w:r>
      <w:r w:rsidRPr="00F360D6">
        <w:rPr>
          <w:rFonts w:ascii="Palatino Linotype" w:hAnsi="Palatino Linotype"/>
          <w:b/>
          <w:bCs/>
        </w:rPr>
        <w:t xml:space="preserve">Secretaría de Finanzas, </w:t>
      </w:r>
      <w:r w:rsidRPr="00F360D6">
        <w:rPr>
          <w:rFonts w:ascii="Palatino Linotype" w:hAnsi="Palatino Linotype"/>
        </w:rPr>
        <w:t xml:space="preserve">se advierte que el </w:t>
      </w:r>
      <w:r w:rsidRPr="00F360D6">
        <w:rPr>
          <w:rFonts w:ascii="Palatino Linotype" w:eastAsia="MS Mincho" w:hAnsi="Palatino Linotype"/>
        </w:rPr>
        <w:t xml:space="preserve">Director General de Recursos Materiales refiere que, de conformidad con el Manual General de Organización de la Secretaria de Finanzas del Gobierno del estadio de México, en las unidades administrativas que integran la coordinación de procedimientos Adquisitivos de la Dirección General de Recursos Materiales no se cuenta con información de personas contratadas por el Gobierno del Estado de México adscritas a dependencias a través de contratación de servicios de asesoría asociadas a convenios o acuerdos. </w:t>
      </w:r>
    </w:p>
    <w:p w14:paraId="1ADF9740" w14:textId="77777777" w:rsidR="00776E25" w:rsidRPr="00F360D6" w:rsidRDefault="00776E25" w:rsidP="000353E1">
      <w:pPr>
        <w:pStyle w:val="Prrafodelista"/>
        <w:spacing w:line="360" w:lineRule="auto"/>
        <w:rPr>
          <w:rFonts w:ascii="Palatino Linotype" w:hAnsi="Palatino Linotype"/>
          <w:color w:val="000000" w:themeColor="text1"/>
          <w:lang w:val="es-MX" w:eastAsia="en-US"/>
        </w:rPr>
      </w:pPr>
    </w:p>
    <w:p w14:paraId="51FF81D9" w14:textId="53CFAE5A" w:rsidR="00776E25" w:rsidRPr="00F360D6" w:rsidRDefault="7D712084" w:rsidP="000353E1">
      <w:pPr>
        <w:pStyle w:val="Prrafodelista"/>
        <w:numPr>
          <w:ilvl w:val="0"/>
          <w:numId w:val="2"/>
        </w:numPr>
        <w:tabs>
          <w:tab w:val="left" w:pos="0"/>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360D6">
        <w:rPr>
          <w:rFonts w:ascii="Palatino Linotype" w:hAnsi="Palatino Linotype"/>
          <w:color w:val="000000" w:themeColor="text1"/>
          <w:lang w:val="es-MX" w:eastAsia="en-US"/>
        </w:rPr>
        <w:t>Bajo esas consideraciones y en relación al punto que se trata, se localizó la nota periodística de la siguiente manera:</w:t>
      </w:r>
    </w:p>
    <w:p w14:paraId="0D0C8F5F" w14:textId="77777777" w:rsidR="00816D3D" w:rsidRPr="00F360D6" w:rsidRDefault="00816D3D" w:rsidP="000353E1">
      <w:pPr>
        <w:pStyle w:val="Prrafodelista"/>
        <w:tabs>
          <w:tab w:val="left" w:pos="0"/>
          <w:tab w:val="left" w:pos="567"/>
        </w:tabs>
        <w:spacing w:before="240" w:after="240" w:line="360" w:lineRule="auto"/>
        <w:ind w:left="0"/>
        <w:contextualSpacing/>
        <w:jc w:val="both"/>
        <w:rPr>
          <w:rFonts w:ascii="Palatino Linotype" w:hAnsi="Palatino Linotype"/>
          <w:color w:val="000000" w:themeColor="text1"/>
          <w:sz w:val="22"/>
          <w:lang w:val="es-MX" w:eastAsia="en-US"/>
        </w:rPr>
      </w:pPr>
    </w:p>
    <w:p w14:paraId="79A8662D" w14:textId="77777777" w:rsidR="00BD4410" w:rsidRPr="00553A8B" w:rsidRDefault="00776E25" w:rsidP="000353E1">
      <w:pPr>
        <w:pStyle w:val="Prrafodelista"/>
        <w:numPr>
          <w:ilvl w:val="0"/>
          <w:numId w:val="14"/>
        </w:numPr>
        <w:tabs>
          <w:tab w:val="left" w:pos="0"/>
          <w:tab w:val="left" w:pos="567"/>
          <w:tab w:val="left" w:pos="1134"/>
        </w:tabs>
        <w:spacing w:before="240" w:after="240" w:line="360" w:lineRule="auto"/>
        <w:ind w:left="567" w:right="891" w:firstLine="0"/>
        <w:contextualSpacing/>
        <w:jc w:val="both"/>
        <w:rPr>
          <w:rFonts w:ascii="Palatino Linotype" w:hAnsi="Palatino Linotype"/>
          <w:i/>
          <w:color w:val="000000" w:themeColor="text1"/>
          <w:sz w:val="22"/>
          <w:lang w:val="es-MX" w:eastAsia="en-US"/>
        </w:rPr>
      </w:pPr>
      <w:r w:rsidRPr="00F360D6">
        <w:rPr>
          <w:rFonts w:ascii="Palatino Linotype" w:hAnsi="Palatino Linotype"/>
          <w:i/>
          <w:color w:val="000000" w:themeColor="text1"/>
          <w:sz w:val="22"/>
          <w:lang w:val="es-MX" w:eastAsia="en-US"/>
        </w:rPr>
        <w:t xml:space="preserve">“Empresa Fantasma en Coatzacoalcos recibió más de 972 mdp del gobierno de Alfredo del Mazo” localizada en la página electrónica </w:t>
      </w:r>
      <w:hyperlink r:id="rId8" w:history="1">
        <w:r w:rsidR="000C07CC" w:rsidRPr="00F360D6">
          <w:rPr>
            <w:rStyle w:val="Hipervnculo"/>
            <w:rFonts w:ascii="Palatino Linotype" w:hAnsi="Palatino Linotype"/>
            <w:i/>
            <w:sz w:val="22"/>
            <w:lang w:val="es-MX" w:eastAsia="en-US"/>
          </w:rPr>
          <w:t>https://imagendelgolfo.mx/coatzacoalcos/alfredo-del-mazo-enriquecio-a instituto-cc-inteligent-sc/50383494</w:t>
        </w:r>
      </w:hyperlink>
      <w:r w:rsidRPr="00F360D6">
        <w:rPr>
          <w:rFonts w:ascii="Palatino Linotype" w:hAnsi="Palatino Linotype"/>
          <w:i/>
          <w:color w:val="000000" w:themeColor="text1"/>
          <w:sz w:val="22"/>
          <w:lang w:val="es-MX" w:eastAsia="en-US"/>
        </w:rPr>
        <w:t xml:space="preserve"> </w:t>
      </w:r>
      <w:r w:rsidR="000C07CC" w:rsidRPr="00F360D6">
        <w:rPr>
          <w:rFonts w:ascii="Palatino Linotype" w:hAnsi="Palatino Linotype"/>
          <w:i/>
          <w:color w:val="000000" w:themeColor="text1"/>
          <w:sz w:val="22"/>
          <w:lang w:val="es-MX" w:eastAsia="en-US"/>
        </w:rPr>
        <w:t xml:space="preserve">de fecha uno (01) junio de dos mil veintitrés, </w:t>
      </w:r>
      <w:r w:rsidR="00F82204" w:rsidRPr="00F360D6">
        <w:rPr>
          <w:rFonts w:ascii="Palatino Linotype" w:hAnsi="Palatino Linotype"/>
          <w:i/>
          <w:color w:val="000000" w:themeColor="text1"/>
          <w:sz w:val="22"/>
          <w:lang w:val="es-MX" w:eastAsia="en-US"/>
        </w:rPr>
        <w:t xml:space="preserve">de la cual se </w:t>
      </w:r>
      <w:r w:rsidR="00F82204" w:rsidRPr="00F360D6">
        <w:rPr>
          <w:rFonts w:ascii="Palatino Linotype" w:hAnsi="Palatino Linotype"/>
          <w:i/>
          <w:color w:val="000000" w:themeColor="text1"/>
          <w:sz w:val="22"/>
          <w:lang w:val="es-MX" w:eastAsia="en-US"/>
        </w:rPr>
        <w:lastRenderedPageBreak/>
        <w:t>desprende que Imagen del Golfo tuvo acceso a la Licitación Pública Nacional</w:t>
      </w:r>
      <w:r w:rsidR="00F82204" w:rsidRPr="00553A8B">
        <w:rPr>
          <w:rFonts w:ascii="Palatino Linotype" w:hAnsi="Palatino Linotype"/>
          <w:i/>
          <w:color w:val="000000" w:themeColor="text1"/>
          <w:sz w:val="22"/>
          <w:lang w:val="es-MX" w:eastAsia="en-US"/>
        </w:rPr>
        <w:t xml:space="preserve"> Presencial LPNP-2018 para la contratación de servicios de asesorías a convenios o acuerdos firmados el 7 de enero de 2019 por el Gobierno del Estado de México. </w:t>
      </w:r>
    </w:p>
    <w:p w14:paraId="52166E3F" w14:textId="2CF52FEA" w:rsidR="00BD4410" w:rsidRPr="00553A8B" w:rsidRDefault="00BD4410"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t xml:space="preserve">El monto de ésta fue de 972 millones 378 mil 424 pesos con 91 centavos para la empresa </w:t>
      </w:r>
      <w:r w:rsidRPr="00553A8B">
        <w:rPr>
          <w:rFonts w:ascii="Palatino Linotype" w:hAnsi="Palatino Linotype"/>
          <w:b/>
          <w:i/>
          <w:color w:val="000000" w:themeColor="text1"/>
          <w:sz w:val="22"/>
          <w:lang w:val="es-MX" w:eastAsia="en-US"/>
        </w:rPr>
        <w:t xml:space="preserve">Instituto C&amp;A Inteligent SC </w:t>
      </w:r>
      <w:r w:rsidRPr="00553A8B">
        <w:rPr>
          <w:rFonts w:ascii="Palatino Linotype" w:hAnsi="Palatino Linotype"/>
          <w:i/>
          <w:color w:val="000000" w:themeColor="text1"/>
          <w:sz w:val="22"/>
          <w:lang w:val="es-MX" w:eastAsia="en-US"/>
        </w:rPr>
        <w:t xml:space="preserve">en conjunto a Fix Business SA de CV, ambas con RFC ICA071220K61 y </w:t>
      </w:r>
      <w:r w:rsidR="00F32319" w:rsidRPr="00553A8B">
        <w:rPr>
          <w:rFonts w:ascii="Palatino Linotype" w:hAnsi="Palatino Linotype"/>
          <w:i/>
          <w:color w:val="000000" w:themeColor="text1"/>
          <w:sz w:val="22"/>
          <w:lang w:val="es-MX" w:eastAsia="en-US"/>
        </w:rPr>
        <w:t>FBU1000809HD3.</w:t>
      </w:r>
    </w:p>
    <w:p w14:paraId="1A543EAD" w14:textId="27D9581E" w:rsidR="00F32319" w:rsidRPr="00553A8B" w:rsidRDefault="00F32319"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t>Ambas empresas fueron contratadas por la Secretaria de Desarrollo Social. Coordinación de Administración y Finanzas bajo el folio CS/154/2018, la Secretaria de Desarrollo Social- Consejo Estatal de la Mujer y Bienestar Social con folio CS/155/2018, y la Secretaria de Finanzas- Coordinación Administrativa con folio CS/156/2018.</w:t>
      </w:r>
    </w:p>
    <w:p w14:paraId="58164B91" w14:textId="27357770" w:rsidR="00F32319" w:rsidRPr="00553A8B" w:rsidRDefault="00F32319"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t xml:space="preserve">En caso de Instituto C&amp;A Inteligent SC, este aparece con  domicilio fiscal en Coatzacoalcos ubicado en edificio asentado en avenida Francisco I, Madero 3306, de la colonia La Paz, en Puebla. </w:t>
      </w:r>
    </w:p>
    <w:p w14:paraId="69CE3789" w14:textId="4933C70C" w:rsidR="00F32319" w:rsidRPr="00553A8B" w:rsidRDefault="00F32319"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b/>
          <w:i/>
          <w:color w:val="000000" w:themeColor="text1"/>
          <w:sz w:val="22"/>
          <w:lang w:val="es-MX" w:eastAsia="en-US"/>
        </w:rPr>
      </w:pPr>
      <w:r w:rsidRPr="00553A8B">
        <w:rPr>
          <w:rFonts w:ascii="Palatino Linotype" w:hAnsi="Palatino Linotype"/>
          <w:b/>
          <w:i/>
          <w:color w:val="000000" w:themeColor="text1"/>
          <w:sz w:val="22"/>
          <w:lang w:val="es-MX" w:eastAsia="en-US"/>
        </w:rPr>
        <w:t>Nunca ha habido empresa: Vecino</w:t>
      </w:r>
    </w:p>
    <w:p w14:paraId="6267FC83" w14:textId="305FD1EE" w:rsidR="00F32319" w:rsidRPr="00553A8B" w:rsidRDefault="00F32319"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t xml:space="preserve">Pero al llegar al lugar se encontró que se trata de un edificio de departamentos, todos habitados, en los </w:t>
      </w:r>
      <w:r w:rsidR="00AF2D16" w:rsidRPr="00553A8B">
        <w:rPr>
          <w:rFonts w:ascii="Palatino Linotype" w:hAnsi="Palatino Linotype"/>
          <w:i/>
          <w:color w:val="000000" w:themeColor="text1"/>
          <w:sz w:val="22"/>
          <w:lang w:val="es-MX" w:eastAsia="en-US"/>
        </w:rPr>
        <w:t>que no se ve rastro de Instituto C&amp;A Inteligent SC.</w:t>
      </w:r>
    </w:p>
    <w:p w14:paraId="0DF2A2E5" w14:textId="2078A125" w:rsidR="00AF2D16" w:rsidRPr="00553A8B" w:rsidRDefault="00AF2D16"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t>El edificio ubicado en Madero 3306 consta de cuatro pisos y varios departamentos, pero nuevamente uno de los vecinos aseguró: “nunca ha habido una empresa, siempre ha estado habitado”.</w:t>
      </w:r>
    </w:p>
    <w:p w14:paraId="4DA8010E" w14:textId="77777777" w:rsidR="00AF2D16" w:rsidRPr="00553A8B" w:rsidRDefault="00AF2D16"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t xml:space="preserve">En 2018 Instituto C&amp;A Inteligent SC recibió 40 millones 803 mil pesos de la Secretaria de Desarrollo Social y otro por 259.2 millones de pesos del Consejo Estatal de la Mujer, es ese entonces la ahora diputada federal priista Melisa Vargas, era su titular; y Eric Sevilla, su jefe. </w:t>
      </w:r>
    </w:p>
    <w:p w14:paraId="147183A1" w14:textId="5CF30EFA" w:rsidR="00B67B47" w:rsidRPr="00553A8B" w:rsidRDefault="00B67B47"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b/>
          <w:i/>
          <w:color w:val="000000" w:themeColor="text1"/>
          <w:sz w:val="22"/>
          <w:lang w:val="es-MX" w:eastAsia="en-US"/>
        </w:rPr>
      </w:pPr>
      <w:r w:rsidRPr="00553A8B">
        <w:rPr>
          <w:rFonts w:ascii="Palatino Linotype" w:hAnsi="Palatino Linotype"/>
          <w:b/>
          <w:i/>
          <w:color w:val="000000" w:themeColor="text1"/>
          <w:sz w:val="22"/>
          <w:lang w:val="es-MX" w:eastAsia="en-US"/>
        </w:rPr>
        <w:t xml:space="preserve">El tercer contrato se asignó a la Secretaria de Finanzas por 672 millones de pesos. En todos los casos fue por servicios de asesorías.  </w:t>
      </w:r>
    </w:p>
    <w:p w14:paraId="4E353E42" w14:textId="4AE7EB34" w:rsidR="0031278D" w:rsidRPr="00553A8B" w:rsidRDefault="0031278D"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sz w:val="22"/>
          <w:lang w:val="es-MX" w:eastAsia="en-US"/>
        </w:rPr>
      </w:pPr>
      <w:r w:rsidRPr="00553A8B">
        <w:rPr>
          <w:rFonts w:ascii="Palatino Linotype" w:hAnsi="Palatino Linotype"/>
          <w:i/>
          <w:color w:val="000000" w:themeColor="text1"/>
          <w:sz w:val="22"/>
          <w:lang w:val="es-MX" w:eastAsia="en-US"/>
        </w:rPr>
        <w:lastRenderedPageBreak/>
        <w:t xml:space="preserve">“Un año después C&amp;A Inteligent S.C reapareció en Toluca pero solo para recibir tres contratos más con por 907 millones de pesos adicionales y con con los mismos políticos involucrados, salvo que esa ocasión Melisa Vargas firmo de puño y letra al menos uno de los documentos por 237 millones 880 mil pesos” menciona el artículo. </w:t>
      </w:r>
    </w:p>
    <w:p w14:paraId="1EDC6D33" w14:textId="5F8DA7A8" w:rsidR="00E30805" w:rsidRPr="00553A8B" w:rsidRDefault="0031278D"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olor w:val="000000" w:themeColor="text1"/>
          <w:sz w:val="22"/>
          <w:lang w:val="es-MX" w:eastAsia="en-US"/>
        </w:rPr>
      </w:pPr>
      <w:r w:rsidRPr="00553A8B">
        <w:rPr>
          <w:rFonts w:ascii="Palatino Linotype" w:hAnsi="Palatino Linotype"/>
          <w:i/>
          <w:color w:val="000000" w:themeColor="text1"/>
          <w:sz w:val="22"/>
          <w:lang w:val="es-MX" w:eastAsia="en-US"/>
        </w:rPr>
        <w:t xml:space="preserve">En los do0cumentos en poder de imagen del Golfo, es María del Carmen Rivera Loredo quien aparece como la representante legal de dicha empresa que uso como fachada un condominio habitado en Coatzacoalcos. </w:t>
      </w:r>
      <w:r w:rsidR="00F82204" w:rsidRPr="00553A8B">
        <w:rPr>
          <w:rFonts w:ascii="Palatino Linotype" w:hAnsi="Palatino Linotype"/>
          <w:i/>
          <w:color w:val="000000" w:themeColor="text1"/>
          <w:sz w:val="22"/>
          <w:lang w:val="es-MX" w:eastAsia="en-US"/>
        </w:rPr>
        <w:t xml:space="preserve">(La página de referencia, fue consultada el 31 de julio de dos mil veintitrés). </w:t>
      </w:r>
      <w:r w:rsidR="00F86968" w:rsidRPr="00553A8B">
        <w:rPr>
          <w:rFonts w:ascii="Palatino Linotype" w:hAnsi="Palatino Linotype"/>
          <w:i/>
          <w:color w:val="000000" w:themeColor="text1"/>
          <w:sz w:val="22"/>
          <w:lang w:val="es-MX" w:eastAsia="en-US"/>
        </w:rPr>
        <w:t>“(</w:t>
      </w:r>
      <w:r w:rsidR="00F86968" w:rsidRPr="00553A8B">
        <w:rPr>
          <w:rFonts w:ascii="Palatino Linotype" w:hAnsi="Palatino Linotype"/>
          <w:color w:val="000000" w:themeColor="text1"/>
          <w:sz w:val="22"/>
          <w:lang w:val="es-MX" w:eastAsia="en-US"/>
        </w:rPr>
        <w:t>Sic)</w:t>
      </w:r>
    </w:p>
    <w:p w14:paraId="5865D1DD" w14:textId="77777777" w:rsidR="00E30805" w:rsidRPr="00553A8B" w:rsidRDefault="00E30805"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olor w:val="000000" w:themeColor="text1"/>
          <w:sz w:val="22"/>
          <w:lang w:val="es-MX" w:eastAsia="en-US"/>
        </w:rPr>
      </w:pPr>
    </w:p>
    <w:p w14:paraId="23B7B6C6" w14:textId="7A0BF4D7" w:rsidR="0003626E" w:rsidRPr="00553A8B" w:rsidRDefault="00E30805" w:rsidP="000353E1">
      <w:pPr>
        <w:pStyle w:val="Prrafodelista"/>
        <w:numPr>
          <w:ilvl w:val="0"/>
          <w:numId w:val="14"/>
        </w:numPr>
        <w:tabs>
          <w:tab w:val="left" w:pos="0"/>
          <w:tab w:val="left" w:pos="567"/>
          <w:tab w:val="left" w:pos="1134"/>
        </w:tabs>
        <w:spacing w:before="240" w:after="240" w:line="360" w:lineRule="auto"/>
        <w:ind w:left="567" w:right="891" w:firstLine="0"/>
        <w:contextualSpacing/>
        <w:jc w:val="both"/>
        <w:rPr>
          <w:rFonts w:ascii="Palatino Linotype" w:hAnsi="Palatino Linotype"/>
          <w:i/>
          <w:color w:val="000000" w:themeColor="text1"/>
          <w:sz w:val="22"/>
          <w:lang w:val="es-MX" w:eastAsia="en-US"/>
        </w:rPr>
      </w:pPr>
      <w:r w:rsidRPr="00553A8B">
        <w:rPr>
          <w:rFonts w:ascii="Palatino Linotype" w:hAnsi="Palatino Linotype"/>
          <w:bCs/>
          <w:i/>
          <w:color w:val="000000"/>
          <w:sz w:val="22"/>
          <w:shd w:val="clear" w:color="auto" w:fill="FFFFFF"/>
        </w:rPr>
        <w:t xml:space="preserve">"Contrató Finanzas empresa para asesorías por 319 mdp” </w:t>
      </w:r>
      <w:r w:rsidRPr="00553A8B">
        <w:rPr>
          <w:rFonts w:ascii="Palatino Linotype" w:hAnsi="Palatino Linotype"/>
          <w:i/>
          <w:color w:val="000000" w:themeColor="text1"/>
          <w:sz w:val="22"/>
          <w:lang w:val="es-MX" w:eastAsia="en-US"/>
        </w:rPr>
        <w:t xml:space="preserve">localizada en la página electrónica   </w:t>
      </w:r>
      <w:hyperlink r:id="rId9" w:history="1">
        <w:r w:rsidRPr="00553A8B">
          <w:rPr>
            <w:rStyle w:val="Hipervnculo"/>
            <w:rFonts w:ascii="Palatino Linotype" w:hAnsi="Palatino Linotype"/>
            <w:i/>
            <w:sz w:val="22"/>
            <w:lang w:eastAsia="en-US"/>
          </w:rPr>
          <w:t>Contrató Finanzas empresa para asesorías por 319 mdp - El Sol de Toluca | Noticias Locales, Policiacas, sobre México, Edomex y el Mundo</w:t>
        </w:r>
      </w:hyperlink>
      <w:r w:rsidRPr="00553A8B">
        <w:rPr>
          <w:rFonts w:ascii="Palatino Linotype" w:hAnsi="Palatino Linotype"/>
          <w:i/>
          <w:color w:val="000000" w:themeColor="text1"/>
          <w:sz w:val="22"/>
          <w:lang w:val="es-MX" w:eastAsia="en-US"/>
        </w:rPr>
        <w:t xml:space="preserve"> de fecha uno (01) mayo de dos mil </w:t>
      </w:r>
      <w:r w:rsidR="0003626E" w:rsidRPr="00553A8B">
        <w:rPr>
          <w:rFonts w:ascii="Palatino Linotype" w:hAnsi="Palatino Linotype"/>
          <w:i/>
          <w:color w:val="000000" w:themeColor="text1"/>
          <w:sz w:val="22"/>
          <w:lang w:val="es-MX" w:eastAsia="en-US"/>
        </w:rPr>
        <w:t>veintidós</w:t>
      </w:r>
      <w:r w:rsidRPr="00553A8B">
        <w:rPr>
          <w:rFonts w:ascii="Palatino Linotype" w:hAnsi="Palatino Linotype"/>
          <w:i/>
          <w:color w:val="000000" w:themeColor="text1"/>
          <w:sz w:val="22"/>
          <w:lang w:val="es-MX" w:eastAsia="en-US"/>
        </w:rPr>
        <w:t>, de la cual se desprende</w:t>
      </w:r>
      <w:r w:rsidR="0003626E" w:rsidRPr="00553A8B">
        <w:rPr>
          <w:rFonts w:ascii="Palatino Linotype" w:hAnsi="Palatino Linotype"/>
          <w:i/>
          <w:color w:val="000000" w:themeColor="text1"/>
          <w:sz w:val="22"/>
          <w:lang w:val="es-MX" w:eastAsia="en-US"/>
        </w:rPr>
        <w:t xml:space="preserve"> que el </w:t>
      </w:r>
      <w:r w:rsidR="0003626E" w:rsidRPr="00553A8B">
        <w:rPr>
          <w:rFonts w:ascii="Palatino Linotype" w:hAnsi="Palatino Linotype" w:cs="Arial"/>
          <w:i/>
          <w:color w:val="333333"/>
          <w:sz w:val="22"/>
        </w:rPr>
        <w:t>El Gobierno del Estado de México prevé gastar este año un monto máximo de 319 millones 963 mil 954 pesos en la contratación de una empresa para brindar "apoyo técnico y administrativo" de análisis y diagnóstico a diversas áreas en actividades de bienestar social, una actividad que parece ser una asesoría para los programas sociales.</w:t>
      </w:r>
    </w:p>
    <w:p w14:paraId="2A872E3B" w14:textId="77777777"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r w:rsidRPr="00553A8B">
        <w:rPr>
          <w:rFonts w:ascii="Palatino Linotype" w:hAnsi="Palatino Linotype" w:cs="Arial"/>
          <w:i/>
          <w:color w:val="333333"/>
          <w:sz w:val="22"/>
        </w:rPr>
        <w:t xml:space="preserve">El contrato administrativo de prestación de servicios CS/A/3/2022 fue firmado por la </w:t>
      </w:r>
      <w:r w:rsidRPr="00553A8B">
        <w:rPr>
          <w:rFonts w:ascii="Palatino Linotype" w:hAnsi="Palatino Linotype" w:cs="Arial"/>
          <w:b/>
          <w:i/>
          <w:color w:val="333333"/>
          <w:sz w:val="22"/>
        </w:rPr>
        <w:t>Secretaría de Finanzas</w:t>
      </w:r>
      <w:r w:rsidRPr="00553A8B">
        <w:rPr>
          <w:rFonts w:ascii="Palatino Linotype" w:hAnsi="Palatino Linotype" w:cs="Arial"/>
          <w:i/>
          <w:color w:val="333333"/>
          <w:sz w:val="22"/>
        </w:rPr>
        <w:t xml:space="preserve"> y la empresa Zumby Servicios profesionales S.A. de C.V. para la Secretaría de Desarrollo Social, tras una licitación. Los gastos se cubrirán con gasto corriente del primero de marzo al 31 de diciembre del 2022.</w:t>
      </w:r>
    </w:p>
    <w:p w14:paraId="049F8423" w14:textId="68AEFAD4"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r w:rsidRPr="00553A8B">
        <w:rPr>
          <w:rFonts w:ascii="Palatino Linotype" w:hAnsi="Palatino Linotype" w:cs="Arial"/>
          <w:i/>
          <w:color w:val="333333"/>
          <w:sz w:val="22"/>
        </w:rPr>
        <w:t>El monto por esos servicios que se prestarían a la Secretaría de Desarrollo Social es más alto que el asignado el año pasado a cuatro programas sociales: Comunidad Fuerte que tuvo 4.6 millones, Niñez Indígena con 64.5 millones, Desarrollo Integral Indígena con 15 millones y Jóvenes en Movimiento con 40 millones.</w:t>
      </w:r>
    </w:p>
    <w:p w14:paraId="069879F0" w14:textId="77777777"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r w:rsidRPr="00553A8B">
        <w:rPr>
          <w:rFonts w:ascii="Palatino Linotype" w:hAnsi="Palatino Linotype" w:cs="Arial"/>
          <w:i/>
          <w:color w:val="333333"/>
          <w:sz w:val="22"/>
        </w:rPr>
        <w:t>También representa casi el 40% de los recursos autorizados en 2021 para el programa de Apoyo a Personas Adultas Mayores que contó con 816.7 millones de pesos.</w:t>
      </w:r>
    </w:p>
    <w:p w14:paraId="0F30D6FA" w14:textId="228AA0DD"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r w:rsidRPr="00553A8B">
        <w:rPr>
          <w:rFonts w:ascii="Palatino Linotype" w:hAnsi="Palatino Linotype" w:cs="Arial"/>
          <w:i/>
          <w:color w:val="333333"/>
          <w:sz w:val="22"/>
        </w:rPr>
        <w:lastRenderedPageBreak/>
        <w:t>La empresa, de acuerdo con su página en internet se dedica ofrecer servicios de consultoría administrativa, capacitación humana, asesoría legal y financiera a empresas o instituciones que requieran de esos servicios, a fin de que "puedan alcanzar el máximo potencial y sus metas a corto, mediano o largo plazo".</w:t>
      </w:r>
    </w:p>
    <w:p w14:paraId="3B4A0C5C" w14:textId="77777777"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p>
    <w:p w14:paraId="52BCF29C" w14:textId="77777777"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r w:rsidRPr="00553A8B">
        <w:rPr>
          <w:rFonts w:ascii="Palatino Linotype" w:hAnsi="Palatino Linotype" w:cs="Arial"/>
          <w:i/>
          <w:color w:val="333333"/>
          <w:sz w:val="22"/>
        </w:rPr>
        <w:t xml:space="preserve">Concepto </w:t>
      </w:r>
    </w:p>
    <w:p w14:paraId="2AA8E0CA" w14:textId="77777777"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r w:rsidRPr="00553A8B">
        <w:rPr>
          <w:rFonts w:ascii="Palatino Linotype" w:hAnsi="Palatino Linotype" w:cs="Arial"/>
          <w:i/>
          <w:color w:val="333333"/>
          <w:sz w:val="22"/>
        </w:rPr>
        <w:t>El concepto del contrato es otorgar un servicio integral especializado para brindar apoyo técnico en actividades de bienestar social, y de acuerdo con el documento, se deberá proporcionar a las áreas requirentes apoyo técnico y administrativo de análisis y diagnóstico.</w:t>
      </w:r>
    </w:p>
    <w:p w14:paraId="2B296CB3" w14:textId="77777777"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i/>
          <w:color w:val="333333"/>
          <w:sz w:val="22"/>
        </w:rPr>
      </w:pPr>
    </w:p>
    <w:p w14:paraId="6AC848A2" w14:textId="59FBD74C" w:rsidR="0003626E" w:rsidRPr="00553A8B" w:rsidRDefault="0003626E"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cs="Arial"/>
          <w:color w:val="333333"/>
          <w:sz w:val="22"/>
        </w:rPr>
      </w:pPr>
      <w:r w:rsidRPr="00553A8B">
        <w:rPr>
          <w:rFonts w:ascii="Palatino Linotype" w:hAnsi="Palatino Linotype" w:cs="Arial"/>
          <w:i/>
          <w:color w:val="333333"/>
          <w:sz w:val="22"/>
        </w:rPr>
        <w:t>Eso, según el contrato, permitirá coadyuvar en el desarrollo de sus funciones y atribuciones para garantizar de forma permanente y continua el cumplimiento de las actividades institucionales, mediante las cuales las diversas áreas estén en posibilidad de planear, programar, organizar, dirigir, controlar y evaluar el desempeño y desarrollo institucional, a efecto de optimizar el cumplimiento de las acciones previstas en los distintos planes operativos de las unidades administrativas.” (La página de referencia, fue consultada el 14 de agosto de dos mil veintitrés).</w:t>
      </w:r>
      <w:r w:rsidRPr="00553A8B">
        <w:rPr>
          <w:rFonts w:ascii="Palatino Linotype" w:hAnsi="Palatino Linotype" w:cs="Arial"/>
          <w:color w:val="333333"/>
          <w:sz w:val="22"/>
        </w:rPr>
        <w:t xml:space="preserve"> “(Sic)</w:t>
      </w:r>
    </w:p>
    <w:p w14:paraId="0AC34FDC" w14:textId="77777777" w:rsidR="00E30805" w:rsidRPr="000353E1" w:rsidRDefault="00E30805" w:rsidP="000353E1">
      <w:pPr>
        <w:pStyle w:val="Prrafodelista"/>
        <w:tabs>
          <w:tab w:val="left" w:pos="0"/>
          <w:tab w:val="left" w:pos="567"/>
          <w:tab w:val="left" w:pos="1134"/>
        </w:tabs>
        <w:spacing w:before="240" w:after="240" w:line="360" w:lineRule="auto"/>
        <w:ind w:left="567" w:right="891"/>
        <w:contextualSpacing/>
        <w:jc w:val="both"/>
        <w:rPr>
          <w:rFonts w:ascii="Palatino Linotype" w:hAnsi="Palatino Linotype"/>
          <w:i/>
          <w:color w:val="000000" w:themeColor="text1"/>
          <w:lang w:val="es-MX" w:eastAsia="en-US"/>
        </w:rPr>
      </w:pPr>
    </w:p>
    <w:p w14:paraId="18A7D4E5" w14:textId="5E42E68D" w:rsidR="00776E25" w:rsidRPr="000353E1" w:rsidRDefault="7D712084" w:rsidP="000353E1">
      <w:pPr>
        <w:pStyle w:val="Prrafodelista"/>
        <w:numPr>
          <w:ilvl w:val="0"/>
          <w:numId w:val="2"/>
        </w:numPr>
        <w:tabs>
          <w:tab w:val="left" w:pos="0"/>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7D712084">
        <w:rPr>
          <w:rFonts w:ascii="Palatino Linotype" w:hAnsi="Palatino Linotype"/>
        </w:rPr>
        <w:t>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7D712084">
        <w:rPr>
          <w:rFonts w:ascii="Palatino Linotype" w:hAnsi="Palatino Linotype"/>
          <w:b/>
          <w:bCs/>
        </w:rPr>
        <w:t xml:space="preserve">NOTAS PERIODISTICAS, EL CONOCIMIENTO QUE DE ELLAS SE OBTIENE NO </w:t>
      </w:r>
      <w:r w:rsidRPr="7D712084">
        <w:rPr>
          <w:rFonts w:ascii="Palatino Linotype" w:hAnsi="Palatino Linotype"/>
          <w:b/>
          <w:bCs/>
        </w:rPr>
        <w:lastRenderedPageBreak/>
        <w:t>CONSTITUYE ‘UN HECHO PUBLICO Y NOTORIO’</w:t>
      </w:r>
      <w:r w:rsidRPr="7D712084">
        <w:rPr>
          <w:rFonts w:ascii="Palatino Linotype" w:hAnsi="Palatino Linotype"/>
        </w:rPr>
        <w:t>”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indicios</w:t>
      </w:r>
    </w:p>
    <w:p w14:paraId="04BB5CEF" w14:textId="77777777" w:rsidR="00E41BE5" w:rsidRPr="000353E1" w:rsidRDefault="00E41BE5" w:rsidP="000353E1">
      <w:pPr>
        <w:pStyle w:val="Prrafodelista"/>
        <w:tabs>
          <w:tab w:val="left" w:pos="0"/>
          <w:tab w:val="left" w:pos="709"/>
        </w:tabs>
        <w:spacing w:before="240" w:after="240" w:line="360" w:lineRule="auto"/>
        <w:ind w:left="0"/>
        <w:contextualSpacing/>
        <w:jc w:val="both"/>
        <w:rPr>
          <w:rFonts w:ascii="Palatino Linotype" w:hAnsi="Palatino Linotype"/>
          <w:color w:val="000000" w:themeColor="text1"/>
          <w:lang w:val="es-MX" w:eastAsia="en-US"/>
        </w:rPr>
      </w:pPr>
    </w:p>
    <w:p w14:paraId="17514363" w14:textId="2406B8A2" w:rsidR="003E7E69" w:rsidRPr="000353E1" w:rsidRDefault="00E41BE5" w:rsidP="000353E1">
      <w:pPr>
        <w:pStyle w:val="Prrafodelista"/>
        <w:numPr>
          <w:ilvl w:val="0"/>
          <w:numId w:val="2"/>
        </w:numPr>
        <w:tabs>
          <w:tab w:val="left" w:pos="0"/>
          <w:tab w:val="left" w:pos="709"/>
        </w:tabs>
        <w:spacing w:before="240" w:after="240" w:line="360" w:lineRule="auto"/>
        <w:ind w:left="0" w:firstLine="0"/>
        <w:contextualSpacing/>
        <w:jc w:val="both"/>
        <w:rPr>
          <w:rFonts w:ascii="Palatino Linotype" w:hAnsi="Palatino Linotype"/>
          <w:color w:val="000000" w:themeColor="text1"/>
          <w:lang w:val="es-MX" w:eastAsia="en-US"/>
        </w:rPr>
      </w:pPr>
      <w:r w:rsidRPr="000353E1">
        <w:rPr>
          <w:rFonts w:ascii="Palatino Linotype" w:hAnsi="Palatino Linotype"/>
          <w:color w:val="000000" w:themeColor="text1"/>
          <w:lang w:val="es-MX" w:eastAsia="en-US"/>
        </w:rPr>
        <w:t xml:space="preserve">De lo anterior, se desprende </w:t>
      </w:r>
      <w:r w:rsidR="00444946" w:rsidRPr="000353E1">
        <w:rPr>
          <w:rFonts w:ascii="Palatino Linotype" w:hAnsi="Palatino Linotype"/>
          <w:color w:val="000000" w:themeColor="text1"/>
          <w:lang w:val="es-MX" w:eastAsia="en-US"/>
        </w:rPr>
        <w:t xml:space="preserve">que se </w:t>
      </w:r>
      <w:r w:rsidR="008E27C1" w:rsidRPr="000353E1">
        <w:rPr>
          <w:rFonts w:ascii="Palatino Linotype" w:hAnsi="Palatino Linotype"/>
          <w:color w:val="000000" w:themeColor="text1"/>
          <w:lang w:val="es-MX" w:eastAsia="en-US"/>
        </w:rPr>
        <w:t>identificó</w:t>
      </w:r>
      <w:r w:rsidR="00444946" w:rsidRPr="000353E1">
        <w:rPr>
          <w:rFonts w:ascii="Palatino Linotype" w:hAnsi="Palatino Linotype"/>
          <w:color w:val="000000" w:themeColor="text1"/>
          <w:lang w:val="es-MX" w:eastAsia="en-US"/>
        </w:rPr>
        <w:t xml:space="preserve"> el </w:t>
      </w:r>
      <w:r w:rsidR="008E27C1" w:rsidRPr="000353E1">
        <w:rPr>
          <w:rFonts w:ascii="Palatino Linotype" w:hAnsi="Palatino Linotype"/>
          <w:color w:val="000000" w:themeColor="text1"/>
          <w:lang w:val="es-MX" w:eastAsia="en-US"/>
        </w:rPr>
        <w:t>i</w:t>
      </w:r>
      <w:r w:rsidR="002B35A6" w:rsidRPr="000353E1">
        <w:rPr>
          <w:rFonts w:ascii="Palatino Linotype" w:hAnsi="Palatino Linotype"/>
          <w:color w:val="000000" w:themeColor="text1"/>
          <w:lang w:val="es-MX" w:eastAsia="en-US"/>
        </w:rPr>
        <w:t xml:space="preserve">nforme </w:t>
      </w:r>
      <w:r w:rsidR="00816D3D" w:rsidRPr="000353E1">
        <w:rPr>
          <w:rFonts w:ascii="Palatino Linotype" w:hAnsi="Palatino Linotype"/>
          <w:color w:val="000000" w:themeColor="text1"/>
          <w:lang w:val="es-MX" w:eastAsia="en-US"/>
        </w:rPr>
        <w:t>de</w:t>
      </w:r>
      <w:r w:rsidR="0003626E" w:rsidRPr="000353E1">
        <w:rPr>
          <w:rFonts w:ascii="Palatino Linotype" w:hAnsi="Palatino Linotype"/>
          <w:color w:val="000000" w:themeColor="text1"/>
          <w:lang w:val="es-MX" w:eastAsia="en-US"/>
        </w:rPr>
        <w:t xml:space="preserve"> los trabajos realizados por el </w:t>
      </w:r>
      <w:r w:rsidR="008E27C1" w:rsidRPr="000353E1">
        <w:rPr>
          <w:rFonts w:ascii="Palatino Linotype" w:hAnsi="Palatino Linotype"/>
          <w:color w:val="000000" w:themeColor="text1"/>
          <w:lang w:val="es-MX" w:eastAsia="en-US"/>
        </w:rPr>
        <w:t>Testigo Social con número de registro 043-2017-I, mediante la suscripci</w:t>
      </w:r>
      <w:r w:rsidR="002B35A6" w:rsidRPr="000353E1">
        <w:rPr>
          <w:rFonts w:ascii="Palatino Linotype" w:hAnsi="Palatino Linotype"/>
          <w:color w:val="000000" w:themeColor="text1"/>
          <w:lang w:val="es-MX" w:eastAsia="en-US"/>
        </w:rPr>
        <w:t>ón del con</w:t>
      </w:r>
      <w:r w:rsidR="008E27C1" w:rsidRPr="000353E1">
        <w:rPr>
          <w:rFonts w:ascii="Palatino Linotype" w:hAnsi="Palatino Linotype"/>
          <w:color w:val="000000" w:themeColor="text1"/>
          <w:lang w:val="es-MX" w:eastAsia="en-US"/>
        </w:rPr>
        <w:t xml:space="preserve">trato de prestación de servicios </w:t>
      </w:r>
      <w:r w:rsidR="002B35A6" w:rsidRPr="000353E1">
        <w:rPr>
          <w:rFonts w:ascii="Palatino Linotype" w:hAnsi="Palatino Linotype"/>
          <w:color w:val="000000" w:themeColor="text1"/>
          <w:lang w:val="es-MX" w:eastAsia="en-US"/>
        </w:rPr>
        <w:t xml:space="preserve">SF-159/2018 con la </w:t>
      </w:r>
      <w:r w:rsidR="008E27C1" w:rsidRPr="000353E1">
        <w:rPr>
          <w:rFonts w:ascii="Palatino Linotype" w:hAnsi="Palatino Linotype"/>
          <w:color w:val="000000" w:themeColor="text1"/>
          <w:lang w:val="es-MX" w:eastAsia="en-US"/>
        </w:rPr>
        <w:t xml:space="preserve">Secretaria de Finanzas del Gobierno del Estado de </w:t>
      </w:r>
      <w:r w:rsidR="002B35A6" w:rsidRPr="000353E1">
        <w:rPr>
          <w:rFonts w:ascii="Palatino Linotype" w:hAnsi="Palatino Linotype"/>
          <w:color w:val="000000" w:themeColor="text1"/>
          <w:lang w:val="es-MX" w:eastAsia="en-US"/>
        </w:rPr>
        <w:t xml:space="preserve">México, el cual corresponde a la </w:t>
      </w:r>
      <w:r w:rsidR="008E27C1" w:rsidRPr="000353E1">
        <w:rPr>
          <w:rFonts w:ascii="Palatino Linotype" w:hAnsi="Palatino Linotype"/>
          <w:color w:val="000000" w:themeColor="text1"/>
          <w:lang w:val="es-MX" w:eastAsia="en-US"/>
        </w:rPr>
        <w:t>licitación pública nacional presencial LPNP-092 referente a la contratación de servicios de asesorías aso</w:t>
      </w:r>
      <w:r w:rsidR="002B35A6" w:rsidRPr="000353E1">
        <w:rPr>
          <w:rFonts w:ascii="Palatino Linotype" w:hAnsi="Palatino Linotype"/>
          <w:color w:val="000000" w:themeColor="text1"/>
          <w:lang w:val="es-MX" w:eastAsia="en-US"/>
        </w:rPr>
        <w:t>ciadas a convenios o acuer</w:t>
      </w:r>
      <w:r w:rsidR="00E96D0E" w:rsidRPr="000353E1">
        <w:rPr>
          <w:rFonts w:ascii="Palatino Linotype" w:hAnsi="Palatino Linotype"/>
          <w:color w:val="000000" w:themeColor="text1"/>
          <w:lang w:val="es-MX" w:eastAsia="en-US"/>
        </w:rPr>
        <w:t>dos, que se llevó a cabo en la C</w:t>
      </w:r>
      <w:r w:rsidR="002B35A6" w:rsidRPr="000353E1">
        <w:rPr>
          <w:rFonts w:ascii="Palatino Linotype" w:hAnsi="Palatino Linotype"/>
          <w:color w:val="000000" w:themeColor="text1"/>
          <w:lang w:val="es-MX" w:eastAsia="en-US"/>
        </w:rPr>
        <w:t xml:space="preserve">iudad de Toluca, capital del Estado de México a las 08:00 horas del día 28 de diciembre de 2018 en la Sala de Concursos “A” de la Dirección  General de Recurso Materiales de la Secretaria de Finanzas del </w:t>
      </w:r>
      <w:r w:rsidR="00636010" w:rsidRPr="000353E1">
        <w:rPr>
          <w:rFonts w:ascii="Palatino Linotype" w:hAnsi="Palatino Linotype"/>
          <w:color w:val="000000" w:themeColor="text1"/>
          <w:lang w:val="es-MX" w:eastAsia="en-US"/>
        </w:rPr>
        <w:t>Gobierno del Estado de México.</w:t>
      </w:r>
      <w:r w:rsidR="00636010" w:rsidRPr="000353E1">
        <w:rPr>
          <w:rStyle w:val="Refdenotaalpie"/>
          <w:rFonts w:ascii="Palatino Linotype" w:hAnsi="Palatino Linotype"/>
          <w:color w:val="000000" w:themeColor="text1"/>
          <w:lang w:val="es-MX" w:eastAsia="en-US"/>
        </w:rPr>
        <w:footnoteReference w:id="1"/>
      </w:r>
    </w:p>
    <w:p w14:paraId="5416ADA8" w14:textId="77777777" w:rsidR="0003626E" w:rsidRPr="000353E1" w:rsidRDefault="0003626E" w:rsidP="000353E1">
      <w:pPr>
        <w:pStyle w:val="Prrafodelista"/>
        <w:spacing w:line="360" w:lineRule="auto"/>
        <w:rPr>
          <w:rFonts w:ascii="Palatino Linotype" w:hAnsi="Palatino Linotype"/>
          <w:color w:val="000000" w:themeColor="text1"/>
          <w:lang w:val="es-MX" w:eastAsia="en-US"/>
        </w:rPr>
      </w:pPr>
    </w:p>
    <w:p w14:paraId="5A2183D3" w14:textId="73E8F06E" w:rsidR="002B35A6" w:rsidRPr="00F360D6" w:rsidRDefault="0003626E" w:rsidP="7D712084">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360D6">
        <w:rPr>
          <w:rFonts w:ascii="Palatino Linotype" w:hAnsi="Palatino Linotype"/>
          <w:color w:val="000000" w:themeColor="text1"/>
          <w:lang w:val="es-MX" w:eastAsia="en-US"/>
        </w:rPr>
        <w:lastRenderedPageBreak/>
        <w:t xml:space="preserve">Asimismo, se localizó  </w:t>
      </w:r>
      <w:r w:rsidR="004125E7" w:rsidRPr="00F360D6">
        <w:rPr>
          <w:rFonts w:ascii="Palatino Linotype" w:hAnsi="Palatino Linotype"/>
          <w:color w:val="000000" w:themeColor="text1"/>
          <w:lang w:val="es-MX" w:eastAsia="en-US"/>
        </w:rPr>
        <w:t>la rendición d</w:t>
      </w:r>
      <w:r w:rsidR="001B3469" w:rsidRPr="00F360D6">
        <w:rPr>
          <w:rFonts w:ascii="Palatino Linotype" w:hAnsi="Palatino Linotype"/>
          <w:color w:val="000000" w:themeColor="text1"/>
          <w:lang w:val="es-MX" w:eastAsia="en-US"/>
        </w:rPr>
        <w:t>el t</w:t>
      </w:r>
      <w:r w:rsidR="004125E7" w:rsidRPr="00F360D6">
        <w:rPr>
          <w:rFonts w:ascii="Palatino Linotype" w:hAnsi="Palatino Linotype"/>
          <w:color w:val="000000" w:themeColor="text1"/>
          <w:lang w:val="es-MX" w:eastAsia="en-US"/>
        </w:rPr>
        <w:t>estimonio del Testigo Social sobre el procedimiento de Licitación P</w:t>
      </w:r>
      <w:r w:rsidR="003C414C" w:rsidRPr="00F360D6">
        <w:rPr>
          <w:rFonts w:ascii="Palatino Linotype" w:hAnsi="Palatino Linotype"/>
          <w:color w:val="000000" w:themeColor="text1"/>
          <w:lang w:val="es-MX" w:eastAsia="en-US"/>
        </w:rPr>
        <w:t xml:space="preserve">ública Nacional Presencial número LPNP-079-2021 referente a la contratación del Servicio de Asesorías Asociados a Convenios y Acuerdos, que se llevó a cabo en Toluca, Estado de México a 10 de enero 2022, en el que se hace constar </w:t>
      </w:r>
      <w:r w:rsidR="001B3469" w:rsidRPr="00F360D6">
        <w:rPr>
          <w:rFonts w:ascii="Palatino Linotype" w:hAnsi="Palatino Linotype"/>
          <w:color w:val="000000" w:themeColor="text1"/>
          <w:lang w:val="es-MX" w:eastAsia="en-US"/>
        </w:rPr>
        <w:t>que el día 30 de diciembre de 2021 a las 17:00 horas, se suscribió el contrato número CS/A/92/2021 para la requisición CA-0276-2021.</w:t>
      </w:r>
      <w:r w:rsidR="00636010" w:rsidRPr="00F360D6">
        <w:rPr>
          <w:rStyle w:val="Refdenotaalpie"/>
          <w:rFonts w:ascii="Palatino Linotype" w:hAnsi="Palatino Linotype"/>
          <w:color w:val="000000" w:themeColor="text1"/>
          <w:lang w:val="es-MX" w:eastAsia="en-US"/>
        </w:rPr>
        <w:footnoteReference w:id="2"/>
      </w:r>
    </w:p>
    <w:p w14:paraId="1259A979" w14:textId="794C0191" w:rsidR="7D712084" w:rsidRDefault="7D712084" w:rsidP="7D712084">
      <w:pPr>
        <w:tabs>
          <w:tab w:val="left" w:pos="567"/>
        </w:tabs>
        <w:spacing w:before="240" w:after="240" w:line="360" w:lineRule="auto"/>
        <w:contextualSpacing/>
        <w:jc w:val="center"/>
      </w:pPr>
      <w:r w:rsidRPr="00F360D6">
        <w:rPr>
          <w:noProof/>
          <w:lang w:val="es-MX" w:eastAsia="es-MX"/>
        </w:rPr>
        <w:drawing>
          <wp:inline distT="0" distB="0" distL="0" distR="0" wp14:anchorId="788DAFB2" wp14:editId="398C823E">
            <wp:extent cx="3637526" cy="4552954"/>
            <wp:effectExtent l="0" t="0" r="0" b="0"/>
            <wp:docPr id="85878407" name="Imagen 8587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31458" t="27843" r="37916"/>
                    <a:stretch>
                      <a:fillRect/>
                    </a:stretch>
                  </pic:blipFill>
                  <pic:spPr>
                    <a:xfrm>
                      <a:off x="0" y="0"/>
                      <a:ext cx="3637526" cy="4552954"/>
                    </a:xfrm>
                    <a:prstGeom prst="rect">
                      <a:avLst/>
                    </a:prstGeom>
                  </pic:spPr>
                </pic:pic>
              </a:graphicData>
            </a:graphic>
          </wp:inline>
        </w:drawing>
      </w:r>
    </w:p>
    <w:p w14:paraId="31D32389" w14:textId="77777777" w:rsidR="001B3469" w:rsidRPr="000353E1" w:rsidRDefault="001B3469" w:rsidP="000353E1">
      <w:pPr>
        <w:pStyle w:val="Prrafodelista"/>
        <w:spacing w:line="360" w:lineRule="auto"/>
        <w:rPr>
          <w:rFonts w:ascii="Palatino Linotype" w:hAnsi="Palatino Linotype"/>
          <w:color w:val="000000" w:themeColor="text1"/>
          <w:lang w:val="es-MX" w:eastAsia="en-US"/>
        </w:rPr>
      </w:pPr>
    </w:p>
    <w:p w14:paraId="5B38075F" w14:textId="04D9A537" w:rsidR="001B3469" w:rsidRPr="00F360D6" w:rsidRDefault="001B3469" w:rsidP="7D712084">
      <w:pPr>
        <w:pStyle w:val="Prrafodelista"/>
        <w:numPr>
          <w:ilvl w:val="0"/>
          <w:numId w:val="2"/>
        </w:numPr>
        <w:tabs>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00F360D6">
        <w:rPr>
          <w:rFonts w:ascii="Palatino Linotype" w:hAnsi="Palatino Linotype"/>
          <w:color w:val="000000" w:themeColor="text1"/>
          <w:lang w:val="es-MX" w:eastAsia="en-US"/>
        </w:rPr>
        <w:lastRenderedPageBreak/>
        <w:t xml:space="preserve">Al tenor de lo anterior, es oportuno referir el cumplimiento con la rendición del testimonio sobre el procedimiento de Licitación Pública presencial número LPNP-001-2022, Convenios o Acuerdos, de acuerdo con lo establecido en el contrato pedido número GC-CP-001-2022, suscrito con la Coordinación de Administración y </w:t>
      </w:r>
      <w:r w:rsidR="00D32492" w:rsidRPr="00F360D6">
        <w:rPr>
          <w:rFonts w:ascii="Palatino Linotype" w:hAnsi="Palatino Linotype"/>
          <w:color w:val="000000" w:themeColor="text1"/>
          <w:lang w:val="es-MX" w:eastAsia="en-US"/>
        </w:rPr>
        <w:t>Finanzas</w:t>
      </w:r>
      <w:r w:rsidRPr="00F360D6">
        <w:rPr>
          <w:rFonts w:ascii="Palatino Linotype" w:hAnsi="Palatino Linotype"/>
          <w:color w:val="000000" w:themeColor="text1"/>
          <w:lang w:val="es-MX" w:eastAsia="en-US"/>
        </w:rPr>
        <w:t xml:space="preserve"> de </w:t>
      </w:r>
      <w:r w:rsidR="00D32492" w:rsidRPr="00F360D6">
        <w:rPr>
          <w:rFonts w:ascii="Palatino Linotype" w:hAnsi="Palatino Linotype"/>
          <w:color w:val="000000" w:themeColor="text1"/>
          <w:lang w:val="es-MX" w:eastAsia="en-US"/>
        </w:rPr>
        <w:t>la Secretaria de Desarrollo Social del Gobierno del Estado de México, en el cual el 8 de maro de dos mil veintidós, se celebró la suscripción del contrato número CS/A/3/2022, signado por la Secretaria de Finanzas del Gobierno del Estado de México.</w:t>
      </w:r>
      <w:r w:rsidR="00636010" w:rsidRPr="00F360D6">
        <w:rPr>
          <w:rStyle w:val="Refdenotaalpie"/>
          <w:rFonts w:ascii="Palatino Linotype" w:hAnsi="Palatino Linotype"/>
          <w:color w:val="000000" w:themeColor="text1"/>
          <w:lang w:val="es-MX" w:eastAsia="en-US"/>
        </w:rPr>
        <w:footnoteReference w:id="3"/>
      </w:r>
    </w:p>
    <w:p w14:paraId="286DC2DC" w14:textId="77777777" w:rsidR="00D32492" w:rsidRPr="000353E1" w:rsidRDefault="00D32492" w:rsidP="000353E1">
      <w:pPr>
        <w:pStyle w:val="Prrafodelista"/>
        <w:tabs>
          <w:tab w:val="left" w:pos="0"/>
          <w:tab w:val="left" w:pos="709"/>
        </w:tabs>
        <w:spacing w:before="240" w:after="240" w:line="360" w:lineRule="auto"/>
        <w:ind w:left="0"/>
        <w:contextualSpacing/>
        <w:jc w:val="both"/>
        <w:rPr>
          <w:rFonts w:ascii="Palatino Linotype" w:hAnsi="Palatino Linotype"/>
          <w:color w:val="000000" w:themeColor="text1"/>
          <w:lang w:val="es-MX" w:eastAsia="en-US"/>
        </w:rPr>
      </w:pPr>
    </w:p>
    <w:p w14:paraId="6F9939DA" w14:textId="6E544256" w:rsidR="008D2B32" w:rsidRPr="000353E1" w:rsidRDefault="7D712084" w:rsidP="000353E1">
      <w:pPr>
        <w:pStyle w:val="Prrafodelista"/>
        <w:numPr>
          <w:ilvl w:val="0"/>
          <w:numId w:val="2"/>
        </w:numPr>
        <w:tabs>
          <w:tab w:val="left" w:pos="0"/>
          <w:tab w:val="left" w:pos="567"/>
        </w:tabs>
        <w:spacing w:before="240" w:after="240" w:line="360" w:lineRule="auto"/>
        <w:ind w:left="0" w:firstLine="0"/>
        <w:contextualSpacing/>
        <w:jc w:val="both"/>
        <w:rPr>
          <w:rFonts w:ascii="Palatino Linotype" w:hAnsi="Palatino Linotype"/>
          <w:color w:val="000000" w:themeColor="text1"/>
          <w:lang w:val="es-MX" w:eastAsia="en-US"/>
        </w:rPr>
      </w:pPr>
      <w:r w:rsidRPr="7D712084">
        <w:rPr>
          <w:rFonts w:ascii="Palatino Linotype" w:hAnsi="Palatino Linotype"/>
          <w:color w:val="000000" w:themeColor="text1"/>
          <w:lang w:val="es-MX" w:eastAsia="en-US"/>
        </w:rPr>
        <w:t xml:space="preserve">Aunado a lo anterior, cabe señalar que en el portal de COMPRAMEX, histórico de los procedimientos adquisitivos en el organismo del Sector Central de unidad administrativa del Estado de México se identificó la Licitación Pública Nacional Presencial LPNP-092-2018 del procedimiento de contratación de asesorías asociadas a convenios o acuerdos, sírvase de referencia la siguiente imagen: </w:t>
      </w:r>
    </w:p>
    <w:p w14:paraId="77EDB442" w14:textId="403F6B4C" w:rsidR="00816D3D" w:rsidRPr="000353E1" w:rsidRDefault="00816D3D" w:rsidP="000353E1">
      <w:pPr>
        <w:pStyle w:val="Prrafodelista"/>
        <w:spacing w:line="360" w:lineRule="auto"/>
        <w:rPr>
          <w:rFonts w:ascii="Palatino Linotype" w:hAnsi="Palatino Linotype"/>
          <w:color w:val="000000" w:themeColor="text1"/>
          <w:lang w:val="es-MX" w:eastAsia="en-US"/>
        </w:rPr>
      </w:pPr>
    </w:p>
    <w:p w14:paraId="1976A6E7" w14:textId="77777777" w:rsidR="00816D3D" w:rsidRPr="000353E1" w:rsidRDefault="00816D3D" w:rsidP="000353E1">
      <w:pPr>
        <w:pStyle w:val="Prrafodelista"/>
        <w:tabs>
          <w:tab w:val="left" w:pos="0"/>
          <w:tab w:val="left" w:pos="567"/>
        </w:tabs>
        <w:spacing w:before="240" w:after="240" w:line="360" w:lineRule="auto"/>
        <w:ind w:left="0"/>
        <w:contextualSpacing/>
        <w:jc w:val="both"/>
        <w:rPr>
          <w:rFonts w:ascii="Palatino Linotype" w:hAnsi="Palatino Linotype"/>
          <w:color w:val="000000" w:themeColor="text1"/>
          <w:lang w:val="es-MX" w:eastAsia="en-US"/>
        </w:rPr>
      </w:pPr>
    </w:p>
    <w:p w14:paraId="01D0C30F" w14:textId="5337B1DF" w:rsidR="008D2B32" w:rsidRPr="000353E1" w:rsidRDefault="008D2B32" w:rsidP="000353E1">
      <w:pPr>
        <w:pStyle w:val="Prrafodelista"/>
        <w:spacing w:line="360" w:lineRule="auto"/>
        <w:ind w:left="0"/>
        <w:jc w:val="center"/>
        <w:rPr>
          <w:rFonts w:ascii="Palatino Linotype" w:hAnsi="Palatino Linotype"/>
          <w:color w:val="000000" w:themeColor="text1"/>
          <w:lang w:val="es-MX" w:eastAsia="en-US"/>
        </w:rPr>
      </w:pPr>
      <w:r w:rsidRPr="000353E1">
        <w:rPr>
          <w:rFonts w:ascii="Palatino Linotype" w:hAnsi="Palatino Linotype"/>
          <w:noProof/>
          <w:lang w:val="es-MX" w:eastAsia="es-MX"/>
        </w:rPr>
        <w:lastRenderedPageBreak/>
        <w:drawing>
          <wp:inline distT="0" distB="0" distL="0" distR="0" wp14:anchorId="63544FBF" wp14:editId="695406A1">
            <wp:extent cx="4052476" cy="2088108"/>
            <wp:effectExtent l="76200" t="38100" r="81915" b="1219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073" t="32328" r="11145" b="15087"/>
                    <a:stretch/>
                  </pic:blipFill>
                  <pic:spPr bwMode="auto">
                    <a:xfrm>
                      <a:off x="0" y="0"/>
                      <a:ext cx="4057426" cy="2090658"/>
                    </a:xfrm>
                    <a:prstGeom prst="rect">
                      <a:avLst/>
                    </a:prstGeom>
                    <a:ln w="19050">
                      <a:solidFill>
                        <a:schemeClr val="tx1"/>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E4A90BA" w14:textId="77777777" w:rsidR="008D2B32" w:rsidRPr="000353E1" w:rsidRDefault="008D2B32" w:rsidP="000353E1">
      <w:pPr>
        <w:pStyle w:val="Prrafodelista"/>
        <w:spacing w:line="360" w:lineRule="auto"/>
        <w:ind w:left="0"/>
        <w:jc w:val="center"/>
        <w:rPr>
          <w:rFonts w:ascii="Palatino Linotype" w:hAnsi="Palatino Linotype"/>
          <w:color w:val="000000" w:themeColor="text1"/>
          <w:lang w:val="es-MX" w:eastAsia="en-US"/>
        </w:rPr>
      </w:pPr>
    </w:p>
    <w:p w14:paraId="7DA4E7AA" w14:textId="4649AA96" w:rsidR="00EF43EA" w:rsidRPr="000353E1" w:rsidRDefault="7D712084" w:rsidP="000353E1">
      <w:pPr>
        <w:pStyle w:val="Prrafodelista"/>
        <w:numPr>
          <w:ilvl w:val="0"/>
          <w:numId w:val="2"/>
        </w:numPr>
        <w:tabs>
          <w:tab w:val="left" w:pos="567"/>
        </w:tabs>
        <w:spacing w:before="240" w:after="240" w:line="360" w:lineRule="auto"/>
        <w:ind w:left="0" w:firstLine="0"/>
        <w:jc w:val="both"/>
        <w:rPr>
          <w:rFonts w:ascii="Palatino Linotype" w:hAnsi="Palatino Linotype"/>
          <w:b/>
          <w:lang w:val="es-ES_tradnl"/>
        </w:rPr>
      </w:pPr>
      <w:r w:rsidRPr="7D712084">
        <w:rPr>
          <w:rFonts w:ascii="Palatino Linotype" w:eastAsia="Calibri" w:hAnsi="Palatino Linotype"/>
          <w:lang w:eastAsia="en-US"/>
        </w:rPr>
        <w:t xml:space="preserve">Ahora bien, cabe destacar que el  procedimiento de acceso a la información pública descrito en el Título Séptimo de la Ley de Transparencia refiere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con el objeto de que realicen una búsqueda exhaustiva y razonable de la información solicitada, según se asienta en el artículo 162 de la ley citada. </w:t>
      </w:r>
    </w:p>
    <w:p w14:paraId="41B41DB5" w14:textId="77777777" w:rsidR="00EF43EA" w:rsidRPr="000353E1" w:rsidRDefault="7D712084" w:rsidP="000353E1">
      <w:pPr>
        <w:pStyle w:val="Prrafodelista"/>
        <w:numPr>
          <w:ilvl w:val="0"/>
          <w:numId w:val="2"/>
        </w:numPr>
        <w:tabs>
          <w:tab w:val="left" w:pos="567"/>
        </w:tabs>
        <w:spacing w:before="240" w:after="240" w:line="360" w:lineRule="auto"/>
        <w:ind w:left="0" w:firstLine="0"/>
        <w:jc w:val="both"/>
        <w:rPr>
          <w:rFonts w:ascii="Palatino Linotype" w:hAnsi="Palatino Linotype"/>
          <w:b/>
          <w:lang w:val="es-ES_tradnl"/>
        </w:rPr>
      </w:pPr>
      <w:r w:rsidRPr="7D712084">
        <w:rPr>
          <w:rFonts w:ascii="Palatino Linotype" w:eastAsia="Calibri" w:hAnsi="Palatino Linotype" w:cs="Arial"/>
          <w:lang w:val="es-MX" w:eastAsia="en-US"/>
        </w:rPr>
        <w:t>Así, el Titular de la Unidad de Transparencia tiene la obligación de cumplir con lo que dispone la normatividad aplicable, lo que en primera instancia implica que solicite a todas las áreas que pudieron haber generado o administrado la información requerida, la búsqueda de la misma. En ese sentido de la verificación realizada al expediente electrónico integrados en el SAIMEX se aprecia que el titular de la Unidad de Transparencia no realizó requerimientos a todas las áreas que pudieran poseer, generar o administrar la información solicitada.</w:t>
      </w:r>
    </w:p>
    <w:p w14:paraId="53B02BCD" w14:textId="35E48537" w:rsidR="00AD15AF" w:rsidRPr="000353E1" w:rsidRDefault="7D712084" w:rsidP="000353E1">
      <w:pPr>
        <w:pStyle w:val="Prrafodelista"/>
        <w:numPr>
          <w:ilvl w:val="0"/>
          <w:numId w:val="2"/>
        </w:numPr>
        <w:tabs>
          <w:tab w:val="left" w:pos="567"/>
        </w:tabs>
        <w:spacing w:before="240" w:after="240" w:line="360" w:lineRule="auto"/>
        <w:ind w:left="0" w:firstLine="0"/>
        <w:jc w:val="both"/>
        <w:rPr>
          <w:rFonts w:ascii="Palatino Linotype" w:hAnsi="Palatino Linotype"/>
          <w:b/>
          <w:lang w:val="es-ES_tradnl"/>
        </w:rPr>
      </w:pPr>
      <w:r w:rsidRPr="7D712084">
        <w:rPr>
          <w:rFonts w:ascii="Palatino Linotype" w:hAnsi="Palatino Linotype"/>
        </w:rPr>
        <w:lastRenderedPageBreak/>
        <w:t>El titular de la Unidad de Transparencia tiene como función principal el servir como un vínculo entre la ciudadanía y los servidores públicos habilitados que integran las distintas áreas de un Sujeto Obligado; el papel que desempeñan dichos servidores públicos es de suma importancia, toda vez que deberán de estar en constante interacción con las personas, llevando un claro control y registro de todas aquellas solicitudes que ingresen tanto física como electrónicamente, además es importante mencionar que el artículo 57 de la ley de la materia señala que quien desempeñe el cargo de titular de la Unidad de Transparencia de un Sujeto Obligado deberá cumplir con un perfil para desempeñar dicho cargo, con la finalidad de que las funciones encomendadas se desempeñen con efectividad y éxito y no se cometan este tipo de afectaciones al derecho humano de acceso a la información pública.</w:t>
      </w:r>
    </w:p>
    <w:p w14:paraId="288D42D9" w14:textId="55B1C864" w:rsidR="00AD15AF" w:rsidRPr="000353E1" w:rsidRDefault="7D712084" w:rsidP="000353E1">
      <w:pPr>
        <w:pStyle w:val="Prrafodelista"/>
        <w:numPr>
          <w:ilvl w:val="0"/>
          <w:numId w:val="2"/>
        </w:numPr>
        <w:tabs>
          <w:tab w:val="left" w:pos="567"/>
        </w:tabs>
        <w:spacing w:before="240" w:after="240" w:line="360" w:lineRule="auto"/>
        <w:ind w:left="0" w:firstLine="0"/>
        <w:jc w:val="both"/>
        <w:rPr>
          <w:rFonts w:ascii="Palatino Linotype" w:hAnsi="Palatino Linotype"/>
          <w:lang w:val="es-ES_tradnl"/>
        </w:rPr>
      </w:pPr>
      <w:r w:rsidRPr="7D712084">
        <w:rPr>
          <w:rFonts w:ascii="Palatino Linotype" w:eastAsia="Calibri" w:hAnsi="Palatino Linotype" w:cs="Arial"/>
          <w:lang w:val="es-MX" w:eastAsia="en-US"/>
        </w:rPr>
        <w:t>Es por ello que para dar cabal cumplimiento a la búsqueda exhaustiva y razonable de la información se deben turnar al área de manera enunciativa más no limitativa que pudieran poseer la información e indicar de manera clara la información solicitada de acuerdo a sus facultades.</w:t>
      </w:r>
    </w:p>
    <w:p w14:paraId="78AEE142" w14:textId="28C618EE" w:rsidR="00B76C30" w:rsidRPr="000353E1" w:rsidRDefault="7D712084" w:rsidP="000353E1">
      <w:pPr>
        <w:pStyle w:val="Prrafodelista"/>
        <w:numPr>
          <w:ilvl w:val="0"/>
          <w:numId w:val="2"/>
        </w:numPr>
        <w:tabs>
          <w:tab w:val="left" w:pos="567"/>
        </w:tabs>
        <w:spacing w:before="240" w:after="240" w:line="360" w:lineRule="auto"/>
        <w:ind w:left="0" w:firstLine="0"/>
        <w:jc w:val="both"/>
        <w:rPr>
          <w:rFonts w:ascii="Palatino Linotype" w:hAnsi="Palatino Linotype"/>
          <w:lang w:val="es-ES_tradnl"/>
        </w:rPr>
      </w:pPr>
      <w:r w:rsidRPr="7D712084">
        <w:rPr>
          <w:rFonts w:ascii="Palatino Linotype" w:hAnsi="Palatino Linotype"/>
        </w:rPr>
        <w:t>De conformidad con lo dispuesto en el Reglamento Interior de la Secretaria de Finanzas, en el Título I de la Secretaria, Capítulo I de la Competencia y organización de la Secretaría, la Secretaria contara con un Secretario, quien se auxiliara de las Unidades administrativas siguientes:</w:t>
      </w:r>
    </w:p>
    <w:p w14:paraId="68E5E63B" w14:textId="4D7F1045" w:rsidR="001B693F" w:rsidRPr="00553A8B" w:rsidRDefault="00B76C30" w:rsidP="000353E1">
      <w:pPr>
        <w:pStyle w:val="Prrafodelista"/>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w:t>
      </w:r>
      <w:r w:rsidR="001B693F" w:rsidRPr="00553A8B">
        <w:rPr>
          <w:rFonts w:ascii="Palatino Linotype" w:hAnsi="Palatino Linotype"/>
          <w:i/>
          <w:sz w:val="22"/>
          <w:lang w:val="es-ES_tradnl"/>
        </w:rPr>
        <w:t xml:space="preserve">Artículo 3.- Para el despacho de los asuntos de su competencia, la Secretaría contará con un </w:t>
      </w:r>
    </w:p>
    <w:p w14:paraId="2C084364" w14:textId="56BE4797" w:rsidR="001B693F" w:rsidRPr="00553A8B" w:rsidRDefault="001B693F" w:rsidP="000353E1">
      <w:pPr>
        <w:pStyle w:val="Prrafodelista"/>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Secretario, quien se auxiliará de las unidades administrativas siguientes:</w:t>
      </w:r>
    </w:p>
    <w:p w14:paraId="521CBB88" w14:textId="6C2AD837"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lastRenderedPageBreak/>
        <w:t>Subsecretaría de Ingresos.</w:t>
      </w:r>
    </w:p>
    <w:p w14:paraId="335320F5" w14:textId="5C8B91BB"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Subsecretaría de Planeación y Presupuesto.</w:t>
      </w:r>
    </w:p>
    <w:p w14:paraId="17241499" w14:textId="716292C4"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Subsecretaría de Tesorería.</w:t>
      </w:r>
    </w:p>
    <w:p w14:paraId="5E36F0E5" w14:textId="6DA54F41"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Subsecretaría de Administración.</w:t>
      </w:r>
    </w:p>
    <w:p w14:paraId="7CC46DAF" w14:textId="79DE59BC"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Procuraduría Fiscal.</w:t>
      </w:r>
    </w:p>
    <w:p w14:paraId="16B0D361" w14:textId="62257B81"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Recaudación.</w:t>
      </w:r>
    </w:p>
    <w:p w14:paraId="2186C7D9" w14:textId="77777777" w:rsidR="00B76C30" w:rsidRPr="00553A8B" w:rsidRDefault="00B76C30"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 xml:space="preserve">Dirección General </w:t>
      </w:r>
    </w:p>
    <w:p w14:paraId="3CD3C39B" w14:textId="4AAD9E22" w:rsidR="002137D4" w:rsidRPr="00553A8B" w:rsidRDefault="002137D4" w:rsidP="000353E1">
      <w:pPr>
        <w:pStyle w:val="Prrafodelista"/>
        <w:tabs>
          <w:tab w:val="left" w:pos="1134"/>
        </w:tabs>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VIII. Dirección General de Política Fiscal.</w:t>
      </w:r>
    </w:p>
    <w:p w14:paraId="2303D845" w14:textId="3E6482FE"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Regulación.</w:t>
      </w:r>
    </w:p>
    <w:p w14:paraId="658C8311" w14:textId="31021CC5"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Planeación y Gasto Público.</w:t>
      </w:r>
    </w:p>
    <w:p w14:paraId="5A8CFF43" w14:textId="39168AE2"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Contaduría General Gubernamental.</w:t>
      </w:r>
    </w:p>
    <w:p w14:paraId="6E29903E" w14:textId="30DAC75C"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Inversión.</w:t>
      </w:r>
    </w:p>
    <w:p w14:paraId="4B8F91BC" w14:textId="541EE44B"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Evaluación del Desempeño Institucional.</w:t>
      </w:r>
    </w:p>
    <w:p w14:paraId="5DD6B2D6" w14:textId="40290336"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Evaluación de la Información Financiera y Recursos Federales.</w:t>
      </w:r>
    </w:p>
    <w:p w14:paraId="109797E8" w14:textId="006D1306"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Tesorería.</w:t>
      </w:r>
    </w:p>
    <w:p w14:paraId="22AB62CB" w14:textId="737F8FF0"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Crédito.</w:t>
      </w:r>
    </w:p>
    <w:p w14:paraId="23F9D27A" w14:textId="7FC1E451"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Caja General de Gobierno.</w:t>
      </w:r>
    </w:p>
    <w:p w14:paraId="420C45CC" w14:textId="4C610604"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lastRenderedPageBreak/>
        <w:t>Dirección General de Personal.</w:t>
      </w:r>
    </w:p>
    <w:p w14:paraId="6BDE74C7" w14:textId="41309468"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b/>
          <w:i/>
          <w:sz w:val="22"/>
          <w:lang w:val="es-ES_tradnl"/>
        </w:rPr>
      </w:pPr>
      <w:r w:rsidRPr="00553A8B">
        <w:rPr>
          <w:rFonts w:ascii="Palatino Linotype" w:hAnsi="Palatino Linotype"/>
          <w:b/>
          <w:i/>
          <w:sz w:val="22"/>
          <w:lang w:val="es-ES_tradnl"/>
        </w:rPr>
        <w:t>Dirección General de Recursos Materiales.</w:t>
      </w:r>
    </w:p>
    <w:p w14:paraId="5032F60C" w14:textId="7FBA2229"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 Innovación.</w:t>
      </w:r>
    </w:p>
    <w:p w14:paraId="4E15F8A9" w14:textId="22BD6A92"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Dirección General del Sistema Estatal de Informática.</w:t>
      </w:r>
    </w:p>
    <w:p w14:paraId="3BF13E1E" w14:textId="57AE1743"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Delegaciones de Asuntos Contenciosos.</w:t>
      </w:r>
    </w:p>
    <w:p w14:paraId="30E8CCC2" w14:textId="4CBF5655"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Delegaciones Fiscales.</w:t>
      </w:r>
    </w:p>
    <w:p w14:paraId="6E03E95E" w14:textId="635FD16B"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Delegaciones de Fiscalización.</w:t>
      </w:r>
    </w:p>
    <w:p w14:paraId="271CB283" w14:textId="6DF1EE34"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Unidad de Apoyo a la Administración General.</w:t>
      </w:r>
    </w:p>
    <w:p w14:paraId="12F90CB5" w14:textId="754C3627"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Coordinación Administrativa.</w:t>
      </w:r>
    </w:p>
    <w:p w14:paraId="7769294F" w14:textId="07C65A5A"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Coordinación de Gestión Gubernamental.</w:t>
      </w:r>
    </w:p>
    <w:p w14:paraId="1862A653" w14:textId="01985114"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 xml:space="preserve">Instituto de Profesionalización de los Servidores Públicos del Poder Ejecutivo del Gobierno del </w:t>
      </w:r>
    </w:p>
    <w:p w14:paraId="1B9383EA" w14:textId="77777777"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Estado de México, como órgano desconcentrado.</w:t>
      </w:r>
    </w:p>
    <w:p w14:paraId="1631322A" w14:textId="77777777" w:rsidR="002137D4" w:rsidRPr="00553A8B" w:rsidRDefault="002137D4" w:rsidP="000353E1">
      <w:pPr>
        <w:pStyle w:val="Prrafodelista"/>
        <w:numPr>
          <w:ilvl w:val="0"/>
          <w:numId w:val="18"/>
        </w:numPr>
        <w:tabs>
          <w:tab w:val="left" w:pos="1134"/>
        </w:tabs>
        <w:spacing w:before="240" w:after="240" w:line="360" w:lineRule="auto"/>
        <w:ind w:left="567" w:right="891" w:firstLine="0"/>
        <w:jc w:val="both"/>
        <w:rPr>
          <w:rFonts w:ascii="Palatino Linotype" w:hAnsi="Palatino Linotype"/>
          <w:i/>
          <w:sz w:val="22"/>
          <w:lang w:val="es-ES_tradnl"/>
        </w:rPr>
      </w:pPr>
      <w:r w:rsidRPr="00553A8B">
        <w:rPr>
          <w:rFonts w:ascii="Palatino Linotype" w:hAnsi="Palatino Linotype"/>
          <w:i/>
          <w:sz w:val="22"/>
          <w:lang w:val="es-ES_tradnl"/>
        </w:rPr>
        <w:t>XXIX. Coordinación Jurídica y de Igualdad de Género.</w:t>
      </w:r>
    </w:p>
    <w:p w14:paraId="33461E1B" w14:textId="77777777" w:rsidR="002137D4" w:rsidRPr="00553A8B" w:rsidRDefault="002137D4" w:rsidP="000353E1">
      <w:pPr>
        <w:tabs>
          <w:tab w:val="left" w:pos="1134"/>
        </w:tabs>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La Secretaría se auxiliará además, de las unidades administrativas necesarias para implementar programas prioritarios, así como centros de servicios fiscales, cuyas jurisdicciones se establecen en el presente Reglamento, y las demás unidades administrativas y servidores públicos necesarios para el cumplimiento de sus atribuciones, conforme a su estructura autorizada y normatividad aplicable.</w:t>
      </w:r>
    </w:p>
    <w:p w14:paraId="6FBF0885" w14:textId="2F01693E" w:rsidR="009B6974" w:rsidRPr="00553A8B" w:rsidRDefault="002137D4" w:rsidP="000353E1">
      <w:pPr>
        <w:tabs>
          <w:tab w:val="left" w:pos="1134"/>
        </w:tabs>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lastRenderedPageBreak/>
        <w:t>Derogado</w:t>
      </w:r>
      <w:r w:rsidR="00B76C30" w:rsidRPr="00553A8B">
        <w:rPr>
          <w:rFonts w:ascii="Palatino Linotype" w:hAnsi="Palatino Linotype"/>
          <w:i/>
          <w:sz w:val="22"/>
          <w:lang w:val="es-ES_tradnl"/>
        </w:rPr>
        <w:t>”</w:t>
      </w:r>
    </w:p>
    <w:p w14:paraId="6F7520DF" w14:textId="11C294D4" w:rsidR="00B76C30" w:rsidRPr="00553A8B" w:rsidRDefault="00B76C30" w:rsidP="000353E1">
      <w:pPr>
        <w:tabs>
          <w:tab w:val="left" w:pos="1134"/>
        </w:tabs>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(Énfasis añadido)</w:t>
      </w:r>
    </w:p>
    <w:p w14:paraId="70D43811" w14:textId="77777777" w:rsidR="00B76C30" w:rsidRPr="000353E1" w:rsidRDefault="00B76C30" w:rsidP="000353E1">
      <w:pPr>
        <w:tabs>
          <w:tab w:val="left" w:pos="1134"/>
        </w:tabs>
        <w:spacing w:before="240" w:after="240" w:line="360" w:lineRule="auto"/>
        <w:ind w:right="891"/>
        <w:jc w:val="both"/>
        <w:rPr>
          <w:rFonts w:ascii="Palatino Linotype" w:hAnsi="Palatino Linotype"/>
          <w:i/>
          <w:lang w:val="es-ES_tradnl"/>
        </w:rPr>
      </w:pPr>
    </w:p>
    <w:p w14:paraId="59B8B7AF" w14:textId="0C8BEFA4" w:rsidR="00E225FB" w:rsidRPr="000353E1" w:rsidRDefault="7D712084" w:rsidP="000353E1">
      <w:pPr>
        <w:pStyle w:val="Prrafodelista"/>
        <w:numPr>
          <w:ilvl w:val="0"/>
          <w:numId w:val="2"/>
        </w:numPr>
        <w:spacing w:before="240" w:after="240" w:line="360" w:lineRule="auto"/>
        <w:ind w:left="0" w:firstLine="0"/>
        <w:jc w:val="both"/>
        <w:rPr>
          <w:rFonts w:ascii="Palatino Linotype" w:hAnsi="Palatino Linotype"/>
          <w:lang w:val="es-ES_tradnl"/>
        </w:rPr>
      </w:pPr>
      <w:r w:rsidRPr="7D712084">
        <w:rPr>
          <w:rFonts w:ascii="Palatino Linotype" w:hAnsi="Palatino Linotype"/>
        </w:rPr>
        <w:t>En ese contexto la Dirección General cuenta con las siguientes atribuciones.</w:t>
      </w:r>
    </w:p>
    <w:p w14:paraId="7D748B8A" w14:textId="1C790D2C" w:rsidR="00816D3D" w:rsidRPr="00553A8B" w:rsidRDefault="00816D3D" w:rsidP="000353E1">
      <w:pPr>
        <w:spacing w:before="240" w:after="240" w:line="360" w:lineRule="auto"/>
        <w:ind w:left="567" w:right="891"/>
        <w:jc w:val="both"/>
        <w:rPr>
          <w:rFonts w:ascii="Palatino Linotype" w:hAnsi="Palatino Linotype"/>
          <w:color w:val="000000" w:themeColor="text1"/>
          <w:sz w:val="22"/>
          <w:highlight w:val="red"/>
          <w:lang w:val="es-ES_tradnl"/>
        </w:rPr>
      </w:pPr>
    </w:p>
    <w:p w14:paraId="2A1842FD" w14:textId="79E4F367" w:rsidR="00F651B2" w:rsidRPr="00553A8B" w:rsidRDefault="00E225FB" w:rsidP="000353E1">
      <w:pPr>
        <w:spacing w:before="240" w:after="240" w:line="360" w:lineRule="auto"/>
        <w:ind w:left="567" w:right="891"/>
        <w:jc w:val="center"/>
        <w:rPr>
          <w:rFonts w:ascii="Palatino Linotype" w:hAnsi="Palatino Linotype"/>
          <w:i/>
          <w:sz w:val="22"/>
          <w:lang w:val="es-ES_tradnl"/>
        </w:rPr>
      </w:pPr>
      <w:r w:rsidRPr="00553A8B">
        <w:rPr>
          <w:rFonts w:ascii="Palatino Linotype" w:hAnsi="Palatino Linotype"/>
          <w:i/>
          <w:sz w:val="22"/>
          <w:lang w:val="es-ES_tradnl"/>
        </w:rPr>
        <w:t>“</w:t>
      </w:r>
      <w:r w:rsidR="00F651B2" w:rsidRPr="00553A8B">
        <w:rPr>
          <w:rFonts w:ascii="Palatino Linotype" w:hAnsi="Palatino Linotype"/>
          <w:i/>
          <w:sz w:val="22"/>
          <w:lang w:val="es-ES_tradnl"/>
        </w:rPr>
        <w:t>CAPÍTULO III</w:t>
      </w:r>
    </w:p>
    <w:p w14:paraId="7FCEBDD2" w14:textId="77777777" w:rsidR="00F651B2" w:rsidRPr="00553A8B" w:rsidRDefault="00F651B2" w:rsidP="000353E1">
      <w:pPr>
        <w:spacing w:before="240" w:after="240" w:line="360" w:lineRule="auto"/>
        <w:ind w:left="567" w:right="891"/>
        <w:jc w:val="center"/>
        <w:rPr>
          <w:rFonts w:ascii="Palatino Linotype" w:hAnsi="Palatino Linotype"/>
          <w:i/>
          <w:sz w:val="22"/>
          <w:lang w:val="es-ES_tradnl"/>
        </w:rPr>
      </w:pPr>
      <w:r w:rsidRPr="00553A8B">
        <w:rPr>
          <w:rFonts w:ascii="Palatino Linotype" w:hAnsi="Palatino Linotype"/>
          <w:i/>
          <w:sz w:val="22"/>
          <w:lang w:val="es-ES_tradnl"/>
        </w:rPr>
        <w:t>DE LA DIRECCIÓN GENERAL DE RECURSOS MATERIALES</w:t>
      </w:r>
    </w:p>
    <w:p w14:paraId="7221F4DB" w14:textId="3955204B" w:rsidR="00F651B2" w:rsidRPr="00553A8B" w:rsidRDefault="00F651B2" w:rsidP="000353E1">
      <w:pPr>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Artículo 32.- Corresponde a la Dirección General de Recursos Materiales:</w:t>
      </w:r>
    </w:p>
    <w:p w14:paraId="05CD428E" w14:textId="77777777" w:rsidR="00E225FB" w:rsidRPr="00553A8B" w:rsidRDefault="00E225FB" w:rsidP="000353E1">
      <w:pPr>
        <w:spacing w:before="240" w:after="240" w:line="360" w:lineRule="auto"/>
        <w:ind w:left="567" w:right="891"/>
        <w:jc w:val="both"/>
        <w:rPr>
          <w:rFonts w:ascii="Palatino Linotype" w:hAnsi="Palatino Linotype"/>
          <w:i/>
          <w:sz w:val="22"/>
          <w:lang w:val="es-ES_tradnl"/>
        </w:rPr>
      </w:pPr>
    </w:p>
    <w:p w14:paraId="2E7EFF67" w14:textId="4CE83C27" w:rsidR="00E225FB" w:rsidRPr="00553A8B" w:rsidRDefault="00E225FB" w:rsidP="000353E1">
      <w:pPr>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w:t>
      </w:r>
    </w:p>
    <w:p w14:paraId="11C4B298" w14:textId="7729DC5F" w:rsidR="00F651B2" w:rsidRPr="00553A8B" w:rsidRDefault="00F651B2" w:rsidP="000353E1">
      <w:pPr>
        <w:pStyle w:val="Prrafodelista"/>
        <w:numPr>
          <w:ilvl w:val="0"/>
          <w:numId w:val="13"/>
        </w:numPr>
        <w:spacing w:before="240" w:after="240" w:line="360" w:lineRule="auto"/>
        <w:ind w:left="1134" w:right="891" w:hanging="567"/>
        <w:jc w:val="both"/>
        <w:rPr>
          <w:rFonts w:ascii="Palatino Linotype" w:hAnsi="Palatino Linotype"/>
          <w:b/>
          <w:i/>
          <w:sz w:val="22"/>
        </w:rPr>
      </w:pPr>
      <w:r w:rsidRPr="00553A8B">
        <w:rPr>
          <w:rFonts w:ascii="Palatino Linotype" w:hAnsi="Palatino Linotype"/>
          <w:b/>
          <w:i/>
          <w:sz w:val="22"/>
        </w:rPr>
        <w:t>Formular y someter a la consideración del Subsecretario de Administración, para la autorización del Secretario, en el ámbito de su competencia, las políticas y normas que deberán observar las dependencias y los organismos auxiliares, en la planeación, programación, presupuestación y ejecución de los procedimientos de contratación y arrendamiento, así como de los contratos, acuerdos y convenios derivados de éstos.</w:t>
      </w:r>
    </w:p>
    <w:p w14:paraId="386C4B70" w14:textId="0FB5D0F6" w:rsidR="00F651B2" w:rsidRPr="00553A8B" w:rsidRDefault="00F651B2" w:rsidP="000353E1">
      <w:pPr>
        <w:pStyle w:val="Prrafodelista"/>
        <w:numPr>
          <w:ilvl w:val="0"/>
          <w:numId w:val="20"/>
        </w:numPr>
        <w:spacing w:before="240" w:after="240" w:line="360" w:lineRule="auto"/>
        <w:ind w:left="1134" w:right="891" w:hanging="567"/>
        <w:jc w:val="both"/>
        <w:rPr>
          <w:rFonts w:ascii="Palatino Linotype" w:hAnsi="Palatino Linotype"/>
          <w:b/>
          <w:i/>
          <w:sz w:val="22"/>
        </w:rPr>
      </w:pPr>
      <w:r w:rsidRPr="00553A8B">
        <w:rPr>
          <w:rFonts w:ascii="Palatino Linotype" w:hAnsi="Palatino Linotype"/>
          <w:b/>
          <w:i/>
          <w:sz w:val="22"/>
        </w:rPr>
        <w:t xml:space="preserve">Ejecutar y dar seguimiento al Programa Anual de Adquisiciones que emitan las dependencias y los organismos auxiliares del Poder Ejecutivo del Gobierno del Estado conforme a lo dispuesto en la </w:t>
      </w:r>
      <w:r w:rsidRPr="00553A8B">
        <w:rPr>
          <w:rFonts w:ascii="Palatino Linotype" w:hAnsi="Palatino Linotype"/>
          <w:b/>
          <w:i/>
          <w:sz w:val="22"/>
        </w:rPr>
        <w:lastRenderedPageBreak/>
        <w:t xml:space="preserve">normativa aplicable, previo acuerdo de coordinación celebrado con dichos organismos. </w:t>
      </w:r>
    </w:p>
    <w:p w14:paraId="57718AC0" w14:textId="77777777" w:rsidR="00E225FB" w:rsidRPr="00553A8B" w:rsidRDefault="00F651B2" w:rsidP="000353E1">
      <w:pPr>
        <w:pStyle w:val="Prrafodelista"/>
        <w:numPr>
          <w:ilvl w:val="0"/>
          <w:numId w:val="20"/>
        </w:numPr>
        <w:spacing w:before="240" w:after="240" w:line="360" w:lineRule="auto"/>
        <w:ind w:right="891"/>
        <w:jc w:val="both"/>
        <w:rPr>
          <w:rFonts w:ascii="Palatino Linotype" w:hAnsi="Palatino Linotype"/>
          <w:b/>
          <w:i/>
          <w:sz w:val="22"/>
          <w:lang w:val="es-ES_tradnl"/>
        </w:rPr>
      </w:pPr>
      <w:r w:rsidRPr="00553A8B">
        <w:rPr>
          <w:rFonts w:ascii="Palatino Linotype" w:hAnsi="Palatino Linotype"/>
          <w:b/>
          <w:i/>
          <w:sz w:val="22"/>
        </w:rPr>
        <w:t>Programar, documentar y substanciar los procedimientos adquisitivos de bienes muebles y de contratación de servicios, en términos de la normatividad correspondiente</w:t>
      </w:r>
    </w:p>
    <w:p w14:paraId="002646AA" w14:textId="40A3AFB8" w:rsidR="00E225FB" w:rsidRPr="00553A8B" w:rsidRDefault="00E225FB" w:rsidP="000353E1">
      <w:pPr>
        <w:pStyle w:val="Prrafodelista"/>
        <w:spacing w:before="240" w:after="240" w:line="360" w:lineRule="auto"/>
        <w:ind w:left="1080" w:right="891"/>
        <w:jc w:val="both"/>
        <w:rPr>
          <w:rFonts w:ascii="Palatino Linotype" w:hAnsi="Palatino Linotype"/>
          <w:b/>
          <w:i/>
          <w:sz w:val="22"/>
          <w:lang w:val="es-ES_tradnl"/>
        </w:rPr>
      </w:pPr>
      <w:r w:rsidRPr="00553A8B">
        <w:rPr>
          <w:rFonts w:ascii="Palatino Linotype" w:hAnsi="Palatino Linotype"/>
          <w:b/>
          <w:i/>
          <w:sz w:val="22"/>
          <w:lang w:val="es-ES_tradnl"/>
        </w:rPr>
        <w:t>(...)</w:t>
      </w:r>
      <w:r w:rsidR="00F651B2" w:rsidRPr="00553A8B">
        <w:rPr>
          <w:rFonts w:ascii="Palatino Linotype" w:hAnsi="Palatino Linotype"/>
          <w:b/>
          <w:i/>
          <w:sz w:val="22"/>
        </w:rPr>
        <w:t>.</w:t>
      </w:r>
      <w:r w:rsidR="007178BC" w:rsidRPr="00553A8B">
        <w:rPr>
          <w:rFonts w:ascii="Palatino Linotype" w:hAnsi="Palatino Linotype"/>
          <w:b/>
          <w:i/>
          <w:sz w:val="22"/>
        </w:rPr>
        <w:t xml:space="preserve">” </w:t>
      </w:r>
    </w:p>
    <w:p w14:paraId="6F91AFD5" w14:textId="5E98641D" w:rsidR="00CE1127" w:rsidRPr="00553A8B" w:rsidRDefault="00CE1127" w:rsidP="00CE1127">
      <w:pPr>
        <w:spacing w:before="240" w:after="240" w:line="360" w:lineRule="auto"/>
        <w:ind w:left="567" w:right="891"/>
        <w:jc w:val="both"/>
        <w:rPr>
          <w:rFonts w:ascii="Palatino Linotype" w:hAnsi="Palatino Linotype"/>
          <w:i/>
          <w:sz w:val="22"/>
          <w:lang w:val="es-ES_tradnl"/>
        </w:rPr>
      </w:pPr>
      <w:r w:rsidRPr="00553A8B">
        <w:rPr>
          <w:rFonts w:ascii="Palatino Linotype" w:hAnsi="Palatino Linotype"/>
          <w:i/>
          <w:sz w:val="22"/>
          <w:lang w:val="es-ES_tradnl"/>
        </w:rPr>
        <w:t>(Énfasis añadido)</w:t>
      </w:r>
    </w:p>
    <w:p w14:paraId="1B6CC78A" w14:textId="77777777" w:rsidR="00AD15AF" w:rsidRPr="00553A8B" w:rsidRDefault="7D712084" w:rsidP="000353E1">
      <w:pPr>
        <w:pStyle w:val="Prrafodelista"/>
        <w:numPr>
          <w:ilvl w:val="0"/>
          <w:numId w:val="2"/>
        </w:numPr>
        <w:tabs>
          <w:tab w:val="left" w:pos="142"/>
          <w:tab w:val="left" w:pos="284"/>
          <w:tab w:val="left" w:pos="567"/>
        </w:tabs>
        <w:spacing w:before="240" w:after="240" w:line="360" w:lineRule="auto"/>
        <w:ind w:left="0" w:right="51" w:firstLine="0"/>
        <w:contextualSpacing/>
        <w:jc w:val="both"/>
        <w:rPr>
          <w:rFonts w:ascii="Palatino Linotype" w:eastAsia="Calibri" w:hAnsi="Palatino Linotype" w:cs="Arial"/>
          <w:b/>
          <w:sz w:val="22"/>
          <w:lang w:val="es-ES_tradnl" w:eastAsia="en-US"/>
        </w:rPr>
      </w:pPr>
      <w:r w:rsidRPr="7D712084">
        <w:rPr>
          <w:rFonts w:ascii="Palatino Linotype" w:eastAsia="MS Mincho" w:hAnsi="Palatino Linotype"/>
          <w:color w:val="000000" w:themeColor="text1"/>
          <w:lang w:eastAsia="en-US"/>
        </w:rPr>
        <w:t xml:space="preserve">Finalmente, es </w:t>
      </w:r>
      <w:r w:rsidRPr="7D712084">
        <w:rPr>
          <w:rFonts w:ascii="Palatino Linotype" w:eastAsia="MS Mincho" w:hAnsi="Palatino Linotype" w:cs="Arial"/>
          <w:lang w:eastAsia="en-US"/>
        </w:rPr>
        <w:t xml:space="preserve">necesario precisar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7D712084">
        <w:rPr>
          <w:rFonts w:ascii="Palatino Linotype" w:eastAsia="MS Mincho" w:hAnsi="Palatino Linotype" w:cs="Arial"/>
          <w:b/>
          <w:bCs/>
          <w:lang w:eastAsia="en-US"/>
        </w:rPr>
        <w:t>LOS SUJETOS OBLIGADOS</w:t>
      </w:r>
      <w:r w:rsidRPr="7D712084">
        <w:rPr>
          <w:rFonts w:ascii="Palatino Linotype" w:eastAsia="MS Mincho" w:hAnsi="Palatino Linotype" w:cs="Arial"/>
          <w:lang w:eastAsia="en-US"/>
        </w:rPr>
        <w:t xml:space="preserve">; los que, podrán estar en cualquier medio, sea escrito, impreso, sonoro, visual, electrónico, informático u holográfico, de conformidad con el artículo 3, fracción XI de la Ley de la materia por lo que la documental que pudiera atender el requerimiento realizado es la propia renuncia o </w:t>
      </w:r>
      <w:r w:rsidRPr="00553A8B">
        <w:rPr>
          <w:rFonts w:ascii="Palatino Linotype" w:eastAsia="MS Mincho" w:hAnsi="Palatino Linotype" w:cs="Arial"/>
          <w:sz w:val="22"/>
          <w:lang w:eastAsia="en-US"/>
        </w:rPr>
        <w:t xml:space="preserve">despido del servidor público ,como a continuación se observa: </w:t>
      </w:r>
    </w:p>
    <w:p w14:paraId="372FA6D7" w14:textId="77777777" w:rsidR="00AD15AF" w:rsidRPr="00553A8B" w:rsidRDefault="00AD15AF" w:rsidP="000353E1">
      <w:pPr>
        <w:spacing w:before="240" w:after="360" w:line="360" w:lineRule="auto"/>
        <w:contextualSpacing/>
        <w:jc w:val="both"/>
        <w:rPr>
          <w:rFonts w:ascii="Palatino Linotype" w:eastAsia="Calibri" w:hAnsi="Palatino Linotype"/>
          <w:sz w:val="22"/>
          <w:lang w:val="es-MX" w:eastAsia="es-MX"/>
        </w:rPr>
      </w:pPr>
    </w:p>
    <w:p w14:paraId="3A20584D" w14:textId="77777777" w:rsidR="00AD15AF" w:rsidRPr="00553A8B" w:rsidRDefault="00AD15AF" w:rsidP="000353E1">
      <w:pPr>
        <w:spacing w:after="160" w:line="360" w:lineRule="auto"/>
        <w:ind w:left="567" w:right="891"/>
        <w:jc w:val="both"/>
        <w:rPr>
          <w:rFonts w:ascii="Palatino Linotype" w:eastAsia="MS Mincho" w:hAnsi="Palatino Linotype" w:cs="Arial"/>
          <w:i/>
          <w:sz w:val="22"/>
          <w:lang w:val="es-ES_tradnl" w:eastAsia="en-US"/>
        </w:rPr>
      </w:pPr>
      <w:r w:rsidRPr="00553A8B">
        <w:rPr>
          <w:rFonts w:ascii="Palatino Linotype" w:eastAsia="MS Mincho" w:hAnsi="Palatino Linotype" w:cs="Arial"/>
          <w:i/>
          <w:sz w:val="22"/>
          <w:lang w:val="es-ES_tradnl" w:eastAsia="en-US"/>
        </w:rPr>
        <w:t>“</w:t>
      </w:r>
      <w:r w:rsidRPr="00553A8B">
        <w:rPr>
          <w:rFonts w:ascii="Palatino Linotype" w:eastAsia="MS Mincho" w:hAnsi="Palatino Linotype" w:cs="Arial"/>
          <w:b/>
          <w:i/>
          <w:sz w:val="22"/>
          <w:lang w:val="es-ES_tradnl" w:eastAsia="en-US"/>
        </w:rPr>
        <w:t xml:space="preserve">Artículo 3. </w:t>
      </w:r>
      <w:r w:rsidRPr="00553A8B">
        <w:rPr>
          <w:rFonts w:ascii="Palatino Linotype" w:eastAsia="MS Mincho" w:hAnsi="Palatino Linotype" w:cs="Arial"/>
          <w:i/>
          <w:sz w:val="22"/>
          <w:lang w:val="es-ES_tradnl" w:eastAsia="en-US"/>
        </w:rPr>
        <w:t>Para los efectos de la presente Ley se entenderá por:</w:t>
      </w:r>
    </w:p>
    <w:p w14:paraId="05E865C8" w14:textId="01CF1910" w:rsidR="00AD15AF" w:rsidRPr="00553A8B" w:rsidRDefault="002F4A10" w:rsidP="000353E1">
      <w:pPr>
        <w:spacing w:after="160" w:line="360" w:lineRule="auto"/>
        <w:ind w:left="567" w:right="891"/>
        <w:jc w:val="both"/>
        <w:rPr>
          <w:rFonts w:ascii="Palatino Linotype" w:eastAsia="MS Mincho" w:hAnsi="Palatino Linotype" w:cs="Arial"/>
          <w:i/>
          <w:sz w:val="22"/>
          <w:lang w:val="es-ES_tradnl" w:eastAsia="en-US"/>
        </w:rPr>
      </w:pPr>
      <w:r w:rsidRPr="00553A8B">
        <w:rPr>
          <w:rFonts w:ascii="Palatino Linotype" w:eastAsia="MS Mincho" w:hAnsi="Palatino Linotype" w:cs="Arial"/>
          <w:i/>
          <w:sz w:val="22"/>
          <w:lang w:val="es-ES_tradnl" w:eastAsia="en-US"/>
        </w:rPr>
        <w:t>(</w:t>
      </w:r>
      <w:r w:rsidR="00AD15AF" w:rsidRPr="00553A8B">
        <w:rPr>
          <w:rFonts w:ascii="Palatino Linotype" w:eastAsia="MS Mincho" w:hAnsi="Palatino Linotype" w:cs="Arial"/>
          <w:i/>
          <w:sz w:val="22"/>
          <w:lang w:val="es-ES_tradnl" w:eastAsia="en-US"/>
        </w:rPr>
        <w:t>…</w:t>
      </w:r>
      <w:r w:rsidRPr="00553A8B">
        <w:rPr>
          <w:rFonts w:ascii="Palatino Linotype" w:eastAsia="MS Mincho" w:hAnsi="Palatino Linotype" w:cs="Arial"/>
          <w:i/>
          <w:sz w:val="22"/>
          <w:lang w:val="es-ES_tradnl" w:eastAsia="en-US"/>
        </w:rPr>
        <w:t>)</w:t>
      </w:r>
    </w:p>
    <w:p w14:paraId="69BB71FF" w14:textId="4A229AC6" w:rsidR="002F4A10" w:rsidRPr="00553A8B" w:rsidRDefault="00AD15AF" w:rsidP="000353E1">
      <w:pPr>
        <w:spacing w:after="160" w:line="360" w:lineRule="auto"/>
        <w:ind w:left="567" w:right="891"/>
        <w:jc w:val="both"/>
        <w:rPr>
          <w:rFonts w:ascii="Palatino Linotype" w:eastAsia="MS Mincho" w:hAnsi="Palatino Linotype" w:cs="Arial"/>
          <w:i/>
          <w:sz w:val="22"/>
          <w:lang w:val="es-ES_tradnl" w:eastAsia="en-US"/>
        </w:rPr>
      </w:pPr>
      <w:r w:rsidRPr="00553A8B">
        <w:rPr>
          <w:rFonts w:ascii="Palatino Linotype" w:eastAsia="MS Mincho" w:hAnsi="Palatino Linotype" w:cs="Arial"/>
          <w:b/>
          <w:i/>
          <w:sz w:val="22"/>
          <w:lang w:val="es-ES_tradnl" w:eastAsia="en-US"/>
        </w:rPr>
        <w:lastRenderedPageBreak/>
        <w:t>XI. Documento:</w:t>
      </w:r>
      <w:r w:rsidRPr="00553A8B">
        <w:rPr>
          <w:rFonts w:ascii="Palatino Linotype" w:eastAsia="MS Mincho" w:hAnsi="Palatino Linotype" w:cs="Arial"/>
          <w:i/>
          <w:sz w:val="22"/>
          <w:lang w:val="es-ES_tradnl"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B8F944" w14:textId="6298FF62" w:rsidR="002F4A10" w:rsidRPr="00553A8B" w:rsidRDefault="002F4A10" w:rsidP="000353E1">
      <w:pPr>
        <w:spacing w:after="160" w:line="360" w:lineRule="auto"/>
        <w:ind w:left="567" w:right="891"/>
        <w:jc w:val="both"/>
        <w:rPr>
          <w:rFonts w:ascii="Palatino Linotype" w:eastAsia="MS Mincho" w:hAnsi="Palatino Linotype" w:cs="Arial"/>
          <w:i/>
          <w:sz w:val="22"/>
          <w:lang w:val="es-ES_tradnl" w:eastAsia="en-US"/>
        </w:rPr>
      </w:pPr>
      <w:r w:rsidRPr="00553A8B">
        <w:rPr>
          <w:rFonts w:ascii="Palatino Linotype" w:eastAsia="MS Mincho" w:hAnsi="Palatino Linotype" w:cs="Arial"/>
          <w:b/>
          <w:i/>
          <w:sz w:val="22"/>
          <w:lang w:val="es-ES_tradnl" w:eastAsia="en-US"/>
        </w:rPr>
        <w:t>(…</w:t>
      </w:r>
      <w:r w:rsidRPr="00553A8B">
        <w:rPr>
          <w:rFonts w:ascii="Palatino Linotype" w:eastAsia="MS Mincho" w:hAnsi="Palatino Linotype" w:cs="Arial"/>
          <w:i/>
          <w:sz w:val="22"/>
          <w:lang w:val="es-ES_tradnl" w:eastAsia="en-US"/>
        </w:rPr>
        <w:t xml:space="preserve">)” </w:t>
      </w:r>
    </w:p>
    <w:p w14:paraId="56BFD39D" w14:textId="77777777" w:rsidR="00F86968" w:rsidRPr="00553A8B" w:rsidRDefault="00F86968" w:rsidP="000353E1">
      <w:pPr>
        <w:spacing w:after="160" w:line="360" w:lineRule="auto"/>
        <w:ind w:left="567" w:right="891"/>
        <w:jc w:val="both"/>
        <w:rPr>
          <w:rFonts w:ascii="Palatino Linotype" w:eastAsia="MS Mincho" w:hAnsi="Palatino Linotype" w:cs="Arial"/>
          <w:i/>
          <w:sz w:val="22"/>
          <w:lang w:val="es-ES_tradnl" w:eastAsia="en-US"/>
        </w:rPr>
      </w:pPr>
    </w:p>
    <w:p w14:paraId="1E8731A2" w14:textId="77777777" w:rsidR="00AD15AF" w:rsidRPr="000353E1" w:rsidRDefault="00AD15AF" w:rsidP="000353E1">
      <w:pPr>
        <w:numPr>
          <w:ilvl w:val="0"/>
          <w:numId w:val="2"/>
        </w:numPr>
        <w:tabs>
          <w:tab w:val="left" w:pos="567"/>
        </w:tabs>
        <w:spacing w:before="240" w:after="360" w:line="360" w:lineRule="auto"/>
        <w:ind w:left="0" w:firstLine="0"/>
        <w:contextualSpacing/>
        <w:jc w:val="both"/>
        <w:rPr>
          <w:rFonts w:ascii="Palatino Linotype" w:eastAsia="Calibri" w:hAnsi="Palatino Linotype"/>
          <w:lang w:val="es-MX" w:eastAsia="es-MX"/>
        </w:rPr>
      </w:pPr>
      <w:r w:rsidRPr="000353E1">
        <w:rPr>
          <w:rFonts w:ascii="Palatino Linotype" w:eastAsia="Calibri" w:hAnsi="Palatino Linotype"/>
          <w:lang w:val="es-MX" w:eastAsia="es-MX"/>
        </w:rPr>
        <w:t xml:space="preserve">Atendiendo a ello </w:t>
      </w:r>
      <w:r w:rsidRPr="7D712084">
        <w:rPr>
          <w:rFonts w:ascii="Palatino Linotype" w:eastAsia="MS Mincho" w:hAnsi="Palatino Linotype" w:cs="Arial"/>
          <w:lang w:eastAsia="en-US"/>
        </w:rPr>
        <w:t>sistemáticamente se ha señalado, y así lo establecen diversos Órganos Garantes</w:t>
      </w:r>
      <w:r w:rsidRPr="7D712084">
        <w:rPr>
          <w:rFonts w:ascii="Palatino Linotype" w:eastAsia="MS Mincho" w:hAnsi="Palatino Linotype" w:cs="Arial"/>
          <w:vertAlign w:val="superscript"/>
          <w:lang w:eastAsia="en-US"/>
        </w:rPr>
        <w:footnoteReference w:id="4"/>
      </w:r>
      <w:r w:rsidRPr="7D712084">
        <w:rPr>
          <w:rFonts w:ascii="Palatino Linotype" w:eastAsia="MS Mincho" w:hAnsi="Palatino Linotype" w:cs="Arial"/>
          <w:lang w:eastAsia="en-US"/>
        </w:rPr>
        <w:t xml:space="preserve"> Nacionales, como Órganos Internacionales Especializados,</w:t>
      </w:r>
      <w:r w:rsidRPr="7D712084">
        <w:rPr>
          <w:rFonts w:ascii="Palatino Linotype" w:eastAsia="MS Mincho" w:hAnsi="Palatino Linotype" w:cs="Arial"/>
          <w:vertAlign w:val="superscript"/>
          <w:lang w:eastAsia="en-US"/>
        </w:rPr>
        <w:footnoteReference w:id="5"/>
      </w:r>
      <w:r w:rsidRPr="7D712084">
        <w:rPr>
          <w:rFonts w:ascii="Palatino Linotype" w:eastAsia="MS Mincho" w:hAnsi="Palatino Linotype" w:cs="Arial"/>
          <w:lang w:eastAsia="en-US"/>
        </w:rPr>
        <w:t xml:space="preserve"> el derecho de acceso a la información pública consiste en el </w:t>
      </w:r>
      <w:r w:rsidRPr="7D712084">
        <w:rPr>
          <w:rFonts w:ascii="Palatino Linotype" w:eastAsia="MS Mincho" w:hAnsi="Palatino Linotype" w:cs="Arial"/>
          <w:b/>
          <w:bCs/>
          <w:u w:val="single"/>
          <w:lang w:eastAsia="en-US"/>
        </w:rPr>
        <w:t>acceso a documentos</w:t>
      </w:r>
      <w:r w:rsidRPr="7D712084">
        <w:rPr>
          <w:rFonts w:ascii="Palatino Linotype" w:eastAsia="MS Mincho" w:hAnsi="Palatino Linotype" w:cs="Arial"/>
          <w:lang w:eastAsia="en-US"/>
        </w:rPr>
        <w:t xml:space="preserve"> generados, poseídos o administrados por la autoridad con antelación a que fuera presentada la solicitud de acceso a la información pública.</w:t>
      </w:r>
    </w:p>
    <w:p w14:paraId="4387D796" w14:textId="77777777" w:rsidR="00AD15AF" w:rsidRPr="000353E1" w:rsidRDefault="00AD15AF" w:rsidP="000353E1">
      <w:pPr>
        <w:spacing w:before="240" w:after="360" w:line="360" w:lineRule="auto"/>
        <w:contextualSpacing/>
        <w:jc w:val="both"/>
        <w:rPr>
          <w:rFonts w:ascii="Palatino Linotype" w:eastAsia="MS Mincho" w:hAnsi="Palatino Linotype" w:cs="Arial"/>
          <w:lang w:val="es-MX" w:eastAsia="en-US"/>
        </w:rPr>
      </w:pPr>
    </w:p>
    <w:p w14:paraId="4D667720" w14:textId="25BDC6F1" w:rsidR="00AD15AF" w:rsidRPr="000353E1" w:rsidRDefault="7D712084" w:rsidP="000353E1">
      <w:pPr>
        <w:numPr>
          <w:ilvl w:val="0"/>
          <w:numId w:val="2"/>
        </w:numPr>
        <w:tabs>
          <w:tab w:val="left" w:pos="567"/>
        </w:tabs>
        <w:spacing w:before="240" w:after="360" w:line="360" w:lineRule="auto"/>
        <w:ind w:left="0" w:firstLine="0"/>
        <w:contextualSpacing/>
        <w:jc w:val="both"/>
        <w:rPr>
          <w:rFonts w:ascii="Palatino Linotype" w:eastAsia="MS Mincho" w:hAnsi="Palatino Linotype" w:cs="Arial"/>
          <w:lang w:val="es-MX" w:eastAsia="en-US"/>
        </w:rPr>
      </w:pPr>
      <w:r w:rsidRPr="7D712084">
        <w:rPr>
          <w:rFonts w:ascii="Palatino Linotype" w:eastAsia="MS Mincho" w:hAnsi="Palatino Linotype" w:cs="Arial"/>
          <w:lang w:eastAsia="en-US"/>
        </w:rPr>
        <w:lastRenderedPageBreak/>
        <w:t xml:space="preserve">Así, el </w:t>
      </w:r>
      <w:r w:rsidRPr="7D712084">
        <w:rPr>
          <w:rFonts w:ascii="Palatino Linotype" w:eastAsia="MS Mincho" w:hAnsi="Palatino Linotype" w:cs="Arial"/>
          <w:lang w:val="es-MX" w:eastAsia="en-US"/>
        </w:rPr>
        <w:t>Criterio</w:t>
      </w:r>
      <w:r w:rsidRPr="7D712084">
        <w:rPr>
          <w:rFonts w:ascii="Palatino Linotype" w:eastAsia="MS Mincho" w:hAnsi="Palatino Linotype" w:cs="Arial"/>
          <w:lang w:eastAsia="en-US"/>
        </w:rPr>
        <w:t xml:space="preserve"> </w:t>
      </w:r>
      <w:r w:rsidRPr="7D712084">
        <w:rPr>
          <w:rFonts w:ascii="Palatino Linotype" w:eastAsia="MS Mincho" w:hAnsi="Palatino Linotype" w:cs="Arial"/>
          <w:lang w:val="es-MX" w:eastAsia="en-US"/>
        </w:rPr>
        <w:t>028-10</w:t>
      </w:r>
      <w:r w:rsidRPr="7D712084">
        <w:rPr>
          <w:rFonts w:ascii="Palatino Linotype" w:eastAsia="MS Mincho" w:hAnsi="Palatino Linotype" w:cs="Arial"/>
          <w:lang w:eastAsia="en-US"/>
        </w:rPr>
        <w:t xml:space="preserve"> </w:t>
      </w:r>
      <w:r w:rsidRPr="7D712084">
        <w:rPr>
          <w:rFonts w:ascii="Palatino Linotype" w:eastAsia="MS Mincho" w:hAnsi="Palatino Linotype" w:cs="Arial"/>
          <w:lang w:val="es-MX" w:eastAsia="en-US"/>
        </w:rPr>
        <w:t>emitido por</w:t>
      </w:r>
      <w:r w:rsidRPr="7D712084">
        <w:rPr>
          <w:rFonts w:ascii="Palatino Linotype" w:eastAsia="MS Mincho" w:hAnsi="Palatino Linotype" w:cs="Arial"/>
          <w:lang w:eastAsia="en-US"/>
        </w:rPr>
        <w:t xml:space="preserve"> el Pleno del entonces llamado </w:t>
      </w:r>
      <w:r w:rsidRPr="7D712084">
        <w:rPr>
          <w:rFonts w:ascii="Palatino Linotype" w:eastAsia="MS Mincho" w:hAnsi="Palatino Linotype" w:cs="Arial"/>
          <w:lang w:val="es-MX" w:eastAsia="en-US"/>
        </w:rPr>
        <w:t>Instituto Federal de Acceso a la Información y Protección de Datos, ahora Instituto Nacional de Transparencia, Acceso a la Información y Protección de Datos Personales establece</w:t>
      </w:r>
      <w:r w:rsidRPr="7D712084">
        <w:rPr>
          <w:rFonts w:ascii="Palatino Linotype" w:eastAsia="MS Mincho" w:hAnsi="Palatino Linotype" w:cs="Arial"/>
          <w:lang w:eastAsia="en-US"/>
        </w:rPr>
        <w:t xml:space="preserve"> que se deberá garantizar </w:t>
      </w:r>
      <w:r w:rsidRPr="7D712084">
        <w:rPr>
          <w:rFonts w:ascii="Palatino Linotype" w:eastAsia="MS Mincho" w:hAnsi="Palatino Linotype" w:cs="Arial"/>
          <w:lang w:val="es-MX" w:eastAsia="en-US"/>
        </w:rPr>
        <w:t xml:space="preserve">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y lo anterior sin importar que </w:t>
      </w:r>
      <w:r w:rsidRPr="7D712084">
        <w:rPr>
          <w:rFonts w:ascii="Palatino Linotype" w:eastAsia="MS Mincho" w:hAnsi="Palatino Linotype" w:cs="Arial"/>
          <w:lang w:eastAsia="en-US"/>
        </w:rPr>
        <w:t xml:space="preserve"> </w:t>
      </w:r>
      <w:r w:rsidRPr="7D712084">
        <w:rPr>
          <w:rFonts w:ascii="Palatino Linotype" w:eastAsia="MS Mincho" w:hAnsi="Palatino Linotype" w:cs="Arial"/>
          <w:lang w:val="es-MX" w:eastAsia="en-US"/>
        </w:rPr>
        <w:t>particular lleve a cabo una solicitud de información sin identificar de forma precisa la do</w:t>
      </w:r>
      <w:r w:rsidRPr="7D712084">
        <w:rPr>
          <w:rFonts w:ascii="Palatino Linotype" w:eastAsia="MS Mincho" w:hAnsi="Palatino Linotype" w:cs="Arial"/>
          <w:lang w:eastAsia="en-US"/>
        </w:rPr>
        <w:t xml:space="preserve">cumentación a la que requiere acceso, como a continuación se observa: </w:t>
      </w:r>
    </w:p>
    <w:p w14:paraId="6EF4D419" w14:textId="77777777" w:rsidR="00AD15AF" w:rsidRPr="00553A8B" w:rsidRDefault="00AD15AF" w:rsidP="000353E1">
      <w:pPr>
        <w:spacing w:before="240" w:after="360" w:line="360" w:lineRule="auto"/>
        <w:ind w:right="616"/>
        <w:contextualSpacing/>
        <w:jc w:val="both"/>
        <w:rPr>
          <w:rFonts w:ascii="Palatino Linotype" w:eastAsia="MS Mincho" w:hAnsi="Palatino Linotype" w:cs="Arial"/>
          <w:sz w:val="22"/>
          <w:lang w:val="es-MX" w:eastAsia="en-US"/>
        </w:rPr>
      </w:pPr>
    </w:p>
    <w:p w14:paraId="7637656C" w14:textId="2A30D8B7" w:rsidR="00AD15AF" w:rsidRPr="00553A8B" w:rsidRDefault="00AD15AF" w:rsidP="000353E1">
      <w:pPr>
        <w:spacing w:before="240" w:after="360" w:line="360" w:lineRule="auto"/>
        <w:ind w:left="567" w:right="616"/>
        <w:contextualSpacing/>
        <w:jc w:val="both"/>
        <w:rPr>
          <w:rFonts w:ascii="Palatino Linotype" w:eastAsia="MS Mincho" w:hAnsi="Palatino Linotype" w:cs="Arial"/>
          <w:iCs/>
          <w:sz w:val="22"/>
          <w:lang w:val="es-ES_tradnl" w:eastAsia="en-US"/>
        </w:rPr>
      </w:pPr>
      <w:r w:rsidRPr="00553A8B">
        <w:rPr>
          <w:rFonts w:ascii="Palatino Linotype" w:eastAsia="MS Mincho" w:hAnsi="Palatino Linotype" w:cs="Arial"/>
          <w:b/>
          <w:bCs/>
          <w:i/>
          <w:iCs/>
          <w:sz w:val="22"/>
          <w:lang w:val="es-ES_tradnl" w:eastAsia="en-US"/>
        </w:rPr>
        <w:t>“Cuando en una solicitud de información no se identifique un documento en específico, si ésta tiene una expresión documental, el sujeto obligado deberá entregar al particular el documento en específico.</w:t>
      </w:r>
      <w:r w:rsidRPr="00553A8B">
        <w:rPr>
          <w:rFonts w:ascii="Palatino Linotype" w:eastAsia="MS Mincho" w:hAnsi="Palatino Linotype" w:cs="Arial"/>
          <w:i/>
          <w:iCs/>
          <w:sz w:val="22"/>
          <w:lang w:val="es-ES_tradnl" w:eastAsia="en-US"/>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w:t>
      </w:r>
      <w:r w:rsidRPr="00553A8B">
        <w:rPr>
          <w:rFonts w:ascii="Palatino Linotype" w:eastAsia="MS Mincho" w:hAnsi="Palatino Linotype" w:cs="Arial"/>
          <w:i/>
          <w:iCs/>
          <w:sz w:val="22"/>
          <w:lang w:val="es-ES_tradnl" w:eastAsia="en-US"/>
        </w:rPr>
        <w:lastRenderedPageBreak/>
        <w:t>particular no hace referencia específica a tal documento, se deberá hacer entrega del mismo al solicitante.”</w:t>
      </w:r>
      <w:r w:rsidR="000F04CE" w:rsidRPr="00553A8B">
        <w:rPr>
          <w:rFonts w:ascii="Palatino Linotype" w:eastAsia="MS Mincho" w:hAnsi="Palatino Linotype" w:cs="Arial"/>
          <w:i/>
          <w:iCs/>
          <w:sz w:val="22"/>
          <w:lang w:val="es-ES_tradnl" w:eastAsia="en-US"/>
        </w:rPr>
        <w:t xml:space="preserve"> </w:t>
      </w:r>
    </w:p>
    <w:p w14:paraId="2EF6B135" w14:textId="77777777" w:rsidR="007178BC" w:rsidRPr="000353E1" w:rsidRDefault="007178BC" w:rsidP="000353E1">
      <w:pPr>
        <w:spacing w:before="240" w:after="360" w:line="360" w:lineRule="auto"/>
        <w:ind w:left="567" w:right="616"/>
        <w:contextualSpacing/>
        <w:jc w:val="both"/>
        <w:rPr>
          <w:rFonts w:ascii="Palatino Linotype" w:eastAsia="MS Mincho" w:hAnsi="Palatino Linotype" w:cs="Arial"/>
          <w:iCs/>
          <w:lang w:val="es-ES_tradnl" w:eastAsia="en-US"/>
        </w:rPr>
      </w:pPr>
    </w:p>
    <w:p w14:paraId="463AC457" w14:textId="77777777" w:rsidR="00AD15AF" w:rsidRPr="000353E1" w:rsidRDefault="7D712084" w:rsidP="000353E1">
      <w:pPr>
        <w:numPr>
          <w:ilvl w:val="0"/>
          <w:numId w:val="2"/>
        </w:numPr>
        <w:tabs>
          <w:tab w:val="left" w:pos="567"/>
        </w:tabs>
        <w:spacing w:before="240" w:after="360" w:line="360" w:lineRule="auto"/>
        <w:ind w:left="0" w:firstLine="0"/>
        <w:contextualSpacing/>
        <w:jc w:val="both"/>
        <w:rPr>
          <w:rFonts w:ascii="Palatino Linotype" w:eastAsia="MS Mincho" w:hAnsi="Palatino Linotype" w:cs="Arial"/>
          <w:lang w:val="es-ES_tradnl" w:eastAsia="en-US"/>
        </w:rPr>
      </w:pPr>
      <w:r w:rsidRPr="7D712084">
        <w:rPr>
          <w:rFonts w:ascii="Palatino Linotype" w:eastAsia="MS Mincho" w:hAnsi="Palatino Linotype" w:cs="Arial"/>
          <w:lang w:val="es-MX" w:eastAsia="en-US"/>
        </w:rPr>
        <w:t xml:space="preserve">Robustece lo anterior </w:t>
      </w:r>
      <w:r w:rsidRPr="7D712084">
        <w:rPr>
          <w:rFonts w:ascii="Palatino Linotype" w:eastAsia="MS Mincho" w:hAnsi="Palatino Linotype" w:cs="Arial"/>
          <w:lang w:eastAsia="en-US"/>
        </w:rPr>
        <w:t>el criterio orientador 16/17 emitido de igual forma por el Instituto Nacional de Transparencia, Acceso a la Información y Protección de Datos Personales que a la literalidad prevé:</w:t>
      </w:r>
    </w:p>
    <w:p w14:paraId="578B0ADB" w14:textId="77777777" w:rsidR="00AD15AF" w:rsidRPr="00553A8B" w:rsidRDefault="00AD15AF" w:rsidP="000353E1">
      <w:pPr>
        <w:spacing w:before="240" w:after="360" w:line="360" w:lineRule="auto"/>
        <w:ind w:right="891"/>
        <w:contextualSpacing/>
        <w:jc w:val="both"/>
        <w:rPr>
          <w:rFonts w:ascii="Palatino Linotype" w:eastAsia="MS Mincho" w:hAnsi="Palatino Linotype" w:cs="Arial"/>
          <w:sz w:val="22"/>
          <w:lang w:val="es-ES_tradnl" w:eastAsia="en-US"/>
        </w:rPr>
      </w:pPr>
    </w:p>
    <w:p w14:paraId="0C2C57D1" w14:textId="77777777"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r w:rsidRPr="00553A8B">
        <w:rPr>
          <w:rFonts w:ascii="Palatino Linotype" w:eastAsia="MS Mincho" w:hAnsi="Palatino Linotype" w:cs="Arial"/>
          <w:b/>
          <w:i/>
          <w:sz w:val="22"/>
          <w:lang w:val="es-ES_tradnl" w:eastAsia="en-US"/>
        </w:rPr>
        <w:t>“Expresión documental</w:t>
      </w:r>
      <w:r w:rsidRPr="00553A8B">
        <w:rPr>
          <w:rFonts w:ascii="Palatino Linotype" w:eastAsia="MS Mincho" w:hAnsi="Palatino Linotype" w:cs="Arial"/>
          <w:i/>
          <w:sz w:val="22"/>
          <w:lang w:val="es-ES_tradnl" w:eastAsia="en-US"/>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1C31A1C1" w14:textId="77777777"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p>
    <w:p w14:paraId="37171EC3" w14:textId="77777777"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r w:rsidRPr="00553A8B">
        <w:rPr>
          <w:rFonts w:ascii="Palatino Linotype" w:eastAsia="MS Mincho" w:hAnsi="Palatino Linotype" w:cs="Arial"/>
          <w:i/>
          <w:sz w:val="22"/>
          <w:lang w:val="es-ES_tradnl" w:eastAsia="en-US"/>
        </w:rPr>
        <w:t>Resoluciones:</w:t>
      </w:r>
    </w:p>
    <w:p w14:paraId="0D03FAC8" w14:textId="77777777"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p>
    <w:p w14:paraId="6CB87942" w14:textId="77777777"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r w:rsidRPr="00553A8B">
        <w:rPr>
          <w:rFonts w:ascii="Palatino Linotype" w:eastAsia="MS Mincho" w:hAnsi="Palatino Linotype" w:cs="Arial"/>
          <w:i/>
          <w:sz w:val="22"/>
          <w:lang w:val="es-ES_tradnl" w:eastAsia="en-US"/>
        </w:rPr>
        <w:t>•</w:t>
      </w:r>
      <w:r w:rsidRPr="00553A8B">
        <w:rPr>
          <w:rFonts w:ascii="Palatino Linotype" w:eastAsia="MS Mincho" w:hAnsi="Palatino Linotype" w:cs="Arial"/>
          <w:i/>
          <w:sz w:val="22"/>
          <w:lang w:val="es-ES_tradnl" w:eastAsia="en-US"/>
        </w:rPr>
        <w:tab/>
        <w:t>RRA 0774/16. Secretaría de Salud. 31 de agosto de 2016. Por unanimidad. Comisionada Ponente María Patricia Kurczyn Villalobos.</w:t>
      </w:r>
    </w:p>
    <w:p w14:paraId="7C10D86D" w14:textId="77777777"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r w:rsidRPr="00553A8B">
        <w:rPr>
          <w:rFonts w:ascii="Palatino Linotype" w:eastAsia="MS Mincho" w:hAnsi="Palatino Linotype" w:cs="Arial"/>
          <w:i/>
          <w:sz w:val="22"/>
          <w:lang w:val="es-ES_tradnl" w:eastAsia="en-US"/>
        </w:rPr>
        <w:t>•</w:t>
      </w:r>
      <w:r w:rsidRPr="00553A8B">
        <w:rPr>
          <w:rFonts w:ascii="Palatino Linotype" w:eastAsia="MS Mincho" w:hAnsi="Palatino Linotype" w:cs="Arial"/>
          <w:i/>
          <w:sz w:val="22"/>
          <w:lang w:val="es-ES_tradnl" w:eastAsia="en-US"/>
        </w:rPr>
        <w:tab/>
        <w:t xml:space="preserve">RRA 0143/17. Universidad Autónoma Agraria Antonio Narro. 22 de febrero de 2017. Por unanimidad. Comisionado Ponente Oscar Mauricio Guerra Ford. </w:t>
      </w:r>
    </w:p>
    <w:p w14:paraId="2D4BCCC1" w14:textId="48F91818" w:rsidR="00AD15AF" w:rsidRPr="00553A8B" w:rsidRDefault="00AD15AF" w:rsidP="000353E1">
      <w:pPr>
        <w:spacing w:before="240" w:after="360" w:line="360" w:lineRule="auto"/>
        <w:ind w:left="567" w:right="891"/>
        <w:contextualSpacing/>
        <w:jc w:val="both"/>
        <w:rPr>
          <w:rFonts w:ascii="Palatino Linotype" w:eastAsia="MS Mincho" w:hAnsi="Palatino Linotype" w:cs="Arial"/>
          <w:i/>
          <w:sz w:val="22"/>
          <w:lang w:val="es-ES_tradnl" w:eastAsia="en-US"/>
        </w:rPr>
      </w:pPr>
      <w:r w:rsidRPr="00553A8B">
        <w:rPr>
          <w:rFonts w:ascii="Palatino Linotype" w:eastAsia="MS Mincho" w:hAnsi="Palatino Linotype" w:cs="Arial"/>
          <w:i/>
          <w:sz w:val="22"/>
          <w:lang w:val="es-ES_tradnl" w:eastAsia="en-US"/>
        </w:rPr>
        <w:t>•</w:t>
      </w:r>
      <w:r w:rsidRPr="00553A8B">
        <w:rPr>
          <w:rFonts w:ascii="Palatino Linotype" w:eastAsia="MS Mincho" w:hAnsi="Palatino Linotype" w:cs="Arial"/>
          <w:i/>
          <w:sz w:val="22"/>
          <w:lang w:val="es-ES_tradnl" w:eastAsia="en-US"/>
        </w:rPr>
        <w:tab/>
        <w:t>RRA 0540/17. Secretaría de Economía. 08 de marzo del 2017. Por unanimidad. Comisionado Ponente Francisco Javier Acuña Llamas”</w:t>
      </w:r>
      <w:r w:rsidR="00F86968" w:rsidRPr="00553A8B">
        <w:rPr>
          <w:rFonts w:ascii="Palatino Linotype" w:eastAsia="MS Mincho" w:hAnsi="Palatino Linotype" w:cs="Arial"/>
          <w:i/>
          <w:sz w:val="22"/>
          <w:lang w:val="es-ES_tradnl" w:eastAsia="en-US"/>
        </w:rPr>
        <w:t xml:space="preserve"> </w:t>
      </w:r>
    </w:p>
    <w:p w14:paraId="4FFAC508" w14:textId="77777777" w:rsidR="00AD15AF" w:rsidRPr="00553A8B" w:rsidRDefault="00AD15AF" w:rsidP="000353E1">
      <w:pPr>
        <w:spacing w:before="240" w:after="360" w:line="360" w:lineRule="auto"/>
        <w:ind w:left="567" w:right="616"/>
        <w:contextualSpacing/>
        <w:jc w:val="both"/>
        <w:rPr>
          <w:rFonts w:ascii="Palatino Linotype" w:eastAsia="MS Mincho" w:hAnsi="Palatino Linotype" w:cs="Arial"/>
          <w:i/>
          <w:sz w:val="22"/>
          <w:lang w:val="es-ES_tradnl" w:eastAsia="en-US"/>
        </w:rPr>
      </w:pPr>
    </w:p>
    <w:p w14:paraId="6265913B" w14:textId="77777777" w:rsidR="00AD15AF" w:rsidRPr="000353E1" w:rsidRDefault="7D712084" w:rsidP="000353E1">
      <w:pPr>
        <w:numPr>
          <w:ilvl w:val="0"/>
          <w:numId w:val="2"/>
        </w:numPr>
        <w:tabs>
          <w:tab w:val="left" w:pos="567"/>
        </w:tabs>
        <w:spacing w:before="240" w:after="360" w:line="360" w:lineRule="auto"/>
        <w:ind w:left="0" w:firstLine="0"/>
        <w:contextualSpacing/>
        <w:jc w:val="both"/>
        <w:rPr>
          <w:rFonts w:ascii="Palatino Linotype" w:eastAsia="MS Mincho" w:hAnsi="Palatino Linotype" w:cs="Arial"/>
          <w:i/>
          <w:lang w:val="es-ES_tradnl" w:eastAsia="en-US"/>
        </w:rPr>
      </w:pPr>
      <w:r w:rsidRPr="7D712084">
        <w:rPr>
          <w:rFonts w:ascii="Palatino Linotype" w:eastAsia="MS Mincho" w:hAnsi="Palatino Linotype" w:cs="Arial"/>
          <w:lang w:eastAsia="en-US"/>
        </w:rPr>
        <w:t>Por otro lado</w:t>
      </w:r>
      <w:r w:rsidRPr="7D712084">
        <w:rPr>
          <w:rFonts w:ascii="Palatino Linotype" w:eastAsia="Calibri" w:hAnsi="Palatino Linotype" w:cs="Arial"/>
          <w:lang w:val="es-MX" w:eastAsia="en-US"/>
        </w:rPr>
        <w:t xml:space="preserve">, </w:t>
      </w:r>
      <w:r w:rsidRPr="7D712084">
        <w:rPr>
          <w:rFonts w:ascii="Palatino Linotype" w:eastAsia="Calibri" w:hAnsi="Palatino Linotype"/>
          <w:lang w:val="es-MX" w:eastAsia="en-US"/>
        </w:rPr>
        <w:t xml:space="preserve">adquiere relevancia el contenido del artículo 12 de la ya citada Ley de Transparencia Estatal, ya que quienes recopilen, administren, manejen, </w:t>
      </w:r>
      <w:r w:rsidRPr="7D712084">
        <w:rPr>
          <w:rFonts w:ascii="Palatino Linotype" w:eastAsia="Calibri" w:hAnsi="Palatino Linotype"/>
          <w:lang w:val="es-MX" w:eastAsia="en-US"/>
        </w:rPr>
        <w:lastRenderedPageBreak/>
        <w:t xml:space="preserve">procesen, archiven o conserven información se encuentran obligados a proporcionarla en el estado en que se encuentra, como a continuación se observa:    </w:t>
      </w:r>
    </w:p>
    <w:p w14:paraId="6D816FA7" w14:textId="77777777" w:rsidR="00AD15AF" w:rsidRPr="00553A8B" w:rsidRDefault="00AD15AF" w:rsidP="000353E1">
      <w:pPr>
        <w:spacing w:after="160" w:line="360" w:lineRule="auto"/>
        <w:ind w:left="708"/>
        <w:rPr>
          <w:rFonts w:ascii="Palatino Linotype" w:eastAsia="Calibri" w:hAnsi="Palatino Linotype"/>
          <w:sz w:val="22"/>
          <w:lang w:val="es-MX" w:eastAsia="en-US"/>
        </w:rPr>
      </w:pPr>
    </w:p>
    <w:p w14:paraId="19A5571A" w14:textId="77777777" w:rsidR="00AD15AF" w:rsidRPr="00553A8B" w:rsidRDefault="00AD15AF" w:rsidP="000353E1">
      <w:pPr>
        <w:spacing w:before="240" w:after="240" w:line="360" w:lineRule="auto"/>
        <w:ind w:left="567" w:right="616"/>
        <w:contextualSpacing/>
        <w:jc w:val="both"/>
        <w:rPr>
          <w:rFonts w:ascii="Palatino Linotype" w:eastAsia="Calibri" w:hAnsi="Palatino Linotype"/>
          <w:i/>
          <w:sz w:val="22"/>
          <w:lang w:val="es-MX" w:eastAsia="en-US"/>
        </w:rPr>
      </w:pPr>
      <w:r w:rsidRPr="00553A8B">
        <w:rPr>
          <w:rFonts w:ascii="Palatino Linotype" w:eastAsia="Calibri" w:hAnsi="Palatino Linotype"/>
          <w:sz w:val="22"/>
          <w:lang w:val="es-MX" w:eastAsia="en-US"/>
        </w:rPr>
        <w:t>“</w:t>
      </w:r>
      <w:r w:rsidRPr="00553A8B">
        <w:rPr>
          <w:rFonts w:ascii="Palatino Linotype" w:eastAsia="Calibri" w:hAnsi="Palatino Linotype"/>
          <w:b/>
          <w:i/>
          <w:sz w:val="22"/>
          <w:lang w:val="es-MX" w:eastAsia="en-US"/>
        </w:rPr>
        <w:t>Artículo 12.</w:t>
      </w:r>
      <w:r w:rsidRPr="00553A8B">
        <w:rPr>
          <w:rFonts w:ascii="Palatino Linotype" w:eastAsia="Calibri" w:hAnsi="Palatino Linotype"/>
          <w:i/>
          <w:sz w:val="22"/>
          <w:lang w:val="es-MX" w:eastAsia="en-US"/>
        </w:rPr>
        <w:t xml:space="preserve">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w:t>
      </w:r>
    </w:p>
    <w:p w14:paraId="770B369E" w14:textId="77777777" w:rsidR="00AD15AF" w:rsidRPr="00553A8B" w:rsidRDefault="00AD15AF" w:rsidP="000353E1">
      <w:pPr>
        <w:spacing w:before="240" w:after="240" w:line="360" w:lineRule="auto"/>
        <w:ind w:left="567" w:right="616"/>
        <w:contextualSpacing/>
        <w:jc w:val="both"/>
        <w:rPr>
          <w:rFonts w:ascii="Palatino Linotype" w:eastAsia="Calibri" w:hAnsi="Palatino Linotype"/>
          <w:i/>
          <w:sz w:val="22"/>
          <w:lang w:val="es-MX" w:eastAsia="en-US"/>
        </w:rPr>
      </w:pPr>
    </w:p>
    <w:p w14:paraId="043B31C1" w14:textId="171E2265" w:rsidR="00AD15AF" w:rsidRPr="00553A8B" w:rsidRDefault="00AD15AF" w:rsidP="000353E1">
      <w:pPr>
        <w:spacing w:before="240" w:after="240" w:line="360" w:lineRule="auto"/>
        <w:ind w:left="567" w:right="616"/>
        <w:contextualSpacing/>
        <w:jc w:val="both"/>
        <w:rPr>
          <w:rFonts w:ascii="Palatino Linotype" w:eastAsia="Calibri" w:hAnsi="Palatino Linotype"/>
          <w:i/>
          <w:sz w:val="22"/>
          <w:lang w:val="es-MX" w:eastAsia="en-US"/>
        </w:rPr>
      </w:pPr>
      <w:r w:rsidRPr="00553A8B">
        <w:rPr>
          <w:rFonts w:ascii="Palatino Linotype" w:eastAsia="Calibri" w:hAnsi="Palatino Linotype"/>
          <w:i/>
          <w:sz w:val="22"/>
          <w:lang w:val="es-MX"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DF07162" w14:textId="77777777" w:rsidR="00AD15AF" w:rsidRPr="000353E1" w:rsidRDefault="00AD15AF" w:rsidP="000353E1">
      <w:pPr>
        <w:spacing w:before="100" w:beforeAutospacing="1" w:after="100" w:afterAutospacing="1" w:line="360" w:lineRule="auto"/>
        <w:contextualSpacing/>
        <w:jc w:val="both"/>
        <w:rPr>
          <w:rFonts w:ascii="Palatino Linotype" w:eastAsia="MS Mincho" w:hAnsi="Palatino Linotype" w:cs="Segoe UI"/>
          <w:lang w:val="es-ES_tradnl" w:eastAsia="en-US"/>
        </w:rPr>
      </w:pPr>
    </w:p>
    <w:p w14:paraId="3C3AA640" w14:textId="77777777" w:rsidR="00AD15AF" w:rsidRPr="000353E1" w:rsidRDefault="7D712084" w:rsidP="000353E1">
      <w:pPr>
        <w:numPr>
          <w:ilvl w:val="0"/>
          <w:numId w:val="2"/>
        </w:numPr>
        <w:tabs>
          <w:tab w:val="left" w:pos="567"/>
        </w:tabs>
        <w:spacing w:before="240" w:after="240" w:line="360" w:lineRule="auto"/>
        <w:ind w:left="0" w:firstLine="0"/>
        <w:contextualSpacing/>
        <w:jc w:val="both"/>
        <w:rPr>
          <w:rFonts w:ascii="Palatino Linotype" w:eastAsia="Calibri" w:hAnsi="Palatino Linotype" w:cs="Arial"/>
          <w:i/>
          <w:lang w:val="es-ES_tradnl" w:eastAsia="es-MX"/>
        </w:rPr>
      </w:pPr>
      <w:r w:rsidRPr="7D712084">
        <w:rPr>
          <w:rFonts w:ascii="Palatino Linotype" w:eastAsia="Calibri" w:hAnsi="Palatino Linotype" w:cs="Arial"/>
          <w:lang w:eastAsia="en-US"/>
        </w:rPr>
        <w:t xml:space="preserve">Es decir, el Derecho de Acceso a la Información Pública se satisface en aquellos casos en que se entregue el soporte documental en que conste la información pública, toda vez que </w:t>
      </w:r>
      <w:r w:rsidRPr="7D712084">
        <w:rPr>
          <w:rFonts w:ascii="Palatino Linotype" w:eastAsia="Calibri" w:hAnsi="Palatino Linotype" w:cs="Arial"/>
          <w:u w:val="single"/>
          <w:lang w:eastAsia="en-US"/>
        </w:rPr>
        <w:t xml:space="preserve">no se tiene el deber de generar un documento </w:t>
      </w:r>
      <w:r w:rsidRPr="7D712084">
        <w:rPr>
          <w:rFonts w:ascii="Palatino Linotype" w:eastAsia="Calibri" w:hAnsi="Palatino Linotype" w:cs="Arial"/>
          <w:i/>
          <w:iCs/>
          <w:u w:val="single"/>
          <w:lang w:eastAsia="en-US"/>
        </w:rPr>
        <w:t>ad hoc</w:t>
      </w:r>
      <w:r w:rsidRPr="7D712084">
        <w:rPr>
          <w:rFonts w:ascii="Palatino Linotype" w:eastAsia="Calibri" w:hAnsi="Palatino Linotype" w:cs="Arial"/>
          <w:u w:val="single"/>
          <w:lang w:eastAsia="en-US"/>
        </w:rPr>
        <w:t>, para satisfacer la solicitud</w:t>
      </w:r>
      <w:r w:rsidRPr="7D712084">
        <w:rPr>
          <w:rFonts w:ascii="Palatino Linotype" w:eastAsia="Calibri" w:hAnsi="Palatino Linotype" w:cs="Arial"/>
          <w:lang w:eastAsia="en-US"/>
        </w:rPr>
        <w:t>.</w:t>
      </w:r>
    </w:p>
    <w:p w14:paraId="3108C396" w14:textId="77777777" w:rsidR="00AD15AF" w:rsidRPr="000353E1" w:rsidRDefault="00AD15AF" w:rsidP="000353E1">
      <w:pPr>
        <w:spacing w:before="240" w:after="240" w:line="360" w:lineRule="auto"/>
        <w:contextualSpacing/>
        <w:jc w:val="both"/>
        <w:rPr>
          <w:rFonts w:ascii="Palatino Linotype" w:eastAsia="Calibri" w:hAnsi="Palatino Linotype" w:cs="Arial"/>
          <w:lang w:val="es-ES_tradnl" w:eastAsia="es-MX"/>
        </w:rPr>
      </w:pPr>
    </w:p>
    <w:p w14:paraId="38441F45" w14:textId="77777777" w:rsidR="00AD15AF" w:rsidRPr="000353E1" w:rsidRDefault="7D712084" w:rsidP="000353E1">
      <w:pPr>
        <w:numPr>
          <w:ilvl w:val="0"/>
          <w:numId w:val="2"/>
        </w:numPr>
        <w:tabs>
          <w:tab w:val="left" w:pos="567"/>
        </w:tabs>
        <w:spacing w:before="240" w:after="240" w:line="360" w:lineRule="auto"/>
        <w:ind w:left="0" w:firstLine="0"/>
        <w:contextualSpacing/>
        <w:jc w:val="both"/>
        <w:rPr>
          <w:rFonts w:ascii="Palatino Linotype" w:eastAsia="Calibri" w:hAnsi="Palatino Linotype" w:cs="Arial"/>
          <w:i/>
          <w:lang w:val="es-ES_tradnl" w:eastAsia="es-MX"/>
        </w:rPr>
      </w:pPr>
      <w:r w:rsidRPr="7D712084">
        <w:rPr>
          <w:rFonts w:ascii="Palatino Linotype" w:eastAsia="Calibri" w:hAnsi="Palatino Linotype" w:cs="Arial"/>
          <w:lang w:eastAsia="en-US"/>
        </w:rPr>
        <w:t>Como apoyo a lo anterior, es aplicable por analogía el Criterio 09-10, emitido por el Pleno del entonces Instituto Federal de Acceso a la Información y Protección de Datos, que a la letra dice:</w:t>
      </w:r>
    </w:p>
    <w:p w14:paraId="28706260" w14:textId="77777777" w:rsidR="00AD15AF" w:rsidRPr="00553A8B" w:rsidRDefault="00AD15AF" w:rsidP="000353E1">
      <w:pPr>
        <w:tabs>
          <w:tab w:val="left" w:pos="207"/>
        </w:tabs>
        <w:spacing w:before="240" w:after="360" w:line="360" w:lineRule="auto"/>
        <w:ind w:right="49"/>
        <w:contextualSpacing/>
        <w:jc w:val="both"/>
        <w:rPr>
          <w:rFonts w:ascii="Palatino Linotype" w:eastAsia="Calibri" w:hAnsi="Palatino Linotype" w:cs="Arial"/>
          <w:sz w:val="22"/>
          <w:lang w:val="es-ES_tradnl" w:eastAsia="en-US"/>
        </w:rPr>
      </w:pPr>
    </w:p>
    <w:p w14:paraId="7A7ABB36" w14:textId="77777777" w:rsidR="00AD15AF" w:rsidRPr="00553A8B" w:rsidRDefault="00AD15AF" w:rsidP="000353E1">
      <w:pPr>
        <w:spacing w:before="240" w:after="360" w:line="360" w:lineRule="auto"/>
        <w:ind w:left="567" w:right="616"/>
        <w:contextualSpacing/>
        <w:jc w:val="both"/>
        <w:rPr>
          <w:rFonts w:ascii="Palatino Linotype" w:eastAsia="Calibri" w:hAnsi="Palatino Linotype" w:cs="Arial"/>
          <w:sz w:val="22"/>
          <w:lang w:val="es-ES_tradnl" w:eastAsia="en-US"/>
        </w:rPr>
      </w:pPr>
      <w:r w:rsidRPr="00553A8B">
        <w:rPr>
          <w:rFonts w:ascii="Palatino Linotype" w:eastAsia="Calibri" w:hAnsi="Palatino Linotype" w:cs="Arial"/>
          <w:b/>
          <w:bCs/>
          <w:i/>
          <w:sz w:val="22"/>
          <w:lang w:val="es-ES_tradnl" w:eastAsia="en-US"/>
        </w:rPr>
        <w:t xml:space="preserve">“Las dependencias y entidades no están obligadas a generar documentos </w:t>
      </w:r>
      <w:r w:rsidRPr="00553A8B">
        <w:rPr>
          <w:rFonts w:ascii="Palatino Linotype" w:eastAsia="Calibri" w:hAnsi="Palatino Linotype" w:cs="Arial"/>
          <w:b/>
          <w:bCs/>
          <w:i/>
          <w:iCs/>
          <w:sz w:val="22"/>
          <w:lang w:val="es-ES_tradnl" w:eastAsia="en-US"/>
        </w:rPr>
        <w:t xml:space="preserve">ad hoc </w:t>
      </w:r>
      <w:r w:rsidRPr="00553A8B">
        <w:rPr>
          <w:rFonts w:ascii="Palatino Linotype" w:eastAsia="Calibri" w:hAnsi="Palatino Linotype" w:cs="Arial"/>
          <w:b/>
          <w:bCs/>
          <w:i/>
          <w:sz w:val="22"/>
          <w:lang w:val="es-ES_tradnl" w:eastAsia="en-US"/>
        </w:rPr>
        <w:t xml:space="preserve">para responder una solicitud de acceso a la información. </w:t>
      </w:r>
      <w:r w:rsidRPr="00553A8B">
        <w:rPr>
          <w:rFonts w:ascii="Palatino Linotype" w:eastAsia="Calibri" w:hAnsi="Palatino Linotype" w:cs="Arial"/>
          <w:i/>
          <w:sz w:val="22"/>
          <w:lang w:val="es-ES_tradnl" w:eastAsia="en-US"/>
        </w:rPr>
        <w:t xml:space="preserve">Tomando en consideración lo establecido por el artículo 42 de la Ley Federal de Transparencia y </w:t>
      </w:r>
      <w:r w:rsidRPr="00553A8B">
        <w:rPr>
          <w:rFonts w:ascii="Palatino Linotype" w:eastAsia="Calibri" w:hAnsi="Palatino Linotype" w:cs="Arial"/>
          <w:i/>
          <w:sz w:val="22"/>
          <w:lang w:val="es-ES_tradnl" w:eastAsia="en-US"/>
        </w:rPr>
        <w:lastRenderedPageBreak/>
        <w:t xml:space="preserve">Acceso a la Información Pública Gubernamental, que establece que las dependencias y entidades sólo estarán obligadas a entregar documentos que se encuentren en sus archivos, las dependencias y entidades no están obligadas a elaborar documentos </w:t>
      </w:r>
      <w:r w:rsidRPr="00553A8B">
        <w:rPr>
          <w:rFonts w:ascii="Palatino Linotype" w:eastAsia="Calibri" w:hAnsi="Palatino Linotype" w:cs="Arial"/>
          <w:i/>
          <w:iCs/>
          <w:sz w:val="22"/>
          <w:lang w:val="es-ES_tradnl" w:eastAsia="en-US"/>
        </w:rPr>
        <w:t xml:space="preserve">ad hoc </w:t>
      </w:r>
      <w:r w:rsidRPr="00553A8B">
        <w:rPr>
          <w:rFonts w:ascii="Palatino Linotype" w:eastAsia="Calibri" w:hAnsi="Palatino Linotype" w:cs="Arial"/>
          <w:i/>
          <w:sz w:val="22"/>
          <w:lang w:val="es-ES_tradnl" w:eastAsia="en-US"/>
        </w:rPr>
        <w:t>para atender las solicitudes de información, sino que deben garantizar el acceso a la información con la que cuentan en el formato que la misma así lo permita o se encuentre, en aras de dar satisfacción a la solicitud presentada.</w:t>
      </w:r>
    </w:p>
    <w:p w14:paraId="30D71D0C" w14:textId="7A1A2FB7" w:rsidR="000F04CE" w:rsidRPr="00F360D6" w:rsidRDefault="00AD15AF" w:rsidP="000353E1">
      <w:pPr>
        <w:spacing w:before="240" w:after="360" w:line="360" w:lineRule="auto"/>
        <w:ind w:left="567" w:right="616"/>
        <w:contextualSpacing/>
        <w:jc w:val="both"/>
        <w:rPr>
          <w:rFonts w:ascii="Palatino Linotype" w:eastAsia="Calibri" w:hAnsi="Palatino Linotype" w:cs="Arial"/>
          <w:i/>
          <w:sz w:val="22"/>
          <w:lang w:val="es-ES_tradnl" w:eastAsia="en-US"/>
        </w:rPr>
      </w:pPr>
      <w:r w:rsidRPr="00553A8B">
        <w:rPr>
          <w:rFonts w:ascii="Palatino Linotype" w:eastAsia="Calibri" w:hAnsi="Palatino Linotype" w:cs="Arial"/>
          <w:b/>
          <w:bCs/>
          <w:i/>
          <w:sz w:val="22"/>
          <w:lang w:val="es-ES_tradnl" w:eastAsia="en-US"/>
        </w:rPr>
        <w:t xml:space="preserve">Expedientes: </w:t>
      </w:r>
      <w:r w:rsidRPr="00553A8B">
        <w:rPr>
          <w:rFonts w:ascii="Palatino Linotype" w:eastAsia="Calibri" w:hAnsi="Palatino Linotype" w:cs="Arial"/>
          <w:i/>
          <w:sz w:val="22"/>
          <w:lang w:val="es-ES_tradnl" w:eastAsia="en-US"/>
        </w:rPr>
        <w:t xml:space="preserve">0438/08 Pemex Exploración y Producción – Alonso Lujambio Irazábal 1751/09 Laboratorios de Biológicos y Reactivos de México S.A. de C.V. – María Marván Laborde 2868/09 Consejo Nacional de Ciencia y Tecnología – Jacqueline Peschard Mariscal 5160/09 </w:t>
      </w:r>
      <w:r w:rsidRPr="00F360D6">
        <w:rPr>
          <w:rFonts w:ascii="Palatino Linotype" w:eastAsia="Calibri" w:hAnsi="Palatino Linotype" w:cs="Arial"/>
          <w:i/>
          <w:sz w:val="22"/>
          <w:lang w:val="es-ES_tradnl" w:eastAsia="en-US"/>
        </w:rPr>
        <w:t xml:space="preserve">Secretaría de Hacienda y Crédito Público – Ángel Trinidad Zaldívar 0304/10 Instituto Nacional de Cancerología – Jacqueline Peschard Mariscal” </w:t>
      </w:r>
    </w:p>
    <w:p w14:paraId="63F6AC29" w14:textId="1FD7BB4D" w:rsidR="009B6974" w:rsidRPr="000353E1" w:rsidRDefault="7D712084" w:rsidP="000353E1">
      <w:pPr>
        <w:pStyle w:val="Prrafodelista"/>
        <w:numPr>
          <w:ilvl w:val="0"/>
          <w:numId w:val="2"/>
        </w:numPr>
        <w:tabs>
          <w:tab w:val="left" w:pos="567"/>
        </w:tabs>
        <w:spacing w:before="240" w:after="360" w:line="360" w:lineRule="auto"/>
        <w:ind w:left="0" w:right="616" w:firstLine="0"/>
        <w:contextualSpacing/>
        <w:jc w:val="both"/>
        <w:rPr>
          <w:rFonts w:ascii="Palatino Linotype" w:eastAsia="Calibri" w:hAnsi="Palatino Linotype" w:cs="Arial"/>
          <w:i/>
          <w:lang w:val="es-ES_tradnl" w:eastAsia="en-US"/>
        </w:rPr>
      </w:pPr>
      <w:r w:rsidRPr="00F360D6">
        <w:rPr>
          <w:rFonts w:ascii="Palatino Linotype" w:eastAsia="MS Mincho" w:hAnsi="Palatino Linotype"/>
          <w:color w:val="000000" w:themeColor="text1"/>
        </w:rPr>
        <w:t>Finalmente, no debe perderse de vista que el</w:t>
      </w:r>
      <w:r w:rsidRPr="00F360D6">
        <w:rPr>
          <w:rFonts w:ascii="Palatino Linotype" w:eastAsia="MS Mincho" w:hAnsi="Palatino Linotype"/>
          <w:b/>
          <w:bCs/>
          <w:color w:val="000000" w:themeColor="text1"/>
        </w:rPr>
        <w:t xml:space="preserve"> RECURRENTE</w:t>
      </w:r>
      <w:r w:rsidRPr="00F360D6">
        <w:rPr>
          <w:rFonts w:ascii="Palatino Linotype" w:eastAsia="MS Mincho" w:hAnsi="Palatino Linotype"/>
          <w:color w:val="000000" w:themeColor="text1"/>
        </w:rPr>
        <w:t xml:space="preserve"> no señalo el año del plazo especifico del cual requiere la información, toda vez que de la lectura al contenido de la solicitud de información </w:t>
      </w:r>
      <w:r w:rsidRPr="00F360D6">
        <w:rPr>
          <w:rFonts w:ascii="Palatino Linotype" w:eastAsia="Calibri" w:hAnsi="Palatino Linotype" w:cs="Arial"/>
          <w:b/>
          <w:bCs/>
          <w:lang w:eastAsia="en-US"/>
        </w:rPr>
        <w:t>00491/SF/IP/2022</w:t>
      </w:r>
      <w:r w:rsidRPr="00F360D6">
        <w:rPr>
          <w:rFonts w:ascii="Palatino Linotype" w:eastAsia="Calibri" w:hAnsi="Palatino Linotype" w:cs="Arial"/>
          <w:i/>
          <w:iCs/>
          <w:lang w:eastAsia="en-US"/>
        </w:rPr>
        <w:t xml:space="preserve"> </w:t>
      </w:r>
      <w:r w:rsidRPr="00F360D6">
        <w:rPr>
          <w:rFonts w:ascii="Palatino Linotype" w:eastAsia="MS Mincho" w:hAnsi="Palatino Linotype"/>
          <w:color w:val="000000" w:themeColor="text1"/>
        </w:rPr>
        <w:t xml:space="preserve">se advierte que el particular requirió el nombre de las personas físicas o morales contratadas por el Gobierno del Estado de México, a través de Contratación de servicios de asesorías asociadas a convenios o acuerdos y la dependencia a la que están adscritas, </w:t>
      </w:r>
      <w:r w:rsidRPr="00F360D6">
        <w:rPr>
          <w:rFonts w:ascii="Palatino Linotype" w:hAnsi="Palatino Linotype" w:cs="Arial"/>
        </w:rPr>
        <w:t>mas no indico el año, por lo tanto, se deberá realizar la</w:t>
      </w:r>
      <w:r w:rsidRPr="7D712084">
        <w:rPr>
          <w:rFonts w:ascii="Palatino Linotype" w:hAnsi="Palatino Linotype" w:cs="Arial"/>
        </w:rPr>
        <w:t xml:space="preserve"> búsqueda de lo solicitado en los archivos del</w:t>
      </w:r>
      <w:r w:rsidRPr="7D712084">
        <w:rPr>
          <w:rFonts w:ascii="Palatino Linotype" w:hAnsi="Palatino Linotype" w:cs="Arial"/>
          <w:b/>
          <w:bCs/>
        </w:rPr>
        <w:t xml:space="preserve"> SUJETO OBLIGADO </w:t>
      </w:r>
      <w:r w:rsidRPr="7D712084">
        <w:rPr>
          <w:rFonts w:ascii="Palatino Linotype" w:hAnsi="Palatino Linotype" w:cs="Arial"/>
        </w:rPr>
        <w:t xml:space="preserve">por periodo consistente del año inmediato anterior a la fecha de la presentación de la solicitud, esto es del veinticinco (25) de octubre de dos mil veintiuno al veinticinco (25) de octubre del dos mil veintidós. </w:t>
      </w:r>
    </w:p>
    <w:p w14:paraId="3158055D" w14:textId="77777777" w:rsidR="009B6974" w:rsidRPr="000353E1" w:rsidRDefault="009B6974" w:rsidP="000353E1">
      <w:pPr>
        <w:pStyle w:val="Prrafodelista"/>
        <w:spacing w:before="240" w:after="360" w:line="360" w:lineRule="auto"/>
        <w:ind w:left="0" w:right="616"/>
        <w:contextualSpacing/>
        <w:jc w:val="both"/>
        <w:rPr>
          <w:rFonts w:ascii="Palatino Linotype" w:eastAsia="Calibri" w:hAnsi="Palatino Linotype" w:cs="Arial"/>
          <w:i/>
          <w:lang w:val="es-ES_tradnl" w:eastAsia="en-US"/>
        </w:rPr>
      </w:pPr>
    </w:p>
    <w:p w14:paraId="55E7541B" w14:textId="093780E2" w:rsidR="00EF43EA" w:rsidRPr="00553A8B" w:rsidRDefault="7D712084" w:rsidP="000353E1">
      <w:pPr>
        <w:pStyle w:val="Prrafodelista"/>
        <w:numPr>
          <w:ilvl w:val="0"/>
          <w:numId w:val="2"/>
        </w:numPr>
        <w:tabs>
          <w:tab w:val="left" w:pos="567"/>
        </w:tabs>
        <w:spacing w:before="240" w:after="360" w:line="360" w:lineRule="auto"/>
        <w:ind w:left="0" w:right="616" w:firstLine="0"/>
        <w:contextualSpacing/>
        <w:jc w:val="both"/>
        <w:rPr>
          <w:rFonts w:ascii="Palatino Linotype" w:eastAsia="Calibri" w:hAnsi="Palatino Linotype" w:cs="Arial"/>
          <w:i/>
          <w:sz w:val="22"/>
          <w:lang w:val="es-ES_tradnl" w:eastAsia="en-US"/>
        </w:rPr>
      </w:pPr>
      <w:r w:rsidRPr="7D712084">
        <w:rPr>
          <w:rFonts w:ascii="Palatino Linotype" w:eastAsia="MS Mincho" w:hAnsi="Palatino Linotype"/>
          <w:color w:val="000000" w:themeColor="text1"/>
        </w:rPr>
        <w:lastRenderedPageBreak/>
        <w:t xml:space="preserve">Sustenta lo anterior el Criterio de Interpretación 003/19 emitido por el Instituto Nacional de Transparencia, Acceso a la Información y Protección de </w:t>
      </w:r>
      <w:r w:rsidRPr="00553A8B">
        <w:rPr>
          <w:rFonts w:ascii="Palatino Linotype" w:eastAsia="MS Mincho" w:hAnsi="Palatino Linotype"/>
          <w:color w:val="000000" w:themeColor="text1"/>
          <w:sz w:val="22"/>
        </w:rPr>
        <w:t xml:space="preserve">Datos Personales, cuyo rubro y texto establecen lo siguiente: </w:t>
      </w:r>
    </w:p>
    <w:p w14:paraId="269264DB" w14:textId="59A57411" w:rsidR="00EF43EA" w:rsidRPr="00F360D6" w:rsidRDefault="000F04CE" w:rsidP="000353E1">
      <w:pPr>
        <w:spacing w:after="160" w:line="360" w:lineRule="auto"/>
        <w:ind w:left="567" w:right="900"/>
        <w:jc w:val="both"/>
        <w:rPr>
          <w:rFonts w:ascii="Palatino Linotype" w:eastAsia="MS Mincho" w:hAnsi="Palatino Linotype"/>
          <w:color w:val="000000"/>
          <w:sz w:val="22"/>
        </w:rPr>
      </w:pPr>
      <w:r w:rsidRPr="00553A8B">
        <w:rPr>
          <w:rFonts w:ascii="Palatino Linotype" w:eastAsia="MS Mincho" w:hAnsi="Palatino Linotype"/>
          <w:b/>
          <w:i/>
          <w:color w:val="000000"/>
          <w:sz w:val="22"/>
        </w:rPr>
        <w:t>“</w:t>
      </w:r>
      <w:r w:rsidR="00EF43EA" w:rsidRPr="00553A8B">
        <w:rPr>
          <w:rFonts w:ascii="Palatino Linotype" w:eastAsia="MS Mincho" w:hAnsi="Palatino Linotype"/>
          <w:b/>
          <w:i/>
          <w:color w:val="000000"/>
          <w:sz w:val="22"/>
        </w:rPr>
        <w:t>PERIODO DE BÚSQUEDA DE LA INFORMACIÓN.</w:t>
      </w:r>
      <w:r w:rsidR="00EF43EA" w:rsidRPr="00553A8B">
        <w:rPr>
          <w:rFonts w:ascii="Palatino Linotype" w:eastAsia="MS Mincho" w:hAnsi="Palatino Linotype"/>
          <w:i/>
          <w:color w:val="000000"/>
          <w:sz w:val="22"/>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w:t>
      </w:r>
      <w:r w:rsidR="00EF43EA" w:rsidRPr="00F360D6">
        <w:rPr>
          <w:rFonts w:ascii="Palatino Linotype" w:eastAsia="MS Mincho" w:hAnsi="Palatino Linotype"/>
          <w:i/>
          <w:color w:val="000000"/>
          <w:sz w:val="22"/>
        </w:rPr>
        <w:t>anterior, contado a partir de la fecha e</w:t>
      </w:r>
      <w:r w:rsidRPr="00F360D6">
        <w:rPr>
          <w:rFonts w:ascii="Palatino Linotype" w:eastAsia="MS Mincho" w:hAnsi="Palatino Linotype"/>
          <w:i/>
          <w:color w:val="000000"/>
          <w:sz w:val="22"/>
        </w:rPr>
        <w:t xml:space="preserve">n que se presentó la solicitud.” </w:t>
      </w:r>
    </w:p>
    <w:p w14:paraId="5933DF41" w14:textId="77777777" w:rsidR="00EF43EA" w:rsidRPr="00F360D6" w:rsidRDefault="00EF43EA" w:rsidP="000353E1">
      <w:pPr>
        <w:spacing w:after="160" w:line="360" w:lineRule="auto"/>
        <w:jc w:val="both"/>
        <w:rPr>
          <w:rFonts w:ascii="Palatino Linotype" w:eastAsia="MS Mincho" w:hAnsi="Palatino Linotype"/>
          <w:color w:val="000000"/>
        </w:rPr>
      </w:pPr>
    </w:p>
    <w:p w14:paraId="2E39C794" w14:textId="4F396B91" w:rsidR="00DB444E" w:rsidRPr="000353E1" w:rsidRDefault="7D712084" w:rsidP="000353E1">
      <w:pPr>
        <w:pStyle w:val="Prrafodelista"/>
        <w:numPr>
          <w:ilvl w:val="0"/>
          <w:numId w:val="2"/>
        </w:numPr>
        <w:tabs>
          <w:tab w:val="left" w:pos="567"/>
        </w:tabs>
        <w:spacing w:after="160" w:line="360" w:lineRule="auto"/>
        <w:ind w:left="0" w:firstLine="0"/>
        <w:jc w:val="both"/>
        <w:rPr>
          <w:rFonts w:ascii="Palatino Linotype" w:eastAsia="MS Mincho" w:hAnsi="Palatino Linotype"/>
          <w:color w:val="000000"/>
        </w:rPr>
      </w:pPr>
      <w:r w:rsidRPr="00F360D6">
        <w:rPr>
          <w:rFonts w:ascii="Palatino Linotype" w:eastAsia="MS Mincho" w:hAnsi="Palatino Linotype"/>
          <w:color w:val="000000" w:themeColor="text1"/>
        </w:rPr>
        <w:t xml:space="preserve">En consecuencia de lo anterior, este Organismo Garante encuentra conforme a derecho </w:t>
      </w:r>
      <w:r w:rsidRPr="00F360D6">
        <w:rPr>
          <w:rFonts w:ascii="Palatino Linotype" w:eastAsia="MS Mincho" w:hAnsi="Palatino Linotype"/>
          <w:b/>
          <w:bCs/>
          <w:color w:val="000000" w:themeColor="text1"/>
        </w:rPr>
        <w:t>ordenar</w:t>
      </w:r>
      <w:r w:rsidRPr="00F360D6">
        <w:rPr>
          <w:rFonts w:ascii="Palatino Linotype" w:eastAsia="MS Mincho" w:hAnsi="Palatino Linotype"/>
          <w:color w:val="000000" w:themeColor="text1"/>
        </w:rPr>
        <w:t xml:space="preserve"> la entrega de los nombre de las personas físicas o morales contratadas por el Gobierno del Estado de México, a través de Contratación de servicios de asesorías asociadas a convenios o acuerdos y las dependencias a la que están adscritas, del veinticinco (25) de octubre de dos mil veintiuno al veinticinco</w:t>
      </w:r>
      <w:r w:rsidRPr="7D712084">
        <w:rPr>
          <w:rFonts w:ascii="Palatino Linotype" w:eastAsia="MS Mincho" w:hAnsi="Palatino Linotype"/>
          <w:color w:val="000000" w:themeColor="text1"/>
        </w:rPr>
        <w:t xml:space="preserve"> (25) de octubre del dos mil veintidós, </w:t>
      </w:r>
      <w:r w:rsidRPr="7D712084">
        <w:rPr>
          <w:rFonts w:ascii="Palatino Linotype" w:hAnsi="Palatino Linotype"/>
          <w:color w:val="000000" w:themeColor="text1"/>
        </w:rPr>
        <w:t>de ser procedente en versión pública.</w:t>
      </w:r>
    </w:p>
    <w:p w14:paraId="185BCF9C" w14:textId="77777777" w:rsidR="009B6974" w:rsidRPr="000353E1" w:rsidRDefault="009B6974" w:rsidP="000353E1">
      <w:pPr>
        <w:pStyle w:val="Prrafodelista"/>
        <w:spacing w:after="160" w:line="360" w:lineRule="auto"/>
        <w:ind w:left="0"/>
        <w:jc w:val="both"/>
        <w:rPr>
          <w:rFonts w:ascii="Palatino Linotype" w:eastAsia="MS Mincho" w:hAnsi="Palatino Linotype"/>
          <w:color w:val="000000"/>
        </w:rPr>
      </w:pPr>
    </w:p>
    <w:p w14:paraId="6B80E251" w14:textId="71D182CC" w:rsidR="002D658A" w:rsidRPr="000353E1" w:rsidRDefault="002D658A" w:rsidP="000353E1">
      <w:pPr>
        <w:keepNext/>
        <w:keepLines/>
        <w:spacing w:before="240" w:line="360" w:lineRule="auto"/>
        <w:outlineLvl w:val="0"/>
        <w:rPr>
          <w:rFonts w:ascii="Palatino Linotype" w:eastAsia="MS Mincho" w:hAnsi="Palatino Linotype"/>
          <w:b/>
          <w:lang w:val="es-ES_tradnl"/>
        </w:rPr>
      </w:pPr>
      <w:bookmarkStart w:id="49" w:name="_Toc34310247"/>
      <w:bookmarkStart w:id="50" w:name="_Toc34849558"/>
      <w:bookmarkStart w:id="51" w:name="_Toc53659481"/>
      <w:bookmarkStart w:id="52" w:name="_Toc67598514"/>
      <w:bookmarkStart w:id="53" w:name="_Toc69999203"/>
      <w:bookmarkStart w:id="54" w:name="_Toc73033012"/>
      <w:bookmarkStart w:id="55" w:name="_Toc113445984"/>
      <w:r w:rsidRPr="000353E1">
        <w:rPr>
          <w:rFonts w:ascii="Palatino Linotype" w:eastAsia="MS Gothic" w:hAnsi="Palatino Linotype"/>
          <w:b/>
          <w:lang w:val="es-ES_tradnl" w:eastAsia="es-ES_tradnl"/>
        </w:rPr>
        <w:t xml:space="preserve">QUINTO. </w:t>
      </w:r>
      <w:r w:rsidRPr="000353E1">
        <w:rPr>
          <w:rFonts w:ascii="Palatino Linotype" w:eastAsia="MS Mincho" w:hAnsi="Palatino Linotype"/>
          <w:b/>
          <w:lang w:val="es-ES_tradnl"/>
        </w:rPr>
        <w:t>De la elaboración de la versión pública y el acuerdo de clasificación como información confidencial</w:t>
      </w:r>
      <w:bookmarkEnd w:id="49"/>
      <w:bookmarkEnd w:id="50"/>
      <w:bookmarkEnd w:id="51"/>
      <w:bookmarkEnd w:id="52"/>
      <w:bookmarkEnd w:id="53"/>
      <w:bookmarkEnd w:id="54"/>
      <w:r w:rsidRPr="000353E1">
        <w:rPr>
          <w:rFonts w:ascii="Palatino Linotype" w:eastAsia="MS Mincho" w:hAnsi="Palatino Linotype"/>
          <w:b/>
          <w:lang w:val="es-ES_tradnl"/>
        </w:rPr>
        <w:t>.</w:t>
      </w:r>
      <w:bookmarkEnd w:id="55"/>
    </w:p>
    <w:p w14:paraId="4A77335D" w14:textId="77777777" w:rsidR="002D658A" w:rsidRPr="000353E1" w:rsidRDefault="002D658A" w:rsidP="000353E1">
      <w:pPr>
        <w:tabs>
          <w:tab w:val="left" w:pos="426"/>
        </w:tabs>
        <w:spacing w:line="360" w:lineRule="auto"/>
        <w:jc w:val="both"/>
        <w:rPr>
          <w:rFonts w:ascii="Palatino Linotype" w:hAnsi="Palatino Linotype"/>
          <w:color w:val="000000" w:themeColor="text1"/>
        </w:rPr>
      </w:pPr>
    </w:p>
    <w:p w14:paraId="59FA4D07" w14:textId="77777777" w:rsidR="002D658A" w:rsidRPr="000353E1" w:rsidRDefault="7D712084" w:rsidP="000353E1">
      <w:pPr>
        <w:numPr>
          <w:ilvl w:val="0"/>
          <w:numId w:val="2"/>
        </w:numPr>
        <w:tabs>
          <w:tab w:val="left" w:pos="567"/>
        </w:tabs>
        <w:spacing w:line="360" w:lineRule="auto"/>
        <w:ind w:left="0" w:firstLine="0"/>
        <w:contextualSpacing/>
        <w:jc w:val="both"/>
        <w:rPr>
          <w:rFonts w:ascii="Palatino Linotype" w:hAnsi="Palatino Linotype"/>
          <w:color w:val="000000" w:themeColor="text1"/>
        </w:rPr>
      </w:pPr>
      <w:r w:rsidRPr="7D712084">
        <w:rPr>
          <w:rFonts w:ascii="Palatino Linotype" w:hAnsi="Palatino Linotype"/>
          <w:color w:val="000000" w:themeColor="text1"/>
        </w:rPr>
        <w:t>Debe destacarse que, debido a la naturaleza de la información solicitada</w:t>
      </w:r>
      <w:r w:rsidRPr="7D712084">
        <w:rPr>
          <w:rFonts w:ascii="Palatino Linotype" w:hAnsi="Palatino Linotype"/>
          <w:b/>
          <w:bCs/>
          <w:color w:val="000000" w:themeColor="text1"/>
        </w:rPr>
        <w:t xml:space="preserve"> </w:t>
      </w:r>
      <w:r w:rsidRPr="7D712084">
        <w:rPr>
          <w:rFonts w:ascii="Palatino Linotype" w:hAnsi="Palatino Linotype"/>
          <w:color w:val="000000" w:themeColor="text1"/>
        </w:rPr>
        <w:t xml:space="preserve">eventualmente pudieran obrar datos personales susceptibles de protegerse, y toda vez que este Instituto de Transparencia, Acceso a la Información Pública y </w:t>
      </w:r>
      <w:r w:rsidRPr="7D712084">
        <w:rPr>
          <w:rFonts w:ascii="Palatino Linotype" w:hAnsi="Palatino Linotype"/>
          <w:color w:val="000000" w:themeColor="text1"/>
        </w:rPr>
        <w:lastRenderedPageBreak/>
        <w:t>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7269E200" w14:textId="77777777" w:rsidR="002D658A" w:rsidRPr="000353E1" w:rsidRDefault="002D658A" w:rsidP="000353E1">
      <w:pPr>
        <w:tabs>
          <w:tab w:val="left" w:pos="426"/>
        </w:tabs>
        <w:spacing w:line="360" w:lineRule="auto"/>
        <w:jc w:val="both"/>
        <w:rPr>
          <w:rFonts w:ascii="Palatino Linotype" w:hAnsi="Palatino Linotype"/>
          <w:color w:val="000000" w:themeColor="text1"/>
        </w:rPr>
      </w:pPr>
    </w:p>
    <w:p w14:paraId="63101FBF" w14:textId="77777777" w:rsidR="002D658A" w:rsidRPr="000353E1" w:rsidRDefault="7D712084" w:rsidP="000353E1">
      <w:pPr>
        <w:numPr>
          <w:ilvl w:val="0"/>
          <w:numId w:val="2"/>
        </w:numPr>
        <w:tabs>
          <w:tab w:val="left" w:pos="567"/>
        </w:tabs>
        <w:spacing w:line="360" w:lineRule="auto"/>
        <w:ind w:left="0" w:firstLine="0"/>
        <w:contextualSpacing/>
        <w:jc w:val="both"/>
        <w:rPr>
          <w:rFonts w:ascii="Palatino Linotype" w:hAnsi="Palatino Linotype"/>
          <w:color w:val="000000" w:themeColor="text1"/>
        </w:rPr>
      </w:pPr>
      <w:r w:rsidRPr="7D712084">
        <w:rPr>
          <w:rFonts w:ascii="Palatino Linotype" w:hAnsi="Palatino Linotype"/>
          <w:color w:val="000000" w:themeColor="text1"/>
        </w:rPr>
        <w:t xml:space="preserve">La </w:t>
      </w:r>
      <w:r w:rsidRPr="7D712084">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7D712084">
        <w:rPr>
          <w:rFonts w:ascii="Palatino Linotype" w:hAnsi="Palatino Linotype" w:cs="Arial"/>
          <w:color w:val="000000" w:themeColor="text1"/>
        </w:rPr>
        <w:t xml:space="preserve">Actualmente, el grave problema que enfrentamos son los Acuerdos de Clasificación de la Información que emiten los </w:t>
      </w:r>
      <w:r w:rsidRPr="7D712084">
        <w:rPr>
          <w:rFonts w:ascii="Palatino Linotype" w:hAnsi="Palatino Linotype" w:cs="Arial"/>
          <w:b/>
          <w:bCs/>
          <w:color w:val="000000" w:themeColor="text1"/>
        </w:rPr>
        <w:t>SUJETOS OBLIGADOS</w:t>
      </w:r>
      <w:r w:rsidRPr="7D712084">
        <w:rPr>
          <w:rFonts w:ascii="Palatino Linotype" w:hAnsi="Palatino Linotype" w:cs="Arial"/>
          <w:color w:val="000000" w:themeColor="text1"/>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7C9EC510" w14:textId="77777777" w:rsidR="002D658A" w:rsidRPr="000353E1" w:rsidRDefault="002D658A" w:rsidP="000353E1">
      <w:pPr>
        <w:tabs>
          <w:tab w:val="left" w:pos="426"/>
        </w:tabs>
        <w:spacing w:line="360" w:lineRule="auto"/>
        <w:jc w:val="both"/>
        <w:rPr>
          <w:rFonts w:ascii="Palatino Linotype" w:hAnsi="Palatino Linotype"/>
          <w:color w:val="000000" w:themeColor="text1"/>
        </w:rPr>
      </w:pPr>
    </w:p>
    <w:tbl>
      <w:tblPr>
        <w:tblStyle w:val="Tabladecuadrcula6concolores1"/>
        <w:tblW w:w="0" w:type="auto"/>
        <w:tblLook w:val="04A0" w:firstRow="1" w:lastRow="0" w:firstColumn="1" w:lastColumn="0" w:noHBand="0" w:noVBand="1"/>
      </w:tblPr>
      <w:tblGrid>
        <w:gridCol w:w="1838"/>
        <w:gridCol w:w="6981"/>
      </w:tblGrid>
      <w:tr w:rsidR="002D658A" w:rsidRPr="000353E1" w14:paraId="11416C57" w14:textId="77777777" w:rsidTr="002D4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71FAFF7B" w14:textId="77777777" w:rsidR="002D658A" w:rsidRPr="000353E1" w:rsidRDefault="002D658A" w:rsidP="000353E1">
            <w:pPr>
              <w:spacing w:line="360" w:lineRule="auto"/>
              <w:rPr>
                <w:rFonts w:ascii="Palatino Linotype" w:hAnsi="Palatino Linotype"/>
                <w:sz w:val="24"/>
                <w:szCs w:val="24"/>
              </w:rPr>
            </w:pPr>
            <w:r w:rsidRPr="000353E1">
              <w:rPr>
                <w:rFonts w:ascii="Palatino Linotype" w:hAnsi="Palatino Linotype" w:cstheme="majorBidi"/>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4527F783" w14:textId="77777777" w:rsidR="002D658A" w:rsidRPr="000353E1" w:rsidRDefault="002D658A" w:rsidP="000353E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94F30BC" w14:textId="77777777" w:rsidR="002D658A" w:rsidRPr="000353E1" w:rsidRDefault="002D658A" w:rsidP="000353E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Al hacerlo tienen que precisar de qué información se trata, señalando el supuesto de clasificación (confidencialidad o reserva).</w:t>
            </w:r>
          </w:p>
          <w:p w14:paraId="5E0D7576" w14:textId="77777777" w:rsidR="002D658A" w:rsidRPr="000353E1" w:rsidRDefault="002D658A" w:rsidP="000353E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lastRenderedPageBreak/>
              <w:t>Además, se debe señalar el procedimiento, de los tres que establecen los artículos 132 y 106 de la Ley Estatal y General, respectivamente.</w:t>
            </w:r>
          </w:p>
          <w:p w14:paraId="45600F8D" w14:textId="77777777" w:rsidR="002D658A" w:rsidRPr="000353E1" w:rsidRDefault="002D658A" w:rsidP="000353E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0353E1">
              <w:rPr>
                <w:rFonts w:ascii="Palatino Linotype" w:hAnsi="Palatino Linotype" w:cs="Arial"/>
                <w:sz w:val="24"/>
                <w:szCs w:val="24"/>
              </w:rPr>
              <w:t xml:space="preserve">El último de estos requisitos previos consiste en que no se pueden emitir acuerdos de carácter general ni particular, esto es, </w:t>
            </w:r>
            <w:r w:rsidRPr="000353E1">
              <w:rPr>
                <w:rFonts w:ascii="Palatino Linotype" w:hAnsi="Palatino Linotype" w:cs="Arial"/>
                <w:sz w:val="24"/>
                <w:szCs w:val="24"/>
                <w:u w:val="single"/>
              </w:rPr>
              <w:t xml:space="preserve">no se puede hacer un acuerdo para clasificar de manera general todos los documentos de un expediente o área,  </w:t>
            </w:r>
            <w:r w:rsidRPr="000353E1">
              <w:rPr>
                <w:rFonts w:ascii="Palatino Linotype" w:hAnsi="Palatino Linotype" w:cs="Arial"/>
                <w:sz w:val="24"/>
                <w:szCs w:val="24"/>
              </w:rPr>
              <w:t>sin individualizar su análisis y tampoco se puede hacer un acuerdo por cada dato que se vaya a clasificar dentro de un documento con diez datos, por ejemplo, susceptibles de ser clasificados.</w:t>
            </w:r>
          </w:p>
        </w:tc>
      </w:tr>
      <w:tr w:rsidR="002D658A" w:rsidRPr="000353E1" w14:paraId="417296F8" w14:textId="77777777" w:rsidTr="002D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5E61076" w14:textId="77777777" w:rsidR="002D658A" w:rsidRPr="000353E1" w:rsidRDefault="002D658A" w:rsidP="000353E1">
            <w:pPr>
              <w:spacing w:line="360" w:lineRule="auto"/>
              <w:rPr>
                <w:rFonts w:ascii="Palatino Linotype" w:hAnsi="Palatino Linotype"/>
                <w:sz w:val="24"/>
                <w:szCs w:val="24"/>
              </w:rPr>
            </w:pPr>
            <w:r w:rsidRPr="000353E1">
              <w:rPr>
                <w:rFonts w:ascii="Palatino Linotype" w:hAnsi="Palatino Linotype" w:cstheme="majorBidi"/>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361243F4"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Las disposiciones constitucionales y legales en la materia establecen los dos supuestos generales para clasificar la información: por reserva y por confidencialidad.</w:t>
            </w:r>
          </w:p>
          <w:p w14:paraId="75C5AD3F"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B944046" w14:textId="77777777" w:rsidR="002D658A" w:rsidRPr="000353E1" w:rsidRDefault="002D658A" w:rsidP="000353E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0353E1">
              <w:rPr>
                <w:rFonts w:ascii="Palatino Linotype" w:hAnsi="Palatino Linotype" w:cs="Arial"/>
                <w:sz w:val="24"/>
                <w:szCs w:val="24"/>
              </w:rPr>
              <w:lastRenderedPageBreak/>
              <w:t xml:space="preserve">El </w:t>
            </w:r>
            <w:r w:rsidRPr="000353E1">
              <w:rPr>
                <w:rFonts w:ascii="Palatino Linotype" w:hAnsi="Palatino Linotype" w:cs="Arial"/>
                <w:b/>
                <w:sz w:val="24"/>
                <w:szCs w:val="24"/>
              </w:rPr>
              <w:t>SUJETO OBLIGADO</w:t>
            </w:r>
            <w:r w:rsidRPr="000353E1">
              <w:rPr>
                <w:rFonts w:ascii="Palatino Linotype" w:hAnsi="Palatino Linotype" w:cs="Arial"/>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D658A" w:rsidRPr="000353E1" w14:paraId="4FD5A042" w14:textId="77777777" w:rsidTr="002D4E6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64168441" w14:textId="77777777" w:rsidR="002D658A" w:rsidRPr="000353E1" w:rsidRDefault="002D658A" w:rsidP="000353E1">
            <w:pPr>
              <w:spacing w:line="360" w:lineRule="auto"/>
              <w:rPr>
                <w:rFonts w:ascii="Palatino Linotype" w:hAnsi="Palatino Linotype"/>
                <w:sz w:val="24"/>
                <w:szCs w:val="24"/>
              </w:rPr>
            </w:pPr>
            <w:r w:rsidRPr="000353E1">
              <w:rPr>
                <w:rFonts w:ascii="Palatino Linotype" w:hAnsi="Palatino Linotype" w:cstheme="majorBidi"/>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DC9B7D" w14:textId="77777777" w:rsidR="002D658A" w:rsidRPr="000353E1" w:rsidRDefault="002D658A" w:rsidP="000353E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 xml:space="preserve">El Comité de Transparencia, según lo dispuesto en los artículos cuenta con las facultades para aprobar, modificar o revocar la clasificación de la información que haya propuesto. </w:t>
            </w:r>
          </w:p>
          <w:p w14:paraId="0045D724" w14:textId="77777777" w:rsidR="002D658A" w:rsidRPr="000353E1" w:rsidRDefault="002D658A" w:rsidP="000353E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 xml:space="preserve">Es necesario que </w:t>
            </w:r>
            <w:r w:rsidRPr="000353E1">
              <w:rPr>
                <w:rFonts w:ascii="Palatino Linotype" w:hAnsi="Palatino Linotype" w:cs="Arial"/>
                <w:b/>
                <w:sz w:val="24"/>
                <w:szCs w:val="24"/>
                <w:u w:val="single"/>
              </w:rPr>
              <w:t>el acto reúna con los requisitos elementales</w:t>
            </w:r>
            <w:r w:rsidRPr="000353E1">
              <w:rPr>
                <w:rFonts w:ascii="Palatino Linotype" w:hAnsi="Palatino Linotype" w:cs="Arial"/>
                <w:sz w:val="24"/>
                <w:szCs w:val="24"/>
              </w:rPr>
              <w:t>, entre ellos, que la autoridad que va a emitir el acto de autoridad sea la legalmente facultada para ello.</w:t>
            </w:r>
          </w:p>
          <w:p w14:paraId="125B338F" w14:textId="77777777" w:rsidR="002D658A" w:rsidRPr="000353E1" w:rsidRDefault="002D658A" w:rsidP="000353E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353E1">
              <w:rPr>
                <w:rFonts w:ascii="Palatino Linotype" w:hAnsi="Palatino Linotype" w:cs="Arial"/>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D658A" w:rsidRPr="000353E1" w14:paraId="45EC1742" w14:textId="77777777" w:rsidTr="002D4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171EBBC" w14:textId="77777777" w:rsidR="002D658A" w:rsidRPr="000353E1" w:rsidRDefault="002D658A" w:rsidP="000353E1">
            <w:pPr>
              <w:spacing w:line="360" w:lineRule="auto"/>
              <w:rPr>
                <w:rFonts w:ascii="Palatino Linotype" w:hAnsi="Palatino Linotype"/>
                <w:sz w:val="24"/>
                <w:szCs w:val="24"/>
              </w:rPr>
            </w:pPr>
          </w:p>
          <w:p w14:paraId="1A6D5C99" w14:textId="77777777" w:rsidR="002D658A" w:rsidRPr="000353E1" w:rsidRDefault="002D658A" w:rsidP="000353E1">
            <w:pPr>
              <w:spacing w:line="360" w:lineRule="auto"/>
              <w:jc w:val="both"/>
              <w:rPr>
                <w:rFonts w:ascii="Palatino Linotype" w:hAnsi="Palatino Linotype"/>
                <w:sz w:val="24"/>
                <w:szCs w:val="24"/>
              </w:rPr>
            </w:pPr>
            <w:r w:rsidRPr="000353E1">
              <w:rPr>
                <w:rFonts w:ascii="Palatino Linotype" w:hAnsi="Palatino Linotype" w:cs="Arial"/>
                <w:sz w:val="24"/>
                <w:szCs w:val="24"/>
              </w:rPr>
              <w:t xml:space="preserve">d) Requisitos de fondo del </w:t>
            </w:r>
            <w:r w:rsidRPr="000353E1">
              <w:rPr>
                <w:rFonts w:ascii="Palatino Linotype" w:hAnsi="Palatino Linotype" w:cs="Arial"/>
                <w:sz w:val="24"/>
                <w:szCs w:val="24"/>
              </w:rPr>
              <w:lastRenderedPageBreak/>
              <w:t xml:space="preserve">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0861021"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lastRenderedPageBreak/>
              <w:t xml:space="preserve">Como se ha señalado antes, al hacer el juicio de subsunción o encaje entre el supuesto de hecho y la hipótesis jurídica, se debe acreditar la estricta correspondencia entre un elemento y otro. </w:t>
            </w:r>
            <w:r w:rsidRPr="000353E1">
              <w:rPr>
                <w:rFonts w:ascii="Palatino Linotype" w:hAnsi="Palatino Linotype" w:cs="Arial"/>
                <w:sz w:val="24"/>
                <w:szCs w:val="24"/>
              </w:rPr>
              <w:lastRenderedPageBreak/>
              <w:t xml:space="preserve">Ahora, en esta parte del procedimiento, que se desahoga en sede del Comité de Transparencia, la ley señala que la carga de la prueba, para justificar las restricciones, corresponde a los </w:t>
            </w:r>
            <w:r w:rsidRPr="000353E1">
              <w:rPr>
                <w:rFonts w:ascii="Palatino Linotype" w:hAnsi="Palatino Linotype" w:cs="Arial"/>
                <w:b/>
                <w:sz w:val="24"/>
                <w:szCs w:val="24"/>
              </w:rPr>
              <w:t>Sujetos Obligados</w:t>
            </w:r>
            <w:r w:rsidRPr="000353E1">
              <w:rPr>
                <w:rFonts w:ascii="Palatino Linotype" w:hAnsi="Palatino Linotype" w:cs="Arial"/>
                <w:sz w:val="24"/>
                <w:szCs w:val="24"/>
              </w:rPr>
              <w:t xml:space="preserve">, por lo que deberán fundar y motivar debidamente la clasificación. </w:t>
            </w:r>
          </w:p>
          <w:p w14:paraId="6225A4D1"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 xml:space="preserve">De lo anterior, se desprende que para una correcta </w:t>
            </w:r>
            <w:r w:rsidRPr="000353E1">
              <w:rPr>
                <w:rFonts w:ascii="Palatino Linotype" w:hAnsi="Palatino Linotype" w:cs="Arial"/>
                <w:b/>
                <w:sz w:val="24"/>
                <w:szCs w:val="24"/>
              </w:rPr>
              <w:t>clasificación total o parcial</w:t>
            </w:r>
            <w:r w:rsidRPr="000353E1">
              <w:rPr>
                <w:rFonts w:ascii="Palatino Linotype" w:hAnsi="Palatino Linotype" w:cs="Arial"/>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930D63E"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197ED14"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En ese mismo sentido, el numeral trigésimo tercero fracción V de los Lineamientos Generales, precisa que para motivar la clasificación se deben acreditar las circunstancias de tiempo, modo y lugar.</w:t>
            </w:r>
          </w:p>
          <w:p w14:paraId="7C6EE8F6" w14:textId="77777777" w:rsidR="002D658A" w:rsidRPr="000353E1" w:rsidRDefault="002D658A" w:rsidP="000353E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lastRenderedPageBreak/>
              <w:t xml:space="preserve">Ahora bien, </w:t>
            </w:r>
            <w:r w:rsidRPr="000353E1">
              <w:rPr>
                <w:rFonts w:ascii="Palatino Linotype" w:hAnsi="Palatino Linotype" w:cs="Arial"/>
                <w:b/>
                <w:sz w:val="24"/>
                <w:szCs w:val="24"/>
                <w:u w:val="single"/>
              </w:rPr>
              <w:t>para cada caso además de fundar y motivar</w:t>
            </w:r>
            <w:r w:rsidRPr="000353E1">
              <w:rPr>
                <w:rFonts w:ascii="Palatino Linotype" w:hAnsi="Palatino Linotype" w:cs="Arial"/>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D658A" w:rsidRPr="000353E1" w14:paraId="66C7F613" w14:textId="77777777" w:rsidTr="002D4E68">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D451C6A" w14:textId="77777777" w:rsidR="002D658A" w:rsidRPr="000353E1" w:rsidRDefault="002D658A" w:rsidP="000353E1">
            <w:pPr>
              <w:spacing w:line="360" w:lineRule="auto"/>
              <w:jc w:val="both"/>
              <w:rPr>
                <w:rFonts w:ascii="Palatino Linotype" w:hAnsi="Palatino Linotype" w:cs="Arial"/>
                <w:sz w:val="24"/>
                <w:szCs w:val="24"/>
              </w:rPr>
            </w:pPr>
            <w:r w:rsidRPr="000353E1">
              <w:rPr>
                <w:rFonts w:ascii="Palatino Linotype" w:eastAsia="MS Gothic" w:hAnsi="Palatino Linotype"/>
                <w:sz w:val="24"/>
                <w:szCs w:val="24"/>
              </w:rPr>
              <w:lastRenderedPageBreak/>
              <w:t xml:space="preserve">e) Condiciones especiales de la clasificación de la información como confidencial. </w:t>
            </w:r>
          </w:p>
          <w:p w14:paraId="2F5FD564" w14:textId="77777777" w:rsidR="002D658A" w:rsidRPr="000353E1" w:rsidRDefault="002D658A" w:rsidP="000353E1">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0A8A30BA" w14:textId="77777777" w:rsidR="002D658A" w:rsidRPr="000353E1" w:rsidRDefault="002D658A" w:rsidP="000353E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 xml:space="preserve">Los artículos 148 y 120 de la Ley Estatal y de la Ley General, respectivamente, establecen que aun tratándose de datos personales, se podrán proporcionar, incluso sin solicitar el consentimiento de su titular. </w:t>
            </w:r>
          </w:p>
          <w:p w14:paraId="727C096A" w14:textId="77777777" w:rsidR="002D658A" w:rsidRPr="000353E1" w:rsidRDefault="002D658A" w:rsidP="000353E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sz w:val="24"/>
                <w:szCs w:val="24"/>
              </w:rPr>
            </w:pPr>
            <w:r w:rsidRPr="000353E1">
              <w:rPr>
                <w:rFonts w:ascii="Palatino Linotype" w:hAnsi="Palatino Linotype" w:cs="Arial"/>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B820A0B" w14:textId="77777777" w:rsidR="002D658A" w:rsidRPr="000353E1" w:rsidRDefault="002D658A" w:rsidP="000353E1">
            <w:pPr>
              <w:spacing w:line="360" w:lineRule="auto"/>
              <w:ind w:right="-347"/>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0353E1">
              <w:rPr>
                <w:rFonts w:ascii="Palatino Linotype" w:hAnsi="Palatino Linotype" w:cs="Arial"/>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0382BF1" w14:textId="77777777" w:rsidR="002D658A" w:rsidRPr="000353E1" w:rsidRDefault="002D658A" w:rsidP="000353E1">
      <w:pPr>
        <w:spacing w:line="360" w:lineRule="auto"/>
        <w:contextualSpacing/>
        <w:jc w:val="both"/>
        <w:rPr>
          <w:rFonts w:ascii="Palatino Linotype" w:eastAsia="MS Gothic" w:hAnsi="Palatino Linotype" w:cstheme="majorBidi"/>
          <w:lang w:val="es-ES_tradnl"/>
        </w:rPr>
      </w:pPr>
    </w:p>
    <w:p w14:paraId="533796E2" w14:textId="77777777" w:rsidR="00F65DFF" w:rsidRPr="000353E1" w:rsidRDefault="7D712084" w:rsidP="000353E1">
      <w:pPr>
        <w:pStyle w:val="Prrafodelista"/>
        <w:numPr>
          <w:ilvl w:val="0"/>
          <w:numId w:val="2"/>
        </w:numPr>
        <w:tabs>
          <w:tab w:val="left" w:pos="567"/>
        </w:tabs>
        <w:spacing w:line="360" w:lineRule="auto"/>
        <w:ind w:left="0" w:firstLine="0"/>
        <w:contextualSpacing/>
        <w:jc w:val="both"/>
        <w:rPr>
          <w:rFonts w:ascii="Palatino Linotype" w:eastAsia="MS Mincho" w:hAnsi="Palatino Linotype"/>
          <w:color w:val="000000"/>
          <w:lang w:val="es-ES_tradnl"/>
        </w:rPr>
      </w:pPr>
      <w:r w:rsidRPr="7D712084">
        <w:rPr>
          <w:rFonts w:ascii="Palatino Linotype" w:eastAsia="MS Mincho" w:hAnsi="Palatino Linotype"/>
          <w:color w:val="000000" w:themeColor="text1"/>
        </w:rPr>
        <w:lastRenderedPageBreak/>
        <w:t xml:space="preserve">Por lo anteriormente expuesto y fundado, este </w:t>
      </w:r>
      <w:r w:rsidRPr="7D712084">
        <w:rPr>
          <w:rFonts w:ascii="Palatino Linotype" w:eastAsia="MS Mincho" w:hAnsi="Palatino Linotype"/>
          <w:b/>
          <w:bCs/>
          <w:color w:val="000000" w:themeColor="text1"/>
        </w:rPr>
        <w:t>ÓRGANO GARANTE</w:t>
      </w:r>
      <w:r w:rsidRPr="7D712084">
        <w:rPr>
          <w:rFonts w:ascii="Palatino Linotype" w:eastAsia="MS Mincho" w:hAnsi="Palatino Linotype"/>
          <w:color w:val="000000" w:themeColor="text1"/>
        </w:rPr>
        <w:t xml:space="preserve"> emite los siguientes.</w:t>
      </w:r>
    </w:p>
    <w:p w14:paraId="76E39815" w14:textId="77777777" w:rsidR="00F65DFF" w:rsidRPr="000353E1" w:rsidRDefault="00F65DFF" w:rsidP="000353E1">
      <w:pPr>
        <w:pStyle w:val="Ttulo1"/>
        <w:spacing w:before="0" w:line="360" w:lineRule="auto"/>
        <w:jc w:val="center"/>
        <w:rPr>
          <w:rFonts w:ascii="Palatino Linotype" w:eastAsia="Calibri" w:hAnsi="Palatino Linotype"/>
          <w:b/>
          <w:color w:val="000000" w:themeColor="text1"/>
          <w:sz w:val="24"/>
          <w:szCs w:val="24"/>
        </w:rPr>
      </w:pPr>
      <w:bookmarkStart w:id="56" w:name="_Toc83128595"/>
      <w:bookmarkStart w:id="57" w:name="_Toc51259595"/>
      <w:bookmarkStart w:id="58" w:name="_Toc34819440"/>
      <w:bookmarkStart w:id="59" w:name="_Toc2248738"/>
      <w:bookmarkStart w:id="60" w:name="_Toc534742545"/>
      <w:bookmarkStart w:id="61" w:name="_Toc504500693"/>
      <w:r w:rsidRPr="000353E1">
        <w:rPr>
          <w:rFonts w:ascii="Palatino Linotype" w:eastAsia="Calibri" w:hAnsi="Palatino Linotype"/>
          <w:b/>
          <w:color w:val="000000" w:themeColor="text1"/>
          <w:sz w:val="24"/>
          <w:szCs w:val="24"/>
        </w:rPr>
        <w:t>R E S O L U T I V O S</w:t>
      </w:r>
      <w:bookmarkEnd w:id="56"/>
      <w:bookmarkEnd w:id="57"/>
      <w:bookmarkEnd w:id="58"/>
      <w:bookmarkEnd w:id="59"/>
      <w:bookmarkEnd w:id="60"/>
      <w:bookmarkEnd w:id="61"/>
      <w:r w:rsidRPr="000353E1">
        <w:rPr>
          <w:rFonts w:ascii="Palatino Linotype" w:eastAsia="Calibri" w:hAnsi="Palatino Linotype"/>
          <w:b/>
          <w:color w:val="000000" w:themeColor="text1"/>
          <w:sz w:val="24"/>
          <w:szCs w:val="24"/>
        </w:rPr>
        <w:t xml:space="preserve"> </w:t>
      </w:r>
    </w:p>
    <w:p w14:paraId="144E4DE0" w14:textId="4F0218F5" w:rsidR="00F65DFF" w:rsidRPr="00F360D6" w:rsidRDefault="00F65DFF" w:rsidP="000353E1">
      <w:pPr>
        <w:spacing w:before="240" w:after="360" w:line="360" w:lineRule="auto"/>
        <w:jc w:val="both"/>
        <w:rPr>
          <w:rFonts w:ascii="Palatino Linotype" w:eastAsiaTheme="minorEastAsia" w:hAnsi="Palatino Linotype"/>
          <w:b/>
          <w:lang w:val="es-ES_tradnl"/>
        </w:rPr>
      </w:pPr>
      <w:r w:rsidRPr="000353E1">
        <w:rPr>
          <w:rFonts w:ascii="Palatino Linotype" w:hAnsi="Palatino Linotype" w:cs="Arial"/>
          <w:b/>
        </w:rPr>
        <w:t>PRIMERO</w:t>
      </w:r>
      <w:r w:rsidRPr="000353E1">
        <w:rPr>
          <w:rFonts w:ascii="Palatino Linotype" w:hAnsi="Palatino Linotype" w:cs="Arial"/>
        </w:rPr>
        <w:t xml:space="preserve">. Resultan fundadas las razones o motivos de inconformidad hechos valer en el Recurso de Revisión </w:t>
      </w:r>
      <w:r w:rsidRPr="000353E1">
        <w:rPr>
          <w:rFonts w:ascii="Palatino Linotype" w:hAnsi="Palatino Linotype" w:cs="Arial"/>
          <w:b/>
        </w:rPr>
        <w:t>16733/INFOEM/IP/RR/2022</w:t>
      </w:r>
      <w:r w:rsidRPr="000353E1">
        <w:rPr>
          <w:rFonts w:ascii="Palatino Linotype" w:hAnsi="Palatino Linotype"/>
        </w:rPr>
        <w:t>,</w:t>
      </w:r>
      <w:r w:rsidRPr="000353E1">
        <w:rPr>
          <w:rFonts w:ascii="Palatino Linotype" w:hAnsi="Palatino Linotype" w:cs="Arial"/>
          <w:b/>
        </w:rPr>
        <w:t xml:space="preserve"> </w:t>
      </w:r>
      <w:r w:rsidR="00553A8B">
        <w:rPr>
          <w:rFonts w:ascii="Palatino Linotype" w:hAnsi="Palatino Linotype" w:cs="Arial"/>
        </w:rPr>
        <w:t xml:space="preserve">en términos de los </w:t>
      </w:r>
      <w:r w:rsidR="00553A8B" w:rsidRPr="00F360D6">
        <w:rPr>
          <w:rFonts w:ascii="Palatino Linotype" w:hAnsi="Palatino Linotype" w:cs="Arial"/>
        </w:rPr>
        <w:t>c</w:t>
      </w:r>
      <w:r w:rsidRPr="00F360D6">
        <w:rPr>
          <w:rFonts w:ascii="Palatino Linotype" w:hAnsi="Palatino Linotype" w:cs="Arial"/>
        </w:rPr>
        <w:t xml:space="preserve">onsiderandos </w:t>
      </w:r>
      <w:r w:rsidRPr="00F360D6">
        <w:rPr>
          <w:rFonts w:ascii="Palatino Linotype" w:hAnsi="Palatino Linotype" w:cs="Arial"/>
          <w:b/>
        </w:rPr>
        <w:t xml:space="preserve">CUARTO y QUINTO </w:t>
      </w:r>
      <w:r w:rsidRPr="00F360D6">
        <w:rPr>
          <w:rFonts w:ascii="Palatino Linotype" w:hAnsi="Palatino Linotype" w:cs="Arial"/>
        </w:rPr>
        <w:t xml:space="preserve">de la presente resolución. </w:t>
      </w:r>
    </w:p>
    <w:p w14:paraId="1B0E41C0" w14:textId="607EB8A7" w:rsidR="00F65DFF" w:rsidRPr="00F360D6" w:rsidRDefault="00F65DFF" w:rsidP="000353E1">
      <w:pPr>
        <w:spacing w:before="240" w:after="360" w:line="360" w:lineRule="auto"/>
        <w:jc w:val="both"/>
        <w:rPr>
          <w:rFonts w:ascii="Palatino Linotype" w:eastAsia="MS Mincho" w:hAnsi="Palatino Linotype"/>
          <w:color w:val="000000" w:themeColor="text1"/>
        </w:rPr>
      </w:pPr>
      <w:bookmarkStart w:id="62" w:name="_Toc511647818"/>
      <w:bookmarkStart w:id="63" w:name="_Toc511647757"/>
      <w:bookmarkStart w:id="64" w:name="_Toc503891607"/>
      <w:bookmarkStart w:id="65" w:name="_Toc454301155"/>
      <w:bookmarkStart w:id="66" w:name="_Toc453696502"/>
      <w:bookmarkStart w:id="67" w:name="_Toc462653937"/>
      <w:bookmarkStart w:id="68" w:name="_Toc492590391"/>
      <w:bookmarkStart w:id="69" w:name="_Toc481576259"/>
      <w:bookmarkStart w:id="70" w:name="_Toc477891858"/>
      <w:bookmarkStart w:id="71" w:name="_Toc477891768"/>
      <w:r w:rsidRPr="00F360D6">
        <w:rPr>
          <w:rFonts w:ascii="Palatino Linotype" w:hAnsi="Palatino Linotype"/>
          <w:b/>
        </w:rPr>
        <w:t>SEGUNDO.</w:t>
      </w:r>
      <w:bookmarkEnd w:id="62"/>
      <w:bookmarkEnd w:id="63"/>
      <w:bookmarkEnd w:id="64"/>
      <w:r w:rsidRPr="00F360D6">
        <w:rPr>
          <w:rFonts w:ascii="Palatino Linotype" w:hAnsi="Palatino Linotype"/>
          <w:b/>
        </w:rPr>
        <w:t xml:space="preserve"> </w:t>
      </w:r>
      <w:bookmarkEnd w:id="65"/>
      <w:bookmarkEnd w:id="66"/>
      <w:bookmarkEnd w:id="67"/>
      <w:bookmarkEnd w:id="68"/>
      <w:bookmarkEnd w:id="69"/>
      <w:bookmarkEnd w:id="70"/>
      <w:bookmarkEnd w:id="71"/>
      <w:r w:rsidRPr="00F360D6">
        <w:rPr>
          <w:rFonts w:ascii="Palatino Linotype" w:eastAsia="MS Mincho" w:hAnsi="Palatino Linotype"/>
          <w:color w:val="000000" w:themeColor="text1"/>
        </w:rPr>
        <w:t xml:space="preserve">Se </w:t>
      </w:r>
      <w:r w:rsidRPr="00F360D6">
        <w:rPr>
          <w:rFonts w:ascii="Palatino Linotype" w:eastAsia="MS Mincho" w:hAnsi="Palatino Linotype"/>
          <w:b/>
          <w:color w:val="000000" w:themeColor="text1"/>
        </w:rPr>
        <w:t>REVOCA</w:t>
      </w:r>
      <w:r w:rsidRPr="00F360D6">
        <w:rPr>
          <w:rFonts w:ascii="Palatino Linotype" w:eastAsia="MS Mincho" w:hAnsi="Palatino Linotype"/>
          <w:color w:val="000000" w:themeColor="text1"/>
        </w:rPr>
        <w:t xml:space="preserve"> la respuesta emitida por la </w:t>
      </w:r>
      <w:r w:rsidRPr="00F360D6">
        <w:rPr>
          <w:rFonts w:ascii="Palatino Linotype" w:eastAsia="MS Mincho" w:hAnsi="Palatino Linotype"/>
          <w:b/>
          <w:color w:val="000000" w:themeColor="text1"/>
        </w:rPr>
        <w:t>Secretaría de Finanzas</w:t>
      </w:r>
      <w:r w:rsidRPr="00F360D6">
        <w:rPr>
          <w:rFonts w:ascii="Palatino Linotype" w:eastAsia="MS Mincho" w:hAnsi="Palatino Linotype"/>
          <w:color w:val="000000" w:themeColor="text1"/>
        </w:rPr>
        <w:t xml:space="preserve"> y se </w:t>
      </w:r>
      <w:r w:rsidRPr="00F360D6">
        <w:rPr>
          <w:rFonts w:ascii="Palatino Linotype" w:eastAsia="MS Mincho" w:hAnsi="Palatino Linotype"/>
          <w:b/>
          <w:color w:val="000000" w:themeColor="text1"/>
        </w:rPr>
        <w:t>ORDENA</w:t>
      </w:r>
      <w:r w:rsidRPr="00F360D6">
        <w:rPr>
          <w:rFonts w:ascii="Palatino Linotype" w:eastAsia="MS Mincho" w:hAnsi="Palatino Linotype"/>
          <w:color w:val="000000" w:themeColor="text1"/>
        </w:rPr>
        <w:t xml:space="preserve"> entregar vía Sistema de Acceso a la Información Mexiquense </w:t>
      </w:r>
      <w:r w:rsidRPr="00F360D6">
        <w:rPr>
          <w:rFonts w:ascii="Palatino Linotype" w:eastAsia="MS Mincho" w:hAnsi="Palatino Linotype"/>
          <w:b/>
          <w:color w:val="000000" w:themeColor="text1"/>
        </w:rPr>
        <w:t>(SAIMEX)</w:t>
      </w:r>
      <w:r w:rsidR="002B289E" w:rsidRPr="00F360D6">
        <w:rPr>
          <w:rFonts w:ascii="Palatino Linotype" w:eastAsia="MS Mincho" w:hAnsi="Palatino Linotype"/>
          <w:color w:val="000000" w:themeColor="text1"/>
        </w:rPr>
        <w:t xml:space="preserve">, </w:t>
      </w:r>
      <w:r w:rsidR="002B289E" w:rsidRPr="00F360D6">
        <w:rPr>
          <w:rFonts w:ascii="Palatino Linotype" w:eastAsia="Calibri" w:hAnsi="Palatino Linotype" w:cs="Arial"/>
          <w:lang w:val="es-ES_tradnl"/>
        </w:rPr>
        <w:t>previa búsqueda exhaustiva</w:t>
      </w:r>
      <w:r w:rsidR="002B289E" w:rsidRPr="00F360D6">
        <w:rPr>
          <w:rFonts w:ascii="Palatino Linotype" w:eastAsia="Calibri" w:hAnsi="Palatino Linotype" w:cs="Arial"/>
          <w:b/>
          <w:lang w:val="es-ES_tradnl"/>
        </w:rPr>
        <w:t>,</w:t>
      </w:r>
      <w:r w:rsidR="002B289E" w:rsidRPr="00F360D6">
        <w:rPr>
          <w:rFonts w:ascii="Palatino Linotype" w:eastAsia="Calibri" w:hAnsi="Palatino Linotype" w:cs="Arial"/>
          <w:lang w:val="es-MX"/>
        </w:rPr>
        <w:t xml:space="preserve"> </w:t>
      </w:r>
      <w:r w:rsidR="002B289E" w:rsidRPr="00F360D6">
        <w:rPr>
          <w:rFonts w:ascii="Palatino Linotype" w:eastAsia="MS Mincho" w:hAnsi="Palatino Linotype"/>
          <w:color w:val="000000" w:themeColor="text1"/>
        </w:rPr>
        <w:t xml:space="preserve">de ser procedente </w:t>
      </w:r>
      <w:r w:rsidRPr="00F360D6">
        <w:rPr>
          <w:rFonts w:ascii="Palatino Linotype" w:eastAsia="MS Mincho" w:hAnsi="Palatino Linotype"/>
          <w:color w:val="000000" w:themeColor="text1"/>
        </w:rPr>
        <w:t>en versión pública,</w:t>
      </w:r>
      <w:r w:rsidR="00BA563B" w:rsidRPr="00F360D6">
        <w:rPr>
          <w:rFonts w:ascii="Palatino Linotype" w:eastAsia="MS Mincho" w:hAnsi="Palatino Linotype"/>
          <w:color w:val="000000" w:themeColor="text1"/>
        </w:rPr>
        <w:t xml:space="preserve"> el documento donde conste: </w:t>
      </w:r>
      <w:r w:rsidRPr="00F360D6">
        <w:rPr>
          <w:rFonts w:ascii="Palatino Linotype" w:eastAsia="MS Mincho" w:hAnsi="Palatino Linotype"/>
          <w:color w:val="000000" w:themeColor="text1"/>
        </w:rPr>
        <w:t xml:space="preserve"> </w:t>
      </w:r>
    </w:p>
    <w:p w14:paraId="69DF5D1F" w14:textId="67970A2A" w:rsidR="00F65DFF" w:rsidRPr="000353E1" w:rsidRDefault="00BA563B" w:rsidP="000353E1">
      <w:pPr>
        <w:pStyle w:val="Prrafodelista"/>
        <w:numPr>
          <w:ilvl w:val="0"/>
          <w:numId w:val="23"/>
        </w:numPr>
        <w:tabs>
          <w:tab w:val="left" w:pos="1134"/>
        </w:tabs>
        <w:spacing w:before="240" w:after="360" w:line="360" w:lineRule="auto"/>
        <w:ind w:left="567" w:right="891" w:firstLine="0"/>
        <w:jc w:val="both"/>
        <w:rPr>
          <w:rFonts w:ascii="Palatino Linotype" w:eastAsia="MS Mincho" w:hAnsi="Palatino Linotype"/>
          <w:color w:val="000000" w:themeColor="text1"/>
        </w:rPr>
      </w:pPr>
      <w:r w:rsidRPr="00F360D6">
        <w:rPr>
          <w:rFonts w:ascii="Palatino Linotype" w:eastAsia="MS Mincho" w:hAnsi="Palatino Linotype"/>
          <w:color w:val="000000" w:themeColor="text1"/>
        </w:rPr>
        <w:t>N</w:t>
      </w:r>
      <w:r w:rsidR="00F65DFF" w:rsidRPr="00F360D6">
        <w:rPr>
          <w:rFonts w:ascii="Palatino Linotype" w:eastAsia="MS Mincho" w:hAnsi="Palatino Linotype"/>
          <w:color w:val="000000" w:themeColor="text1"/>
        </w:rPr>
        <w:t xml:space="preserve">ombre de las personas </w:t>
      </w:r>
      <w:r w:rsidR="002B289E" w:rsidRPr="00F360D6">
        <w:rPr>
          <w:rFonts w:ascii="Palatino Linotype" w:eastAsia="MS Mincho" w:hAnsi="Palatino Linotype"/>
          <w:color w:val="000000" w:themeColor="text1"/>
        </w:rPr>
        <w:t xml:space="preserve">físicas o morales </w:t>
      </w:r>
      <w:r w:rsidR="00F65DFF" w:rsidRPr="00F360D6">
        <w:rPr>
          <w:rFonts w:ascii="Palatino Linotype" w:eastAsia="MS Mincho" w:hAnsi="Palatino Linotype"/>
          <w:color w:val="000000" w:themeColor="text1"/>
        </w:rPr>
        <w:t>contratadas por el Gob</w:t>
      </w:r>
      <w:r w:rsidRPr="00F360D6">
        <w:rPr>
          <w:rFonts w:ascii="Palatino Linotype" w:eastAsia="MS Mincho" w:hAnsi="Palatino Linotype"/>
          <w:color w:val="000000" w:themeColor="text1"/>
        </w:rPr>
        <w:t xml:space="preserve">ierno del Estado de México por concepto </w:t>
      </w:r>
      <w:r w:rsidR="00F65DFF" w:rsidRPr="00F360D6">
        <w:rPr>
          <w:rFonts w:ascii="Palatino Linotype" w:eastAsia="MS Mincho" w:hAnsi="Palatino Linotype"/>
          <w:color w:val="000000" w:themeColor="text1"/>
        </w:rPr>
        <w:t>de servicios de asesorías</w:t>
      </w:r>
      <w:r w:rsidR="00F65DFF" w:rsidRPr="000353E1">
        <w:rPr>
          <w:rFonts w:ascii="Palatino Linotype" w:eastAsia="MS Mincho" w:hAnsi="Palatino Linotype"/>
          <w:color w:val="000000" w:themeColor="text1"/>
        </w:rPr>
        <w:t xml:space="preserve"> a</w:t>
      </w:r>
      <w:r w:rsidRPr="000353E1">
        <w:rPr>
          <w:rFonts w:ascii="Palatino Linotype" w:eastAsia="MS Mincho" w:hAnsi="Palatino Linotype"/>
          <w:color w:val="000000" w:themeColor="text1"/>
        </w:rPr>
        <w:t xml:space="preserve">sociadas a convenios o acuerdos así como </w:t>
      </w:r>
      <w:r w:rsidR="00F65DFF" w:rsidRPr="000353E1">
        <w:rPr>
          <w:rFonts w:ascii="Palatino Linotype" w:eastAsia="MS Mincho" w:hAnsi="Palatino Linotype"/>
          <w:color w:val="000000" w:themeColor="text1"/>
        </w:rPr>
        <w:t>la dependencia a la que están adscritas, del veinticinco (25) de octubre de dos mil veintiuno al veinticinco (25) de</w:t>
      </w:r>
      <w:r w:rsidR="002F4A10" w:rsidRPr="000353E1">
        <w:rPr>
          <w:rFonts w:ascii="Palatino Linotype" w:eastAsia="MS Mincho" w:hAnsi="Palatino Linotype"/>
          <w:color w:val="000000" w:themeColor="text1"/>
        </w:rPr>
        <w:t xml:space="preserve"> octubre del dos mil veintidós.</w:t>
      </w:r>
    </w:p>
    <w:p w14:paraId="65A0915A" w14:textId="77777777" w:rsidR="00F65DFF" w:rsidRDefault="00F65DFF" w:rsidP="000353E1">
      <w:pPr>
        <w:spacing w:before="240" w:after="360" w:line="360" w:lineRule="auto"/>
        <w:jc w:val="both"/>
        <w:rPr>
          <w:rFonts w:ascii="Palatino Linotype" w:eastAsia="Calibri" w:hAnsi="Palatino Linotype" w:cs="Arial"/>
        </w:rPr>
      </w:pPr>
      <w:bookmarkStart w:id="72" w:name="_Toc492590392"/>
      <w:bookmarkStart w:id="73" w:name="_Toc481576260"/>
      <w:bookmarkStart w:id="74" w:name="_Toc477891859"/>
      <w:bookmarkStart w:id="75" w:name="_Toc477891769"/>
      <w:bookmarkStart w:id="76" w:name="_Toc462653938"/>
      <w:bookmarkStart w:id="77" w:name="_Toc454301156"/>
      <w:bookmarkStart w:id="78" w:name="_Toc453696503"/>
      <w:bookmarkStart w:id="79" w:name="_Toc503891610"/>
      <w:r w:rsidRPr="000353E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0353E1">
        <w:rPr>
          <w:rFonts w:ascii="Palatino Linotype" w:eastAsia="Calibri" w:hAnsi="Palatino Linotype" w:cs="Arial"/>
          <w:b/>
        </w:rPr>
        <w:t>EL RECURRENTE</w:t>
      </w:r>
      <w:r w:rsidRPr="000353E1">
        <w:rPr>
          <w:rFonts w:ascii="Palatino Linotype" w:eastAsia="Calibri" w:hAnsi="Palatino Linotype" w:cs="Arial"/>
        </w:rPr>
        <w:t>.</w:t>
      </w:r>
    </w:p>
    <w:p w14:paraId="5BF50B67" w14:textId="77777777" w:rsidR="00F65DFF" w:rsidRPr="000353E1" w:rsidRDefault="00F65DFF" w:rsidP="000353E1">
      <w:pPr>
        <w:spacing w:line="360" w:lineRule="auto"/>
        <w:jc w:val="both"/>
        <w:rPr>
          <w:rFonts w:ascii="Palatino Linotype" w:eastAsia="MS Mincho" w:hAnsi="Palatino Linotype" w:cstheme="minorBidi"/>
          <w:color w:val="000000"/>
          <w:lang w:val="es-MX" w:eastAsia="es-MX"/>
        </w:rPr>
      </w:pPr>
      <w:bookmarkStart w:id="80" w:name="_GoBack"/>
      <w:bookmarkEnd w:id="72"/>
      <w:bookmarkEnd w:id="73"/>
      <w:bookmarkEnd w:id="74"/>
      <w:bookmarkEnd w:id="75"/>
      <w:bookmarkEnd w:id="76"/>
      <w:bookmarkEnd w:id="77"/>
      <w:bookmarkEnd w:id="78"/>
      <w:bookmarkEnd w:id="79"/>
      <w:bookmarkEnd w:id="80"/>
      <w:r w:rsidRPr="000353E1">
        <w:rPr>
          <w:rFonts w:ascii="Palatino Linotype" w:eastAsia="MS Mincho" w:hAnsi="Palatino Linotype"/>
          <w:b/>
          <w:color w:val="000000"/>
          <w:lang w:val="es-MX" w:eastAsia="es-MX"/>
        </w:rPr>
        <w:lastRenderedPageBreak/>
        <w:t>TERCERO.</w:t>
      </w:r>
      <w:r w:rsidRPr="000353E1">
        <w:rPr>
          <w:rFonts w:ascii="Palatino Linotype" w:eastAsia="MS Mincho" w:hAnsi="Palatino Linotype"/>
          <w:color w:val="000000"/>
          <w:lang w:val="es-MX" w:eastAsia="es-MX"/>
        </w:rPr>
        <w:t xml:space="preserve"> Notifíquese al Titular de la Unidad de Transparencia </w:t>
      </w:r>
      <w:r w:rsidRPr="000353E1">
        <w:rPr>
          <w:rFonts w:ascii="Palatino Linotype" w:hAnsi="Palatino Linotype" w:cs="Arial"/>
          <w:color w:val="222222"/>
          <w:lang w:eastAsia="es-MX"/>
        </w:rPr>
        <w:t xml:space="preserve">del </w:t>
      </w:r>
      <w:r w:rsidRPr="000353E1">
        <w:rPr>
          <w:rFonts w:ascii="Palatino Linotype" w:hAnsi="Palatino Linotype" w:cs="Arial"/>
          <w:b/>
          <w:bCs/>
          <w:color w:val="222222"/>
          <w:lang w:eastAsia="es-MX"/>
        </w:rPr>
        <w:t xml:space="preserve">SUJETO OBLIGADO </w:t>
      </w:r>
      <w:r w:rsidRPr="000353E1">
        <w:rPr>
          <w:rFonts w:ascii="Palatino Linotype" w:hAnsi="Palatino Linotype" w:cs="Arial"/>
          <w:bCs/>
          <w:color w:val="222222"/>
          <w:lang w:eastAsia="es-MX"/>
        </w:rPr>
        <w:t>la presente resolución, vía Sistema de Acceso a la Información Mexiquense (SAIMEX)</w:t>
      </w:r>
      <w:r w:rsidRPr="000353E1">
        <w:rPr>
          <w:rFonts w:ascii="Palatino Linotype" w:hAnsi="Palatino Linotype" w:cs="Arial"/>
          <w:color w:val="222222"/>
          <w:lang w:eastAsia="es-MX"/>
        </w:rPr>
        <w:t xml:space="preserve">, para que conforme al artículo 186, último párrafo, 189, segundo párrafo, y 194 de la Ley de Transparencia y Acceso a la Información Pública del Estado de México y Municipios dé cumplimiento a </w:t>
      </w:r>
      <w:r w:rsidRPr="00553A8B">
        <w:rPr>
          <w:rFonts w:ascii="Palatino Linotype" w:hAnsi="Palatino Linotype" w:cs="Arial"/>
          <w:b/>
          <w:color w:val="222222"/>
          <w:lang w:eastAsia="es-MX"/>
        </w:rPr>
        <w:t>lo ordenado dentro del plazo de diez días hábiles,</w:t>
      </w:r>
      <w:r w:rsidRPr="000353E1">
        <w:rPr>
          <w:rFonts w:ascii="Palatino Linotype" w:hAnsi="Palatino Linotype" w:cs="Arial"/>
          <w:color w:val="222222"/>
          <w:lang w:eastAsia="es-MX"/>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C342DC" w14:textId="77777777" w:rsidR="00F65DFF" w:rsidRPr="000353E1" w:rsidRDefault="00F65DFF" w:rsidP="000353E1">
      <w:pPr>
        <w:spacing w:line="360" w:lineRule="auto"/>
        <w:jc w:val="both"/>
        <w:rPr>
          <w:rFonts w:ascii="Palatino Linotype" w:eastAsiaTheme="minorEastAsia" w:hAnsi="Palatino Linotype" w:cs="Arial"/>
          <w:b/>
          <w:lang w:val="es-ES_tradnl"/>
        </w:rPr>
      </w:pPr>
    </w:p>
    <w:p w14:paraId="77E8E6F5" w14:textId="77777777" w:rsidR="00F65DFF" w:rsidRPr="000353E1" w:rsidRDefault="00F65DFF" w:rsidP="000353E1">
      <w:pPr>
        <w:spacing w:line="360" w:lineRule="auto"/>
        <w:jc w:val="both"/>
        <w:rPr>
          <w:rFonts w:ascii="Palatino Linotype" w:eastAsia="Calibri" w:hAnsi="Palatino Linotype" w:cs="Arial"/>
          <w:bCs/>
        </w:rPr>
      </w:pPr>
      <w:r w:rsidRPr="000353E1">
        <w:rPr>
          <w:rFonts w:ascii="Palatino Linotype" w:hAnsi="Palatino Linotype" w:cs="Arial"/>
          <w:b/>
        </w:rPr>
        <w:t xml:space="preserve">CUARTO. </w:t>
      </w:r>
      <w:r w:rsidRPr="000353E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0353E1">
        <w:rPr>
          <w:rFonts w:ascii="Palatino Linotype" w:eastAsia="Calibri" w:hAnsi="Palatino Linotype" w:cs="Arial"/>
          <w:b/>
          <w:bCs/>
        </w:rPr>
        <w:t>SUJETO OBLIGADO</w:t>
      </w:r>
      <w:r w:rsidRPr="000353E1">
        <w:rPr>
          <w:rFonts w:ascii="Palatino Linotype" w:eastAsia="Calibri" w:hAnsi="Palatino Linotype" w:cs="Arial"/>
          <w:bCs/>
        </w:rPr>
        <w:t xml:space="preserve"> de manera fundada y motivada, podrá solicitar una ampliación de plazo para el cumplimiento de la presente resolución.</w:t>
      </w:r>
    </w:p>
    <w:p w14:paraId="3CF13A91" w14:textId="77777777" w:rsidR="00F65DFF" w:rsidRPr="000353E1" w:rsidRDefault="00F65DFF" w:rsidP="000353E1">
      <w:pPr>
        <w:tabs>
          <w:tab w:val="left" w:pos="8080"/>
        </w:tabs>
        <w:spacing w:before="240" w:line="360" w:lineRule="auto"/>
        <w:ind w:right="49"/>
        <w:jc w:val="both"/>
        <w:rPr>
          <w:rFonts w:ascii="Palatino Linotype" w:hAnsi="Palatino Linotype"/>
          <w:lang w:eastAsia="es-MX"/>
        </w:rPr>
      </w:pPr>
      <w:bookmarkStart w:id="81" w:name="_Toc511647820"/>
      <w:bookmarkStart w:id="82" w:name="_Toc511647759"/>
      <w:bookmarkStart w:id="83" w:name="_Toc503891611"/>
      <w:bookmarkStart w:id="84" w:name="_Toc492590393"/>
      <w:r w:rsidRPr="000353E1">
        <w:rPr>
          <w:rFonts w:ascii="Palatino Linotype" w:hAnsi="Palatino Linotype"/>
          <w:b/>
        </w:rPr>
        <w:t xml:space="preserve">QUINTO. </w:t>
      </w:r>
      <w:r w:rsidRPr="000353E1">
        <w:rPr>
          <w:rFonts w:ascii="Palatino Linotype" w:hAnsi="Palatino Linotype"/>
        </w:rPr>
        <w:t>Notifíquese</w:t>
      </w:r>
      <w:bookmarkEnd w:id="81"/>
      <w:bookmarkEnd w:id="82"/>
      <w:bookmarkEnd w:id="83"/>
      <w:bookmarkEnd w:id="84"/>
      <w:r w:rsidRPr="000353E1">
        <w:rPr>
          <w:rFonts w:ascii="Palatino Linotype" w:hAnsi="Palatino Linotype"/>
        </w:rPr>
        <w:t xml:space="preserve"> a </w:t>
      </w:r>
      <w:r w:rsidRPr="000353E1">
        <w:rPr>
          <w:rFonts w:ascii="Palatino Linotype" w:hAnsi="Palatino Linotype"/>
          <w:b/>
        </w:rPr>
        <w:t>EL RECURRENTE</w:t>
      </w:r>
      <w:r w:rsidRPr="000353E1">
        <w:rPr>
          <w:rFonts w:ascii="Palatino Linotype" w:hAnsi="Palatino Linotype"/>
        </w:rPr>
        <w:t xml:space="preserve"> la presente</w:t>
      </w:r>
      <w:r w:rsidRPr="000353E1">
        <w:rPr>
          <w:rFonts w:ascii="Palatino Linotype" w:hAnsi="Palatino Linotype"/>
          <w:lang w:eastAsia="es-MX"/>
        </w:rPr>
        <w:t xml:space="preserve"> resolución.</w:t>
      </w:r>
    </w:p>
    <w:p w14:paraId="60C4C740" w14:textId="77777777" w:rsidR="000353E1" w:rsidRPr="000353E1" w:rsidRDefault="000353E1" w:rsidP="000353E1">
      <w:pPr>
        <w:tabs>
          <w:tab w:val="left" w:pos="8080"/>
        </w:tabs>
        <w:spacing w:before="240" w:line="360" w:lineRule="auto"/>
        <w:ind w:right="49"/>
        <w:jc w:val="both"/>
        <w:rPr>
          <w:rFonts w:ascii="Palatino Linotype" w:hAnsi="Palatino Linotype"/>
          <w:lang w:eastAsia="es-MX"/>
        </w:rPr>
      </w:pPr>
    </w:p>
    <w:p w14:paraId="73B0129F" w14:textId="36CC75F8" w:rsidR="000353E1" w:rsidRPr="000353E1" w:rsidRDefault="000353E1" w:rsidP="000353E1">
      <w:pPr>
        <w:shd w:val="clear" w:color="auto" w:fill="FFFFFF"/>
        <w:spacing w:line="360" w:lineRule="auto"/>
        <w:jc w:val="both"/>
        <w:rPr>
          <w:rFonts w:ascii="Palatino Linotype" w:hAnsi="Palatino Linotype"/>
          <w:lang w:eastAsia="es-MX"/>
        </w:rPr>
      </w:pPr>
      <w:r w:rsidRPr="000353E1">
        <w:rPr>
          <w:rFonts w:ascii="Palatino Linotype" w:eastAsia="Calibri" w:hAnsi="Palatino Linotype"/>
          <w:b/>
          <w:lang w:val="es-MX" w:eastAsia="en-US"/>
        </w:rPr>
        <w:t>SEXTO.</w:t>
      </w:r>
      <w:r w:rsidRPr="000353E1">
        <w:rPr>
          <w:rFonts w:ascii="Palatino Linotype" w:eastAsia="Calibri" w:hAnsi="Palatino Linotype"/>
          <w:lang w:val="es-MX" w:eastAsia="en-US"/>
        </w:rPr>
        <w:t xml:space="preserve"> </w:t>
      </w:r>
      <w:r w:rsidRPr="000353E1">
        <w:rPr>
          <w:rFonts w:ascii="Palatino Linotype" w:hAnsi="Palatino Linotype"/>
          <w:lang w:eastAsia="es-MX"/>
        </w:rPr>
        <w:t xml:space="preserve">Se hace del conocimiento de </w:t>
      </w:r>
      <w:r w:rsidRPr="000353E1">
        <w:rPr>
          <w:rFonts w:ascii="Palatino Linotype" w:hAnsi="Palatino Linotype"/>
          <w:b/>
          <w:lang w:eastAsia="es-MX"/>
        </w:rPr>
        <w:t>EL RECURRENTE</w:t>
      </w:r>
      <w:r w:rsidRPr="000353E1">
        <w:rPr>
          <w:rFonts w:ascii="Palatino Linotype" w:hAnsi="Palatino Linotype"/>
          <w:lang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353E1">
        <w:rPr>
          <w:rFonts w:ascii="Palatino Linotype" w:hAnsi="Palatino Linotype"/>
          <w:bCs/>
          <w:lang w:eastAsia="es-MX"/>
        </w:rPr>
        <w:t>vía juicio de amparo</w:t>
      </w:r>
      <w:r w:rsidRPr="000353E1">
        <w:rPr>
          <w:rFonts w:ascii="Palatino Linotype" w:hAnsi="Palatino Linotype"/>
          <w:lang w:eastAsia="es-MX"/>
        </w:rPr>
        <w:t> en los términos de las leyes aplicables.</w:t>
      </w:r>
    </w:p>
    <w:p w14:paraId="531C6174" w14:textId="77777777" w:rsidR="00553A8B" w:rsidRPr="00553A8B" w:rsidRDefault="00553A8B" w:rsidP="00553A8B">
      <w:pPr>
        <w:spacing w:before="240" w:after="240" w:line="360" w:lineRule="auto"/>
        <w:ind w:firstLine="1"/>
        <w:jc w:val="both"/>
        <w:rPr>
          <w:rFonts w:ascii="Palatino Linotype" w:hAnsi="Palatino Linotype"/>
          <w:smallCaps/>
        </w:rPr>
      </w:pPr>
      <w:bookmarkStart w:id="85" w:name="_Hlk129792997"/>
      <w:r w:rsidRPr="00553A8B">
        <w:rPr>
          <w:rStyle w:val="Referenciasutil"/>
          <w:rFonts w:ascii="Palatino Linotype" w:hAnsi="Palatino Linotype"/>
          <w:color w:val="auto"/>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(16) DE AGOSTO DE DOS MIL VEINTITRÉS, ANTE EL SECRETARIO TÉCNICO DEL PLENO ALEXIS TAPIA RAMÍREZ. </w:t>
      </w:r>
      <w:bookmarkEnd w:id="85"/>
    </w:p>
    <w:p w14:paraId="2595EABC" w14:textId="77777777" w:rsidR="00F65DFF" w:rsidRPr="000353E1" w:rsidRDefault="00F65DFF" w:rsidP="000353E1">
      <w:pPr>
        <w:spacing w:line="360" w:lineRule="auto"/>
        <w:jc w:val="both"/>
        <w:rPr>
          <w:rFonts w:ascii="Palatino Linotype" w:hAnsi="Palatino Linotype"/>
          <w:lang w:val="es-ES_tradnl"/>
        </w:rPr>
      </w:pPr>
    </w:p>
    <w:p w14:paraId="035AFBC7" w14:textId="77777777" w:rsidR="00F65DFF" w:rsidRPr="000353E1" w:rsidRDefault="00F65DFF" w:rsidP="000353E1">
      <w:pPr>
        <w:spacing w:line="360" w:lineRule="auto"/>
        <w:jc w:val="both"/>
        <w:rPr>
          <w:rFonts w:ascii="Palatino Linotype" w:hAnsi="Palatino Linotype"/>
        </w:rPr>
      </w:pPr>
    </w:p>
    <w:p w14:paraId="5479ADB9" w14:textId="77777777" w:rsidR="00F65DFF" w:rsidRPr="000353E1" w:rsidRDefault="00F65DFF" w:rsidP="000353E1">
      <w:pPr>
        <w:spacing w:line="360" w:lineRule="auto"/>
        <w:jc w:val="both"/>
        <w:rPr>
          <w:rFonts w:ascii="Palatino Linotype" w:hAnsi="Palatino Linotype"/>
        </w:rPr>
      </w:pPr>
    </w:p>
    <w:p w14:paraId="332DC123" w14:textId="16A432F2" w:rsidR="00777874" w:rsidRPr="000353E1" w:rsidRDefault="00777874" w:rsidP="000353E1">
      <w:pPr>
        <w:pStyle w:val="Prrafodelista"/>
        <w:tabs>
          <w:tab w:val="left" w:pos="567"/>
        </w:tabs>
        <w:spacing w:line="360" w:lineRule="auto"/>
        <w:ind w:left="0"/>
        <w:contextualSpacing/>
        <w:jc w:val="both"/>
        <w:rPr>
          <w:rFonts w:ascii="Palatino Linotype" w:eastAsia="MS Mincho" w:hAnsi="Palatino Linotype"/>
          <w:color w:val="000000"/>
          <w:lang w:val="es-ES_tradnl"/>
        </w:rPr>
      </w:pPr>
    </w:p>
    <w:p w14:paraId="7D572FDB"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14D3E417"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1FE1FFD4"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3C2027B5"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38A00D5E"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6F2D94FB"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42B9461D"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58C393C9"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62096A46"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1E3EDA9F"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6C55BB68"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30038715"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126205AD" w14:textId="77777777" w:rsidR="00777874" w:rsidRPr="000353E1" w:rsidRDefault="00777874" w:rsidP="000353E1">
      <w:pPr>
        <w:tabs>
          <w:tab w:val="left" w:pos="567"/>
          <w:tab w:val="left" w:pos="709"/>
        </w:tabs>
        <w:spacing w:line="360" w:lineRule="auto"/>
        <w:rPr>
          <w:rFonts w:ascii="Palatino Linotype" w:eastAsia="MS Mincho" w:hAnsi="Palatino Linotype"/>
          <w:color w:val="000000"/>
          <w:lang w:val="es-ES_tradnl"/>
        </w:rPr>
      </w:pPr>
    </w:p>
    <w:p w14:paraId="4453F8E6" w14:textId="0999C4CD" w:rsidR="00090DE6" w:rsidRPr="000353E1" w:rsidRDefault="00090DE6" w:rsidP="000353E1">
      <w:pPr>
        <w:tabs>
          <w:tab w:val="left" w:pos="567"/>
          <w:tab w:val="left" w:pos="709"/>
        </w:tabs>
        <w:spacing w:before="240" w:after="240" w:line="360" w:lineRule="auto"/>
        <w:jc w:val="both"/>
        <w:rPr>
          <w:rFonts w:ascii="Palatino Linotype" w:hAnsi="Palatino Linotype"/>
        </w:rPr>
      </w:pPr>
    </w:p>
    <w:p w14:paraId="7FD9231B" w14:textId="77777777" w:rsidR="005E6A4B" w:rsidRPr="000353E1" w:rsidRDefault="005E6A4B" w:rsidP="000353E1">
      <w:pPr>
        <w:tabs>
          <w:tab w:val="left" w:pos="567"/>
          <w:tab w:val="left" w:pos="709"/>
        </w:tabs>
        <w:spacing w:before="240" w:after="240" w:line="360" w:lineRule="auto"/>
        <w:jc w:val="both"/>
        <w:rPr>
          <w:rFonts w:ascii="Palatino Linotype" w:hAnsi="Palatino Linotype"/>
        </w:rPr>
      </w:pPr>
    </w:p>
    <w:sectPr w:rsidR="005E6A4B" w:rsidRPr="000353E1" w:rsidSect="00130703">
      <w:headerReference w:type="default" r:id="rId12"/>
      <w:footerReference w:type="default" r:id="rId13"/>
      <w:headerReference w:type="first" r:id="rId14"/>
      <w:footerReference w:type="first" r:id="rId15"/>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1FD17" w14:textId="77777777" w:rsidR="00C04E4A" w:rsidRDefault="00C04E4A" w:rsidP="00C80F8C">
      <w:r>
        <w:separator/>
      </w:r>
    </w:p>
  </w:endnote>
  <w:endnote w:type="continuationSeparator" w:id="0">
    <w:p w14:paraId="07107C09" w14:textId="77777777" w:rsidR="00C04E4A" w:rsidRDefault="00C04E4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050AA25" w:rsidR="00CC7C9A" w:rsidRPr="00817AAB" w:rsidRDefault="00CC7C9A"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F360D6">
      <w:rPr>
        <w:rFonts w:ascii="Palatino Linotype" w:hAnsi="Palatino Linotype" w:cs="Arial"/>
        <w:b/>
        <w:bCs/>
        <w:noProof/>
      </w:rPr>
      <w:t>47</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F360D6">
      <w:rPr>
        <w:rFonts w:ascii="Palatino Linotype" w:hAnsi="Palatino Linotype" w:cs="Arial"/>
        <w:b/>
        <w:bCs/>
        <w:noProof/>
      </w:rPr>
      <w:t>47</w:t>
    </w:r>
    <w:r w:rsidRPr="00817AAB">
      <w:rPr>
        <w:rFonts w:ascii="Palatino Linotype" w:hAnsi="Palatino Linotype" w:cs="Arial"/>
        <w:b/>
        <w:bCs/>
      </w:rPr>
      <w:fldChar w:fldCharType="end"/>
    </w:r>
  </w:p>
  <w:p w14:paraId="1192A578" w14:textId="77777777" w:rsidR="00CC7C9A" w:rsidRDefault="00CC7C9A" w:rsidP="00935A0D">
    <w:pPr>
      <w:pStyle w:val="Piedepgina"/>
      <w:rPr>
        <w:rFonts w:ascii="Times New Roman" w:hAnsi="Times New Roman" w:cs="Times New Roman"/>
      </w:rPr>
    </w:pPr>
  </w:p>
  <w:p w14:paraId="14A770F8" w14:textId="77777777" w:rsidR="00CC7C9A" w:rsidRDefault="00CC7C9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03D48443" w:rsidR="00CC7C9A" w:rsidRDefault="00CC7C9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F360D6">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F360D6">
      <w:rPr>
        <w:rFonts w:ascii="Arial" w:hAnsi="Arial" w:cs="Arial"/>
        <w:b/>
        <w:bCs/>
        <w:noProof/>
        <w:sz w:val="20"/>
        <w:szCs w:val="20"/>
      </w:rPr>
      <w:t>47</w:t>
    </w:r>
    <w:r>
      <w:rPr>
        <w:rFonts w:ascii="Arial" w:hAnsi="Arial" w:cs="Arial"/>
        <w:b/>
        <w:bCs/>
        <w:sz w:val="20"/>
        <w:szCs w:val="20"/>
      </w:rPr>
      <w:fldChar w:fldCharType="end"/>
    </w:r>
  </w:p>
  <w:p w14:paraId="5D98ABD5" w14:textId="77777777" w:rsidR="00CC7C9A" w:rsidRDefault="00CC7C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AA5E02" w14:textId="77777777" w:rsidR="00C04E4A" w:rsidRDefault="00C04E4A" w:rsidP="00C80F8C">
      <w:r>
        <w:separator/>
      </w:r>
    </w:p>
  </w:footnote>
  <w:footnote w:type="continuationSeparator" w:id="0">
    <w:p w14:paraId="6C8955ED" w14:textId="77777777" w:rsidR="00C04E4A" w:rsidRDefault="00C04E4A" w:rsidP="00C80F8C">
      <w:r>
        <w:continuationSeparator/>
      </w:r>
    </w:p>
  </w:footnote>
  <w:footnote w:id="1">
    <w:p w14:paraId="30E5EA02" w14:textId="1213D456" w:rsidR="00CC7C9A" w:rsidRDefault="00CC7C9A">
      <w:pPr>
        <w:pStyle w:val="Textonotapie"/>
      </w:pPr>
      <w:r>
        <w:rPr>
          <w:rStyle w:val="Refdenotaalpie"/>
        </w:rPr>
        <w:footnoteRef/>
      </w:r>
      <w:r>
        <w:t xml:space="preserve"> </w:t>
      </w:r>
      <w:hyperlink r:id="rId1" w:history="1">
        <w:r w:rsidRPr="00F3730E">
          <w:rPr>
            <w:rStyle w:val="Hipervnculo"/>
          </w:rPr>
          <w:t>https://finanzas.edomex.gob.mx/sites/finanzas.edomex.gob.mx/files/files/Proveedores/Testimonios/Testimonio%20Social%20LPNP-092-2018%20SERVICIOS%20DE%20ASESORIAS%20ASOCIADAS%20A%20CONVENIOS%20O%20ACUERDOS%20(1).pdf</w:t>
        </w:r>
      </w:hyperlink>
      <w:r>
        <w:t xml:space="preserve"> </w:t>
      </w:r>
    </w:p>
  </w:footnote>
  <w:footnote w:id="2">
    <w:p w14:paraId="788D89DB" w14:textId="72B1D982" w:rsidR="00CC7C9A" w:rsidRDefault="00CC7C9A">
      <w:pPr>
        <w:pStyle w:val="Textonotapie"/>
      </w:pPr>
      <w:r>
        <w:rPr>
          <w:rStyle w:val="Refdenotaalpie"/>
        </w:rPr>
        <w:footnoteRef/>
      </w:r>
      <w:r>
        <w:t xml:space="preserve"> </w:t>
      </w:r>
      <w:hyperlink r:id="rId2" w:history="1">
        <w:r w:rsidRPr="00F3730E">
          <w:rPr>
            <w:rStyle w:val="Hipervnculo"/>
          </w:rPr>
          <w:t>https://finanzas.edomex.gob.mx/sites/finanzas.edomex.gob.mx/files/files/TESTIMONIO%20LPNP-001-2022%20(1)(1).pdf</w:t>
        </w:r>
      </w:hyperlink>
      <w:r>
        <w:t xml:space="preserve"> </w:t>
      </w:r>
    </w:p>
  </w:footnote>
  <w:footnote w:id="3">
    <w:p w14:paraId="2CA3DF29" w14:textId="331FB5FE" w:rsidR="00CC7C9A" w:rsidRDefault="00CC7C9A">
      <w:pPr>
        <w:pStyle w:val="Textonotapie"/>
      </w:pPr>
      <w:r>
        <w:rPr>
          <w:rStyle w:val="Refdenotaalpie"/>
        </w:rPr>
        <w:footnoteRef/>
      </w:r>
      <w:r>
        <w:t xml:space="preserve"> </w:t>
      </w:r>
      <w:hyperlink r:id="rId3" w:history="1">
        <w:r w:rsidRPr="00F3730E">
          <w:rPr>
            <w:rStyle w:val="Hipervnculo"/>
          </w:rPr>
          <w:t>https://finanzas.edomex.gob.mx/sites/finanzas.edomex.gob.mx/files/files/TESTIMONIO%20LPNP-079-2021(1).pdf</w:t>
        </w:r>
      </w:hyperlink>
      <w:r>
        <w:t xml:space="preserve"> </w:t>
      </w:r>
    </w:p>
  </w:footnote>
  <w:footnote w:id="4">
    <w:p w14:paraId="04C34AA2" w14:textId="77777777" w:rsidR="00CC7C9A" w:rsidRDefault="00CC7C9A" w:rsidP="00AD15AF">
      <w:pPr>
        <w:jc w:val="both"/>
        <w:rPr>
          <w:rFonts w:ascii="Calibri" w:hAnsi="Calibri"/>
          <w:sz w:val="20"/>
          <w:szCs w:val="20"/>
        </w:rPr>
      </w:pPr>
      <w:r>
        <w:rPr>
          <w:rStyle w:val="Refdenotaalpie"/>
        </w:rPr>
        <w:footnoteRef/>
      </w:r>
      <w:r>
        <w:rPr>
          <w:sz w:val="20"/>
          <w:szCs w:val="20"/>
        </w:rPr>
        <w:t xml:space="preserve"> Las dependencias y entidades no están obligadas</w:t>
      </w:r>
      <w:r>
        <w:rPr>
          <w:rFonts w:ascii="Calibri" w:hAnsi="Calibr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5312E492" w14:textId="77777777" w:rsidR="00CC7C9A" w:rsidRDefault="00CC7C9A" w:rsidP="00AD15AF">
      <w:pPr>
        <w:jc w:val="both"/>
        <w:rPr>
          <w:rFonts w:ascii="Calibri" w:hAnsi="Calibri"/>
          <w:i/>
          <w:sz w:val="20"/>
          <w:szCs w:val="20"/>
        </w:rPr>
      </w:pPr>
      <w:r>
        <w:rPr>
          <w:rFonts w:ascii="Calibri" w:hAnsi="Calibri"/>
          <w:i/>
          <w:sz w:val="20"/>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5">
    <w:p w14:paraId="16D785F7" w14:textId="77777777" w:rsidR="00CC7C9A" w:rsidRDefault="00CC7C9A" w:rsidP="00AD15AF">
      <w:pPr>
        <w:pStyle w:val="Textonotapie"/>
        <w:jc w:val="both"/>
        <w:rPr>
          <w:rFonts w:ascii="Calibri" w:hAnsi="Calibri"/>
          <w:i/>
        </w:rPr>
      </w:pPr>
      <w:r>
        <w:rPr>
          <w:rStyle w:val="Refdenotaalpie"/>
          <w:rFonts w:ascii="Calibri" w:hAnsi="Calibri"/>
        </w:rPr>
        <w:footnoteRef/>
      </w:r>
      <w:r>
        <w:rPr>
          <w:rFonts w:ascii="Calibri" w:hAnsi="Calibr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Calibri" w:hAnsi="Calibri"/>
          <w:i/>
        </w:rPr>
        <w:t>El derecho de acceso a la información en el marco jurídico interamericano.</w:t>
      </w:r>
      <w:r>
        <w:rPr>
          <w:rFonts w:ascii="Calibri" w:hAnsi="Calibri"/>
        </w:rPr>
        <w:t xml:space="preserve"> 2ª edición, Comisión Interamericana de Derechos Humanos, 2012. Párr. 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CC7C9A" w14:paraId="6B4E3B81" w14:textId="77777777" w:rsidTr="00B4299A">
      <w:tc>
        <w:tcPr>
          <w:tcW w:w="2701" w:type="dxa"/>
          <w:vAlign w:val="center"/>
          <w:hideMark/>
        </w:tcPr>
        <w:p w14:paraId="0ABBC6C0" w14:textId="1226DAAF" w:rsidR="00CC7C9A" w:rsidRPr="00B4299A" w:rsidRDefault="00CC7C9A"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490D7AB" w:rsidR="00CC7C9A" w:rsidRPr="00B4299A" w:rsidRDefault="00CC7C9A" w:rsidP="000C2253">
          <w:pPr>
            <w:rPr>
              <w:rFonts w:ascii="Palatino Linotype" w:hAnsi="Palatino Linotype"/>
              <w:b/>
              <w:szCs w:val="22"/>
              <w:lang w:val="es-ES_tradnl"/>
            </w:rPr>
          </w:pPr>
          <w:r>
            <w:rPr>
              <w:rFonts w:ascii="Palatino Linotype" w:hAnsi="Palatino Linotype"/>
              <w:b/>
              <w:szCs w:val="22"/>
              <w:lang w:val="es-ES_tradnl"/>
            </w:rPr>
            <w:t>16733/INFOEM/IP/RR/2022</w:t>
          </w:r>
        </w:p>
      </w:tc>
    </w:tr>
    <w:tr w:rsidR="00CC7C9A" w14:paraId="31CB780F" w14:textId="77777777" w:rsidTr="00D5198E">
      <w:trPr>
        <w:trHeight w:val="99"/>
      </w:trPr>
      <w:tc>
        <w:tcPr>
          <w:tcW w:w="2701" w:type="dxa"/>
          <w:vAlign w:val="center"/>
          <w:hideMark/>
        </w:tcPr>
        <w:p w14:paraId="4F49CB4A" w14:textId="6966D32E" w:rsidR="00CC7C9A" w:rsidRPr="00B4299A" w:rsidRDefault="00CC7C9A"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83EE49D" w:rsidR="00CC7C9A" w:rsidRPr="00B4299A" w:rsidRDefault="00CC7C9A" w:rsidP="005E4C9E">
          <w:pPr>
            <w:jc w:val="both"/>
            <w:rPr>
              <w:rFonts w:ascii="Palatino Linotype" w:hAnsi="Palatino Linotype"/>
              <w:b/>
              <w:szCs w:val="22"/>
              <w:lang w:val="es-ES_tradnl"/>
            </w:rPr>
          </w:pPr>
          <w:r w:rsidRPr="009D2B11">
            <w:rPr>
              <w:rFonts w:ascii="Palatino Linotype" w:hAnsi="Palatino Linotype"/>
              <w:b/>
              <w:szCs w:val="22"/>
              <w:lang w:val="es-ES_tradnl"/>
            </w:rPr>
            <w:t>Secretaría de Finanzas</w:t>
          </w:r>
        </w:p>
      </w:tc>
    </w:tr>
    <w:tr w:rsidR="00CC7C9A" w14:paraId="69050F56" w14:textId="77777777" w:rsidTr="00B4299A">
      <w:tc>
        <w:tcPr>
          <w:tcW w:w="2701" w:type="dxa"/>
          <w:vAlign w:val="center"/>
          <w:hideMark/>
        </w:tcPr>
        <w:p w14:paraId="65C9B735" w14:textId="75C78F81" w:rsidR="00CC7C9A" w:rsidRPr="00B4299A" w:rsidRDefault="00CC7C9A"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CC7C9A" w:rsidRPr="00B4299A" w:rsidRDefault="00CC7C9A"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CC7C9A" w:rsidRDefault="00CC7C9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071B3908">
          <wp:simplePos x="0" y="0"/>
          <wp:positionH relativeFrom="page">
            <wp:posOffset>43132</wp:posOffset>
          </wp:positionH>
          <wp:positionV relativeFrom="paragraph">
            <wp:posOffset>-1327198</wp:posOffset>
          </wp:positionV>
          <wp:extent cx="7635875" cy="9943465"/>
          <wp:effectExtent l="0" t="0" r="3175" b="63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CC7C9A" w:rsidRDefault="00CC7C9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CC7C9A" w:rsidRDefault="00CC7C9A"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CC7C9A" w14:paraId="477E149B" w14:textId="77777777" w:rsidTr="00CB57FD">
      <w:trPr>
        <w:trHeight w:val="277"/>
      </w:trPr>
      <w:tc>
        <w:tcPr>
          <w:tcW w:w="2693" w:type="dxa"/>
          <w:vAlign w:val="center"/>
          <w:hideMark/>
        </w:tcPr>
        <w:p w14:paraId="5C0586E4" w14:textId="77777777" w:rsidR="00CC7C9A" w:rsidRPr="009B3353" w:rsidRDefault="00CC7C9A"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4EF5B7AF" w:rsidR="00CC7C9A" w:rsidRPr="009B3353" w:rsidRDefault="00CC7C9A" w:rsidP="003141EB">
          <w:pPr>
            <w:rPr>
              <w:rFonts w:ascii="Palatino Linotype" w:hAnsi="Palatino Linotype"/>
              <w:b/>
              <w:szCs w:val="22"/>
              <w:lang w:val="es-ES_tradnl"/>
            </w:rPr>
          </w:pPr>
          <w:r w:rsidRPr="009D2B11">
            <w:rPr>
              <w:rFonts w:ascii="Palatino Linotype" w:hAnsi="Palatino Linotype"/>
              <w:b/>
              <w:szCs w:val="22"/>
              <w:lang w:val="es-ES_tradnl"/>
            </w:rPr>
            <w:t>16733/INFOEM/IP/RR/2022</w:t>
          </w:r>
        </w:p>
      </w:tc>
    </w:tr>
    <w:tr w:rsidR="00CC7C9A" w14:paraId="5B5BE21C" w14:textId="77777777" w:rsidTr="00CB57FD">
      <w:tc>
        <w:tcPr>
          <w:tcW w:w="2693" w:type="dxa"/>
          <w:vAlign w:val="center"/>
          <w:hideMark/>
        </w:tcPr>
        <w:p w14:paraId="4AE96902" w14:textId="4E063913" w:rsidR="00CC7C9A" w:rsidRPr="009B3353" w:rsidRDefault="00CC7C9A"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429210E3" w:rsidR="00CC7C9A" w:rsidRPr="009B3353" w:rsidRDefault="00CC7C9A" w:rsidP="00AC6228">
          <w:pPr>
            <w:rPr>
              <w:rFonts w:ascii="Palatino Linotype" w:hAnsi="Palatino Linotype"/>
              <w:b/>
              <w:szCs w:val="22"/>
              <w:lang w:val="es-ES_tradnl"/>
            </w:rPr>
          </w:pPr>
        </w:p>
      </w:tc>
    </w:tr>
    <w:tr w:rsidR="00CC7C9A" w14:paraId="22601A11" w14:textId="77777777" w:rsidTr="00CB57FD">
      <w:trPr>
        <w:trHeight w:val="228"/>
      </w:trPr>
      <w:tc>
        <w:tcPr>
          <w:tcW w:w="2693" w:type="dxa"/>
          <w:vAlign w:val="center"/>
          <w:hideMark/>
        </w:tcPr>
        <w:p w14:paraId="6EFE221D" w14:textId="49C5F800" w:rsidR="00CC7C9A" w:rsidRPr="009B3353" w:rsidRDefault="00CC7C9A"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B41E74A" w:rsidR="00CC7C9A" w:rsidRPr="009B3353" w:rsidRDefault="00CC7C9A" w:rsidP="005E4C9E">
          <w:pPr>
            <w:jc w:val="both"/>
            <w:rPr>
              <w:rFonts w:ascii="Palatino Linotype" w:eastAsia="Calibri" w:hAnsi="Palatino Linotype"/>
              <w:b/>
              <w:szCs w:val="22"/>
              <w:lang w:val="es-MX" w:eastAsia="en-US"/>
            </w:rPr>
          </w:pPr>
          <w:r w:rsidRPr="009D2B11">
            <w:rPr>
              <w:rFonts w:ascii="Palatino Linotype" w:eastAsia="Calibri" w:hAnsi="Palatino Linotype"/>
              <w:b/>
              <w:szCs w:val="22"/>
              <w:lang w:val="es-MX" w:eastAsia="en-US"/>
            </w:rPr>
            <w:t>Secretaría de Finanzas</w:t>
          </w:r>
        </w:p>
      </w:tc>
    </w:tr>
    <w:tr w:rsidR="00CC7C9A" w14:paraId="2D6C630E" w14:textId="77777777" w:rsidTr="00CB57FD">
      <w:tc>
        <w:tcPr>
          <w:tcW w:w="2693" w:type="dxa"/>
          <w:vAlign w:val="center"/>
          <w:hideMark/>
        </w:tcPr>
        <w:p w14:paraId="5BD4C6DB" w14:textId="7CF21504" w:rsidR="00CC7C9A" w:rsidRPr="009B3353" w:rsidRDefault="00CC7C9A"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CC7C9A" w:rsidRPr="009B3353" w:rsidRDefault="00CC7C9A"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CC7C9A" w:rsidRDefault="00CC7C9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4BA3"/>
    <w:multiLevelType w:val="hybridMultilevel"/>
    <w:tmpl w:val="D8BC290E"/>
    <w:lvl w:ilvl="0" w:tplc="7CD46318">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1" w15:restartNumberingAfterBreak="0">
    <w:nsid w:val="0A8D62EB"/>
    <w:multiLevelType w:val="hybridMultilevel"/>
    <w:tmpl w:val="89E81D62"/>
    <w:lvl w:ilvl="0" w:tplc="9E8847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5E7D9E"/>
    <w:multiLevelType w:val="hybridMultilevel"/>
    <w:tmpl w:val="2D1AA9C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8344AEB"/>
    <w:multiLevelType w:val="hybridMultilevel"/>
    <w:tmpl w:val="A9780D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5A11A6"/>
    <w:multiLevelType w:val="hybridMultilevel"/>
    <w:tmpl w:val="9B822F4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4C13598"/>
    <w:multiLevelType w:val="hybridMultilevel"/>
    <w:tmpl w:val="9A0A0E9E"/>
    <w:lvl w:ilvl="0" w:tplc="7CD46318">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2D927D1D"/>
    <w:multiLevelType w:val="hybridMultilevel"/>
    <w:tmpl w:val="52785034"/>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8807E5"/>
    <w:multiLevelType w:val="hybridMultilevel"/>
    <w:tmpl w:val="9AE836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786C6A"/>
    <w:multiLevelType w:val="hybridMultilevel"/>
    <w:tmpl w:val="4EB28C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3FFB2EFD"/>
    <w:multiLevelType w:val="hybridMultilevel"/>
    <w:tmpl w:val="DA047E6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42B54BD6"/>
    <w:multiLevelType w:val="hybridMultilevel"/>
    <w:tmpl w:val="073828C0"/>
    <w:lvl w:ilvl="0" w:tplc="49CEC64C">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48CB6AD4"/>
    <w:multiLevelType w:val="hybridMultilevel"/>
    <w:tmpl w:val="4B8A70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99A4FCB"/>
    <w:multiLevelType w:val="hybridMultilevel"/>
    <w:tmpl w:val="391C5BBA"/>
    <w:lvl w:ilvl="0" w:tplc="A3C6724C">
      <w:start w:val="1"/>
      <w:numFmt w:val="upperRoman"/>
      <w:lvlText w:val="%1."/>
      <w:lvlJc w:val="left"/>
      <w:pPr>
        <w:ind w:left="1428" w:hanging="72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4" w15:restartNumberingAfterBreak="0">
    <w:nsid w:val="4DA63111"/>
    <w:multiLevelType w:val="hybridMultilevel"/>
    <w:tmpl w:val="3758779E"/>
    <w:lvl w:ilvl="0" w:tplc="080A0013">
      <w:start w:val="1"/>
      <w:numFmt w:val="upperRoman"/>
      <w:lvlText w:val="%1."/>
      <w:lvlJc w:val="righ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5" w15:restartNumberingAfterBreak="0">
    <w:nsid w:val="519A3C11"/>
    <w:multiLevelType w:val="hybridMultilevel"/>
    <w:tmpl w:val="2636710A"/>
    <w:lvl w:ilvl="0" w:tplc="F2A2EEAA">
      <w:start w:val="12"/>
      <w:numFmt w:val="decimal"/>
      <w:lvlText w:val="%1."/>
      <w:lvlJc w:val="left"/>
      <w:pPr>
        <w:ind w:left="502" w:hanging="360"/>
      </w:pPr>
      <w:rPr>
        <w:b/>
        <w:i w:val="0"/>
      </w:rPr>
    </w:lvl>
    <w:lvl w:ilvl="1" w:tplc="080A0019">
      <w:start w:val="1"/>
      <w:numFmt w:val="lowerLetter"/>
      <w:lvlText w:val="%2."/>
      <w:lvlJc w:val="left"/>
      <w:pPr>
        <w:ind w:left="4908" w:hanging="360"/>
      </w:pPr>
    </w:lvl>
    <w:lvl w:ilvl="2" w:tplc="080A001B">
      <w:start w:val="1"/>
      <w:numFmt w:val="lowerRoman"/>
      <w:lvlText w:val="%3."/>
      <w:lvlJc w:val="right"/>
      <w:pPr>
        <w:ind w:left="5628" w:hanging="180"/>
      </w:pPr>
    </w:lvl>
    <w:lvl w:ilvl="3" w:tplc="080A000F">
      <w:start w:val="1"/>
      <w:numFmt w:val="decimal"/>
      <w:lvlText w:val="%4."/>
      <w:lvlJc w:val="left"/>
      <w:pPr>
        <w:ind w:left="6348" w:hanging="360"/>
      </w:pPr>
    </w:lvl>
    <w:lvl w:ilvl="4" w:tplc="080A0019">
      <w:start w:val="1"/>
      <w:numFmt w:val="lowerLetter"/>
      <w:lvlText w:val="%5."/>
      <w:lvlJc w:val="left"/>
      <w:pPr>
        <w:ind w:left="7068" w:hanging="360"/>
      </w:pPr>
    </w:lvl>
    <w:lvl w:ilvl="5" w:tplc="080A001B">
      <w:start w:val="1"/>
      <w:numFmt w:val="lowerRoman"/>
      <w:lvlText w:val="%6."/>
      <w:lvlJc w:val="right"/>
      <w:pPr>
        <w:ind w:left="7788" w:hanging="180"/>
      </w:pPr>
    </w:lvl>
    <w:lvl w:ilvl="6" w:tplc="080A000F">
      <w:start w:val="1"/>
      <w:numFmt w:val="decimal"/>
      <w:lvlText w:val="%7."/>
      <w:lvlJc w:val="left"/>
      <w:pPr>
        <w:ind w:left="8508" w:hanging="360"/>
      </w:pPr>
    </w:lvl>
    <w:lvl w:ilvl="7" w:tplc="080A0019">
      <w:start w:val="1"/>
      <w:numFmt w:val="lowerLetter"/>
      <w:lvlText w:val="%8."/>
      <w:lvlJc w:val="left"/>
      <w:pPr>
        <w:ind w:left="9228" w:hanging="360"/>
      </w:pPr>
    </w:lvl>
    <w:lvl w:ilvl="8" w:tplc="080A001B">
      <w:start w:val="1"/>
      <w:numFmt w:val="lowerRoman"/>
      <w:lvlText w:val="%9."/>
      <w:lvlJc w:val="right"/>
      <w:pPr>
        <w:ind w:left="9948" w:hanging="180"/>
      </w:pPr>
    </w:lvl>
  </w:abstractNum>
  <w:abstractNum w:abstractNumId="16" w15:restartNumberingAfterBreak="0">
    <w:nsid w:val="5EE66718"/>
    <w:multiLevelType w:val="hybridMultilevel"/>
    <w:tmpl w:val="AA60A3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0A97C14"/>
    <w:multiLevelType w:val="hybridMultilevel"/>
    <w:tmpl w:val="B144E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13E6183"/>
    <w:multiLevelType w:val="hybridMultilevel"/>
    <w:tmpl w:val="775CA650"/>
    <w:lvl w:ilvl="0" w:tplc="656C4B34">
      <w:start w:val="1"/>
      <w:numFmt w:val="upperRoman"/>
      <w:lvlText w:val="%1."/>
      <w:lvlJc w:val="left"/>
      <w:pPr>
        <w:ind w:left="6314" w:hanging="360"/>
      </w:pPr>
      <w:rPr>
        <w:rFonts w:ascii="Times New Roman" w:hAnsi="Times New Roman" w:hint="default"/>
        <w:b w:val="0"/>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0" w15:restartNumberingAfterBreak="0">
    <w:nsid w:val="67921AFD"/>
    <w:multiLevelType w:val="hybridMultilevel"/>
    <w:tmpl w:val="7E6EA6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6D428A"/>
    <w:multiLevelType w:val="hybridMultilevel"/>
    <w:tmpl w:val="5B961F12"/>
    <w:lvl w:ilvl="0" w:tplc="CF00B70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743204EE"/>
    <w:multiLevelType w:val="hybridMultilevel"/>
    <w:tmpl w:val="7DE402D0"/>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656C4B34">
      <w:start w:val="1"/>
      <w:numFmt w:val="upperRoman"/>
      <w:lvlText w:val="%3."/>
      <w:lvlJc w:val="left"/>
      <w:pPr>
        <w:ind w:left="2700" w:hanging="720"/>
      </w:pPr>
      <w:rPr>
        <w:rFonts w:ascii="Times New Roman" w:hAnsi="Times New Roman" w:hint="default"/>
        <w:b w:val="0"/>
        <w:color w:val="auto"/>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A70FCE"/>
    <w:multiLevelType w:val="hybridMultilevel"/>
    <w:tmpl w:val="D55CD532"/>
    <w:lvl w:ilvl="0" w:tplc="7CD46318">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4"/>
  </w:num>
  <w:num w:numId="2">
    <w:abstractNumId w:val="22"/>
  </w:num>
  <w:num w:numId="3">
    <w:abstractNumId w:val="2"/>
  </w:num>
  <w:num w:numId="4">
    <w:abstractNumId w:val="7"/>
  </w:num>
  <w:num w:numId="5">
    <w:abstractNumId w:val="14"/>
  </w:num>
  <w:num w:numId="6">
    <w:abstractNumId w:val="23"/>
  </w:num>
  <w:num w:numId="7">
    <w:abstractNumId w:val="5"/>
  </w:num>
  <w:num w:numId="8">
    <w:abstractNumId w:val="0"/>
  </w:num>
  <w:num w:numId="9">
    <w:abstractNumId w:val="17"/>
  </w:num>
  <w:num w:numId="10">
    <w:abstractNumId w:val="3"/>
  </w:num>
  <w:num w:numId="11">
    <w:abstractNumId w:val="8"/>
  </w:num>
  <w:num w:numId="12">
    <w:abstractNumId w:val="18"/>
  </w:num>
  <w:num w:numId="13">
    <w:abstractNumId w:val="21"/>
  </w:num>
  <w:num w:numId="14">
    <w:abstractNumId w:val="16"/>
  </w:num>
  <w:num w:numId="15">
    <w:abstractNumId w:val="1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9"/>
  </w:num>
  <w:num w:numId="19">
    <w:abstractNumId w:val="11"/>
  </w:num>
  <w:num w:numId="20">
    <w:abstractNumId w:val="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6"/>
  </w:num>
  <w:num w:numId="25">
    <w:abstractNumId w:val="20"/>
  </w:num>
  <w:num w:numId="26">
    <w:abstractNumId w:val="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D07"/>
    <w:rsid w:val="00021E8D"/>
    <w:rsid w:val="000239D7"/>
    <w:rsid w:val="00023C79"/>
    <w:rsid w:val="00024227"/>
    <w:rsid w:val="0002434A"/>
    <w:rsid w:val="00024A4C"/>
    <w:rsid w:val="00024AE6"/>
    <w:rsid w:val="00024BA6"/>
    <w:rsid w:val="000252E9"/>
    <w:rsid w:val="00025532"/>
    <w:rsid w:val="000260E9"/>
    <w:rsid w:val="0002611C"/>
    <w:rsid w:val="00026705"/>
    <w:rsid w:val="00026D94"/>
    <w:rsid w:val="00026F9C"/>
    <w:rsid w:val="00027E08"/>
    <w:rsid w:val="00030295"/>
    <w:rsid w:val="0003080E"/>
    <w:rsid w:val="00030E35"/>
    <w:rsid w:val="000313AF"/>
    <w:rsid w:val="000314E8"/>
    <w:rsid w:val="00033629"/>
    <w:rsid w:val="0003385D"/>
    <w:rsid w:val="00034D7D"/>
    <w:rsid w:val="000353E1"/>
    <w:rsid w:val="00035413"/>
    <w:rsid w:val="000354B7"/>
    <w:rsid w:val="000359D8"/>
    <w:rsid w:val="00035B1B"/>
    <w:rsid w:val="00035F2E"/>
    <w:rsid w:val="0003626E"/>
    <w:rsid w:val="00036575"/>
    <w:rsid w:val="00036B8A"/>
    <w:rsid w:val="000371B3"/>
    <w:rsid w:val="00040383"/>
    <w:rsid w:val="00041464"/>
    <w:rsid w:val="00041731"/>
    <w:rsid w:val="00041BCD"/>
    <w:rsid w:val="000423C7"/>
    <w:rsid w:val="0004451D"/>
    <w:rsid w:val="0004471E"/>
    <w:rsid w:val="00045165"/>
    <w:rsid w:val="00045FD8"/>
    <w:rsid w:val="00047F41"/>
    <w:rsid w:val="00050323"/>
    <w:rsid w:val="00051773"/>
    <w:rsid w:val="0005205E"/>
    <w:rsid w:val="00052132"/>
    <w:rsid w:val="000535B0"/>
    <w:rsid w:val="00053D74"/>
    <w:rsid w:val="00054EFE"/>
    <w:rsid w:val="00055938"/>
    <w:rsid w:val="00055F7A"/>
    <w:rsid w:val="000566B9"/>
    <w:rsid w:val="00056C37"/>
    <w:rsid w:val="00057073"/>
    <w:rsid w:val="00057FA3"/>
    <w:rsid w:val="000608C9"/>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8AE"/>
    <w:rsid w:val="00077C21"/>
    <w:rsid w:val="000804F0"/>
    <w:rsid w:val="00080FA4"/>
    <w:rsid w:val="0008195D"/>
    <w:rsid w:val="00081D6A"/>
    <w:rsid w:val="000824DB"/>
    <w:rsid w:val="00082840"/>
    <w:rsid w:val="00082C74"/>
    <w:rsid w:val="00083058"/>
    <w:rsid w:val="0008337E"/>
    <w:rsid w:val="00084105"/>
    <w:rsid w:val="00084863"/>
    <w:rsid w:val="00084D35"/>
    <w:rsid w:val="00085359"/>
    <w:rsid w:val="0008542A"/>
    <w:rsid w:val="00085C91"/>
    <w:rsid w:val="00085E96"/>
    <w:rsid w:val="000864BF"/>
    <w:rsid w:val="00086E2B"/>
    <w:rsid w:val="00086EAA"/>
    <w:rsid w:val="00087498"/>
    <w:rsid w:val="00087514"/>
    <w:rsid w:val="00090DE6"/>
    <w:rsid w:val="00090EBA"/>
    <w:rsid w:val="00090FE8"/>
    <w:rsid w:val="00091682"/>
    <w:rsid w:val="00094248"/>
    <w:rsid w:val="0009456A"/>
    <w:rsid w:val="00094E67"/>
    <w:rsid w:val="000965A1"/>
    <w:rsid w:val="0009670C"/>
    <w:rsid w:val="0009719D"/>
    <w:rsid w:val="0009723C"/>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4A5"/>
    <w:rsid w:val="000B57CE"/>
    <w:rsid w:val="000B69A8"/>
    <w:rsid w:val="000B6DF7"/>
    <w:rsid w:val="000B70B6"/>
    <w:rsid w:val="000B7101"/>
    <w:rsid w:val="000B7318"/>
    <w:rsid w:val="000B7332"/>
    <w:rsid w:val="000B77BE"/>
    <w:rsid w:val="000B7B5A"/>
    <w:rsid w:val="000C07CC"/>
    <w:rsid w:val="000C1184"/>
    <w:rsid w:val="000C11BE"/>
    <w:rsid w:val="000C16AF"/>
    <w:rsid w:val="000C1B34"/>
    <w:rsid w:val="000C2253"/>
    <w:rsid w:val="000C3D4F"/>
    <w:rsid w:val="000C4453"/>
    <w:rsid w:val="000C485E"/>
    <w:rsid w:val="000C4C7F"/>
    <w:rsid w:val="000C54A3"/>
    <w:rsid w:val="000C5528"/>
    <w:rsid w:val="000C59F1"/>
    <w:rsid w:val="000C6204"/>
    <w:rsid w:val="000C72EB"/>
    <w:rsid w:val="000C7714"/>
    <w:rsid w:val="000C77C6"/>
    <w:rsid w:val="000C7C04"/>
    <w:rsid w:val="000D0395"/>
    <w:rsid w:val="000D07EC"/>
    <w:rsid w:val="000D0D27"/>
    <w:rsid w:val="000D214C"/>
    <w:rsid w:val="000D2565"/>
    <w:rsid w:val="000D29F9"/>
    <w:rsid w:val="000D4710"/>
    <w:rsid w:val="000D4D96"/>
    <w:rsid w:val="000D578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E73EB"/>
    <w:rsid w:val="000E7511"/>
    <w:rsid w:val="000F04CE"/>
    <w:rsid w:val="000F0938"/>
    <w:rsid w:val="000F0B13"/>
    <w:rsid w:val="000F1BBF"/>
    <w:rsid w:val="000F219C"/>
    <w:rsid w:val="000F2EB3"/>
    <w:rsid w:val="000F4598"/>
    <w:rsid w:val="000F50AC"/>
    <w:rsid w:val="000F71B5"/>
    <w:rsid w:val="000F7FE2"/>
    <w:rsid w:val="001002A8"/>
    <w:rsid w:val="0010152C"/>
    <w:rsid w:val="00101832"/>
    <w:rsid w:val="00102BA8"/>
    <w:rsid w:val="00103E4C"/>
    <w:rsid w:val="00104E08"/>
    <w:rsid w:val="00104ECA"/>
    <w:rsid w:val="00105C57"/>
    <w:rsid w:val="00106146"/>
    <w:rsid w:val="00106B32"/>
    <w:rsid w:val="00107249"/>
    <w:rsid w:val="001073CC"/>
    <w:rsid w:val="00107584"/>
    <w:rsid w:val="00107A49"/>
    <w:rsid w:val="00107BBC"/>
    <w:rsid w:val="00107E5A"/>
    <w:rsid w:val="00107FC5"/>
    <w:rsid w:val="00110202"/>
    <w:rsid w:val="0011033C"/>
    <w:rsid w:val="00110507"/>
    <w:rsid w:val="001110FC"/>
    <w:rsid w:val="00111A41"/>
    <w:rsid w:val="00111D7F"/>
    <w:rsid w:val="00112892"/>
    <w:rsid w:val="00112B9F"/>
    <w:rsid w:val="00114D4B"/>
    <w:rsid w:val="00114DDF"/>
    <w:rsid w:val="0011516E"/>
    <w:rsid w:val="001152FE"/>
    <w:rsid w:val="00115AAD"/>
    <w:rsid w:val="00116064"/>
    <w:rsid w:val="00117030"/>
    <w:rsid w:val="0012062D"/>
    <w:rsid w:val="00120D7C"/>
    <w:rsid w:val="001210A4"/>
    <w:rsid w:val="001219E7"/>
    <w:rsid w:val="001227CA"/>
    <w:rsid w:val="00123B3D"/>
    <w:rsid w:val="00124762"/>
    <w:rsid w:val="00124D16"/>
    <w:rsid w:val="001262F1"/>
    <w:rsid w:val="00126994"/>
    <w:rsid w:val="00126F04"/>
    <w:rsid w:val="00127CCA"/>
    <w:rsid w:val="00130642"/>
    <w:rsid w:val="001306E4"/>
    <w:rsid w:val="00130703"/>
    <w:rsid w:val="00130AA5"/>
    <w:rsid w:val="00130BA7"/>
    <w:rsid w:val="00132044"/>
    <w:rsid w:val="00132CE1"/>
    <w:rsid w:val="00135D98"/>
    <w:rsid w:val="00136083"/>
    <w:rsid w:val="001362C2"/>
    <w:rsid w:val="00137AA3"/>
    <w:rsid w:val="00137C1F"/>
    <w:rsid w:val="00141F78"/>
    <w:rsid w:val="0014200E"/>
    <w:rsid w:val="00143012"/>
    <w:rsid w:val="0014305B"/>
    <w:rsid w:val="00143967"/>
    <w:rsid w:val="00143CC5"/>
    <w:rsid w:val="00143EA0"/>
    <w:rsid w:val="001445AB"/>
    <w:rsid w:val="0014506E"/>
    <w:rsid w:val="00147E1D"/>
    <w:rsid w:val="00150789"/>
    <w:rsid w:val="00150C0D"/>
    <w:rsid w:val="00151011"/>
    <w:rsid w:val="00151373"/>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079"/>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0C3"/>
    <w:rsid w:val="00174E15"/>
    <w:rsid w:val="0017530C"/>
    <w:rsid w:val="0017548F"/>
    <w:rsid w:val="0017555E"/>
    <w:rsid w:val="00175974"/>
    <w:rsid w:val="00175A2B"/>
    <w:rsid w:val="00176F55"/>
    <w:rsid w:val="00177A27"/>
    <w:rsid w:val="00177B7E"/>
    <w:rsid w:val="001807BF"/>
    <w:rsid w:val="00181594"/>
    <w:rsid w:val="00181791"/>
    <w:rsid w:val="00182E55"/>
    <w:rsid w:val="00183275"/>
    <w:rsid w:val="00184BC3"/>
    <w:rsid w:val="00184FBA"/>
    <w:rsid w:val="0018512D"/>
    <w:rsid w:val="001852E0"/>
    <w:rsid w:val="00186108"/>
    <w:rsid w:val="0018689B"/>
    <w:rsid w:val="00186B63"/>
    <w:rsid w:val="00186C88"/>
    <w:rsid w:val="001871B2"/>
    <w:rsid w:val="00190A74"/>
    <w:rsid w:val="001911CC"/>
    <w:rsid w:val="00191ACE"/>
    <w:rsid w:val="00192284"/>
    <w:rsid w:val="00193687"/>
    <w:rsid w:val="00193909"/>
    <w:rsid w:val="00193AEB"/>
    <w:rsid w:val="00196141"/>
    <w:rsid w:val="0019656E"/>
    <w:rsid w:val="00196EF5"/>
    <w:rsid w:val="00197DA4"/>
    <w:rsid w:val="001A0542"/>
    <w:rsid w:val="001A0598"/>
    <w:rsid w:val="001A05BA"/>
    <w:rsid w:val="001A0BDF"/>
    <w:rsid w:val="001A0F86"/>
    <w:rsid w:val="001A1125"/>
    <w:rsid w:val="001A1810"/>
    <w:rsid w:val="001A2131"/>
    <w:rsid w:val="001A25D5"/>
    <w:rsid w:val="001A2A37"/>
    <w:rsid w:val="001A2FF3"/>
    <w:rsid w:val="001A31A0"/>
    <w:rsid w:val="001A373A"/>
    <w:rsid w:val="001A4486"/>
    <w:rsid w:val="001A466C"/>
    <w:rsid w:val="001A4E38"/>
    <w:rsid w:val="001A4F68"/>
    <w:rsid w:val="001A5B72"/>
    <w:rsid w:val="001A6197"/>
    <w:rsid w:val="001A78F5"/>
    <w:rsid w:val="001A7913"/>
    <w:rsid w:val="001B067D"/>
    <w:rsid w:val="001B0C32"/>
    <w:rsid w:val="001B234C"/>
    <w:rsid w:val="001B2379"/>
    <w:rsid w:val="001B3256"/>
    <w:rsid w:val="001B3469"/>
    <w:rsid w:val="001B3C02"/>
    <w:rsid w:val="001B4AB2"/>
    <w:rsid w:val="001B5099"/>
    <w:rsid w:val="001B693F"/>
    <w:rsid w:val="001B6BDC"/>
    <w:rsid w:val="001B6E23"/>
    <w:rsid w:val="001C06FF"/>
    <w:rsid w:val="001C085B"/>
    <w:rsid w:val="001C0C3F"/>
    <w:rsid w:val="001C1CAE"/>
    <w:rsid w:val="001C1DC2"/>
    <w:rsid w:val="001C2670"/>
    <w:rsid w:val="001C2C8F"/>
    <w:rsid w:val="001C304B"/>
    <w:rsid w:val="001C51A0"/>
    <w:rsid w:val="001C54E5"/>
    <w:rsid w:val="001C592C"/>
    <w:rsid w:val="001C5CD3"/>
    <w:rsid w:val="001C6A6E"/>
    <w:rsid w:val="001D0631"/>
    <w:rsid w:val="001D064E"/>
    <w:rsid w:val="001D19AB"/>
    <w:rsid w:val="001D2EB5"/>
    <w:rsid w:val="001D54C7"/>
    <w:rsid w:val="001D6064"/>
    <w:rsid w:val="001D60A4"/>
    <w:rsid w:val="001D63C6"/>
    <w:rsid w:val="001D6A83"/>
    <w:rsid w:val="001E0ACB"/>
    <w:rsid w:val="001E16C4"/>
    <w:rsid w:val="001E1C02"/>
    <w:rsid w:val="001E39C4"/>
    <w:rsid w:val="001E3CA0"/>
    <w:rsid w:val="001E5309"/>
    <w:rsid w:val="001E54C9"/>
    <w:rsid w:val="001E64BE"/>
    <w:rsid w:val="001E766B"/>
    <w:rsid w:val="001F05C9"/>
    <w:rsid w:val="001F07FA"/>
    <w:rsid w:val="001F174A"/>
    <w:rsid w:val="001F1890"/>
    <w:rsid w:val="001F1B46"/>
    <w:rsid w:val="001F1F7D"/>
    <w:rsid w:val="001F20AB"/>
    <w:rsid w:val="001F21C4"/>
    <w:rsid w:val="001F2CA8"/>
    <w:rsid w:val="001F41FB"/>
    <w:rsid w:val="001F465A"/>
    <w:rsid w:val="001F4E10"/>
    <w:rsid w:val="001F501F"/>
    <w:rsid w:val="001F6164"/>
    <w:rsid w:val="001F6D50"/>
    <w:rsid w:val="0020054B"/>
    <w:rsid w:val="00201E21"/>
    <w:rsid w:val="00203E4E"/>
    <w:rsid w:val="00204C2A"/>
    <w:rsid w:val="0020500D"/>
    <w:rsid w:val="00205361"/>
    <w:rsid w:val="00205ADF"/>
    <w:rsid w:val="002066DF"/>
    <w:rsid w:val="002070E6"/>
    <w:rsid w:val="00212FE4"/>
    <w:rsid w:val="00213228"/>
    <w:rsid w:val="002137D4"/>
    <w:rsid w:val="00213924"/>
    <w:rsid w:val="0021442C"/>
    <w:rsid w:val="002155B0"/>
    <w:rsid w:val="002158CB"/>
    <w:rsid w:val="00215922"/>
    <w:rsid w:val="002161A1"/>
    <w:rsid w:val="00220958"/>
    <w:rsid w:val="00221545"/>
    <w:rsid w:val="00221B18"/>
    <w:rsid w:val="00221D2C"/>
    <w:rsid w:val="002223DD"/>
    <w:rsid w:val="0022285B"/>
    <w:rsid w:val="00222F65"/>
    <w:rsid w:val="00223D0B"/>
    <w:rsid w:val="00224DEB"/>
    <w:rsid w:val="00225FCB"/>
    <w:rsid w:val="002271AA"/>
    <w:rsid w:val="002276AE"/>
    <w:rsid w:val="002278E9"/>
    <w:rsid w:val="002311DE"/>
    <w:rsid w:val="00231269"/>
    <w:rsid w:val="0023264F"/>
    <w:rsid w:val="00233285"/>
    <w:rsid w:val="00233748"/>
    <w:rsid w:val="0023380E"/>
    <w:rsid w:val="002339A2"/>
    <w:rsid w:val="00233F88"/>
    <w:rsid w:val="002347E0"/>
    <w:rsid w:val="00234DEF"/>
    <w:rsid w:val="00235FB4"/>
    <w:rsid w:val="00236540"/>
    <w:rsid w:val="00236E44"/>
    <w:rsid w:val="00237482"/>
    <w:rsid w:val="0024048F"/>
    <w:rsid w:val="00241AC1"/>
    <w:rsid w:val="002423FE"/>
    <w:rsid w:val="00242C4A"/>
    <w:rsid w:val="0024380A"/>
    <w:rsid w:val="0024404E"/>
    <w:rsid w:val="002440EB"/>
    <w:rsid w:val="002441D0"/>
    <w:rsid w:val="00244265"/>
    <w:rsid w:val="00244EEF"/>
    <w:rsid w:val="002464E7"/>
    <w:rsid w:val="002476F8"/>
    <w:rsid w:val="0024778C"/>
    <w:rsid w:val="002500C8"/>
    <w:rsid w:val="00251066"/>
    <w:rsid w:val="00251C63"/>
    <w:rsid w:val="00252741"/>
    <w:rsid w:val="002529ED"/>
    <w:rsid w:val="002530F6"/>
    <w:rsid w:val="0025386B"/>
    <w:rsid w:val="00253F03"/>
    <w:rsid w:val="002556CA"/>
    <w:rsid w:val="00255E4E"/>
    <w:rsid w:val="00255E70"/>
    <w:rsid w:val="00256193"/>
    <w:rsid w:val="00256BFD"/>
    <w:rsid w:val="00257AA8"/>
    <w:rsid w:val="0026164E"/>
    <w:rsid w:val="00261D68"/>
    <w:rsid w:val="002623B7"/>
    <w:rsid w:val="0026271B"/>
    <w:rsid w:val="002629E7"/>
    <w:rsid w:val="00263DC6"/>
    <w:rsid w:val="002649A1"/>
    <w:rsid w:val="00265366"/>
    <w:rsid w:val="002657BB"/>
    <w:rsid w:val="00266490"/>
    <w:rsid w:val="0026683E"/>
    <w:rsid w:val="00266A60"/>
    <w:rsid w:val="002677C1"/>
    <w:rsid w:val="00267A6D"/>
    <w:rsid w:val="00270883"/>
    <w:rsid w:val="00271446"/>
    <w:rsid w:val="00271FC2"/>
    <w:rsid w:val="00272095"/>
    <w:rsid w:val="00273102"/>
    <w:rsid w:val="00273204"/>
    <w:rsid w:val="00275080"/>
    <w:rsid w:val="00275423"/>
    <w:rsid w:val="00275AD6"/>
    <w:rsid w:val="00275ECC"/>
    <w:rsid w:val="00276D8F"/>
    <w:rsid w:val="00276F2E"/>
    <w:rsid w:val="0027702B"/>
    <w:rsid w:val="00277F70"/>
    <w:rsid w:val="00280C64"/>
    <w:rsid w:val="00280FF5"/>
    <w:rsid w:val="002817BA"/>
    <w:rsid w:val="00281EF2"/>
    <w:rsid w:val="00282135"/>
    <w:rsid w:val="00283308"/>
    <w:rsid w:val="00284224"/>
    <w:rsid w:val="00284F43"/>
    <w:rsid w:val="002856CF"/>
    <w:rsid w:val="002856DC"/>
    <w:rsid w:val="0028586C"/>
    <w:rsid w:val="0028632C"/>
    <w:rsid w:val="002864D4"/>
    <w:rsid w:val="0028674A"/>
    <w:rsid w:val="00286C23"/>
    <w:rsid w:val="00286DC8"/>
    <w:rsid w:val="002870C9"/>
    <w:rsid w:val="00290C42"/>
    <w:rsid w:val="00291435"/>
    <w:rsid w:val="00291A1A"/>
    <w:rsid w:val="00292304"/>
    <w:rsid w:val="00292786"/>
    <w:rsid w:val="002937C6"/>
    <w:rsid w:val="00293DE5"/>
    <w:rsid w:val="00293E07"/>
    <w:rsid w:val="00294CB0"/>
    <w:rsid w:val="00295078"/>
    <w:rsid w:val="00295233"/>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89E"/>
    <w:rsid w:val="002B2B24"/>
    <w:rsid w:val="002B35A6"/>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22C"/>
    <w:rsid w:val="002C4537"/>
    <w:rsid w:val="002C4BC2"/>
    <w:rsid w:val="002C4CA2"/>
    <w:rsid w:val="002C4EBB"/>
    <w:rsid w:val="002C4F45"/>
    <w:rsid w:val="002C5A96"/>
    <w:rsid w:val="002C6154"/>
    <w:rsid w:val="002C6432"/>
    <w:rsid w:val="002C75F2"/>
    <w:rsid w:val="002C77E4"/>
    <w:rsid w:val="002C7992"/>
    <w:rsid w:val="002D02DC"/>
    <w:rsid w:val="002D07B6"/>
    <w:rsid w:val="002D0878"/>
    <w:rsid w:val="002D21B3"/>
    <w:rsid w:val="002D2486"/>
    <w:rsid w:val="002D38CF"/>
    <w:rsid w:val="002D3EE2"/>
    <w:rsid w:val="002D46BF"/>
    <w:rsid w:val="002D4AF1"/>
    <w:rsid w:val="002D4C95"/>
    <w:rsid w:val="002D4DCB"/>
    <w:rsid w:val="002D4E68"/>
    <w:rsid w:val="002D508B"/>
    <w:rsid w:val="002D50FA"/>
    <w:rsid w:val="002D658A"/>
    <w:rsid w:val="002D678A"/>
    <w:rsid w:val="002D6AD2"/>
    <w:rsid w:val="002D7ACF"/>
    <w:rsid w:val="002E03BC"/>
    <w:rsid w:val="002E1D63"/>
    <w:rsid w:val="002E2669"/>
    <w:rsid w:val="002E4EC0"/>
    <w:rsid w:val="002E5744"/>
    <w:rsid w:val="002E578A"/>
    <w:rsid w:val="002E6172"/>
    <w:rsid w:val="002E6B74"/>
    <w:rsid w:val="002E6DCF"/>
    <w:rsid w:val="002E76D5"/>
    <w:rsid w:val="002F0E03"/>
    <w:rsid w:val="002F1C4D"/>
    <w:rsid w:val="002F2642"/>
    <w:rsid w:val="002F2653"/>
    <w:rsid w:val="002F2FB4"/>
    <w:rsid w:val="002F3312"/>
    <w:rsid w:val="002F345E"/>
    <w:rsid w:val="002F3910"/>
    <w:rsid w:val="002F3A84"/>
    <w:rsid w:val="002F411A"/>
    <w:rsid w:val="002F4A10"/>
    <w:rsid w:val="002F54A4"/>
    <w:rsid w:val="002F5A90"/>
    <w:rsid w:val="002F67AB"/>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78D"/>
    <w:rsid w:val="003129F4"/>
    <w:rsid w:val="0031395E"/>
    <w:rsid w:val="00313AFB"/>
    <w:rsid w:val="00314023"/>
    <w:rsid w:val="003141EB"/>
    <w:rsid w:val="00314587"/>
    <w:rsid w:val="003156AE"/>
    <w:rsid w:val="00315780"/>
    <w:rsid w:val="00315891"/>
    <w:rsid w:val="00316240"/>
    <w:rsid w:val="0031687C"/>
    <w:rsid w:val="00320B63"/>
    <w:rsid w:val="003217D7"/>
    <w:rsid w:val="0032180D"/>
    <w:rsid w:val="00321BCC"/>
    <w:rsid w:val="00321D72"/>
    <w:rsid w:val="00321DF2"/>
    <w:rsid w:val="003227E4"/>
    <w:rsid w:val="00322AE2"/>
    <w:rsid w:val="003231A8"/>
    <w:rsid w:val="00323623"/>
    <w:rsid w:val="00323995"/>
    <w:rsid w:val="00323CFF"/>
    <w:rsid w:val="00325874"/>
    <w:rsid w:val="00326AE6"/>
    <w:rsid w:val="00326DF2"/>
    <w:rsid w:val="00327357"/>
    <w:rsid w:val="0033030C"/>
    <w:rsid w:val="003303C1"/>
    <w:rsid w:val="00330AB3"/>
    <w:rsid w:val="003324DF"/>
    <w:rsid w:val="00333422"/>
    <w:rsid w:val="003339C3"/>
    <w:rsid w:val="00333C7C"/>
    <w:rsid w:val="003349F4"/>
    <w:rsid w:val="00335047"/>
    <w:rsid w:val="00335061"/>
    <w:rsid w:val="0033544E"/>
    <w:rsid w:val="00335EB4"/>
    <w:rsid w:val="00336747"/>
    <w:rsid w:val="003374EB"/>
    <w:rsid w:val="003404F0"/>
    <w:rsid w:val="0034094E"/>
    <w:rsid w:val="00340B86"/>
    <w:rsid w:val="0034164E"/>
    <w:rsid w:val="00342812"/>
    <w:rsid w:val="00342AE7"/>
    <w:rsid w:val="00343A82"/>
    <w:rsid w:val="0034405A"/>
    <w:rsid w:val="00345D3E"/>
    <w:rsid w:val="00346090"/>
    <w:rsid w:val="003463A6"/>
    <w:rsid w:val="00346F24"/>
    <w:rsid w:val="00347274"/>
    <w:rsid w:val="0034736C"/>
    <w:rsid w:val="00347A1E"/>
    <w:rsid w:val="00347F1F"/>
    <w:rsid w:val="00351568"/>
    <w:rsid w:val="00351CB7"/>
    <w:rsid w:val="003523DE"/>
    <w:rsid w:val="00352703"/>
    <w:rsid w:val="003527B3"/>
    <w:rsid w:val="00352FCD"/>
    <w:rsid w:val="003537DE"/>
    <w:rsid w:val="00353940"/>
    <w:rsid w:val="003541CA"/>
    <w:rsid w:val="003543B2"/>
    <w:rsid w:val="0035458D"/>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CA0"/>
    <w:rsid w:val="00374F4D"/>
    <w:rsid w:val="003756E8"/>
    <w:rsid w:val="00375BB0"/>
    <w:rsid w:val="00376142"/>
    <w:rsid w:val="0037663F"/>
    <w:rsid w:val="003769C6"/>
    <w:rsid w:val="003771DD"/>
    <w:rsid w:val="00377287"/>
    <w:rsid w:val="00377B34"/>
    <w:rsid w:val="00380587"/>
    <w:rsid w:val="00382014"/>
    <w:rsid w:val="00382677"/>
    <w:rsid w:val="00384CD8"/>
    <w:rsid w:val="00385999"/>
    <w:rsid w:val="00387128"/>
    <w:rsid w:val="0038786E"/>
    <w:rsid w:val="003907A0"/>
    <w:rsid w:val="00390C86"/>
    <w:rsid w:val="00391B8E"/>
    <w:rsid w:val="00392E2B"/>
    <w:rsid w:val="00394E20"/>
    <w:rsid w:val="003A0499"/>
    <w:rsid w:val="003A0C73"/>
    <w:rsid w:val="003A11DD"/>
    <w:rsid w:val="003A19EE"/>
    <w:rsid w:val="003A2B96"/>
    <w:rsid w:val="003A2E5E"/>
    <w:rsid w:val="003A3683"/>
    <w:rsid w:val="003A4ABA"/>
    <w:rsid w:val="003A51DC"/>
    <w:rsid w:val="003A5891"/>
    <w:rsid w:val="003A5A6E"/>
    <w:rsid w:val="003A5E0F"/>
    <w:rsid w:val="003A6186"/>
    <w:rsid w:val="003A6534"/>
    <w:rsid w:val="003A78A7"/>
    <w:rsid w:val="003A7A6D"/>
    <w:rsid w:val="003A7E31"/>
    <w:rsid w:val="003A7F01"/>
    <w:rsid w:val="003B0840"/>
    <w:rsid w:val="003B5CA9"/>
    <w:rsid w:val="003B610D"/>
    <w:rsid w:val="003B62A2"/>
    <w:rsid w:val="003B64C9"/>
    <w:rsid w:val="003B6A7C"/>
    <w:rsid w:val="003B6EE9"/>
    <w:rsid w:val="003B72E9"/>
    <w:rsid w:val="003B7A17"/>
    <w:rsid w:val="003B7AF5"/>
    <w:rsid w:val="003C375A"/>
    <w:rsid w:val="003C414C"/>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4BD4"/>
    <w:rsid w:val="003D5101"/>
    <w:rsid w:val="003D61B0"/>
    <w:rsid w:val="003D6F01"/>
    <w:rsid w:val="003E0A67"/>
    <w:rsid w:val="003E0BFB"/>
    <w:rsid w:val="003E132A"/>
    <w:rsid w:val="003E1576"/>
    <w:rsid w:val="003E1BBE"/>
    <w:rsid w:val="003E5DB7"/>
    <w:rsid w:val="003E5F18"/>
    <w:rsid w:val="003E6248"/>
    <w:rsid w:val="003E6A2E"/>
    <w:rsid w:val="003E6D0E"/>
    <w:rsid w:val="003E7E69"/>
    <w:rsid w:val="003F09F0"/>
    <w:rsid w:val="003F0CD4"/>
    <w:rsid w:val="003F18DA"/>
    <w:rsid w:val="003F2BA9"/>
    <w:rsid w:val="003F3041"/>
    <w:rsid w:val="003F3A6C"/>
    <w:rsid w:val="003F52C2"/>
    <w:rsid w:val="003F58C3"/>
    <w:rsid w:val="003F5CBA"/>
    <w:rsid w:val="003F61FF"/>
    <w:rsid w:val="003F6A1E"/>
    <w:rsid w:val="003F733C"/>
    <w:rsid w:val="003F7346"/>
    <w:rsid w:val="003F7E71"/>
    <w:rsid w:val="0040233B"/>
    <w:rsid w:val="00402A30"/>
    <w:rsid w:val="004030E3"/>
    <w:rsid w:val="00403FAA"/>
    <w:rsid w:val="00404666"/>
    <w:rsid w:val="00405277"/>
    <w:rsid w:val="004053FB"/>
    <w:rsid w:val="004058AB"/>
    <w:rsid w:val="0040596D"/>
    <w:rsid w:val="00405A99"/>
    <w:rsid w:val="00410650"/>
    <w:rsid w:val="004106C1"/>
    <w:rsid w:val="004124B9"/>
    <w:rsid w:val="004125E7"/>
    <w:rsid w:val="004126F7"/>
    <w:rsid w:val="00413A3F"/>
    <w:rsid w:val="00413FC2"/>
    <w:rsid w:val="004140B9"/>
    <w:rsid w:val="00414AE6"/>
    <w:rsid w:val="00414EE8"/>
    <w:rsid w:val="00416CFB"/>
    <w:rsid w:val="00416E00"/>
    <w:rsid w:val="00417006"/>
    <w:rsid w:val="00417703"/>
    <w:rsid w:val="0042006D"/>
    <w:rsid w:val="004201BF"/>
    <w:rsid w:val="0042021B"/>
    <w:rsid w:val="00422DF8"/>
    <w:rsid w:val="00422FA0"/>
    <w:rsid w:val="0042327C"/>
    <w:rsid w:val="004235DA"/>
    <w:rsid w:val="00423786"/>
    <w:rsid w:val="00423938"/>
    <w:rsid w:val="00423D1D"/>
    <w:rsid w:val="00423FC1"/>
    <w:rsid w:val="00424241"/>
    <w:rsid w:val="00425620"/>
    <w:rsid w:val="0042586A"/>
    <w:rsid w:val="00425AD4"/>
    <w:rsid w:val="004315B7"/>
    <w:rsid w:val="0043174A"/>
    <w:rsid w:val="00431E02"/>
    <w:rsid w:val="0043317E"/>
    <w:rsid w:val="00433345"/>
    <w:rsid w:val="00433382"/>
    <w:rsid w:val="0043373A"/>
    <w:rsid w:val="0043397D"/>
    <w:rsid w:val="00434033"/>
    <w:rsid w:val="00434167"/>
    <w:rsid w:val="00434264"/>
    <w:rsid w:val="0043442A"/>
    <w:rsid w:val="00434A05"/>
    <w:rsid w:val="00434D26"/>
    <w:rsid w:val="00435112"/>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4946"/>
    <w:rsid w:val="00445454"/>
    <w:rsid w:val="0044547C"/>
    <w:rsid w:val="004464E8"/>
    <w:rsid w:val="00446BB3"/>
    <w:rsid w:val="00446C36"/>
    <w:rsid w:val="004471D2"/>
    <w:rsid w:val="0044722E"/>
    <w:rsid w:val="00450182"/>
    <w:rsid w:val="00450869"/>
    <w:rsid w:val="00450C33"/>
    <w:rsid w:val="00450F57"/>
    <w:rsid w:val="00451737"/>
    <w:rsid w:val="00451E4C"/>
    <w:rsid w:val="00451F5B"/>
    <w:rsid w:val="004524F7"/>
    <w:rsid w:val="00452AF2"/>
    <w:rsid w:val="00453028"/>
    <w:rsid w:val="00453918"/>
    <w:rsid w:val="00453923"/>
    <w:rsid w:val="00454288"/>
    <w:rsid w:val="0045450B"/>
    <w:rsid w:val="004553D4"/>
    <w:rsid w:val="00455768"/>
    <w:rsid w:val="004568F0"/>
    <w:rsid w:val="00456BD4"/>
    <w:rsid w:val="00456E2C"/>
    <w:rsid w:val="00456F5D"/>
    <w:rsid w:val="00457077"/>
    <w:rsid w:val="00457E23"/>
    <w:rsid w:val="00457FC7"/>
    <w:rsid w:val="00461796"/>
    <w:rsid w:val="00461A0A"/>
    <w:rsid w:val="00461B27"/>
    <w:rsid w:val="00461B3D"/>
    <w:rsid w:val="00462197"/>
    <w:rsid w:val="00462417"/>
    <w:rsid w:val="004632BE"/>
    <w:rsid w:val="00463A8B"/>
    <w:rsid w:val="0046433A"/>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559D"/>
    <w:rsid w:val="004763B5"/>
    <w:rsid w:val="00476A24"/>
    <w:rsid w:val="004772B4"/>
    <w:rsid w:val="0047775E"/>
    <w:rsid w:val="004812A4"/>
    <w:rsid w:val="00481A20"/>
    <w:rsid w:val="00481ABD"/>
    <w:rsid w:val="00482683"/>
    <w:rsid w:val="00482731"/>
    <w:rsid w:val="0048286C"/>
    <w:rsid w:val="004839C5"/>
    <w:rsid w:val="00483A0F"/>
    <w:rsid w:val="00484625"/>
    <w:rsid w:val="0048589D"/>
    <w:rsid w:val="00487218"/>
    <w:rsid w:val="004879E2"/>
    <w:rsid w:val="00487F15"/>
    <w:rsid w:val="0049100D"/>
    <w:rsid w:val="0049105B"/>
    <w:rsid w:val="004912A0"/>
    <w:rsid w:val="0049206E"/>
    <w:rsid w:val="004928DE"/>
    <w:rsid w:val="00493E2F"/>
    <w:rsid w:val="00494CB5"/>
    <w:rsid w:val="004954D8"/>
    <w:rsid w:val="0049576C"/>
    <w:rsid w:val="00495836"/>
    <w:rsid w:val="004967E8"/>
    <w:rsid w:val="0049732E"/>
    <w:rsid w:val="004A0272"/>
    <w:rsid w:val="004A0812"/>
    <w:rsid w:val="004A0EA8"/>
    <w:rsid w:val="004A14D9"/>
    <w:rsid w:val="004A21F6"/>
    <w:rsid w:val="004A2680"/>
    <w:rsid w:val="004A4608"/>
    <w:rsid w:val="004A4B61"/>
    <w:rsid w:val="004A5E2D"/>
    <w:rsid w:val="004A6E0B"/>
    <w:rsid w:val="004A6EFE"/>
    <w:rsid w:val="004A70A0"/>
    <w:rsid w:val="004A755A"/>
    <w:rsid w:val="004A79C5"/>
    <w:rsid w:val="004B0EAD"/>
    <w:rsid w:val="004B1858"/>
    <w:rsid w:val="004B1A4B"/>
    <w:rsid w:val="004B2540"/>
    <w:rsid w:val="004B3D11"/>
    <w:rsid w:val="004B455B"/>
    <w:rsid w:val="004B4987"/>
    <w:rsid w:val="004B4A83"/>
    <w:rsid w:val="004B4DC3"/>
    <w:rsid w:val="004B58C3"/>
    <w:rsid w:val="004B675F"/>
    <w:rsid w:val="004B6D44"/>
    <w:rsid w:val="004B72C5"/>
    <w:rsid w:val="004B7A1B"/>
    <w:rsid w:val="004C08BF"/>
    <w:rsid w:val="004C21DD"/>
    <w:rsid w:val="004C223B"/>
    <w:rsid w:val="004C2278"/>
    <w:rsid w:val="004C3804"/>
    <w:rsid w:val="004C3B75"/>
    <w:rsid w:val="004C3F96"/>
    <w:rsid w:val="004C41D8"/>
    <w:rsid w:val="004C45A2"/>
    <w:rsid w:val="004C56DE"/>
    <w:rsid w:val="004C60E6"/>
    <w:rsid w:val="004C6611"/>
    <w:rsid w:val="004C6CFE"/>
    <w:rsid w:val="004C7629"/>
    <w:rsid w:val="004C7701"/>
    <w:rsid w:val="004D0249"/>
    <w:rsid w:val="004D088F"/>
    <w:rsid w:val="004D0A26"/>
    <w:rsid w:val="004D0EE4"/>
    <w:rsid w:val="004D30E1"/>
    <w:rsid w:val="004D35FC"/>
    <w:rsid w:val="004D372C"/>
    <w:rsid w:val="004D3C1B"/>
    <w:rsid w:val="004D482C"/>
    <w:rsid w:val="004D5AC0"/>
    <w:rsid w:val="004D5FEF"/>
    <w:rsid w:val="004D764F"/>
    <w:rsid w:val="004D7991"/>
    <w:rsid w:val="004D7D33"/>
    <w:rsid w:val="004E1EBF"/>
    <w:rsid w:val="004E27AD"/>
    <w:rsid w:val="004E2BC2"/>
    <w:rsid w:val="004E2D51"/>
    <w:rsid w:val="004E37B6"/>
    <w:rsid w:val="004E3AFD"/>
    <w:rsid w:val="004E44D0"/>
    <w:rsid w:val="004E45D7"/>
    <w:rsid w:val="004E4987"/>
    <w:rsid w:val="004E52D1"/>
    <w:rsid w:val="004E585B"/>
    <w:rsid w:val="004E65CF"/>
    <w:rsid w:val="004F0A75"/>
    <w:rsid w:val="004F1841"/>
    <w:rsid w:val="004F227C"/>
    <w:rsid w:val="004F2CC0"/>
    <w:rsid w:val="004F3B64"/>
    <w:rsid w:val="004F5243"/>
    <w:rsid w:val="004F5610"/>
    <w:rsid w:val="004F64AD"/>
    <w:rsid w:val="004F759E"/>
    <w:rsid w:val="004F7AC2"/>
    <w:rsid w:val="0050018F"/>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1F66"/>
    <w:rsid w:val="00512A4A"/>
    <w:rsid w:val="00513EAE"/>
    <w:rsid w:val="00514166"/>
    <w:rsid w:val="00514295"/>
    <w:rsid w:val="005164B6"/>
    <w:rsid w:val="00516E6A"/>
    <w:rsid w:val="005171DE"/>
    <w:rsid w:val="00517F6C"/>
    <w:rsid w:val="005206C8"/>
    <w:rsid w:val="00521593"/>
    <w:rsid w:val="005218EA"/>
    <w:rsid w:val="00521EE1"/>
    <w:rsid w:val="00523390"/>
    <w:rsid w:val="00523435"/>
    <w:rsid w:val="0052414D"/>
    <w:rsid w:val="00524795"/>
    <w:rsid w:val="00525A5B"/>
    <w:rsid w:val="0052638D"/>
    <w:rsid w:val="00526AB1"/>
    <w:rsid w:val="0053002A"/>
    <w:rsid w:val="0053153A"/>
    <w:rsid w:val="00531ABD"/>
    <w:rsid w:val="00532450"/>
    <w:rsid w:val="00533D12"/>
    <w:rsid w:val="005354E7"/>
    <w:rsid w:val="00535560"/>
    <w:rsid w:val="005356D8"/>
    <w:rsid w:val="00536861"/>
    <w:rsid w:val="00536FEA"/>
    <w:rsid w:val="00537427"/>
    <w:rsid w:val="00537682"/>
    <w:rsid w:val="005379E3"/>
    <w:rsid w:val="00540C7E"/>
    <w:rsid w:val="00541397"/>
    <w:rsid w:val="005413A9"/>
    <w:rsid w:val="00541C7E"/>
    <w:rsid w:val="00542386"/>
    <w:rsid w:val="00542D8A"/>
    <w:rsid w:val="00543427"/>
    <w:rsid w:val="00543BF9"/>
    <w:rsid w:val="00544117"/>
    <w:rsid w:val="00544E0A"/>
    <w:rsid w:val="00545D19"/>
    <w:rsid w:val="00550B31"/>
    <w:rsid w:val="00550CA5"/>
    <w:rsid w:val="005515E9"/>
    <w:rsid w:val="00551BA4"/>
    <w:rsid w:val="00552D59"/>
    <w:rsid w:val="00553835"/>
    <w:rsid w:val="00553A8B"/>
    <w:rsid w:val="00555349"/>
    <w:rsid w:val="005553D7"/>
    <w:rsid w:val="00555595"/>
    <w:rsid w:val="005555CB"/>
    <w:rsid w:val="005556E4"/>
    <w:rsid w:val="0055597D"/>
    <w:rsid w:val="00555F36"/>
    <w:rsid w:val="00556E99"/>
    <w:rsid w:val="00557314"/>
    <w:rsid w:val="005603D9"/>
    <w:rsid w:val="0056136A"/>
    <w:rsid w:val="00561A82"/>
    <w:rsid w:val="00561B6E"/>
    <w:rsid w:val="0056245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514"/>
    <w:rsid w:val="00576A50"/>
    <w:rsid w:val="00577287"/>
    <w:rsid w:val="00577553"/>
    <w:rsid w:val="005777E0"/>
    <w:rsid w:val="005805C6"/>
    <w:rsid w:val="00581505"/>
    <w:rsid w:val="00581562"/>
    <w:rsid w:val="0058260A"/>
    <w:rsid w:val="0058269D"/>
    <w:rsid w:val="00583795"/>
    <w:rsid w:val="0058439D"/>
    <w:rsid w:val="00585149"/>
    <w:rsid w:val="00585C24"/>
    <w:rsid w:val="00585F8F"/>
    <w:rsid w:val="00586C7B"/>
    <w:rsid w:val="0058743A"/>
    <w:rsid w:val="005875A9"/>
    <w:rsid w:val="00587B7B"/>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2B73"/>
    <w:rsid w:val="005A3328"/>
    <w:rsid w:val="005A33A4"/>
    <w:rsid w:val="005A52D3"/>
    <w:rsid w:val="005A6845"/>
    <w:rsid w:val="005A7138"/>
    <w:rsid w:val="005A757D"/>
    <w:rsid w:val="005A783B"/>
    <w:rsid w:val="005A7C3F"/>
    <w:rsid w:val="005B00B6"/>
    <w:rsid w:val="005B087C"/>
    <w:rsid w:val="005B112F"/>
    <w:rsid w:val="005B1FED"/>
    <w:rsid w:val="005B2F33"/>
    <w:rsid w:val="005B3671"/>
    <w:rsid w:val="005B3B62"/>
    <w:rsid w:val="005B3D93"/>
    <w:rsid w:val="005B5C5F"/>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C74CF"/>
    <w:rsid w:val="005D19E4"/>
    <w:rsid w:val="005D1DF5"/>
    <w:rsid w:val="005D29DA"/>
    <w:rsid w:val="005D45A0"/>
    <w:rsid w:val="005D6415"/>
    <w:rsid w:val="005D6831"/>
    <w:rsid w:val="005D7248"/>
    <w:rsid w:val="005D7B7C"/>
    <w:rsid w:val="005E0300"/>
    <w:rsid w:val="005E0424"/>
    <w:rsid w:val="005E0C33"/>
    <w:rsid w:val="005E1009"/>
    <w:rsid w:val="005E15A3"/>
    <w:rsid w:val="005E1FAE"/>
    <w:rsid w:val="005E2915"/>
    <w:rsid w:val="005E3020"/>
    <w:rsid w:val="005E3329"/>
    <w:rsid w:val="005E34A6"/>
    <w:rsid w:val="005E35A0"/>
    <w:rsid w:val="005E3C0B"/>
    <w:rsid w:val="005E3CD0"/>
    <w:rsid w:val="005E4975"/>
    <w:rsid w:val="005E4A3D"/>
    <w:rsid w:val="005E4C9E"/>
    <w:rsid w:val="005E4F05"/>
    <w:rsid w:val="005E5502"/>
    <w:rsid w:val="005E5859"/>
    <w:rsid w:val="005E5DC1"/>
    <w:rsid w:val="005E5FD3"/>
    <w:rsid w:val="005E6282"/>
    <w:rsid w:val="005E63C7"/>
    <w:rsid w:val="005E67EC"/>
    <w:rsid w:val="005E6A4B"/>
    <w:rsid w:val="005E6F8C"/>
    <w:rsid w:val="005F15E7"/>
    <w:rsid w:val="005F178D"/>
    <w:rsid w:val="005F1C96"/>
    <w:rsid w:val="005F1FCF"/>
    <w:rsid w:val="005F2060"/>
    <w:rsid w:val="005F2E9B"/>
    <w:rsid w:val="005F4281"/>
    <w:rsid w:val="005F4546"/>
    <w:rsid w:val="005F49EC"/>
    <w:rsid w:val="005F4C5D"/>
    <w:rsid w:val="005F4DCE"/>
    <w:rsid w:val="005F54AB"/>
    <w:rsid w:val="005F557E"/>
    <w:rsid w:val="005F5725"/>
    <w:rsid w:val="005F666A"/>
    <w:rsid w:val="005F684F"/>
    <w:rsid w:val="005F7AD4"/>
    <w:rsid w:val="00600000"/>
    <w:rsid w:val="0060026F"/>
    <w:rsid w:val="00600733"/>
    <w:rsid w:val="006010BF"/>
    <w:rsid w:val="00601222"/>
    <w:rsid w:val="0060127F"/>
    <w:rsid w:val="00601296"/>
    <w:rsid w:val="00601369"/>
    <w:rsid w:val="00601A09"/>
    <w:rsid w:val="00601B42"/>
    <w:rsid w:val="006031FE"/>
    <w:rsid w:val="00603E10"/>
    <w:rsid w:val="006047FC"/>
    <w:rsid w:val="006048D2"/>
    <w:rsid w:val="00605233"/>
    <w:rsid w:val="006056EF"/>
    <w:rsid w:val="00605A1F"/>
    <w:rsid w:val="00605C7C"/>
    <w:rsid w:val="00607550"/>
    <w:rsid w:val="00607726"/>
    <w:rsid w:val="006077EB"/>
    <w:rsid w:val="006079C9"/>
    <w:rsid w:val="006100A1"/>
    <w:rsid w:val="006104BE"/>
    <w:rsid w:val="0061110A"/>
    <w:rsid w:val="006112E3"/>
    <w:rsid w:val="00611F58"/>
    <w:rsid w:val="00611F9E"/>
    <w:rsid w:val="00613D29"/>
    <w:rsid w:val="0061488D"/>
    <w:rsid w:val="0061663A"/>
    <w:rsid w:val="00616737"/>
    <w:rsid w:val="00616771"/>
    <w:rsid w:val="0062065D"/>
    <w:rsid w:val="0062111F"/>
    <w:rsid w:val="00621380"/>
    <w:rsid w:val="00621BE7"/>
    <w:rsid w:val="00621D3A"/>
    <w:rsid w:val="00622390"/>
    <w:rsid w:val="00622899"/>
    <w:rsid w:val="00622C25"/>
    <w:rsid w:val="00623DDC"/>
    <w:rsid w:val="00623EA3"/>
    <w:rsid w:val="00624876"/>
    <w:rsid w:val="00624BDB"/>
    <w:rsid w:val="00625AFD"/>
    <w:rsid w:val="00625E1B"/>
    <w:rsid w:val="00625F3D"/>
    <w:rsid w:val="0062696A"/>
    <w:rsid w:val="006274A1"/>
    <w:rsid w:val="0062756C"/>
    <w:rsid w:val="006279F4"/>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010"/>
    <w:rsid w:val="00636313"/>
    <w:rsid w:val="00637407"/>
    <w:rsid w:val="00637C16"/>
    <w:rsid w:val="00637FDB"/>
    <w:rsid w:val="006401B8"/>
    <w:rsid w:val="00640D71"/>
    <w:rsid w:val="00640FB3"/>
    <w:rsid w:val="00641BB7"/>
    <w:rsid w:val="00643D6C"/>
    <w:rsid w:val="006443ED"/>
    <w:rsid w:val="006445D2"/>
    <w:rsid w:val="00645887"/>
    <w:rsid w:val="0064661F"/>
    <w:rsid w:val="00647094"/>
    <w:rsid w:val="006505D9"/>
    <w:rsid w:val="00650880"/>
    <w:rsid w:val="00650D78"/>
    <w:rsid w:val="0065189F"/>
    <w:rsid w:val="00651E8B"/>
    <w:rsid w:val="00652205"/>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2DB"/>
    <w:rsid w:val="00667904"/>
    <w:rsid w:val="00667C8B"/>
    <w:rsid w:val="00667D3E"/>
    <w:rsid w:val="00670C8E"/>
    <w:rsid w:val="00672348"/>
    <w:rsid w:val="00672C9C"/>
    <w:rsid w:val="006733BB"/>
    <w:rsid w:val="00673593"/>
    <w:rsid w:val="006742F8"/>
    <w:rsid w:val="006747B5"/>
    <w:rsid w:val="00675974"/>
    <w:rsid w:val="00676566"/>
    <w:rsid w:val="00680270"/>
    <w:rsid w:val="006803E8"/>
    <w:rsid w:val="006804B2"/>
    <w:rsid w:val="006808AD"/>
    <w:rsid w:val="00681481"/>
    <w:rsid w:val="00682427"/>
    <w:rsid w:val="00682656"/>
    <w:rsid w:val="00683617"/>
    <w:rsid w:val="00683EAC"/>
    <w:rsid w:val="00684313"/>
    <w:rsid w:val="00684EF6"/>
    <w:rsid w:val="00686279"/>
    <w:rsid w:val="00686A8A"/>
    <w:rsid w:val="006870C8"/>
    <w:rsid w:val="006871B3"/>
    <w:rsid w:val="0068764F"/>
    <w:rsid w:val="006878A4"/>
    <w:rsid w:val="00690415"/>
    <w:rsid w:val="006905DD"/>
    <w:rsid w:val="006906A0"/>
    <w:rsid w:val="00691811"/>
    <w:rsid w:val="0069305F"/>
    <w:rsid w:val="006937F3"/>
    <w:rsid w:val="00694CB5"/>
    <w:rsid w:val="006954F2"/>
    <w:rsid w:val="006957B8"/>
    <w:rsid w:val="00696AE3"/>
    <w:rsid w:val="00696BCC"/>
    <w:rsid w:val="00697E9E"/>
    <w:rsid w:val="006A03CD"/>
    <w:rsid w:val="006A06FE"/>
    <w:rsid w:val="006A22AD"/>
    <w:rsid w:val="006A3BCF"/>
    <w:rsid w:val="006A42D4"/>
    <w:rsid w:val="006A48CE"/>
    <w:rsid w:val="006A4ABC"/>
    <w:rsid w:val="006A4E98"/>
    <w:rsid w:val="006A505E"/>
    <w:rsid w:val="006A737B"/>
    <w:rsid w:val="006A77F3"/>
    <w:rsid w:val="006A7829"/>
    <w:rsid w:val="006A7D53"/>
    <w:rsid w:val="006B057C"/>
    <w:rsid w:val="006B1BF1"/>
    <w:rsid w:val="006B2A9B"/>
    <w:rsid w:val="006B2BA6"/>
    <w:rsid w:val="006B3762"/>
    <w:rsid w:val="006B3E26"/>
    <w:rsid w:val="006B432D"/>
    <w:rsid w:val="006B4844"/>
    <w:rsid w:val="006B497B"/>
    <w:rsid w:val="006B4A50"/>
    <w:rsid w:val="006B4B65"/>
    <w:rsid w:val="006B5050"/>
    <w:rsid w:val="006B537E"/>
    <w:rsid w:val="006B7AA1"/>
    <w:rsid w:val="006C05FB"/>
    <w:rsid w:val="006C1330"/>
    <w:rsid w:val="006C1711"/>
    <w:rsid w:val="006C2008"/>
    <w:rsid w:val="006C24A5"/>
    <w:rsid w:val="006C24CD"/>
    <w:rsid w:val="006C3292"/>
    <w:rsid w:val="006C4923"/>
    <w:rsid w:val="006C4B12"/>
    <w:rsid w:val="006C4F8F"/>
    <w:rsid w:val="006C5263"/>
    <w:rsid w:val="006C5282"/>
    <w:rsid w:val="006C60B5"/>
    <w:rsid w:val="006C693D"/>
    <w:rsid w:val="006C6ED5"/>
    <w:rsid w:val="006C7D68"/>
    <w:rsid w:val="006D07EA"/>
    <w:rsid w:val="006D0C3D"/>
    <w:rsid w:val="006D153C"/>
    <w:rsid w:val="006D16CB"/>
    <w:rsid w:val="006D1A5E"/>
    <w:rsid w:val="006D25FC"/>
    <w:rsid w:val="006D396A"/>
    <w:rsid w:val="006D3F2C"/>
    <w:rsid w:val="006D4834"/>
    <w:rsid w:val="006D5A69"/>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E74CF"/>
    <w:rsid w:val="006F1806"/>
    <w:rsid w:val="006F180C"/>
    <w:rsid w:val="006F1C74"/>
    <w:rsid w:val="006F1E16"/>
    <w:rsid w:val="006F29C3"/>
    <w:rsid w:val="006F2C9D"/>
    <w:rsid w:val="006F30F8"/>
    <w:rsid w:val="006F3131"/>
    <w:rsid w:val="006F3144"/>
    <w:rsid w:val="006F34CA"/>
    <w:rsid w:val="006F363E"/>
    <w:rsid w:val="006F3CA9"/>
    <w:rsid w:val="006F48B0"/>
    <w:rsid w:val="006F585C"/>
    <w:rsid w:val="006F5B9E"/>
    <w:rsid w:val="006F6E1B"/>
    <w:rsid w:val="006F733F"/>
    <w:rsid w:val="00700C41"/>
    <w:rsid w:val="00700D26"/>
    <w:rsid w:val="007020A1"/>
    <w:rsid w:val="00702B26"/>
    <w:rsid w:val="00702CB3"/>
    <w:rsid w:val="00703E92"/>
    <w:rsid w:val="00704B05"/>
    <w:rsid w:val="00705543"/>
    <w:rsid w:val="0070581D"/>
    <w:rsid w:val="00705F96"/>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178BC"/>
    <w:rsid w:val="007228F6"/>
    <w:rsid w:val="0072562F"/>
    <w:rsid w:val="00725913"/>
    <w:rsid w:val="00726292"/>
    <w:rsid w:val="0072655F"/>
    <w:rsid w:val="00726DD1"/>
    <w:rsid w:val="00726FA5"/>
    <w:rsid w:val="007300F7"/>
    <w:rsid w:val="00730313"/>
    <w:rsid w:val="00730BC4"/>
    <w:rsid w:val="007311DD"/>
    <w:rsid w:val="00731D9B"/>
    <w:rsid w:val="00731DAB"/>
    <w:rsid w:val="00731F23"/>
    <w:rsid w:val="00732426"/>
    <w:rsid w:val="00732AE5"/>
    <w:rsid w:val="0073352D"/>
    <w:rsid w:val="00733CB7"/>
    <w:rsid w:val="00734371"/>
    <w:rsid w:val="007344E6"/>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9CA"/>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7D4"/>
    <w:rsid w:val="00767857"/>
    <w:rsid w:val="00767912"/>
    <w:rsid w:val="007705AC"/>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6E25"/>
    <w:rsid w:val="007772EB"/>
    <w:rsid w:val="00777874"/>
    <w:rsid w:val="00777AE8"/>
    <w:rsid w:val="0078030F"/>
    <w:rsid w:val="00780906"/>
    <w:rsid w:val="00780D17"/>
    <w:rsid w:val="00781E4C"/>
    <w:rsid w:val="00781EDD"/>
    <w:rsid w:val="00782370"/>
    <w:rsid w:val="00782DD9"/>
    <w:rsid w:val="00782EDF"/>
    <w:rsid w:val="007830E3"/>
    <w:rsid w:val="007845D8"/>
    <w:rsid w:val="00786807"/>
    <w:rsid w:val="007869C8"/>
    <w:rsid w:val="0078775D"/>
    <w:rsid w:val="00787DB5"/>
    <w:rsid w:val="0079039F"/>
    <w:rsid w:val="007915B2"/>
    <w:rsid w:val="007916E3"/>
    <w:rsid w:val="00792705"/>
    <w:rsid w:val="0079298A"/>
    <w:rsid w:val="00793368"/>
    <w:rsid w:val="0079361A"/>
    <w:rsid w:val="00793A7B"/>
    <w:rsid w:val="00794261"/>
    <w:rsid w:val="00794305"/>
    <w:rsid w:val="00794323"/>
    <w:rsid w:val="00794A9A"/>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197"/>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4DCD"/>
    <w:rsid w:val="007C52B5"/>
    <w:rsid w:val="007C6783"/>
    <w:rsid w:val="007C68C7"/>
    <w:rsid w:val="007C6937"/>
    <w:rsid w:val="007C6CAB"/>
    <w:rsid w:val="007C7614"/>
    <w:rsid w:val="007C78A6"/>
    <w:rsid w:val="007C797F"/>
    <w:rsid w:val="007C7C3E"/>
    <w:rsid w:val="007C7E5A"/>
    <w:rsid w:val="007D0C6E"/>
    <w:rsid w:val="007D0DD5"/>
    <w:rsid w:val="007D1002"/>
    <w:rsid w:val="007D112D"/>
    <w:rsid w:val="007D1598"/>
    <w:rsid w:val="007D1970"/>
    <w:rsid w:val="007D1A94"/>
    <w:rsid w:val="007D1AB2"/>
    <w:rsid w:val="007D210F"/>
    <w:rsid w:val="007D336B"/>
    <w:rsid w:val="007D3B14"/>
    <w:rsid w:val="007D4395"/>
    <w:rsid w:val="007D5575"/>
    <w:rsid w:val="007D5B23"/>
    <w:rsid w:val="007D71E1"/>
    <w:rsid w:val="007D7334"/>
    <w:rsid w:val="007D7563"/>
    <w:rsid w:val="007D7BC8"/>
    <w:rsid w:val="007E07A7"/>
    <w:rsid w:val="007E0B16"/>
    <w:rsid w:val="007E13C1"/>
    <w:rsid w:val="007E16B7"/>
    <w:rsid w:val="007E24F8"/>
    <w:rsid w:val="007E2D8C"/>
    <w:rsid w:val="007E300D"/>
    <w:rsid w:val="007E3963"/>
    <w:rsid w:val="007E4F8A"/>
    <w:rsid w:val="007E5467"/>
    <w:rsid w:val="007E5C97"/>
    <w:rsid w:val="007E5CB2"/>
    <w:rsid w:val="007E64E0"/>
    <w:rsid w:val="007E6A21"/>
    <w:rsid w:val="007E7EBD"/>
    <w:rsid w:val="007F0999"/>
    <w:rsid w:val="007F18A3"/>
    <w:rsid w:val="007F18DF"/>
    <w:rsid w:val="007F22F7"/>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7B5"/>
    <w:rsid w:val="00805A48"/>
    <w:rsid w:val="00805FB1"/>
    <w:rsid w:val="008063E2"/>
    <w:rsid w:val="008066A4"/>
    <w:rsid w:val="00806829"/>
    <w:rsid w:val="00806A83"/>
    <w:rsid w:val="00807739"/>
    <w:rsid w:val="0080791A"/>
    <w:rsid w:val="008100C2"/>
    <w:rsid w:val="00810A48"/>
    <w:rsid w:val="00811637"/>
    <w:rsid w:val="008139B9"/>
    <w:rsid w:val="00814930"/>
    <w:rsid w:val="00815752"/>
    <w:rsid w:val="00816D3D"/>
    <w:rsid w:val="00817AAB"/>
    <w:rsid w:val="008207CA"/>
    <w:rsid w:val="00820D73"/>
    <w:rsid w:val="008223A5"/>
    <w:rsid w:val="008228A2"/>
    <w:rsid w:val="008235DE"/>
    <w:rsid w:val="008246C9"/>
    <w:rsid w:val="00824873"/>
    <w:rsid w:val="008254D3"/>
    <w:rsid w:val="00825CA4"/>
    <w:rsid w:val="00826018"/>
    <w:rsid w:val="0082641D"/>
    <w:rsid w:val="008266BC"/>
    <w:rsid w:val="0083108F"/>
    <w:rsid w:val="00832CDB"/>
    <w:rsid w:val="00832DF8"/>
    <w:rsid w:val="008331EF"/>
    <w:rsid w:val="00833271"/>
    <w:rsid w:val="0083379F"/>
    <w:rsid w:val="0083402A"/>
    <w:rsid w:val="00834C20"/>
    <w:rsid w:val="00834CAA"/>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3FC7"/>
    <w:rsid w:val="008442E6"/>
    <w:rsid w:val="008453A5"/>
    <w:rsid w:val="00845A90"/>
    <w:rsid w:val="00846339"/>
    <w:rsid w:val="00846E76"/>
    <w:rsid w:val="0085032B"/>
    <w:rsid w:val="00850422"/>
    <w:rsid w:val="00850491"/>
    <w:rsid w:val="00851F8C"/>
    <w:rsid w:val="008522D6"/>
    <w:rsid w:val="008531B2"/>
    <w:rsid w:val="0085327E"/>
    <w:rsid w:val="0085526B"/>
    <w:rsid w:val="00856585"/>
    <w:rsid w:val="008567A9"/>
    <w:rsid w:val="00856A82"/>
    <w:rsid w:val="00856E3C"/>
    <w:rsid w:val="00856F7A"/>
    <w:rsid w:val="00857279"/>
    <w:rsid w:val="0085736B"/>
    <w:rsid w:val="00857529"/>
    <w:rsid w:val="0085795F"/>
    <w:rsid w:val="00857B52"/>
    <w:rsid w:val="00860265"/>
    <w:rsid w:val="00861B32"/>
    <w:rsid w:val="00861DD8"/>
    <w:rsid w:val="00863781"/>
    <w:rsid w:val="008665F8"/>
    <w:rsid w:val="00867111"/>
    <w:rsid w:val="00867C9A"/>
    <w:rsid w:val="008701A1"/>
    <w:rsid w:val="008712EF"/>
    <w:rsid w:val="0087173E"/>
    <w:rsid w:val="008718F3"/>
    <w:rsid w:val="0087246B"/>
    <w:rsid w:val="00872487"/>
    <w:rsid w:val="00872D3B"/>
    <w:rsid w:val="008737F1"/>
    <w:rsid w:val="0087384D"/>
    <w:rsid w:val="00873B3E"/>
    <w:rsid w:val="00874685"/>
    <w:rsid w:val="008748C4"/>
    <w:rsid w:val="00874DC9"/>
    <w:rsid w:val="0087561C"/>
    <w:rsid w:val="00875E26"/>
    <w:rsid w:val="00876615"/>
    <w:rsid w:val="00876F20"/>
    <w:rsid w:val="00877094"/>
    <w:rsid w:val="00877A89"/>
    <w:rsid w:val="00880F98"/>
    <w:rsid w:val="00881049"/>
    <w:rsid w:val="0088137B"/>
    <w:rsid w:val="008813ED"/>
    <w:rsid w:val="00882131"/>
    <w:rsid w:val="0088217A"/>
    <w:rsid w:val="00883D0E"/>
    <w:rsid w:val="008846F1"/>
    <w:rsid w:val="00884E7E"/>
    <w:rsid w:val="0088510A"/>
    <w:rsid w:val="0088524F"/>
    <w:rsid w:val="00885CAF"/>
    <w:rsid w:val="00885CB3"/>
    <w:rsid w:val="008860BB"/>
    <w:rsid w:val="00886BFC"/>
    <w:rsid w:val="00887493"/>
    <w:rsid w:val="008876EF"/>
    <w:rsid w:val="00887C91"/>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A88"/>
    <w:rsid w:val="00895C62"/>
    <w:rsid w:val="00895C88"/>
    <w:rsid w:val="0089799D"/>
    <w:rsid w:val="008A0C05"/>
    <w:rsid w:val="008A0CFD"/>
    <w:rsid w:val="008A1F9B"/>
    <w:rsid w:val="008A2018"/>
    <w:rsid w:val="008A37D4"/>
    <w:rsid w:val="008A3B3D"/>
    <w:rsid w:val="008A42B0"/>
    <w:rsid w:val="008A42D6"/>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B799F"/>
    <w:rsid w:val="008C04B3"/>
    <w:rsid w:val="008C0694"/>
    <w:rsid w:val="008C06D5"/>
    <w:rsid w:val="008C1208"/>
    <w:rsid w:val="008C14C4"/>
    <w:rsid w:val="008C1710"/>
    <w:rsid w:val="008C3158"/>
    <w:rsid w:val="008C3963"/>
    <w:rsid w:val="008C4415"/>
    <w:rsid w:val="008C4CFE"/>
    <w:rsid w:val="008C7E72"/>
    <w:rsid w:val="008D033C"/>
    <w:rsid w:val="008D0725"/>
    <w:rsid w:val="008D0B33"/>
    <w:rsid w:val="008D0B48"/>
    <w:rsid w:val="008D0D25"/>
    <w:rsid w:val="008D0FBC"/>
    <w:rsid w:val="008D1526"/>
    <w:rsid w:val="008D2273"/>
    <w:rsid w:val="008D2B32"/>
    <w:rsid w:val="008D33E2"/>
    <w:rsid w:val="008D38EE"/>
    <w:rsid w:val="008D4B2A"/>
    <w:rsid w:val="008D5CC3"/>
    <w:rsid w:val="008D70C5"/>
    <w:rsid w:val="008D7419"/>
    <w:rsid w:val="008D75E7"/>
    <w:rsid w:val="008E0791"/>
    <w:rsid w:val="008E094D"/>
    <w:rsid w:val="008E0D06"/>
    <w:rsid w:val="008E152A"/>
    <w:rsid w:val="008E176A"/>
    <w:rsid w:val="008E1A76"/>
    <w:rsid w:val="008E1ACE"/>
    <w:rsid w:val="008E27C1"/>
    <w:rsid w:val="008E2822"/>
    <w:rsid w:val="008E2982"/>
    <w:rsid w:val="008E3357"/>
    <w:rsid w:val="008E33EA"/>
    <w:rsid w:val="008E4713"/>
    <w:rsid w:val="008E4780"/>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7DD"/>
    <w:rsid w:val="008F4AE5"/>
    <w:rsid w:val="008F4C62"/>
    <w:rsid w:val="008F5E3B"/>
    <w:rsid w:val="008F6B38"/>
    <w:rsid w:val="008F72A6"/>
    <w:rsid w:val="008F7CEB"/>
    <w:rsid w:val="008F7D25"/>
    <w:rsid w:val="00900226"/>
    <w:rsid w:val="00900C8D"/>
    <w:rsid w:val="009012C6"/>
    <w:rsid w:val="009015DD"/>
    <w:rsid w:val="00901A5A"/>
    <w:rsid w:val="009028DF"/>
    <w:rsid w:val="00902A1D"/>
    <w:rsid w:val="00902EBA"/>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356"/>
    <w:rsid w:val="0092644E"/>
    <w:rsid w:val="00926B57"/>
    <w:rsid w:val="00926F09"/>
    <w:rsid w:val="009305F2"/>
    <w:rsid w:val="00930F79"/>
    <w:rsid w:val="0093143C"/>
    <w:rsid w:val="00931559"/>
    <w:rsid w:val="00931A26"/>
    <w:rsid w:val="00931EE5"/>
    <w:rsid w:val="00931EF0"/>
    <w:rsid w:val="00932CFF"/>
    <w:rsid w:val="00932F08"/>
    <w:rsid w:val="00932FB2"/>
    <w:rsid w:val="0093467F"/>
    <w:rsid w:val="009346F9"/>
    <w:rsid w:val="00934A24"/>
    <w:rsid w:val="009354B9"/>
    <w:rsid w:val="00935A0D"/>
    <w:rsid w:val="00936419"/>
    <w:rsid w:val="009369B0"/>
    <w:rsid w:val="00936BED"/>
    <w:rsid w:val="00936E01"/>
    <w:rsid w:val="009371E5"/>
    <w:rsid w:val="00937737"/>
    <w:rsid w:val="00940803"/>
    <w:rsid w:val="00940FFE"/>
    <w:rsid w:val="009411A0"/>
    <w:rsid w:val="00942B6C"/>
    <w:rsid w:val="00942D92"/>
    <w:rsid w:val="00943B74"/>
    <w:rsid w:val="0094486F"/>
    <w:rsid w:val="00944A83"/>
    <w:rsid w:val="00944CA2"/>
    <w:rsid w:val="009458C7"/>
    <w:rsid w:val="00946CAA"/>
    <w:rsid w:val="009470F1"/>
    <w:rsid w:val="0094714C"/>
    <w:rsid w:val="009472B3"/>
    <w:rsid w:val="00947905"/>
    <w:rsid w:val="00947F35"/>
    <w:rsid w:val="009500DD"/>
    <w:rsid w:val="00951598"/>
    <w:rsid w:val="00952919"/>
    <w:rsid w:val="009542AC"/>
    <w:rsid w:val="00954930"/>
    <w:rsid w:val="00954A59"/>
    <w:rsid w:val="00955029"/>
    <w:rsid w:val="00955ADE"/>
    <w:rsid w:val="009573BD"/>
    <w:rsid w:val="0095790B"/>
    <w:rsid w:val="0096079C"/>
    <w:rsid w:val="0096089C"/>
    <w:rsid w:val="00960ED9"/>
    <w:rsid w:val="0096146C"/>
    <w:rsid w:val="00962B3C"/>
    <w:rsid w:val="00962E4E"/>
    <w:rsid w:val="00964C60"/>
    <w:rsid w:val="00964E79"/>
    <w:rsid w:val="00964F37"/>
    <w:rsid w:val="0096576D"/>
    <w:rsid w:val="00966711"/>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C34"/>
    <w:rsid w:val="00981F51"/>
    <w:rsid w:val="0098269C"/>
    <w:rsid w:val="009837CB"/>
    <w:rsid w:val="00985240"/>
    <w:rsid w:val="009858EF"/>
    <w:rsid w:val="00985D90"/>
    <w:rsid w:val="009869F6"/>
    <w:rsid w:val="00986B3C"/>
    <w:rsid w:val="009872E2"/>
    <w:rsid w:val="0099065F"/>
    <w:rsid w:val="0099075B"/>
    <w:rsid w:val="00990860"/>
    <w:rsid w:val="00990E7A"/>
    <w:rsid w:val="0099195F"/>
    <w:rsid w:val="00991EC7"/>
    <w:rsid w:val="00991FB6"/>
    <w:rsid w:val="00992009"/>
    <w:rsid w:val="009925EC"/>
    <w:rsid w:val="00992BC7"/>
    <w:rsid w:val="00993AD0"/>
    <w:rsid w:val="00994602"/>
    <w:rsid w:val="00995097"/>
    <w:rsid w:val="00995953"/>
    <w:rsid w:val="009969DF"/>
    <w:rsid w:val="009A00BC"/>
    <w:rsid w:val="009A07EA"/>
    <w:rsid w:val="009A09A8"/>
    <w:rsid w:val="009A0F6D"/>
    <w:rsid w:val="009A13F2"/>
    <w:rsid w:val="009A1902"/>
    <w:rsid w:val="009A1A3F"/>
    <w:rsid w:val="009A1E3F"/>
    <w:rsid w:val="009A2F07"/>
    <w:rsid w:val="009A34EE"/>
    <w:rsid w:val="009A3ADA"/>
    <w:rsid w:val="009A4BD3"/>
    <w:rsid w:val="009A52D1"/>
    <w:rsid w:val="009A55C3"/>
    <w:rsid w:val="009A6863"/>
    <w:rsid w:val="009A6A8A"/>
    <w:rsid w:val="009A6C4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974"/>
    <w:rsid w:val="009B6C33"/>
    <w:rsid w:val="009B6C5A"/>
    <w:rsid w:val="009B6EF8"/>
    <w:rsid w:val="009B7B7A"/>
    <w:rsid w:val="009C2285"/>
    <w:rsid w:val="009C3731"/>
    <w:rsid w:val="009C4F62"/>
    <w:rsid w:val="009C4FE0"/>
    <w:rsid w:val="009C5252"/>
    <w:rsid w:val="009C5715"/>
    <w:rsid w:val="009C5A46"/>
    <w:rsid w:val="009C5D0E"/>
    <w:rsid w:val="009C6175"/>
    <w:rsid w:val="009C61F1"/>
    <w:rsid w:val="009C64B7"/>
    <w:rsid w:val="009C6A35"/>
    <w:rsid w:val="009D00FC"/>
    <w:rsid w:val="009D0123"/>
    <w:rsid w:val="009D023A"/>
    <w:rsid w:val="009D1C6B"/>
    <w:rsid w:val="009D21FF"/>
    <w:rsid w:val="009D2860"/>
    <w:rsid w:val="009D2B11"/>
    <w:rsid w:val="009D3D61"/>
    <w:rsid w:val="009D4491"/>
    <w:rsid w:val="009D4854"/>
    <w:rsid w:val="009D4923"/>
    <w:rsid w:val="009D502B"/>
    <w:rsid w:val="009D5847"/>
    <w:rsid w:val="009D605C"/>
    <w:rsid w:val="009D674D"/>
    <w:rsid w:val="009D6788"/>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5D3"/>
    <w:rsid w:val="009E68BB"/>
    <w:rsid w:val="009E7036"/>
    <w:rsid w:val="009E7593"/>
    <w:rsid w:val="009F07F4"/>
    <w:rsid w:val="009F11E8"/>
    <w:rsid w:val="009F19E6"/>
    <w:rsid w:val="009F1F2E"/>
    <w:rsid w:val="009F1F62"/>
    <w:rsid w:val="009F28D9"/>
    <w:rsid w:val="009F3947"/>
    <w:rsid w:val="009F4D23"/>
    <w:rsid w:val="009F4F90"/>
    <w:rsid w:val="009F5C19"/>
    <w:rsid w:val="009F69BA"/>
    <w:rsid w:val="009F6E82"/>
    <w:rsid w:val="009F704F"/>
    <w:rsid w:val="009F71F3"/>
    <w:rsid w:val="00A00110"/>
    <w:rsid w:val="00A00BC6"/>
    <w:rsid w:val="00A014EE"/>
    <w:rsid w:val="00A01821"/>
    <w:rsid w:val="00A0225D"/>
    <w:rsid w:val="00A037CB"/>
    <w:rsid w:val="00A0466C"/>
    <w:rsid w:val="00A0469A"/>
    <w:rsid w:val="00A04B89"/>
    <w:rsid w:val="00A04EB0"/>
    <w:rsid w:val="00A05063"/>
    <w:rsid w:val="00A075F7"/>
    <w:rsid w:val="00A076B7"/>
    <w:rsid w:val="00A11324"/>
    <w:rsid w:val="00A13008"/>
    <w:rsid w:val="00A138DC"/>
    <w:rsid w:val="00A14237"/>
    <w:rsid w:val="00A1430D"/>
    <w:rsid w:val="00A14429"/>
    <w:rsid w:val="00A1488C"/>
    <w:rsid w:val="00A15125"/>
    <w:rsid w:val="00A15FFD"/>
    <w:rsid w:val="00A16207"/>
    <w:rsid w:val="00A166C7"/>
    <w:rsid w:val="00A17823"/>
    <w:rsid w:val="00A17875"/>
    <w:rsid w:val="00A17D0D"/>
    <w:rsid w:val="00A20C97"/>
    <w:rsid w:val="00A20F7B"/>
    <w:rsid w:val="00A219B7"/>
    <w:rsid w:val="00A2205C"/>
    <w:rsid w:val="00A22365"/>
    <w:rsid w:val="00A228F0"/>
    <w:rsid w:val="00A2300C"/>
    <w:rsid w:val="00A2340B"/>
    <w:rsid w:val="00A234AD"/>
    <w:rsid w:val="00A25070"/>
    <w:rsid w:val="00A25AF8"/>
    <w:rsid w:val="00A27150"/>
    <w:rsid w:val="00A27728"/>
    <w:rsid w:val="00A3050F"/>
    <w:rsid w:val="00A30716"/>
    <w:rsid w:val="00A31EDE"/>
    <w:rsid w:val="00A31F2A"/>
    <w:rsid w:val="00A321DD"/>
    <w:rsid w:val="00A32A88"/>
    <w:rsid w:val="00A32ACD"/>
    <w:rsid w:val="00A32DE9"/>
    <w:rsid w:val="00A3314E"/>
    <w:rsid w:val="00A33A16"/>
    <w:rsid w:val="00A344AD"/>
    <w:rsid w:val="00A34973"/>
    <w:rsid w:val="00A35622"/>
    <w:rsid w:val="00A36ED5"/>
    <w:rsid w:val="00A41054"/>
    <w:rsid w:val="00A415DB"/>
    <w:rsid w:val="00A4197A"/>
    <w:rsid w:val="00A41E44"/>
    <w:rsid w:val="00A4262C"/>
    <w:rsid w:val="00A42D27"/>
    <w:rsid w:val="00A43472"/>
    <w:rsid w:val="00A43663"/>
    <w:rsid w:val="00A43B64"/>
    <w:rsid w:val="00A44F51"/>
    <w:rsid w:val="00A4679F"/>
    <w:rsid w:val="00A46CED"/>
    <w:rsid w:val="00A47246"/>
    <w:rsid w:val="00A47C9E"/>
    <w:rsid w:val="00A50C74"/>
    <w:rsid w:val="00A51357"/>
    <w:rsid w:val="00A51D2C"/>
    <w:rsid w:val="00A52C18"/>
    <w:rsid w:val="00A536A0"/>
    <w:rsid w:val="00A53CB1"/>
    <w:rsid w:val="00A5404F"/>
    <w:rsid w:val="00A54196"/>
    <w:rsid w:val="00A5589D"/>
    <w:rsid w:val="00A55D42"/>
    <w:rsid w:val="00A55E21"/>
    <w:rsid w:val="00A57AFC"/>
    <w:rsid w:val="00A6004F"/>
    <w:rsid w:val="00A6106B"/>
    <w:rsid w:val="00A6220A"/>
    <w:rsid w:val="00A630F4"/>
    <w:rsid w:val="00A64A07"/>
    <w:rsid w:val="00A650DC"/>
    <w:rsid w:val="00A654F7"/>
    <w:rsid w:val="00A66299"/>
    <w:rsid w:val="00A67754"/>
    <w:rsid w:val="00A67ED9"/>
    <w:rsid w:val="00A717E4"/>
    <w:rsid w:val="00A721AF"/>
    <w:rsid w:val="00A7297B"/>
    <w:rsid w:val="00A72F47"/>
    <w:rsid w:val="00A744CF"/>
    <w:rsid w:val="00A74CAF"/>
    <w:rsid w:val="00A7534A"/>
    <w:rsid w:val="00A757D4"/>
    <w:rsid w:val="00A75821"/>
    <w:rsid w:val="00A75A80"/>
    <w:rsid w:val="00A7641B"/>
    <w:rsid w:val="00A767EF"/>
    <w:rsid w:val="00A76FB1"/>
    <w:rsid w:val="00A77111"/>
    <w:rsid w:val="00A81037"/>
    <w:rsid w:val="00A81140"/>
    <w:rsid w:val="00A81C19"/>
    <w:rsid w:val="00A82448"/>
    <w:rsid w:val="00A827A6"/>
    <w:rsid w:val="00A84108"/>
    <w:rsid w:val="00A8620C"/>
    <w:rsid w:val="00A8711C"/>
    <w:rsid w:val="00A900E2"/>
    <w:rsid w:val="00A90703"/>
    <w:rsid w:val="00A917E6"/>
    <w:rsid w:val="00A91CCB"/>
    <w:rsid w:val="00A92027"/>
    <w:rsid w:val="00A93127"/>
    <w:rsid w:val="00A931A3"/>
    <w:rsid w:val="00A933EF"/>
    <w:rsid w:val="00A93B3D"/>
    <w:rsid w:val="00A94713"/>
    <w:rsid w:val="00A949F0"/>
    <w:rsid w:val="00A95947"/>
    <w:rsid w:val="00A968B3"/>
    <w:rsid w:val="00A96BC3"/>
    <w:rsid w:val="00A96EE6"/>
    <w:rsid w:val="00A96FD2"/>
    <w:rsid w:val="00A97959"/>
    <w:rsid w:val="00A97EAD"/>
    <w:rsid w:val="00AA09B3"/>
    <w:rsid w:val="00AA15EF"/>
    <w:rsid w:val="00AA1733"/>
    <w:rsid w:val="00AA19A7"/>
    <w:rsid w:val="00AA2C2B"/>
    <w:rsid w:val="00AA37FC"/>
    <w:rsid w:val="00AA44B0"/>
    <w:rsid w:val="00AA4B65"/>
    <w:rsid w:val="00AA57EF"/>
    <w:rsid w:val="00AA5F5D"/>
    <w:rsid w:val="00AA7806"/>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228"/>
    <w:rsid w:val="00AC6E31"/>
    <w:rsid w:val="00AC6FA3"/>
    <w:rsid w:val="00AC74AC"/>
    <w:rsid w:val="00AC7ABC"/>
    <w:rsid w:val="00AD0514"/>
    <w:rsid w:val="00AD15AF"/>
    <w:rsid w:val="00AD185A"/>
    <w:rsid w:val="00AD1C3D"/>
    <w:rsid w:val="00AD1D3D"/>
    <w:rsid w:val="00AD2277"/>
    <w:rsid w:val="00AD41F1"/>
    <w:rsid w:val="00AD5C04"/>
    <w:rsid w:val="00AE013D"/>
    <w:rsid w:val="00AE125E"/>
    <w:rsid w:val="00AE1D9E"/>
    <w:rsid w:val="00AE301A"/>
    <w:rsid w:val="00AE34E5"/>
    <w:rsid w:val="00AE4286"/>
    <w:rsid w:val="00AE45EA"/>
    <w:rsid w:val="00AE5719"/>
    <w:rsid w:val="00AE5953"/>
    <w:rsid w:val="00AE5B7C"/>
    <w:rsid w:val="00AE6B73"/>
    <w:rsid w:val="00AE6EC3"/>
    <w:rsid w:val="00AE73E2"/>
    <w:rsid w:val="00AE7424"/>
    <w:rsid w:val="00AF02C2"/>
    <w:rsid w:val="00AF0927"/>
    <w:rsid w:val="00AF16F8"/>
    <w:rsid w:val="00AF1B2B"/>
    <w:rsid w:val="00AF200E"/>
    <w:rsid w:val="00AF203D"/>
    <w:rsid w:val="00AF299E"/>
    <w:rsid w:val="00AF2AD6"/>
    <w:rsid w:val="00AF2ADD"/>
    <w:rsid w:val="00AF2D16"/>
    <w:rsid w:val="00AF3B9F"/>
    <w:rsid w:val="00AF4BD7"/>
    <w:rsid w:val="00AF55A6"/>
    <w:rsid w:val="00AF621D"/>
    <w:rsid w:val="00AF65A0"/>
    <w:rsid w:val="00B0049C"/>
    <w:rsid w:val="00B0060F"/>
    <w:rsid w:val="00B0148A"/>
    <w:rsid w:val="00B01E0D"/>
    <w:rsid w:val="00B03459"/>
    <w:rsid w:val="00B03CE2"/>
    <w:rsid w:val="00B04842"/>
    <w:rsid w:val="00B0543E"/>
    <w:rsid w:val="00B05E33"/>
    <w:rsid w:val="00B06BA1"/>
    <w:rsid w:val="00B10802"/>
    <w:rsid w:val="00B11E6A"/>
    <w:rsid w:val="00B125CC"/>
    <w:rsid w:val="00B12875"/>
    <w:rsid w:val="00B12ACC"/>
    <w:rsid w:val="00B13EF8"/>
    <w:rsid w:val="00B13F95"/>
    <w:rsid w:val="00B1522A"/>
    <w:rsid w:val="00B153AD"/>
    <w:rsid w:val="00B158C6"/>
    <w:rsid w:val="00B15C4F"/>
    <w:rsid w:val="00B169F5"/>
    <w:rsid w:val="00B16FF2"/>
    <w:rsid w:val="00B172A1"/>
    <w:rsid w:val="00B17A5B"/>
    <w:rsid w:val="00B21982"/>
    <w:rsid w:val="00B21F2B"/>
    <w:rsid w:val="00B231AA"/>
    <w:rsid w:val="00B2362A"/>
    <w:rsid w:val="00B23E81"/>
    <w:rsid w:val="00B25866"/>
    <w:rsid w:val="00B25A6F"/>
    <w:rsid w:val="00B25BC6"/>
    <w:rsid w:val="00B25CB9"/>
    <w:rsid w:val="00B270F3"/>
    <w:rsid w:val="00B30948"/>
    <w:rsid w:val="00B316E2"/>
    <w:rsid w:val="00B3216A"/>
    <w:rsid w:val="00B322FC"/>
    <w:rsid w:val="00B328A4"/>
    <w:rsid w:val="00B33A9A"/>
    <w:rsid w:val="00B33C2F"/>
    <w:rsid w:val="00B34D6D"/>
    <w:rsid w:val="00B34E07"/>
    <w:rsid w:val="00B35432"/>
    <w:rsid w:val="00B37122"/>
    <w:rsid w:val="00B373AD"/>
    <w:rsid w:val="00B41343"/>
    <w:rsid w:val="00B4134E"/>
    <w:rsid w:val="00B4137E"/>
    <w:rsid w:val="00B41BE7"/>
    <w:rsid w:val="00B41C30"/>
    <w:rsid w:val="00B42775"/>
    <w:rsid w:val="00B4299A"/>
    <w:rsid w:val="00B42B2D"/>
    <w:rsid w:val="00B441CE"/>
    <w:rsid w:val="00B44BCD"/>
    <w:rsid w:val="00B44DA3"/>
    <w:rsid w:val="00B461C1"/>
    <w:rsid w:val="00B46853"/>
    <w:rsid w:val="00B47406"/>
    <w:rsid w:val="00B47A27"/>
    <w:rsid w:val="00B5061D"/>
    <w:rsid w:val="00B50E2D"/>
    <w:rsid w:val="00B5114C"/>
    <w:rsid w:val="00B518F7"/>
    <w:rsid w:val="00B51A2C"/>
    <w:rsid w:val="00B51BEA"/>
    <w:rsid w:val="00B52026"/>
    <w:rsid w:val="00B5328A"/>
    <w:rsid w:val="00B5510F"/>
    <w:rsid w:val="00B566EA"/>
    <w:rsid w:val="00B56B3C"/>
    <w:rsid w:val="00B57587"/>
    <w:rsid w:val="00B61DD1"/>
    <w:rsid w:val="00B623CE"/>
    <w:rsid w:val="00B62B91"/>
    <w:rsid w:val="00B62CE7"/>
    <w:rsid w:val="00B63188"/>
    <w:rsid w:val="00B64BF6"/>
    <w:rsid w:val="00B65D30"/>
    <w:rsid w:val="00B662AD"/>
    <w:rsid w:val="00B67B47"/>
    <w:rsid w:val="00B67E89"/>
    <w:rsid w:val="00B70AD5"/>
    <w:rsid w:val="00B71DAA"/>
    <w:rsid w:val="00B722A7"/>
    <w:rsid w:val="00B728D6"/>
    <w:rsid w:val="00B72ACE"/>
    <w:rsid w:val="00B7332C"/>
    <w:rsid w:val="00B7369D"/>
    <w:rsid w:val="00B73BC0"/>
    <w:rsid w:val="00B73F7F"/>
    <w:rsid w:val="00B75466"/>
    <w:rsid w:val="00B758CE"/>
    <w:rsid w:val="00B76233"/>
    <w:rsid w:val="00B76358"/>
    <w:rsid w:val="00B76C30"/>
    <w:rsid w:val="00B778AA"/>
    <w:rsid w:val="00B81B4A"/>
    <w:rsid w:val="00B81C55"/>
    <w:rsid w:val="00B82000"/>
    <w:rsid w:val="00B82E36"/>
    <w:rsid w:val="00B82E47"/>
    <w:rsid w:val="00B84265"/>
    <w:rsid w:val="00B8497B"/>
    <w:rsid w:val="00B854BD"/>
    <w:rsid w:val="00B85D36"/>
    <w:rsid w:val="00B8633F"/>
    <w:rsid w:val="00B86A4A"/>
    <w:rsid w:val="00B86DC2"/>
    <w:rsid w:val="00B86E05"/>
    <w:rsid w:val="00B90397"/>
    <w:rsid w:val="00B90CBE"/>
    <w:rsid w:val="00B90D16"/>
    <w:rsid w:val="00B91560"/>
    <w:rsid w:val="00B91A02"/>
    <w:rsid w:val="00B91C28"/>
    <w:rsid w:val="00B91F2F"/>
    <w:rsid w:val="00B92423"/>
    <w:rsid w:val="00B92B46"/>
    <w:rsid w:val="00B92E1C"/>
    <w:rsid w:val="00B940CE"/>
    <w:rsid w:val="00B95A00"/>
    <w:rsid w:val="00B95CDD"/>
    <w:rsid w:val="00B96729"/>
    <w:rsid w:val="00B97E48"/>
    <w:rsid w:val="00BA00A9"/>
    <w:rsid w:val="00BA0426"/>
    <w:rsid w:val="00BA1854"/>
    <w:rsid w:val="00BA1B7A"/>
    <w:rsid w:val="00BA2EE9"/>
    <w:rsid w:val="00BA363C"/>
    <w:rsid w:val="00BA3674"/>
    <w:rsid w:val="00BA36A5"/>
    <w:rsid w:val="00BA3CDE"/>
    <w:rsid w:val="00BA4B2C"/>
    <w:rsid w:val="00BA563B"/>
    <w:rsid w:val="00BA56BB"/>
    <w:rsid w:val="00BA59AE"/>
    <w:rsid w:val="00BA687F"/>
    <w:rsid w:val="00BA69F4"/>
    <w:rsid w:val="00BA7F80"/>
    <w:rsid w:val="00BB0CC2"/>
    <w:rsid w:val="00BB107D"/>
    <w:rsid w:val="00BB1A72"/>
    <w:rsid w:val="00BB1C5D"/>
    <w:rsid w:val="00BB1F0D"/>
    <w:rsid w:val="00BB2701"/>
    <w:rsid w:val="00BB2E4E"/>
    <w:rsid w:val="00BB3344"/>
    <w:rsid w:val="00BB37FC"/>
    <w:rsid w:val="00BB4B26"/>
    <w:rsid w:val="00BB507E"/>
    <w:rsid w:val="00BB50A5"/>
    <w:rsid w:val="00BB6202"/>
    <w:rsid w:val="00BB6B69"/>
    <w:rsid w:val="00BB6BCB"/>
    <w:rsid w:val="00BB7698"/>
    <w:rsid w:val="00BB78FC"/>
    <w:rsid w:val="00BB7C68"/>
    <w:rsid w:val="00BC15AB"/>
    <w:rsid w:val="00BC1BAD"/>
    <w:rsid w:val="00BC250E"/>
    <w:rsid w:val="00BC30AA"/>
    <w:rsid w:val="00BC34B3"/>
    <w:rsid w:val="00BC3FE1"/>
    <w:rsid w:val="00BC5040"/>
    <w:rsid w:val="00BC63BC"/>
    <w:rsid w:val="00BC6602"/>
    <w:rsid w:val="00BC6991"/>
    <w:rsid w:val="00BC704A"/>
    <w:rsid w:val="00BC7267"/>
    <w:rsid w:val="00BD000E"/>
    <w:rsid w:val="00BD0947"/>
    <w:rsid w:val="00BD1191"/>
    <w:rsid w:val="00BD1625"/>
    <w:rsid w:val="00BD186E"/>
    <w:rsid w:val="00BD1943"/>
    <w:rsid w:val="00BD1BDB"/>
    <w:rsid w:val="00BD24F0"/>
    <w:rsid w:val="00BD2E7D"/>
    <w:rsid w:val="00BD3667"/>
    <w:rsid w:val="00BD3AD2"/>
    <w:rsid w:val="00BD428D"/>
    <w:rsid w:val="00BD4410"/>
    <w:rsid w:val="00BD4B1F"/>
    <w:rsid w:val="00BD4C04"/>
    <w:rsid w:val="00BD5EA7"/>
    <w:rsid w:val="00BD6857"/>
    <w:rsid w:val="00BD6BED"/>
    <w:rsid w:val="00BD73CE"/>
    <w:rsid w:val="00BD7483"/>
    <w:rsid w:val="00BE097D"/>
    <w:rsid w:val="00BE0E74"/>
    <w:rsid w:val="00BE1DBF"/>
    <w:rsid w:val="00BE226E"/>
    <w:rsid w:val="00BE3B2F"/>
    <w:rsid w:val="00BE421A"/>
    <w:rsid w:val="00BE66D6"/>
    <w:rsid w:val="00BE67A1"/>
    <w:rsid w:val="00BE732D"/>
    <w:rsid w:val="00BE788A"/>
    <w:rsid w:val="00BF0540"/>
    <w:rsid w:val="00BF0748"/>
    <w:rsid w:val="00BF0B64"/>
    <w:rsid w:val="00BF212E"/>
    <w:rsid w:val="00BF2E4C"/>
    <w:rsid w:val="00BF330A"/>
    <w:rsid w:val="00BF42CF"/>
    <w:rsid w:val="00BF469C"/>
    <w:rsid w:val="00BF51B5"/>
    <w:rsid w:val="00BF558C"/>
    <w:rsid w:val="00BF685A"/>
    <w:rsid w:val="00BF6B39"/>
    <w:rsid w:val="00C0076A"/>
    <w:rsid w:val="00C0130F"/>
    <w:rsid w:val="00C03538"/>
    <w:rsid w:val="00C0479C"/>
    <w:rsid w:val="00C04E4A"/>
    <w:rsid w:val="00C0590E"/>
    <w:rsid w:val="00C05950"/>
    <w:rsid w:val="00C06929"/>
    <w:rsid w:val="00C06EF4"/>
    <w:rsid w:val="00C07899"/>
    <w:rsid w:val="00C07FA9"/>
    <w:rsid w:val="00C10AEE"/>
    <w:rsid w:val="00C10C70"/>
    <w:rsid w:val="00C10DD6"/>
    <w:rsid w:val="00C10DEC"/>
    <w:rsid w:val="00C1122F"/>
    <w:rsid w:val="00C11F89"/>
    <w:rsid w:val="00C120C6"/>
    <w:rsid w:val="00C12237"/>
    <w:rsid w:val="00C12C0F"/>
    <w:rsid w:val="00C134E5"/>
    <w:rsid w:val="00C13832"/>
    <w:rsid w:val="00C1424D"/>
    <w:rsid w:val="00C143AE"/>
    <w:rsid w:val="00C16490"/>
    <w:rsid w:val="00C16849"/>
    <w:rsid w:val="00C16ECF"/>
    <w:rsid w:val="00C17535"/>
    <w:rsid w:val="00C1778D"/>
    <w:rsid w:val="00C20E42"/>
    <w:rsid w:val="00C21421"/>
    <w:rsid w:val="00C22635"/>
    <w:rsid w:val="00C22842"/>
    <w:rsid w:val="00C22DAC"/>
    <w:rsid w:val="00C23048"/>
    <w:rsid w:val="00C23621"/>
    <w:rsid w:val="00C23792"/>
    <w:rsid w:val="00C23B1E"/>
    <w:rsid w:val="00C24F5E"/>
    <w:rsid w:val="00C255BC"/>
    <w:rsid w:val="00C265CC"/>
    <w:rsid w:val="00C265FB"/>
    <w:rsid w:val="00C26973"/>
    <w:rsid w:val="00C273AE"/>
    <w:rsid w:val="00C27C1C"/>
    <w:rsid w:val="00C27C61"/>
    <w:rsid w:val="00C30DDA"/>
    <w:rsid w:val="00C3109F"/>
    <w:rsid w:val="00C3208F"/>
    <w:rsid w:val="00C32280"/>
    <w:rsid w:val="00C32756"/>
    <w:rsid w:val="00C330CA"/>
    <w:rsid w:val="00C3479E"/>
    <w:rsid w:val="00C34A6D"/>
    <w:rsid w:val="00C34DEB"/>
    <w:rsid w:val="00C3500A"/>
    <w:rsid w:val="00C36717"/>
    <w:rsid w:val="00C37111"/>
    <w:rsid w:val="00C3745D"/>
    <w:rsid w:val="00C400E5"/>
    <w:rsid w:val="00C4201F"/>
    <w:rsid w:val="00C420DF"/>
    <w:rsid w:val="00C4284F"/>
    <w:rsid w:val="00C42ACD"/>
    <w:rsid w:val="00C4317A"/>
    <w:rsid w:val="00C44E3A"/>
    <w:rsid w:val="00C45222"/>
    <w:rsid w:val="00C4591F"/>
    <w:rsid w:val="00C459AC"/>
    <w:rsid w:val="00C4622D"/>
    <w:rsid w:val="00C46263"/>
    <w:rsid w:val="00C46981"/>
    <w:rsid w:val="00C46989"/>
    <w:rsid w:val="00C46F2D"/>
    <w:rsid w:val="00C470AF"/>
    <w:rsid w:val="00C472F7"/>
    <w:rsid w:val="00C47D1B"/>
    <w:rsid w:val="00C47E44"/>
    <w:rsid w:val="00C503FF"/>
    <w:rsid w:val="00C505E8"/>
    <w:rsid w:val="00C51140"/>
    <w:rsid w:val="00C51346"/>
    <w:rsid w:val="00C515D8"/>
    <w:rsid w:val="00C5163C"/>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056D"/>
    <w:rsid w:val="00C61018"/>
    <w:rsid w:val="00C61355"/>
    <w:rsid w:val="00C619B8"/>
    <w:rsid w:val="00C6213A"/>
    <w:rsid w:val="00C63269"/>
    <w:rsid w:val="00C636D0"/>
    <w:rsid w:val="00C65485"/>
    <w:rsid w:val="00C65ACC"/>
    <w:rsid w:val="00C66549"/>
    <w:rsid w:val="00C66C9E"/>
    <w:rsid w:val="00C66CFB"/>
    <w:rsid w:val="00C6721C"/>
    <w:rsid w:val="00C673D1"/>
    <w:rsid w:val="00C71059"/>
    <w:rsid w:val="00C716E5"/>
    <w:rsid w:val="00C7186E"/>
    <w:rsid w:val="00C71A66"/>
    <w:rsid w:val="00C71FD4"/>
    <w:rsid w:val="00C731DC"/>
    <w:rsid w:val="00C7372B"/>
    <w:rsid w:val="00C73907"/>
    <w:rsid w:val="00C748A4"/>
    <w:rsid w:val="00C748F9"/>
    <w:rsid w:val="00C74C5A"/>
    <w:rsid w:val="00C750CC"/>
    <w:rsid w:val="00C76800"/>
    <w:rsid w:val="00C77CD0"/>
    <w:rsid w:val="00C77FCC"/>
    <w:rsid w:val="00C80153"/>
    <w:rsid w:val="00C807B4"/>
    <w:rsid w:val="00C8083C"/>
    <w:rsid w:val="00C809A7"/>
    <w:rsid w:val="00C80F64"/>
    <w:rsid w:val="00C80F8C"/>
    <w:rsid w:val="00C8162E"/>
    <w:rsid w:val="00C81D68"/>
    <w:rsid w:val="00C828BE"/>
    <w:rsid w:val="00C82C57"/>
    <w:rsid w:val="00C831B6"/>
    <w:rsid w:val="00C8343C"/>
    <w:rsid w:val="00C83513"/>
    <w:rsid w:val="00C83B36"/>
    <w:rsid w:val="00C84585"/>
    <w:rsid w:val="00C8497C"/>
    <w:rsid w:val="00C84A04"/>
    <w:rsid w:val="00C85BA4"/>
    <w:rsid w:val="00C866A8"/>
    <w:rsid w:val="00C87926"/>
    <w:rsid w:val="00C90A72"/>
    <w:rsid w:val="00C91A3F"/>
    <w:rsid w:val="00C92091"/>
    <w:rsid w:val="00C928AF"/>
    <w:rsid w:val="00C92FA3"/>
    <w:rsid w:val="00C9414E"/>
    <w:rsid w:val="00C94EA7"/>
    <w:rsid w:val="00C95E47"/>
    <w:rsid w:val="00C963A0"/>
    <w:rsid w:val="00C9699D"/>
    <w:rsid w:val="00C97117"/>
    <w:rsid w:val="00C9775A"/>
    <w:rsid w:val="00C97E22"/>
    <w:rsid w:val="00CA0670"/>
    <w:rsid w:val="00CA07FF"/>
    <w:rsid w:val="00CA0F7D"/>
    <w:rsid w:val="00CA30DF"/>
    <w:rsid w:val="00CA3D53"/>
    <w:rsid w:val="00CA456C"/>
    <w:rsid w:val="00CA460D"/>
    <w:rsid w:val="00CA666E"/>
    <w:rsid w:val="00CA66DF"/>
    <w:rsid w:val="00CA7476"/>
    <w:rsid w:val="00CA7C1E"/>
    <w:rsid w:val="00CA7FE3"/>
    <w:rsid w:val="00CB0565"/>
    <w:rsid w:val="00CB14AA"/>
    <w:rsid w:val="00CB1D5A"/>
    <w:rsid w:val="00CB2A57"/>
    <w:rsid w:val="00CB2D26"/>
    <w:rsid w:val="00CB43C8"/>
    <w:rsid w:val="00CB48D9"/>
    <w:rsid w:val="00CB53E1"/>
    <w:rsid w:val="00CB57FD"/>
    <w:rsid w:val="00CB63FB"/>
    <w:rsid w:val="00CB6D69"/>
    <w:rsid w:val="00CB703A"/>
    <w:rsid w:val="00CB7E67"/>
    <w:rsid w:val="00CC0C5D"/>
    <w:rsid w:val="00CC0EE1"/>
    <w:rsid w:val="00CC0F76"/>
    <w:rsid w:val="00CC18AB"/>
    <w:rsid w:val="00CC22DD"/>
    <w:rsid w:val="00CC2BF2"/>
    <w:rsid w:val="00CC30A8"/>
    <w:rsid w:val="00CC3C9F"/>
    <w:rsid w:val="00CC4046"/>
    <w:rsid w:val="00CC4A8B"/>
    <w:rsid w:val="00CC5D3A"/>
    <w:rsid w:val="00CC5E23"/>
    <w:rsid w:val="00CC77E3"/>
    <w:rsid w:val="00CC7A9D"/>
    <w:rsid w:val="00CC7C9A"/>
    <w:rsid w:val="00CD04A8"/>
    <w:rsid w:val="00CD0985"/>
    <w:rsid w:val="00CD2AE3"/>
    <w:rsid w:val="00CD454D"/>
    <w:rsid w:val="00CD465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127"/>
    <w:rsid w:val="00CE1592"/>
    <w:rsid w:val="00CE234D"/>
    <w:rsid w:val="00CE40D0"/>
    <w:rsid w:val="00CE4301"/>
    <w:rsid w:val="00CE4632"/>
    <w:rsid w:val="00CE468E"/>
    <w:rsid w:val="00CE46FC"/>
    <w:rsid w:val="00CE481E"/>
    <w:rsid w:val="00CE4AA8"/>
    <w:rsid w:val="00CE657B"/>
    <w:rsid w:val="00CF11EE"/>
    <w:rsid w:val="00CF3292"/>
    <w:rsid w:val="00CF3A3D"/>
    <w:rsid w:val="00CF58CF"/>
    <w:rsid w:val="00CF5C88"/>
    <w:rsid w:val="00CF67F8"/>
    <w:rsid w:val="00CF6971"/>
    <w:rsid w:val="00CF6B0F"/>
    <w:rsid w:val="00CF78DB"/>
    <w:rsid w:val="00CF7D1F"/>
    <w:rsid w:val="00CF7DCF"/>
    <w:rsid w:val="00D01A4F"/>
    <w:rsid w:val="00D01CEF"/>
    <w:rsid w:val="00D01EDC"/>
    <w:rsid w:val="00D0248E"/>
    <w:rsid w:val="00D027E3"/>
    <w:rsid w:val="00D035FA"/>
    <w:rsid w:val="00D03730"/>
    <w:rsid w:val="00D03D3E"/>
    <w:rsid w:val="00D03E56"/>
    <w:rsid w:val="00D049A0"/>
    <w:rsid w:val="00D07F0D"/>
    <w:rsid w:val="00D11533"/>
    <w:rsid w:val="00D11F5B"/>
    <w:rsid w:val="00D12E08"/>
    <w:rsid w:val="00D14AE8"/>
    <w:rsid w:val="00D14D6E"/>
    <w:rsid w:val="00D15398"/>
    <w:rsid w:val="00D1585E"/>
    <w:rsid w:val="00D15EDB"/>
    <w:rsid w:val="00D16EAC"/>
    <w:rsid w:val="00D17381"/>
    <w:rsid w:val="00D17DCA"/>
    <w:rsid w:val="00D210F1"/>
    <w:rsid w:val="00D21482"/>
    <w:rsid w:val="00D217A4"/>
    <w:rsid w:val="00D236C3"/>
    <w:rsid w:val="00D24764"/>
    <w:rsid w:val="00D24A5F"/>
    <w:rsid w:val="00D2539C"/>
    <w:rsid w:val="00D25ADE"/>
    <w:rsid w:val="00D269B7"/>
    <w:rsid w:val="00D2728D"/>
    <w:rsid w:val="00D27298"/>
    <w:rsid w:val="00D278A7"/>
    <w:rsid w:val="00D30441"/>
    <w:rsid w:val="00D30460"/>
    <w:rsid w:val="00D30C35"/>
    <w:rsid w:val="00D31B06"/>
    <w:rsid w:val="00D31BFC"/>
    <w:rsid w:val="00D31F2E"/>
    <w:rsid w:val="00D32492"/>
    <w:rsid w:val="00D32B38"/>
    <w:rsid w:val="00D33B5C"/>
    <w:rsid w:val="00D34602"/>
    <w:rsid w:val="00D3473D"/>
    <w:rsid w:val="00D35C16"/>
    <w:rsid w:val="00D36C80"/>
    <w:rsid w:val="00D371C6"/>
    <w:rsid w:val="00D372B2"/>
    <w:rsid w:val="00D400FF"/>
    <w:rsid w:val="00D40598"/>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198E"/>
    <w:rsid w:val="00D51FB0"/>
    <w:rsid w:val="00D5257F"/>
    <w:rsid w:val="00D5288E"/>
    <w:rsid w:val="00D52D68"/>
    <w:rsid w:val="00D53645"/>
    <w:rsid w:val="00D53E41"/>
    <w:rsid w:val="00D546D1"/>
    <w:rsid w:val="00D547F7"/>
    <w:rsid w:val="00D54B26"/>
    <w:rsid w:val="00D54D65"/>
    <w:rsid w:val="00D54E51"/>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2E9A"/>
    <w:rsid w:val="00D7492A"/>
    <w:rsid w:val="00D75214"/>
    <w:rsid w:val="00D756D5"/>
    <w:rsid w:val="00D75922"/>
    <w:rsid w:val="00D77B71"/>
    <w:rsid w:val="00D804E1"/>
    <w:rsid w:val="00D80AC4"/>
    <w:rsid w:val="00D81F7D"/>
    <w:rsid w:val="00D83994"/>
    <w:rsid w:val="00D83CE5"/>
    <w:rsid w:val="00D8465C"/>
    <w:rsid w:val="00D85008"/>
    <w:rsid w:val="00D85C9D"/>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2DB"/>
    <w:rsid w:val="00DA13FD"/>
    <w:rsid w:val="00DA1851"/>
    <w:rsid w:val="00DA205C"/>
    <w:rsid w:val="00DA2450"/>
    <w:rsid w:val="00DA299A"/>
    <w:rsid w:val="00DA2A49"/>
    <w:rsid w:val="00DA31C0"/>
    <w:rsid w:val="00DA3DBD"/>
    <w:rsid w:val="00DA4C11"/>
    <w:rsid w:val="00DA5781"/>
    <w:rsid w:val="00DA63C9"/>
    <w:rsid w:val="00DA6B83"/>
    <w:rsid w:val="00DA6E68"/>
    <w:rsid w:val="00DB0A2E"/>
    <w:rsid w:val="00DB143B"/>
    <w:rsid w:val="00DB16C3"/>
    <w:rsid w:val="00DB19E6"/>
    <w:rsid w:val="00DB25BC"/>
    <w:rsid w:val="00DB2606"/>
    <w:rsid w:val="00DB26C3"/>
    <w:rsid w:val="00DB444E"/>
    <w:rsid w:val="00DB5812"/>
    <w:rsid w:val="00DB5868"/>
    <w:rsid w:val="00DB7C2A"/>
    <w:rsid w:val="00DB7F20"/>
    <w:rsid w:val="00DC057B"/>
    <w:rsid w:val="00DC0595"/>
    <w:rsid w:val="00DC0674"/>
    <w:rsid w:val="00DC10E2"/>
    <w:rsid w:val="00DC215D"/>
    <w:rsid w:val="00DC241A"/>
    <w:rsid w:val="00DC2975"/>
    <w:rsid w:val="00DC3E83"/>
    <w:rsid w:val="00DC4A66"/>
    <w:rsid w:val="00DC52F6"/>
    <w:rsid w:val="00DC5B57"/>
    <w:rsid w:val="00DC5B9E"/>
    <w:rsid w:val="00DC5D9D"/>
    <w:rsid w:val="00DC60C7"/>
    <w:rsid w:val="00DC6415"/>
    <w:rsid w:val="00DC6829"/>
    <w:rsid w:val="00DC6B6B"/>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3C34"/>
    <w:rsid w:val="00DD4235"/>
    <w:rsid w:val="00DD43B7"/>
    <w:rsid w:val="00DD4779"/>
    <w:rsid w:val="00DD4EA2"/>
    <w:rsid w:val="00DD5FAC"/>
    <w:rsid w:val="00DD625F"/>
    <w:rsid w:val="00DD65CC"/>
    <w:rsid w:val="00DD6C50"/>
    <w:rsid w:val="00DD747F"/>
    <w:rsid w:val="00DD7484"/>
    <w:rsid w:val="00DD7F5C"/>
    <w:rsid w:val="00DE015D"/>
    <w:rsid w:val="00DE03DC"/>
    <w:rsid w:val="00DE0BC1"/>
    <w:rsid w:val="00DE1D18"/>
    <w:rsid w:val="00DE23D2"/>
    <w:rsid w:val="00DE331A"/>
    <w:rsid w:val="00DE37CF"/>
    <w:rsid w:val="00DE3D5F"/>
    <w:rsid w:val="00DE3FBD"/>
    <w:rsid w:val="00DE4133"/>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DF5C57"/>
    <w:rsid w:val="00DF60FA"/>
    <w:rsid w:val="00E008D6"/>
    <w:rsid w:val="00E00BFD"/>
    <w:rsid w:val="00E01862"/>
    <w:rsid w:val="00E0197E"/>
    <w:rsid w:val="00E020A1"/>
    <w:rsid w:val="00E023C9"/>
    <w:rsid w:val="00E02A38"/>
    <w:rsid w:val="00E02B90"/>
    <w:rsid w:val="00E02C5A"/>
    <w:rsid w:val="00E03758"/>
    <w:rsid w:val="00E03806"/>
    <w:rsid w:val="00E03E33"/>
    <w:rsid w:val="00E041D7"/>
    <w:rsid w:val="00E04B3C"/>
    <w:rsid w:val="00E05C70"/>
    <w:rsid w:val="00E05C8E"/>
    <w:rsid w:val="00E05DED"/>
    <w:rsid w:val="00E06941"/>
    <w:rsid w:val="00E07911"/>
    <w:rsid w:val="00E1052D"/>
    <w:rsid w:val="00E10CAE"/>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2220"/>
    <w:rsid w:val="00E225FB"/>
    <w:rsid w:val="00E2306B"/>
    <w:rsid w:val="00E233FF"/>
    <w:rsid w:val="00E24F10"/>
    <w:rsid w:val="00E2538E"/>
    <w:rsid w:val="00E30119"/>
    <w:rsid w:val="00E30805"/>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060A"/>
    <w:rsid w:val="00E40C19"/>
    <w:rsid w:val="00E41A85"/>
    <w:rsid w:val="00E41BE5"/>
    <w:rsid w:val="00E41D2E"/>
    <w:rsid w:val="00E423B1"/>
    <w:rsid w:val="00E42620"/>
    <w:rsid w:val="00E42F9F"/>
    <w:rsid w:val="00E430A9"/>
    <w:rsid w:val="00E437CA"/>
    <w:rsid w:val="00E43B4A"/>
    <w:rsid w:val="00E45F6B"/>
    <w:rsid w:val="00E468BA"/>
    <w:rsid w:val="00E46FEC"/>
    <w:rsid w:val="00E47425"/>
    <w:rsid w:val="00E50021"/>
    <w:rsid w:val="00E50233"/>
    <w:rsid w:val="00E51FB4"/>
    <w:rsid w:val="00E52878"/>
    <w:rsid w:val="00E5288E"/>
    <w:rsid w:val="00E52A5F"/>
    <w:rsid w:val="00E53A19"/>
    <w:rsid w:val="00E5452C"/>
    <w:rsid w:val="00E54E16"/>
    <w:rsid w:val="00E54F16"/>
    <w:rsid w:val="00E5532F"/>
    <w:rsid w:val="00E5544C"/>
    <w:rsid w:val="00E55E95"/>
    <w:rsid w:val="00E56BC5"/>
    <w:rsid w:val="00E56D08"/>
    <w:rsid w:val="00E56D19"/>
    <w:rsid w:val="00E57C06"/>
    <w:rsid w:val="00E619AC"/>
    <w:rsid w:val="00E61E9D"/>
    <w:rsid w:val="00E625A0"/>
    <w:rsid w:val="00E625AB"/>
    <w:rsid w:val="00E62DB9"/>
    <w:rsid w:val="00E62DC6"/>
    <w:rsid w:val="00E63C40"/>
    <w:rsid w:val="00E640ED"/>
    <w:rsid w:val="00E64143"/>
    <w:rsid w:val="00E64976"/>
    <w:rsid w:val="00E6514E"/>
    <w:rsid w:val="00E65A1F"/>
    <w:rsid w:val="00E65C80"/>
    <w:rsid w:val="00E66AC9"/>
    <w:rsid w:val="00E66CA0"/>
    <w:rsid w:val="00E70E38"/>
    <w:rsid w:val="00E70F66"/>
    <w:rsid w:val="00E71476"/>
    <w:rsid w:val="00E717E4"/>
    <w:rsid w:val="00E733A6"/>
    <w:rsid w:val="00E7373D"/>
    <w:rsid w:val="00E742B9"/>
    <w:rsid w:val="00E747D5"/>
    <w:rsid w:val="00E7489C"/>
    <w:rsid w:val="00E74EB3"/>
    <w:rsid w:val="00E75D14"/>
    <w:rsid w:val="00E764E5"/>
    <w:rsid w:val="00E8003A"/>
    <w:rsid w:val="00E805C5"/>
    <w:rsid w:val="00E8080E"/>
    <w:rsid w:val="00E81221"/>
    <w:rsid w:val="00E8169E"/>
    <w:rsid w:val="00E81DB5"/>
    <w:rsid w:val="00E82030"/>
    <w:rsid w:val="00E82231"/>
    <w:rsid w:val="00E82A53"/>
    <w:rsid w:val="00E8397B"/>
    <w:rsid w:val="00E83AF0"/>
    <w:rsid w:val="00E85072"/>
    <w:rsid w:val="00E85228"/>
    <w:rsid w:val="00E856D8"/>
    <w:rsid w:val="00E85BA8"/>
    <w:rsid w:val="00E86E4F"/>
    <w:rsid w:val="00E86EA4"/>
    <w:rsid w:val="00E87ACA"/>
    <w:rsid w:val="00E905A0"/>
    <w:rsid w:val="00E905ED"/>
    <w:rsid w:val="00E90660"/>
    <w:rsid w:val="00E906D5"/>
    <w:rsid w:val="00E92E98"/>
    <w:rsid w:val="00E94560"/>
    <w:rsid w:val="00E94E45"/>
    <w:rsid w:val="00E954B7"/>
    <w:rsid w:val="00E9550C"/>
    <w:rsid w:val="00E95D22"/>
    <w:rsid w:val="00E96435"/>
    <w:rsid w:val="00E96D0E"/>
    <w:rsid w:val="00E97A91"/>
    <w:rsid w:val="00EA0165"/>
    <w:rsid w:val="00EA229C"/>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77E"/>
    <w:rsid w:val="00EB4AF6"/>
    <w:rsid w:val="00EB4B80"/>
    <w:rsid w:val="00EB57EC"/>
    <w:rsid w:val="00EB5BD5"/>
    <w:rsid w:val="00EB648C"/>
    <w:rsid w:val="00EC0103"/>
    <w:rsid w:val="00EC03A7"/>
    <w:rsid w:val="00EC088B"/>
    <w:rsid w:val="00EC35B4"/>
    <w:rsid w:val="00EC3643"/>
    <w:rsid w:val="00EC4D86"/>
    <w:rsid w:val="00EC5531"/>
    <w:rsid w:val="00EC55ED"/>
    <w:rsid w:val="00EC5949"/>
    <w:rsid w:val="00EC6134"/>
    <w:rsid w:val="00EC692E"/>
    <w:rsid w:val="00EC75E9"/>
    <w:rsid w:val="00ED05A8"/>
    <w:rsid w:val="00ED0994"/>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7F2"/>
    <w:rsid w:val="00EE4D23"/>
    <w:rsid w:val="00EE5B01"/>
    <w:rsid w:val="00EE5DF3"/>
    <w:rsid w:val="00EE6497"/>
    <w:rsid w:val="00EE6B49"/>
    <w:rsid w:val="00EE7BBA"/>
    <w:rsid w:val="00EF00D9"/>
    <w:rsid w:val="00EF079E"/>
    <w:rsid w:val="00EF07E6"/>
    <w:rsid w:val="00EF0E89"/>
    <w:rsid w:val="00EF1B35"/>
    <w:rsid w:val="00EF35FA"/>
    <w:rsid w:val="00EF3724"/>
    <w:rsid w:val="00EF3FA7"/>
    <w:rsid w:val="00EF43EA"/>
    <w:rsid w:val="00EF4435"/>
    <w:rsid w:val="00EF507D"/>
    <w:rsid w:val="00EF5DA6"/>
    <w:rsid w:val="00EF6D71"/>
    <w:rsid w:val="00F00746"/>
    <w:rsid w:val="00F00AB1"/>
    <w:rsid w:val="00F00AB6"/>
    <w:rsid w:val="00F00CD5"/>
    <w:rsid w:val="00F00D29"/>
    <w:rsid w:val="00F00FF2"/>
    <w:rsid w:val="00F01081"/>
    <w:rsid w:val="00F01C7E"/>
    <w:rsid w:val="00F01D42"/>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1D01"/>
    <w:rsid w:val="00F12A0E"/>
    <w:rsid w:val="00F12C04"/>
    <w:rsid w:val="00F134AC"/>
    <w:rsid w:val="00F13EA4"/>
    <w:rsid w:val="00F1499C"/>
    <w:rsid w:val="00F16720"/>
    <w:rsid w:val="00F172EE"/>
    <w:rsid w:val="00F179D8"/>
    <w:rsid w:val="00F17D6C"/>
    <w:rsid w:val="00F20045"/>
    <w:rsid w:val="00F20655"/>
    <w:rsid w:val="00F2098F"/>
    <w:rsid w:val="00F216D7"/>
    <w:rsid w:val="00F21EBC"/>
    <w:rsid w:val="00F22397"/>
    <w:rsid w:val="00F23DD7"/>
    <w:rsid w:val="00F240EA"/>
    <w:rsid w:val="00F246B6"/>
    <w:rsid w:val="00F2496F"/>
    <w:rsid w:val="00F252AC"/>
    <w:rsid w:val="00F25D1F"/>
    <w:rsid w:val="00F25EC1"/>
    <w:rsid w:val="00F26185"/>
    <w:rsid w:val="00F26464"/>
    <w:rsid w:val="00F26DC3"/>
    <w:rsid w:val="00F300EF"/>
    <w:rsid w:val="00F301C6"/>
    <w:rsid w:val="00F30A35"/>
    <w:rsid w:val="00F30F7B"/>
    <w:rsid w:val="00F31372"/>
    <w:rsid w:val="00F322EA"/>
    <w:rsid w:val="00F32319"/>
    <w:rsid w:val="00F32BCB"/>
    <w:rsid w:val="00F3329C"/>
    <w:rsid w:val="00F3579C"/>
    <w:rsid w:val="00F35F1D"/>
    <w:rsid w:val="00F360D6"/>
    <w:rsid w:val="00F36631"/>
    <w:rsid w:val="00F3676C"/>
    <w:rsid w:val="00F37C44"/>
    <w:rsid w:val="00F37F40"/>
    <w:rsid w:val="00F403FD"/>
    <w:rsid w:val="00F41380"/>
    <w:rsid w:val="00F414B3"/>
    <w:rsid w:val="00F4227A"/>
    <w:rsid w:val="00F4240A"/>
    <w:rsid w:val="00F4260D"/>
    <w:rsid w:val="00F4347B"/>
    <w:rsid w:val="00F43B4F"/>
    <w:rsid w:val="00F43FEC"/>
    <w:rsid w:val="00F455FB"/>
    <w:rsid w:val="00F45839"/>
    <w:rsid w:val="00F4715B"/>
    <w:rsid w:val="00F47385"/>
    <w:rsid w:val="00F47EF8"/>
    <w:rsid w:val="00F5164C"/>
    <w:rsid w:val="00F5306F"/>
    <w:rsid w:val="00F533A1"/>
    <w:rsid w:val="00F552FA"/>
    <w:rsid w:val="00F555BE"/>
    <w:rsid w:val="00F567A8"/>
    <w:rsid w:val="00F57296"/>
    <w:rsid w:val="00F573C9"/>
    <w:rsid w:val="00F574F8"/>
    <w:rsid w:val="00F576E4"/>
    <w:rsid w:val="00F600F2"/>
    <w:rsid w:val="00F6065B"/>
    <w:rsid w:val="00F6178B"/>
    <w:rsid w:val="00F62A14"/>
    <w:rsid w:val="00F62E09"/>
    <w:rsid w:val="00F63C1F"/>
    <w:rsid w:val="00F63FD3"/>
    <w:rsid w:val="00F64711"/>
    <w:rsid w:val="00F65163"/>
    <w:rsid w:val="00F651B2"/>
    <w:rsid w:val="00F65A46"/>
    <w:rsid w:val="00F65DFF"/>
    <w:rsid w:val="00F65FA8"/>
    <w:rsid w:val="00F6635F"/>
    <w:rsid w:val="00F6662F"/>
    <w:rsid w:val="00F66689"/>
    <w:rsid w:val="00F6758F"/>
    <w:rsid w:val="00F70118"/>
    <w:rsid w:val="00F702B4"/>
    <w:rsid w:val="00F706F1"/>
    <w:rsid w:val="00F70E4A"/>
    <w:rsid w:val="00F743AF"/>
    <w:rsid w:val="00F752C7"/>
    <w:rsid w:val="00F75810"/>
    <w:rsid w:val="00F76A55"/>
    <w:rsid w:val="00F80496"/>
    <w:rsid w:val="00F80729"/>
    <w:rsid w:val="00F80996"/>
    <w:rsid w:val="00F81A17"/>
    <w:rsid w:val="00F81DCD"/>
    <w:rsid w:val="00F82204"/>
    <w:rsid w:val="00F82380"/>
    <w:rsid w:val="00F82D7C"/>
    <w:rsid w:val="00F83EC3"/>
    <w:rsid w:val="00F84BAA"/>
    <w:rsid w:val="00F84D35"/>
    <w:rsid w:val="00F8601F"/>
    <w:rsid w:val="00F86921"/>
    <w:rsid w:val="00F86968"/>
    <w:rsid w:val="00F8725D"/>
    <w:rsid w:val="00F87360"/>
    <w:rsid w:val="00F87384"/>
    <w:rsid w:val="00F875D3"/>
    <w:rsid w:val="00F87F8D"/>
    <w:rsid w:val="00F907B2"/>
    <w:rsid w:val="00F90BD9"/>
    <w:rsid w:val="00F90DE0"/>
    <w:rsid w:val="00F92058"/>
    <w:rsid w:val="00F923A7"/>
    <w:rsid w:val="00F944D7"/>
    <w:rsid w:val="00F9588D"/>
    <w:rsid w:val="00F95F34"/>
    <w:rsid w:val="00F97F78"/>
    <w:rsid w:val="00FA17C7"/>
    <w:rsid w:val="00FA2526"/>
    <w:rsid w:val="00FA39D8"/>
    <w:rsid w:val="00FA43A4"/>
    <w:rsid w:val="00FA499D"/>
    <w:rsid w:val="00FA5129"/>
    <w:rsid w:val="00FA5F1F"/>
    <w:rsid w:val="00FA62D8"/>
    <w:rsid w:val="00FA6FA4"/>
    <w:rsid w:val="00FA7275"/>
    <w:rsid w:val="00FA7B5A"/>
    <w:rsid w:val="00FA7FCA"/>
    <w:rsid w:val="00FA7FF8"/>
    <w:rsid w:val="00FB1D01"/>
    <w:rsid w:val="00FB1D39"/>
    <w:rsid w:val="00FB3A38"/>
    <w:rsid w:val="00FB48D6"/>
    <w:rsid w:val="00FB52E0"/>
    <w:rsid w:val="00FB53E4"/>
    <w:rsid w:val="00FB59B6"/>
    <w:rsid w:val="00FB63A3"/>
    <w:rsid w:val="00FB75C0"/>
    <w:rsid w:val="00FC12AD"/>
    <w:rsid w:val="00FC17E0"/>
    <w:rsid w:val="00FC2113"/>
    <w:rsid w:val="00FC21B4"/>
    <w:rsid w:val="00FC3122"/>
    <w:rsid w:val="00FC3695"/>
    <w:rsid w:val="00FC43ED"/>
    <w:rsid w:val="00FC4C05"/>
    <w:rsid w:val="00FC5418"/>
    <w:rsid w:val="00FC5933"/>
    <w:rsid w:val="00FC5E42"/>
    <w:rsid w:val="00FC5F9B"/>
    <w:rsid w:val="00FC687B"/>
    <w:rsid w:val="00FC698F"/>
    <w:rsid w:val="00FC6B59"/>
    <w:rsid w:val="00FC7BA9"/>
    <w:rsid w:val="00FD0471"/>
    <w:rsid w:val="00FD0510"/>
    <w:rsid w:val="00FD0A75"/>
    <w:rsid w:val="00FD15F2"/>
    <w:rsid w:val="00FD168C"/>
    <w:rsid w:val="00FD1A19"/>
    <w:rsid w:val="00FD1A93"/>
    <w:rsid w:val="00FD1DE6"/>
    <w:rsid w:val="00FD2092"/>
    <w:rsid w:val="00FD2A22"/>
    <w:rsid w:val="00FD3133"/>
    <w:rsid w:val="00FD344E"/>
    <w:rsid w:val="00FD34DD"/>
    <w:rsid w:val="00FD45A6"/>
    <w:rsid w:val="00FD66EF"/>
    <w:rsid w:val="00FD6ADE"/>
    <w:rsid w:val="00FD6EAB"/>
    <w:rsid w:val="00FD77DF"/>
    <w:rsid w:val="00FD7B92"/>
    <w:rsid w:val="00FD7CD2"/>
    <w:rsid w:val="00FE021A"/>
    <w:rsid w:val="00FE1A69"/>
    <w:rsid w:val="00FE1B57"/>
    <w:rsid w:val="00FE1F79"/>
    <w:rsid w:val="00FE2DB0"/>
    <w:rsid w:val="00FE40DD"/>
    <w:rsid w:val="00FE43BA"/>
    <w:rsid w:val="00FE4780"/>
    <w:rsid w:val="00FE5006"/>
    <w:rsid w:val="00FE517E"/>
    <w:rsid w:val="00FE5219"/>
    <w:rsid w:val="00FE5747"/>
    <w:rsid w:val="00FE5764"/>
    <w:rsid w:val="00FE612F"/>
    <w:rsid w:val="00FE6C02"/>
    <w:rsid w:val="00FE71F9"/>
    <w:rsid w:val="00FE7FBB"/>
    <w:rsid w:val="00FF0383"/>
    <w:rsid w:val="00FF0FB1"/>
    <w:rsid w:val="00FF4376"/>
    <w:rsid w:val="00FF49E6"/>
    <w:rsid w:val="00FF4C81"/>
    <w:rsid w:val="00FF5669"/>
    <w:rsid w:val="00FF5688"/>
    <w:rsid w:val="00FF607A"/>
    <w:rsid w:val="00FF64F7"/>
    <w:rsid w:val="00FF744A"/>
    <w:rsid w:val="7D71208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2BBE7681-6C41-4C70-8CD0-2EE61C4F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C422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ipervnculovisitado">
    <w:name w:val="FollowedHyperlink"/>
    <w:basedOn w:val="Fuentedeprrafopredeter"/>
    <w:uiPriority w:val="99"/>
    <w:semiHidden/>
    <w:unhideWhenUsed/>
    <w:rsid w:val="00F63FD3"/>
    <w:rPr>
      <w:color w:val="800080" w:themeColor="followedHyperlink"/>
      <w:u w:val="single"/>
    </w:rPr>
  </w:style>
  <w:style w:type="character" w:customStyle="1" w:styleId="Ttulo3Car">
    <w:name w:val="Título 3 Car"/>
    <w:basedOn w:val="Fuentedeprrafopredeter"/>
    <w:link w:val="Ttulo3"/>
    <w:uiPriority w:val="9"/>
    <w:rsid w:val="002C422C"/>
    <w:rPr>
      <w:rFonts w:asciiTheme="majorHAnsi" w:eastAsiaTheme="majorEastAsia" w:hAnsiTheme="majorHAnsi" w:cstheme="majorBidi"/>
      <w:color w:val="243F60" w:themeColor="accent1" w:themeShade="7F"/>
      <w:lang w:val="es-ES"/>
    </w:rPr>
  </w:style>
  <w:style w:type="character" w:customStyle="1" w:styleId="object">
    <w:name w:val="object"/>
    <w:basedOn w:val="Fuentedeprrafopredeter"/>
    <w:rsid w:val="003B610D"/>
  </w:style>
  <w:style w:type="table" w:customStyle="1" w:styleId="Tablaconcuadrcula1">
    <w:name w:val="Tabla con cuadrícula1"/>
    <w:basedOn w:val="Tablanormal"/>
    <w:next w:val="Tablaconcuadrcula"/>
    <w:uiPriority w:val="59"/>
    <w:rsid w:val="00652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B5050"/>
    <w:rPr>
      <w:sz w:val="16"/>
      <w:szCs w:val="16"/>
    </w:rPr>
  </w:style>
  <w:style w:type="paragraph" w:styleId="Textocomentario">
    <w:name w:val="annotation text"/>
    <w:basedOn w:val="Normal"/>
    <w:link w:val="TextocomentarioCar"/>
    <w:uiPriority w:val="99"/>
    <w:semiHidden/>
    <w:unhideWhenUsed/>
    <w:rsid w:val="006B5050"/>
    <w:rPr>
      <w:sz w:val="20"/>
      <w:szCs w:val="20"/>
    </w:rPr>
  </w:style>
  <w:style w:type="character" w:customStyle="1" w:styleId="TextocomentarioCar">
    <w:name w:val="Texto comentario Car"/>
    <w:basedOn w:val="Fuentedeprrafopredeter"/>
    <w:link w:val="Textocomentario"/>
    <w:uiPriority w:val="99"/>
    <w:semiHidden/>
    <w:rsid w:val="006B5050"/>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B5050"/>
    <w:rPr>
      <w:b/>
      <w:bCs/>
    </w:rPr>
  </w:style>
  <w:style w:type="character" w:customStyle="1" w:styleId="AsuntodelcomentarioCar">
    <w:name w:val="Asunto del comentario Car"/>
    <w:basedOn w:val="TextocomentarioCar"/>
    <w:link w:val="Asuntodelcomentario"/>
    <w:uiPriority w:val="99"/>
    <w:semiHidden/>
    <w:rsid w:val="006B5050"/>
    <w:rPr>
      <w:rFonts w:ascii="Times New Roman" w:eastAsia="Times New Roman" w:hAnsi="Times New Roman" w:cs="Times New Roman"/>
      <w:b/>
      <w:bCs/>
      <w:sz w:val="20"/>
      <w:szCs w:val="20"/>
      <w:lang w:val="es-ES"/>
    </w:rPr>
  </w:style>
  <w:style w:type="paragraph" w:styleId="Textonotaalfinal">
    <w:name w:val="endnote text"/>
    <w:basedOn w:val="Normal"/>
    <w:link w:val="TextonotaalfinalCar"/>
    <w:uiPriority w:val="99"/>
    <w:semiHidden/>
    <w:unhideWhenUsed/>
    <w:rsid w:val="00D32492"/>
    <w:rPr>
      <w:sz w:val="20"/>
      <w:szCs w:val="20"/>
    </w:rPr>
  </w:style>
  <w:style w:type="character" w:customStyle="1" w:styleId="TextonotaalfinalCar">
    <w:name w:val="Texto nota al final Car"/>
    <w:basedOn w:val="Fuentedeprrafopredeter"/>
    <w:link w:val="Textonotaalfinal"/>
    <w:uiPriority w:val="99"/>
    <w:semiHidden/>
    <w:rsid w:val="00D32492"/>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32492"/>
    <w:rPr>
      <w:vertAlign w:val="superscript"/>
    </w:rPr>
  </w:style>
  <w:style w:type="character" w:styleId="Referenciasutil">
    <w:name w:val="Subtle Reference"/>
    <w:basedOn w:val="Fuentedeprrafopredeter"/>
    <w:uiPriority w:val="31"/>
    <w:qFormat/>
    <w:rsid w:val="00553A8B"/>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8923">
      <w:bodyDiv w:val="1"/>
      <w:marLeft w:val="0"/>
      <w:marRight w:val="0"/>
      <w:marTop w:val="0"/>
      <w:marBottom w:val="0"/>
      <w:divBdr>
        <w:top w:val="none" w:sz="0" w:space="0" w:color="auto"/>
        <w:left w:val="none" w:sz="0" w:space="0" w:color="auto"/>
        <w:bottom w:val="none" w:sz="0" w:space="0" w:color="auto"/>
        <w:right w:val="none" w:sz="0" w:space="0" w:color="auto"/>
      </w:divBdr>
    </w:div>
    <w:div w:id="52781381">
      <w:bodyDiv w:val="1"/>
      <w:marLeft w:val="0"/>
      <w:marRight w:val="0"/>
      <w:marTop w:val="0"/>
      <w:marBottom w:val="0"/>
      <w:divBdr>
        <w:top w:val="none" w:sz="0" w:space="0" w:color="auto"/>
        <w:left w:val="none" w:sz="0" w:space="0" w:color="auto"/>
        <w:bottom w:val="none" w:sz="0" w:space="0" w:color="auto"/>
        <w:right w:val="none" w:sz="0" w:space="0" w:color="auto"/>
      </w:divBdr>
    </w:div>
    <w:div w:id="86734456">
      <w:bodyDiv w:val="1"/>
      <w:marLeft w:val="0"/>
      <w:marRight w:val="0"/>
      <w:marTop w:val="0"/>
      <w:marBottom w:val="0"/>
      <w:divBdr>
        <w:top w:val="none" w:sz="0" w:space="0" w:color="auto"/>
        <w:left w:val="none" w:sz="0" w:space="0" w:color="auto"/>
        <w:bottom w:val="none" w:sz="0" w:space="0" w:color="auto"/>
        <w:right w:val="none" w:sz="0" w:space="0" w:color="auto"/>
      </w:divBdr>
    </w:div>
    <w:div w:id="87165833">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9297827">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5410698">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1927674">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2514269">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1950422">
      <w:bodyDiv w:val="1"/>
      <w:marLeft w:val="0"/>
      <w:marRight w:val="0"/>
      <w:marTop w:val="0"/>
      <w:marBottom w:val="0"/>
      <w:divBdr>
        <w:top w:val="none" w:sz="0" w:space="0" w:color="auto"/>
        <w:left w:val="none" w:sz="0" w:space="0" w:color="auto"/>
        <w:bottom w:val="none" w:sz="0" w:space="0" w:color="auto"/>
        <w:right w:val="none" w:sz="0" w:space="0" w:color="auto"/>
      </w:divBdr>
    </w:div>
    <w:div w:id="408431789">
      <w:bodyDiv w:val="1"/>
      <w:marLeft w:val="0"/>
      <w:marRight w:val="0"/>
      <w:marTop w:val="0"/>
      <w:marBottom w:val="0"/>
      <w:divBdr>
        <w:top w:val="none" w:sz="0" w:space="0" w:color="auto"/>
        <w:left w:val="none" w:sz="0" w:space="0" w:color="auto"/>
        <w:bottom w:val="none" w:sz="0" w:space="0" w:color="auto"/>
        <w:right w:val="none" w:sz="0" w:space="0" w:color="auto"/>
      </w:divBdr>
    </w:div>
    <w:div w:id="428237733">
      <w:bodyDiv w:val="1"/>
      <w:marLeft w:val="0"/>
      <w:marRight w:val="0"/>
      <w:marTop w:val="0"/>
      <w:marBottom w:val="0"/>
      <w:divBdr>
        <w:top w:val="none" w:sz="0" w:space="0" w:color="auto"/>
        <w:left w:val="none" w:sz="0" w:space="0" w:color="auto"/>
        <w:bottom w:val="none" w:sz="0" w:space="0" w:color="auto"/>
        <w:right w:val="none" w:sz="0" w:space="0" w:color="auto"/>
      </w:divBdr>
    </w:div>
    <w:div w:id="43570939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9061209">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8537041">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02878250">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64625875">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1535663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5429467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6815416">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68706835">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5905781">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11246093">
      <w:bodyDiv w:val="1"/>
      <w:marLeft w:val="0"/>
      <w:marRight w:val="0"/>
      <w:marTop w:val="0"/>
      <w:marBottom w:val="0"/>
      <w:divBdr>
        <w:top w:val="none" w:sz="0" w:space="0" w:color="auto"/>
        <w:left w:val="none" w:sz="0" w:space="0" w:color="auto"/>
        <w:bottom w:val="none" w:sz="0" w:space="0" w:color="auto"/>
        <w:right w:val="none" w:sz="0" w:space="0" w:color="auto"/>
      </w:divBdr>
    </w:div>
    <w:div w:id="1117022648">
      <w:bodyDiv w:val="1"/>
      <w:marLeft w:val="0"/>
      <w:marRight w:val="0"/>
      <w:marTop w:val="0"/>
      <w:marBottom w:val="0"/>
      <w:divBdr>
        <w:top w:val="none" w:sz="0" w:space="0" w:color="auto"/>
        <w:left w:val="none" w:sz="0" w:space="0" w:color="auto"/>
        <w:bottom w:val="none" w:sz="0" w:space="0" w:color="auto"/>
        <w:right w:val="none" w:sz="0" w:space="0" w:color="auto"/>
      </w:divBdr>
    </w:div>
    <w:div w:id="1123840339">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732100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74912587">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78708658">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6519794">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698651432">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90393490">
      <w:bodyDiv w:val="1"/>
      <w:marLeft w:val="0"/>
      <w:marRight w:val="0"/>
      <w:marTop w:val="0"/>
      <w:marBottom w:val="0"/>
      <w:divBdr>
        <w:top w:val="none" w:sz="0" w:space="0" w:color="auto"/>
        <w:left w:val="none" w:sz="0" w:space="0" w:color="auto"/>
        <w:bottom w:val="none" w:sz="0" w:space="0" w:color="auto"/>
        <w:right w:val="none" w:sz="0" w:space="0" w:color="auto"/>
      </w:divBdr>
    </w:div>
    <w:div w:id="1791123900">
      <w:bodyDiv w:val="1"/>
      <w:marLeft w:val="0"/>
      <w:marRight w:val="0"/>
      <w:marTop w:val="0"/>
      <w:marBottom w:val="0"/>
      <w:divBdr>
        <w:top w:val="none" w:sz="0" w:space="0" w:color="auto"/>
        <w:left w:val="none" w:sz="0" w:space="0" w:color="auto"/>
        <w:bottom w:val="none" w:sz="0" w:space="0" w:color="auto"/>
        <w:right w:val="none" w:sz="0" w:space="0" w:color="auto"/>
      </w:divBdr>
    </w:div>
    <w:div w:id="1806191172">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890220429">
      <w:bodyDiv w:val="1"/>
      <w:marLeft w:val="0"/>
      <w:marRight w:val="0"/>
      <w:marTop w:val="0"/>
      <w:marBottom w:val="0"/>
      <w:divBdr>
        <w:top w:val="none" w:sz="0" w:space="0" w:color="auto"/>
        <w:left w:val="none" w:sz="0" w:space="0" w:color="auto"/>
        <w:bottom w:val="none" w:sz="0" w:space="0" w:color="auto"/>
        <w:right w:val="none" w:sz="0" w:space="0" w:color="auto"/>
      </w:divBdr>
    </w:div>
    <w:div w:id="1898936885">
      <w:bodyDiv w:val="1"/>
      <w:marLeft w:val="0"/>
      <w:marRight w:val="0"/>
      <w:marTop w:val="0"/>
      <w:marBottom w:val="0"/>
      <w:divBdr>
        <w:top w:val="none" w:sz="0" w:space="0" w:color="auto"/>
        <w:left w:val="none" w:sz="0" w:space="0" w:color="auto"/>
        <w:bottom w:val="none" w:sz="0" w:space="0" w:color="auto"/>
        <w:right w:val="none" w:sz="0" w:space="0" w:color="auto"/>
      </w:divBdr>
    </w:div>
    <w:div w:id="191955919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1991791871">
      <w:bodyDiv w:val="1"/>
      <w:marLeft w:val="0"/>
      <w:marRight w:val="0"/>
      <w:marTop w:val="0"/>
      <w:marBottom w:val="0"/>
      <w:divBdr>
        <w:top w:val="none" w:sz="0" w:space="0" w:color="auto"/>
        <w:left w:val="none" w:sz="0" w:space="0" w:color="auto"/>
        <w:bottom w:val="none" w:sz="0" w:space="0" w:color="auto"/>
        <w:right w:val="none" w:sz="0" w:space="0" w:color="auto"/>
      </w:divBdr>
    </w:div>
    <w:div w:id="1999531812">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071113">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6487092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4952228">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2140069">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agendelgolfo.mx/coatzacoalcos/alfredo-del-mazo-enriquecio-a%20instituto-cc-inteligent-sc/5038349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elsoldetoluca.com.mx/local/contrato-finanzas-empresa-para-asesorias-por-319-mdp-8220207.html"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finanzas.edomex.gob.mx/sites/finanzas.edomex.gob.mx/files/files/TESTIMONIO%20LPNP-079-2021(1).pdf" TargetMode="External"/><Relationship Id="rId2" Type="http://schemas.openxmlformats.org/officeDocument/2006/relationships/hyperlink" Target="https://finanzas.edomex.gob.mx/sites/finanzas.edomex.gob.mx/files/files/TESTIMONIO%20LPNP-001-2022%20(1)(1).pdf" TargetMode="External"/><Relationship Id="rId1" Type="http://schemas.openxmlformats.org/officeDocument/2006/relationships/hyperlink" Target="https://finanzas.edomex.gob.mx/sites/finanzas.edomex.gob.mx/files/files/Proveedores/Testimonios/Testimonio%20Social%20LPNP-092-2018%20SERVICIOS%20DE%20ASESORIAS%20ASOCIADAS%20A%20CONVENIOS%20O%20ACUERDOS%2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DC880-0738-49E7-8F9C-40AB8090A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47</Pages>
  <Words>9533</Words>
  <Characters>52433</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2023-08-02T23:15:00Z</cp:lastPrinted>
  <dcterms:created xsi:type="dcterms:W3CDTF">2023-08-15T15:45:00Z</dcterms:created>
  <dcterms:modified xsi:type="dcterms:W3CDTF">2023-08-25T17:46:00Z</dcterms:modified>
</cp:coreProperties>
</file>