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veintitrés. </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VISTO</w:t>
      </w:r>
      <w:r w:rsidRPr="00990E90">
        <w:rPr>
          <w:rFonts w:ascii="Palatino Linotype" w:eastAsia="Palatino Linotype" w:hAnsi="Palatino Linotype" w:cs="Palatino Linotype"/>
        </w:rPr>
        <w:t xml:space="preserve"> el expediente formado con motivo del recurso de revisión </w:t>
      </w:r>
      <w:r w:rsidRPr="00990E90">
        <w:rPr>
          <w:rFonts w:ascii="Palatino Linotype" w:eastAsia="Palatino Linotype" w:hAnsi="Palatino Linotype" w:cs="Palatino Linotype"/>
          <w:b/>
        </w:rPr>
        <w:t>15159/INFOEM/IP/RR/2022</w:t>
      </w:r>
      <w:r w:rsidRPr="00990E90">
        <w:rPr>
          <w:rFonts w:ascii="Palatino Linotype" w:eastAsia="Palatino Linotype" w:hAnsi="Palatino Linotype" w:cs="Palatino Linotype"/>
        </w:rPr>
        <w:t>, interpuesto por</w:t>
      </w:r>
      <w:r w:rsidR="006D2A68">
        <w:rPr>
          <w:rFonts w:ascii="Palatino Linotype" w:eastAsia="Palatino Linotype" w:hAnsi="Palatino Linotype" w:cs="Palatino Linotype"/>
          <w:b/>
        </w:rPr>
        <w:t xml:space="preserve"> XXXXXX XXX XXXXXXXXXX</w:t>
      </w:r>
      <w:bookmarkStart w:id="0" w:name="_GoBack"/>
      <w:bookmarkEnd w:id="0"/>
      <w:r w:rsidRPr="00990E90">
        <w:rPr>
          <w:rFonts w:ascii="Palatino Linotype" w:eastAsia="Palatino Linotype" w:hAnsi="Palatino Linotype" w:cs="Palatino Linotype"/>
        </w:rPr>
        <w:t>, en lo sucesivo</w:t>
      </w:r>
      <w:r w:rsidRPr="00990E90">
        <w:rPr>
          <w:rFonts w:ascii="Palatino Linotype" w:eastAsia="Palatino Linotype" w:hAnsi="Palatino Linotype" w:cs="Palatino Linotype"/>
          <w:b/>
        </w:rPr>
        <w:t xml:space="preserve"> </w:t>
      </w:r>
      <w:r w:rsidRPr="00990E90">
        <w:rPr>
          <w:rFonts w:ascii="Palatino Linotype" w:eastAsia="Palatino Linotype" w:hAnsi="Palatino Linotype" w:cs="Palatino Linotype"/>
        </w:rPr>
        <w:t xml:space="preserve">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en contra de la respuesta a su solicitud por parte de la </w:t>
      </w:r>
      <w:r w:rsidRPr="00990E90">
        <w:rPr>
          <w:rFonts w:ascii="Palatino Linotype" w:eastAsia="Palatino Linotype" w:hAnsi="Palatino Linotype" w:cs="Palatino Linotype"/>
          <w:b/>
        </w:rPr>
        <w:t xml:space="preserve">Secretaría de Desarrollo Social, </w:t>
      </w:r>
      <w:r w:rsidRPr="00990E90">
        <w:rPr>
          <w:rFonts w:ascii="Palatino Linotype" w:eastAsia="Palatino Linotype" w:hAnsi="Palatino Linotype" w:cs="Palatino Linotype"/>
        </w:rPr>
        <w:t xml:space="preserve">en lo sucesivo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 xml:space="preserve">se procede a dictar la presente resolución con base en los siguientes: </w:t>
      </w:r>
    </w:p>
    <w:p w:rsidR="009979DD" w:rsidRPr="00990E90" w:rsidRDefault="007477F3">
      <w:pPr>
        <w:spacing w:before="240" w:after="240" w:line="360" w:lineRule="auto"/>
        <w:jc w:val="center"/>
        <w:rPr>
          <w:rFonts w:ascii="Palatino Linotype" w:eastAsia="Palatino Linotype" w:hAnsi="Palatino Linotype" w:cs="Palatino Linotype"/>
          <w:b/>
        </w:rPr>
      </w:pPr>
      <w:r w:rsidRPr="00990E90">
        <w:rPr>
          <w:rFonts w:ascii="Palatino Linotype" w:eastAsia="Palatino Linotype" w:hAnsi="Palatino Linotype" w:cs="Palatino Linotype"/>
          <w:b/>
        </w:rPr>
        <w:t>I. A N T E C E D E N T E 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1. Solicitud de acceso a la información.</w:t>
      </w:r>
      <w:r w:rsidRPr="00990E90">
        <w:rPr>
          <w:rFonts w:ascii="Palatino Linotype" w:eastAsia="Palatino Linotype" w:hAnsi="Palatino Linotype" w:cs="Palatino Linotype"/>
        </w:rPr>
        <w:t xml:space="preserve"> Con fecha </w:t>
      </w:r>
      <w:r w:rsidRPr="00990E90">
        <w:rPr>
          <w:rFonts w:ascii="Palatino Linotype" w:eastAsia="Palatino Linotype" w:hAnsi="Palatino Linotype" w:cs="Palatino Linotype"/>
          <w:b/>
        </w:rPr>
        <w:t>veintiséis de agosto de</w:t>
      </w:r>
      <w:r w:rsidRPr="00990E90">
        <w:rPr>
          <w:rFonts w:ascii="Palatino Linotype" w:eastAsia="Palatino Linotype" w:hAnsi="Palatino Linotype" w:cs="Palatino Linotype"/>
        </w:rPr>
        <w:t xml:space="preserve"> </w:t>
      </w:r>
      <w:r w:rsidRPr="00990E90">
        <w:rPr>
          <w:rFonts w:ascii="Palatino Linotype" w:eastAsia="Palatino Linotype" w:hAnsi="Palatino Linotype" w:cs="Palatino Linotype"/>
          <w:b/>
        </w:rPr>
        <w:t>dos mil veintidós,</w:t>
      </w:r>
      <w:r w:rsidRPr="00990E90">
        <w:rPr>
          <w:rFonts w:ascii="Palatino Linotype" w:eastAsia="Palatino Linotype" w:hAnsi="Palatino Linotype" w:cs="Palatino Linotype"/>
        </w:rPr>
        <w:t xml:space="preserve"> la parte </w:t>
      </w:r>
      <w:r w:rsidRPr="00990E90">
        <w:rPr>
          <w:rFonts w:ascii="Palatino Linotype" w:eastAsia="Palatino Linotype" w:hAnsi="Palatino Linotype" w:cs="Palatino Linotype"/>
          <w:b/>
        </w:rPr>
        <w:t xml:space="preserve">Recurrente </w:t>
      </w:r>
      <w:r w:rsidRPr="00990E90">
        <w:rPr>
          <w:rFonts w:ascii="Palatino Linotype" w:eastAsia="Palatino Linotype" w:hAnsi="Palatino Linotype" w:cs="Palatino Linotype"/>
        </w:rPr>
        <w:t xml:space="preserve">presentó, a través del Sistema de Acceso a la Información Mexiquense, en lo subsecuente el </w:t>
      </w:r>
      <w:r w:rsidRPr="00990E90">
        <w:rPr>
          <w:rFonts w:ascii="Palatino Linotype" w:eastAsia="Palatino Linotype" w:hAnsi="Palatino Linotype" w:cs="Palatino Linotype"/>
          <w:b/>
        </w:rPr>
        <w:t>SAIMEX,</w:t>
      </w:r>
      <w:r w:rsidRPr="00990E90">
        <w:rPr>
          <w:rFonts w:ascii="Palatino Linotype" w:eastAsia="Palatino Linotype" w:hAnsi="Palatino Linotype" w:cs="Palatino Linotype"/>
        </w:rPr>
        <w:t xml:space="preserve"> ante 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la solicitud de acceso a la información pública, a la que se le asignó el número</w:t>
      </w:r>
      <w:r w:rsidRPr="00990E90">
        <w:rPr>
          <w:rFonts w:ascii="Palatino Linotype" w:eastAsia="Palatino Linotype" w:hAnsi="Palatino Linotype" w:cs="Palatino Linotype"/>
          <w:b/>
        </w:rPr>
        <w:t xml:space="preserve"> 00329/SEDESEM/IP/2022, </w:t>
      </w:r>
      <w:r w:rsidRPr="00990E90">
        <w:rPr>
          <w:rFonts w:ascii="Palatino Linotype" w:eastAsia="Palatino Linotype" w:hAnsi="Palatino Linotype" w:cs="Palatino Linotype"/>
        </w:rPr>
        <w:t xml:space="preserve">mediante la cual requirió la información siguiente: </w:t>
      </w:r>
    </w:p>
    <w:p w:rsidR="009979DD" w:rsidRPr="00990E90" w:rsidRDefault="007477F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90E90">
        <w:rPr>
          <w:rFonts w:ascii="Palatino Linotype" w:eastAsia="Palatino Linotype" w:hAnsi="Palatino Linotype" w:cs="Palatino Linotype"/>
          <w:i/>
          <w:sz w:val="22"/>
          <w:szCs w:val="22"/>
        </w:rPr>
        <w:t xml:space="preserve"> “Por tener a la incompetente Coordinadora Municipal de Cuautitlán Izcalli de nombre </w:t>
      </w:r>
      <w:proofErr w:type="spellStart"/>
      <w:r w:rsidRPr="00990E90">
        <w:rPr>
          <w:rFonts w:ascii="Palatino Linotype" w:eastAsia="Palatino Linotype" w:hAnsi="Palatino Linotype" w:cs="Palatino Linotype"/>
          <w:i/>
          <w:sz w:val="22"/>
          <w:szCs w:val="22"/>
        </w:rPr>
        <w:t>Yuriko</w:t>
      </w:r>
      <w:proofErr w:type="spellEnd"/>
      <w:r w:rsidRPr="00990E90">
        <w:rPr>
          <w:rFonts w:ascii="Palatino Linotype" w:eastAsia="Palatino Linotype" w:hAnsi="Palatino Linotype" w:cs="Palatino Linotype"/>
          <w:i/>
          <w:sz w:val="22"/>
          <w:szCs w:val="22"/>
        </w:rPr>
        <w:t xml:space="preserve"> Jiménez Real Solcito todo el informe trimestral remitido al OSFEM del primer trimestre de este año y si el documento es muy pesado me habilite una liga para descargar la información.</w:t>
      </w:r>
      <w:r w:rsidRPr="00990E90">
        <w:rPr>
          <w:rFonts w:ascii="Palatino Linotype" w:eastAsia="Palatino Linotype" w:hAnsi="Palatino Linotype" w:cs="Palatino Linotype"/>
          <w:b/>
          <w:i/>
          <w:sz w:val="22"/>
          <w:szCs w:val="22"/>
        </w:rPr>
        <w:t>”</w:t>
      </w:r>
      <w:r w:rsidRPr="00990E90">
        <w:rPr>
          <w:rFonts w:ascii="Palatino Linotype" w:eastAsia="Palatino Linotype" w:hAnsi="Palatino Linotype" w:cs="Palatino Linotype"/>
          <w:i/>
          <w:sz w:val="22"/>
          <w:szCs w:val="22"/>
        </w:rPr>
        <w:t xml:space="preserve"> (</w:t>
      </w:r>
      <w:proofErr w:type="gramStart"/>
      <w:r w:rsidRPr="00990E90">
        <w:rPr>
          <w:rFonts w:ascii="Palatino Linotype" w:eastAsia="Palatino Linotype" w:hAnsi="Palatino Linotype" w:cs="Palatino Linotype"/>
          <w:i/>
          <w:sz w:val="22"/>
          <w:szCs w:val="22"/>
        </w:rPr>
        <w:t>sic</w:t>
      </w:r>
      <w:proofErr w:type="gramEnd"/>
      <w:r w:rsidRPr="00990E90">
        <w:rPr>
          <w:rFonts w:ascii="Palatino Linotype" w:eastAsia="Palatino Linotype" w:hAnsi="Palatino Linotype" w:cs="Palatino Linotype"/>
          <w:i/>
          <w:sz w:val="22"/>
          <w:szCs w:val="22"/>
        </w:rPr>
        <w:t xml:space="preserve">) </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Modalidad de Entrega:</w:t>
      </w:r>
      <w:r w:rsidRPr="00990E90">
        <w:rPr>
          <w:rFonts w:ascii="Palatino Linotype" w:eastAsia="Palatino Linotype" w:hAnsi="Palatino Linotype" w:cs="Palatino Linotype"/>
        </w:rPr>
        <w:t xml:space="preserve"> a través </w:t>
      </w:r>
      <w:r w:rsidRPr="00990E90">
        <w:rPr>
          <w:rFonts w:ascii="Palatino Linotype" w:eastAsia="Palatino Linotype" w:hAnsi="Palatino Linotype" w:cs="Palatino Linotype"/>
          <w:b/>
        </w:rPr>
        <w:t xml:space="preserve">de SAIMEX </w:t>
      </w:r>
    </w:p>
    <w:p w:rsidR="009979DD" w:rsidRPr="00990E90" w:rsidRDefault="007477F3">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990E90">
        <w:rPr>
          <w:rFonts w:ascii="Palatino Linotype" w:eastAsia="Palatino Linotype" w:hAnsi="Palatino Linotype" w:cs="Palatino Linotype"/>
          <w:b/>
        </w:rPr>
        <w:lastRenderedPageBreak/>
        <w:t xml:space="preserve">2. Respuesta. </w:t>
      </w:r>
      <w:r w:rsidRPr="00990E90">
        <w:rPr>
          <w:rFonts w:ascii="Palatino Linotype" w:eastAsia="Palatino Linotype" w:hAnsi="Palatino Linotype" w:cs="Palatino Linotype"/>
        </w:rPr>
        <w:t>Con fecha</w:t>
      </w:r>
      <w:r w:rsidRPr="00990E90">
        <w:rPr>
          <w:rFonts w:ascii="Palatino Linotype" w:eastAsia="Palatino Linotype" w:hAnsi="Palatino Linotype" w:cs="Palatino Linotype"/>
          <w:b/>
        </w:rPr>
        <w:t xml:space="preserve"> diecinueve de septiembre de dos mil veintidós</w:t>
      </w:r>
      <w:r w:rsidRPr="00990E90">
        <w:rPr>
          <w:rFonts w:ascii="Palatino Linotype" w:eastAsia="Palatino Linotype" w:hAnsi="Palatino Linotype" w:cs="Palatino Linotype"/>
        </w:rPr>
        <w:t xml:space="preserve">,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979DD" w:rsidRPr="00990E90" w:rsidRDefault="007477F3">
      <w:pPr>
        <w:spacing w:before="240" w:after="240"/>
        <w:ind w:left="851"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i/>
          <w:sz w:val="22"/>
          <w:szCs w:val="22"/>
        </w:rPr>
        <w:t>“…Se anexa oficio de respuesta número SEDESEM/UT/329/2022, de fecha 19 de septiembre de 2022...” (</w:t>
      </w:r>
      <w:proofErr w:type="gramStart"/>
      <w:r w:rsidRPr="00990E90">
        <w:rPr>
          <w:rFonts w:ascii="Palatino Linotype" w:eastAsia="Palatino Linotype" w:hAnsi="Palatino Linotype" w:cs="Palatino Linotype"/>
          <w:i/>
          <w:sz w:val="22"/>
          <w:szCs w:val="22"/>
        </w:rPr>
        <w:t>sic</w:t>
      </w:r>
      <w:proofErr w:type="gramEnd"/>
      <w:r w:rsidRPr="00990E90">
        <w:rPr>
          <w:rFonts w:ascii="Palatino Linotype" w:eastAsia="Palatino Linotype" w:hAnsi="Palatino Linotype" w:cs="Palatino Linotype"/>
          <w:i/>
          <w:sz w:val="22"/>
          <w:szCs w:val="22"/>
        </w:rPr>
        <w:t>)</w:t>
      </w:r>
    </w:p>
    <w:p w:rsidR="009979DD" w:rsidRPr="00990E90" w:rsidRDefault="007477F3">
      <w:pPr>
        <w:spacing w:before="240" w:after="240" w:line="360" w:lineRule="auto"/>
        <w:ind w:right="49"/>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adjuntó el oficio número SEDESEM/UT/329/2022, de fecha diecinueve de septiembre de 2022, signado por la Titular de la Unidad de Transparencia, mediante el cual, señala que el Sujeto Obligado no ti</w:t>
      </w:r>
      <w:r w:rsidRPr="00990E90">
        <w:rPr>
          <w:rFonts w:ascii="Palatino Linotype" w:eastAsia="Palatino Linotype" w:hAnsi="Palatino Linotype" w:cs="Palatino Linotype"/>
          <w:u w:val="single"/>
        </w:rPr>
        <w:t>ene atribuciones, ni funciones, en donde se establezca que se debe remitir informe trimestral al OSFEM,</w:t>
      </w:r>
      <w:r w:rsidRPr="00990E90">
        <w:rPr>
          <w:rFonts w:ascii="Palatino Linotype" w:eastAsia="Palatino Linotype" w:hAnsi="Palatino Linotype" w:cs="Palatino Linotype"/>
        </w:rPr>
        <w:t xml:space="preserve"> por lo que no es posible proporcionar la información requerida al respecto.</w:t>
      </w:r>
    </w:p>
    <w:p w:rsidR="009979DD" w:rsidRPr="00990E90" w:rsidRDefault="007477F3">
      <w:pPr>
        <w:spacing w:before="240" w:after="240" w:line="360" w:lineRule="auto"/>
        <w:ind w:right="49"/>
        <w:jc w:val="both"/>
        <w:rPr>
          <w:rFonts w:ascii="Palatino Linotype" w:eastAsia="Palatino Linotype" w:hAnsi="Palatino Linotype" w:cs="Palatino Linotype"/>
        </w:rPr>
      </w:pPr>
      <w:r w:rsidRPr="00990E90">
        <w:rPr>
          <w:rFonts w:ascii="Palatino Linotype" w:eastAsia="Palatino Linotype" w:hAnsi="Palatino Linotype" w:cs="Palatino Linotype"/>
        </w:rPr>
        <w:t>Asimismo, indica que llevó a cabo una búsqueda exhaustiva y razonable a la normatividad que regula el actuar de la Secretaría, de la cual no se identificó documento alguno donde especifique que está obligada a remitir al OSFEM los informes referidos.</w:t>
      </w:r>
    </w:p>
    <w:p w:rsidR="009979DD" w:rsidRPr="00990E90" w:rsidRDefault="007477F3">
      <w:pPr>
        <w:spacing w:before="240" w:after="240" w:line="360" w:lineRule="auto"/>
        <w:ind w:right="49"/>
        <w:jc w:val="both"/>
        <w:rPr>
          <w:rFonts w:ascii="Palatino Linotype" w:eastAsia="Palatino Linotype" w:hAnsi="Palatino Linotype" w:cs="Palatino Linotype"/>
        </w:rPr>
      </w:pPr>
      <w:r w:rsidRPr="00990E90">
        <w:rPr>
          <w:rFonts w:ascii="Palatino Linotype" w:eastAsia="Palatino Linotype" w:hAnsi="Palatino Linotype" w:cs="Palatino Linotype"/>
          <w:b/>
        </w:rPr>
        <w:t xml:space="preserve">3. Interposición del recurso de revisión. </w:t>
      </w:r>
      <w:r w:rsidRPr="00990E90">
        <w:rPr>
          <w:rFonts w:ascii="Palatino Linotype" w:eastAsia="Palatino Linotype" w:hAnsi="Palatino Linotype" w:cs="Palatino Linotype"/>
        </w:rPr>
        <w:t xml:space="preserve">Inconforme con los términos de la respuesta emitida por parte del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w:t>
      </w:r>
      <w:r w:rsidRPr="00990E90">
        <w:rPr>
          <w:rFonts w:ascii="Palatino Linotype" w:eastAsia="Palatino Linotype" w:hAnsi="Palatino Linotype" w:cs="Palatino Linotype"/>
          <w:b/>
        </w:rPr>
        <w:t>veintiocho de septiembre de dos mil veintidós,</w:t>
      </w:r>
      <w:r w:rsidRPr="00990E90">
        <w:rPr>
          <w:rFonts w:ascii="Palatino Linotype" w:eastAsia="Palatino Linotype" w:hAnsi="Palatino Linotype" w:cs="Palatino Linotype"/>
        </w:rPr>
        <w:t xml:space="preserve">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interpuso el recurso de revisión a través de </w:t>
      </w:r>
      <w:r w:rsidRPr="00990E90">
        <w:rPr>
          <w:rFonts w:ascii="Palatino Linotype" w:eastAsia="Palatino Linotype" w:hAnsi="Palatino Linotype" w:cs="Palatino Linotype"/>
          <w:b/>
        </w:rPr>
        <w:t xml:space="preserve">SAIMEX, </w:t>
      </w:r>
      <w:r w:rsidRPr="00990E90">
        <w:rPr>
          <w:rFonts w:ascii="Palatino Linotype" w:eastAsia="Palatino Linotype" w:hAnsi="Palatino Linotype" w:cs="Palatino Linotype"/>
        </w:rPr>
        <w:t>en donde se manifestó de la siguiente manera:</w:t>
      </w:r>
    </w:p>
    <w:p w:rsidR="009979DD" w:rsidRPr="00990E90" w:rsidRDefault="007477F3">
      <w:pPr>
        <w:tabs>
          <w:tab w:val="left" w:pos="2745"/>
        </w:tabs>
        <w:spacing w:before="240" w:after="240" w:line="360" w:lineRule="auto"/>
        <w:jc w:val="both"/>
        <w:rPr>
          <w:rFonts w:ascii="Palatino Linotype" w:eastAsia="Palatino Linotype" w:hAnsi="Palatino Linotype" w:cs="Palatino Linotype"/>
          <w:b/>
        </w:rPr>
      </w:pPr>
      <w:r w:rsidRPr="00990E90">
        <w:rPr>
          <w:rFonts w:ascii="Palatino Linotype" w:eastAsia="Palatino Linotype" w:hAnsi="Palatino Linotype" w:cs="Palatino Linotype"/>
          <w:b/>
        </w:rPr>
        <w:t xml:space="preserve">Acto impugnado: </w:t>
      </w:r>
    </w:p>
    <w:p w:rsidR="009979DD" w:rsidRPr="00990E90" w:rsidRDefault="007477F3">
      <w:pPr>
        <w:tabs>
          <w:tab w:val="left" w:pos="2745"/>
        </w:tabs>
        <w:spacing w:before="240" w:after="24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“respuesta” (sic)</w:t>
      </w:r>
    </w:p>
    <w:p w:rsidR="009979DD" w:rsidRPr="00990E90" w:rsidRDefault="007477F3">
      <w:pPr>
        <w:spacing w:line="360" w:lineRule="auto"/>
        <w:jc w:val="both"/>
        <w:rPr>
          <w:rFonts w:ascii="Palatino Linotype" w:eastAsia="Palatino Linotype" w:hAnsi="Palatino Linotype" w:cs="Palatino Linotype"/>
        </w:rPr>
      </w:pPr>
      <w:bookmarkStart w:id="3" w:name="_heading=h.30j0zll" w:colFirst="0" w:colLast="0"/>
      <w:bookmarkEnd w:id="3"/>
      <w:r w:rsidRPr="00990E90">
        <w:rPr>
          <w:rFonts w:ascii="Palatino Linotype" w:eastAsia="Palatino Linotype" w:hAnsi="Palatino Linotype" w:cs="Palatino Linotype"/>
          <w:b/>
        </w:rPr>
        <w:t>Y Razones o motivos de inconformidad</w:t>
      </w:r>
      <w:r w:rsidRPr="00990E90">
        <w:rPr>
          <w:rFonts w:ascii="Palatino Linotype" w:eastAsia="Palatino Linotype" w:hAnsi="Palatino Linotype" w:cs="Palatino Linotype"/>
        </w:rPr>
        <w:t xml:space="preserve">: </w:t>
      </w:r>
    </w:p>
    <w:p w:rsidR="009979DD" w:rsidRPr="00990E90" w:rsidRDefault="007477F3">
      <w:pPr>
        <w:tabs>
          <w:tab w:val="left" w:pos="2745"/>
        </w:tabs>
        <w:spacing w:before="240" w:after="24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lastRenderedPageBreak/>
        <w:t xml:space="preserve">“niegan la </w:t>
      </w:r>
      <w:proofErr w:type="spellStart"/>
      <w:r w:rsidRPr="00990E90">
        <w:rPr>
          <w:rFonts w:ascii="Palatino Linotype" w:eastAsia="Palatino Linotype" w:hAnsi="Palatino Linotype" w:cs="Palatino Linotype"/>
          <w:i/>
          <w:sz w:val="22"/>
          <w:szCs w:val="22"/>
        </w:rPr>
        <w:t>informacion</w:t>
      </w:r>
      <w:proofErr w:type="spellEnd"/>
      <w:r w:rsidRPr="00990E90">
        <w:rPr>
          <w:rFonts w:ascii="Palatino Linotype" w:eastAsia="Palatino Linotype" w:hAnsi="Palatino Linotype" w:cs="Palatino Linotype"/>
          <w:i/>
          <w:sz w:val="22"/>
          <w:szCs w:val="22"/>
        </w:rPr>
        <w:t xml:space="preserve">, violando mi derecho de acceso a la </w:t>
      </w:r>
      <w:proofErr w:type="spellStart"/>
      <w:r w:rsidRPr="00990E90">
        <w:rPr>
          <w:rFonts w:ascii="Palatino Linotype" w:eastAsia="Palatino Linotype" w:hAnsi="Palatino Linotype" w:cs="Palatino Linotype"/>
          <w:i/>
          <w:sz w:val="22"/>
          <w:szCs w:val="22"/>
        </w:rPr>
        <w:t>informacion</w:t>
      </w:r>
      <w:proofErr w:type="spellEnd"/>
      <w:r w:rsidRPr="00990E90">
        <w:rPr>
          <w:rFonts w:ascii="Palatino Linotype" w:eastAsia="Palatino Linotype" w:hAnsi="Palatino Linotype" w:cs="Palatino Linotype"/>
          <w:i/>
          <w:sz w:val="22"/>
          <w:szCs w:val="22"/>
        </w:rPr>
        <w:t>, exijo mano dura contra los servidores públicos responsables de estas respuestas que solo hacen perder el tiempo al ciudadano.” (</w:t>
      </w:r>
      <w:proofErr w:type="gramStart"/>
      <w:r w:rsidRPr="00990E90">
        <w:rPr>
          <w:rFonts w:ascii="Palatino Linotype" w:eastAsia="Palatino Linotype" w:hAnsi="Palatino Linotype" w:cs="Palatino Linotype"/>
          <w:i/>
          <w:sz w:val="22"/>
          <w:szCs w:val="22"/>
        </w:rPr>
        <w:t>sic</w:t>
      </w:r>
      <w:proofErr w:type="gramEnd"/>
      <w:r w:rsidRPr="00990E90">
        <w:rPr>
          <w:rFonts w:ascii="Palatino Linotype" w:eastAsia="Palatino Linotype" w:hAnsi="Palatino Linotype" w:cs="Palatino Linotype"/>
          <w:i/>
          <w:sz w:val="22"/>
          <w:szCs w:val="22"/>
        </w:rPr>
        <w:t>)</w:t>
      </w:r>
    </w:p>
    <w:p w:rsidR="009979DD" w:rsidRPr="00990E90" w:rsidRDefault="007477F3">
      <w:pPr>
        <w:tabs>
          <w:tab w:val="left" w:pos="3525"/>
        </w:tabs>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La parte </w:t>
      </w:r>
      <w:r w:rsidRPr="00990E90">
        <w:rPr>
          <w:rFonts w:ascii="Palatino Linotype" w:eastAsia="Palatino Linotype" w:hAnsi="Palatino Linotype" w:cs="Palatino Linotype"/>
          <w:b/>
        </w:rPr>
        <w:t xml:space="preserve">Recurrente </w:t>
      </w:r>
      <w:r w:rsidRPr="00990E90">
        <w:rPr>
          <w:rFonts w:ascii="Palatino Linotype" w:eastAsia="Palatino Linotype" w:hAnsi="Palatino Linotype" w:cs="Palatino Linotype"/>
        </w:rPr>
        <w:t xml:space="preserve">no adjunto archivos. </w:t>
      </w:r>
      <w:r w:rsidRPr="00990E90">
        <w:rPr>
          <w:rFonts w:ascii="Palatino Linotype" w:eastAsia="Palatino Linotype" w:hAnsi="Palatino Linotype" w:cs="Palatino Linotype"/>
        </w:rPr>
        <w:tab/>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b/>
        </w:rPr>
        <w:t xml:space="preserve">4. Turno. </w:t>
      </w:r>
      <w:r w:rsidRPr="00990E9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90E90">
        <w:rPr>
          <w:rFonts w:ascii="Palatino Linotype" w:eastAsia="Palatino Linotype" w:hAnsi="Palatino Linotype" w:cs="Palatino Linotype"/>
          <w:b/>
        </w:rPr>
        <w:t xml:space="preserve">Guadalupe Ramírez Peña, </w:t>
      </w:r>
      <w:r w:rsidRPr="00990E90">
        <w:rPr>
          <w:rFonts w:ascii="Palatino Linotype" w:eastAsia="Palatino Linotype" w:hAnsi="Palatino Linotype" w:cs="Palatino Linotype"/>
        </w:rPr>
        <w:t xml:space="preserve">a efecto de que analizara sobre su admisión o su </w:t>
      </w:r>
      <w:proofErr w:type="spellStart"/>
      <w:r w:rsidRPr="00990E90">
        <w:rPr>
          <w:rFonts w:ascii="Palatino Linotype" w:eastAsia="Palatino Linotype" w:hAnsi="Palatino Linotype" w:cs="Palatino Linotype"/>
        </w:rPr>
        <w:t>desechamiento</w:t>
      </w:r>
      <w:proofErr w:type="spellEnd"/>
      <w:r w:rsidRPr="00990E90">
        <w:rPr>
          <w:rFonts w:ascii="Palatino Linotype" w:eastAsia="Palatino Linotype" w:hAnsi="Palatino Linotype" w:cs="Palatino Linotype"/>
        </w:rPr>
        <w:t>.</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5. Admisión del Recurso de revisión.</w:t>
      </w:r>
      <w:r w:rsidRPr="00990E90">
        <w:rPr>
          <w:rFonts w:ascii="Palatino Linotype" w:eastAsia="Palatino Linotype" w:hAnsi="Palatino Linotype" w:cs="Palatino Linotype"/>
        </w:rPr>
        <w:t xml:space="preserve"> Con fecha</w:t>
      </w:r>
      <w:r w:rsidRPr="00990E90">
        <w:rPr>
          <w:rFonts w:ascii="Palatino Linotype" w:eastAsia="Palatino Linotype" w:hAnsi="Palatino Linotype" w:cs="Palatino Linotype"/>
          <w:b/>
        </w:rPr>
        <w:t xml:space="preserve"> tres de octubre de dos mil veintidós, </w:t>
      </w:r>
      <w:r w:rsidRPr="00990E9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presentara su informe justificado.</w:t>
      </w:r>
    </w:p>
    <w:p w:rsidR="009979DD" w:rsidRPr="00990E90" w:rsidRDefault="007477F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990E90">
        <w:rPr>
          <w:rFonts w:ascii="Palatino Linotype" w:eastAsia="Palatino Linotype" w:hAnsi="Palatino Linotype" w:cs="Palatino Linotype"/>
          <w:b/>
        </w:rPr>
        <w:t xml:space="preserve">6. Manifestaciones. </w:t>
      </w:r>
      <w:r w:rsidRPr="00990E90">
        <w:rPr>
          <w:rFonts w:ascii="Palatino Linotype" w:eastAsia="Palatino Linotype" w:hAnsi="Palatino Linotype" w:cs="Palatino Linotype"/>
        </w:rPr>
        <w:t>De las constancias que obran en el expediente electrónico del SAIMEX se desprende que</w:t>
      </w:r>
      <w:r w:rsidRPr="00990E90">
        <w:rPr>
          <w:rFonts w:ascii="Palatino Linotype" w:eastAsia="Palatino Linotype" w:hAnsi="Palatino Linotype" w:cs="Palatino Linotype"/>
          <w:b/>
        </w:rPr>
        <w:t xml:space="preserve"> </w:t>
      </w:r>
      <w:r w:rsidRPr="00990E90">
        <w:rPr>
          <w:rFonts w:ascii="Palatino Linotype" w:eastAsia="Palatino Linotype" w:hAnsi="Palatino Linotype" w:cs="Palatino Linotype"/>
        </w:rPr>
        <w:t xml:space="preserve">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no rindió su informe justificado, del mismo modo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omitió realizar manifestaciones, como se observa a continuación:</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noProof/>
        </w:rPr>
        <w:lastRenderedPageBreak/>
        <w:drawing>
          <wp:inline distT="0" distB="0" distL="0" distR="0" wp14:anchorId="2D06C188" wp14:editId="773B589E">
            <wp:extent cx="5607050" cy="1577340"/>
            <wp:effectExtent l="0" t="0" r="0" b="0"/>
            <wp:docPr id="18550644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07050" cy="1577340"/>
                    </a:xfrm>
                    <a:prstGeom prst="rect">
                      <a:avLst/>
                    </a:prstGeom>
                    <a:ln/>
                  </pic:spPr>
                </pic:pic>
              </a:graphicData>
            </a:graphic>
          </wp:inline>
        </w:drawing>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 xml:space="preserve">7. Cierre de instrucción. </w:t>
      </w:r>
      <w:r w:rsidRPr="00990E9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90E90">
        <w:rPr>
          <w:rFonts w:ascii="Palatino Linotype" w:eastAsia="Palatino Linotype" w:hAnsi="Palatino Linotype" w:cs="Palatino Linotype"/>
          <w:b/>
        </w:rPr>
        <w:t>veinticuatro de octubre de dos mil veintidós</w:t>
      </w:r>
      <w:r w:rsidRPr="00990E90">
        <w:rPr>
          <w:rFonts w:ascii="Palatino Linotype" w:eastAsia="Palatino Linotype" w:hAnsi="Palatino Linotype" w:cs="Palatino Linotype"/>
        </w:rPr>
        <w:t xml:space="preserve"> Comisionada Ponente determinó el cierre de instrucción en términos de la fracción VI del artículo 185 de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8. Ampliación del término para resolver</w:t>
      </w:r>
      <w:r w:rsidRPr="00990E90">
        <w:rPr>
          <w:rFonts w:ascii="Palatino Linotype" w:eastAsia="Palatino Linotype" w:hAnsi="Palatino Linotype" w:cs="Palatino Linotype"/>
        </w:rPr>
        <w:t xml:space="preserve">. En fecha </w:t>
      </w:r>
      <w:r w:rsidRPr="00990E90">
        <w:rPr>
          <w:rFonts w:ascii="Palatino Linotype" w:eastAsia="Palatino Linotype" w:hAnsi="Palatino Linotype" w:cs="Palatino Linotype"/>
          <w:b/>
        </w:rPr>
        <w:t>veintidós de noviembre de dos mil veintidós</w:t>
      </w:r>
      <w:r w:rsidRPr="00990E9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979DD" w:rsidRPr="00990E90" w:rsidRDefault="007477F3">
      <w:pPr>
        <w:spacing w:before="240" w:after="240" w:line="360" w:lineRule="auto"/>
        <w:jc w:val="both"/>
        <w:rPr>
          <w:rFonts w:ascii="Palatino Linotype" w:eastAsia="Palatino Linotype" w:hAnsi="Palatino Linotype" w:cs="Palatino Linotype"/>
          <w:strike/>
        </w:rPr>
      </w:pPr>
      <w:r w:rsidRPr="00990E9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979DD" w:rsidRPr="00990E90" w:rsidRDefault="007477F3">
      <w:pPr>
        <w:numPr>
          <w:ilvl w:val="0"/>
          <w:numId w:val="1"/>
        </w:num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9979DD" w:rsidRPr="00990E90" w:rsidRDefault="007477F3">
      <w:pPr>
        <w:numPr>
          <w:ilvl w:val="0"/>
          <w:numId w:val="1"/>
        </w:num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Actividad Procesal del interesado. Acciones u omisiones del interesado.</w:t>
      </w:r>
    </w:p>
    <w:p w:rsidR="009979DD" w:rsidRPr="00990E90" w:rsidRDefault="007477F3">
      <w:pPr>
        <w:numPr>
          <w:ilvl w:val="0"/>
          <w:numId w:val="1"/>
        </w:num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9979DD" w:rsidRPr="00990E90" w:rsidRDefault="007477F3">
      <w:pPr>
        <w:spacing w:before="240" w:after="240" w:line="360" w:lineRule="auto"/>
        <w:ind w:left="567"/>
        <w:jc w:val="both"/>
        <w:rPr>
          <w:rFonts w:ascii="Palatino Linotype" w:eastAsia="Palatino Linotype" w:hAnsi="Palatino Linotype" w:cs="Palatino Linotype"/>
        </w:rPr>
      </w:pPr>
      <w:r w:rsidRPr="00990E90">
        <w:rPr>
          <w:rFonts w:ascii="Palatino Linotype" w:eastAsia="Palatino Linotype" w:hAnsi="Palatino Linotype" w:cs="Palatino Linotype"/>
        </w:rPr>
        <w:t>d) La afectación generada en la situación jurídica de la persona involucrada en el proceso: Violación a sus derechos humanos.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979DD" w:rsidRPr="00990E90" w:rsidRDefault="007477F3">
      <w:pPr>
        <w:spacing w:before="240" w:after="240" w:line="360" w:lineRule="auto"/>
        <w:jc w:val="both"/>
        <w:rPr>
          <w:rFonts w:ascii="Palatino Linotype" w:eastAsia="Palatino Linotype" w:hAnsi="Palatino Linotype" w:cs="Palatino Linotype"/>
          <w:b/>
        </w:rPr>
      </w:pPr>
      <w:r w:rsidRPr="00990E90">
        <w:rPr>
          <w:rFonts w:ascii="Palatino Linotype" w:eastAsia="Palatino Linotype" w:hAnsi="Palatino Linotype" w:cs="Palatino Linotype"/>
        </w:rPr>
        <w:t>Argumento que encuentra sustento en la jurisprudencia P</w:t>
      </w:r>
      <w:proofErr w:type="gramStart"/>
      <w:r w:rsidRPr="00990E90">
        <w:rPr>
          <w:rFonts w:ascii="Palatino Linotype" w:eastAsia="Palatino Linotype" w:hAnsi="Palatino Linotype" w:cs="Palatino Linotype"/>
        </w:rPr>
        <w:t>./</w:t>
      </w:r>
      <w:proofErr w:type="gramEnd"/>
      <w:r w:rsidRPr="00990E90">
        <w:rPr>
          <w:rFonts w:ascii="Palatino Linotype" w:eastAsia="Palatino Linotype" w:hAnsi="Palatino Linotype" w:cs="Palatino Linotype"/>
        </w:rPr>
        <w:t xml:space="preserve">J. 32/92 emitida por el Pleno de la Suprema Corte de Justicia de la Nación de rubro </w:t>
      </w:r>
      <w:r w:rsidRPr="00990E9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90E90">
        <w:rPr>
          <w:rFonts w:ascii="Palatino Linotype" w:eastAsia="Palatino Linotype" w:hAnsi="Palatino Linotype" w:cs="Palatino Linotype"/>
        </w:rPr>
        <w:t>, visible en la Gaceta del Seminario Judicial de la Federación con el registro digital 205635.</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90E90">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979DD" w:rsidRPr="00990E90" w:rsidRDefault="007477F3">
      <w:pPr>
        <w:spacing w:before="240" w:after="240"/>
        <w:ind w:left="851" w:right="902"/>
        <w:jc w:val="both"/>
        <w:rPr>
          <w:rFonts w:ascii="Palatino Linotype" w:eastAsia="Palatino Linotype" w:hAnsi="Palatino Linotype" w:cs="Palatino Linotype"/>
          <w:sz w:val="22"/>
          <w:szCs w:val="22"/>
        </w:rPr>
      </w:pPr>
      <w:r w:rsidRPr="00990E90">
        <w:rPr>
          <w:rFonts w:ascii="Palatino Linotype" w:eastAsia="Palatino Linotype" w:hAnsi="Palatino Linotype" w:cs="Palatino Linotype"/>
        </w:rPr>
        <w:t xml:space="preserve"> </w:t>
      </w: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PLAZO RAZONABLE PARA RESOLVER. DIMENSIÓN Y EFECTOS DE ESTE CONCEPTO CUANDO SE ADUCE EXCESIVA CARGA DE TRABAJO</w:t>
      </w: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sz w:val="22"/>
          <w:szCs w:val="22"/>
        </w:rPr>
        <w:t xml:space="preserve"> consultable en el Seminario Judicial de la Federación y su gaceta, con el registro digital 2002351.</w:t>
      </w:r>
    </w:p>
    <w:p w:rsidR="009979DD" w:rsidRPr="00990E90" w:rsidRDefault="007477F3">
      <w:pPr>
        <w:spacing w:before="240" w:after="240"/>
        <w:ind w:left="851" w:right="902"/>
        <w:jc w:val="both"/>
        <w:rPr>
          <w:rFonts w:ascii="Palatino Linotype" w:eastAsia="Palatino Linotype" w:hAnsi="Palatino Linotype" w:cs="Palatino Linotype"/>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sz w:val="22"/>
          <w:szCs w:val="22"/>
        </w:rPr>
        <w:t>, visible en el Seminario Judicial de la Federación y su gaceta, con el registro digital 2002350.</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979DD" w:rsidRPr="00990E90" w:rsidRDefault="009979DD">
      <w:pPr>
        <w:spacing w:before="240" w:after="240" w:line="360" w:lineRule="auto"/>
        <w:jc w:val="both"/>
        <w:rPr>
          <w:rFonts w:ascii="Palatino Linotype" w:eastAsia="Palatino Linotype" w:hAnsi="Palatino Linotype" w:cs="Palatino Linotype"/>
        </w:rPr>
      </w:pPr>
    </w:p>
    <w:p w:rsidR="009979DD" w:rsidRPr="00990E90" w:rsidRDefault="009979DD">
      <w:pPr>
        <w:spacing w:before="240" w:after="240" w:line="360" w:lineRule="auto"/>
        <w:jc w:val="both"/>
        <w:rPr>
          <w:rFonts w:ascii="Palatino Linotype" w:eastAsia="Palatino Linotype" w:hAnsi="Palatino Linotype" w:cs="Palatino Linotype"/>
        </w:rPr>
      </w:pPr>
    </w:p>
    <w:p w:rsidR="009979DD" w:rsidRPr="00990E90" w:rsidRDefault="007477F3">
      <w:pPr>
        <w:widowControl w:val="0"/>
        <w:spacing w:before="240" w:after="240" w:line="360" w:lineRule="auto"/>
        <w:jc w:val="center"/>
        <w:rPr>
          <w:rFonts w:ascii="Palatino Linotype" w:eastAsia="Palatino Linotype" w:hAnsi="Palatino Linotype" w:cs="Palatino Linotype"/>
          <w:b/>
        </w:rPr>
      </w:pPr>
      <w:r w:rsidRPr="00990E90">
        <w:rPr>
          <w:rFonts w:ascii="Palatino Linotype" w:eastAsia="Palatino Linotype" w:hAnsi="Palatino Linotype" w:cs="Palatino Linotype"/>
          <w:b/>
        </w:rPr>
        <w:lastRenderedPageBreak/>
        <w:t>II. C O N S I D E R A N D O 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Primero. Competencia.</w:t>
      </w:r>
      <w:r w:rsidRPr="00990E9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990E90">
        <w:rPr>
          <w:rFonts w:ascii="Palatino Linotype" w:eastAsia="Palatino Linotype" w:hAnsi="Palatino Linotype" w:cs="Palatino Linotype"/>
          <w:b/>
        </w:rPr>
        <w:t xml:space="preserve">Segundo. Oportunidad y </w:t>
      </w:r>
      <w:proofErr w:type="spellStart"/>
      <w:r w:rsidRPr="00990E90">
        <w:rPr>
          <w:rFonts w:ascii="Palatino Linotype" w:eastAsia="Palatino Linotype" w:hAnsi="Palatino Linotype" w:cs="Palatino Linotype"/>
          <w:b/>
        </w:rPr>
        <w:t>Procedibilidad</w:t>
      </w:r>
      <w:proofErr w:type="spellEnd"/>
      <w:r w:rsidRPr="00990E90">
        <w:rPr>
          <w:rFonts w:ascii="Palatino Linotype" w:eastAsia="Palatino Linotype" w:hAnsi="Palatino Linotype" w:cs="Palatino Linotype"/>
          <w:b/>
        </w:rPr>
        <w:t xml:space="preserve"> del Recurso de Revisión</w:t>
      </w:r>
      <w:r w:rsidRPr="00990E90">
        <w:rPr>
          <w:rFonts w:ascii="Palatino Linotype" w:eastAsia="Palatino Linotype" w:hAnsi="Palatino Linotype" w:cs="Palatino Linotype"/>
        </w:rPr>
        <w:t xml:space="preserve">. Previo al estudio del fondo del asunto, se procede a analizar los requisitos de oportunidad y </w:t>
      </w:r>
      <w:proofErr w:type="spellStart"/>
      <w:r w:rsidRPr="00990E90">
        <w:rPr>
          <w:rFonts w:ascii="Palatino Linotype" w:eastAsia="Palatino Linotype" w:hAnsi="Palatino Linotype" w:cs="Palatino Linotype"/>
        </w:rPr>
        <w:t>procedibilidad</w:t>
      </w:r>
      <w:proofErr w:type="spellEnd"/>
      <w:r w:rsidRPr="00990E90">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 xml:space="preserve">remitió la respuesta a la solicitud de información el día </w:t>
      </w:r>
      <w:r w:rsidRPr="00990E90">
        <w:rPr>
          <w:rFonts w:ascii="Palatino Linotype" w:eastAsia="Palatino Linotype" w:hAnsi="Palatino Linotype" w:cs="Palatino Linotype"/>
          <w:b/>
        </w:rPr>
        <w:t xml:space="preserve">diecinueve de septiembre de dos mil veintidós, </w:t>
      </w:r>
      <w:r w:rsidRPr="00990E90">
        <w:rPr>
          <w:rFonts w:ascii="Palatino Linotype" w:eastAsia="Palatino Linotype" w:hAnsi="Palatino Linotype" w:cs="Palatino Linotype"/>
        </w:rPr>
        <w:t xml:space="preserve">mientras que el recurso de revisión interpuesto por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se tuvo por presentado el día </w:t>
      </w:r>
      <w:r w:rsidRPr="00990E90">
        <w:rPr>
          <w:rFonts w:ascii="Palatino Linotype" w:eastAsia="Palatino Linotype" w:hAnsi="Palatino Linotype" w:cs="Palatino Linotype"/>
          <w:b/>
        </w:rPr>
        <w:t xml:space="preserve">veintiocho de septiembre de dos mil </w:t>
      </w:r>
      <w:r w:rsidRPr="00990E90">
        <w:rPr>
          <w:rFonts w:ascii="Palatino Linotype" w:eastAsia="Palatino Linotype" w:hAnsi="Palatino Linotype" w:cs="Palatino Linotype"/>
          <w:b/>
        </w:rPr>
        <w:lastRenderedPageBreak/>
        <w:t>veintidós</w:t>
      </w:r>
      <w:r w:rsidRPr="00990E90">
        <w:rPr>
          <w:rFonts w:ascii="Palatino Linotype" w:eastAsia="Palatino Linotype" w:hAnsi="Palatino Linotype" w:cs="Palatino Linotype"/>
        </w:rPr>
        <w:t>, esto es, al séptimo día hábil siguiente en que tuvo conocimiento de la respuesta impugnada.</w:t>
      </w:r>
    </w:p>
    <w:p w:rsidR="009979DD" w:rsidRPr="00990E90" w:rsidRDefault="007477F3">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990E90">
        <w:rPr>
          <w:rFonts w:ascii="Palatino Linotype" w:eastAsia="Palatino Linotype" w:hAnsi="Palatino Linotype" w:cs="Palatino Linotype"/>
        </w:rPr>
        <w:t xml:space="preserve">Al mismo tiempo, por cuanto hace a la </w:t>
      </w:r>
      <w:proofErr w:type="spellStart"/>
      <w:r w:rsidRPr="00990E90">
        <w:rPr>
          <w:rFonts w:ascii="Palatino Linotype" w:eastAsia="Palatino Linotype" w:hAnsi="Palatino Linotype" w:cs="Palatino Linotype"/>
        </w:rPr>
        <w:t>procedibilidad</w:t>
      </w:r>
      <w:proofErr w:type="spellEnd"/>
      <w:r w:rsidRPr="00990E9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A efecto de sustentar lo anterior, es de suma importancia mencionar que si bien la persona solicitante </w:t>
      </w:r>
      <w:r w:rsidRPr="00990E90">
        <w:rPr>
          <w:rFonts w:ascii="Palatino Linotype" w:eastAsia="Palatino Linotype" w:hAnsi="Palatino Linotype" w:cs="Palatino Linotype"/>
          <w:b/>
        </w:rPr>
        <w:t xml:space="preserve">no proporcionó nombre </w:t>
      </w:r>
      <w:r w:rsidRPr="00990E90">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979DD" w:rsidRPr="00990E90" w:rsidRDefault="007477F3">
      <w:pPr>
        <w:spacing w:before="120" w:after="120"/>
        <w:ind w:left="851" w:right="902"/>
        <w:jc w:val="both"/>
        <w:rPr>
          <w:rFonts w:ascii="Palatino Linotype" w:eastAsia="Palatino Linotype" w:hAnsi="Palatino Linotype" w:cs="Palatino Linotype"/>
        </w:rPr>
      </w:pPr>
      <w:r w:rsidRPr="00990E90">
        <w:rPr>
          <w:rFonts w:ascii="Palatino Linotype" w:eastAsia="Palatino Linotype" w:hAnsi="Palatino Linotype" w:cs="Palatino Linotype"/>
          <w:i/>
        </w:rPr>
        <w:t>"</w:t>
      </w:r>
      <w:r w:rsidRPr="00990E90">
        <w:rPr>
          <w:rFonts w:ascii="Palatino Linotype" w:eastAsia="Palatino Linotype" w:hAnsi="Palatino Linotype" w:cs="Palatino Linotype"/>
          <w:b/>
          <w:i/>
        </w:rPr>
        <w:t>Las solicitudes anónimas</w:t>
      </w:r>
      <w:r w:rsidRPr="00990E90">
        <w:rPr>
          <w:rFonts w:ascii="Palatino Linotype" w:eastAsia="Palatino Linotype" w:hAnsi="Palatino Linotype" w:cs="Palatino Linotype"/>
          <w:i/>
        </w:rPr>
        <w:t xml:space="preserve">, con nombre incompleto o seudónimo </w:t>
      </w:r>
      <w:r w:rsidRPr="00990E90">
        <w:rPr>
          <w:rFonts w:ascii="Palatino Linotype" w:eastAsia="Palatino Linotype" w:hAnsi="Palatino Linotype" w:cs="Palatino Linotype"/>
          <w:b/>
          <w:i/>
        </w:rPr>
        <w:t>serán procedentes para su trámite por parte del sujeto obligado ante quien se presente</w:t>
      </w:r>
      <w:r w:rsidRPr="00990E90">
        <w:rPr>
          <w:rFonts w:ascii="Palatino Linotype" w:eastAsia="Palatino Linotype" w:hAnsi="Palatino Linotype" w:cs="Palatino Linotype"/>
          <w:i/>
        </w:rPr>
        <w:t>. No podrá requerirse información adicional con motivo del nombre proporcionado por el solicitante."</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por lo que, en el presente caso, al haber sido presentado el recurso de revisión vía SAIMEX, dicho requisito resulta innecesario.</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en sus motivos de inconformidad, de acuerdo al artículo 179, fracción I del ordenamiento legal citado, que a la letra dice: </w:t>
      </w:r>
    </w:p>
    <w:p w:rsidR="009979DD" w:rsidRPr="00990E90" w:rsidRDefault="007477F3">
      <w:pPr>
        <w:spacing w:before="120" w:after="120"/>
        <w:ind w:left="993"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Artículo 179.</w:t>
      </w:r>
      <w:r w:rsidRPr="00990E9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979DD" w:rsidRPr="00990E90" w:rsidRDefault="007477F3">
      <w:pPr>
        <w:spacing w:before="120" w:after="120"/>
        <w:ind w:left="1134"/>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 xml:space="preserve">I. </w:t>
      </w:r>
      <w:r w:rsidRPr="00990E90">
        <w:rPr>
          <w:rFonts w:ascii="Palatino Linotype" w:eastAsia="Palatino Linotype" w:hAnsi="Palatino Linotype" w:cs="Palatino Linotype"/>
          <w:i/>
          <w:sz w:val="22"/>
          <w:szCs w:val="22"/>
        </w:rPr>
        <w:t>La negativa a la información solicitada</w:t>
      </w:r>
      <w:r w:rsidRPr="00990E90">
        <w:rPr>
          <w:rFonts w:ascii="Palatino Linotype" w:eastAsia="Palatino Linotype" w:hAnsi="Palatino Linotype" w:cs="Palatino Linotype"/>
          <w:b/>
          <w:i/>
          <w:sz w:val="22"/>
          <w:szCs w:val="22"/>
        </w:rPr>
        <w:t>;</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 xml:space="preserve">Tercero. Materia de la revisión. </w:t>
      </w:r>
      <w:r w:rsidRPr="00990E9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90E9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90E90">
        <w:rPr>
          <w:rFonts w:ascii="Palatino Linotype" w:eastAsia="Palatino Linotype" w:hAnsi="Palatino Linotype" w:cs="Palatino Linotype"/>
        </w:rPr>
        <w:t xml:space="preserve">de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o en su defecto, en caso de ser procedente, ordenar la entrega de información oportuna.</w:t>
      </w:r>
    </w:p>
    <w:p w:rsidR="009979DD" w:rsidRPr="00990E90" w:rsidRDefault="007477F3">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990E90">
        <w:rPr>
          <w:rFonts w:ascii="Palatino Linotype" w:eastAsia="Palatino Linotype" w:hAnsi="Palatino Linotype" w:cs="Palatino Linotype"/>
          <w:b/>
        </w:rPr>
        <w:t xml:space="preserve">Cuarto. Estudio del asunto. </w:t>
      </w:r>
      <w:r w:rsidRPr="00990E90">
        <w:rPr>
          <w:rFonts w:ascii="Palatino Linotype" w:eastAsia="Palatino Linotype" w:hAnsi="Palatino Linotype" w:cs="Palatino Linotype"/>
        </w:rPr>
        <w:t xml:space="preserve">Del análisis de la solicitud de información, motivo del recurso de revisión que ahora se resuelve se advierte que la parte </w:t>
      </w:r>
      <w:r w:rsidRPr="00990E90">
        <w:rPr>
          <w:rFonts w:ascii="Palatino Linotype" w:eastAsia="Palatino Linotype" w:hAnsi="Palatino Linotype" w:cs="Palatino Linotype"/>
          <w:b/>
        </w:rPr>
        <w:t>Recurrente</w:t>
      </w:r>
      <w:r w:rsidRPr="00990E90">
        <w:rPr>
          <w:rFonts w:ascii="Palatino Linotype" w:eastAsia="Palatino Linotype" w:hAnsi="Palatino Linotype" w:cs="Palatino Linotype"/>
        </w:rPr>
        <w:t xml:space="preserve"> requirió al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le proporcione, información consistente en lo siguiente:</w:t>
      </w:r>
    </w:p>
    <w:p w:rsidR="009979DD" w:rsidRPr="00990E90" w:rsidRDefault="007477F3">
      <w:pPr>
        <w:spacing w:before="240" w:after="240" w:line="360" w:lineRule="auto"/>
        <w:ind w:left="426" w:right="49"/>
        <w:jc w:val="both"/>
        <w:rPr>
          <w:rFonts w:ascii="Palatino Linotype" w:eastAsia="Palatino Linotype" w:hAnsi="Palatino Linotype" w:cs="Palatino Linotype"/>
        </w:rPr>
      </w:pPr>
      <w:r w:rsidRPr="00990E90">
        <w:rPr>
          <w:rFonts w:ascii="Palatino Linotype" w:eastAsia="Palatino Linotype" w:hAnsi="Palatino Linotype" w:cs="Palatino Linotype"/>
        </w:rPr>
        <w:t>1. Todo el informe trimestral remitido al Órgano Superior de Fiscalización del Estado de México, OSFEM, del primer trimestre de este año.</w:t>
      </w:r>
    </w:p>
    <w:p w:rsidR="009979DD" w:rsidRPr="00990E90" w:rsidRDefault="007477F3">
      <w:pPr>
        <w:spacing w:before="240" w:after="240" w:line="360" w:lineRule="auto"/>
        <w:ind w:right="49"/>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respuesta, la Unidad de Transparencia, señaló que 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no tiene atribuciones, ni funciones, en donde se establezca que se debe remitir informe trimestral al OSFEM, por lo que no es posible proporcionar la información requerida al respecto. Asimismo, indicó que llevó a cabo una búsqueda exhaustiva y razonable </w:t>
      </w:r>
      <w:r w:rsidRPr="00990E90">
        <w:rPr>
          <w:rFonts w:ascii="Palatino Linotype" w:eastAsia="Palatino Linotype" w:hAnsi="Palatino Linotype" w:cs="Palatino Linotype"/>
        </w:rPr>
        <w:lastRenderedPageBreak/>
        <w:t>a la normatividad que regula el actuar de la Secretaría, de la cual no se identificó documento alguno donde especifique que está obligada a remitir al OSFEM los informes referidos.</w:t>
      </w:r>
    </w:p>
    <w:p w:rsidR="009979DD" w:rsidRPr="00990E90" w:rsidRDefault="007477F3">
      <w:pPr>
        <w:spacing w:before="240" w:after="240" w:line="360" w:lineRule="auto"/>
        <w:ind w:right="49"/>
        <w:jc w:val="both"/>
        <w:rPr>
          <w:rFonts w:ascii="Palatino Linotype" w:eastAsia="Palatino Linotype" w:hAnsi="Palatino Linotype" w:cs="Palatino Linotype"/>
        </w:rPr>
      </w:pPr>
      <w:r w:rsidRPr="00990E90">
        <w:rPr>
          <w:rFonts w:ascii="Palatino Linotype" w:eastAsia="Palatino Linotype" w:hAnsi="Palatino Linotype" w:cs="Palatino Linotype"/>
        </w:rPr>
        <w:t>Conocida la respuesta por la persona solicitante, al no estar conforme con los términos de la misma presentó el recurso de revisión que nos ocupa, mediante el cual señaló como motivos de inconformidad que se le negó la información, violando su derecho de acceso a la información.</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Por otro lado, una vez admitido el presente recurso de revisión, en términos del artículo 185 fracción II</w:t>
      </w:r>
      <w:r w:rsidRPr="00990E90">
        <w:rPr>
          <w:rFonts w:ascii="Palatino Linotype" w:eastAsia="Palatino Linotype" w:hAnsi="Palatino Linotype" w:cs="Palatino Linotype"/>
          <w:vertAlign w:val="superscript"/>
        </w:rPr>
        <w:footnoteReference w:id="1"/>
      </w:r>
      <w:r w:rsidRPr="00990E9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omisas ambas partes en ejercer dicha prerrogativa, como se señaló anteriormente.</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w:t>
      </w:r>
      <w:r w:rsidRPr="00990E90">
        <w:rPr>
          <w:rFonts w:ascii="Palatino Linotype" w:eastAsia="Palatino Linotype" w:hAnsi="Palatino Linotype" w:cs="Palatino Linotype"/>
        </w:rPr>
        <w:lastRenderedPageBreak/>
        <w:t>previstas por dicha Ley, es decir, que por regla general, toda la información generada, obtenida, adquirida, transmitida, administrada o en posesión de los Sujetos Obligados es pública, y de manera excepcional puede ser clasificada.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9979DD" w:rsidRPr="00990E90" w:rsidRDefault="007477F3">
      <w:pPr>
        <w:spacing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979DD" w:rsidRPr="00990E90" w:rsidRDefault="009979DD">
      <w:pPr>
        <w:ind w:left="851" w:right="899"/>
        <w:jc w:val="both"/>
        <w:rPr>
          <w:rFonts w:ascii="Palatino Linotype" w:eastAsia="Palatino Linotype" w:hAnsi="Palatino Linotype" w:cs="Palatino Linotype"/>
          <w:i/>
        </w:rPr>
      </w:pPr>
    </w:p>
    <w:p w:rsidR="009979DD" w:rsidRPr="00990E90" w:rsidRDefault="007477F3">
      <w:pPr>
        <w:ind w:left="851"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 xml:space="preserve">Artículo 3. </w:t>
      </w:r>
      <w:r w:rsidRPr="00990E90">
        <w:rPr>
          <w:rFonts w:ascii="Palatino Linotype" w:eastAsia="Palatino Linotype" w:hAnsi="Palatino Linotype" w:cs="Palatino Linotype"/>
          <w:i/>
          <w:sz w:val="22"/>
          <w:szCs w:val="22"/>
        </w:rPr>
        <w:t>Para los efectos de la presente Ley se entenderá por:</w:t>
      </w:r>
    </w:p>
    <w:p w:rsidR="009979DD" w:rsidRPr="00990E90" w:rsidRDefault="007477F3">
      <w:pPr>
        <w:ind w:left="1134"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ind w:left="1134"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XI. Documento:</w:t>
      </w:r>
      <w:r w:rsidRPr="00990E90">
        <w:rPr>
          <w:rFonts w:ascii="Palatino Linotype" w:eastAsia="Palatino Linotype" w:hAnsi="Palatino Linotype" w:cs="Palatino Linotype"/>
          <w:i/>
          <w:sz w:val="22"/>
          <w:szCs w:val="22"/>
        </w:rPr>
        <w:t xml:space="preserve"> Los expedientes, reportes, estudios, actas</w:t>
      </w:r>
      <w:r w:rsidRPr="00990E90">
        <w:rPr>
          <w:rFonts w:ascii="Palatino Linotype" w:eastAsia="Palatino Linotype" w:hAnsi="Palatino Linotype" w:cs="Palatino Linotype"/>
          <w:b/>
          <w:i/>
          <w:sz w:val="22"/>
          <w:szCs w:val="22"/>
        </w:rPr>
        <w:t>,</w:t>
      </w:r>
      <w:r w:rsidRPr="00990E9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990E90">
        <w:rPr>
          <w:rFonts w:ascii="Palatino Linotype" w:eastAsia="Palatino Linotype" w:hAnsi="Palatino Linotype" w:cs="Palatino Linotype"/>
          <w:i/>
          <w:sz w:val="22"/>
          <w:szCs w:val="22"/>
        </w:rPr>
        <w:lastRenderedPageBreak/>
        <w:t>cualquier medio, sea escrito, impreso, sonoro, visual, electrónico, informático u holográfico…” (Sic)</w:t>
      </w:r>
    </w:p>
    <w:p w:rsidR="009979DD" w:rsidRPr="00990E90" w:rsidRDefault="009979DD">
      <w:pPr>
        <w:ind w:left="851" w:right="899"/>
        <w:jc w:val="both"/>
        <w:rPr>
          <w:rFonts w:ascii="Palatino Linotype" w:eastAsia="Palatino Linotype" w:hAnsi="Palatino Linotype" w:cs="Palatino Linotype"/>
          <w:sz w:val="22"/>
          <w:szCs w:val="22"/>
        </w:rPr>
      </w:pPr>
    </w:p>
    <w:p w:rsidR="009979DD" w:rsidRPr="00990E90" w:rsidRDefault="007477F3">
      <w:pPr>
        <w:spacing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979DD" w:rsidRPr="00990E90" w:rsidRDefault="009979DD">
      <w:pPr>
        <w:ind w:left="851" w:right="899"/>
        <w:jc w:val="both"/>
        <w:rPr>
          <w:rFonts w:ascii="Palatino Linotype" w:eastAsia="Palatino Linotype" w:hAnsi="Palatino Linotype" w:cs="Palatino Linotype"/>
        </w:rPr>
      </w:pPr>
    </w:p>
    <w:p w:rsidR="009979DD" w:rsidRPr="00990E90" w:rsidRDefault="007477F3">
      <w:pPr>
        <w:ind w:left="851"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sz w:val="22"/>
          <w:szCs w:val="22"/>
        </w:rPr>
        <w:t>“</w:t>
      </w:r>
      <w:r w:rsidRPr="00990E9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90E9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979DD" w:rsidRPr="00990E90" w:rsidRDefault="007477F3">
      <w:pPr>
        <w:ind w:left="851"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979DD" w:rsidRPr="00990E90" w:rsidRDefault="007477F3">
      <w:pPr>
        <w:ind w:left="1134" w:right="89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979DD" w:rsidRPr="00990E90" w:rsidRDefault="007477F3">
      <w:pPr>
        <w:ind w:left="1134" w:right="899"/>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979DD" w:rsidRPr="00990E90" w:rsidRDefault="007477F3">
      <w:pPr>
        <w:ind w:left="1134" w:right="899"/>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990E90">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Ahora bien, tomando en consideración la materia de la solicitud, es oportuno mencionar en primer lugar, que artículo 61, fracción XXXII de la Constitución Política del Estado Libre y Soberano de México, establece como facultad de la Legislatura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 xml:space="preserve">Por su parte, los artículos 349 y 350 del Código Financiero del Estado de México y Municipios, establecen lo siguiente: </w:t>
      </w:r>
    </w:p>
    <w:p w:rsidR="009979DD" w:rsidRPr="00990E90" w:rsidRDefault="007477F3">
      <w:pPr>
        <w:spacing w:before="240" w:after="24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Artículo 349</w:t>
      </w:r>
      <w:r w:rsidRPr="00990E90">
        <w:rPr>
          <w:rFonts w:ascii="Palatino Linotype" w:eastAsia="Palatino Linotype" w:hAnsi="Palatino Linotype" w:cs="Palatino Linotype"/>
          <w:i/>
          <w:sz w:val="22"/>
          <w:szCs w:val="22"/>
        </w:rPr>
        <w:t xml:space="preserve">.- </w:t>
      </w:r>
      <w:r w:rsidRPr="00990E90">
        <w:rPr>
          <w:rFonts w:ascii="Palatino Linotype" w:eastAsia="Palatino Linotype" w:hAnsi="Palatino Linotype" w:cs="Palatino Linotype"/>
          <w:b/>
          <w:i/>
          <w:sz w:val="22"/>
          <w:szCs w:val="22"/>
        </w:rPr>
        <w:t>Las Dependencias, Entidades Públicas y Organismos Autónomos</w:t>
      </w:r>
      <w:r w:rsidRPr="00990E90">
        <w:rPr>
          <w:rFonts w:ascii="Palatino Linotype" w:eastAsia="Palatino Linotype" w:hAnsi="Palatino Linotype" w:cs="Palatino Linotype"/>
          <w:i/>
          <w:sz w:val="22"/>
          <w:szCs w:val="22"/>
        </w:rPr>
        <w:t xml:space="preserve">, de acuerdo con su naturaleza jurídica y según corresponda, </w:t>
      </w:r>
      <w:r w:rsidRPr="00990E90">
        <w:rPr>
          <w:rFonts w:ascii="Palatino Linotype" w:eastAsia="Palatino Linotype" w:hAnsi="Palatino Linotype" w:cs="Palatino Linotype"/>
          <w:b/>
          <w:i/>
          <w:sz w:val="22"/>
          <w:szCs w:val="22"/>
        </w:rPr>
        <w:t>proporcionarán con la periodicidad que determinen la Secretaría</w:t>
      </w:r>
      <w:r w:rsidRPr="00990E90">
        <w:rPr>
          <w:rFonts w:ascii="Palatino Linotype" w:eastAsia="Palatino Linotype" w:hAnsi="Palatino Linotype" w:cs="Palatino Linotype"/>
          <w:i/>
          <w:sz w:val="22"/>
          <w:szCs w:val="22"/>
        </w:rPr>
        <w:t xml:space="preserve"> y las tesorerías, </w:t>
      </w:r>
      <w:r w:rsidRPr="00990E90">
        <w:rPr>
          <w:rFonts w:ascii="Palatino Linotype" w:eastAsia="Palatino Linotype" w:hAnsi="Palatino Linotype" w:cs="Palatino Linotype"/>
          <w:b/>
          <w:i/>
          <w:sz w:val="22"/>
          <w:szCs w:val="22"/>
        </w:rPr>
        <w:t>la información contable que comprenderá la patrimonial y presupuestal, para la integración de los estados financieros</w:t>
      </w:r>
      <w:r w:rsidRPr="00990E90">
        <w:rPr>
          <w:rFonts w:ascii="Palatino Linotype" w:eastAsia="Palatino Linotype" w:hAnsi="Palatino Linotype" w:cs="Palatino Linotype"/>
          <w:i/>
          <w:sz w:val="22"/>
          <w:szCs w:val="22"/>
        </w:rPr>
        <w:t xml:space="preserve">. </w:t>
      </w:r>
    </w:p>
    <w:p w:rsidR="009979DD" w:rsidRPr="00990E90" w:rsidRDefault="007477F3">
      <w:pPr>
        <w:spacing w:before="240" w:after="24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En caso de que no se proporcione la información o la que reciban no cumpla con la forma y plazos establecidos por éstas, podrán suspender la ministración de recursos, hasta en tanto se regularicen.</w:t>
      </w:r>
    </w:p>
    <w:p w:rsidR="009979DD" w:rsidRPr="00990E90" w:rsidRDefault="007477F3">
      <w:pPr>
        <w:ind w:left="851"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Artículo 350.-</w:t>
      </w:r>
      <w:r w:rsidRPr="00990E90">
        <w:rPr>
          <w:rFonts w:ascii="Palatino Linotype" w:eastAsia="Palatino Linotype" w:hAnsi="Palatino Linotype" w:cs="Palatino Linotype"/>
          <w:i/>
          <w:sz w:val="22"/>
          <w:szCs w:val="22"/>
        </w:rPr>
        <w:t xml:space="preserve"> La </w:t>
      </w:r>
      <w:r w:rsidRPr="00990E90">
        <w:rPr>
          <w:rFonts w:ascii="Palatino Linotype" w:eastAsia="Palatino Linotype" w:hAnsi="Palatino Linotype" w:cs="Palatino Linotype"/>
          <w:b/>
          <w:i/>
          <w:sz w:val="22"/>
          <w:szCs w:val="22"/>
        </w:rPr>
        <w:t>Secretaría</w:t>
      </w:r>
      <w:r w:rsidRPr="00990E90">
        <w:rPr>
          <w:rFonts w:ascii="Palatino Linotype" w:eastAsia="Palatino Linotype" w:hAnsi="Palatino Linotype" w:cs="Palatino Linotype"/>
          <w:i/>
          <w:sz w:val="22"/>
          <w:szCs w:val="22"/>
        </w:rPr>
        <w:t xml:space="preserve"> y las tesorerías </w:t>
      </w:r>
      <w:r w:rsidRPr="00990E90">
        <w:rPr>
          <w:rFonts w:ascii="Palatino Linotype" w:eastAsia="Palatino Linotype" w:hAnsi="Palatino Linotype" w:cs="Palatino Linotype"/>
          <w:b/>
          <w:i/>
          <w:sz w:val="22"/>
          <w:szCs w:val="22"/>
        </w:rPr>
        <w:t>enviarán al Órgano Superior, de manera trimestra</w:t>
      </w:r>
      <w:r w:rsidRPr="00990E90">
        <w:rPr>
          <w:rFonts w:ascii="Palatino Linotype" w:eastAsia="Palatino Linotype" w:hAnsi="Palatino Linotype" w:cs="Palatino Linotype"/>
          <w:i/>
          <w:sz w:val="22"/>
          <w:szCs w:val="22"/>
        </w:rPr>
        <w:t>l, dentro de los primeros veinte días hábiles posteriores al término del trimestre que se informa, para su análisis, la siguiente información:</w:t>
      </w:r>
    </w:p>
    <w:p w:rsidR="009979DD" w:rsidRPr="00990E90" w:rsidRDefault="007477F3">
      <w:pPr>
        <w:ind w:left="1134"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w:t>
      </w:r>
      <w:r w:rsidRPr="00990E90">
        <w:rPr>
          <w:rFonts w:ascii="Palatino Linotype" w:eastAsia="Palatino Linotype" w:hAnsi="Palatino Linotype" w:cs="Palatino Linotype"/>
          <w:i/>
          <w:sz w:val="22"/>
          <w:szCs w:val="22"/>
        </w:rPr>
        <w:t xml:space="preserve"> Patrimonial. </w:t>
      </w:r>
    </w:p>
    <w:p w:rsidR="009979DD" w:rsidRPr="00990E90" w:rsidRDefault="007477F3">
      <w:pPr>
        <w:ind w:left="1134"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w:t>
      </w:r>
      <w:r w:rsidRPr="00990E90">
        <w:rPr>
          <w:rFonts w:ascii="Palatino Linotype" w:eastAsia="Palatino Linotype" w:hAnsi="Palatino Linotype" w:cs="Palatino Linotype"/>
          <w:i/>
          <w:sz w:val="22"/>
          <w:szCs w:val="22"/>
        </w:rPr>
        <w:t xml:space="preserve">. Presupuestal. </w:t>
      </w:r>
    </w:p>
    <w:p w:rsidR="009979DD" w:rsidRPr="00990E90" w:rsidRDefault="007477F3">
      <w:pPr>
        <w:ind w:left="1134"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III</w:t>
      </w:r>
      <w:r w:rsidRPr="00990E90">
        <w:rPr>
          <w:rFonts w:ascii="Palatino Linotype" w:eastAsia="Palatino Linotype" w:hAnsi="Palatino Linotype" w:cs="Palatino Linotype"/>
          <w:i/>
          <w:sz w:val="22"/>
          <w:szCs w:val="22"/>
        </w:rPr>
        <w:t>. De la obra pública.</w:t>
      </w:r>
    </w:p>
    <w:p w:rsidR="009979DD" w:rsidRPr="00990E90" w:rsidRDefault="007477F3">
      <w:pPr>
        <w:ind w:left="1134" w:right="849"/>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 xml:space="preserve">IV. </w:t>
      </w:r>
      <w:r w:rsidRPr="00990E90">
        <w:rPr>
          <w:rFonts w:ascii="Palatino Linotype" w:eastAsia="Palatino Linotype" w:hAnsi="Palatino Linotype" w:cs="Palatino Linotype"/>
          <w:i/>
          <w:sz w:val="22"/>
          <w:szCs w:val="22"/>
        </w:rPr>
        <w:t>De nómina.</w:t>
      </w:r>
    </w:p>
    <w:p w:rsidR="009979DD" w:rsidRPr="00990E90" w:rsidRDefault="007477F3">
      <w:pPr>
        <w:ind w:left="1134"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V</w:t>
      </w:r>
      <w:r w:rsidRPr="00990E90">
        <w:rPr>
          <w:rFonts w:ascii="Palatino Linotype" w:eastAsia="Palatino Linotype" w:hAnsi="Palatino Linotype" w:cs="Palatino Linotype"/>
          <w:i/>
          <w:sz w:val="22"/>
          <w:szCs w:val="22"/>
        </w:rPr>
        <w:t xml:space="preserve">. Avance del cumplimiento del Plan de Desarrollo del Estado de México. </w:t>
      </w:r>
    </w:p>
    <w:p w:rsidR="009979DD" w:rsidRPr="00990E90" w:rsidRDefault="007477F3">
      <w:pPr>
        <w:ind w:left="851" w:right="849"/>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rsidR="009979DD" w:rsidRPr="00990E90" w:rsidRDefault="007477F3">
      <w:pPr>
        <w:ind w:left="851" w:right="849"/>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990E90">
        <w:rPr>
          <w:rFonts w:ascii="Palatino Linotype" w:eastAsia="Palatino Linotype" w:hAnsi="Palatino Linotype" w:cs="Palatino Linotype"/>
          <w:b/>
          <w:i/>
          <w:sz w:val="22"/>
          <w:szCs w:val="22"/>
        </w:rPr>
        <w:t>.”</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Siendo importante mencionar, para el tema que nos ocupa, que de conformidad con el artículo 3, fracciones X y XXXII del Código Financiero, por dependencias y Secretaría se entiende lo siguiente: </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Artículo 3</w:t>
      </w:r>
      <w:r w:rsidRPr="00990E90">
        <w:rPr>
          <w:rFonts w:ascii="Palatino Linotype" w:eastAsia="Palatino Linotype" w:hAnsi="Palatino Linotype" w:cs="Palatino Linotype"/>
          <w:i/>
          <w:sz w:val="22"/>
          <w:szCs w:val="22"/>
        </w:rPr>
        <w:t>.- Para efectos de este Código, Ley de Ingresos del Estado y del Presupuesto de Egresos se entenderá por:</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spacing w:before="120" w:after="120"/>
        <w:ind w:left="1134"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lastRenderedPageBreak/>
        <w:t>X. Dependencias</w:t>
      </w:r>
      <w:r w:rsidRPr="00990E90">
        <w:rPr>
          <w:rFonts w:ascii="Palatino Linotype" w:eastAsia="Palatino Linotype" w:hAnsi="Palatino Linotype" w:cs="Palatino Linotype"/>
          <w:i/>
          <w:sz w:val="22"/>
          <w:szCs w:val="22"/>
        </w:rPr>
        <w:t xml:space="preserve">. </w:t>
      </w:r>
      <w:r w:rsidRPr="00990E90">
        <w:rPr>
          <w:rFonts w:ascii="Palatino Linotype" w:eastAsia="Palatino Linotype" w:hAnsi="Palatino Linotype" w:cs="Palatino Linotype"/>
          <w:b/>
          <w:i/>
          <w:sz w:val="22"/>
          <w:szCs w:val="22"/>
        </w:rPr>
        <w:t>A las Secretarías que se señalan en la Ley Orgánica de la Administración Pública del Estado de México</w:t>
      </w:r>
      <w:r w:rsidRPr="00990E90">
        <w:rPr>
          <w:rFonts w:ascii="Palatino Linotype" w:eastAsia="Palatino Linotype" w:hAnsi="Palatino Linotype" w:cs="Palatino Linotype"/>
          <w:i/>
          <w:sz w:val="22"/>
          <w:szCs w:val="22"/>
        </w:rPr>
        <w:t>, incluyendo a sus unidades administrativas y órganos administrativos desconcentrados</w:t>
      </w:r>
      <w:r w:rsidRPr="00990E90">
        <w:rPr>
          <w:rFonts w:ascii="Palatino Linotype" w:eastAsia="Palatino Linotype" w:hAnsi="Palatino Linotype" w:cs="Palatino Linotype"/>
          <w:sz w:val="22"/>
          <w:szCs w:val="22"/>
        </w:rPr>
        <w:t>.</w:t>
      </w:r>
    </w:p>
    <w:p w:rsidR="009979DD" w:rsidRPr="00990E90" w:rsidRDefault="007477F3">
      <w:pPr>
        <w:spacing w:before="120" w:after="120"/>
        <w:ind w:left="1134"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XXXIII. Secretaría</w:t>
      </w:r>
      <w:r w:rsidRPr="00990E90">
        <w:rPr>
          <w:rFonts w:ascii="Palatino Linotype" w:eastAsia="Palatino Linotype" w:hAnsi="Palatino Linotype" w:cs="Palatino Linotype"/>
          <w:i/>
          <w:sz w:val="22"/>
          <w:szCs w:val="22"/>
        </w:rPr>
        <w:t>. A la Secretaría de Finanzas;”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En este tenor, se colige que las dependencias, entre las que se encuentra la Secretaría de Desarrollo Social, de conformidad con el artículo 19, fracción VII de la Ley Orgánica de la Administración Pública Municipal, se encuentran ob</w:t>
      </w:r>
      <w:r w:rsidRPr="00990E90">
        <w:rPr>
          <w:rFonts w:ascii="Palatino Linotype" w:eastAsia="Palatino Linotype" w:hAnsi="Palatino Linotype" w:cs="Palatino Linotype"/>
          <w:sz w:val="28"/>
          <w:szCs w:val="28"/>
        </w:rPr>
        <w:t xml:space="preserve">ligadas a </w:t>
      </w:r>
      <w:r w:rsidRPr="00990E90">
        <w:rPr>
          <w:rFonts w:ascii="Palatino Linotype" w:eastAsia="Palatino Linotype" w:hAnsi="Palatino Linotype" w:cs="Palatino Linotype"/>
        </w:rPr>
        <w:t>proporcionar a la Secretaría de Finanzas la información contable que comprenderá la patrimonial y presupuestal, para la integración de los estados financieros, siendo esta última la que envía el informe trimestral al Órgano Superior de Fiscalización del Estado de México, como la Entidad Estatal de Fiscalización, a cargo de la Legislatura, con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el artículo 61, fracciones XXXII, XXXIII, XXXIV, XXXV de la Constitución Política del Estado Libre y Soberano de México.</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Por otro lado, de conformidad con el artículo 2, fracción V de la Ley de Fiscalización Superior del Estado de México, entre las entidades fiscalizables se encuentran los poderes públicos, como lo es el Poder Ejecutivo integrado por sus dependencias -entre las que se encuentra la Secretaría de Desarrollo Social-, unidades y organismos auxiliares.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En el mismo tenor, el artículo 4, fracción I de la Ley de Fiscalización Superior del Estado de México, establece que son sujetos de fiscalización, los poderes públicos del Estado, entre los que se encuentra el Poder Ejecutivo.</w:t>
      </w:r>
    </w:p>
    <w:p w:rsidR="009979DD" w:rsidRPr="00990E90" w:rsidRDefault="007477F3">
      <w:pPr>
        <w:spacing w:before="240" w:after="240" w:line="360" w:lineRule="auto"/>
        <w:ind w:right="51"/>
        <w:jc w:val="both"/>
        <w:rPr>
          <w:rFonts w:ascii="Palatino Linotype" w:eastAsia="Palatino Linotype" w:hAnsi="Palatino Linotype" w:cs="Palatino Linotype"/>
          <w:i/>
        </w:rPr>
      </w:pPr>
      <w:r w:rsidRPr="00990E90">
        <w:rPr>
          <w:rFonts w:ascii="Palatino Linotype" w:eastAsia="Palatino Linotype" w:hAnsi="Palatino Linotype" w:cs="Palatino Linotype"/>
        </w:rPr>
        <w:t xml:space="preserve">Por lo que hace al informe trimestral, el artículo 2, fracción XI de la Ley de Fiscalización Superior del Estado de México, lo define como el </w:t>
      </w:r>
      <w:r w:rsidRPr="00990E90">
        <w:rPr>
          <w:rFonts w:ascii="Palatino Linotype" w:eastAsia="Palatino Linotype" w:hAnsi="Palatino Linotype" w:cs="Palatino Linotype"/>
          <w:i/>
        </w:rPr>
        <w:t xml:space="preserve">documento físico o electrónico que trimestralmente </w:t>
      </w:r>
      <w:r w:rsidRPr="00990E90">
        <w:rPr>
          <w:rFonts w:ascii="Palatino Linotype" w:eastAsia="Palatino Linotype" w:hAnsi="Palatino Linotype" w:cs="Palatino Linotype"/>
          <w:b/>
          <w:i/>
          <w:u w:val="single"/>
        </w:rPr>
        <w:t>presentan las entidades fiscalizables</w:t>
      </w:r>
      <w:r w:rsidRPr="00990E90">
        <w:rPr>
          <w:rFonts w:ascii="Palatino Linotype" w:eastAsia="Palatino Linotype" w:hAnsi="Palatino Linotype" w:cs="Palatino Linotype"/>
          <w:i/>
          <w:u w:val="single"/>
        </w:rPr>
        <w:t xml:space="preserve">, </w:t>
      </w:r>
      <w:r w:rsidRPr="00990E90">
        <w:rPr>
          <w:rFonts w:ascii="Palatino Linotype" w:eastAsia="Palatino Linotype" w:hAnsi="Palatino Linotype" w:cs="Palatino Linotype"/>
          <w:b/>
          <w:i/>
          <w:u w:val="single"/>
        </w:rPr>
        <w:t>a través de</w:t>
      </w:r>
      <w:r w:rsidRPr="00990E90">
        <w:rPr>
          <w:rFonts w:ascii="Palatino Linotype" w:eastAsia="Palatino Linotype" w:hAnsi="Palatino Linotype" w:cs="Palatino Linotype"/>
          <w:i/>
        </w:rPr>
        <w:t xml:space="preserve"> las tesorerías municipales y de </w:t>
      </w:r>
      <w:r w:rsidRPr="00990E90">
        <w:rPr>
          <w:rFonts w:ascii="Palatino Linotype" w:eastAsia="Palatino Linotype" w:hAnsi="Palatino Linotype" w:cs="Palatino Linotype"/>
          <w:b/>
          <w:i/>
          <w:u w:val="single"/>
        </w:rPr>
        <w:t>la Secretaría de Finanzas</w:t>
      </w:r>
      <w:r w:rsidRPr="00990E90">
        <w:rPr>
          <w:rFonts w:ascii="Palatino Linotype" w:eastAsia="Palatino Linotype" w:hAnsi="Palatino Linotype" w:cs="Palatino Linotype"/>
          <w:i/>
        </w:rPr>
        <w:t xml:space="preserve"> o equivalentes, sobre la situación económica, las finanzas públicas y, en su caso, respecto a la deuda pública, para su análisis por el Órgano Superior.</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Así las cosas, si bien, por cuanto hace al Poder Ejecutivo, es obligación de la Secretaría de Finanzas presentar ante el Órgano Superior de Fiscalización del Estado de México los informes trimestrales, materia de la solicitud que dio origen al recurso de revisión que nos ocupa, no debe perderse de vista qué para tal efecto, las dependencias que integran la administración pública del Estado, entre las que se encuentra al Secretaría de Desarrollo Social, deben proporcionar a dicha Secretaría la información patrimonial y presupuestal que les corresponda.</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En tal contexto, si bien es correcto el pronunciamiento de la Unidad de Transparencia del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 xml:space="preserve">respecto al hecho de que este no tiene atribuciones ni funciones que establezcan la obligación de remitir informe trimestral al OSFEM, también lo es que se encuentra obligado a generar información a efecto de que dichos informes sean remitidos a dicho Órgano, a través de la Secretaría de Finanzas, siendo dichos documentos los que son del interés de la persona solicitante, por lo que para tener por satisfecho el derecho de acceso a la </w:t>
      </w:r>
      <w:r w:rsidRPr="00990E90">
        <w:rPr>
          <w:rFonts w:ascii="Palatino Linotype" w:eastAsia="Palatino Linotype" w:hAnsi="Palatino Linotype" w:cs="Palatino Linotype"/>
        </w:rPr>
        <w:lastRenderedPageBreak/>
        <w:t>información, se estima dable ordenar la entrega de los mismos, en versión pública de ser necesario conforme al considerando siguiente.</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Asimismo, con la finalidad de sustentar dicha determinación, es oportuno mencionar que, de conformidad con el Manual General de Organización de la Secretaría de Desarrollo Social, en su estructura orgánica se encuentra la Coordinación de Administración, Finanzas y de Gestión Documental, cuyo objetivo consiste en planear, gestionar, organizar y controlar el suministro, administración y aplicación de los recursos humanos, materiales, financieros, técnicos y servicios generales necesarios para el funcionamiento de las unidades administrativas de la Secretaría, integrándose para el cumplimiento del mismo de la siguiente forma:</w:t>
      </w:r>
    </w:p>
    <w:p w:rsidR="009979DD" w:rsidRPr="00990E90" w:rsidRDefault="007477F3">
      <w:pPr>
        <w:spacing w:before="240" w:after="240" w:line="360" w:lineRule="auto"/>
        <w:ind w:right="51"/>
        <w:jc w:val="center"/>
        <w:rPr>
          <w:rFonts w:ascii="Palatino Linotype" w:eastAsia="Palatino Linotype" w:hAnsi="Palatino Linotype" w:cs="Palatino Linotype"/>
        </w:rPr>
      </w:pPr>
      <w:r w:rsidRPr="00990E90">
        <w:rPr>
          <w:rFonts w:ascii="Palatino Linotype" w:eastAsia="Palatino Linotype" w:hAnsi="Palatino Linotype" w:cs="Palatino Linotype"/>
          <w:noProof/>
        </w:rPr>
        <w:drawing>
          <wp:inline distT="0" distB="0" distL="0" distR="0" wp14:anchorId="3AC399EA" wp14:editId="7CF46ADD">
            <wp:extent cx="5607050" cy="2853055"/>
            <wp:effectExtent l="0" t="0" r="0" b="0"/>
            <wp:docPr id="18550644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07050" cy="2853055"/>
                    </a:xfrm>
                    <a:prstGeom prst="rect">
                      <a:avLst/>
                    </a:prstGeom>
                    <a:ln/>
                  </pic:spPr>
                </pic:pic>
              </a:graphicData>
            </a:graphic>
          </wp:inline>
        </w:drawing>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 Al respecto, la Dirección de Recursos Financieros, cuyo objetivo, de conformidad con el Manual General de Organización consisten en coordinar las acciones inherentes para la programación, control, registro y seguimiento de los recursos </w:t>
      </w:r>
      <w:r w:rsidRPr="00990E90">
        <w:rPr>
          <w:rFonts w:ascii="Palatino Linotype" w:eastAsia="Palatino Linotype" w:hAnsi="Palatino Linotype" w:cs="Palatino Linotype"/>
        </w:rPr>
        <w:lastRenderedPageBreak/>
        <w:t>financieros, estatales, federales y en su caso de instituciones privadas, autorizados a la Secretaría de Desarrollo Social, tiene a su cargo, en su parte conducente, las siguientes funciones:</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 Dar seguimiento a la entrega de la información contable y financiera a la Secretaría de Finanzas, de los organismos auxiliares sectorizados a la dependencia. </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Vigilar la elaboración de los informes mensuales sobre el avance contable y presupuestal, para su envío a la Contaduría General Gubernamental y a la Dirección General de Planeación y Gasto Público, según corresponda de la Secretaría de Finanzas.</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Coordinar la integración de la información financiera, contable y presupuestal de la Secretaría de Desarrollo Social presentada en la Cuenta Pública del Gobierno, Organismos Auxiliares y Autónomos del Estado de México.</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Asimismo, la Dirección de Recursos Financieros se auxilia de la Subdirección de Inversión y la Subdirección de Gasto Corriente, que en su parte conducente tienen a su cargo las siguientes funciones:</w:t>
      </w:r>
    </w:p>
    <w:p w:rsidR="009979DD" w:rsidRPr="00990E90" w:rsidRDefault="007477F3">
      <w:pPr>
        <w:spacing w:before="240" w:after="240" w:line="360" w:lineRule="auto"/>
        <w:ind w:right="51"/>
        <w:jc w:val="both"/>
        <w:rPr>
          <w:rFonts w:ascii="Palatino Linotype" w:eastAsia="Palatino Linotype" w:hAnsi="Palatino Linotype" w:cs="Palatino Linotype"/>
          <w:b/>
        </w:rPr>
      </w:pPr>
      <w:r w:rsidRPr="00990E90">
        <w:rPr>
          <w:rFonts w:ascii="Palatino Linotype" w:eastAsia="Palatino Linotype" w:hAnsi="Palatino Linotype" w:cs="Palatino Linotype"/>
          <w:b/>
        </w:rPr>
        <w:t>Subdirección de Inversión</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Aplicar las disposiciones administrativas que establezca la Secretaría de Finanzas para el registro, control y ejercicio del gasto público.</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 Verificar la información mensual para integrar el informe de la aplicación de los recursos y evolución de los programas sociales de la Secretaría de Desarrollo Social y de los organismos auxiliares, para informar al Poder Legislativo.</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 </w:t>
      </w:r>
      <w:r w:rsidRPr="00990E90">
        <w:rPr>
          <w:rFonts w:ascii="Palatino Linotype" w:eastAsia="Palatino Linotype" w:hAnsi="Palatino Linotype" w:cs="Palatino Linotype"/>
          <w:b/>
        </w:rPr>
        <w:t>Subdirección de Gasto Corriente</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Solicitar, recabar, procesar y verificar la información de manera mensual para integrar el informe de la aplicación de los recursos y evolución de los programas sociales de la Secretaría y de los organismos auxiliares, para informar al Poder Legislativo.</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Vigilar la elaboración y entrega de los informes mensuales sobre el avance contable y presupuestal, para su envío a la Contaduría General Gubernamental de los recursos autorizados a la Secretaría.</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Por otro lado, la Unidad de Información, Planeación, Programación y Evaluación, cuyo objetivo consiste en recopilar, procesar, sistematizar, emitir y proporcionar información generada en los procesos de planeación, programación, evaluación, acceso a la información pública y protección de los datos personales en posesión de la Secretaría, tiene conferidas las siguientes atribuciones:</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Reportar trimestralmente a la Dirección General de Evaluación del Desempeño Institucional de la Secretaría de Finanzas, el informe del avance de las metas físicas por proyecto y unidad ejecutora, contenidos en el Sistema de Planeación y Presupuesto.</w:t>
      </w:r>
    </w:p>
    <w:p w:rsidR="009979DD" w:rsidRPr="00990E90" w:rsidRDefault="007477F3">
      <w:pPr>
        <w:spacing w:before="240" w:after="240" w:line="360" w:lineRule="auto"/>
        <w:ind w:left="284"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 Reportar a la Dirección General de Evaluación del Desempeño Institucional de la Secretaría de Finanzas, el avance trimestral de los indicadores estratégicos y </w:t>
      </w:r>
      <w:r w:rsidRPr="00990E90">
        <w:rPr>
          <w:rFonts w:ascii="Palatino Linotype" w:eastAsia="Palatino Linotype" w:hAnsi="Palatino Linotype" w:cs="Palatino Linotype"/>
        </w:rPr>
        <w:lastRenderedPageBreak/>
        <w:t>de gestión de las unidades administrativas de la Secretaría y de sus organismos auxiliares, contenidos en el Sistema Integral de Evaluación del Desempeño</w:t>
      </w:r>
      <w:r w:rsidRPr="00990E90">
        <w:t>.</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Con base en lo anterior, se advierte que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cuenta con diversas áreas que pudieran contar con la información que es tema hoy de estudio, tales como la Dirección de Recursos Financieros y la Unidad de Información, Planeación, Programación y Evaluación, no obstante, es de señalar que la Unidad de Transparencia, atendiendo a la literalidad de la solicitud de información no observó lo previsto en los artículos 53 fracción II</w:t>
      </w:r>
      <w:r w:rsidRPr="00990E90">
        <w:rPr>
          <w:rFonts w:ascii="Palatino Linotype" w:eastAsia="Palatino Linotype" w:hAnsi="Palatino Linotype" w:cs="Palatino Linotype"/>
          <w:vertAlign w:val="superscript"/>
        </w:rPr>
        <w:footnoteReference w:id="2"/>
      </w:r>
      <w:r w:rsidRPr="00990E90">
        <w:rPr>
          <w:rFonts w:ascii="Palatino Linotype" w:eastAsia="Palatino Linotype" w:hAnsi="Palatino Linotype" w:cs="Palatino Linotype"/>
        </w:rPr>
        <w:t xml:space="preserve"> y 162</w:t>
      </w:r>
      <w:r w:rsidRPr="00990E90">
        <w:rPr>
          <w:rFonts w:ascii="Palatino Linotype" w:eastAsia="Palatino Linotype" w:hAnsi="Palatino Linotype" w:cs="Palatino Linotype"/>
          <w:vertAlign w:val="superscript"/>
        </w:rPr>
        <w:footnoteReference w:id="3"/>
      </w:r>
      <w:r w:rsidRPr="00990E90">
        <w:rPr>
          <w:rFonts w:ascii="Palatino Linotype" w:eastAsia="Palatino Linotype" w:hAnsi="Palatino Linotype" w:cs="Palatino Linotype"/>
        </w:rPr>
        <w:t xml:space="preserve"> de la Ley de Transparencia y Acceso a la Información Pública del Estado de México y Municipios, al no haber registro en el expediente en el que se actúa de que hubiera turnado la solicitud a las áreas que pudieran tener competencia para generar, administrar o poseer la información de mérito.</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Derivado de lo expuesto, se insiste, que para tener por atendido el Derecho de acceso a la información de la persona solicitante, el</w:t>
      </w:r>
      <w:r w:rsidRPr="00990E90">
        <w:rPr>
          <w:rFonts w:ascii="Palatino Linotype" w:eastAsia="Palatino Linotype" w:hAnsi="Palatino Linotype" w:cs="Palatino Linotype"/>
          <w:b/>
        </w:rPr>
        <w:t xml:space="preserve"> Sujeto Obligado </w:t>
      </w:r>
      <w:r w:rsidRPr="00990E90">
        <w:rPr>
          <w:rFonts w:ascii="Palatino Linotype" w:eastAsia="Palatino Linotype" w:hAnsi="Palatino Linotype" w:cs="Palatino Linotype"/>
        </w:rPr>
        <w:t>deberá, previa búsqueda exhaustiva y razonable, hacer entrega del soporte documental generado con motivo del primer informe trimestral del ejercicio dos mil veintidós, remitido al Órgano Superior de Fiscalización del Estado de México, OSFEM, por conducto de la Secretaría de Finanzas, de ser necesario, en versión Pública.</w:t>
      </w:r>
    </w:p>
    <w:p w:rsidR="009979DD" w:rsidRPr="00990E90" w:rsidRDefault="007477F3">
      <w:pPr>
        <w:spacing w:before="240" w:after="240" w:line="360" w:lineRule="auto"/>
        <w:ind w:right="51"/>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De lo hasta aquí expuesto, se concluye que los motivos de inconformidad de la parte </w:t>
      </w:r>
      <w:r w:rsidRPr="00990E90">
        <w:rPr>
          <w:rFonts w:ascii="Palatino Linotype" w:eastAsia="Palatino Linotype" w:hAnsi="Palatino Linotype" w:cs="Palatino Linotype"/>
          <w:b/>
        </w:rPr>
        <w:t xml:space="preserve">Recurrente </w:t>
      </w:r>
      <w:r w:rsidRPr="00990E90">
        <w:rPr>
          <w:rFonts w:ascii="Palatino Linotype" w:eastAsia="Palatino Linotype" w:hAnsi="Palatino Linotype" w:cs="Palatino Linotype"/>
        </w:rPr>
        <w:t xml:space="preserve">devienen parcialmente fundados, siendo procedente </w:t>
      </w:r>
      <w:r w:rsidRPr="00990E90">
        <w:rPr>
          <w:rFonts w:ascii="Palatino Linotype" w:eastAsia="Palatino Linotype" w:hAnsi="Palatino Linotype" w:cs="Palatino Linotype"/>
          <w:i/>
        </w:rPr>
        <w:t xml:space="preserve">Revocar </w:t>
      </w:r>
      <w:r w:rsidRPr="00990E90">
        <w:rPr>
          <w:rFonts w:ascii="Palatino Linotype" w:eastAsia="Palatino Linotype" w:hAnsi="Palatino Linotype" w:cs="Palatino Linotype"/>
        </w:rPr>
        <w:t xml:space="preserve">la </w:t>
      </w:r>
      <w:r w:rsidRPr="00990E90">
        <w:rPr>
          <w:rFonts w:ascii="Palatino Linotype" w:eastAsia="Palatino Linotype" w:hAnsi="Palatino Linotype" w:cs="Palatino Linotype"/>
        </w:rPr>
        <w:lastRenderedPageBreak/>
        <w:t xml:space="preserve">respuesta proporcionada por el </w:t>
      </w:r>
      <w:r w:rsidRPr="00990E90">
        <w:rPr>
          <w:rFonts w:ascii="Palatino Linotype" w:eastAsia="Palatino Linotype" w:hAnsi="Palatino Linotype" w:cs="Palatino Linotype"/>
          <w:b/>
        </w:rPr>
        <w:t xml:space="preserve">Sujeto Obligado </w:t>
      </w:r>
      <w:r w:rsidRPr="00990E90">
        <w:rPr>
          <w:rFonts w:ascii="Palatino Linotype" w:eastAsia="Palatino Linotype" w:hAnsi="Palatino Linotype" w:cs="Palatino Linotype"/>
        </w:rPr>
        <w:t>en términos del artículo 186 fracción III de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Quinto. Versión Pública.</w:t>
      </w:r>
      <w:r w:rsidRPr="00990E90">
        <w:rPr>
          <w:rFonts w:ascii="Palatino Linotype" w:eastAsia="Palatino Linotype" w:hAnsi="Palatino Linotype" w:cs="Palatino Linotype"/>
          <w:sz w:val="28"/>
          <w:szCs w:val="28"/>
        </w:rPr>
        <w:t xml:space="preserve"> </w:t>
      </w:r>
      <w:r w:rsidRPr="00990E90">
        <w:rPr>
          <w:rFonts w:ascii="Palatino Linotype" w:eastAsia="Palatino Linotype" w:hAnsi="Palatino Linotype" w:cs="Palatino Linotype"/>
        </w:rPr>
        <w:t>Finalmente, debe señalarse que de ser el caso en que los documentos que vayan a ser entregados por el</w:t>
      </w:r>
      <w:r w:rsidRPr="00990E90">
        <w:rPr>
          <w:rFonts w:ascii="Palatino Linotype" w:eastAsia="Palatino Linotype" w:hAnsi="Palatino Linotype" w:cs="Palatino Linotype"/>
          <w:b/>
        </w:rPr>
        <w:t xml:space="preserve"> </w:t>
      </w:r>
      <w:r w:rsidRPr="00990E90">
        <w:rPr>
          <w:rFonts w:ascii="Palatino Linotype" w:eastAsia="Palatino Linotype" w:hAnsi="Palatino Linotype" w:cs="Palatino Linotype"/>
        </w:rPr>
        <w:t xml:space="preserve">sujeto obligado, para dar cumplimiento a la presente resolución, contengan datos que deban ser clasificados, 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990E90">
        <w:rPr>
          <w:rFonts w:ascii="Palatino Linotype" w:eastAsia="Palatino Linotype" w:hAnsi="Palatino Linotype" w:cs="Palatino Linotype"/>
        </w:rPr>
        <w:t>fracción</w:t>
      </w:r>
      <w:proofErr w:type="gramEnd"/>
      <w:r w:rsidRPr="00990E90">
        <w:rPr>
          <w:rFonts w:ascii="Palatino Linotype" w:eastAsia="Palatino Linotype" w:hAnsi="Palatino Linotype" w:cs="Palatino Linotype"/>
        </w:rPr>
        <w:t xml:space="preserve"> I de la Ley de Transparencia y Acceso a la Información Pública del Estado de México y Municipios que establecen:</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Artículo 3</w:t>
      </w:r>
      <w:r w:rsidRPr="00990E90">
        <w:rPr>
          <w:rFonts w:ascii="Palatino Linotype" w:eastAsia="Palatino Linotype" w:hAnsi="Palatino Linotype" w:cs="Palatino Linotype"/>
          <w:i/>
          <w:sz w:val="22"/>
          <w:szCs w:val="22"/>
        </w:rPr>
        <w:t>. Para los efectos de la presente Ley se entenderá por:</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IX. Datos personales</w:t>
      </w:r>
      <w:r w:rsidRPr="00990E9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XX. Información clasificada</w:t>
      </w:r>
      <w:r w:rsidRPr="00990E90">
        <w:rPr>
          <w:rFonts w:ascii="Palatino Linotype" w:eastAsia="Palatino Linotype" w:hAnsi="Palatino Linotype" w:cs="Palatino Linotype"/>
          <w:i/>
          <w:sz w:val="22"/>
          <w:szCs w:val="22"/>
        </w:rPr>
        <w:t>: Aquella considerada por la presente Ley como reservada o confidencial;</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 xml:space="preserve">XXI. Información confidencial: </w:t>
      </w:r>
      <w:r w:rsidRPr="00990E90">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lastRenderedPageBreak/>
        <w:t>XLV. Versión pública:</w:t>
      </w:r>
      <w:r w:rsidRPr="00990E9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Artículo 91.</w:t>
      </w:r>
      <w:r w:rsidRPr="00990E9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Artículo 132.</w:t>
      </w:r>
      <w:r w:rsidRPr="00990E90">
        <w:rPr>
          <w:rFonts w:ascii="Palatino Linotype" w:eastAsia="Palatino Linotype" w:hAnsi="Palatino Linotype" w:cs="Palatino Linotype"/>
          <w:i/>
          <w:sz w:val="22"/>
          <w:szCs w:val="22"/>
        </w:rPr>
        <w:t xml:space="preserve"> La clasificación de la información se llevará a cabo en el momento en que:</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w:t>
      </w:r>
      <w:r w:rsidRPr="00990E90">
        <w:rPr>
          <w:rFonts w:ascii="Palatino Linotype" w:eastAsia="Palatino Linotype" w:hAnsi="Palatino Linotype" w:cs="Palatino Linotype"/>
          <w:i/>
          <w:sz w:val="22"/>
          <w:szCs w:val="22"/>
        </w:rPr>
        <w:t>. Se reciba una solicitud de acceso a la información;</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w:t>
      </w:r>
      <w:r w:rsidRPr="00990E90">
        <w:rPr>
          <w:rFonts w:ascii="Palatino Linotype" w:eastAsia="Palatino Linotype" w:hAnsi="Palatino Linotype" w:cs="Palatino Linotype"/>
          <w:i/>
          <w:sz w:val="22"/>
          <w:szCs w:val="22"/>
        </w:rPr>
        <w:t xml:space="preserve"> Se determine mediante resolución de autoridad competente; o</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III.</w:t>
      </w:r>
      <w:r w:rsidRPr="00990E9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Artículo 143</w:t>
      </w:r>
      <w:r w:rsidRPr="00990E9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w:t>
      </w:r>
      <w:r w:rsidRPr="00990E90">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990E90">
        <w:rPr>
          <w:rFonts w:ascii="Palatino Linotype" w:eastAsia="Palatino Linotype" w:hAnsi="Palatino Linotype" w:cs="Palatino Linotype"/>
          <w:i/>
          <w:sz w:val="22"/>
          <w:szCs w:val="22"/>
        </w:rPr>
        <w:t>jurídico</w:t>
      </w:r>
      <w:proofErr w:type="gramEnd"/>
      <w:r w:rsidRPr="00990E90">
        <w:rPr>
          <w:rFonts w:ascii="Palatino Linotype" w:eastAsia="Palatino Linotype" w:hAnsi="Palatino Linotype" w:cs="Palatino Linotype"/>
          <w:i/>
          <w:sz w:val="22"/>
          <w:szCs w:val="22"/>
        </w:rPr>
        <w:t xml:space="preserve"> colectiva identificada o identificable;</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w:t>
      </w:r>
      <w:r w:rsidRPr="00990E9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III.</w:t>
      </w:r>
      <w:r w:rsidRPr="00990E90">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w:t>
      </w:r>
      <w:r w:rsidRPr="00990E90">
        <w:rPr>
          <w:rFonts w:ascii="Palatino Linotype" w:eastAsia="Palatino Linotype" w:hAnsi="Palatino Linotype" w:cs="Palatino Linotype"/>
        </w:rPr>
        <w:lastRenderedPageBreak/>
        <w:t>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rsidR="009979DD" w:rsidRPr="00990E90" w:rsidRDefault="007477F3">
      <w:pPr>
        <w:spacing w:before="120" w:after="12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“Quincuagésimo segundo</w:t>
      </w:r>
      <w:r w:rsidRPr="00990E9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90E90">
        <w:rPr>
          <w:rFonts w:ascii="Palatino Linotype" w:eastAsia="Palatino Linotype" w:hAnsi="Palatino Linotype" w:cs="Palatino Linotype"/>
          <w:i/>
          <w:sz w:val="22"/>
          <w:szCs w:val="22"/>
        </w:rPr>
        <w:t>sobreposición</w:t>
      </w:r>
      <w:proofErr w:type="spellEnd"/>
      <w:r w:rsidRPr="00990E90">
        <w:rPr>
          <w:rFonts w:ascii="Palatino Linotype" w:eastAsia="Palatino Linotype" w:hAnsi="Palatino Linotype" w:cs="Palatino Linotype"/>
          <w:i/>
          <w:sz w:val="22"/>
          <w:szCs w:val="22"/>
        </w:rPr>
        <w:t xml:space="preserve"> de contenido distinto al autorizado por el Comité.</w:t>
      </w:r>
    </w:p>
    <w:p w:rsidR="009979DD" w:rsidRPr="00990E90" w:rsidRDefault="007477F3">
      <w:pPr>
        <w:spacing w:before="120" w:after="12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 xml:space="preserve">En el caso </w:t>
      </w:r>
      <w:proofErr w:type="spellStart"/>
      <w:r w:rsidRPr="00990E90">
        <w:rPr>
          <w:rFonts w:ascii="Palatino Linotype" w:eastAsia="Palatino Linotype" w:hAnsi="Palatino Linotype" w:cs="Palatino Linotype"/>
          <w:i/>
          <w:sz w:val="22"/>
          <w:szCs w:val="22"/>
        </w:rPr>
        <w:t>especifico</w:t>
      </w:r>
      <w:proofErr w:type="spellEnd"/>
      <w:r w:rsidRPr="00990E90">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9979DD" w:rsidRPr="00990E90" w:rsidRDefault="007477F3">
      <w:pPr>
        <w:spacing w:before="120" w:after="120"/>
        <w:ind w:left="1134"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w:t>
      </w:r>
      <w:r w:rsidRPr="00990E9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9979DD" w:rsidRPr="00990E90" w:rsidRDefault="007477F3">
      <w:pPr>
        <w:spacing w:before="120" w:after="120"/>
        <w:ind w:left="1134"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w:t>
      </w:r>
      <w:r w:rsidRPr="00990E9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9979DD" w:rsidRPr="00990E90" w:rsidRDefault="007477F3">
      <w:pPr>
        <w:spacing w:before="120" w:after="120"/>
        <w:ind w:left="1134"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III.</w:t>
      </w:r>
      <w:r w:rsidRPr="00990E90">
        <w:rPr>
          <w:rFonts w:ascii="Palatino Linotype" w:eastAsia="Palatino Linotype" w:hAnsi="Palatino Linotype" w:cs="Palatino Linotype"/>
          <w:i/>
          <w:sz w:val="22"/>
          <w:szCs w:val="22"/>
        </w:rPr>
        <w:t xml:space="preserve"> Señalar las personas o instancias autorizadas a acceder a la información clasificada.</w:t>
      </w:r>
    </w:p>
    <w:p w:rsidR="009979DD" w:rsidRPr="00990E90" w:rsidRDefault="007477F3">
      <w:pPr>
        <w:spacing w:before="120" w:after="120"/>
        <w:ind w:left="851" w:right="900"/>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9979DD" w:rsidRPr="00990E90" w:rsidRDefault="007477F3">
      <w:pPr>
        <w:spacing w:before="240" w:after="240" w:line="360" w:lineRule="auto"/>
        <w:ind w:right="50"/>
        <w:jc w:val="both"/>
        <w:rPr>
          <w:rFonts w:ascii="Palatino Linotype" w:eastAsia="Palatino Linotype" w:hAnsi="Palatino Linotype" w:cs="Palatino Linotype"/>
          <w:sz w:val="22"/>
          <w:szCs w:val="22"/>
        </w:rPr>
      </w:pPr>
      <w:r w:rsidRPr="00990E90">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990E90">
        <w:rPr>
          <w:rFonts w:ascii="Palatino Linotype" w:eastAsia="Palatino Linotype" w:hAnsi="Palatino Linotype" w:cs="Palatino Linotype"/>
        </w:rPr>
        <w:lastRenderedPageBreak/>
        <w:t>supraindicados</w:t>
      </w:r>
      <w:proofErr w:type="spellEnd"/>
      <w:r w:rsidRPr="00990E90">
        <w:rPr>
          <w:rFonts w:ascii="Palatino Linotype" w:eastAsia="Palatino Linotype" w:hAnsi="Palatino Linotype" w:cs="Palatino Linotype"/>
        </w:rPr>
        <w:t xml:space="preserve">, que establece los formatos para la clasificación de los documentos, conforme a lo siguiente: </w:t>
      </w:r>
    </w:p>
    <w:p w:rsidR="009979DD" w:rsidRPr="00990E90" w:rsidRDefault="007477F3">
      <w:pPr>
        <w:ind w:left="851" w:right="900"/>
        <w:jc w:val="center"/>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CAPÍTULO VIII</w:t>
      </w:r>
    </w:p>
    <w:p w:rsidR="009979DD" w:rsidRPr="00990E90" w:rsidRDefault="007477F3">
      <w:pPr>
        <w:ind w:left="851" w:right="900"/>
        <w:jc w:val="center"/>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sz w:val="22"/>
          <w:szCs w:val="22"/>
        </w:rPr>
        <w:t xml:space="preserve">DE LOS ELEMENTOS PARA LA CLASIFICACIÓN </w:t>
      </w:r>
    </w:p>
    <w:p w:rsidR="009979DD" w:rsidRPr="00990E90" w:rsidRDefault="007477F3">
      <w:pPr>
        <w:ind w:left="851" w:right="900"/>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 xml:space="preserve">Quincuagésimo tercero. </w:t>
      </w:r>
      <w:r w:rsidRPr="00990E90">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990E90">
        <w:rPr>
          <w:rFonts w:ascii="Palatino Linotype" w:eastAsia="Palatino Linotype" w:hAnsi="Palatino Linotype" w:cs="Palatino Linotype"/>
          <w:b/>
          <w:i/>
          <w:sz w:val="22"/>
          <w:szCs w:val="22"/>
        </w:rPr>
        <w:t xml:space="preserve">, </w:t>
      </w:r>
      <w:r w:rsidRPr="00990E90">
        <w:rPr>
          <w:rFonts w:ascii="Palatino Linotype" w:eastAsia="Palatino Linotype" w:hAnsi="Palatino Linotype" w:cs="Palatino Linotype"/>
          <w:i/>
          <w:sz w:val="22"/>
          <w:szCs w:val="22"/>
        </w:rPr>
        <w:t xml:space="preserve">es el siguiente: </w:t>
      </w:r>
    </w:p>
    <w:p w:rsidR="009979DD" w:rsidRPr="00990E90" w:rsidRDefault="007477F3">
      <w:pPr>
        <w:spacing w:before="120" w:after="120"/>
        <w:ind w:left="851"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noProof/>
          <w:sz w:val="22"/>
          <w:szCs w:val="22"/>
        </w:rPr>
        <w:drawing>
          <wp:inline distT="0" distB="0" distL="0" distR="0" wp14:anchorId="47B49DB7" wp14:editId="77135204">
            <wp:extent cx="4295775" cy="295275"/>
            <wp:effectExtent l="0" t="0" r="0" b="0"/>
            <wp:docPr id="18550644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95731"/>
                    <a:stretch>
                      <a:fillRect/>
                    </a:stretch>
                  </pic:blipFill>
                  <pic:spPr>
                    <a:xfrm>
                      <a:off x="0" y="0"/>
                      <a:ext cx="4295775" cy="295275"/>
                    </a:xfrm>
                    <a:prstGeom prst="rect">
                      <a:avLst/>
                    </a:prstGeom>
                    <a:ln/>
                  </pic:spPr>
                </pic:pic>
              </a:graphicData>
            </a:graphic>
          </wp:inline>
        </w:drawing>
      </w:r>
    </w:p>
    <w:p w:rsidR="009979DD" w:rsidRPr="00990E90" w:rsidRDefault="007477F3">
      <w:pPr>
        <w:spacing w:before="120" w:after="120"/>
        <w:ind w:left="851"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noProof/>
          <w:sz w:val="22"/>
          <w:szCs w:val="22"/>
        </w:rPr>
        <w:drawing>
          <wp:inline distT="0" distB="0" distL="0" distR="0" wp14:anchorId="3B3E49CE" wp14:editId="5FA24278">
            <wp:extent cx="4333875" cy="1885950"/>
            <wp:effectExtent l="0" t="0" r="0" b="0"/>
            <wp:docPr id="18550644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30908" b="41784"/>
                    <a:stretch>
                      <a:fillRect/>
                    </a:stretch>
                  </pic:blipFill>
                  <pic:spPr>
                    <a:xfrm>
                      <a:off x="0" y="0"/>
                      <a:ext cx="4333875" cy="1885950"/>
                    </a:xfrm>
                    <a:prstGeom prst="rect">
                      <a:avLst/>
                    </a:prstGeom>
                    <a:ln/>
                  </pic:spPr>
                </pic:pic>
              </a:graphicData>
            </a:graphic>
          </wp:inline>
        </w:drawing>
      </w:r>
    </w:p>
    <w:p w:rsidR="009979DD" w:rsidRPr="00990E90" w:rsidRDefault="007477F3">
      <w:pPr>
        <w:spacing w:before="120" w:after="120"/>
        <w:ind w:left="851" w:right="902"/>
        <w:jc w:val="both"/>
        <w:rPr>
          <w:rFonts w:ascii="Palatino Linotype" w:eastAsia="Palatino Linotype" w:hAnsi="Palatino Linotype" w:cs="Palatino Linotype"/>
          <w:b/>
          <w:i/>
          <w:sz w:val="22"/>
          <w:szCs w:val="22"/>
        </w:rPr>
      </w:pPr>
      <w:r w:rsidRPr="00990E90">
        <w:rPr>
          <w:rFonts w:ascii="Palatino Linotype" w:eastAsia="Palatino Linotype" w:hAnsi="Palatino Linotype" w:cs="Palatino Linotype"/>
          <w:b/>
          <w:i/>
          <w:noProof/>
          <w:sz w:val="22"/>
          <w:szCs w:val="22"/>
        </w:rPr>
        <w:drawing>
          <wp:inline distT="0" distB="0" distL="0" distR="0" wp14:anchorId="6EDCDF3D" wp14:editId="2A6D2BB6">
            <wp:extent cx="4333875" cy="2819400"/>
            <wp:effectExtent l="0" t="0" r="0" b="0"/>
            <wp:docPr id="18550644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57800" b="1378"/>
                    <a:stretch>
                      <a:fillRect/>
                    </a:stretch>
                  </pic:blipFill>
                  <pic:spPr>
                    <a:xfrm>
                      <a:off x="0" y="0"/>
                      <a:ext cx="4333875" cy="2819400"/>
                    </a:xfrm>
                    <a:prstGeom prst="rect">
                      <a:avLst/>
                    </a:prstGeom>
                    <a:ln/>
                  </pic:spPr>
                </pic:pic>
              </a:graphicData>
            </a:graphic>
          </wp:inline>
        </w:drawing>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lastRenderedPageBreak/>
        <w:t>Los documentos que integren un expediente reservado en su totalidad no deberán marcarse en lo individual.</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Asimismo, deberá observar los Lineamientos Quincuagésimo sexto, Quincuagésimo séptimo y Quincuagésimo octavo, establecen lo siguiente:</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w:t>
      </w:r>
      <w:r w:rsidRPr="00990E90">
        <w:rPr>
          <w:rFonts w:ascii="Palatino Linotype" w:eastAsia="Palatino Linotype" w:hAnsi="Palatino Linotype" w:cs="Palatino Linotype"/>
          <w:b/>
          <w:i/>
          <w:sz w:val="22"/>
          <w:szCs w:val="22"/>
        </w:rPr>
        <w:t>Quincuagésimo sexto</w:t>
      </w:r>
      <w:r w:rsidRPr="00990E90">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Quincuagésimo séptimo</w:t>
      </w:r>
      <w:r w:rsidRPr="00990E9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w:t>
      </w:r>
      <w:r w:rsidRPr="00990E9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w:t>
      </w:r>
      <w:r w:rsidRPr="00990E9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9979DD" w:rsidRPr="00990E90" w:rsidRDefault="007477F3">
      <w:pPr>
        <w:spacing w:before="120" w:after="120"/>
        <w:ind w:left="1134"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III</w:t>
      </w:r>
      <w:r w:rsidRPr="00990E9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9979DD" w:rsidRPr="00990E90" w:rsidRDefault="007477F3">
      <w:pPr>
        <w:spacing w:before="120" w:after="120"/>
        <w:ind w:left="851" w:right="902"/>
        <w:jc w:val="both"/>
        <w:rPr>
          <w:rFonts w:ascii="Palatino Linotype" w:eastAsia="Palatino Linotype" w:hAnsi="Palatino Linotype" w:cs="Palatino Linotype"/>
          <w:i/>
          <w:sz w:val="22"/>
          <w:szCs w:val="22"/>
        </w:rPr>
      </w:pPr>
      <w:r w:rsidRPr="00990E90">
        <w:rPr>
          <w:rFonts w:ascii="Palatino Linotype" w:eastAsia="Palatino Linotype" w:hAnsi="Palatino Linotype" w:cs="Palatino Linotype"/>
          <w:b/>
          <w:i/>
          <w:sz w:val="22"/>
          <w:szCs w:val="22"/>
        </w:rPr>
        <w:t>Quincuagésimo octavo</w:t>
      </w:r>
      <w:r w:rsidRPr="00990E9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990E90">
        <w:rPr>
          <w:rFonts w:ascii="Palatino Linotype" w:eastAsia="Palatino Linotype" w:hAnsi="Palatino Linotype" w:cs="Palatino Linotype"/>
        </w:rPr>
        <w:lastRenderedPageBreak/>
        <w:t xml:space="preserve">fundamentos y razonamientos que llevaron al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979DD" w:rsidRPr="00990E90" w:rsidRDefault="007477F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90E90">
        <w:rPr>
          <w:rFonts w:ascii="Palatino Linotype" w:eastAsia="Palatino Linotype" w:hAnsi="Palatino Linotype" w:cs="Palatino Linotype"/>
          <w:b/>
        </w:rPr>
        <w:t>III. R E S U E L V E</w:t>
      </w:r>
    </w:p>
    <w:p w:rsidR="009979DD" w:rsidRPr="00990E90" w:rsidRDefault="007477F3">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990E90">
        <w:rPr>
          <w:rFonts w:ascii="Palatino Linotype" w:eastAsia="Palatino Linotype" w:hAnsi="Palatino Linotype" w:cs="Palatino Linotype"/>
          <w:b/>
        </w:rPr>
        <w:t xml:space="preserve">Primero. </w:t>
      </w:r>
      <w:r w:rsidRPr="00990E90">
        <w:rPr>
          <w:rFonts w:ascii="Palatino Linotype" w:eastAsia="Palatino Linotype" w:hAnsi="Palatino Linotype" w:cs="Palatino Linotype"/>
        </w:rPr>
        <w:t>Resultan</w:t>
      </w:r>
      <w:r w:rsidRPr="00990E90">
        <w:rPr>
          <w:rFonts w:ascii="Palatino Linotype" w:eastAsia="Palatino Linotype" w:hAnsi="Palatino Linotype" w:cs="Palatino Linotype"/>
          <w:b/>
        </w:rPr>
        <w:t xml:space="preserve"> parcialmente fundados</w:t>
      </w:r>
      <w:r w:rsidRPr="00990E90">
        <w:rPr>
          <w:rFonts w:ascii="Palatino Linotype" w:eastAsia="Palatino Linotype" w:hAnsi="Palatino Linotype" w:cs="Palatino Linotype"/>
        </w:rPr>
        <w:t xml:space="preserve"> los motivos de inconformidad hechos valer por la parte </w:t>
      </w:r>
      <w:r w:rsidRPr="00990E90">
        <w:rPr>
          <w:rFonts w:ascii="Palatino Linotype" w:eastAsia="Palatino Linotype" w:hAnsi="Palatino Linotype" w:cs="Palatino Linotype"/>
          <w:b/>
        </w:rPr>
        <w:t xml:space="preserve">Recurrente </w:t>
      </w:r>
      <w:r w:rsidRPr="00990E90">
        <w:rPr>
          <w:rFonts w:ascii="Palatino Linotype" w:eastAsia="Palatino Linotype" w:hAnsi="Palatino Linotype" w:cs="Palatino Linotype"/>
        </w:rPr>
        <w:t xml:space="preserve">en el recurso de revisión </w:t>
      </w:r>
      <w:r w:rsidRPr="00990E90">
        <w:rPr>
          <w:rFonts w:ascii="Palatino Linotype" w:eastAsia="Palatino Linotype" w:hAnsi="Palatino Linotype" w:cs="Palatino Linotype"/>
          <w:b/>
        </w:rPr>
        <w:t xml:space="preserve">15159/INFOEM/IP/RR/2022, </w:t>
      </w:r>
      <w:r w:rsidRPr="00990E90">
        <w:rPr>
          <w:rFonts w:ascii="Palatino Linotype" w:eastAsia="Palatino Linotype" w:hAnsi="Palatino Linotype" w:cs="Palatino Linotype"/>
        </w:rPr>
        <w:t xml:space="preserve">por lo que, en términos del Considerando </w:t>
      </w:r>
      <w:r w:rsidRPr="00990E90">
        <w:rPr>
          <w:rFonts w:ascii="Palatino Linotype" w:eastAsia="Palatino Linotype" w:hAnsi="Palatino Linotype" w:cs="Palatino Linotype"/>
          <w:b/>
        </w:rPr>
        <w:t>Cuarto</w:t>
      </w:r>
      <w:r w:rsidRPr="00990E90">
        <w:rPr>
          <w:rFonts w:ascii="Palatino Linotype" w:eastAsia="Palatino Linotype" w:hAnsi="Palatino Linotype" w:cs="Palatino Linotype"/>
        </w:rPr>
        <w:t xml:space="preserve"> de la presente resolución, se</w:t>
      </w:r>
      <w:r w:rsidRPr="00990E90">
        <w:rPr>
          <w:rFonts w:ascii="Palatino Linotype" w:eastAsia="Palatino Linotype" w:hAnsi="Palatino Linotype" w:cs="Palatino Linotype"/>
          <w:b/>
        </w:rPr>
        <w:t xml:space="preserve"> Revoca </w:t>
      </w:r>
      <w:r w:rsidRPr="00990E90">
        <w:rPr>
          <w:rFonts w:ascii="Palatino Linotype" w:eastAsia="Palatino Linotype" w:hAnsi="Palatino Linotype" w:cs="Palatino Linotype"/>
        </w:rPr>
        <w:t>la respuesta</w:t>
      </w:r>
      <w:r w:rsidRPr="00990E90">
        <w:rPr>
          <w:rFonts w:ascii="Palatino Linotype" w:eastAsia="Palatino Linotype" w:hAnsi="Palatino Linotype" w:cs="Palatino Linotype"/>
          <w:b/>
        </w:rPr>
        <w:t xml:space="preserve"> </w:t>
      </w:r>
      <w:r w:rsidRPr="00990E90">
        <w:rPr>
          <w:rFonts w:ascii="Palatino Linotype" w:eastAsia="Palatino Linotype" w:hAnsi="Palatino Linotype" w:cs="Palatino Linotype"/>
        </w:rPr>
        <w:t xml:space="preserve">del </w:t>
      </w:r>
      <w:r w:rsidRPr="00990E90">
        <w:rPr>
          <w:rFonts w:ascii="Palatino Linotype" w:eastAsia="Palatino Linotype" w:hAnsi="Palatino Linotype" w:cs="Palatino Linotype"/>
          <w:b/>
        </w:rPr>
        <w:t>Sujeto Obligado.</w:t>
      </w:r>
    </w:p>
    <w:p w:rsidR="009979DD" w:rsidRPr="00990E90" w:rsidRDefault="007477F3">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990E90">
        <w:rPr>
          <w:rFonts w:ascii="Palatino Linotype" w:eastAsia="Palatino Linotype" w:hAnsi="Palatino Linotype" w:cs="Palatino Linotype"/>
          <w:b/>
        </w:rPr>
        <w:t xml:space="preserve">Segundo. </w:t>
      </w:r>
      <w:r w:rsidRPr="00990E90">
        <w:rPr>
          <w:rFonts w:ascii="Palatino Linotype" w:eastAsia="Palatino Linotype" w:hAnsi="Palatino Linotype" w:cs="Palatino Linotype"/>
        </w:rPr>
        <w:t xml:space="preserve">Se </w:t>
      </w:r>
      <w:r w:rsidRPr="00990E90">
        <w:rPr>
          <w:rFonts w:ascii="Palatino Linotype" w:eastAsia="Palatino Linotype" w:hAnsi="Palatino Linotype" w:cs="Palatino Linotype"/>
          <w:b/>
        </w:rPr>
        <w:t>Ordena</w:t>
      </w:r>
      <w:r w:rsidRPr="00990E90">
        <w:rPr>
          <w:rFonts w:ascii="Palatino Linotype" w:eastAsia="Palatino Linotype" w:hAnsi="Palatino Linotype" w:cs="Palatino Linotype"/>
        </w:rPr>
        <w:t xml:space="preserve"> al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en términos de los Considerandos </w:t>
      </w:r>
      <w:r w:rsidRPr="00990E90">
        <w:rPr>
          <w:rFonts w:ascii="Palatino Linotype" w:eastAsia="Palatino Linotype" w:hAnsi="Palatino Linotype" w:cs="Palatino Linotype"/>
          <w:b/>
        </w:rPr>
        <w:t>Cuarto</w:t>
      </w:r>
      <w:r w:rsidRPr="00990E90">
        <w:rPr>
          <w:rFonts w:ascii="Palatino Linotype" w:eastAsia="Palatino Linotype" w:hAnsi="Palatino Linotype" w:cs="Palatino Linotype"/>
        </w:rPr>
        <w:t xml:space="preserve"> y </w:t>
      </w:r>
      <w:r w:rsidRPr="00990E90">
        <w:rPr>
          <w:rFonts w:ascii="Palatino Linotype" w:eastAsia="Palatino Linotype" w:hAnsi="Palatino Linotype" w:cs="Palatino Linotype"/>
          <w:b/>
        </w:rPr>
        <w:t xml:space="preserve">Quinto </w:t>
      </w:r>
      <w:r w:rsidRPr="00990E90">
        <w:rPr>
          <w:rFonts w:ascii="Palatino Linotype" w:eastAsia="Palatino Linotype" w:hAnsi="Palatino Linotype" w:cs="Palatino Linotype"/>
        </w:rPr>
        <w:t>de esta resolución, haga entrega, vía SAIMEX, previa búsqueda exhaustiva y razonable, en versión pública de ser necesario, de lo siguiente:</w:t>
      </w:r>
    </w:p>
    <w:p w:rsidR="009979DD" w:rsidRPr="00990E90" w:rsidRDefault="007477F3">
      <w:pPr>
        <w:spacing w:before="240" w:line="360" w:lineRule="auto"/>
        <w:ind w:left="284" w:right="49"/>
        <w:jc w:val="both"/>
        <w:rPr>
          <w:rFonts w:ascii="Palatino Linotype" w:eastAsia="Palatino Linotype" w:hAnsi="Palatino Linotype" w:cs="Palatino Linotype"/>
        </w:rPr>
      </w:pPr>
      <w:r w:rsidRPr="00990E90">
        <w:rPr>
          <w:rFonts w:ascii="Palatino Linotype" w:eastAsia="Palatino Linotype" w:hAnsi="Palatino Linotype" w:cs="Palatino Linotype"/>
        </w:rPr>
        <w:lastRenderedPageBreak/>
        <w:t>1. Soporte documental generado con motivo del primer informe trimestral del ejercicio dos mil veintidós, remitido al Órgano Superior de Fiscalización del Estado de México, OSFEM, por conducto de la Secretaría de Finanzas.</w:t>
      </w:r>
    </w:p>
    <w:p w:rsidR="009979DD" w:rsidRPr="00990E90" w:rsidRDefault="007477F3">
      <w:pPr>
        <w:ind w:left="284" w:right="49"/>
        <w:jc w:val="both"/>
        <w:rPr>
          <w:rFonts w:ascii="Palatino Linotype" w:eastAsia="Palatino Linotype" w:hAnsi="Palatino Linotype" w:cs="Palatino Linotype"/>
          <w:i/>
          <w:sz w:val="20"/>
          <w:szCs w:val="20"/>
        </w:rPr>
      </w:pPr>
      <w:r w:rsidRPr="00990E90">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990E90">
        <w:rPr>
          <w:rFonts w:ascii="Palatino Linotype" w:eastAsia="Palatino Linotype" w:hAnsi="Palatino Linotype" w:cs="Palatino Linotype"/>
          <w:b/>
          <w:i/>
          <w:sz w:val="20"/>
          <w:szCs w:val="20"/>
        </w:rPr>
        <w:t>Recurrente</w:t>
      </w:r>
      <w:r w:rsidRPr="00990E90">
        <w:rPr>
          <w:rFonts w:ascii="Palatino Linotype" w:eastAsia="Palatino Linotype" w:hAnsi="Palatino Linotype" w:cs="Palatino Linotype"/>
          <w:i/>
          <w:sz w:val="20"/>
          <w:szCs w:val="20"/>
        </w:rPr>
        <w:t>, mismo que igualmente hará de su conocimiento.</w:t>
      </w:r>
    </w:p>
    <w:p w:rsidR="009979DD" w:rsidRPr="00990E90" w:rsidRDefault="007477F3">
      <w:pPr>
        <w:spacing w:before="240" w:after="240" w:line="360" w:lineRule="auto"/>
        <w:jc w:val="both"/>
        <w:rPr>
          <w:rFonts w:ascii="Palatino Linotype" w:eastAsia="Palatino Linotype" w:hAnsi="Palatino Linotype" w:cs="Palatino Linotype"/>
          <w:b/>
        </w:rPr>
      </w:pPr>
      <w:r w:rsidRPr="00990E90">
        <w:rPr>
          <w:rFonts w:ascii="Palatino Linotype" w:eastAsia="Palatino Linotype" w:hAnsi="Palatino Linotype" w:cs="Palatino Linotype"/>
          <w:b/>
        </w:rPr>
        <w:t xml:space="preserve">Tercero. Notifíquese, </w:t>
      </w:r>
      <w:r w:rsidRPr="00990E90">
        <w:rPr>
          <w:rFonts w:ascii="Palatino Linotype" w:eastAsia="Palatino Linotype" w:hAnsi="Palatino Linotype" w:cs="Palatino Linotype"/>
        </w:rPr>
        <w:t xml:space="preserve">vía </w:t>
      </w:r>
      <w:r w:rsidRPr="00990E90">
        <w:rPr>
          <w:rFonts w:ascii="Palatino Linotype" w:eastAsia="Palatino Linotype" w:hAnsi="Palatino Linotype" w:cs="Palatino Linotype"/>
          <w:b/>
        </w:rPr>
        <w:t>SAIMEX</w:t>
      </w:r>
      <w:r w:rsidRPr="00990E90">
        <w:rPr>
          <w:rFonts w:ascii="Palatino Linotype" w:eastAsia="Palatino Linotype" w:hAnsi="Palatino Linotype" w:cs="Palatino Linotype"/>
        </w:rPr>
        <w:t xml:space="preserve">, al Titular de la Unidad de Transparencia del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90E90">
        <w:rPr>
          <w:rFonts w:ascii="Palatino Linotype" w:eastAsia="Palatino Linotype" w:hAnsi="Palatino Linotype" w:cs="Palatino Linotype"/>
          <w:b/>
        </w:rPr>
        <w:t>Sujeto Obligado</w:t>
      </w:r>
      <w:r w:rsidRPr="00990E90">
        <w:rPr>
          <w:rFonts w:ascii="Palatino Linotype" w:eastAsia="Palatino Linotype" w:hAnsi="Palatino Linotype" w:cs="Palatino Linotype"/>
        </w:rPr>
        <w:t xml:space="preserve"> de manera fundada y motivada, podrá solicitar una ampliación de plazo para el cumplimiento de la presente resolución.</w:t>
      </w:r>
    </w:p>
    <w:p w:rsidR="009979DD" w:rsidRPr="00990E90" w:rsidRDefault="007477F3">
      <w:pPr>
        <w:spacing w:before="240" w:after="240"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b/>
        </w:rPr>
        <w:t xml:space="preserve">Cuarto.  Notifíquese, </w:t>
      </w:r>
      <w:r w:rsidRPr="00990E90">
        <w:rPr>
          <w:rFonts w:ascii="Palatino Linotype" w:eastAsia="Palatino Linotype" w:hAnsi="Palatino Linotype" w:cs="Palatino Linotype"/>
        </w:rPr>
        <w:t xml:space="preserve">vía </w:t>
      </w:r>
      <w:r w:rsidRPr="00990E90">
        <w:rPr>
          <w:rFonts w:ascii="Palatino Linotype" w:eastAsia="Palatino Linotype" w:hAnsi="Palatino Linotype" w:cs="Palatino Linotype"/>
          <w:b/>
        </w:rPr>
        <w:t>SAIMEX</w:t>
      </w:r>
      <w:r w:rsidRPr="00990E90">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990E90">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9979DD" w:rsidRPr="00990E90" w:rsidRDefault="007477F3">
      <w:pPr>
        <w:spacing w:line="360" w:lineRule="auto"/>
        <w:jc w:val="both"/>
        <w:rPr>
          <w:rFonts w:ascii="Palatino Linotype" w:eastAsia="Palatino Linotype" w:hAnsi="Palatino Linotype" w:cs="Palatino Linotype"/>
        </w:rPr>
      </w:pPr>
      <w:bookmarkStart w:id="10" w:name="_heading=h.lnxbz9" w:colFirst="0" w:colLast="0"/>
      <w:bookmarkEnd w:id="10"/>
      <w:r w:rsidRPr="00990E9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SEXTA SESIÓN ORDINARIA, CELEBRADA EL CUATRO DE MAYO  DE DOS MIL VEINTITRÉS, ANTE EL SECRETARIO TÉCNICO DEL PLENO ALEXIS TAPIA RAMÍREZ.</w:t>
      </w:r>
    </w:p>
    <w:p w:rsidR="007477F3" w:rsidRPr="00990E90" w:rsidRDefault="007477F3">
      <w:pPr>
        <w:spacing w:line="360" w:lineRule="auto"/>
        <w:jc w:val="both"/>
        <w:rPr>
          <w:rFonts w:ascii="Palatino Linotype" w:eastAsia="Palatino Linotype" w:hAnsi="Palatino Linotype" w:cs="Palatino Linotype"/>
        </w:rPr>
      </w:pPr>
      <w:r w:rsidRPr="00990E90">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932A508" wp14:editId="66F1FB6C">
                <wp:simplePos x="0" y="0"/>
                <wp:positionH relativeFrom="margin">
                  <wp:align>right</wp:align>
                </wp:positionH>
                <wp:positionV relativeFrom="paragraph">
                  <wp:posOffset>25400</wp:posOffset>
                </wp:positionV>
                <wp:extent cx="5514975" cy="39243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924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F792C7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pt" to="817.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" strokecolor="black [3200]" strokeweight="2pt">
                <v:shadow on="t" color="black" opacity="24903f" origin=",.5" offset="0,.55556mm"/>
                <w10:wrap anchorx="margin"/>
              </v:line>
            </w:pict>
          </mc:Fallback>
        </mc:AlternateContent>
      </w: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bookmarkStart w:id="11" w:name="_heading=h.3rdcrjn" w:colFirst="0" w:colLast="0"/>
      <w:bookmarkEnd w:id="11"/>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bookmarkStart w:id="12" w:name="_heading=h.1t3h5sf" w:colFirst="0" w:colLast="0"/>
      <w:bookmarkEnd w:id="12"/>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p w:rsidR="009979DD" w:rsidRPr="00990E90" w:rsidRDefault="009979DD">
      <w:pPr>
        <w:spacing w:line="360" w:lineRule="auto"/>
        <w:jc w:val="both"/>
        <w:rPr>
          <w:rFonts w:ascii="Palatino Linotype" w:eastAsia="Palatino Linotype" w:hAnsi="Palatino Linotype" w:cs="Palatino Linotype"/>
        </w:rPr>
      </w:pPr>
    </w:p>
    <w:sectPr w:rsidR="009979DD" w:rsidRPr="00990E9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B77" w:rsidRDefault="00AE7B77">
      <w:r>
        <w:separator/>
      </w:r>
    </w:p>
  </w:endnote>
  <w:endnote w:type="continuationSeparator" w:id="0">
    <w:p w:rsidR="00AE7B77" w:rsidRDefault="00A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DD" w:rsidRDefault="007477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2A6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2A6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979DD" w:rsidRDefault="009979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DD" w:rsidRDefault="007477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2A6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2A68">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979DD" w:rsidRDefault="009979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B77" w:rsidRDefault="00AE7B77">
      <w:r>
        <w:separator/>
      </w:r>
    </w:p>
  </w:footnote>
  <w:footnote w:type="continuationSeparator" w:id="0">
    <w:p w:rsidR="00AE7B77" w:rsidRDefault="00AE7B77">
      <w:r>
        <w:continuationSeparator/>
      </w:r>
    </w:p>
  </w:footnote>
  <w:footnote w:id="1">
    <w:p w:rsidR="009979DD" w:rsidRDefault="007477F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979DD" w:rsidRDefault="007477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9979DD" w:rsidRDefault="007477F3">
      <w:pPr>
        <w:ind w:right="49"/>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53.</w:t>
      </w:r>
      <w:r>
        <w:rPr>
          <w:rFonts w:ascii="Palatino Linotype" w:eastAsia="Palatino Linotype" w:hAnsi="Palatino Linotype" w:cs="Palatino Linotype"/>
          <w:i/>
          <w:sz w:val="16"/>
          <w:szCs w:val="16"/>
        </w:rPr>
        <w:t xml:space="preserve"> Las </w:t>
      </w:r>
      <w:r>
        <w:rPr>
          <w:rFonts w:ascii="Palatino Linotype" w:eastAsia="Palatino Linotype" w:hAnsi="Palatino Linotype" w:cs="Palatino Linotype"/>
          <w:b/>
          <w:i/>
          <w:sz w:val="16"/>
          <w:szCs w:val="16"/>
        </w:rPr>
        <w:t>Unidades de Transparencia</w:t>
      </w:r>
      <w:r>
        <w:rPr>
          <w:rFonts w:ascii="Palatino Linotype" w:eastAsia="Palatino Linotype" w:hAnsi="Palatino Linotype" w:cs="Palatino Linotype"/>
          <w:i/>
          <w:sz w:val="16"/>
          <w:szCs w:val="16"/>
        </w:rPr>
        <w:t xml:space="preserve"> tendrán las siguientes funciones:</w:t>
      </w:r>
    </w:p>
    <w:p w:rsidR="009979DD" w:rsidRDefault="007477F3">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Recibir, tramitar y dar respuesta a las solicitudes de acceso a la información;</w:t>
      </w:r>
    </w:p>
  </w:footnote>
  <w:footnote w:id="3">
    <w:p w:rsidR="009979DD" w:rsidRDefault="007477F3">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i/>
          <w:color w:val="000000"/>
          <w:sz w:val="16"/>
          <w:szCs w:val="16"/>
        </w:rPr>
        <w:t>Artículo 162.</w:t>
      </w:r>
      <w:r>
        <w:rPr>
          <w:rFonts w:ascii="Palatino Linotype" w:eastAsia="Palatino Linotype" w:hAnsi="Palatino Linotype" w:cs="Palatino Linotype"/>
          <w:i/>
          <w:color w:val="000000"/>
          <w:sz w:val="16"/>
          <w:szCs w:val="16"/>
        </w:rPr>
        <w:t xml:space="preserve"> Las </w:t>
      </w:r>
      <w:r>
        <w:rPr>
          <w:rFonts w:ascii="Palatino Linotype" w:eastAsia="Palatino Linotype" w:hAnsi="Palatino Linotype" w:cs="Palatino Linotype"/>
          <w:b/>
          <w:i/>
          <w:color w:val="000000"/>
          <w:sz w:val="16"/>
          <w:szCs w:val="16"/>
        </w:rPr>
        <w:t>unidades de transparencia</w:t>
      </w:r>
      <w:r>
        <w:rPr>
          <w:rFonts w:ascii="Palatino Linotype" w:eastAsia="Palatino Linotype" w:hAnsi="Palatino Linotype" w:cs="Palatino Linotype"/>
          <w:i/>
          <w:color w:val="000000"/>
          <w:sz w:val="16"/>
          <w:szCs w:val="16"/>
        </w:rPr>
        <w:t xml:space="preserve"> deberán </w:t>
      </w:r>
      <w:r>
        <w:rPr>
          <w:rFonts w:ascii="Palatino Linotype" w:eastAsia="Palatino Linotype" w:hAnsi="Palatino Linotype" w:cs="Palatino Linotype"/>
          <w:b/>
          <w:i/>
          <w:color w:val="000000"/>
          <w:sz w:val="16"/>
          <w:szCs w:val="16"/>
        </w:rPr>
        <w:t>garantizar que las solicitudes se turnen a todas las Áreas competentes</w:t>
      </w:r>
      <w:r>
        <w:rPr>
          <w:rFonts w:ascii="Palatino Linotype" w:eastAsia="Palatino Linotype" w:hAnsi="Palatino Linotype" w:cs="Palatino Linotype"/>
          <w:i/>
          <w:color w:val="000000"/>
          <w:sz w:val="16"/>
          <w:szCs w:val="16"/>
        </w:rPr>
        <w:t xml:space="preserve"> que </w:t>
      </w:r>
      <w:r>
        <w:rPr>
          <w:rFonts w:ascii="Palatino Linotype" w:eastAsia="Palatino Linotype" w:hAnsi="Palatino Linotype" w:cs="Palatino Linotype"/>
          <w:b/>
          <w:i/>
          <w:color w:val="000000"/>
          <w:sz w:val="16"/>
          <w:szCs w:val="16"/>
        </w:rPr>
        <w:t>cuenten con la información o deban tenerla de acuerdo a sus facultades, competencias y funciones,</w:t>
      </w:r>
      <w:r>
        <w:rPr>
          <w:rFonts w:ascii="Palatino Linotype" w:eastAsia="Palatino Linotype" w:hAnsi="Palatino Linotype" w:cs="Palatino Linotype"/>
          <w:i/>
          <w:color w:val="000000"/>
          <w:sz w:val="16"/>
          <w:szCs w:val="16"/>
        </w:rPr>
        <w:t xml:space="preserve"> con el objeto de que realicen una </w:t>
      </w:r>
      <w:r>
        <w:rPr>
          <w:rFonts w:ascii="Palatino Linotype" w:eastAsia="Palatino Linotype" w:hAnsi="Palatino Linotype" w:cs="Palatino Linotype"/>
          <w:b/>
          <w:i/>
          <w:color w:val="000000"/>
          <w:sz w:val="16"/>
          <w:szCs w:val="16"/>
        </w:rPr>
        <w:t>búsqueda exhaustiva y razonable</w:t>
      </w:r>
      <w:r>
        <w:rPr>
          <w:rFonts w:ascii="Palatino Linotype" w:eastAsia="Palatino Linotype" w:hAnsi="Palatino Linotype" w:cs="Palatino Linotype"/>
          <w:i/>
          <w:color w:val="000000"/>
          <w:sz w:val="16"/>
          <w:szCs w:val="16"/>
        </w:rPr>
        <w:t xml:space="preserv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DD" w:rsidRDefault="007477F3">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-1080118</wp:posOffset>
          </wp:positionH>
          <wp:positionV relativeFrom="paragraph">
            <wp:posOffset>-488296</wp:posOffset>
          </wp:positionV>
          <wp:extent cx="7809865" cy="10165715"/>
          <wp:effectExtent l="0" t="0" r="0" b="0"/>
          <wp:wrapNone/>
          <wp:docPr id="18550644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9979DD">
      <w:tc>
        <w:tcPr>
          <w:tcW w:w="2489" w:type="dxa"/>
          <w:shd w:val="clear" w:color="auto" w:fill="auto"/>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979DD" w:rsidRDefault="007477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15159/INFOEM/IP/RR/2022</w:t>
          </w:r>
        </w:p>
      </w:tc>
    </w:tr>
    <w:tr w:rsidR="009979DD">
      <w:trPr>
        <w:trHeight w:val="228"/>
      </w:trPr>
      <w:tc>
        <w:tcPr>
          <w:tcW w:w="2489" w:type="dxa"/>
          <w:shd w:val="clear" w:color="auto" w:fill="auto"/>
          <w:vAlign w:val="center"/>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979DD" w:rsidRDefault="007477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Desarrollo Social</w:t>
          </w:r>
        </w:p>
      </w:tc>
    </w:tr>
    <w:tr w:rsidR="009979DD">
      <w:tc>
        <w:tcPr>
          <w:tcW w:w="2489" w:type="dxa"/>
          <w:shd w:val="clear" w:color="auto" w:fill="auto"/>
          <w:vAlign w:val="center"/>
        </w:tcPr>
        <w:p w:rsidR="009979DD" w:rsidRDefault="007477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979DD" w:rsidRDefault="007477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979DD" w:rsidRDefault="007477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9DD" w:rsidRDefault="007477F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-1080124</wp:posOffset>
          </wp:positionH>
          <wp:positionV relativeFrom="paragraph">
            <wp:posOffset>-262867</wp:posOffset>
          </wp:positionV>
          <wp:extent cx="7809865" cy="10165715"/>
          <wp:effectExtent l="0" t="0" r="0" b="0"/>
          <wp:wrapNone/>
          <wp:docPr id="18550644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9979DD">
      <w:tc>
        <w:tcPr>
          <w:tcW w:w="2551" w:type="dxa"/>
          <w:shd w:val="clear" w:color="auto" w:fill="auto"/>
          <w:vAlign w:val="center"/>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979DD" w:rsidRDefault="007477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15159/INFOEM/IP/RR/2022</w:t>
          </w:r>
        </w:p>
      </w:tc>
    </w:tr>
    <w:tr w:rsidR="009979DD">
      <w:trPr>
        <w:trHeight w:val="130"/>
      </w:trPr>
      <w:tc>
        <w:tcPr>
          <w:tcW w:w="2551" w:type="dxa"/>
          <w:shd w:val="clear" w:color="auto" w:fill="auto"/>
          <w:vAlign w:val="center"/>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979DD" w:rsidRDefault="006D2A68" w:rsidP="006D2A6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9979DD">
      <w:trPr>
        <w:trHeight w:val="228"/>
      </w:trPr>
      <w:tc>
        <w:tcPr>
          <w:tcW w:w="2551" w:type="dxa"/>
          <w:shd w:val="clear" w:color="auto" w:fill="auto"/>
          <w:vAlign w:val="center"/>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979DD" w:rsidRDefault="007477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Desarrollo Social</w:t>
          </w:r>
        </w:p>
      </w:tc>
    </w:tr>
    <w:tr w:rsidR="009979DD">
      <w:tc>
        <w:tcPr>
          <w:tcW w:w="2551" w:type="dxa"/>
          <w:shd w:val="clear" w:color="auto" w:fill="auto"/>
          <w:vAlign w:val="center"/>
        </w:tcPr>
        <w:p w:rsidR="009979DD" w:rsidRDefault="007477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979DD" w:rsidRDefault="007477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979DD" w:rsidRDefault="009979DD">
    <w:pPr>
      <w:pBdr>
        <w:top w:val="nil"/>
        <w:left w:val="nil"/>
        <w:bottom w:val="nil"/>
        <w:right w:val="nil"/>
        <w:between w:val="nil"/>
      </w:pBdr>
      <w:tabs>
        <w:tab w:val="center" w:pos="4252"/>
        <w:tab w:val="right" w:pos="8504"/>
      </w:tabs>
      <w:rPr>
        <w:rFonts w:ascii="Cambria" w:eastAsia="Cambria" w:hAnsi="Cambria" w:cs="Cambria"/>
        <w:color w:val="000000"/>
      </w:rPr>
    </w:pPr>
  </w:p>
  <w:p w:rsidR="009979DD" w:rsidRDefault="009979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0601"/>
    <w:multiLevelType w:val="multilevel"/>
    <w:tmpl w:val="F158696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962D96"/>
    <w:multiLevelType w:val="multilevel"/>
    <w:tmpl w:val="02ACD2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DD"/>
    <w:rsid w:val="003B21A6"/>
    <w:rsid w:val="006D2A68"/>
    <w:rsid w:val="007477F3"/>
    <w:rsid w:val="00990E90"/>
    <w:rsid w:val="009979DD"/>
    <w:rsid w:val="00AE7B77"/>
    <w:rsid w:val="00E8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97DB0-AC87-479D-8F48-9B87BB51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108" w:type="dxa"/>
        <w:bottom w:w="0" w:type="dxa"/>
        <w:right w:w="108" w:type="dxa"/>
      </w:tblCellMar>
    </w:tblPr>
  </w:style>
  <w:style w:type="table" w:customStyle="1" w:styleId="ae">
    <w:basedOn w:val="TableNormal2"/>
    <w:tblPr>
      <w:tblStyleRowBandSize w:val="1"/>
      <w:tblStyleColBandSize w:val="1"/>
      <w:tblCellMar>
        <w:top w:w="0" w:type="dxa"/>
        <w:left w:w="108" w:type="dxa"/>
        <w:bottom w:w="0" w:type="dxa"/>
        <w:right w:w="108"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yuwNCKZr8cBSv7UC8JN7VzZMCw==">AMUW2mVLxJuVHElTjXronS/CLnSB3CJWl2Yr9u8mQFJQM4TgP/Lf04EzqU1uWVmkqhhM5sAF0nzM/g4xNoTiD2LJpFJBTezx7V7EiIE1UGbWr2QMd1JmZPHoKKsmCiMdsWKWuOcqonUCsElNfPNC0VTYMq7kJRqjNcL+FTp7POjC34ibfQ9wfKeRWWiL6aJsHTxby/6lON1RH/eI5/ouzVo44WkWZqXyh3NCwyGh/X5gd3hJopcfCqbWLvpVbnah6AEZD109rxqmQOS6VQEf0zPOpjcKBCM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6884</Words>
  <Characters>37867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2023-05-08T16:40:00Z</cp:lastPrinted>
  <dcterms:created xsi:type="dcterms:W3CDTF">2023-05-17T17:15:00Z</dcterms:created>
  <dcterms:modified xsi:type="dcterms:W3CDTF">2023-05-17T17:15:00Z</dcterms:modified>
</cp:coreProperties>
</file>