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2053B"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treinta y uno de mayo de dos mil veintitrés. </w:t>
      </w:r>
    </w:p>
    <w:p w14:paraId="020F9C0D" w14:textId="77777777" w:rsidR="00F629EB" w:rsidRPr="000B7C87" w:rsidRDefault="00F629EB">
      <w:pPr>
        <w:spacing w:line="360" w:lineRule="auto"/>
        <w:jc w:val="both"/>
        <w:rPr>
          <w:rFonts w:ascii="Palatino Linotype" w:eastAsia="Palatino Linotype" w:hAnsi="Palatino Linotype" w:cs="Palatino Linotype"/>
        </w:rPr>
      </w:pPr>
    </w:p>
    <w:p w14:paraId="2BE25C9D" w14:textId="2B484C80"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VISTO</w:t>
      </w:r>
      <w:r w:rsidRPr="000B7C87">
        <w:rPr>
          <w:rFonts w:ascii="Palatino Linotype" w:eastAsia="Palatino Linotype" w:hAnsi="Palatino Linotype" w:cs="Palatino Linotype"/>
        </w:rPr>
        <w:t xml:space="preserve"> el expediente formado con motivo del recurso de revisión </w:t>
      </w:r>
      <w:r w:rsidRPr="000B7C87">
        <w:rPr>
          <w:rFonts w:ascii="Palatino Linotype" w:eastAsia="Palatino Linotype" w:hAnsi="Palatino Linotype" w:cs="Palatino Linotype"/>
          <w:b/>
        </w:rPr>
        <w:t>16804/INFOEM/IP/RR/2022</w:t>
      </w:r>
      <w:r w:rsidRPr="000B7C87">
        <w:rPr>
          <w:rFonts w:ascii="Palatino Linotype" w:eastAsia="Palatino Linotype" w:hAnsi="Palatino Linotype" w:cs="Palatino Linotype"/>
        </w:rPr>
        <w:t xml:space="preserve">, interpuesto por quien dijo ser </w:t>
      </w:r>
      <w:r w:rsidR="00D87788">
        <w:rPr>
          <w:rFonts w:ascii="Palatino Linotype" w:eastAsia="Palatino Linotype" w:hAnsi="Palatino Linotype" w:cs="Palatino Linotype"/>
          <w:b/>
        </w:rPr>
        <w:t>XXXXXX XXXXX XXXX</w:t>
      </w:r>
      <w:r w:rsidRPr="000B7C87">
        <w:rPr>
          <w:rFonts w:ascii="Palatino Linotype" w:eastAsia="Palatino Linotype" w:hAnsi="Palatino Linotype" w:cs="Palatino Linotype"/>
          <w:b/>
        </w:rPr>
        <w:t xml:space="preserve">, </w:t>
      </w:r>
      <w:r w:rsidRPr="000B7C87">
        <w:rPr>
          <w:rFonts w:ascii="Palatino Linotype" w:eastAsia="Palatino Linotype" w:hAnsi="Palatino Linotype" w:cs="Palatino Linotype"/>
        </w:rPr>
        <w:t>a quien en lo sucesivo se le referirá como</w:t>
      </w:r>
      <w:r w:rsidRPr="000B7C87">
        <w:rPr>
          <w:rFonts w:ascii="Palatino Linotype" w:eastAsia="Palatino Linotype" w:hAnsi="Palatino Linotype" w:cs="Palatino Linotype"/>
          <w:b/>
        </w:rPr>
        <w:t xml:space="preserve"> LA PARTE RECURRENTE,</w:t>
      </w:r>
      <w:r w:rsidRPr="000B7C87">
        <w:rPr>
          <w:rFonts w:ascii="Palatino Linotype" w:eastAsia="Palatino Linotype" w:hAnsi="Palatino Linotype" w:cs="Palatino Linotype"/>
        </w:rPr>
        <w:t xml:space="preserve"> en contra de la respuesta a su solicitud de folio </w:t>
      </w:r>
      <w:r w:rsidRPr="000B7C87">
        <w:rPr>
          <w:rFonts w:ascii="Palatino Linotype" w:eastAsia="Palatino Linotype" w:hAnsi="Palatino Linotype" w:cs="Palatino Linotype"/>
          <w:b/>
        </w:rPr>
        <w:t>02188/TOLUCA/IP/2022,</w:t>
      </w:r>
      <w:r w:rsidRPr="000B7C87">
        <w:rPr>
          <w:rFonts w:ascii="Palatino Linotype" w:eastAsia="Palatino Linotype" w:hAnsi="Palatino Linotype" w:cs="Palatino Linotype"/>
        </w:rPr>
        <w:t xml:space="preserve"> por parte del </w:t>
      </w:r>
      <w:r w:rsidRPr="000B7C87">
        <w:rPr>
          <w:rFonts w:ascii="Palatino Linotype" w:eastAsia="Palatino Linotype" w:hAnsi="Palatino Linotype" w:cs="Palatino Linotype"/>
          <w:b/>
        </w:rPr>
        <w:t xml:space="preserve">Ayuntamiento de Toluca, </w:t>
      </w:r>
      <w:r w:rsidRPr="000B7C87">
        <w:rPr>
          <w:rFonts w:ascii="Palatino Linotype" w:eastAsia="Palatino Linotype" w:hAnsi="Palatino Linotype" w:cs="Palatino Linotype"/>
        </w:rPr>
        <w:t xml:space="preserve">que en lo subsecuente se le denominará como </w:t>
      </w:r>
      <w:r w:rsidRPr="000B7C87">
        <w:rPr>
          <w:rFonts w:ascii="Palatino Linotype" w:eastAsia="Palatino Linotype" w:hAnsi="Palatino Linotype" w:cs="Palatino Linotype"/>
          <w:b/>
        </w:rPr>
        <w:t xml:space="preserve">EL SUJETO OBLIGADO, </w:t>
      </w:r>
      <w:r w:rsidRPr="000B7C87">
        <w:rPr>
          <w:rFonts w:ascii="Palatino Linotype" w:eastAsia="Palatino Linotype" w:hAnsi="Palatino Linotype" w:cs="Palatino Linotype"/>
        </w:rPr>
        <w:t xml:space="preserve">es que se procede a dictar la presente resolución con base en los siguientes: </w:t>
      </w:r>
    </w:p>
    <w:p w14:paraId="2607CE3A" w14:textId="77777777" w:rsidR="00F629EB" w:rsidRPr="000B7C87" w:rsidRDefault="000B7C87">
      <w:pPr>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rPr>
      </w:pPr>
      <w:r w:rsidRPr="000B7C87">
        <w:rPr>
          <w:rFonts w:ascii="Palatino Linotype" w:eastAsia="Palatino Linotype" w:hAnsi="Palatino Linotype" w:cs="Palatino Linotype"/>
          <w:b/>
        </w:rPr>
        <w:t>A N T E C E D E N T E S</w:t>
      </w:r>
    </w:p>
    <w:p w14:paraId="147F53BA" w14:textId="77777777" w:rsidR="00F629EB" w:rsidRPr="000B7C87" w:rsidRDefault="00F629EB">
      <w:pPr>
        <w:pBdr>
          <w:top w:val="nil"/>
          <w:left w:val="nil"/>
          <w:bottom w:val="nil"/>
          <w:right w:val="nil"/>
          <w:between w:val="nil"/>
        </w:pBdr>
        <w:spacing w:line="360" w:lineRule="auto"/>
        <w:ind w:left="360"/>
        <w:rPr>
          <w:rFonts w:ascii="Palatino Linotype" w:eastAsia="Palatino Linotype" w:hAnsi="Palatino Linotype" w:cs="Palatino Linotype"/>
          <w:b/>
        </w:rPr>
      </w:pPr>
    </w:p>
    <w:p w14:paraId="73BBB313" w14:textId="77777777" w:rsidR="00F629EB" w:rsidRPr="000B7C87" w:rsidRDefault="000B7C87">
      <w:pPr>
        <w:spacing w:line="360" w:lineRule="auto"/>
        <w:jc w:val="both"/>
        <w:rPr>
          <w:rFonts w:ascii="Palatino Linotype" w:eastAsia="Palatino Linotype" w:hAnsi="Palatino Linotype" w:cs="Palatino Linotype"/>
        </w:rPr>
      </w:pPr>
      <w:bookmarkStart w:id="0" w:name="_heading=h.gjdgxs" w:colFirst="0" w:colLast="0"/>
      <w:bookmarkEnd w:id="0"/>
      <w:r w:rsidRPr="000B7C87">
        <w:rPr>
          <w:rFonts w:ascii="Palatino Linotype" w:eastAsia="Palatino Linotype" w:hAnsi="Palatino Linotype" w:cs="Palatino Linotype"/>
          <w:b/>
        </w:rPr>
        <w:t>1. Solicitud de acceso a la información.</w:t>
      </w:r>
      <w:r w:rsidRPr="000B7C87">
        <w:rPr>
          <w:rFonts w:ascii="Palatino Linotype" w:eastAsia="Palatino Linotype" w:hAnsi="Palatino Linotype" w:cs="Palatino Linotype"/>
        </w:rPr>
        <w:t xml:space="preserve"> Con fecha </w:t>
      </w:r>
      <w:r w:rsidRPr="000B7C87">
        <w:rPr>
          <w:rFonts w:ascii="Palatino Linotype" w:eastAsia="Palatino Linotype" w:hAnsi="Palatino Linotype" w:cs="Palatino Linotype"/>
          <w:b/>
        </w:rPr>
        <w:t>dieciocho de octubre de dos mil veintidós,</w:t>
      </w:r>
      <w:r w:rsidRPr="000B7C87">
        <w:rPr>
          <w:rFonts w:ascii="Palatino Linotype" w:eastAsia="Palatino Linotype" w:hAnsi="Palatino Linotype" w:cs="Palatino Linotype"/>
        </w:rPr>
        <w:t xml:space="preserve"> </w:t>
      </w:r>
      <w:r w:rsidRPr="000B7C87">
        <w:rPr>
          <w:rFonts w:ascii="Palatino Linotype" w:eastAsia="Palatino Linotype" w:hAnsi="Palatino Linotype" w:cs="Palatino Linotype"/>
          <w:b/>
        </w:rPr>
        <w:t xml:space="preserve">LA PARTE RECURRENTE </w:t>
      </w:r>
      <w:r w:rsidRPr="000B7C87">
        <w:rPr>
          <w:rFonts w:ascii="Palatino Linotype" w:eastAsia="Palatino Linotype" w:hAnsi="Palatino Linotype" w:cs="Palatino Linotype"/>
        </w:rPr>
        <w:t>presentó, través del Sistema de Acceso a la Información Mexiquense</w:t>
      </w:r>
      <w:r w:rsidRPr="000B7C87">
        <w:rPr>
          <w:rFonts w:ascii="Palatino Linotype" w:eastAsia="Palatino Linotype" w:hAnsi="Palatino Linotype" w:cs="Palatino Linotype"/>
          <w:vertAlign w:val="superscript"/>
        </w:rPr>
        <w:t xml:space="preserve"> </w:t>
      </w:r>
      <w:r w:rsidRPr="000B7C87">
        <w:rPr>
          <w:rFonts w:ascii="Palatino Linotype" w:eastAsia="Palatino Linotype" w:hAnsi="Palatino Linotype" w:cs="Palatino Linotype"/>
        </w:rPr>
        <w:t>(SAIMEX</w:t>
      </w:r>
      <w:r w:rsidRPr="000B7C87">
        <w:rPr>
          <w:rFonts w:ascii="Palatino Linotype" w:eastAsia="Palatino Linotype" w:hAnsi="Palatino Linotype" w:cs="Palatino Linotype"/>
          <w:b/>
        </w:rPr>
        <w:t>),</w:t>
      </w:r>
      <w:r w:rsidRPr="000B7C87">
        <w:rPr>
          <w:rFonts w:ascii="Palatino Linotype" w:eastAsia="Palatino Linotype" w:hAnsi="Palatino Linotype" w:cs="Palatino Linotype"/>
        </w:rPr>
        <w:t xml:space="preserve"> ante </w:t>
      </w: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la solicitud de acceso a la información pública </w:t>
      </w:r>
      <w:r w:rsidRPr="000B7C87">
        <w:rPr>
          <w:rFonts w:ascii="Palatino Linotype" w:eastAsia="Palatino Linotype" w:hAnsi="Palatino Linotype" w:cs="Palatino Linotype"/>
          <w:b/>
        </w:rPr>
        <w:t xml:space="preserve">02188/TOLUCA/IP/2022, </w:t>
      </w:r>
      <w:r w:rsidRPr="000B7C87">
        <w:rPr>
          <w:rFonts w:ascii="Palatino Linotype" w:eastAsia="Palatino Linotype" w:hAnsi="Palatino Linotype" w:cs="Palatino Linotype"/>
        </w:rPr>
        <w:t xml:space="preserve">mediante la cual requirió la información siguiente: </w:t>
      </w:r>
    </w:p>
    <w:p w14:paraId="02D1DC10"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7F4048A"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“Solicito todo el acervo </w:t>
      </w:r>
      <w:proofErr w:type="spellStart"/>
      <w:r w:rsidRPr="000B7C87">
        <w:rPr>
          <w:rFonts w:ascii="Palatino Linotype" w:eastAsia="Palatino Linotype" w:hAnsi="Palatino Linotype" w:cs="Palatino Linotype"/>
          <w:i/>
          <w:sz w:val="22"/>
          <w:szCs w:val="22"/>
        </w:rPr>
        <w:t>fotografico</w:t>
      </w:r>
      <w:proofErr w:type="spellEnd"/>
      <w:r w:rsidRPr="000B7C87">
        <w:rPr>
          <w:rFonts w:ascii="Palatino Linotype" w:eastAsia="Palatino Linotype" w:hAnsi="Palatino Linotype" w:cs="Palatino Linotype"/>
          <w:i/>
          <w:sz w:val="22"/>
          <w:szCs w:val="22"/>
        </w:rPr>
        <w:t xml:space="preserve"> del </w:t>
      </w:r>
      <w:proofErr w:type="gramStart"/>
      <w:r w:rsidRPr="000B7C87">
        <w:rPr>
          <w:rFonts w:ascii="Palatino Linotype" w:eastAsia="Palatino Linotype" w:hAnsi="Palatino Linotype" w:cs="Palatino Linotype"/>
          <w:i/>
          <w:sz w:val="22"/>
          <w:szCs w:val="22"/>
        </w:rPr>
        <w:t>Presidente</w:t>
      </w:r>
      <w:proofErr w:type="gramEnd"/>
      <w:r w:rsidRPr="000B7C87">
        <w:rPr>
          <w:rFonts w:ascii="Palatino Linotype" w:eastAsia="Palatino Linotype" w:hAnsi="Palatino Linotype" w:cs="Palatino Linotype"/>
          <w:i/>
          <w:sz w:val="22"/>
          <w:szCs w:val="22"/>
        </w:rPr>
        <w:t xml:space="preserve"> Municipal, Secretario del Ayuntamiento, Directores Generales, desde el mes de enero a octubre 2022.” (Sic)</w:t>
      </w:r>
    </w:p>
    <w:p w14:paraId="775EFAD9"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1CA4A13"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Modalidad de Entrega:</w:t>
      </w:r>
      <w:r w:rsidRPr="000B7C87">
        <w:rPr>
          <w:rFonts w:ascii="Palatino Linotype" w:eastAsia="Palatino Linotype" w:hAnsi="Palatino Linotype" w:cs="Palatino Linotype"/>
        </w:rPr>
        <w:t xml:space="preserve"> A través de SAIMEX.</w:t>
      </w:r>
    </w:p>
    <w:p w14:paraId="18887C78" w14:textId="77777777" w:rsidR="00F629EB" w:rsidRPr="000B7C87" w:rsidRDefault="00F629EB">
      <w:pPr>
        <w:spacing w:line="360" w:lineRule="auto"/>
        <w:jc w:val="both"/>
        <w:rPr>
          <w:rFonts w:ascii="Palatino Linotype" w:eastAsia="Palatino Linotype" w:hAnsi="Palatino Linotype" w:cs="Palatino Linotype"/>
          <w:b/>
        </w:rPr>
      </w:pPr>
    </w:p>
    <w:p w14:paraId="471BB899"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lastRenderedPageBreak/>
        <w:t xml:space="preserve">2. Respuesta. </w:t>
      </w:r>
      <w:r w:rsidRPr="000B7C87">
        <w:rPr>
          <w:rFonts w:ascii="Palatino Linotype" w:eastAsia="Palatino Linotype" w:hAnsi="Palatino Linotype" w:cs="Palatino Linotype"/>
        </w:rPr>
        <w:t>Con fecha</w:t>
      </w:r>
      <w:r w:rsidRPr="000B7C87">
        <w:rPr>
          <w:rFonts w:ascii="Palatino Linotype" w:eastAsia="Palatino Linotype" w:hAnsi="Palatino Linotype" w:cs="Palatino Linotype"/>
          <w:b/>
        </w:rPr>
        <w:t xml:space="preserve"> nueve de noviembre de dos mil veintidós</w:t>
      </w:r>
      <w:r w:rsidRPr="000B7C87">
        <w:rPr>
          <w:rFonts w:ascii="Palatino Linotype" w:eastAsia="Palatino Linotype" w:hAnsi="Palatino Linotype" w:cs="Palatino Linotype"/>
        </w:rPr>
        <w:t xml:space="preserve">, </w:t>
      </w:r>
      <w:r w:rsidRPr="000B7C87">
        <w:rPr>
          <w:rFonts w:ascii="Palatino Linotype" w:eastAsia="Palatino Linotype" w:hAnsi="Palatino Linotype" w:cs="Palatino Linotype"/>
          <w:b/>
        </w:rPr>
        <w:t xml:space="preserve">EL SUJETO OBLIGADO </w:t>
      </w:r>
      <w:r w:rsidRPr="000B7C87">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D85977B"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911119D"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“Toluca, México a 09 de </w:t>
      </w:r>
      <w:proofErr w:type="gramStart"/>
      <w:r w:rsidRPr="000B7C87">
        <w:rPr>
          <w:rFonts w:ascii="Palatino Linotype" w:eastAsia="Palatino Linotype" w:hAnsi="Palatino Linotype" w:cs="Palatino Linotype"/>
          <w:i/>
          <w:sz w:val="22"/>
          <w:szCs w:val="22"/>
        </w:rPr>
        <w:t>Noviembre</w:t>
      </w:r>
      <w:proofErr w:type="gramEnd"/>
      <w:r w:rsidRPr="000B7C87">
        <w:rPr>
          <w:rFonts w:ascii="Palatino Linotype" w:eastAsia="Palatino Linotype" w:hAnsi="Palatino Linotype" w:cs="Palatino Linotype"/>
          <w:i/>
          <w:sz w:val="22"/>
          <w:szCs w:val="22"/>
        </w:rPr>
        <w:t xml:space="preserve"> de 2022</w:t>
      </w:r>
    </w:p>
    <w:p w14:paraId="7EDD9C42" w14:textId="73C3468B"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Nombre del solicitante:</w:t>
      </w:r>
      <w:r w:rsidR="00D87788">
        <w:rPr>
          <w:rFonts w:ascii="Palatino Linotype" w:eastAsia="Palatino Linotype" w:hAnsi="Palatino Linotype" w:cs="Palatino Linotype"/>
          <w:i/>
          <w:sz w:val="22"/>
          <w:szCs w:val="22"/>
        </w:rPr>
        <w:t xml:space="preserve"> XXXXXXXXXXXXX</w:t>
      </w:r>
    </w:p>
    <w:p w14:paraId="16C08338"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Folio de la solicitud: 02188/TOLUCA/IP/2022</w:t>
      </w:r>
    </w:p>
    <w:p w14:paraId="7276BCE7"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39E7A6"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En atención a la solicitud con folio 02188/TOLUCA/IP/2022, me permito adjuntar al presente la respuesta correspondiente. Sin más por el momento, reciba un saludo.</w:t>
      </w:r>
    </w:p>
    <w:p w14:paraId="58789D5A"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ATENTAMENTE</w:t>
      </w:r>
    </w:p>
    <w:p w14:paraId="26395B91"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Lic. Norma Sofía Pérez Martínez” (Sic) </w:t>
      </w:r>
    </w:p>
    <w:p w14:paraId="017A834D" w14:textId="77777777" w:rsidR="00F629EB" w:rsidRPr="000B7C87" w:rsidRDefault="00F629EB">
      <w:pPr>
        <w:spacing w:line="360" w:lineRule="auto"/>
        <w:jc w:val="both"/>
        <w:rPr>
          <w:rFonts w:ascii="Palatino Linotype" w:eastAsia="Palatino Linotype" w:hAnsi="Palatino Linotype" w:cs="Palatino Linotype"/>
          <w:b/>
        </w:rPr>
      </w:pPr>
    </w:p>
    <w:p w14:paraId="540BC83C"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también remitió el escrito de fecha nueve de noviembre de dos mil veintidós, donde su Unidad de Transparencia refirió que la Coordinación General de Comunicación Social tuvo a bien informarle que la cobertura de eventos, y las imágenes, fotografías, vídeos, spots y cápsulas informativas de la actual administración, se encuentran disponibles en la página de Facebook del Ayuntamiento de Toluca, localizable en </w:t>
      </w:r>
      <w:hyperlink r:id="rId8">
        <w:r w:rsidRPr="000B7C87">
          <w:rPr>
            <w:rFonts w:ascii="Palatino Linotype" w:eastAsia="Palatino Linotype" w:hAnsi="Palatino Linotype" w:cs="Palatino Linotype"/>
            <w:u w:val="single"/>
          </w:rPr>
          <w:t>https://es-la.facebook.com/H.AyuntamientoDetoluca/</w:t>
        </w:r>
      </w:hyperlink>
      <w:r w:rsidRPr="000B7C87">
        <w:rPr>
          <w:rFonts w:ascii="Palatino Linotype" w:eastAsia="Palatino Linotype" w:hAnsi="Palatino Linotype" w:cs="Palatino Linotype"/>
        </w:rPr>
        <w:t>.</w:t>
      </w:r>
    </w:p>
    <w:p w14:paraId="630D8687" w14:textId="77777777" w:rsidR="00F629EB" w:rsidRPr="000B7C87" w:rsidRDefault="00F629EB">
      <w:pPr>
        <w:spacing w:line="360" w:lineRule="auto"/>
        <w:jc w:val="both"/>
        <w:rPr>
          <w:rFonts w:ascii="Palatino Linotype" w:eastAsia="Palatino Linotype" w:hAnsi="Palatino Linotype" w:cs="Palatino Linotype"/>
        </w:rPr>
      </w:pPr>
    </w:p>
    <w:p w14:paraId="18EEE175" w14:textId="77777777" w:rsidR="00F629EB" w:rsidRPr="000B7C87" w:rsidRDefault="000B7C87">
      <w:pPr>
        <w:spacing w:line="360" w:lineRule="auto"/>
        <w:jc w:val="both"/>
        <w:rPr>
          <w:rFonts w:ascii="Palatino Linotype" w:eastAsia="Palatino Linotype" w:hAnsi="Palatino Linotype" w:cs="Palatino Linotype"/>
        </w:rPr>
      </w:pPr>
      <w:proofErr w:type="gramStart"/>
      <w:r w:rsidRPr="000B7C87">
        <w:rPr>
          <w:rFonts w:ascii="Palatino Linotype" w:eastAsia="Palatino Linotype" w:hAnsi="Palatino Linotype" w:cs="Palatino Linotype"/>
        </w:rPr>
        <w:t>Además</w:t>
      </w:r>
      <w:proofErr w:type="gramEnd"/>
      <w:r w:rsidRPr="000B7C87">
        <w:rPr>
          <w:rFonts w:ascii="Palatino Linotype" w:eastAsia="Palatino Linotype" w:hAnsi="Palatino Linotype" w:cs="Palatino Linotype"/>
        </w:rPr>
        <w:t xml:space="preserve"> señaló que la referida Coordinación General no está facultada para publicar, difundir, modificar, intervenir y/o recabar Datos Personales en las cuentas personales del Presidente Municipal, Secretaría del Ayuntamiento y Dirección General, así como cualquier otra que sea manejada por las personas titulares de esas áreas manejadas por ellas mismas aunque sean consideradas como cuentas oficiales. </w:t>
      </w:r>
    </w:p>
    <w:p w14:paraId="1F4BF503" w14:textId="77777777" w:rsidR="00F629EB" w:rsidRPr="000B7C87" w:rsidRDefault="00F629EB">
      <w:pPr>
        <w:spacing w:line="360" w:lineRule="auto"/>
        <w:jc w:val="both"/>
        <w:rPr>
          <w:rFonts w:ascii="Palatino Linotype" w:eastAsia="Palatino Linotype" w:hAnsi="Palatino Linotype" w:cs="Palatino Linotype"/>
        </w:rPr>
      </w:pPr>
    </w:p>
    <w:p w14:paraId="40032DB6" w14:textId="77777777" w:rsidR="00F629EB" w:rsidRPr="000B7C87" w:rsidRDefault="000B7C87">
      <w:pPr>
        <w:spacing w:line="360" w:lineRule="auto"/>
        <w:ind w:right="49"/>
        <w:jc w:val="both"/>
        <w:rPr>
          <w:rFonts w:ascii="Palatino Linotype" w:eastAsia="Palatino Linotype" w:hAnsi="Palatino Linotype" w:cs="Palatino Linotype"/>
          <w:b/>
        </w:rPr>
      </w:pPr>
      <w:r w:rsidRPr="000B7C87">
        <w:rPr>
          <w:rFonts w:ascii="Palatino Linotype" w:eastAsia="Palatino Linotype" w:hAnsi="Palatino Linotype" w:cs="Palatino Linotype"/>
          <w:b/>
        </w:rPr>
        <w:t xml:space="preserve">3. Interposición del recurso de revisión. </w:t>
      </w:r>
      <w:r w:rsidRPr="000B7C87">
        <w:rPr>
          <w:rFonts w:ascii="Palatino Linotype" w:eastAsia="Palatino Linotype" w:hAnsi="Palatino Linotype" w:cs="Palatino Linotype"/>
        </w:rPr>
        <w:t xml:space="preserve">Inconforme con los términos de la respuesta emitida por parte del </w:t>
      </w:r>
      <w:r w:rsidRPr="000B7C87">
        <w:rPr>
          <w:rFonts w:ascii="Palatino Linotype" w:eastAsia="Palatino Linotype" w:hAnsi="Palatino Linotype" w:cs="Palatino Linotype"/>
          <w:b/>
        </w:rPr>
        <w:t>SUJETO OBLIGADO</w:t>
      </w:r>
      <w:r w:rsidRPr="000B7C87">
        <w:rPr>
          <w:rFonts w:ascii="Palatino Linotype" w:eastAsia="Palatino Linotype" w:hAnsi="Palatino Linotype" w:cs="Palatino Linotype"/>
        </w:rPr>
        <w:t xml:space="preserve">, el </w:t>
      </w:r>
      <w:r w:rsidRPr="000B7C87">
        <w:rPr>
          <w:rFonts w:ascii="Palatino Linotype" w:eastAsia="Palatino Linotype" w:hAnsi="Palatino Linotype" w:cs="Palatino Linotype"/>
          <w:b/>
        </w:rPr>
        <w:t>veintidós de noviembre de dos mil veintidós,</w:t>
      </w:r>
      <w:r w:rsidRPr="000B7C87">
        <w:rPr>
          <w:rFonts w:ascii="Palatino Linotype" w:eastAsia="Palatino Linotype" w:hAnsi="Palatino Linotype" w:cs="Palatino Linotype"/>
        </w:rPr>
        <w:t xml:space="preserve"> </w:t>
      </w:r>
      <w:r w:rsidRPr="000B7C87">
        <w:rPr>
          <w:rFonts w:ascii="Palatino Linotype" w:eastAsia="Palatino Linotype" w:hAnsi="Palatino Linotype" w:cs="Palatino Linotype"/>
          <w:b/>
        </w:rPr>
        <w:t>LA PARTE RECURRENTE</w:t>
      </w:r>
      <w:r w:rsidRPr="000B7C87">
        <w:rPr>
          <w:rFonts w:ascii="Palatino Linotype" w:eastAsia="Palatino Linotype" w:hAnsi="Palatino Linotype" w:cs="Palatino Linotype"/>
        </w:rPr>
        <w:t xml:space="preserve"> interpuso el recurso de revisión a través de SAIMEX</w:t>
      </w:r>
      <w:r w:rsidRPr="000B7C87">
        <w:rPr>
          <w:rFonts w:ascii="Palatino Linotype" w:eastAsia="Palatino Linotype" w:hAnsi="Palatino Linotype" w:cs="Palatino Linotype"/>
          <w:b/>
        </w:rPr>
        <w:t xml:space="preserve">, </w:t>
      </w:r>
      <w:r w:rsidRPr="000B7C87">
        <w:rPr>
          <w:rFonts w:ascii="Palatino Linotype" w:eastAsia="Palatino Linotype" w:hAnsi="Palatino Linotype" w:cs="Palatino Linotype"/>
        </w:rPr>
        <w:t>en donde se manifestó de la siguiente manera:</w:t>
      </w:r>
    </w:p>
    <w:p w14:paraId="54FD6CBE" w14:textId="77777777" w:rsidR="00F629EB" w:rsidRPr="000B7C87" w:rsidRDefault="00F629EB">
      <w:pPr>
        <w:tabs>
          <w:tab w:val="left" w:pos="2745"/>
        </w:tabs>
        <w:spacing w:line="360" w:lineRule="auto"/>
        <w:jc w:val="both"/>
        <w:rPr>
          <w:rFonts w:ascii="Palatino Linotype" w:eastAsia="Palatino Linotype" w:hAnsi="Palatino Linotype" w:cs="Palatino Linotype"/>
          <w:b/>
        </w:rPr>
      </w:pPr>
    </w:p>
    <w:p w14:paraId="194195C2" w14:textId="77777777" w:rsidR="00F629EB" w:rsidRPr="000B7C87" w:rsidRDefault="000B7C87">
      <w:pPr>
        <w:tabs>
          <w:tab w:val="left" w:pos="2745"/>
        </w:tabs>
        <w:spacing w:line="360" w:lineRule="auto"/>
        <w:jc w:val="both"/>
        <w:rPr>
          <w:rFonts w:ascii="Palatino Linotype" w:eastAsia="Palatino Linotype" w:hAnsi="Palatino Linotype" w:cs="Palatino Linotype"/>
          <w:b/>
        </w:rPr>
      </w:pPr>
      <w:r w:rsidRPr="000B7C87">
        <w:rPr>
          <w:rFonts w:ascii="Palatino Linotype" w:eastAsia="Palatino Linotype" w:hAnsi="Palatino Linotype" w:cs="Palatino Linotype"/>
          <w:b/>
        </w:rPr>
        <w:t xml:space="preserve">Acto impugnado: </w:t>
      </w:r>
    </w:p>
    <w:p w14:paraId="041AFA10"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9F7EF56"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“LA RESPUESTA QUE FUE ENTREGADA DE MANERA INCOMPLETA POR LA UNIDAD DE TRANSPARENCIA” (Sic)</w:t>
      </w:r>
    </w:p>
    <w:p w14:paraId="57A58092"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03424213" w14:textId="77777777" w:rsidR="00F629EB" w:rsidRPr="000B7C87" w:rsidRDefault="000B7C87">
      <w:pPr>
        <w:spacing w:line="360" w:lineRule="auto"/>
        <w:jc w:val="both"/>
        <w:rPr>
          <w:rFonts w:ascii="Palatino Linotype" w:eastAsia="Palatino Linotype" w:hAnsi="Palatino Linotype" w:cs="Palatino Linotype"/>
        </w:rPr>
      </w:pPr>
      <w:bookmarkStart w:id="1" w:name="_heading=h.30j0zll" w:colFirst="0" w:colLast="0"/>
      <w:bookmarkEnd w:id="1"/>
      <w:r w:rsidRPr="000B7C87">
        <w:rPr>
          <w:rFonts w:ascii="Palatino Linotype" w:eastAsia="Palatino Linotype" w:hAnsi="Palatino Linotype" w:cs="Palatino Linotype"/>
          <w:b/>
        </w:rPr>
        <w:t>Y razones o motivos de inconformidad</w:t>
      </w:r>
      <w:r w:rsidRPr="000B7C87">
        <w:rPr>
          <w:rFonts w:ascii="Palatino Linotype" w:eastAsia="Palatino Linotype" w:hAnsi="Palatino Linotype" w:cs="Palatino Linotype"/>
        </w:rPr>
        <w:t>:</w:t>
      </w:r>
    </w:p>
    <w:p w14:paraId="1FED8EFF"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7939A09"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“LA RESPUESTA QUE FUE ENTREGADA DE MANERA INCOMPLETA POR LA UNIDAD DE TRANSPARENCIA, NO TENGO FACEBOOK,” (Sic)</w:t>
      </w:r>
    </w:p>
    <w:p w14:paraId="74895476"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537A232F" w14:textId="77777777" w:rsidR="00F629EB" w:rsidRPr="000B7C87" w:rsidRDefault="000B7C87">
      <w:pPr>
        <w:spacing w:line="360" w:lineRule="auto"/>
        <w:ind w:right="51"/>
        <w:jc w:val="both"/>
        <w:rPr>
          <w:rFonts w:ascii="Palatino Linotype" w:eastAsia="Palatino Linotype" w:hAnsi="Palatino Linotype" w:cs="Palatino Linotype"/>
          <w:b/>
        </w:rPr>
      </w:pPr>
      <w:r w:rsidRPr="000B7C87">
        <w:rPr>
          <w:rFonts w:ascii="Palatino Linotype" w:eastAsia="Palatino Linotype" w:hAnsi="Palatino Linotype" w:cs="Palatino Linotype"/>
          <w:b/>
        </w:rPr>
        <w:t xml:space="preserve">4. Turno. </w:t>
      </w:r>
      <w:r w:rsidRPr="000B7C8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presente recurso de revisión se turnó por el sistema electrónico del </w:t>
      </w:r>
      <w:proofErr w:type="spellStart"/>
      <w:r w:rsidRPr="000B7C87">
        <w:rPr>
          <w:rFonts w:ascii="Palatino Linotype" w:eastAsia="Palatino Linotype" w:hAnsi="Palatino Linotype" w:cs="Palatino Linotype"/>
        </w:rPr>
        <w:t>Infoem</w:t>
      </w:r>
      <w:proofErr w:type="spellEnd"/>
      <w:r w:rsidRPr="000B7C87">
        <w:rPr>
          <w:rFonts w:ascii="Palatino Linotype" w:eastAsia="Palatino Linotype" w:hAnsi="Palatino Linotype" w:cs="Palatino Linotype"/>
        </w:rPr>
        <w:t xml:space="preserve">, a la </w:t>
      </w:r>
      <w:r w:rsidRPr="000B7C87">
        <w:rPr>
          <w:rFonts w:ascii="Palatino Linotype" w:eastAsia="Palatino Linotype" w:hAnsi="Palatino Linotype" w:cs="Palatino Linotype"/>
          <w:b/>
        </w:rPr>
        <w:t xml:space="preserve">Comisionada Guadalupe Ramírez Peña, </w:t>
      </w:r>
      <w:r w:rsidRPr="000B7C87">
        <w:rPr>
          <w:rFonts w:ascii="Palatino Linotype" w:eastAsia="Palatino Linotype" w:hAnsi="Palatino Linotype" w:cs="Palatino Linotype"/>
        </w:rPr>
        <w:t xml:space="preserve">a efecto de que analizara sobre su admisión o su </w:t>
      </w:r>
      <w:proofErr w:type="spellStart"/>
      <w:r w:rsidRPr="000B7C87">
        <w:rPr>
          <w:rFonts w:ascii="Palatino Linotype" w:eastAsia="Palatino Linotype" w:hAnsi="Palatino Linotype" w:cs="Palatino Linotype"/>
        </w:rPr>
        <w:t>desechamiento</w:t>
      </w:r>
      <w:proofErr w:type="spellEnd"/>
      <w:r w:rsidRPr="000B7C87">
        <w:rPr>
          <w:rFonts w:ascii="Palatino Linotype" w:eastAsia="Palatino Linotype" w:hAnsi="Palatino Linotype" w:cs="Palatino Linotype"/>
        </w:rPr>
        <w:t>.</w:t>
      </w:r>
    </w:p>
    <w:p w14:paraId="0FA4A6B5" w14:textId="77777777" w:rsidR="00F629EB" w:rsidRPr="000B7C87" w:rsidRDefault="00F629EB">
      <w:pPr>
        <w:spacing w:line="360" w:lineRule="auto"/>
        <w:jc w:val="both"/>
        <w:rPr>
          <w:rFonts w:ascii="Palatino Linotype" w:eastAsia="Palatino Linotype" w:hAnsi="Palatino Linotype" w:cs="Palatino Linotype"/>
          <w:b/>
        </w:rPr>
      </w:pPr>
    </w:p>
    <w:p w14:paraId="3A9C1F0F"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5. Admisión del Recurso de revisión.</w:t>
      </w:r>
      <w:r w:rsidRPr="000B7C87">
        <w:rPr>
          <w:rFonts w:ascii="Palatino Linotype" w:eastAsia="Palatino Linotype" w:hAnsi="Palatino Linotype" w:cs="Palatino Linotype"/>
        </w:rPr>
        <w:t xml:space="preserve"> Con fecha</w:t>
      </w:r>
      <w:r w:rsidRPr="000B7C87">
        <w:rPr>
          <w:rFonts w:ascii="Palatino Linotype" w:eastAsia="Palatino Linotype" w:hAnsi="Palatino Linotype" w:cs="Palatino Linotype"/>
          <w:b/>
        </w:rPr>
        <w:t xml:space="preserve"> veinticinco de noviembre de dos mil veintidós, </w:t>
      </w:r>
      <w:r w:rsidRPr="000B7C87">
        <w:rPr>
          <w:rFonts w:ascii="Palatino Linotype" w:eastAsia="Palatino Linotype" w:hAnsi="Palatino Linotype" w:cs="Palatino Linotype"/>
        </w:rPr>
        <w:t xml:space="preserve">este Instituto de Transparencia, admitió a trámite el recurso de revisión, dando un plazo máximo de siete días hábiles para que las partes manifestaran lo que a su derecho resultara conveniente, ofrecieran pruebas, formularan alegatos y </w:t>
      </w:r>
      <w:r w:rsidRPr="000B7C87">
        <w:rPr>
          <w:rFonts w:ascii="Palatino Linotype" w:eastAsia="Palatino Linotype" w:hAnsi="Palatino Linotype" w:cs="Palatino Linotype"/>
          <w:b/>
        </w:rPr>
        <w:t xml:space="preserve">EL SUJETO OBLIGADO </w:t>
      </w:r>
      <w:r w:rsidRPr="000B7C87">
        <w:rPr>
          <w:rFonts w:ascii="Palatino Linotype" w:eastAsia="Palatino Linotype" w:hAnsi="Palatino Linotype" w:cs="Palatino Linotype"/>
        </w:rPr>
        <w:t>presentara su Informe Justificado.</w:t>
      </w:r>
    </w:p>
    <w:p w14:paraId="126049DC" w14:textId="77777777" w:rsidR="00F629EB" w:rsidRPr="000B7C87" w:rsidRDefault="00F629EB">
      <w:pPr>
        <w:spacing w:line="360" w:lineRule="auto"/>
        <w:jc w:val="both"/>
        <w:rPr>
          <w:rFonts w:ascii="Palatino Linotype" w:eastAsia="Palatino Linotype" w:hAnsi="Palatino Linotype" w:cs="Palatino Linotype"/>
          <w:b/>
        </w:rPr>
      </w:pPr>
      <w:bookmarkStart w:id="2" w:name="_heading=h.2s8eyo1" w:colFirst="0" w:colLast="0"/>
      <w:bookmarkEnd w:id="2"/>
    </w:p>
    <w:p w14:paraId="12FE345F"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lastRenderedPageBreak/>
        <w:t>6. Manifestaciones</w:t>
      </w:r>
      <w:r w:rsidRPr="000B7C87">
        <w:rPr>
          <w:rFonts w:ascii="Palatino Linotype" w:eastAsia="Palatino Linotype" w:hAnsi="Palatino Linotype" w:cs="Palatino Linotype"/>
        </w:rPr>
        <w:t xml:space="preserve">. De las constancias que obran en el expediente electrónico del SAIMEX, se desprende que </w:t>
      </w: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rindió el Informe Justificado el </w:t>
      </w:r>
      <w:r w:rsidRPr="000B7C87">
        <w:rPr>
          <w:rFonts w:ascii="Palatino Linotype" w:eastAsia="Palatino Linotype" w:hAnsi="Palatino Linotype" w:cs="Palatino Linotype"/>
          <w:b/>
        </w:rPr>
        <w:t>seis de diciembre de dos mil veintidós</w:t>
      </w:r>
      <w:r w:rsidRPr="000B7C87">
        <w:rPr>
          <w:rFonts w:ascii="Palatino Linotype" w:eastAsia="Palatino Linotype" w:hAnsi="Palatino Linotype" w:cs="Palatino Linotype"/>
        </w:rPr>
        <w:t xml:space="preserve">, mismo que fue hecho de conocimiento de </w:t>
      </w:r>
      <w:r w:rsidRPr="000B7C87">
        <w:rPr>
          <w:rFonts w:ascii="Palatino Linotype" w:eastAsia="Palatino Linotype" w:hAnsi="Palatino Linotype" w:cs="Palatino Linotype"/>
          <w:b/>
        </w:rPr>
        <w:t xml:space="preserve">LA PARTE RECURRENTE </w:t>
      </w:r>
      <w:r w:rsidRPr="000B7C87">
        <w:rPr>
          <w:rFonts w:ascii="Palatino Linotype" w:eastAsia="Palatino Linotype" w:hAnsi="Palatino Linotype" w:cs="Palatino Linotype"/>
        </w:rPr>
        <w:t xml:space="preserve">el pasado </w:t>
      </w:r>
      <w:r w:rsidRPr="000B7C87">
        <w:rPr>
          <w:rFonts w:ascii="Palatino Linotype" w:eastAsia="Palatino Linotype" w:hAnsi="Palatino Linotype" w:cs="Palatino Linotype"/>
          <w:b/>
        </w:rPr>
        <w:t>dieciséis de mayo de dos mil veintitrés,</w:t>
      </w:r>
      <w:r w:rsidRPr="000B7C87">
        <w:rPr>
          <w:rFonts w:ascii="Palatino Linotype" w:eastAsia="Palatino Linotype" w:hAnsi="Palatino Linotype" w:cs="Palatino Linotype"/>
        </w:rPr>
        <w:t xml:space="preserve"> para que en un plazo de tres días hábiles manifestara lo que considerara pertinente. </w:t>
      </w:r>
    </w:p>
    <w:p w14:paraId="3D2BE3DF" w14:textId="77777777" w:rsidR="00F629EB" w:rsidRPr="000B7C87" w:rsidRDefault="00F629EB">
      <w:pPr>
        <w:spacing w:line="360" w:lineRule="auto"/>
        <w:jc w:val="both"/>
        <w:rPr>
          <w:rFonts w:ascii="Palatino Linotype" w:eastAsia="Palatino Linotype" w:hAnsi="Palatino Linotype" w:cs="Palatino Linotype"/>
        </w:rPr>
      </w:pPr>
    </w:p>
    <w:p w14:paraId="57D1C72A"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en este acto procesal, haciendo uso de su derecho remitió su Informe Justificado con el oficio </w:t>
      </w:r>
      <w:r w:rsidRPr="000B7C87">
        <w:rPr>
          <w:rFonts w:ascii="Palatino Linotype" w:eastAsia="Palatino Linotype" w:hAnsi="Palatino Linotype" w:cs="Palatino Linotype"/>
          <w:i/>
        </w:rPr>
        <w:t>2010A4000/UT/RR/0721/2022</w:t>
      </w:r>
      <w:r w:rsidRPr="000B7C87">
        <w:rPr>
          <w:rFonts w:ascii="Palatino Linotype" w:eastAsia="Palatino Linotype" w:hAnsi="Palatino Linotype" w:cs="Palatino Linotype"/>
        </w:rPr>
        <w:t xml:space="preserve"> de fecha dos de diciembre de dos mil veintidós, mediante el cual la Unidad de Transparencia ratificó en cada uno de sus puntos la respuesta a la solicitud </w:t>
      </w:r>
      <w:r w:rsidRPr="000B7C87">
        <w:rPr>
          <w:rFonts w:ascii="Palatino Linotype" w:eastAsia="Palatino Linotype" w:hAnsi="Palatino Linotype" w:cs="Palatino Linotype"/>
          <w:b/>
        </w:rPr>
        <w:t>02188/TOLUCA/IP/2022</w:t>
      </w:r>
      <w:r w:rsidRPr="000B7C87">
        <w:rPr>
          <w:rFonts w:ascii="Palatino Linotype" w:eastAsia="Palatino Linotype" w:hAnsi="Palatino Linotype" w:cs="Palatino Linotype"/>
        </w:rPr>
        <w:t xml:space="preserve">. </w:t>
      </w:r>
    </w:p>
    <w:p w14:paraId="25D27857" w14:textId="77777777" w:rsidR="00F629EB" w:rsidRPr="000B7C87" w:rsidRDefault="00F629EB">
      <w:pPr>
        <w:spacing w:line="360" w:lineRule="auto"/>
        <w:rPr>
          <w:rFonts w:ascii="Palatino Linotype" w:eastAsia="Palatino Linotype" w:hAnsi="Palatino Linotype" w:cs="Palatino Linotype"/>
        </w:rPr>
      </w:pPr>
    </w:p>
    <w:p w14:paraId="165F7288"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Dichas consideraciones fueron hechas del conocimiento de </w:t>
      </w:r>
      <w:r w:rsidRPr="000B7C87">
        <w:rPr>
          <w:rFonts w:ascii="Palatino Linotype" w:eastAsia="Palatino Linotype" w:hAnsi="Palatino Linotype" w:cs="Palatino Linotype"/>
          <w:b/>
        </w:rPr>
        <w:t>LA PARTE RECURRENTE</w:t>
      </w:r>
      <w:r w:rsidRPr="000B7C87">
        <w:rPr>
          <w:rFonts w:ascii="Palatino Linotype" w:eastAsia="Palatino Linotype" w:hAnsi="Palatino Linotype" w:cs="Palatino Linotype"/>
        </w:rPr>
        <w:t xml:space="preserve"> para que ella pudiera realizar las manifestaciones que resultara conducentes, sin embargo, decidió dejar de pronunciarse, tal y como consta a continuación: </w:t>
      </w:r>
    </w:p>
    <w:p w14:paraId="66B98579" w14:textId="77777777" w:rsidR="00F629EB" w:rsidRPr="000B7C87" w:rsidRDefault="000B7C87">
      <w:pPr>
        <w:spacing w:line="360" w:lineRule="auto"/>
        <w:jc w:val="center"/>
        <w:rPr>
          <w:rFonts w:ascii="Palatino Linotype" w:eastAsia="Palatino Linotype" w:hAnsi="Palatino Linotype" w:cs="Palatino Linotype"/>
        </w:rPr>
      </w:pPr>
      <w:r w:rsidRPr="000B7C87">
        <w:rPr>
          <w:noProof/>
        </w:rPr>
        <w:drawing>
          <wp:inline distT="0" distB="0" distL="0" distR="0" wp14:anchorId="1A598C2B" wp14:editId="7863097C">
            <wp:extent cx="4967554" cy="1704625"/>
            <wp:effectExtent l="0" t="0" r="0" b="0"/>
            <wp:docPr id="1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7298" t="25261" r="4186" b="20736"/>
                    <a:stretch>
                      <a:fillRect/>
                    </a:stretch>
                  </pic:blipFill>
                  <pic:spPr>
                    <a:xfrm>
                      <a:off x="0" y="0"/>
                      <a:ext cx="4967554" cy="1704625"/>
                    </a:xfrm>
                    <a:prstGeom prst="rect">
                      <a:avLst/>
                    </a:prstGeom>
                    <a:ln/>
                  </pic:spPr>
                </pic:pic>
              </a:graphicData>
            </a:graphic>
          </wp:inline>
        </w:drawing>
      </w:r>
    </w:p>
    <w:p w14:paraId="76426A64" w14:textId="77777777" w:rsidR="00F629EB" w:rsidRPr="000B7C87" w:rsidRDefault="00F629EB">
      <w:pPr>
        <w:spacing w:line="360" w:lineRule="auto"/>
        <w:jc w:val="center"/>
        <w:rPr>
          <w:rFonts w:ascii="Palatino Linotype" w:eastAsia="Palatino Linotype" w:hAnsi="Palatino Linotype" w:cs="Palatino Linotype"/>
        </w:rPr>
      </w:pPr>
    </w:p>
    <w:p w14:paraId="6CF86CB2" w14:textId="77777777" w:rsidR="00F629EB" w:rsidRPr="000B7C87" w:rsidRDefault="000B7C87">
      <w:pPr>
        <w:widowControl w:val="0"/>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 xml:space="preserve">7. Ampliación del plazo para emitir resolución. </w:t>
      </w:r>
      <w:r w:rsidRPr="000B7C87">
        <w:rPr>
          <w:rFonts w:ascii="Palatino Linotype" w:eastAsia="Palatino Linotype" w:hAnsi="Palatino Linotype" w:cs="Palatino Linotype"/>
        </w:rPr>
        <w:t xml:space="preserve">Es el </w:t>
      </w:r>
      <w:r w:rsidRPr="000B7C87">
        <w:rPr>
          <w:rFonts w:ascii="Palatino Linotype" w:eastAsia="Palatino Linotype" w:hAnsi="Palatino Linotype" w:cs="Palatino Linotype"/>
          <w:b/>
        </w:rPr>
        <w:t>dieciséis de mayo de dos mil veintitrés</w:t>
      </w:r>
      <w:r w:rsidRPr="000B7C87">
        <w:rPr>
          <w:rFonts w:ascii="Palatino Linotype" w:eastAsia="Palatino Linotype" w:hAnsi="Palatino Linotype" w:cs="Palatino Linotype"/>
        </w:rPr>
        <w:t xml:space="preserve">, que este Instituto de Transparencia, Acceso a la Información Pública y Protección de Datos Personales del Estado de México y Municipios, con fundamento </w:t>
      </w:r>
      <w:r w:rsidRPr="000B7C87">
        <w:rPr>
          <w:rFonts w:ascii="Palatino Linotype" w:eastAsia="Palatino Linotype" w:hAnsi="Palatino Linotype" w:cs="Palatino Linotype"/>
        </w:rPr>
        <w:lastRenderedPageBreak/>
        <w:t>en el artículo 181, párrafo tercero, de la Ley de Transparencia y Acceso a la Información Pública del Estado de México y Municipios, determinó ampliar el plazo para emitir la presente resolución.</w:t>
      </w:r>
    </w:p>
    <w:p w14:paraId="116ED7F0" w14:textId="77777777" w:rsidR="00F629EB" w:rsidRPr="000B7C87" w:rsidRDefault="00F629EB">
      <w:pPr>
        <w:widowControl w:val="0"/>
        <w:spacing w:line="360" w:lineRule="auto"/>
        <w:jc w:val="both"/>
        <w:rPr>
          <w:rFonts w:ascii="Palatino Linotype" w:eastAsia="Palatino Linotype" w:hAnsi="Palatino Linotype" w:cs="Palatino Linotype"/>
        </w:rPr>
      </w:pPr>
    </w:p>
    <w:p w14:paraId="645EBB9F" w14:textId="77777777" w:rsidR="00F629EB" w:rsidRPr="000B7C87" w:rsidRDefault="000B7C87">
      <w:pPr>
        <w:widowControl w:val="0"/>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14:paraId="2150ADC3" w14:textId="77777777" w:rsidR="00F629EB" w:rsidRPr="000B7C87" w:rsidRDefault="00F629EB">
      <w:pPr>
        <w:widowControl w:val="0"/>
        <w:spacing w:line="360" w:lineRule="auto"/>
        <w:jc w:val="both"/>
        <w:rPr>
          <w:rFonts w:ascii="Palatino Linotype" w:eastAsia="Palatino Linotype" w:hAnsi="Palatino Linotype" w:cs="Palatino Linotype"/>
        </w:rPr>
      </w:pPr>
    </w:p>
    <w:p w14:paraId="2F26D401" w14:textId="77777777" w:rsidR="00F629EB" w:rsidRPr="000B7C87" w:rsidRDefault="000B7C87">
      <w:pPr>
        <w:widowControl w:val="0"/>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F9FECBF" w14:textId="77777777" w:rsidR="00F629EB" w:rsidRPr="000B7C87" w:rsidRDefault="00F629EB">
      <w:pPr>
        <w:widowControl w:val="0"/>
        <w:spacing w:line="360" w:lineRule="auto"/>
        <w:jc w:val="both"/>
        <w:rPr>
          <w:rFonts w:ascii="Palatino Linotype" w:eastAsia="Palatino Linotype" w:hAnsi="Palatino Linotype" w:cs="Palatino Linotype"/>
        </w:rPr>
      </w:pPr>
    </w:p>
    <w:p w14:paraId="354A590B" w14:textId="77777777" w:rsidR="00F629EB" w:rsidRPr="000B7C87" w:rsidRDefault="000B7C87">
      <w:pPr>
        <w:widowControl w:val="0"/>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046C601" w14:textId="77777777" w:rsidR="00F629EB" w:rsidRPr="000B7C87" w:rsidRDefault="00F629EB">
      <w:pPr>
        <w:widowControl w:val="0"/>
        <w:spacing w:line="360" w:lineRule="auto"/>
        <w:jc w:val="both"/>
        <w:rPr>
          <w:rFonts w:ascii="Palatino Linotype" w:eastAsia="Palatino Linotype" w:hAnsi="Palatino Linotype" w:cs="Palatino Linotype"/>
        </w:rPr>
      </w:pPr>
    </w:p>
    <w:p w14:paraId="3626C105" w14:textId="77777777" w:rsidR="00F629EB" w:rsidRPr="000B7C87" w:rsidRDefault="000B7C87">
      <w:pPr>
        <w:widowControl w:val="0"/>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7C7C08D" w14:textId="77777777" w:rsidR="00F629EB" w:rsidRPr="000B7C87" w:rsidRDefault="00F629EB">
      <w:pPr>
        <w:widowControl w:val="0"/>
        <w:spacing w:line="360" w:lineRule="auto"/>
        <w:jc w:val="both"/>
        <w:rPr>
          <w:rFonts w:ascii="Palatino Linotype" w:eastAsia="Palatino Linotype" w:hAnsi="Palatino Linotype" w:cs="Palatino Linotype"/>
        </w:rPr>
      </w:pPr>
    </w:p>
    <w:p w14:paraId="15329A05" w14:textId="77777777" w:rsidR="00F629EB" w:rsidRPr="000B7C87" w:rsidRDefault="000B7C87">
      <w:pPr>
        <w:widowControl w:val="0"/>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14B7F84" w14:textId="77777777" w:rsidR="00F629EB" w:rsidRPr="000B7C87" w:rsidRDefault="00F629EB">
      <w:pPr>
        <w:widowControl w:val="0"/>
        <w:spacing w:line="360" w:lineRule="auto"/>
        <w:jc w:val="both"/>
        <w:rPr>
          <w:rFonts w:ascii="Palatino Linotype" w:eastAsia="Palatino Linotype" w:hAnsi="Palatino Linotype" w:cs="Palatino Linotype"/>
        </w:rPr>
      </w:pPr>
    </w:p>
    <w:p w14:paraId="5867D2A7" w14:textId="77777777" w:rsidR="00F629EB" w:rsidRPr="000B7C87" w:rsidRDefault="000B7C87">
      <w:pPr>
        <w:widowControl w:val="0"/>
        <w:numPr>
          <w:ilvl w:val="0"/>
          <w:numId w:val="6"/>
        </w:num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 xml:space="preserve">Complejidad del Asunto: </w:t>
      </w:r>
      <w:r w:rsidRPr="000B7C87">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2209397F" w14:textId="77777777" w:rsidR="00F629EB" w:rsidRPr="000B7C87" w:rsidRDefault="000B7C87">
      <w:pPr>
        <w:widowControl w:val="0"/>
        <w:numPr>
          <w:ilvl w:val="0"/>
          <w:numId w:val="6"/>
        </w:num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Actividad Procesal del interesado:</w:t>
      </w:r>
      <w:r w:rsidRPr="000B7C87">
        <w:rPr>
          <w:rFonts w:ascii="Palatino Linotype" w:eastAsia="Palatino Linotype" w:hAnsi="Palatino Linotype" w:cs="Palatino Linotype"/>
        </w:rPr>
        <w:t xml:space="preserve"> Acciones u omisiones del interesado.</w:t>
      </w:r>
    </w:p>
    <w:p w14:paraId="56EF7508" w14:textId="77777777" w:rsidR="00F629EB" w:rsidRPr="000B7C87" w:rsidRDefault="000B7C87">
      <w:pPr>
        <w:widowControl w:val="0"/>
        <w:numPr>
          <w:ilvl w:val="0"/>
          <w:numId w:val="6"/>
        </w:num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Conducta de la Autoridad:</w:t>
      </w:r>
      <w:r w:rsidRPr="000B7C87">
        <w:rPr>
          <w:rFonts w:ascii="Palatino Linotype" w:eastAsia="Palatino Linotype" w:hAnsi="Palatino Linotype" w:cs="Palatino Linotype"/>
        </w:rPr>
        <w:t xml:space="preserve"> Las Acciones u omisiones realizadas en el procedimiento. Así como si la autoridad actuó con la debida diligencia.</w:t>
      </w:r>
    </w:p>
    <w:p w14:paraId="3B69A114" w14:textId="77777777" w:rsidR="00F629EB" w:rsidRPr="000B7C87" w:rsidRDefault="000B7C87">
      <w:pPr>
        <w:widowControl w:val="0"/>
        <w:numPr>
          <w:ilvl w:val="0"/>
          <w:numId w:val="6"/>
        </w:num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La afectación generada en la situación jurídica de la persona involucrada en el proceso:</w:t>
      </w:r>
      <w:r w:rsidRPr="000B7C87">
        <w:rPr>
          <w:rFonts w:ascii="Palatino Linotype" w:eastAsia="Palatino Linotype" w:hAnsi="Palatino Linotype" w:cs="Palatino Linotype"/>
        </w:rPr>
        <w:t xml:space="preserve"> Violación a sus derechos humanos.</w:t>
      </w:r>
    </w:p>
    <w:p w14:paraId="5E5548B1" w14:textId="77777777" w:rsidR="00F629EB" w:rsidRPr="000B7C87" w:rsidRDefault="00F629EB">
      <w:pPr>
        <w:widowControl w:val="0"/>
        <w:spacing w:line="360" w:lineRule="auto"/>
        <w:jc w:val="both"/>
        <w:rPr>
          <w:rFonts w:ascii="Palatino Linotype" w:eastAsia="Palatino Linotype" w:hAnsi="Palatino Linotype" w:cs="Palatino Linotype"/>
        </w:rPr>
      </w:pPr>
    </w:p>
    <w:p w14:paraId="08D292A2" w14:textId="77777777" w:rsidR="00F629EB" w:rsidRPr="000B7C87" w:rsidRDefault="000B7C87">
      <w:pPr>
        <w:widowControl w:val="0"/>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1500CA6" w14:textId="77777777" w:rsidR="00F629EB" w:rsidRPr="000B7C87" w:rsidRDefault="00F629EB">
      <w:pPr>
        <w:widowControl w:val="0"/>
        <w:spacing w:line="360" w:lineRule="auto"/>
        <w:jc w:val="both"/>
        <w:rPr>
          <w:rFonts w:ascii="Palatino Linotype" w:eastAsia="Palatino Linotype" w:hAnsi="Palatino Linotype" w:cs="Palatino Linotype"/>
        </w:rPr>
      </w:pPr>
    </w:p>
    <w:p w14:paraId="4701EDD5" w14:textId="77777777" w:rsidR="00F629EB" w:rsidRPr="000B7C87" w:rsidRDefault="000B7C87">
      <w:pPr>
        <w:widowControl w:val="0"/>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B7C87">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0B7C87">
        <w:rPr>
          <w:rFonts w:ascii="Palatino Linotype" w:eastAsia="Palatino Linotype" w:hAnsi="Palatino Linotype" w:cs="Palatino Linotype"/>
          <w:b/>
        </w:rPr>
        <w:t>,</w:t>
      </w:r>
      <w:r w:rsidRPr="000B7C87">
        <w:rPr>
          <w:rFonts w:ascii="Palatino Linotype" w:eastAsia="Palatino Linotype" w:hAnsi="Palatino Linotype" w:cs="Palatino Linotype"/>
        </w:rPr>
        <w:t xml:space="preserve"> visible en la Gaceta del Seminario Judicial de la Federación con el registro digital 205635.</w:t>
      </w:r>
    </w:p>
    <w:p w14:paraId="300DE0B1" w14:textId="77777777" w:rsidR="00F629EB" w:rsidRPr="000B7C87" w:rsidRDefault="00F629EB">
      <w:pPr>
        <w:widowControl w:val="0"/>
        <w:spacing w:line="360" w:lineRule="auto"/>
        <w:jc w:val="both"/>
        <w:rPr>
          <w:rFonts w:ascii="Palatino Linotype" w:eastAsia="Palatino Linotype" w:hAnsi="Palatino Linotype" w:cs="Palatino Linotype"/>
          <w:b/>
        </w:rPr>
      </w:pPr>
    </w:p>
    <w:p w14:paraId="1F71B7C0" w14:textId="77777777" w:rsidR="00F629EB" w:rsidRPr="000B7C87" w:rsidRDefault="000B7C87">
      <w:pPr>
        <w:widowControl w:val="0"/>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8A3053B" w14:textId="77777777" w:rsidR="00F629EB" w:rsidRPr="000B7C87" w:rsidRDefault="00F629EB">
      <w:pPr>
        <w:widowControl w:val="0"/>
        <w:spacing w:line="360" w:lineRule="auto"/>
        <w:jc w:val="both"/>
        <w:rPr>
          <w:rFonts w:ascii="Palatino Linotype" w:eastAsia="Palatino Linotype" w:hAnsi="Palatino Linotype" w:cs="Palatino Linotype"/>
        </w:rPr>
      </w:pPr>
    </w:p>
    <w:p w14:paraId="510CA962" w14:textId="77777777" w:rsidR="00F629EB" w:rsidRPr="000B7C87" w:rsidRDefault="000B7C87">
      <w:pPr>
        <w:widowControl w:val="0"/>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DCB0597" w14:textId="77777777" w:rsidR="00F629EB" w:rsidRPr="000B7C87" w:rsidRDefault="00F629EB">
      <w:pPr>
        <w:widowControl w:val="0"/>
        <w:spacing w:line="360" w:lineRule="auto"/>
        <w:jc w:val="both"/>
        <w:rPr>
          <w:rFonts w:ascii="Palatino Linotype" w:eastAsia="Palatino Linotype" w:hAnsi="Palatino Linotype" w:cs="Palatino Linotype"/>
        </w:rPr>
      </w:pPr>
    </w:p>
    <w:p w14:paraId="20A26EC3" w14:textId="77777777" w:rsidR="00F629EB" w:rsidRPr="000B7C87" w:rsidRDefault="000B7C87">
      <w:pPr>
        <w:widowControl w:val="0"/>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i/>
        </w:rPr>
        <w:lastRenderedPageBreak/>
        <w:t>“PLAZO RAZONABLE PARA RESOLVER. DIMENSIÓN Y EFECTOS DE ESTE CONCEPTO CUANDO SE ADUCE EXCESIVA CARGA DE TRABAJO.”</w:t>
      </w:r>
      <w:r w:rsidRPr="000B7C87">
        <w:rPr>
          <w:rFonts w:ascii="Palatino Linotype" w:eastAsia="Palatino Linotype" w:hAnsi="Palatino Linotype" w:cs="Palatino Linotype"/>
        </w:rPr>
        <w:t xml:space="preserve"> consultable en el Seminario Judicial de la Federación y su gaceta, con el registro digital 2002351.</w:t>
      </w:r>
    </w:p>
    <w:p w14:paraId="128000E4" w14:textId="77777777" w:rsidR="00F629EB" w:rsidRPr="000B7C87" w:rsidRDefault="00F629EB">
      <w:pPr>
        <w:widowControl w:val="0"/>
        <w:spacing w:line="360" w:lineRule="auto"/>
        <w:jc w:val="both"/>
        <w:rPr>
          <w:rFonts w:ascii="Palatino Linotype" w:eastAsia="Palatino Linotype" w:hAnsi="Palatino Linotype" w:cs="Palatino Linotype"/>
        </w:rPr>
      </w:pPr>
    </w:p>
    <w:p w14:paraId="53AEDA55" w14:textId="77777777" w:rsidR="00F629EB" w:rsidRPr="000B7C87" w:rsidRDefault="000B7C87">
      <w:pPr>
        <w:widowControl w:val="0"/>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i/>
        </w:rPr>
        <w:t>“PLAZO RAZONABLE PARA RESOLVER. CONCEPTO Y ELEMENTOS QUE LO INTEGRAN A LA LUZ DEL DERECHO INTERNACIONAL DE LOS DERECHOS HUMANOS.”</w:t>
      </w:r>
      <w:r w:rsidRPr="000B7C87">
        <w:rPr>
          <w:rFonts w:ascii="Palatino Linotype" w:eastAsia="Palatino Linotype" w:hAnsi="Palatino Linotype" w:cs="Palatino Linotype"/>
          <w:b/>
        </w:rPr>
        <w:t>,</w:t>
      </w:r>
      <w:r w:rsidRPr="000B7C87">
        <w:rPr>
          <w:rFonts w:ascii="Palatino Linotype" w:eastAsia="Palatino Linotype" w:hAnsi="Palatino Linotype" w:cs="Palatino Linotype"/>
        </w:rPr>
        <w:t xml:space="preserve"> visible en el Seminario Judicial de la Federación y su gaceta, con el registro digital 2002350.</w:t>
      </w:r>
    </w:p>
    <w:p w14:paraId="75FACEDC" w14:textId="77777777" w:rsidR="00F629EB" w:rsidRPr="000B7C87" w:rsidRDefault="00F629EB">
      <w:pPr>
        <w:widowControl w:val="0"/>
        <w:spacing w:line="360" w:lineRule="auto"/>
        <w:jc w:val="both"/>
        <w:rPr>
          <w:rFonts w:ascii="Palatino Linotype" w:eastAsia="Palatino Linotype" w:hAnsi="Palatino Linotype" w:cs="Palatino Linotype"/>
        </w:rPr>
      </w:pPr>
    </w:p>
    <w:p w14:paraId="31DEC1E9" w14:textId="77777777" w:rsidR="00F629EB" w:rsidRPr="000B7C87" w:rsidRDefault="000B7C87">
      <w:pPr>
        <w:widowControl w:val="0"/>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9C1E860" w14:textId="77777777" w:rsidR="00F629EB" w:rsidRPr="000B7C87" w:rsidRDefault="00F629EB">
      <w:pPr>
        <w:widowControl w:val="0"/>
        <w:spacing w:line="360" w:lineRule="auto"/>
        <w:jc w:val="both"/>
        <w:rPr>
          <w:rFonts w:ascii="Palatino Linotype" w:eastAsia="Palatino Linotype" w:hAnsi="Palatino Linotype" w:cs="Palatino Linotype"/>
        </w:rPr>
      </w:pPr>
    </w:p>
    <w:p w14:paraId="2EFC97D2"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 xml:space="preserve">8. Cierre de instrucción. </w:t>
      </w:r>
      <w:r w:rsidRPr="000B7C87">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0B7C87">
        <w:rPr>
          <w:rFonts w:ascii="Palatino Linotype" w:eastAsia="Palatino Linotype" w:hAnsi="Palatino Linotype" w:cs="Palatino Linotype"/>
          <w:b/>
        </w:rPr>
        <w:t>veinticuatro de mayo de dos mil veintitrés</w:t>
      </w:r>
      <w:r w:rsidRPr="000B7C87">
        <w:rPr>
          <w:rFonts w:ascii="Palatino Linotype" w:eastAsia="Palatino Linotype" w:hAnsi="Palatino Linotype" w:cs="Palatino Linotype"/>
        </w:rPr>
        <w:t xml:space="preserve">, la </w:t>
      </w:r>
      <w:r w:rsidRPr="000B7C87">
        <w:rPr>
          <w:rFonts w:ascii="Palatino Linotype" w:eastAsia="Palatino Linotype" w:hAnsi="Palatino Linotype" w:cs="Palatino Linotype"/>
          <w:b/>
        </w:rPr>
        <w:t>Comisionada Ponente</w:t>
      </w:r>
      <w:r w:rsidRPr="000B7C87">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2B59312D" w14:textId="77777777" w:rsidR="00F629EB" w:rsidRPr="000B7C87" w:rsidRDefault="00F629EB">
      <w:pPr>
        <w:spacing w:line="360" w:lineRule="auto"/>
        <w:jc w:val="both"/>
        <w:rPr>
          <w:rFonts w:ascii="Palatino Linotype" w:eastAsia="Palatino Linotype" w:hAnsi="Palatino Linotype" w:cs="Palatino Linotype"/>
        </w:rPr>
      </w:pPr>
    </w:p>
    <w:p w14:paraId="17C055AE"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y </w:t>
      </w:r>
    </w:p>
    <w:p w14:paraId="48A3AEE1" w14:textId="77777777" w:rsidR="00F629EB" w:rsidRPr="000B7C87" w:rsidRDefault="00F629EB">
      <w:pPr>
        <w:spacing w:line="360" w:lineRule="auto"/>
        <w:jc w:val="both"/>
        <w:rPr>
          <w:rFonts w:ascii="Palatino Linotype" w:eastAsia="Palatino Linotype" w:hAnsi="Palatino Linotype" w:cs="Palatino Linotype"/>
        </w:rPr>
      </w:pPr>
    </w:p>
    <w:p w14:paraId="4A78D032" w14:textId="77777777" w:rsidR="00F629EB" w:rsidRPr="000B7C87" w:rsidRDefault="000B7C87">
      <w:pPr>
        <w:widowControl w:val="0"/>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rPr>
      </w:pPr>
      <w:r w:rsidRPr="000B7C87">
        <w:rPr>
          <w:rFonts w:ascii="Palatino Linotype" w:eastAsia="Palatino Linotype" w:hAnsi="Palatino Linotype" w:cs="Palatino Linotype"/>
          <w:b/>
        </w:rPr>
        <w:t xml:space="preserve">C O N S I D E R A N D O </w:t>
      </w:r>
    </w:p>
    <w:p w14:paraId="17D7DB91" w14:textId="77777777" w:rsidR="00F629EB" w:rsidRPr="000B7C87" w:rsidRDefault="00F629EB">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4F0F1581"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PRIMERO. COMPETENCIA.</w:t>
      </w:r>
      <w:r w:rsidRPr="000B7C8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0B8C8D0" w14:textId="77777777" w:rsidR="00F629EB" w:rsidRPr="000B7C87" w:rsidRDefault="00F629EB">
      <w:pPr>
        <w:spacing w:line="360" w:lineRule="auto"/>
        <w:jc w:val="both"/>
        <w:rPr>
          <w:rFonts w:ascii="Palatino Linotype" w:eastAsia="Palatino Linotype" w:hAnsi="Palatino Linotype" w:cs="Palatino Linotype"/>
          <w:b/>
        </w:rPr>
      </w:pPr>
    </w:p>
    <w:p w14:paraId="1BFC89F7"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SEGUNDO. OPORTUNIDAD Y PROCEDIBILIDAD DEL RECURSO DE REVISIÓN</w:t>
      </w:r>
      <w:r w:rsidRPr="000B7C87">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2457743" w14:textId="77777777" w:rsidR="00F629EB" w:rsidRPr="000B7C87" w:rsidRDefault="00F629EB">
      <w:pPr>
        <w:spacing w:line="360" w:lineRule="auto"/>
        <w:jc w:val="both"/>
        <w:rPr>
          <w:rFonts w:ascii="Palatino Linotype" w:eastAsia="Palatino Linotype" w:hAnsi="Palatino Linotype" w:cs="Palatino Linotype"/>
        </w:rPr>
      </w:pPr>
    </w:p>
    <w:p w14:paraId="7DFD1775" w14:textId="77777777" w:rsidR="00F629EB" w:rsidRPr="000B7C87" w:rsidRDefault="000B7C87">
      <w:pPr>
        <w:spacing w:line="360" w:lineRule="auto"/>
        <w:jc w:val="both"/>
        <w:rPr>
          <w:rFonts w:ascii="Palatino Linotype" w:eastAsia="Palatino Linotype" w:hAnsi="Palatino Linotype" w:cs="Palatino Linotype"/>
        </w:rPr>
      </w:pPr>
      <w:bookmarkStart w:id="3" w:name="_heading=h.3znysh7" w:colFirst="0" w:colLast="0"/>
      <w:bookmarkEnd w:id="3"/>
      <w:r w:rsidRPr="000B7C8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w:t>
      </w:r>
      <w:r w:rsidRPr="000B7C87">
        <w:rPr>
          <w:rFonts w:ascii="Palatino Linotype" w:eastAsia="Palatino Linotype" w:hAnsi="Palatino Linotype" w:cs="Palatino Linotype"/>
        </w:rPr>
        <w:lastRenderedPageBreak/>
        <w:t xml:space="preserve">Pública del Estado de México y Municipios, toda vez que </w:t>
      </w:r>
      <w:r w:rsidRPr="000B7C87">
        <w:rPr>
          <w:rFonts w:ascii="Palatino Linotype" w:eastAsia="Palatino Linotype" w:hAnsi="Palatino Linotype" w:cs="Palatino Linotype"/>
          <w:b/>
        </w:rPr>
        <w:t xml:space="preserve">EL SUJETO OBLIGADO </w:t>
      </w:r>
      <w:r w:rsidRPr="000B7C87">
        <w:rPr>
          <w:rFonts w:ascii="Palatino Linotype" w:eastAsia="Palatino Linotype" w:hAnsi="Palatino Linotype" w:cs="Palatino Linotype"/>
        </w:rPr>
        <w:t xml:space="preserve">remitió la respuesta a la solicitud de información el día </w:t>
      </w:r>
      <w:r w:rsidRPr="000B7C87">
        <w:rPr>
          <w:rFonts w:ascii="Palatino Linotype" w:eastAsia="Palatino Linotype" w:hAnsi="Palatino Linotype" w:cs="Palatino Linotype"/>
          <w:b/>
        </w:rPr>
        <w:t xml:space="preserve">nueve de noviembre de dos mil veintidós, </w:t>
      </w:r>
      <w:r w:rsidRPr="000B7C87">
        <w:rPr>
          <w:rFonts w:ascii="Palatino Linotype" w:eastAsia="Palatino Linotype" w:hAnsi="Palatino Linotype" w:cs="Palatino Linotype"/>
        </w:rPr>
        <w:t xml:space="preserve">mientras que el recurso de revisión interpuesto por </w:t>
      </w:r>
      <w:r w:rsidRPr="000B7C87">
        <w:rPr>
          <w:rFonts w:ascii="Palatino Linotype" w:eastAsia="Palatino Linotype" w:hAnsi="Palatino Linotype" w:cs="Palatino Linotype"/>
          <w:b/>
        </w:rPr>
        <w:t xml:space="preserve">LA PARTE RECURRENTE </w:t>
      </w:r>
      <w:r w:rsidRPr="000B7C87">
        <w:rPr>
          <w:rFonts w:ascii="Palatino Linotype" w:eastAsia="Palatino Linotype" w:hAnsi="Palatino Linotype" w:cs="Palatino Linotype"/>
        </w:rPr>
        <w:t xml:space="preserve">se tuvo por presentado el </w:t>
      </w:r>
      <w:r w:rsidRPr="000B7C87">
        <w:rPr>
          <w:rFonts w:ascii="Palatino Linotype" w:eastAsia="Palatino Linotype" w:hAnsi="Palatino Linotype" w:cs="Palatino Linotype"/>
          <w:b/>
        </w:rPr>
        <w:t>veintidós de noviembre de dos mil veintidós,</w:t>
      </w:r>
      <w:r w:rsidRPr="000B7C87">
        <w:rPr>
          <w:rFonts w:ascii="Palatino Linotype" w:eastAsia="Palatino Linotype" w:hAnsi="Palatino Linotype" w:cs="Palatino Linotype"/>
        </w:rPr>
        <w:t xml:space="preserve"> esto es al octavo día hábil siguiente de haber recibido la respuesta, por lo que se concluye que el presente recurso de revisión se encuentra dentro de los márgenes temporales previstos las disposiciones legales referidas.</w:t>
      </w:r>
    </w:p>
    <w:p w14:paraId="7179E6B3" w14:textId="77777777" w:rsidR="00F629EB" w:rsidRPr="000B7C87" w:rsidRDefault="00F629EB">
      <w:pPr>
        <w:rPr>
          <w:rFonts w:ascii="Palatino Linotype" w:eastAsia="Palatino Linotype" w:hAnsi="Palatino Linotype" w:cs="Palatino Linotype"/>
        </w:rPr>
      </w:pPr>
    </w:p>
    <w:p w14:paraId="6C946353"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3B36290" w14:textId="77777777" w:rsidR="00F629EB" w:rsidRPr="000B7C87" w:rsidRDefault="00F629EB">
      <w:pPr>
        <w:spacing w:line="360" w:lineRule="auto"/>
        <w:jc w:val="both"/>
        <w:rPr>
          <w:rFonts w:ascii="Palatino Linotype" w:eastAsia="Palatino Linotype" w:hAnsi="Palatino Linotype" w:cs="Palatino Linotype"/>
        </w:rPr>
      </w:pPr>
    </w:p>
    <w:p w14:paraId="63D8E815"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Finalmente, se advierte que resulta procedente la interposición del recurso, según lo manifestado por </w:t>
      </w:r>
      <w:r w:rsidRPr="000B7C87">
        <w:rPr>
          <w:rFonts w:ascii="Palatino Linotype" w:eastAsia="Palatino Linotype" w:hAnsi="Palatino Linotype" w:cs="Palatino Linotype"/>
          <w:b/>
        </w:rPr>
        <w:t>LA PARTE RECURRENTE</w:t>
      </w:r>
      <w:r w:rsidRPr="000B7C87">
        <w:rPr>
          <w:rFonts w:ascii="Palatino Linotype" w:eastAsia="Palatino Linotype" w:hAnsi="Palatino Linotype" w:cs="Palatino Linotype"/>
        </w:rPr>
        <w:t xml:space="preserve"> en sus motivos de inconformidad, de acuerdo al artículo 179, fracción V del ordenamiento legal citado, que a la letra dice: </w:t>
      </w:r>
    </w:p>
    <w:p w14:paraId="134C4932"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0A0B54A"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Artículo 179. El recurso de revisión es un medio de protección que la Ley otorga a los particulares, para hacer valer su derecho de acceso a la información pública, y procederá en contra de las siguientes causas:</w:t>
      </w:r>
    </w:p>
    <w:p w14:paraId="6057C594"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w:t>
      </w:r>
    </w:p>
    <w:p w14:paraId="2243959C"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0B7C87">
        <w:rPr>
          <w:rFonts w:ascii="Palatino Linotype" w:eastAsia="Palatino Linotype" w:hAnsi="Palatino Linotype" w:cs="Palatino Linotype"/>
          <w:b/>
          <w:i/>
          <w:sz w:val="22"/>
          <w:szCs w:val="22"/>
        </w:rPr>
        <w:t>V. La entrega de información incompleta;</w:t>
      </w:r>
    </w:p>
    <w:p w14:paraId="15CF4928"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w:t>
      </w:r>
    </w:p>
    <w:p w14:paraId="4C3641F2"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88CC684" w14:textId="77777777" w:rsidR="00F629EB" w:rsidRPr="000B7C87" w:rsidRDefault="000B7C87">
      <w:pPr>
        <w:spacing w:line="360" w:lineRule="auto"/>
        <w:jc w:val="both"/>
        <w:rPr>
          <w:rFonts w:ascii="Palatino Linotype" w:eastAsia="Palatino Linotype" w:hAnsi="Palatino Linotype" w:cs="Palatino Linotype"/>
        </w:rPr>
      </w:pPr>
      <w:bookmarkStart w:id="4" w:name="_heading=h.2et92p0" w:colFirst="0" w:colLast="0"/>
      <w:bookmarkEnd w:id="4"/>
      <w:r w:rsidRPr="000B7C87">
        <w:rPr>
          <w:rFonts w:ascii="Palatino Linotype" w:eastAsia="Palatino Linotype" w:hAnsi="Palatino Linotype" w:cs="Palatino Linotype"/>
          <w:b/>
        </w:rPr>
        <w:t xml:space="preserve">TERCERO. MATERIA DE LA REVISIÓN. </w:t>
      </w:r>
      <w:r w:rsidRPr="000B7C87">
        <w:rPr>
          <w:rFonts w:ascii="Palatino Linotype" w:eastAsia="Palatino Linotype" w:hAnsi="Palatino Linotype" w:cs="Palatino Linotype"/>
        </w:rPr>
        <w:t xml:space="preserve">De la revisión a las constancias y documentos que obran en el expediente electrónico se advierte, que el tema sobre el </w:t>
      </w:r>
      <w:r w:rsidRPr="000B7C87">
        <w:rPr>
          <w:rFonts w:ascii="Palatino Linotype" w:eastAsia="Palatino Linotype" w:hAnsi="Palatino Linotype" w:cs="Palatino Linotype"/>
        </w:rPr>
        <w:lastRenderedPageBreak/>
        <w:t xml:space="preserve">que este Organismo Garante de Transparencia y Acceso a la Información se pronunciará será: verificar si la respuesta otorgada por </w:t>
      </w: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es adecuada y suficiente para satisfacer el Derecho de Acceso a la Información Pública</w:t>
      </w:r>
      <w:r w:rsidRPr="000B7C87">
        <w:rPr>
          <w:rFonts w:ascii="Palatino Linotype" w:eastAsia="Palatino Linotype" w:hAnsi="Palatino Linotype" w:cs="Palatino Linotype"/>
          <w:b/>
        </w:rPr>
        <w:t xml:space="preserve"> </w:t>
      </w:r>
      <w:r w:rsidRPr="000B7C87">
        <w:rPr>
          <w:rFonts w:ascii="Palatino Linotype" w:eastAsia="Palatino Linotype" w:hAnsi="Palatino Linotype" w:cs="Palatino Linotype"/>
        </w:rPr>
        <w:t xml:space="preserve">de </w:t>
      </w:r>
      <w:r w:rsidRPr="000B7C87">
        <w:rPr>
          <w:rFonts w:ascii="Palatino Linotype" w:eastAsia="Palatino Linotype" w:hAnsi="Palatino Linotype" w:cs="Palatino Linotype"/>
          <w:b/>
        </w:rPr>
        <w:t>LA PARTE RECURRENTE</w:t>
      </w:r>
      <w:r w:rsidRPr="000B7C87">
        <w:rPr>
          <w:rFonts w:ascii="Palatino Linotype" w:eastAsia="Palatino Linotype" w:hAnsi="Palatino Linotype" w:cs="Palatino Linotype"/>
        </w:rPr>
        <w:t>, o en su defecto, en caso de ser procedente, ordenar la entrega de información oportuna.</w:t>
      </w:r>
    </w:p>
    <w:p w14:paraId="2BA89B7C" w14:textId="77777777" w:rsidR="00F629EB" w:rsidRPr="000B7C87" w:rsidRDefault="00F629EB">
      <w:pPr>
        <w:spacing w:line="360" w:lineRule="auto"/>
        <w:jc w:val="both"/>
        <w:rPr>
          <w:rFonts w:ascii="Palatino Linotype" w:eastAsia="Palatino Linotype" w:hAnsi="Palatino Linotype" w:cs="Palatino Linotype"/>
        </w:rPr>
      </w:pPr>
    </w:p>
    <w:p w14:paraId="7E619C3D" w14:textId="77777777" w:rsidR="00F629EB" w:rsidRPr="000B7C87" w:rsidRDefault="000B7C87">
      <w:pPr>
        <w:spacing w:line="360" w:lineRule="auto"/>
        <w:ind w:right="51"/>
        <w:jc w:val="both"/>
        <w:rPr>
          <w:rFonts w:ascii="Palatino Linotype" w:eastAsia="Palatino Linotype" w:hAnsi="Palatino Linotype" w:cs="Palatino Linotype"/>
          <w:b/>
        </w:rPr>
      </w:pPr>
      <w:r w:rsidRPr="000B7C87">
        <w:rPr>
          <w:rFonts w:ascii="Palatino Linotype" w:eastAsia="Palatino Linotype" w:hAnsi="Palatino Linotype" w:cs="Palatino Linotype"/>
          <w:b/>
        </w:rPr>
        <w:t xml:space="preserve">CUARTO. ESTUDIO DEL ASUNTO. </w:t>
      </w:r>
      <w:r w:rsidRPr="000B7C87">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1B3D935" w14:textId="77777777" w:rsidR="00F629EB" w:rsidRPr="000B7C87" w:rsidRDefault="00F629EB">
      <w:pPr>
        <w:tabs>
          <w:tab w:val="left" w:pos="709"/>
        </w:tabs>
        <w:ind w:left="851" w:right="616"/>
        <w:jc w:val="both"/>
        <w:rPr>
          <w:rFonts w:ascii="Palatino Linotype" w:eastAsia="Palatino Linotype" w:hAnsi="Palatino Linotype" w:cs="Palatino Linotype"/>
          <w:b/>
          <w:i/>
          <w:sz w:val="22"/>
          <w:szCs w:val="22"/>
          <w:u w:val="single"/>
        </w:rPr>
      </w:pPr>
    </w:p>
    <w:p w14:paraId="6BA08245" w14:textId="77777777" w:rsidR="00F629EB" w:rsidRPr="000B7C87" w:rsidRDefault="000B7C87">
      <w:pPr>
        <w:tabs>
          <w:tab w:val="left" w:pos="709"/>
        </w:tabs>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B7C8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7B27DDE" w14:textId="77777777" w:rsidR="00F629EB" w:rsidRPr="000B7C87" w:rsidRDefault="000B7C87">
      <w:pPr>
        <w:tabs>
          <w:tab w:val="left" w:pos="709"/>
        </w:tabs>
        <w:ind w:left="851" w:right="616"/>
        <w:jc w:val="both"/>
        <w:rPr>
          <w:rFonts w:ascii="Palatino Linotype" w:eastAsia="Palatino Linotype" w:hAnsi="Palatino Linotype" w:cs="Palatino Linotype"/>
          <w:b/>
          <w:i/>
          <w:sz w:val="22"/>
          <w:szCs w:val="22"/>
        </w:rPr>
      </w:pPr>
      <w:r w:rsidRPr="000B7C8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5936E4F" w14:textId="77777777" w:rsidR="00F629EB" w:rsidRPr="000B7C87" w:rsidRDefault="000B7C87">
      <w:pPr>
        <w:tabs>
          <w:tab w:val="left" w:pos="709"/>
        </w:tabs>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B7C8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3FBC389" w14:textId="77777777" w:rsidR="00F629EB" w:rsidRPr="000B7C87" w:rsidRDefault="000B7C87">
      <w:pPr>
        <w:tabs>
          <w:tab w:val="left" w:pos="709"/>
        </w:tabs>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w:t>
      </w:r>
    </w:p>
    <w:p w14:paraId="4C893BC1" w14:textId="77777777" w:rsidR="00F629EB" w:rsidRPr="000B7C87" w:rsidRDefault="00F629EB">
      <w:pPr>
        <w:ind w:left="851" w:right="616"/>
        <w:jc w:val="both"/>
        <w:rPr>
          <w:rFonts w:ascii="Palatino Linotype" w:eastAsia="Palatino Linotype" w:hAnsi="Palatino Linotype" w:cs="Palatino Linotype"/>
          <w:b/>
          <w:i/>
          <w:sz w:val="22"/>
          <w:szCs w:val="22"/>
        </w:rPr>
      </w:pPr>
    </w:p>
    <w:p w14:paraId="47C644E9"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Artículo 6o.</w:t>
      </w:r>
    </w:p>
    <w:p w14:paraId="1C4E8AC5"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lastRenderedPageBreak/>
        <w:t>[...]</w:t>
      </w:r>
    </w:p>
    <w:p w14:paraId="0C2E5F2B"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 xml:space="preserve">A. Para el ejercicio del derecho de acceso a la información, la Federación y </w:t>
      </w:r>
      <w:r w:rsidRPr="000B7C87">
        <w:rPr>
          <w:rFonts w:ascii="Palatino Linotype" w:eastAsia="Palatino Linotype" w:hAnsi="Palatino Linotype" w:cs="Palatino Linotype"/>
          <w:b/>
          <w:i/>
          <w:sz w:val="22"/>
          <w:szCs w:val="22"/>
          <w:u w:val="single"/>
        </w:rPr>
        <w:t>las entidades federativas</w:t>
      </w:r>
      <w:r w:rsidRPr="000B7C87">
        <w:rPr>
          <w:rFonts w:ascii="Palatino Linotype" w:eastAsia="Palatino Linotype" w:hAnsi="Palatino Linotype" w:cs="Palatino Linotype"/>
          <w:b/>
          <w:i/>
          <w:sz w:val="22"/>
          <w:szCs w:val="22"/>
        </w:rPr>
        <w:t>,</w:t>
      </w:r>
      <w:r w:rsidRPr="000B7C87">
        <w:rPr>
          <w:rFonts w:ascii="Palatino Linotype" w:eastAsia="Palatino Linotype" w:hAnsi="Palatino Linotype" w:cs="Palatino Linotype"/>
          <w:i/>
          <w:sz w:val="22"/>
          <w:szCs w:val="22"/>
        </w:rPr>
        <w:t xml:space="preserve"> en el ámbito de sus respectivas competencias, se regirán por los siguientes principios y bases:</w:t>
      </w:r>
    </w:p>
    <w:p w14:paraId="6A059F8E"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 xml:space="preserve">I. </w:t>
      </w:r>
      <w:r w:rsidRPr="000B7C8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B7C87">
        <w:rPr>
          <w:rFonts w:ascii="Palatino Linotype" w:eastAsia="Palatino Linotype" w:hAnsi="Palatino Linotype" w:cs="Palatino Linotype"/>
          <w:i/>
          <w:sz w:val="22"/>
          <w:szCs w:val="22"/>
        </w:rPr>
        <w:t xml:space="preserve"> Ejecutivo, Legislativo </w:t>
      </w:r>
      <w:r w:rsidRPr="000B7C87">
        <w:rPr>
          <w:rFonts w:ascii="Palatino Linotype" w:eastAsia="Palatino Linotype" w:hAnsi="Palatino Linotype" w:cs="Palatino Linotype"/>
          <w:b/>
          <w:i/>
          <w:sz w:val="22"/>
          <w:szCs w:val="22"/>
          <w:u w:val="single"/>
        </w:rPr>
        <w:t>y Judicial</w:t>
      </w:r>
      <w:r w:rsidRPr="000B7C8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B7C87">
        <w:rPr>
          <w:rFonts w:ascii="Palatino Linotype" w:eastAsia="Palatino Linotype" w:hAnsi="Palatino Linotype" w:cs="Palatino Linotype"/>
          <w:b/>
          <w:i/>
          <w:sz w:val="22"/>
          <w:szCs w:val="22"/>
        </w:rPr>
        <w:t>es pública y sólo podrá ser reservada temporalmente por razones de interés público y seguridad nacional,</w:t>
      </w:r>
      <w:r w:rsidRPr="000B7C8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4C6E77E"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w:t>
      </w:r>
    </w:p>
    <w:p w14:paraId="0DABD5F8" w14:textId="77777777" w:rsidR="00F629EB" w:rsidRPr="000B7C87" w:rsidRDefault="000B7C87">
      <w:pPr>
        <w:ind w:left="851" w:right="616"/>
        <w:jc w:val="both"/>
        <w:rPr>
          <w:rFonts w:ascii="Palatino Linotype" w:eastAsia="Palatino Linotype" w:hAnsi="Palatino Linotype" w:cs="Palatino Linotype"/>
          <w:b/>
          <w:i/>
          <w:sz w:val="22"/>
          <w:szCs w:val="22"/>
        </w:rPr>
      </w:pPr>
      <w:r w:rsidRPr="000B7C8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43C550D"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w:t>
      </w:r>
    </w:p>
    <w:p w14:paraId="699791E9"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 xml:space="preserve">III. </w:t>
      </w:r>
      <w:r w:rsidRPr="000B7C8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B7C87">
        <w:rPr>
          <w:rFonts w:ascii="Palatino Linotype" w:eastAsia="Palatino Linotype" w:hAnsi="Palatino Linotype" w:cs="Palatino Linotype"/>
          <w:i/>
          <w:sz w:val="22"/>
          <w:szCs w:val="22"/>
        </w:rPr>
        <w:t xml:space="preserve"> a sus datos personales o a la rectificación de éstos.</w:t>
      </w:r>
    </w:p>
    <w:p w14:paraId="76C58EB4"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w:t>
      </w:r>
    </w:p>
    <w:p w14:paraId="14008149"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 xml:space="preserve">IV. </w:t>
      </w:r>
      <w:r w:rsidRPr="000B7C8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26C8497" w14:textId="77777777" w:rsidR="00F629EB" w:rsidRPr="000B7C87" w:rsidRDefault="00F629EB">
      <w:pPr>
        <w:ind w:left="851" w:right="616"/>
        <w:jc w:val="both"/>
        <w:rPr>
          <w:rFonts w:ascii="Palatino Linotype" w:eastAsia="Palatino Linotype" w:hAnsi="Palatino Linotype" w:cs="Palatino Linotype"/>
          <w:i/>
          <w:sz w:val="22"/>
          <w:szCs w:val="22"/>
        </w:rPr>
      </w:pPr>
    </w:p>
    <w:p w14:paraId="4827821A"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 xml:space="preserve">V. </w:t>
      </w:r>
      <w:r w:rsidRPr="000B7C8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EB6F2FE"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w:t>
      </w:r>
    </w:p>
    <w:p w14:paraId="3B94C20E"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 xml:space="preserve">VI. </w:t>
      </w:r>
      <w:r w:rsidRPr="000B7C8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4E56D60"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w:t>
      </w:r>
    </w:p>
    <w:p w14:paraId="00A1D0FF"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 xml:space="preserve">VII. </w:t>
      </w:r>
      <w:r w:rsidRPr="000B7C87">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5ADB874C"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 </w:t>
      </w:r>
    </w:p>
    <w:p w14:paraId="32E26573" w14:textId="77777777" w:rsidR="00F629EB" w:rsidRPr="000B7C87" w:rsidRDefault="000B7C87">
      <w:pPr>
        <w:ind w:left="851" w:right="616"/>
        <w:jc w:val="both"/>
        <w:rPr>
          <w:rFonts w:ascii="Palatino Linotype" w:eastAsia="Palatino Linotype" w:hAnsi="Palatino Linotype" w:cs="Palatino Linotype"/>
          <w:b/>
          <w:i/>
          <w:sz w:val="22"/>
          <w:szCs w:val="22"/>
        </w:rPr>
      </w:pPr>
      <w:r w:rsidRPr="000B7C87">
        <w:rPr>
          <w:rFonts w:ascii="Palatino Linotype" w:eastAsia="Palatino Linotype" w:hAnsi="Palatino Linotype" w:cs="Palatino Linotype"/>
          <w:b/>
          <w:i/>
          <w:sz w:val="22"/>
          <w:szCs w:val="22"/>
        </w:rPr>
        <w:lastRenderedPageBreak/>
        <w:t xml:space="preserve">Énfasis añadido </w:t>
      </w:r>
    </w:p>
    <w:p w14:paraId="325AAEDE" w14:textId="77777777" w:rsidR="00F629EB" w:rsidRPr="000B7C87" w:rsidRDefault="00F629EB">
      <w:pPr>
        <w:tabs>
          <w:tab w:val="left" w:pos="709"/>
        </w:tabs>
        <w:spacing w:line="360" w:lineRule="auto"/>
        <w:jc w:val="both"/>
        <w:rPr>
          <w:rFonts w:ascii="Palatino Linotype" w:eastAsia="Palatino Linotype" w:hAnsi="Palatino Linotype" w:cs="Palatino Linotype"/>
        </w:rPr>
      </w:pPr>
    </w:p>
    <w:p w14:paraId="5BF33611" w14:textId="77777777" w:rsidR="00F629EB" w:rsidRPr="000B7C87" w:rsidRDefault="000B7C87">
      <w:pPr>
        <w:tabs>
          <w:tab w:val="left" w:pos="709"/>
        </w:tabs>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1C6E0597" w14:textId="77777777" w:rsidR="00F629EB" w:rsidRPr="000B7C87" w:rsidRDefault="00F629EB">
      <w:pPr>
        <w:tabs>
          <w:tab w:val="left" w:pos="709"/>
        </w:tabs>
        <w:spacing w:line="360" w:lineRule="auto"/>
        <w:jc w:val="both"/>
        <w:rPr>
          <w:rFonts w:ascii="Palatino Linotype" w:eastAsia="Palatino Linotype" w:hAnsi="Palatino Linotype" w:cs="Palatino Linotype"/>
        </w:rPr>
      </w:pPr>
    </w:p>
    <w:p w14:paraId="43D93C69"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En primer lugar, es conveniente analizar si la respuesta del </w:t>
      </w:r>
      <w:r w:rsidRPr="000B7C87">
        <w:rPr>
          <w:rFonts w:ascii="Palatino Linotype" w:eastAsia="Palatino Linotype" w:hAnsi="Palatino Linotype" w:cs="Palatino Linotype"/>
          <w:b/>
        </w:rPr>
        <w:t>SUJETO OBLIGADO</w:t>
      </w:r>
      <w:r w:rsidRPr="000B7C87">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FEF57B7" w14:textId="77777777" w:rsidR="00F629EB" w:rsidRPr="000B7C87" w:rsidRDefault="00F629EB">
      <w:pPr>
        <w:spacing w:line="360" w:lineRule="auto"/>
        <w:jc w:val="both"/>
        <w:rPr>
          <w:rFonts w:ascii="Palatino Linotype" w:eastAsia="Palatino Linotype" w:hAnsi="Palatino Linotype" w:cs="Palatino Linotype"/>
        </w:rPr>
      </w:pPr>
    </w:p>
    <w:p w14:paraId="1C0503F0"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Artículo 4.</w:t>
      </w:r>
      <w:r w:rsidRPr="000B7C8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774DCCB"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B7C87">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w:t>
      </w:r>
      <w:r w:rsidRPr="000B7C87">
        <w:rPr>
          <w:rFonts w:ascii="Palatino Linotype" w:eastAsia="Palatino Linotype" w:hAnsi="Palatino Linotype" w:cs="Palatino Linotype"/>
          <w:i/>
          <w:sz w:val="22"/>
          <w:szCs w:val="22"/>
        </w:rPr>
        <w:lastRenderedPageBreak/>
        <w:t>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946F99E"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0B7C87">
        <w:rPr>
          <w:rFonts w:ascii="Palatino Linotype" w:eastAsia="Palatino Linotype" w:hAnsi="Palatino Linotype" w:cs="Palatino Linotype"/>
          <w:i/>
          <w:sz w:val="22"/>
          <w:szCs w:val="22"/>
        </w:rPr>
        <w:t>.</w:t>
      </w:r>
    </w:p>
    <w:p w14:paraId="22E2D9C6"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 xml:space="preserve">Énfasis añadido </w:t>
      </w:r>
    </w:p>
    <w:p w14:paraId="73C93D52" w14:textId="77777777" w:rsidR="00F629EB" w:rsidRPr="000B7C87" w:rsidRDefault="00F629EB">
      <w:pPr>
        <w:ind w:left="851" w:right="760"/>
        <w:jc w:val="both"/>
        <w:rPr>
          <w:rFonts w:ascii="Palatino Linotype" w:eastAsia="Palatino Linotype" w:hAnsi="Palatino Linotype" w:cs="Palatino Linotype"/>
          <w:i/>
        </w:rPr>
      </w:pPr>
    </w:p>
    <w:p w14:paraId="0A425C11"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ED2B398" w14:textId="77777777" w:rsidR="00F629EB" w:rsidRPr="000B7C87" w:rsidRDefault="00F629EB">
      <w:pPr>
        <w:ind w:left="851" w:right="616"/>
        <w:jc w:val="both"/>
        <w:rPr>
          <w:rFonts w:ascii="Palatino Linotype" w:eastAsia="Palatino Linotype" w:hAnsi="Palatino Linotype" w:cs="Palatino Linotype"/>
          <w:b/>
          <w:i/>
          <w:sz w:val="22"/>
          <w:szCs w:val="22"/>
        </w:rPr>
      </w:pPr>
    </w:p>
    <w:p w14:paraId="6440A9A1"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Artículo 12.-</w:t>
      </w:r>
      <w:r w:rsidRPr="000B7C8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FB87668"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B7C87">
        <w:rPr>
          <w:rFonts w:ascii="Palatino Linotype" w:eastAsia="Palatino Linotype" w:hAnsi="Palatino Linotype" w:cs="Palatino Linotype"/>
          <w:i/>
          <w:sz w:val="22"/>
          <w:szCs w:val="22"/>
        </w:rPr>
        <w:t xml:space="preserve">. </w:t>
      </w:r>
      <w:r w:rsidRPr="000B7C8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02A3435C" w14:textId="77777777" w:rsidR="00F629EB" w:rsidRPr="000B7C87" w:rsidRDefault="000B7C87">
      <w:pPr>
        <w:ind w:left="851" w:right="616"/>
        <w:jc w:val="both"/>
        <w:rPr>
          <w:rFonts w:ascii="Palatino Linotype" w:eastAsia="Palatino Linotype" w:hAnsi="Palatino Linotype" w:cs="Palatino Linotype"/>
          <w:b/>
          <w:i/>
          <w:sz w:val="22"/>
          <w:szCs w:val="22"/>
        </w:rPr>
      </w:pPr>
      <w:r w:rsidRPr="000B7C87">
        <w:rPr>
          <w:rFonts w:ascii="Palatino Linotype" w:eastAsia="Palatino Linotype" w:hAnsi="Palatino Linotype" w:cs="Palatino Linotype"/>
          <w:b/>
          <w:i/>
          <w:sz w:val="22"/>
          <w:szCs w:val="22"/>
        </w:rPr>
        <w:t xml:space="preserve">Énfasis añadido </w:t>
      </w:r>
    </w:p>
    <w:p w14:paraId="4C5BD027" w14:textId="77777777" w:rsidR="00F629EB" w:rsidRPr="000B7C87" w:rsidRDefault="00F629EB">
      <w:pPr>
        <w:spacing w:line="360" w:lineRule="auto"/>
        <w:ind w:right="-93"/>
        <w:jc w:val="both"/>
        <w:rPr>
          <w:rFonts w:ascii="Palatino Linotype" w:eastAsia="Palatino Linotype" w:hAnsi="Palatino Linotype" w:cs="Palatino Linotype"/>
        </w:rPr>
      </w:pPr>
    </w:p>
    <w:p w14:paraId="794D36B1"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0B7C87">
        <w:rPr>
          <w:rFonts w:ascii="Palatino Linotype" w:eastAsia="Palatino Linotype" w:hAnsi="Palatino Linotype" w:cs="Palatino Linotype"/>
        </w:rPr>
        <w:lastRenderedPageBreak/>
        <w:t xml:space="preserve">que es deber de los Sujetos Obligados, garantizar el Derecho de Acceso a la Información Pública. </w:t>
      </w:r>
    </w:p>
    <w:p w14:paraId="223822EF" w14:textId="77777777" w:rsidR="00F629EB" w:rsidRPr="000B7C87" w:rsidRDefault="00F629EB">
      <w:pPr>
        <w:spacing w:line="360" w:lineRule="auto"/>
        <w:jc w:val="both"/>
        <w:rPr>
          <w:rFonts w:ascii="Palatino Linotype" w:eastAsia="Palatino Linotype" w:hAnsi="Palatino Linotype" w:cs="Palatino Linotype"/>
        </w:rPr>
      </w:pPr>
    </w:p>
    <w:p w14:paraId="5EA0DD66" w14:textId="77777777" w:rsidR="00F629EB" w:rsidRPr="000B7C87" w:rsidRDefault="000B7C87">
      <w:pPr>
        <w:spacing w:line="360" w:lineRule="auto"/>
        <w:ind w:right="49"/>
        <w:jc w:val="both"/>
        <w:rPr>
          <w:rFonts w:ascii="Palatino Linotype" w:eastAsia="Palatino Linotype" w:hAnsi="Palatino Linotype" w:cs="Palatino Linotype"/>
        </w:rPr>
      </w:pPr>
      <w:r w:rsidRPr="000B7C8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la Persona Servidora Público Habilitada de cada Sujeto Obligado; como así se establece en la Ley de Transparencia y Acceso a la Información Pública del Estado de México y Municipios.</w:t>
      </w:r>
    </w:p>
    <w:p w14:paraId="5C5A8332" w14:textId="77777777" w:rsidR="00F629EB" w:rsidRPr="000B7C87" w:rsidRDefault="00F629EB">
      <w:pPr>
        <w:spacing w:line="360" w:lineRule="auto"/>
        <w:ind w:right="49"/>
        <w:jc w:val="both"/>
        <w:rPr>
          <w:rFonts w:ascii="Palatino Linotype" w:eastAsia="Palatino Linotype" w:hAnsi="Palatino Linotype" w:cs="Palatino Linotype"/>
        </w:rPr>
      </w:pPr>
    </w:p>
    <w:p w14:paraId="1767F9A5"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Por otra parte, conviene mencionar que la Ley de Transparencia vigente en el Estado de México refiere: </w:t>
      </w:r>
    </w:p>
    <w:p w14:paraId="0AE0F8AD" w14:textId="77777777" w:rsidR="00F629EB" w:rsidRPr="000B7C87" w:rsidRDefault="00F629EB">
      <w:pPr>
        <w:ind w:left="851" w:right="616"/>
        <w:jc w:val="both"/>
        <w:rPr>
          <w:rFonts w:ascii="Palatino Linotype" w:eastAsia="Palatino Linotype" w:hAnsi="Palatino Linotype" w:cs="Palatino Linotype"/>
          <w:b/>
          <w:i/>
          <w:sz w:val="22"/>
          <w:szCs w:val="22"/>
        </w:rPr>
      </w:pPr>
    </w:p>
    <w:p w14:paraId="73B0AE21"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Artículo 18.</w:t>
      </w:r>
      <w:r w:rsidRPr="000B7C87">
        <w:rPr>
          <w:rFonts w:ascii="Palatino Linotype" w:eastAsia="Palatino Linotype" w:hAnsi="Palatino Linotype" w:cs="Palatino Linotype"/>
          <w:i/>
          <w:sz w:val="22"/>
          <w:szCs w:val="22"/>
        </w:rPr>
        <w:t xml:space="preserve"> </w:t>
      </w:r>
      <w:r w:rsidRPr="000B7C87">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0B7C87">
        <w:rPr>
          <w:rFonts w:ascii="Palatino Linotype" w:eastAsia="Palatino Linotype" w:hAnsi="Palatino Linotype" w:cs="Palatino Linotype"/>
          <w:i/>
          <w:sz w:val="22"/>
          <w:szCs w:val="22"/>
        </w:rPr>
        <w:t xml:space="preserve"> y reutilización de la información que generen.</w:t>
      </w:r>
    </w:p>
    <w:p w14:paraId="5C152B69" w14:textId="77777777" w:rsidR="00F629EB" w:rsidRPr="000B7C87" w:rsidRDefault="00F629EB">
      <w:pPr>
        <w:ind w:left="851" w:right="616"/>
        <w:jc w:val="both"/>
        <w:rPr>
          <w:rFonts w:ascii="Palatino Linotype" w:eastAsia="Palatino Linotype" w:hAnsi="Palatino Linotype" w:cs="Palatino Linotype"/>
          <w:b/>
          <w:i/>
          <w:sz w:val="22"/>
          <w:szCs w:val="22"/>
        </w:rPr>
      </w:pPr>
    </w:p>
    <w:p w14:paraId="332F4C10"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 xml:space="preserve">Artículo 19. </w:t>
      </w:r>
      <w:r w:rsidRPr="000B7C87">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0B7C87">
        <w:rPr>
          <w:rFonts w:ascii="Palatino Linotype" w:eastAsia="Palatino Linotype" w:hAnsi="Palatino Linotype" w:cs="Palatino Linotype"/>
          <w:i/>
          <w:sz w:val="22"/>
          <w:szCs w:val="22"/>
        </w:rPr>
        <w:t>.</w:t>
      </w:r>
    </w:p>
    <w:p w14:paraId="3885D163" w14:textId="77777777" w:rsidR="00F629EB" w:rsidRPr="000B7C87" w:rsidRDefault="00F629EB">
      <w:pPr>
        <w:ind w:left="851" w:right="616"/>
        <w:jc w:val="both"/>
        <w:rPr>
          <w:rFonts w:ascii="Palatino Linotype" w:eastAsia="Palatino Linotype" w:hAnsi="Palatino Linotype" w:cs="Palatino Linotype"/>
          <w:i/>
          <w:sz w:val="22"/>
          <w:szCs w:val="22"/>
        </w:rPr>
      </w:pPr>
    </w:p>
    <w:p w14:paraId="00BE9910"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2B02A2FA" w14:textId="77777777" w:rsidR="00F629EB" w:rsidRPr="000B7C87" w:rsidRDefault="00F629EB">
      <w:pPr>
        <w:ind w:left="851" w:right="616"/>
        <w:jc w:val="both"/>
        <w:rPr>
          <w:rFonts w:ascii="Palatino Linotype" w:eastAsia="Palatino Linotype" w:hAnsi="Palatino Linotype" w:cs="Palatino Linotype"/>
          <w:i/>
          <w:sz w:val="22"/>
          <w:szCs w:val="22"/>
        </w:rPr>
      </w:pPr>
    </w:p>
    <w:p w14:paraId="1F331216"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5499CFE" w14:textId="77777777" w:rsidR="00F629EB" w:rsidRPr="000B7C87" w:rsidRDefault="000B7C87">
      <w:pPr>
        <w:ind w:left="851" w:right="616"/>
        <w:jc w:val="both"/>
        <w:rPr>
          <w:rFonts w:ascii="Palatino Linotype" w:eastAsia="Palatino Linotype" w:hAnsi="Palatino Linotype" w:cs="Palatino Linotype"/>
          <w:b/>
          <w:i/>
          <w:sz w:val="22"/>
          <w:szCs w:val="22"/>
        </w:rPr>
      </w:pPr>
      <w:r w:rsidRPr="000B7C87">
        <w:rPr>
          <w:rFonts w:ascii="Palatino Linotype" w:eastAsia="Palatino Linotype" w:hAnsi="Palatino Linotype" w:cs="Palatino Linotype"/>
          <w:b/>
          <w:i/>
          <w:sz w:val="22"/>
          <w:szCs w:val="22"/>
        </w:rPr>
        <w:t xml:space="preserve">Énfasis añadido </w:t>
      </w:r>
    </w:p>
    <w:p w14:paraId="74186093" w14:textId="77777777" w:rsidR="00F629EB" w:rsidRPr="000B7C87" w:rsidRDefault="00F629EB">
      <w:pPr>
        <w:spacing w:line="360" w:lineRule="auto"/>
        <w:jc w:val="both"/>
        <w:rPr>
          <w:rFonts w:ascii="Palatino Linotype" w:eastAsia="Palatino Linotype" w:hAnsi="Palatino Linotype" w:cs="Palatino Linotype"/>
        </w:rPr>
      </w:pPr>
    </w:p>
    <w:p w14:paraId="663DD49C"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lastRenderedPageBreak/>
        <w:t xml:space="preserve">De los dispositivos legales en comento, se aprecia que todo acto de autoridad en el ejercicio de sus funciones y atribuciones debe estar documentado, por lo que para dar atención a una solicitud de información </w:t>
      </w: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D1247CD" w14:textId="77777777" w:rsidR="00F629EB" w:rsidRPr="000B7C87" w:rsidRDefault="00F629EB">
      <w:pPr>
        <w:spacing w:line="360" w:lineRule="auto"/>
        <w:jc w:val="both"/>
        <w:rPr>
          <w:rFonts w:ascii="Palatino Linotype" w:eastAsia="Palatino Linotype" w:hAnsi="Palatino Linotype" w:cs="Palatino Linotype"/>
        </w:rPr>
      </w:pPr>
    </w:p>
    <w:p w14:paraId="71596939"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E26A353" w14:textId="77777777" w:rsidR="00F629EB" w:rsidRPr="000B7C87" w:rsidRDefault="00F629EB">
      <w:pPr>
        <w:ind w:left="851" w:right="899"/>
        <w:jc w:val="both"/>
        <w:rPr>
          <w:rFonts w:ascii="Palatino Linotype" w:eastAsia="Palatino Linotype" w:hAnsi="Palatino Linotype" w:cs="Palatino Linotype"/>
          <w:i/>
          <w:sz w:val="22"/>
          <w:szCs w:val="22"/>
        </w:rPr>
      </w:pPr>
    </w:p>
    <w:p w14:paraId="7B54651D" w14:textId="77777777" w:rsidR="00F629EB" w:rsidRPr="000B7C87" w:rsidRDefault="000B7C87">
      <w:pPr>
        <w:ind w:left="851" w:right="899"/>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 xml:space="preserve">Artículo 3. </w:t>
      </w:r>
      <w:r w:rsidRPr="000B7C87">
        <w:rPr>
          <w:rFonts w:ascii="Palatino Linotype" w:eastAsia="Palatino Linotype" w:hAnsi="Palatino Linotype" w:cs="Palatino Linotype"/>
          <w:i/>
          <w:sz w:val="22"/>
          <w:szCs w:val="22"/>
        </w:rPr>
        <w:t>Para los efectos de la presente Ley se entenderá por:</w:t>
      </w:r>
    </w:p>
    <w:p w14:paraId="6FB8120D" w14:textId="77777777" w:rsidR="00F629EB" w:rsidRPr="000B7C87" w:rsidRDefault="000B7C87">
      <w:pPr>
        <w:ind w:left="851" w:right="899"/>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w:t>
      </w:r>
    </w:p>
    <w:p w14:paraId="03997B21"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XI. Documento:</w:t>
      </w:r>
      <w:r w:rsidRPr="000B7C87">
        <w:rPr>
          <w:rFonts w:ascii="Palatino Linotype" w:eastAsia="Palatino Linotype" w:hAnsi="Palatino Linotype" w:cs="Palatino Linotype"/>
          <w:i/>
          <w:sz w:val="22"/>
          <w:szCs w:val="22"/>
        </w:rPr>
        <w:t xml:space="preserve"> Los expedientes, reportes, estudios, actas</w:t>
      </w:r>
      <w:r w:rsidRPr="000B7C87">
        <w:rPr>
          <w:rFonts w:ascii="Palatino Linotype" w:eastAsia="Palatino Linotype" w:hAnsi="Palatino Linotype" w:cs="Palatino Linotype"/>
          <w:b/>
          <w:i/>
          <w:sz w:val="22"/>
          <w:szCs w:val="22"/>
        </w:rPr>
        <w:t>,</w:t>
      </w:r>
      <w:r w:rsidRPr="000B7C8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0B7C87">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0B7C87">
        <w:rPr>
          <w:rFonts w:ascii="Palatino Linotype" w:eastAsia="Palatino Linotype" w:hAnsi="Palatino Linotype" w:cs="Palatino Linotype"/>
          <w:i/>
          <w:sz w:val="22"/>
          <w:szCs w:val="22"/>
        </w:rPr>
        <w:t xml:space="preserve">, sus servidores públicos e integrantes, sin importar su fuente o </w:t>
      </w:r>
      <w:r w:rsidRPr="000B7C87">
        <w:rPr>
          <w:rFonts w:ascii="Palatino Linotype" w:eastAsia="Palatino Linotype" w:hAnsi="Palatino Linotype" w:cs="Palatino Linotype"/>
          <w:i/>
          <w:sz w:val="22"/>
          <w:szCs w:val="22"/>
        </w:rPr>
        <w:lastRenderedPageBreak/>
        <w:t xml:space="preserve">fecha de elaboración. Los documentos podrán estar en cualquier medio, sea escrito, impreso, sonoro, visual, </w:t>
      </w:r>
      <w:r w:rsidRPr="000B7C87">
        <w:rPr>
          <w:rFonts w:ascii="Palatino Linotype" w:eastAsia="Palatino Linotype" w:hAnsi="Palatino Linotype" w:cs="Palatino Linotype"/>
          <w:b/>
          <w:i/>
          <w:sz w:val="22"/>
          <w:szCs w:val="22"/>
          <w:u w:val="single"/>
        </w:rPr>
        <w:t>electrónico, informático</w:t>
      </w:r>
      <w:r w:rsidRPr="000B7C87">
        <w:rPr>
          <w:rFonts w:ascii="Palatino Linotype" w:eastAsia="Palatino Linotype" w:hAnsi="Palatino Linotype" w:cs="Palatino Linotype"/>
          <w:i/>
          <w:sz w:val="22"/>
          <w:szCs w:val="22"/>
        </w:rPr>
        <w:t xml:space="preserve"> u holográfico</w:t>
      </w:r>
    </w:p>
    <w:p w14:paraId="321564F3"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w:t>
      </w:r>
      <w:r w:rsidRPr="000B7C87">
        <w:rPr>
          <w:rFonts w:ascii="Palatino Linotype" w:eastAsia="Palatino Linotype" w:hAnsi="Palatino Linotype" w:cs="Palatino Linotype"/>
          <w:i/>
          <w:sz w:val="22"/>
          <w:szCs w:val="22"/>
        </w:rPr>
        <w:t>)</w:t>
      </w:r>
    </w:p>
    <w:p w14:paraId="79CE8E73"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Énfasis añadido</w:t>
      </w:r>
    </w:p>
    <w:p w14:paraId="043BB942" w14:textId="77777777" w:rsidR="00F629EB" w:rsidRPr="000B7C87" w:rsidRDefault="00F629EB">
      <w:pPr>
        <w:ind w:left="851" w:right="899"/>
        <w:jc w:val="both"/>
        <w:rPr>
          <w:rFonts w:ascii="Palatino Linotype" w:eastAsia="Palatino Linotype" w:hAnsi="Palatino Linotype" w:cs="Palatino Linotype"/>
          <w:sz w:val="22"/>
          <w:szCs w:val="22"/>
        </w:rPr>
      </w:pPr>
    </w:p>
    <w:p w14:paraId="023EC69D"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D5619E6" w14:textId="77777777" w:rsidR="00F629EB" w:rsidRPr="000B7C87" w:rsidRDefault="00F629EB">
      <w:pPr>
        <w:ind w:left="851" w:right="899"/>
        <w:jc w:val="both"/>
        <w:rPr>
          <w:rFonts w:ascii="Palatino Linotype" w:eastAsia="Palatino Linotype" w:hAnsi="Palatino Linotype" w:cs="Palatino Linotype"/>
        </w:rPr>
      </w:pPr>
    </w:p>
    <w:p w14:paraId="2B2C747C" w14:textId="77777777" w:rsidR="00F629EB" w:rsidRPr="000B7C87" w:rsidRDefault="000B7C87">
      <w:pPr>
        <w:ind w:left="851" w:right="616"/>
        <w:jc w:val="both"/>
        <w:rPr>
          <w:rFonts w:ascii="Palatino Linotype" w:eastAsia="Palatino Linotype" w:hAnsi="Palatino Linotype" w:cs="Palatino Linotype"/>
          <w:b/>
          <w:i/>
          <w:sz w:val="22"/>
          <w:szCs w:val="22"/>
        </w:rPr>
      </w:pPr>
      <w:r w:rsidRPr="000B7C87">
        <w:rPr>
          <w:rFonts w:ascii="Palatino Linotype" w:eastAsia="Palatino Linotype" w:hAnsi="Palatino Linotype" w:cs="Palatino Linotype"/>
          <w:b/>
          <w:i/>
          <w:sz w:val="22"/>
          <w:szCs w:val="22"/>
        </w:rPr>
        <w:t>CRITERIO 0002-11</w:t>
      </w:r>
    </w:p>
    <w:p w14:paraId="637D810D"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B7C8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CCBEEA"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En </w:t>
      </w:r>
      <w:proofErr w:type="gramStart"/>
      <w:r w:rsidRPr="000B7C87">
        <w:rPr>
          <w:rFonts w:ascii="Palatino Linotype" w:eastAsia="Palatino Linotype" w:hAnsi="Palatino Linotype" w:cs="Palatino Linotype"/>
          <w:i/>
          <w:sz w:val="22"/>
          <w:szCs w:val="22"/>
        </w:rPr>
        <w:t>consecuencia</w:t>
      </w:r>
      <w:proofErr w:type="gramEnd"/>
      <w:r w:rsidRPr="000B7C87">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9C50621"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1) Que se trate de información registrada en cualquier soporte documental, </w:t>
      </w:r>
      <w:proofErr w:type="gramStart"/>
      <w:r w:rsidRPr="000B7C87">
        <w:rPr>
          <w:rFonts w:ascii="Palatino Linotype" w:eastAsia="Palatino Linotype" w:hAnsi="Palatino Linotype" w:cs="Palatino Linotype"/>
          <w:i/>
          <w:sz w:val="22"/>
          <w:szCs w:val="22"/>
        </w:rPr>
        <w:t>que</w:t>
      </w:r>
      <w:proofErr w:type="gramEnd"/>
      <w:r w:rsidRPr="000B7C87">
        <w:rPr>
          <w:rFonts w:ascii="Palatino Linotype" w:eastAsia="Palatino Linotype" w:hAnsi="Palatino Linotype" w:cs="Palatino Linotype"/>
          <w:i/>
          <w:sz w:val="22"/>
          <w:szCs w:val="22"/>
        </w:rPr>
        <w:t xml:space="preserve"> en ejercicio de las atribuciones conferidas, sea generada por los Sujetos Obligados;</w:t>
      </w:r>
    </w:p>
    <w:p w14:paraId="0688E1C7"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2) Que se trate de información registrada en cualquier soporte documental, </w:t>
      </w:r>
      <w:proofErr w:type="gramStart"/>
      <w:r w:rsidRPr="000B7C87">
        <w:rPr>
          <w:rFonts w:ascii="Palatino Linotype" w:eastAsia="Palatino Linotype" w:hAnsi="Palatino Linotype" w:cs="Palatino Linotype"/>
          <w:i/>
          <w:sz w:val="22"/>
          <w:szCs w:val="22"/>
        </w:rPr>
        <w:t>que</w:t>
      </w:r>
      <w:proofErr w:type="gramEnd"/>
      <w:r w:rsidRPr="000B7C87">
        <w:rPr>
          <w:rFonts w:ascii="Palatino Linotype" w:eastAsia="Palatino Linotype" w:hAnsi="Palatino Linotype" w:cs="Palatino Linotype"/>
          <w:i/>
          <w:sz w:val="22"/>
          <w:szCs w:val="22"/>
        </w:rPr>
        <w:t xml:space="preserve"> en ejercicio de las atribuciones conferidas, sea administrada por los Sujetos Obligados, y</w:t>
      </w:r>
    </w:p>
    <w:p w14:paraId="4C4A5533" w14:textId="77777777" w:rsidR="00F629EB" w:rsidRPr="000B7C87" w:rsidRDefault="000B7C87">
      <w:pPr>
        <w:ind w:left="851" w:right="616"/>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3) Que se trate de información registrada en cualquier soporte documental, </w:t>
      </w:r>
      <w:proofErr w:type="gramStart"/>
      <w:r w:rsidRPr="000B7C87">
        <w:rPr>
          <w:rFonts w:ascii="Palatino Linotype" w:eastAsia="Palatino Linotype" w:hAnsi="Palatino Linotype" w:cs="Palatino Linotype"/>
          <w:i/>
          <w:sz w:val="22"/>
          <w:szCs w:val="22"/>
        </w:rPr>
        <w:t>que</w:t>
      </w:r>
      <w:proofErr w:type="gramEnd"/>
      <w:r w:rsidRPr="000B7C87">
        <w:rPr>
          <w:rFonts w:ascii="Palatino Linotype" w:eastAsia="Palatino Linotype" w:hAnsi="Palatino Linotype" w:cs="Palatino Linotype"/>
          <w:i/>
          <w:sz w:val="22"/>
          <w:szCs w:val="22"/>
        </w:rPr>
        <w:t xml:space="preserve"> en ejercicio de las atribuciones conferidas, se encuentre en posesión de los Sujetos Obligados.</w:t>
      </w:r>
    </w:p>
    <w:p w14:paraId="5AB3716C" w14:textId="77777777" w:rsidR="00F629EB" w:rsidRPr="000B7C87" w:rsidRDefault="00F629EB">
      <w:pPr>
        <w:spacing w:line="360" w:lineRule="auto"/>
        <w:jc w:val="both"/>
        <w:rPr>
          <w:rFonts w:ascii="Palatino Linotype" w:eastAsia="Palatino Linotype" w:hAnsi="Palatino Linotype" w:cs="Palatino Linotype"/>
        </w:rPr>
      </w:pPr>
    </w:p>
    <w:p w14:paraId="31132BA7"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De ahí que </w:t>
      </w: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w:t>
      </w:r>
      <w:r w:rsidRPr="000B7C87">
        <w:rPr>
          <w:rFonts w:ascii="Palatino Linotype" w:eastAsia="Palatino Linotype" w:hAnsi="Palatino Linotype" w:cs="Palatino Linotype"/>
        </w:rPr>
        <w:lastRenderedPageBreak/>
        <w:t>se trata de información relativa a obligaciones de transparencia, la cual se relaciona con aquella que se genere de acuerdo con sus facultades, atribuciones y obligaciones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como pudiera tratarse de aquella relacionada con las obligaciones de transparencia señaladas en los artículos 92 y 100 de la Ley de la Materia.</w:t>
      </w:r>
    </w:p>
    <w:p w14:paraId="477E8354" w14:textId="77777777" w:rsidR="00F629EB" w:rsidRPr="000B7C87" w:rsidRDefault="00F629EB">
      <w:pPr>
        <w:spacing w:line="360" w:lineRule="auto"/>
        <w:ind w:right="51"/>
        <w:jc w:val="both"/>
        <w:rPr>
          <w:rFonts w:ascii="Palatino Linotype" w:eastAsia="Palatino Linotype" w:hAnsi="Palatino Linotype" w:cs="Palatino Linotype"/>
          <w:b/>
        </w:rPr>
      </w:pPr>
    </w:p>
    <w:p w14:paraId="5B81094D" w14:textId="77777777" w:rsidR="00F629EB" w:rsidRPr="000B7C87" w:rsidRDefault="000B7C87">
      <w:pPr>
        <w:spacing w:line="360" w:lineRule="auto"/>
        <w:ind w:right="51"/>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Ahora bien, este Pleno centrará su atención en el análisis de la solicitud de </w:t>
      </w:r>
      <w:proofErr w:type="gramStart"/>
      <w:r w:rsidRPr="000B7C87">
        <w:rPr>
          <w:rFonts w:ascii="Palatino Linotype" w:eastAsia="Palatino Linotype" w:hAnsi="Palatino Linotype" w:cs="Palatino Linotype"/>
        </w:rPr>
        <w:t xml:space="preserve">información </w:t>
      </w:r>
      <w:r w:rsidRPr="000B7C87">
        <w:rPr>
          <w:rFonts w:ascii="Palatino Linotype" w:eastAsia="Palatino Linotype" w:hAnsi="Palatino Linotype" w:cs="Palatino Linotype"/>
          <w:b/>
        </w:rPr>
        <w:t> 02188</w:t>
      </w:r>
      <w:proofErr w:type="gramEnd"/>
      <w:r w:rsidRPr="000B7C87">
        <w:rPr>
          <w:rFonts w:ascii="Palatino Linotype" w:eastAsia="Palatino Linotype" w:hAnsi="Palatino Linotype" w:cs="Palatino Linotype"/>
          <w:b/>
        </w:rPr>
        <w:t>/TOLUCA/IP/2022</w:t>
      </w:r>
      <w:r w:rsidRPr="000B7C87">
        <w:rPr>
          <w:rFonts w:ascii="Palatino Linotype" w:eastAsia="Palatino Linotype" w:hAnsi="Palatino Linotype" w:cs="Palatino Linotype"/>
        </w:rPr>
        <w:t xml:space="preserve">, tenemos que </w:t>
      </w:r>
      <w:r w:rsidRPr="000B7C87">
        <w:rPr>
          <w:rFonts w:ascii="Palatino Linotype" w:eastAsia="Palatino Linotype" w:hAnsi="Palatino Linotype" w:cs="Palatino Linotype"/>
          <w:b/>
        </w:rPr>
        <w:t>LA PARTE RECURRENTE</w:t>
      </w:r>
      <w:r w:rsidRPr="000B7C87">
        <w:rPr>
          <w:rFonts w:ascii="Palatino Linotype" w:eastAsia="Palatino Linotype" w:hAnsi="Palatino Linotype" w:cs="Palatino Linotype"/>
        </w:rPr>
        <w:t xml:space="preserve"> requirió al </w:t>
      </w:r>
      <w:r w:rsidRPr="000B7C87">
        <w:rPr>
          <w:rFonts w:ascii="Palatino Linotype" w:eastAsia="Palatino Linotype" w:hAnsi="Palatino Linotype" w:cs="Palatino Linotype"/>
          <w:b/>
        </w:rPr>
        <w:t xml:space="preserve">SUJETO OBLIGADO </w:t>
      </w:r>
      <w:r w:rsidRPr="000B7C87">
        <w:rPr>
          <w:rFonts w:ascii="Palatino Linotype" w:eastAsia="Palatino Linotype" w:hAnsi="Palatino Linotype" w:cs="Palatino Linotype"/>
        </w:rPr>
        <w:t xml:space="preserve">le proporcione el acervo fotográfico desde el mes de enero a octubre de dos mil veintidós, del: </w:t>
      </w:r>
    </w:p>
    <w:p w14:paraId="004EBC5F" w14:textId="77777777" w:rsidR="00F629EB" w:rsidRPr="000B7C87" w:rsidRDefault="00F629EB">
      <w:pPr>
        <w:spacing w:line="360" w:lineRule="auto"/>
        <w:ind w:right="51"/>
        <w:jc w:val="both"/>
        <w:rPr>
          <w:rFonts w:ascii="Palatino Linotype" w:eastAsia="Palatino Linotype" w:hAnsi="Palatino Linotype" w:cs="Palatino Linotype"/>
        </w:rPr>
      </w:pPr>
    </w:p>
    <w:p w14:paraId="679D437A" w14:textId="77777777" w:rsidR="00F629EB" w:rsidRPr="000B7C87" w:rsidRDefault="000B7C87">
      <w:pPr>
        <w:numPr>
          <w:ilvl w:val="0"/>
          <w:numId w:val="3"/>
        </w:numPr>
        <w:pBdr>
          <w:top w:val="nil"/>
          <w:left w:val="nil"/>
          <w:bottom w:val="nil"/>
          <w:right w:val="nil"/>
          <w:between w:val="nil"/>
        </w:pBdr>
        <w:spacing w:line="360" w:lineRule="auto"/>
        <w:rPr>
          <w:rFonts w:ascii="Palatino Linotype" w:eastAsia="Palatino Linotype" w:hAnsi="Palatino Linotype" w:cs="Palatino Linotype"/>
        </w:rPr>
      </w:pPr>
      <w:r w:rsidRPr="000B7C87">
        <w:rPr>
          <w:rFonts w:ascii="Palatino Linotype" w:eastAsia="Palatino Linotype" w:hAnsi="Palatino Linotype" w:cs="Palatino Linotype"/>
        </w:rPr>
        <w:t>Presidente Municipal,</w:t>
      </w:r>
    </w:p>
    <w:p w14:paraId="17329DA7" w14:textId="77777777" w:rsidR="00F629EB" w:rsidRPr="000B7C87" w:rsidRDefault="000B7C87">
      <w:pPr>
        <w:numPr>
          <w:ilvl w:val="0"/>
          <w:numId w:val="3"/>
        </w:numPr>
        <w:pBdr>
          <w:top w:val="nil"/>
          <w:left w:val="nil"/>
          <w:bottom w:val="nil"/>
          <w:right w:val="nil"/>
          <w:between w:val="nil"/>
        </w:pBdr>
        <w:spacing w:line="360" w:lineRule="auto"/>
        <w:rPr>
          <w:rFonts w:ascii="Palatino Linotype" w:eastAsia="Palatino Linotype" w:hAnsi="Palatino Linotype" w:cs="Palatino Linotype"/>
        </w:rPr>
      </w:pPr>
      <w:r w:rsidRPr="000B7C87">
        <w:rPr>
          <w:rFonts w:ascii="Palatino Linotype" w:eastAsia="Palatino Linotype" w:hAnsi="Palatino Linotype" w:cs="Palatino Linotype"/>
        </w:rPr>
        <w:t xml:space="preserve">Secretario del Ayuntamiento, y </w:t>
      </w:r>
    </w:p>
    <w:p w14:paraId="0BD6DAF9" w14:textId="77777777" w:rsidR="00F629EB" w:rsidRPr="000B7C87" w:rsidRDefault="000B7C87">
      <w:pPr>
        <w:numPr>
          <w:ilvl w:val="0"/>
          <w:numId w:val="3"/>
        </w:numPr>
        <w:pBdr>
          <w:top w:val="nil"/>
          <w:left w:val="nil"/>
          <w:bottom w:val="nil"/>
          <w:right w:val="nil"/>
          <w:between w:val="nil"/>
        </w:pBdr>
        <w:spacing w:line="360" w:lineRule="auto"/>
        <w:rPr>
          <w:rFonts w:ascii="Palatino Linotype" w:eastAsia="Palatino Linotype" w:hAnsi="Palatino Linotype" w:cs="Palatino Linotype"/>
        </w:rPr>
      </w:pPr>
      <w:r w:rsidRPr="000B7C87">
        <w:rPr>
          <w:rFonts w:ascii="Palatino Linotype" w:eastAsia="Palatino Linotype" w:hAnsi="Palatino Linotype" w:cs="Palatino Linotype"/>
        </w:rPr>
        <w:t>Directores Generales.</w:t>
      </w:r>
    </w:p>
    <w:p w14:paraId="4C9B4AFD" w14:textId="77777777" w:rsidR="00F629EB" w:rsidRPr="000B7C87" w:rsidRDefault="00F629EB">
      <w:pPr>
        <w:spacing w:line="360" w:lineRule="auto"/>
        <w:ind w:right="51"/>
        <w:jc w:val="both"/>
        <w:rPr>
          <w:rFonts w:ascii="Palatino Linotype" w:eastAsia="Palatino Linotype" w:hAnsi="Palatino Linotype" w:cs="Palatino Linotype"/>
        </w:rPr>
      </w:pPr>
    </w:p>
    <w:p w14:paraId="7C989F27" w14:textId="77777777" w:rsidR="00F629EB" w:rsidRPr="000B7C87" w:rsidRDefault="000B7C87">
      <w:pPr>
        <w:spacing w:line="360" w:lineRule="auto"/>
        <w:ind w:right="51"/>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De lo visto en el Antecedente número dos que describe la respuesta del </w:t>
      </w:r>
      <w:r w:rsidRPr="000B7C87">
        <w:rPr>
          <w:rFonts w:ascii="Palatino Linotype" w:eastAsia="Palatino Linotype" w:hAnsi="Palatino Linotype" w:cs="Palatino Linotype"/>
          <w:b/>
        </w:rPr>
        <w:t xml:space="preserve">SUJETO OBLIGADO, </w:t>
      </w:r>
      <w:r w:rsidRPr="000B7C87">
        <w:rPr>
          <w:rFonts w:ascii="Palatino Linotype" w:eastAsia="Palatino Linotype" w:hAnsi="Palatino Linotype" w:cs="Palatino Linotype"/>
        </w:rPr>
        <w:t xml:space="preserve">se advierte que la Unidad de Transparencia, informó que la Dirección General de Comunicación Social hizo de su conocimiento que dicha información podría ser adquirida por la entonces parte solicitante a través de la página oficial del Ayuntamiento de Toluca en la red social de Facebook, y es, de la búsqueda realizada por esta Autoridad se determina que la liga electrónica </w:t>
      </w:r>
      <w:hyperlink r:id="rId10">
        <w:r w:rsidRPr="000B7C87">
          <w:rPr>
            <w:rFonts w:ascii="Palatino Linotype" w:eastAsia="Palatino Linotype" w:hAnsi="Palatino Linotype" w:cs="Palatino Linotype"/>
            <w:u w:val="single"/>
          </w:rPr>
          <w:t>https://es-</w:t>
        </w:r>
        <w:r w:rsidRPr="000B7C87">
          <w:rPr>
            <w:rFonts w:ascii="Palatino Linotype" w:eastAsia="Palatino Linotype" w:hAnsi="Palatino Linotype" w:cs="Palatino Linotype"/>
            <w:u w:val="single"/>
          </w:rPr>
          <w:lastRenderedPageBreak/>
          <w:t>la.facebook.com/H.AyuntamientoDetoluca/</w:t>
        </w:r>
      </w:hyperlink>
      <w:r w:rsidRPr="000B7C87">
        <w:rPr>
          <w:rFonts w:ascii="Palatino Linotype" w:eastAsia="Palatino Linotype" w:hAnsi="Palatino Linotype" w:cs="Palatino Linotype"/>
        </w:rPr>
        <w:t xml:space="preserve"> de la respuesta a la solicitud </w:t>
      </w:r>
      <w:r w:rsidRPr="000B7C87">
        <w:rPr>
          <w:rFonts w:ascii="Palatino Linotype" w:eastAsia="Palatino Linotype" w:hAnsi="Palatino Linotype" w:cs="Palatino Linotype"/>
          <w:b/>
        </w:rPr>
        <w:t xml:space="preserve">02188/TOLUCA/IP/2022, </w:t>
      </w:r>
      <w:r w:rsidRPr="000B7C87">
        <w:rPr>
          <w:rFonts w:ascii="Palatino Linotype" w:eastAsia="Palatino Linotype" w:hAnsi="Palatino Linotype" w:cs="Palatino Linotype"/>
        </w:rPr>
        <w:t xml:space="preserve">efectivamente dirige a ese portal de internet, tal y como se hace constar: </w:t>
      </w:r>
    </w:p>
    <w:p w14:paraId="061E93CE" w14:textId="77777777" w:rsidR="00F629EB" w:rsidRPr="000B7C87" w:rsidRDefault="000B7C87">
      <w:pPr>
        <w:spacing w:line="360" w:lineRule="auto"/>
        <w:ind w:right="51"/>
        <w:jc w:val="center"/>
        <w:rPr>
          <w:rFonts w:ascii="Palatino Linotype" w:eastAsia="Palatino Linotype" w:hAnsi="Palatino Linotype" w:cs="Palatino Linotype"/>
        </w:rPr>
      </w:pPr>
      <w:r w:rsidRPr="000B7C87">
        <w:rPr>
          <w:noProof/>
        </w:rPr>
        <w:drawing>
          <wp:inline distT="0" distB="0" distL="0" distR="0" wp14:anchorId="0A6FDF46" wp14:editId="00D53269">
            <wp:extent cx="4689393" cy="2377618"/>
            <wp:effectExtent l="0" t="0" r="0" b="0"/>
            <wp:docPr id="1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9124" t="15526" r="7318" b="9150"/>
                    <a:stretch>
                      <a:fillRect/>
                    </a:stretch>
                  </pic:blipFill>
                  <pic:spPr>
                    <a:xfrm>
                      <a:off x="0" y="0"/>
                      <a:ext cx="4689393" cy="2377618"/>
                    </a:xfrm>
                    <a:prstGeom prst="rect">
                      <a:avLst/>
                    </a:prstGeom>
                    <a:ln/>
                  </pic:spPr>
                </pic:pic>
              </a:graphicData>
            </a:graphic>
          </wp:inline>
        </w:drawing>
      </w:r>
    </w:p>
    <w:p w14:paraId="5E190A65" w14:textId="77777777" w:rsidR="00F629EB" w:rsidRPr="000B7C87" w:rsidRDefault="00F629EB">
      <w:pPr>
        <w:spacing w:line="360" w:lineRule="auto"/>
        <w:ind w:right="51"/>
        <w:jc w:val="center"/>
        <w:rPr>
          <w:rFonts w:ascii="Palatino Linotype" w:eastAsia="Palatino Linotype" w:hAnsi="Palatino Linotype" w:cs="Palatino Linotype"/>
        </w:rPr>
      </w:pPr>
    </w:p>
    <w:p w14:paraId="01B0A641" w14:textId="77777777" w:rsidR="00F629EB" w:rsidRPr="000B7C87" w:rsidRDefault="000B7C87">
      <w:pPr>
        <w:spacing w:line="360" w:lineRule="auto"/>
        <w:ind w:right="51"/>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Aunado a este link, la Unidad de Transparencia señaló que la Dirección General de Comunicación del Ayuntamiento de Toluca hizo de su conocimiento que no contaba con las facultades de manejar alguna cuenta oficial del </w:t>
      </w:r>
      <w:proofErr w:type="gramStart"/>
      <w:r w:rsidRPr="000B7C87">
        <w:rPr>
          <w:rFonts w:ascii="Palatino Linotype" w:eastAsia="Palatino Linotype" w:hAnsi="Palatino Linotype" w:cs="Palatino Linotype"/>
        </w:rPr>
        <w:t>Presidente</w:t>
      </w:r>
      <w:proofErr w:type="gramEnd"/>
      <w:r w:rsidRPr="000B7C87">
        <w:rPr>
          <w:rFonts w:ascii="Palatino Linotype" w:eastAsia="Palatino Linotype" w:hAnsi="Palatino Linotype" w:cs="Palatino Linotype"/>
        </w:rPr>
        <w:t xml:space="preserve"> del Ayuntamiento, de su Secretario o de alguna persona Directora General, en consecuencia, no era posible remitir dicha información. </w:t>
      </w:r>
    </w:p>
    <w:p w14:paraId="70E6ABC1" w14:textId="77777777" w:rsidR="00F629EB" w:rsidRPr="000B7C87" w:rsidRDefault="00F629EB">
      <w:pPr>
        <w:spacing w:line="360" w:lineRule="auto"/>
        <w:ind w:right="51"/>
        <w:jc w:val="both"/>
        <w:rPr>
          <w:rFonts w:ascii="Palatino Linotype" w:eastAsia="Palatino Linotype" w:hAnsi="Palatino Linotype" w:cs="Palatino Linotype"/>
        </w:rPr>
      </w:pPr>
    </w:p>
    <w:p w14:paraId="5C580865" w14:textId="77777777" w:rsidR="00F629EB" w:rsidRPr="000B7C87" w:rsidRDefault="000B7C87">
      <w:pPr>
        <w:spacing w:line="360" w:lineRule="auto"/>
        <w:ind w:right="51"/>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Atenta a ello, </w:t>
      </w:r>
      <w:r w:rsidRPr="000B7C87">
        <w:rPr>
          <w:rFonts w:ascii="Palatino Linotype" w:eastAsia="Palatino Linotype" w:hAnsi="Palatino Linotype" w:cs="Palatino Linotype"/>
          <w:b/>
        </w:rPr>
        <w:t>LA PARTE RECURRENTE</w:t>
      </w:r>
      <w:r w:rsidRPr="000B7C87">
        <w:rPr>
          <w:rFonts w:ascii="Palatino Linotype" w:eastAsia="Palatino Linotype" w:hAnsi="Palatino Linotype" w:cs="Palatino Linotype"/>
        </w:rPr>
        <w:t xml:space="preserve"> se inconforma de la respuesta a su pedimento de información, por lo cual decidió interponer su recurso de revisión ante esta Autoridad Mexiquense, señalando que la información era incompleta y que además no contaba con un perfil en Facebook para adquirir dicha información. </w:t>
      </w:r>
    </w:p>
    <w:p w14:paraId="3846F038" w14:textId="77777777" w:rsidR="00F629EB" w:rsidRPr="000B7C87" w:rsidRDefault="00F629EB">
      <w:pPr>
        <w:spacing w:line="360" w:lineRule="auto"/>
        <w:ind w:right="51"/>
        <w:jc w:val="both"/>
        <w:rPr>
          <w:rFonts w:ascii="Palatino Linotype" w:eastAsia="Palatino Linotype" w:hAnsi="Palatino Linotype" w:cs="Palatino Linotype"/>
        </w:rPr>
      </w:pPr>
    </w:p>
    <w:p w14:paraId="147A72E8" w14:textId="77777777" w:rsidR="00F629EB" w:rsidRPr="000B7C87" w:rsidRDefault="000B7C87">
      <w:pPr>
        <w:spacing w:line="360" w:lineRule="auto"/>
        <w:ind w:right="51"/>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En tanto, del procedimiento de este medio de impugnación se colige que </w:t>
      </w: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ratificó en términos generales su respuesta. </w:t>
      </w:r>
    </w:p>
    <w:p w14:paraId="3896EA99" w14:textId="77777777" w:rsidR="00F629EB" w:rsidRPr="000B7C87" w:rsidRDefault="00F629EB">
      <w:pPr>
        <w:spacing w:line="360" w:lineRule="auto"/>
        <w:ind w:right="51"/>
        <w:jc w:val="both"/>
        <w:rPr>
          <w:rFonts w:ascii="Palatino Linotype" w:eastAsia="Palatino Linotype" w:hAnsi="Palatino Linotype" w:cs="Palatino Linotype"/>
        </w:rPr>
      </w:pPr>
    </w:p>
    <w:p w14:paraId="10B2D1E4" w14:textId="77777777" w:rsidR="00F629EB" w:rsidRPr="000B7C87" w:rsidRDefault="000B7C87">
      <w:pPr>
        <w:spacing w:line="360" w:lineRule="auto"/>
        <w:ind w:right="51"/>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Mientras que, por la actuación de </w:t>
      </w:r>
      <w:r w:rsidRPr="000B7C87">
        <w:rPr>
          <w:rFonts w:ascii="Palatino Linotype" w:eastAsia="Palatino Linotype" w:hAnsi="Palatino Linotype" w:cs="Palatino Linotype"/>
          <w:b/>
        </w:rPr>
        <w:t>LA PARTE RECURRENTE</w:t>
      </w:r>
      <w:r w:rsidRPr="000B7C87">
        <w:rPr>
          <w:rFonts w:ascii="Palatino Linotype" w:eastAsia="Palatino Linotype" w:hAnsi="Palatino Linotype" w:cs="Palatino Linotype"/>
        </w:rPr>
        <w:t xml:space="preserve"> puede resolverse que dejó de ejercer su derecho procesal, y como resultado, después de revisados los antecedentes de este expediente, es necesario enfocarnos en la resolución del mismo.</w:t>
      </w:r>
    </w:p>
    <w:p w14:paraId="372AD74B" w14:textId="77777777" w:rsidR="00F629EB" w:rsidRPr="000B7C87" w:rsidRDefault="00F629EB">
      <w:pPr>
        <w:spacing w:line="360" w:lineRule="auto"/>
        <w:ind w:right="51"/>
        <w:jc w:val="both"/>
        <w:rPr>
          <w:rFonts w:ascii="Palatino Linotype" w:eastAsia="Palatino Linotype" w:hAnsi="Palatino Linotype" w:cs="Palatino Linotype"/>
        </w:rPr>
      </w:pPr>
    </w:p>
    <w:p w14:paraId="01922C52" w14:textId="77777777" w:rsidR="00F629EB" w:rsidRPr="000B7C87" w:rsidRDefault="000B7C87">
      <w:pPr>
        <w:spacing w:line="360" w:lineRule="auto"/>
        <w:ind w:right="51"/>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Es menester de este Instituto enfatizar que </w:t>
      </w:r>
      <w:r w:rsidRPr="000B7C87">
        <w:rPr>
          <w:rFonts w:ascii="Palatino Linotype" w:eastAsia="Palatino Linotype" w:hAnsi="Palatino Linotype" w:cs="Palatino Linotype"/>
          <w:b/>
        </w:rPr>
        <w:t>LA PARTE RECURRENTE</w:t>
      </w:r>
      <w:r w:rsidRPr="000B7C87">
        <w:rPr>
          <w:rFonts w:ascii="Palatino Linotype" w:eastAsia="Palatino Linotype" w:hAnsi="Palatino Linotype" w:cs="Palatino Linotype"/>
        </w:rPr>
        <w:t xml:space="preserve">, en la solicitud primigenia, pidió específicamente el acervo fotográfico de los Titulares de la Presidencia Municipal, de la Secretaría del Ayuntamiento y de las Direcciones Generales, requerimiento que pretendió ser colmado con la liga electrónica que dirige al ya ilustrado perfil oficial del Ayuntamiento de Toluca en Facebook, sin embargo, es procedente señalar que dicha orientación a </w:t>
      </w:r>
      <w:proofErr w:type="spellStart"/>
      <w:r w:rsidRPr="000B7C87">
        <w:rPr>
          <w:rFonts w:ascii="Palatino Linotype" w:eastAsia="Palatino Linotype" w:hAnsi="Palatino Linotype" w:cs="Palatino Linotype"/>
        </w:rPr>
        <w:t>el</w:t>
      </w:r>
      <w:proofErr w:type="spellEnd"/>
      <w:r w:rsidRPr="000B7C87">
        <w:rPr>
          <w:rFonts w:ascii="Palatino Linotype" w:eastAsia="Palatino Linotype" w:hAnsi="Palatino Linotype" w:cs="Palatino Linotype"/>
        </w:rPr>
        <w:t xml:space="preserve"> link electrónico dejó de hacerse conforme a lo previsto por la Ley de Transparencia de nuestro Estado de México. </w:t>
      </w:r>
    </w:p>
    <w:p w14:paraId="5FBAF19F" w14:textId="77777777" w:rsidR="00F629EB" w:rsidRPr="000B7C87" w:rsidRDefault="00F629EB">
      <w:pPr>
        <w:spacing w:line="360" w:lineRule="auto"/>
        <w:ind w:right="51"/>
        <w:jc w:val="both"/>
        <w:rPr>
          <w:rFonts w:ascii="Palatino Linotype" w:eastAsia="Palatino Linotype" w:hAnsi="Palatino Linotype" w:cs="Palatino Linotype"/>
        </w:rPr>
      </w:pPr>
    </w:p>
    <w:p w14:paraId="21D44492"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El artículo 161 de la ley en cita señala diversas características que debe tener la información desde el momento de su generación, publicación y entrega, así como la forma en que se deberá consultar la información, señalando una fuente precisa y concreta, a saber:</w:t>
      </w:r>
    </w:p>
    <w:p w14:paraId="675751E1"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BED1176"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b/>
          <w:i/>
          <w:sz w:val="22"/>
          <w:szCs w:val="22"/>
          <w:u w:val="single"/>
        </w:rPr>
      </w:pPr>
      <w:r w:rsidRPr="000B7C87">
        <w:rPr>
          <w:rFonts w:ascii="Palatino Linotype" w:eastAsia="Palatino Linotype" w:hAnsi="Palatino Linotype" w:cs="Palatino Linotype"/>
          <w:b/>
          <w:i/>
          <w:sz w:val="22"/>
          <w:szCs w:val="22"/>
        </w:rPr>
        <w:t>Artículo 161.</w:t>
      </w:r>
      <w:r w:rsidRPr="000B7C87">
        <w:rPr>
          <w:rFonts w:ascii="Palatino Linotype" w:eastAsia="Palatino Linotype" w:hAnsi="Palatino Linotype" w:cs="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0B7C87">
        <w:rPr>
          <w:rFonts w:ascii="Palatino Linotype" w:eastAsia="Palatino Linotype" w:hAnsi="Palatino Linotype" w:cs="Palatino Linotype"/>
          <w:b/>
          <w:i/>
          <w:sz w:val="22"/>
          <w:szCs w:val="22"/>
        </w:rPr>
        <w:t xml:space="preserve">la fuente, el lugar y la forma en que puede consultar, reproducir o adquirir dicha información en un plazo no mayor a cinco días hábiles. </w:t>
      </w:r>
      <w:r w:rsidRPr="000B7C87">
        <w:rPr>
          <w:rFonts w:ascii="Palatino Linotype" w:eastAsia="Palatino Linotype" w:hAnsi="Palatino Linotype" w:cs="Palatino Linotype"/>
          <w:b/>
          <w:i/>
          <w:sz w:val="22"/>
          <w:szCs w:val="22"/>
          <w:u w:val="single"/>
        </w:rPr>
        <w:t>La fuente deberá ser precisa y concreta y no debe implicar que el solicitante realice una búsqueda en toda la información que se encuentre disponible.</w:t>
      </w:r>
    </w:p>
    <w:p w14:paraId="70C3A4D8"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u w:val="single"/>
        </w:rPr>
      </w:pPr>
      <w:r w:rsidRPr="000B7C87">
        <w:rPr>
          <w:rFonts w:ascii="Palatino Linotype" w:eastAsia="Palatino Linotype" w:hAnsi="Palatino Linotype" w:cs="Palatino Linotype"/>
          <w:b/>
          <w:i/>
          <w:sz w:val="22"/>
          <w:szCs w:val="22"/>
          <w:u w:val="single"/>
        </w:rPr>
        <w:lastRenderedPageBreak/>
        <w:t>Énfasis añadido</w:t>
      </w:r>
    </w:p>
    <w:p w14:paraId="1C97EF87"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BCCC7AB"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Del artículo inserto en esta resolución, se establecen las características que debe tener la información desde el momento de su generación, publicación y entrega; de igual manera se contempla el procedimiento a seguir por </w:t>
      </w: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para informar a los solicitantes sobre información que se encuentre disponible en libros, compendios, formatos electrónicos, entre otros, haciéndole saber a la parte solicitante cómo podrá consultar, reproducir o adquirir la información, en un plazo no mayor a </w:t>
      </w:r>
      <w:r w:rsidRPr="000B7C87">
        <w:rPr>
          <w:rFonts w:ascii="Palatino Linotype" w:eastAsia="Palatino Linotype" w:hAnsi="Palatino Linotype" w:cs="Palatino Linotype"/>
          <w:b/>
          <w:u w:val="single"/>
        </w:rPr>
        <w:t>cinco días hábiles</w:t>
      </w:r>
      <w:r w:rsidRPr="000B7C87">
        <w:rPr>
          <w:rFonts w:ascii="Palatino Linotype" w:eastAsia="Palatino Linotype" w:hAnsi="Palatino Linotype" w:cs="Palatino Linotype"/>
        </w:rPr>
        <w:t>, comprendiendo:</w:t>
      </w:r>
    </w:p>
    <w:p w14:paraId="4A149262" w14:textId="77777777" w:rsidR="00F629EB" w:rsidRPr="000B7C87" w:rsidRDefault="00F629EB">
      <w:pPr>
        <w:jc w:val="both"/>
        <w:rPr>
          <w:rFonts w:ascii="Palatino Linotype" w:eastAsia="Palatino Linotype" w:hAnsi="Palatino Linotype" w:cs="Palatino Linotype"/>
        </w:rPr>
      </w:pPr>
    </w:p>
    <w:p w14:paraId="12409A56" w14:textId="77777777" w:rsidR="00F629EB" w:rsidRPr="000B7C87" w:rsidRDefault="000B7C87">
      <w:pPr>
        <w:numPr>
          <w:ilvl w:val="0"/>
          <w:numId w:val="7"/>
        </w:numPr>
        <w:jc w:val="both"/>
        <w:rPr>
          <w:rFonts w:ascii="Palatino Linotype" w:eastAsia="Palatino Linotype" w:hAnsi="Palatino Linotype" w:cs="Palatino Linotype"/>
          <w:b/>
        </w:rPr>
      </w:pPr>
      <w:r w:rsidRPr="000B7C87">
        <w:rPr>
          <w:rFonts w:ascii="Palatino Linotype" w:eastAsia="Palatino Linotype" w:hAnsi="Palatino Linotype" w:cs="Palatino Linotype"/>
        </w:rPr>
        <w:t>La fuente</w:t>
      </w:r>
    </w:p>
    <w:p w14:paraId="536D9BD3" w14:textId="77777777" w:rsidR="00F629EB" w:rsidRPr="000B7C87" w:rsidRDefault="000B7C87">
      <w:pPr>
        <w:numPr>
          <w:ilvl w:val="0"/>
          <w:numId w:val="7"/>
        </w:numPr>
        <w:jc w:val="both"/>
        <w:rPr>
          <w:rFonts w:ascii="Palatino Linotype" w:eastAsia="Palatino Linotype" w:hAnsi="Palatino Linotype" w:cs="Palatino Linotype"/>
          <w:b/>
        </w:rPr>
      </w:pPr>
      <w:r w:rsidRPr="000B7C87">
        <w:rPr>
          <w:rFonts w:ascii="Palatino Linotype" w:eastAsia="Palatino Linotype" w:hAnsi="Palatino Linotype" w:cs="Palatino Linotype"/>
        </w:rPr>
        <w:t>El lugar y</w:t>
      </w:r>
    </w:p>
    <w:p w14:paraId="2EFFCB8A" w14:textId="77777777" w:rsidR="00F629EB" w:rsidRPr="000B7C87" w:rsidRDefault="000B7C87">
      <w:pPr>
        <w:numPr>
          <w:ilvl w:val="0"/>
          <w:numId w:val="7"/>
        </w:numPr>
        <w:jc w:val="both"/>
        <w:rPr>
          <w:rFonts w:ascii="Palatino Linotype" w:eastAsia="Palatino Linotype" w:hAnsi="Palatino Linotype" w:cs="Palatino Linotype"/>
          <w:b/>
        </w:rPr>
      </w:pPr>
      <w:r w:rsidRPr="000B7C87">
        <w:rPr>
          <w:rFonts w:ascii="Palatino Linotype" w:eastAsia="Palatino Linotype" w:hAnsi="Palatino Linotype" w:cs="Palatino Linotype"/>
        </w:rPr>
        <w:t>La forma</w:t>
      </w:r>
    </w:p>
    <w:p w14:paraId="26303777" w14:textId="77777777" w:rsidR="00F629EB" w:rsidRPr="000B7C87" w:rsidRDefault="00F629EB">
      <w:pPr>
        <w:jc w:val="both"/>
        <w:rPr>
          <w:rFonts w:ascii="Palatino Linotype" w:eastAsia="Palatino Linotype" w:hAnsi="Palatino Linotype" w:cs="Palatino Linotype"/>
        </w:rPr>
      </w:pPr>
    </w:p>
    <w:p w14:paraId="22CC8AE7"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Asimismo, se establece que la fuente de la información </w:t>
      </w:r>
      <w:r w:rsidRPr="000B7C87">
        <w:rPr>
          <w:rFonts w:ascii="Palatino Linotype" w:eastAsia="Palatino Linotype" w:hAnsi="Palatino Linotype" w:cs="Palatino Linotype"/>
          <w:b/>
        </w:rPr>
        <w:t>deberá ser</w:t>
      </w:r>
      <w:r w:rsidRPr="000B7C87">
        <w:rPr>
          <w:rFonts w:ascii="Palatino Linotype" w:eastAsia="Palatino Linotype" w:hAnsi="Palatino Linotype" w:cs="Palatino Linotype"/>
        </w:rPr>
        <w:t>:</w:t>
      </w:r>
    </w:p>
    <w:p w14:paraId="1BF97C03" w14:textId="77777777" w:rsidR="00F629EB" w:rsidRPr="000B7C87" w:rsidRDefault="000B7C87">
      <w:pPr>
        <w:numPr>
          <w:ilvl w:val="0"/>
          <w:numId w:val="1"/>
        </w:numPr>
        <w:jc w:val="both"/>
        <w:rPr>
          <w:rFonts w:ascii="Palatino Linotype" w:eastAsia="Palatino Linotype" w:hAnsi="Palatino Linotype" w:cs="Palatino Linotype"/>
          <w:b/>
        </w:rPr>
      </w:pPr>
      <w:r w:rsidRPr="000B7C87">
        <w:rPr>
          <w:rFonts w:ascii="Palatino Linotype" w:eastAsia="Palatino Linotype" w:hAnsi="Palatino Linotype" w:cs="Palatino Linotype"/>
        </w:rPr>
        <w:t>Precisa</w:t>
      </w:r>
    </w:p>
    <w:p w14:paraId="4D174C7E" w14:textId="77777777" w:rsidR="00F629EB" w:rsidRPr="000B7C87" w:rsidRDefault="000B7C87">
      <w:pPr>
        <w:numPr>
          <w:ilvl w:val="0"/>
          <w:numId w:val="1"/>
        </w:numPr>
        <w:jc w:val="both"/>
        <w:rPr>
          <w:rFonts w:ascii="Palatino Linotype" w:eastAsia="Palatino Linotype" w:hAnsi="Palatino Linotype" w:cs="Palatino Linotype"/>
          <w:b/>
        </w:rPr>
      </w:pPr>
      <w:r w:rsidRPr="000B7C87">
        <w:rPr>
          <w:rFonts w:ascii="Palatino Linotype" w:eastAsia="Palatino Linotype" w:hAnsi="Palatino Linotype" w:cs="Palatino Linotype"/>
        </w:rPr>
        <w:t>Concreta</w:t>
      </w:r>
    </w:p>
    <w:p w14:paraId="11DE499B" w14:textId="77777777" w:rsidR="00F629EB" w:rsidRPr="000B7C87" w:rsidRDefault="000B7C87">
      <w:pPr>
        <w:numPr>
          <w:ilvl w:val="0"/>
          <w:numId w:val="1"/>
        </w:numPr>
        <w:jc w:val="both"/>
        <w:rPr>
          <w:rFonts w:ascii="Palatino Linotype" w:eastAsia="Palatino Linotype" w:hAnsi="Palatino Linotype" w:cs="Palatino Linotype"/>
          <w:b/>
        </w:rPr>
      </w:pPr>
      <w:r w:rsidRPr="000B7C87">
        <w:rPr>
          <w:rFonts w:ascii="Palatino Linotype" w:eastAsia="Palatino Linotype" w:hAnsi="Palatino Linotype" w:cs="Palatino Linotype"/>
        </w:rPr>
        <w:t>No debe implicar que el solicitante realice una búsqueda en toda la información que se encuentre disponible.</w:t>
      </w:r>
    </w:p>
    <w:p w14:paraId="17BA6BE5" w14:textId="77777777" w:rsidR="00F629EB" w:rsidRPr="000B7C87" w:rsidRDefault="00F629EB">
      <w:pPr>
        <w:jc w:val="both"/>
        <w:rPr>
          <w:rFonts w:ascii="Palatino Linotype" w:eastAsia="Palatino Linotype" w:hAnsi="Palatino Linotype" w:cs="Palatino Linotype"/>
        </w:rPr>
      </w:pPr>
    </w:p>
    <w:p w14:paraId="65C9E696"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Imperativos legales que establecen el procedimiento que debe seguir </w:t>
      </w:r>
      <w:r w:rsidRPr="000B7C87">
        <w:rPr>
          <w:rFonts w:ascii="Palatino Linotype" w:eastAsia="Palatino Linotype" w:hAnsi="Palatino Linotype" w:cs="Palatino Linotype"/>
          <w:b/>
        </w:rPr>
        <w:t xml:space="preserve">EL SUJETO OBLIGADO </w:t>
      </w:r>
      <w:r w:rsidRPr="000B7C87">
        <w:rPr>
          <w:rFonts w:ascii="Palatino Linotype" w:eastAsia="Palatino Linotype" w:hAnsi="Palatino Linotype" w:cs="Palatino Linotype"/>
        </w:rPr>
        <w:t xml:space="preserve">para que pueda tomarse como válida su orientación sobre la forma en que puede consultar la información requerida, y que en la especie no acontece, ello porque contrario a lo que establece </w:t>
      </w: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la fuente donde a su decir se encuentra la información, </w:t>
      </w:r>
      <w:r w:rsidRPr="000B7C87">
        <w:rPr>
          <w:rFonts w:ascii="Palatino Linotype" w:eastAsia="Palatino Linotype" w:hAnsi="Palatino Linotype" w:cs="Palatino Linotype"/>
          <w:b/>
          <w:u w:val="single"/>
        </w:rPr>
        <w:t>no es precisa</w:t>
      </w:r>
      <w:r w:rsidRPr="000B7C87">
        <w:rPr>
          <w:rFonts w:ascii="Palatino Linotype" w:eastAsia="Palatino Linotype" w:hAnsi="Palatino Linotype" w:cs="Palatino Linotype"/>
        </w:rPr>
        <w:t xml:space="preserve"> por no señalarse el lugar específico donde se encuentra la información solicitada; </w:t>
      </w:r>
      <w:r w:rsidRPr="000B7C87">
        <w:rPr>
          <w:rFonts w:ascii="Palatino Linotype" w:eastAsia="Palatino Linotype" w:hAnsi="Palatino Linotype" w:cs="Palatino Linotype"/>
          <w:b/>
          <w:u w:val="single"/>
        </w:rPr>
        <w:t>no es concreta</w:t>
      </w:r>
      <w:r w:rsidRPr="000B7C87">
        <w:rPr>
          <w:rFonts w:ascii="Palatino Linotype" w:eastAsia="Palatino Linotype" w:hAnsi="Palatino Linotype" w:cs="Palatino Linotype"/>
        </w:rPr>
        <w:t xml:space="preserve"> porque su fuente no es sólida, sino por el contrario ésta resulta abstracta y desinforma al crear incertidumbre con el cúmulo de información ahí establecida; y por último, su fuente </w:t>
      </w:r>
      <w:r w:rsidRPr="000B7C87">
        <w:rPr>
          <w:rFonts w:ascii="Palatino Linotype" w:eastAsia="Palatino Linotype" w:hAnsi="Palatino Linotype" w:cs="Palatino Linotype"/>
          <w:b/>
        </w:rPr>
        <w:lastRenderedPageBreak/>
        <w:t xml:space="preserve">SÍ </w:t>
      </w:r>
      <w:r w:rsidRPr="000B7C87">
        <w:rPr>
          <w:rFonts w:ascii="Palatino Linotype" w:eastAsia="Palatino Linotype" w:hAnsi="Palatino Linotype" w:cs="Palatino Linotype"/>
        </w:rPr>
        <w:t>implica que el solicitante realice una búsqueda en toda la información que se encuentra disponible, lo que a todas luces transgrede el numeral citado.</w:t>
      </w:r>
    </w:p>
    <w:p w14:paraId="0DA003C1" w14:textId="77777777" w:rsidR="00F629EB" w:rsidRPr="000B7C87" w:rsidRDefault="00F629EB">
      <w:pPr>
        <w:spacing w:line="360" w:lineRule="auto"/>
        <w:jc w:val="both"/>
        <w:rPr>
          <w:rFonts w:ascii="Palatino Linotype" w:eastAsia="Palatino Linotype" w:hAnsi="Palatino Linotype" w:cs="Palatino Linotype"/>
        </w:rPr>
      </w:pPr>
    </w:p>
    <w:p w14:paraId="4EBCAEDF"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Por lo anteriormente expuesto, se concluye que </w:t>
      </w: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no colmó las pretensiones realizadas por el particular, con dichas instrucciones para acceder a la información solicitada; al respecto, el artículo 161, de la Ley de Transparencia indica que cuando la información requerida esté disponible en internet, todos los Sujetos Obligados </w:t>
      </w:r>
      <w:r w:rsidRPr="000B7C87">
        <w:rPr>
          <w:rFonts w:ascii="Palatino Linotype" w:eastAsia="Palatino Linotype" w:hAnsi="Palatino Linotype" w:cs="Palatino Linotype"/>
          <w:b/>
        </w:rPr>
        <w:t xml:space="preserve">deberán hacerlo saber a la parte solicitante en un plazo no mayor a cinco días hábiles; </w:t>
      </w:r>
      <w:r w:rsidRPr="000B7C87">
        <w:rPr>
          <w:rFonts w:ascii="Palatino Linotype" w:eastAsia="Palatino Linotype" w:hAnsi="Palatino Linotype" w:cs="Palatino Linotype"/>
        </w:rPr>
        <w:t xml:space="preserve">bajo esa premisa, la respuesta del </w:t>
      </w:r>
      <w:r w:rsidRPr="000B7C87">
        <w:rPr>
          <w:rFonts w:ascii="Palatino Linotype" w:eastAsia="Palatino Linotype" w:hAnsi="Palatino Linotype" w:cs="Palatino Linotype"/>
          <w:b/>
        </w:rPr>
        <w:t>SUJETO OBLIGADO</w:t>
      </w:r>
      <w:r w:rsidRPr="000B7C87">
        <w:rPr>
          <w:rFonts w:ascii="Palatino Linotype" w:eastAsia="Palatino Linotype" w:hAnsi="Palatino Linotype" w:cs="Palatino Linotype"/>
        </w:rPr>
        <w:t xml:space="preserve"> vulneró el referido dispositivo de la Ley de Transparencia en virtud de que </w:t>
      </w:r>
      <w:r w:rsidRPr="000B7C87">
        <w:rPr>
          <w:rFonts w:ascii="Palatino Linotype" w:eastAsia="Palatino Linotype" w:hAnsi="Palatino Linotype" w:cs="Palatino Linotype"/>
          <w:b/>
        </w:rPr>
        <w:t>la respuesta se entregó hasta el décimo quinto y último día hábil de recibida la petición.</w:t>
      </w:r>
      <w:r w:rsidRPr="000B7C87">
        <w:rPr>
          <w:rFonts w:ascii="Palatino Linotype" w:eastAsia="Palatino Linotype" w:hAnsi="Palatino Linotype" w:cs="Palatino Linotype"/>
        </w:rPr>
        <w:t xml:space="preserve"> </w:t>
      </w:r>
    </w:p>
    <w:p w14:paraId="378D7DD9"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rPr>
      </w:pPr>
    </w:p>
    <w:p w14:paraId="4A21C9B2"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Es así que, de las constancias que integran el expediente del recurso de revisión al rubro indicado, se tiene que </w:t>
      </w:r>
      <w:r w:rsidRPr="000B7C87">
        <w:rPr>
          <w:rFonts w:ascii="Palatino Linotype" w:eastAsia="Palatino Linotype" w:hAnsi="Palatino Linotype" w:cs="Palatino Linotype"/>
          <w:b/>
        </w:rPr>
        <w:t>LA PARTE RECURRENTE</w:t>
      </w:r>
      <w:r w:rsidRPr="000B7C87">
        <w:rPr>
          <w:rFonts w:ascii="Palatino Linotype" w:eastAsia="Palatino Linotype" w:hAnsi="Palatino Linotype" w:cs="Palatino Linotype"/>
        </w:rPr>
        <w:t xml:space="preserve"> se duele por la mala atención a su requerimiento, pues como se ha demostrado, </w:t>
      </w: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respondió de manera deficiente. </w:t>
      </w:r>
    </w:p>
    <w:p w14:paraId="0D437FAB" w14:textId="77777777" w:rsidR="00F629EB" w:rsidRPr="000B7C87" w:rsidRDefault="00F629EB">
      <w:pPr>
        <w:spacing w:line="360" w:lineRule="auto"/>
        <w:jc w:val="both"/>
        <w:rPr>
          <w:rFonts w:ascii="Palatino Linotype" w:eastAsia="Palatino Linotype" w:hAnsi="Palatino Linotype" w:cs="Palatino Linotype"/>
        </w:rPr>
      </w:pPr>
    </w:p>
    <w:p w14:paraId="718579F7"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Sin detrimento de lo expuesto, </w:t>
      </w:r>
      <w:r w:rsidRPr="000B7C87">
        <w:rPr>
          <w:rFonts w:ascii="Palatino Linotype" w:eastAsia="Palatino Linotype" w:hAnsi="Palatino Linotype" w:cs="Palatino Linotype"/>
          <w:b/>
        </w:rPr>
        <w:t>LA PARTE RECURRENTE</w:t>
      </w:r>
      <w:r w:rsidRPr="000B7C87">
        <w:rPr>
          <w:rFonts w:ascii="Palatino Linotype" w:eastAsia="Palatino Linotype" w:hAnsi="Palatino Linotype" w:cs="Palatino Linotype"/>
        </w:rPr>
        <w:t xml:space="preserve"> enfatizó en su agravio que la respuesta del </w:t>
      </w:r>
      <w:r w:rsidRPr="000B7C87">
        <w:rPr>
          <w:rFonts w:ascii="Palatino Linotype" w:eastAsia="Palatino Linotype" w:hAnsi="Palatino Linotype" w:cs="Palatino Linotype"/>
          <w:b/>
        </w:rPr>
        <w:t>SUJETO OBLIGADO</w:t>
      </w:r>
      <w:r w:rsidRPr="000B7C87">
        <w:rPr>
          <w:rFonts w:ascii="Palatino Linotype" w:eastAsia="Palatino Linotype" w:hAnsi="Palatino Linotype" w:cs="Palatino Linotype"/>
        </w:rPr>
        <w:t xml:space="preserve"> estaba incompleta, y es que dicha inconformidad causa convicción en esta Autoridad ya que en el perfil oficial de Facebook del Ayuntamiento de Toluca, no obran en sí las fotografías de las Personas Servidoras Públicas enlistadas en la solicitud de información, y tampoco existe algún apartado en donde se dé cuenta a </w:t>
      </w:r>
      <w:r w:rsidRPr="000B7C87">
        <w:rPr>
          <w:rFonts w:ascii="Palatino Linotype" w:eastAsia="Palatino Linotype" w:hAnsi="Palatino Linotype" w:cs="Palatino Linotype"/>
          <w:b/>
        </w:rPr>
        <w:t>LA PARTE RECURRENTE</w:t>
      </w:r>
      <w:r w:rsidRPr="000B7C87">
        <w:rPr>
          <w:rFonts w:ascii="Palatino Linotype" w:eastAsia="Palatino Linotype" w:hAnsi="Palatino Linotype" w:cs="Palatino Linotype"/>
        </w:rPr>
        <w:t xml:space="preserve"> de la temporalidad que desea conocer, pues, al momento de resolver esta inconformidad se encontró </w:t>
      </w:r>
      <w:r w:rsidRPr="000B7C87">
        <w:rPr>
          <w:rFonts w:ascii="Palatino Linotype" w:eastAsia="Palatino Linotype" w:hAnsi="Palatino Linotype" w:cs="Palatino Linotype"/>
        </w:rPr>
        <w:lastRenderedPageBreak/>
        <w:t xml:space="preserve">que dicho perfil público denota actividades cotidianas de todo el </w:t>
      </w:r>
      <w:r w:rsidRPr="000B7C87">
        <w:rPr>
          <w:rFonts w:ascii="Palatino Linotype" w:eastAsia="Palatino Linotype" w:hAnsi="Palatino Linotype" w:cs="Palatino Linotype"/>
          <w:b/>
        </w:rPr>
        <w:t>SUJETO OBLIGADO,</w:t>
      </w:r>
      <w:r w:rsidRPr="000B7C87">
        <w:rPr>
          <w:rFonts w:ascii="Palatino Linotype" w:eastAsia="Palatino Linotype" w:hAnsi="Palatino Linotype" w:cs="Palatino Linotype"/>
        </w:rPr>
        <w:t xml:space="preserve"> y no así de las personas puntualmente se refirieron por la parte que hoy se ve transgredida en su Derecho Humano. </w:t>
      </w:r>
    </w:p>
    <w:p w14:paraId="28A4F770" w14:textId="77777777" w:rsidR="00F629EB" w:rsidRPr="000B7C87" w:rsidRDefault="00F629EB">
      <w:pPr>
        <w:spacing w:line="360" w:lineRule="auto"/>
        <w:jc w:val="both"/>
      </w:pPr>
    </w:p>
    <w:p w14:paraId="5BB53D28" w14:textId="77777777" w:rsidR="00F629EB" w:rsidRPr="000B7C87" w:rsidRDefault="000B7C87">
      <w:pPr>
        <w:spacing w:line="360" w:lineRule="auto"/>
        <w:jc w:val="center"/>
        <w:rPr>
          <w:rFonts w:ascii="Palatino Linotype" w:eastAsia="Palatino Linotype" w:hAnsi="Palatino Linotype" w:cs="Palatino Linotype"/>
        </w:rPr>
      </w:pPr>
      <w:r w:rsidRPr="000B7C87">
        <w:rPr>
          <w:noProof/>
        </w:rPr>
        <w:drawing>
          <wp:inline distT="0" distB="0" distL="0" distR="0" wp14:anchorId="0DFB9F8B" wp14:editId="09245039">
            <wp:extent cx="4087622" cy="4054255"/>
            <wp:effectExtent l="0" t="0" r="0" b="0"/>
            <wp:docPr id="1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45230" t="22248" r="22829" b="21432"/>
                    <a:stretch>
                      <a:fillRect/>
                    </a:stretch>
                  </pic:blipFill>
                  <pic:spPr>
                    <a:xfrm>
                      <a:off x="0" y="0"/>
                      <a:ext cx="4087622" cy="4054255"/>
                    </a:xfrm>
                    <a:prstGeom prst="rect">
                      <a:avLst/>
                    </a:prstGeom>
                    <a:ln/>
                  </pic:spPr>
                </pic:pic>
              </a:graphicData>
            </a:graphic>
          </wp:inline>
        </w:drawing>
      </w:r>
    </w:p>
    <w:p w14:paraId="52F80D95" w14:textId="77777777" w:rsidR="00F629EB" w:rsidRPr="000B7C87" w:rsidRDefault="00F629EB">
      <w:pPr>
        <w:spacing w:line="360" w:lineRule="auto"/>
        <w:jc w:val="both"/>
        <w:rPr>
          <w:rFonts w:ascii="Palatino Linotype" w:eastAsia="Palatino Linotype" w:hAnsi="Palatino Linotype" w:cs="Palatino Linotype"/>
        </w:rPr>
      </w:pPr>
    </w:p>
    <w:p w14:paraId="112DF61B"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Además, es importante no perder de vista que </w:t>
      </w:r>
      <w:r w:rsidRPr="000B7C87">
        <w:rPr>
          <w:rFonts w:ascii="Palatino Linotype" w:eastAsia="Palatino Linotype" w:hAnsi="Palatino Linotype" w:cs="Palatino Linotype"/>
          <w:b/>
        </w:rPr>
        <w:t xml:space="preserve">EL SUJETO OBLIGADO </w:t>
      </w:r>
      <w:r w:rsidRPr="000B7C87">
        <w:rPr>
          <w:rFonts w:ascii="Palatino Linotype" w:eastAsia="Palatino Linotype" w:hAnsi="Palatino Linotype" w:cs="Palatino Linotype"/>
        </w:rPr>
        <w:t xml:space="preserve">en su respuesta, hizo de dominio público que la Dirección General de Comunicación Social no contaba con facultades para recabar datos personales que se encuentren en páginas oficiales administradas de manera directa por las Personas Titulares de la Presidencia Municipal, de la Secretaría del Ayuntamiento y de las Direcciones Generales, sin embargo, esta consideración se estima improcedente en virtud de que </w:t>
      </w:r>
      <w:r w:rsidRPr="000B7C87">
        <w:rPr>
          <w:rFonts w:ascii="Palatino Linotype" w:eastAsia="Palatino Linotype" w:hAnsi="Palatino Linotype" w:cs="Palatino Linotype"/>
          <w:b/>
        </w:rPr>
        <w:lastRenderedPageBreak/>
        <w:t>LA PARTE RECURRENTE</w:t>
      </w:r>
      <w:r w:rsidRPr="000B7C87">
        <w:rPr>
          <w:rFonts w:ascii="Palatino Linotype" w:eastAsia="Palatino Linotype" w:hAnsi="Palatino Linotype" w:cs="Palatino Linotype"/>
        </w:rPr>
        <w:t xml:space="preserve"> en ningún momento de su petición aludió a que requería información plasmada en alguna red social personal de las referidas Personas Servidoras Públicas, es más, nunca emitió alguna vinculación con la página oficial del Ayuntamiento de Toluca en Facebook, y ante tal consideración, el agravio de </w:t>
      </w:r>
      <w:r w:rsidRPr="000B7C87">
        <w:rPr>
          <w:rFonts w:ascii="Palatino Linotype" w:eastAsia="Palatino Linotype" w:hAnsi="Palatino Linotype" w:cs="Palatino Linotype"/>
          <w:b/>
        </w:rPr>
        <w:t xml:space="preserve">LA PARTE RECURRENTE </w:t>
      </w:r>
      <w:r w:rsidRPr="000B7C87">
        <w:rPr>
          <w:rFonts w:ascii="Palatino Linotype" w:eastAsia="Palatino Linotype" w:hAnsi="Palatino Linotype" w:cs="Palatino Linotype"/>
        </w:rPr>
        <w:t xml:space="preserve">cobra sentido pues es cierto que la información entregada no colma su Derecho al Acceso a la Información Pública. </w:t>
      </w:r>
    </w:p>
    <w:p w14:paraId="2B472FA5" w14:textId="77777777" w:rsidR="00F629EB" w:rsidRPr="000B7C87" w:rsidRDefault="00F629EB">
      <w:pPr>
        <w:spacing w:line="360" w:lineRule="auto"/>
        <w:ind w:right="51"/>
        <w:jc w:val="both"/>
        <w:rPr>
          <w:rFonts w:ascii="Palatino Linotype" w:eastAsia="Palatino Linotype" w:hAnsi="Palatino Linotype" w:cs="Palatino Linotype"/>
        </w:rPr>
      </w:pPr>
    </w:p>
    <w:p w14:paraId="64FB8B81" w14:textId="77777777" w:rsidR="00F629EB" w:rsidRPr="000B7C87" w:rsidRDefault="000B7C87">
      <w:pPr>
        <w:spacing w:line="360" w:lineRule="auto"/>
        <w:ind w:right="51"/>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En aras de un mejor entendimiento de la solicitud realizada al Ayuntamiento de Toluca, y a la luz de la suplencia de la deficiencia de la misma, bajo el amparo de los artículos 13 y 181 párrafo cuarto de la Ley de Transparencia, este Instituto esgrime que es dable entender que </w:t>
      </w:r>
      <w:r w:rsidRPr="000B7C87">
        <w:rPr>
          <w:rFonts w:ascii="Palatino Linotype" w:eastAsia="Palatino Linotype" w:hAnsi="Palatino Linotype" w:cs="Palatino Linotype"/>
          <w:b/>
        </w:rPr>
        <w:t>LA PARTE RECURRENTE</w:t>
      </w:r>
      <w:r w:rsidRPr="000B7C87">
        <w:rPr>
          <w:rFonts w:ascii="Palatino Linotype" w:eastAsia="Palatino Linotype" w:hAnsi="Palatino Linotype" w:cs="Palatino Linotype"/>
        </w:rPr>
        <w:t xml:space="preserve"> requirió las fotografías tomadas al Presidente del Ayuntamiento, el Secretario del Ayuntamiento y Titulares de las Direcciones Generales en el ejercicio de sus funciones, y no así, del acervo fotográfico de la página oficial del Ayuntamiento de Toluca o sus respectivas cuentas oficiales, si existieran aquellas.</w:t>
      </w:r>
    </w:p>
    <w:p w14:paraId="2123C768" w14:textId="77777777" w:rsidR="00F629EB" w:rsidRPr="000B7C87" w:rsidRDefault="00F629EB">
      <w:pPr>
        <w:spacing w:line="360" w:lineRule="auto"/>
        <w:ind w:right="51"/>
        <w:jc w:val="both"/>
        <w:rPr>
          <w:rFonts w:ascii="Palatino Linotype" w:eastAsia="Palatino Linotype" w:hAnsi="Palatino Linotype" w:cs="Palatino Linotype"/>
        </w:rPr>
      </w:pPr>
    </w:p>
    <w:p w14:paraId="74A597B3" w14:textId="77777777" w:rsidR="00F629EB" w:rsidRPr="000B7C87" w:rsidRDefault="000B7C87">
      <w:pPr>
        <w:spacing w:line="360" w:lineRule="auto"/>
        <w:ind w:right="51"/>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En consecuencia, </w:t>
      </w: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deberá entregar la información requerida por </w:t>
      </w:r>
      <w:r w:rsidRPr="000B7C87">
        <w:rPr>
          <w:rFonts w:ascii="Palatino Linotype" w:eastAsia="Palatino Linotype" w:hAnsi="Palatino Linotype" w:cs="Palatino Linotype"/>
          <w:b/>
        </w:rPr>
        <w:t>LA PARTE RECURRENTE,</w:t>
      </w:r>
      <w:r w:rsidRPr="000B7C87">
        <w:rPr>
          <w:rFonts w:ascii="Palatino Linotype" w:eastAsia="Palatino Linotype" w:hAnsi="Palatino Linotype" w:cs="Palatino Linotype"/>
        </w:rPr>
        <w:t xml:space="preserve"> porque con apoyo del Criterio Reiterado 03/19 de la Segunda Época emitido por el Pleno de este Instituto de Transparencia, Acceso a la Información Pública y Protección de Datos Personales del Estado de México y Municipios, de rubro y texto que dicen:  </w:t>
      </w:r>
    </w:p>
    <w:p w14:paraId="0FB9B3B4" w14:textId="77777777" w:rsidR="00F629EB" w:rsidRPr="000B7C87" w:rsidRDefault="00F629EB">
      <w:pPr>
        <w:spacing w:line="360" w:lineRule="auto"/>
        <w:ind w:right="51"/>
        <w:jc w:val="both"/>
        <w:rPr>
          <w:rFonts w:ascii="Palatino Linotype" w:eastAsia="Palatino Linotype" w:hAnsi="Palatino Linotype" w:cs="Palatino Linotype"/>
        </w:rPr>
      </w:pPr>
    </w:p>
    <w:p w14:paraId="622FB5AA"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0B7C87">
        <w:rPr>
          <w:rFonts w:ascii="Palatino Linotype" w:eastAsia="Palatino Linotype" w:hAnsi="Palatino Linotype" w:cs="Palatino Linotype"/>
          <w:b/>
          <w:i/>
          <w:sz w:val="22"/>
          <w:szCs w:val="22"/>
        </w:rPr>
        <w:t xml:space="preserve">SERVIDORES PÚBLICOS CON CATEGORÍA DE MANDO MEDIO Y SUPERIOR. LA FOTOGRAFÍA DE AQUELLOS ES DE CARÁCTER PÚBLICO. </w:t>
      </w:r>
      <w:r w:rsidRPr="000B7C87">
        <w:rPr>
          <w:rFonts w:ascii="Palatino Linotype" w:eastAsia="Palatino Linotype" w:hAnsi="Palatino Linotype" w:cs="Palatino Linotype"/>
          <w:i/>
          <w:sz w:val="22"/>
          <w:szCs w:val="22"/>
        </w:rPr>
        <w:t xml:space="preserve">Al tenor de los artículos 3, fracción IX, 143, fracción I de la Ley de Transparencia y Acceso a la Información Pública del Estado de México y </w:t>
      </w:r>
      <w:r w:rsidRPr="000B7C87">
        <w:rPr>
          <w:rFonts w:ascii="Palatino Linotype" w:eastAsia="Palatino Linotype" w:hAnsi="Palatino Linotype" w:cs="Palatino Linotype"/>
          <w:i/>
          <w:sz w:val="22"/>
          <w:szCs w:val="22"/>
        </w:rPr>
        <w:lastRenderedPageBreak/>
        <w:t xml:space="preserve">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w:t>
      </w:r>
      <w:r w:rsidRPr="000B7C87">
        <w:rPr>
          <w:rFonts w:ascii="Palatino Linotype" w:eastAsia="Palatino Linotype" w:hAnsi="Palatino Linotype" w:cs="Palatino Linotype"/>
          <w:b/>
          <w:i/>
          <w:sz w:val="22"/>
          <w:szCs w:val="22"/>
        </w:rPr>
        <w:t>de servidores públicos, éstos cuentan con un espectro menor de protección a sus datos personales en comparación con cualquier otra persona física, en razón del interés público que revisten sus funciones</w:t>
      </w:r>
      <w:r w:rsidRPr="000B7C87">
        <w:rPr>
          <w:rFonts w:ascii="Palatino Linotype" w:eastAsia="Palatino Linotype" w:hAnsi="Palatino Linotype" w:cs="Palatino Linotype"/>
          <w:i/>
          <w:sz w:val="22"/>
          <w:szCs w:val="22"/>
        </w:rPr>
        <w:t>,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w:t>
      </w:r>
    </w:p>
    <w:p w14:paraId="5B591A37"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0B7C87">
        <w:rPr>
          <w:rFonts w:ascii="Palatino Linotype" w:eastAsia="Palatino Linotype" w:hAnsi="Palatino Linotype" w:cs="Palatino Linotype"/>
          <w:b/>
          <w:i/>
          <w:sz w:val="22"/>
          <w:szCs w:val="22"/>
        </w:rPr>
        <w:t xml:space="preserve">Precedentes: </w:t>
      </w:r>
    </w:p>
    <w:p w14:paraId="044F998F"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En materia de acceso a la información pública. 06112/INFOEM/IP/RR/2019 y acumulados. Aprobado por unanimidad de votos. Ayuntamiento de Cuautitlán Izcalli. Comisionada Ponente Eva </w:t>
      </w:r>
      <w:proofErr w:type="spellStart"/>
      <w:r w:rsidRPr="000B7C87">
        <w:rPr>
          <w:rFonts w:ascii="Palatino Linotype" w:eastAsia="Palatino Linotype" w:hAnsi="Palatino Linotype" w:cs="Palatino Linotype"/>
          <w:i/>
          <w:sz w:val="22"/>
          <w:szCs w:val="22"/>
        </w:rPr>
        <w:t>Abaid</w:t>
      </w:r>
      <w:proofErr w:type="spellEnd"/>
      <w:r w:rsidRPr="000B7C87">
        <w:rPr>
          <w:rFonts w:ascii="Palatino Linotype" w:eastAsia="Palatino Linotype" w:hAnsi="Palatino Linotype" w:cs="Palatino Linotype"/>
          <w:i/>
          <w:sz w:val="22"/>
          <w:szCs w:val="22"/>
        </w:rPr>
        <w:t xml:space="preserve"> Yapur. </w:t>
      </w:r>
    </w:p>
    <w:p w14:paraId="7CC2B3CD"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En materia de acceso a la información pública. 05123/INFOEM/IP/RR/2019 y acumulados. Aprobado por unanimidad. Ayuntamiento de Atizapán de Zaragoza. Comisionado Ponente José Guadalupe Luna Hernández. </w:t>
      </w:r>
    </w:p>
    <w:p w14:paraId="5478A9CC"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En materia de acceso a la información pública. 04879/INFOEM/IP/RR/2019. Aprobado por unanimidad de votos, emitiendo voto particular el Comisionado </w:t>
      </w:r>
      <w:r w:rsidRPr="000B7C87">
        <w:rPr>
          <w:rFonts w:ascii="Palatino Linotype" w:eastAsia="Palatino Linotype" w:hAnsi="Palatino Linotype" w:cs="Palatino Linotype"/>
          <w:i/>
          <w:sz w:val="22"/>
          <w:szCs w:val="22"/>
        </w:rPr>
        <w:lastRenderedPageBreak/>
        <w:t>Javier Martínez Cruz. Ayuntamiento de Chicoloapan. Comisionado Ponente Javier Martínez Cruz.</w:t>
      </w:r>
    </w:p>
    <w:p w14:paraId="3416C75C" w14:textId="77777777" w:rsidR="00F629EB" w:rsidRPr="000B7C87" w:rsidRDefault="00F629EB"/>
    <w:p w14:paraId="68EADC80"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Entonces, del Criterio de Interpretación transcrito y con fundamento en el artículo 202 de la Ley de Transparencia del Estado de México, lo conveniente analizar el Marco Normativo del </w:t>
      </w:r>
      <w:r w:rsidRPr="000B7C87">
        <w:rPr>
          <w:rFonts w:ascii="Palatino Linotype" w:eastAsia="Palatino Linotype" w:hAnsi="Palatino Linotype" w:cs="Palatino Linotype"/>
          <w:b/>
        </w:rPr>
        <w:t>SUJETO OBLIGADO</w:t>
      </w:r>
      <w:r w:rsidRPr="000B7C87">
        <w:rPr>
          <w:rFonts w:ascii="Palatino Linotype" w:eastAsia="Palatino Linotype" w:hAnsi="Palatino Linotype" w:cs="Palatino Linotype"/>
        </w:rPr>
        <w:t xml:space="preserve"> para determinar la competencia del mismo y de sus Unidades Administrativas, y en caso de resultar procedente, ordenar la entrega de las fotografías requeridas. </w:t>
      </w:r>
    </w:p>
    <w:p w14:paraId="151A10AA"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3FE0E65"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CÓDIGO REGLAMENTARIO MUNICIPAL DE TOLUCA</w:t>
      </w:r>
    </w:p>
    <w:p w14:paraId="647AFADA"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TÍTULO SÉPTIMO DE LAS FUNCIONES PÚBLICAS MUNICIPALES</w:t>
      </w:r>
    </w:p>
    <w:p w14:paraId="5CF665F2"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CAPÍTULO SEGUNDO DE LOS PROGRAMAS, INFRAESTRUCTURA Y RECONOCIMIENTOS</w:t>
      </w:r>
    </w:p>
    <w:p w14:paraId="73B1CC34"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SECCIÓN SÉPTIMA DE LAS TECNOLOGÍAS DE LA INFORMACIÓN</w:t>
      </w:r>
    </w:p>
    <w:p w14:paraId="06F3D830"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SUBSECCIÓN SÉPTIMA DEL GOBIERNO DIGITAL</w:t>
      </w:r>
    </w:p>
    <w:p w14:paraId="53B94F20"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Artículo 7.56. Las o los titulares de las dependencias y organismos auxiliares deberán acreditar a una o un responsable de sus redes sociales ante la </w:t>
      </w:r>
      <w:r w:rsidRPr="000B7C87">
        <w:rPr>
          <w:rFonts w:ascii="Palatino Linotype" w:eastAsia="Palatino Linotype" w:hAnsi="Palatino Linotype" w:cs="Palatino Linotype"/>
          <w:b/>
          <w:i/>
          <w:sz w:val="22"/>
          <w:szCs w:val="22"/>
          <w:u w:val="single"/>
        </w:rPr>
        <w:t>Coordinación General de Comunicación Social</w:t>
      </w:r>
      <w:r w:rsidRPr="000B7C87">
        <w:rPr>
          <w:rFonts w:ascii="Palatino Linotype" w:eastAsia="Palatino Linotype" w:hAnsi="Palatino Linotype" w:cs="Palatino Linotype"/>
          <w:i/>
          <w:sz w:val="22"/>
          <w:szCs w:val="22"/>
        </w:rPr>
        <w:t xml:space="preserve">, mismo que deberá cubrir el perfil para atender y validar las responsabilidades a las que se refiere este capítulo. </w:t>
      </w:r>
    </w:p>
    <w:p w14:paraId="071D667B"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0B7C87">
        <w:rPr>
          <w:rFonts w:ascii="Palatino Linotype" w:eastAsia="Palatino Linotype" w:hAnsi="Palatino Linotype" w:cs="Palatino Linotype"/>
          <w:i/>
          <w:sz w:val="22"/>
          <w:szCs w:val="22"/>
        </w:rPr>
        <w:t xml:space="preserve">La información que pretenda incorporarse al portal de la administración pública municipal y/o redes sociales, deberá ser validada por la o el titular del área que la generó y aprobada por la </w:t>
      </w:r>
      <w:r w:rsidRPr="000B7C87">
        <w:rPr>
          <w:rFonts w:ascii="Palatino Linotype" w:eastAsia="Palatino Linotype" w:hAnsi="Palatino Linotype" w:cs="Palatino Linotype"/>
          <w:b/>
          <w:i/>
          <w:sz w:val="22"/>
          <w:szCs w:val="22"/>
        </w:rPr>
        <w:t>Coordinación General de Comunicación Social.</w:t>
      </w:r>
    </w:p>
    <w:p w14:paraId="0DF126B9" w14:textId="77777777" w:rsidR="00F629EB" w:rsidRPr="000B7C87" w:rsidRDefault="00F629EB"/>
    <w:p w14:paraId="776736DC" w14:textId="77777777" w:rsidR="00F629EB" w:rsidRPr="000B7C87" w:rsidRDefault="00F629EB"/>
    <w:p w14:paraId="4DB083D7" w14:textId="77777777" w:rsidR="00F629EB" w:rsidRPr="000B7C87" w:rsidRDefault="000B7C87">
      <w:pPr>
        <w:jc w:val="center"/>
      </w:pPr>
      <w:r w:rsidRPr="000B7C87">
        <w:rPr>
          <w:noProof/>
        </w:rPr>
        <w:drawing>
          <wp:inline distT="0" distB="0" distL="0" distR="0" wp14:anchorId="51264694" wp14:editId="446E6FDF">
            <wp:extent cx="5106879" cy="2465642"/>
            <wp:effectExtent l="0" t="0" r="0" b="0"/>
            <wp:docPr id="1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4953" t="14830" r="4048" b="7056"/>
                    <a:stretch>
                      <a:fillRect/>
                    </a:stretch>
                  </pic:blipFill>
                  <pic:spPr>
                    <a:xfrm>
                      <a:off x="0" y="0"/>
                      <a:ext cx="5106879" cy="2465642"/>
                    </a:xfrm>
                    <a:prstGeom prst="rect">
                      <a:avLst/>
                    </a:prstGeom>
                    <a:ln/>
                  </pic:spPr>
                </pic:pic>
              </a:graphicData>
            </a:graphic>
          </wp:inline>
        </w:drawing>
      </w:r>
      <w:r w:rsidRPr="000B7C87">
        <w:rPr>
          <w:noProof/>
        </w:rPr>
        <mc:AlternateContent>
          <mc:Choice Requires="wpg">
            <w:drawing>
              <wp:anchor distT="0" distB="0" distL="114300" distR="114300" simplePos="0" relativeHeight="251658240" behindDoc="0" locked="0" layoutInCell="1" hidden="0" allowOverlap="1" wp14:anchorId="5BC6A6E9" wp14:editId="6EFE1DDF">
                <wp:simplePos x="0" y="0"/>
                <wp:positionH relativeFrom="column">
                  <wp:posOffset>622300</wp:posOffset>
                </wp:positionH>
                <wp:positionV relativeFrom="paragraph">
                  <wp:posOffset>1054100</wp:posOffset>
                </wp:positionV>
                <wp:extent cx="463780" cy="1428057"/>
                <wp:effectExtent l="0" t="0" r="0" b="0"/>
                <wp:wrapNone/>
                <wp:docPr id="154" name="Rectángulo 154"/>
                <wp:cNvGraphicFramePr/>
                <a:graphic xmlns:a="http://schemas.openxmlformats.org/drawingml/2006/main">
                  <a:graphicData uri="http://schemas.microsoft.com/office/word/2010/wordprocessingShape">
                    <wps:wsp>
                      <wps:cNvSpPr/>
                      <wps:spPr>
                        <a:xfrm>
                          <a:off x="5123635" y="3075497"/>
                          <a:ext cx="444730" cy="1409007"/>
                        </a:xfrm>
                        <a:prstGeom prst="rect">
                          <a:avLst/>
                        </a:prstGeom>
                        <a:noFill/>
                        <a:ln w="9525" cap="flat" cmpd="sng">
                          <a:solidFill>
                            <a:srgbClr val="FF0000"/>
                          </a:solidFill>
                          <a:prstDash val="solid"/>
                          <a:round/>
                          <a:headEnd type="none" w="sm" len="sm"/>
                          <a:tailEnd type="none" w="sm" len="sm"/>
                        </a:ln>
                      </wps:spPr>
                      <wps:txbx>
                        <w:txbxContent>
                          <w:p w14:paraId="5464D7F1" w14:textId="77777777" w:rsidR="00F629EB" w:rsidRDefault="00F629E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wp:posOffset>
                </wp:positionH>
                <wp:positionV relativeFrom="paragraph">
                  <wp:posOffset>1054100</wp:posOffset>
                </wp:positionV>
                <wp:extent cx="463780" cy="1428057"/>
                <wp:effectExtent b="0" l="0" r="0" t="0"/>
                <wp:wrapNone/>
                <wp:docPr id="154"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463780" cy="1428057"/>
                        </a:xfrm>
                        <a:prstGeom prst="rect"/>
                        <a:ln/>
                      </pic:spPr>
                    </pic:pic>
                  </a:graphicData>
                </a:graphic>
              </wp:anchor>
            </w:drawing>
          </mc:Fallback>
        </mc:AlternateContent>
      </w:r>
    </w:p>
    <w:p w14:paraId="07BEBAEE" w14:textId="77777777" w:rsidR="00F629EB" w:rsidRPr="000B7C87" w:rsidRDefault="00F629EB">
      <w:pPr>
        <w:spacing w:line="360" w:lineRule="auto"/>
        <w:jc w:val="both"/>
        <w:rPr>
          <w:rFonts w:ascii="Palatino Linotype" w:eastAsia="Palatino Linotype" w:hAnsi="Palatino Linotype" w:cs="Palatino Linotype"/>
        </w:rPr>
      </w:pPr>
    </w:p>
    <w:p w14:paraId="3B15FE8C"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Por otro lado, relativo a que </w:t>
      </w:r>
      <w:r w:rsidRPr="000B7C87">
        <w:rPr>
          <w:rFonts w:ascii="Palatino Linotype" w:eastAsia="Palatino Linotype" w:hAnsi="Palatino Linotype" w:cs="Palatino Linotype"/>
          <w:b/>
        </w:rPr>
        <w:t>LA PARTE RECURRENTE</w:t>
      </w:r>
      <w:r w:rsidRPr="000B7C87">
        <w:rPr>
          <w:rFonts w:ascii="Palatino Linotype" w:eastAsia="Palatino Linotype" w:hAnsi="Palatino Linotype" w:cs="Palatino Linotype"/>
        </w:rPr>
        <w:t xml:space="preserve"> desea que necesariamente se entreguen las fotografías del Presidente Municipal, del Secretario del Ayuntamiento y de las Personas Titulares de las Direcciones Generales, es de indicar que</w:t>
      </w:r>
      <w:r w:rsidRPr="000B7C87">
        <w:rPr>
          <w:rFonts w:ascii="Palatino Linotype" w:eastAsia="Palatino Linotype" w:hAnsi="Palatino Linotype" w:cs="Palatino Linotype"/>
          <w:b/>
        </w:rPr>
        <w:t xml:space="preserve"> </w:t>
      </w:r>
      <w:r w:rsidRPr="000B7C87">
        <w:rPr>
          <w:rFonts w:ascii="Palatino Linotype" w:eastAsia="Palatino Linotype" w:hAnsi="Palatino Linotype" w:cs="Palatino Linotype"/>
        </w:rPr>
        <w:t xml:space="preserve">los Sujetos Obligados no se encuentran compelidos para </w:t>
      </w:r>
      <w:r w:rsidRPr="000B7C87">
        <w:rPr>
          <w:rFonts w:ascii="Palatino Linotype" w:eastAsia="Palatino Linotype" w:hAnsi="Palatino Linotype" w:cs="Palatino Linotype"/>
          <w:b/>
        </w:rPr>
        <w:t>generar la información a efecto de entregarla conforme a los intereses de las personas solicitantes</w:t>
      </w:r>
      <w:r w:rsidRPr="000B7C87">
        <w:rPr>
          <w:rFonts w:ascii="Palatino Linotype" w:eastAsia="Palatino Linotype" w:hAnsi="Palatino Linotype" w:cs="Palatino Linotype"/>
        </w:rPr>
        <w:t>, toda vez que hay información que no puede generarse al grado de detalle requerido; tal y como lo refiere el ya transcrito artículo 12 párrafo segundo de la ley de la materia aplicable, en concordancia con el criterio número 03/17 emitido por el Instituto Nacional de Transparencia, Acceso a la Información Pública y Protección de Datos Personales que a la letra señala:</w:t>
      </w:r>
    </w:p>
    <w:p w14:paraId="55D322A4"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b/>
          <w:i/>
        </w:rPr>
      </w:pPr>
    </w:p>
    <w:p w14:paraId="1FE4C8FE"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rPr>
      </w:pPr>
      <w:r w:rsidRPr="000B7C87">
        <w:rPr>
          <w:rFonts w:ascii="Palatino Linotype" w:eastAsia="Palatino Linotype" w:hAnsi="Palatino Linotype" w:cs="Palatino Linotype"/>
          <w:b/>
          <w:i/>
        </w:rPr>
        <w:t xml:space="preserve">No existe obligación de elaborar documentos ad hoc para atender las solicitudes de acceso a la información. </w:t>
      </w:r>
      <w:r w:rsidRPr="000B7C87">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6FF82D4"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34ACE97"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Atento a lo anterior, </w:t>
      </w: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debe entregar la información tal cual conste en sus archivos, únicamente realizando la versión pública, en caso de ser procedente, para proteger los Datos Personales susceptibles de ser testados como la </w:t>
      </w:r>
      <w:r w:rsidRPr="000B7C87">
        <w:rPr>
          <w:rFonts w:ascii="Palatino Linotype" w:eastAsia="Palatino Linotype" w:hAnsi="Palatino Linotype" w:cs="Palatino Linotype"/>
        </w:rPr>
        <w:lastRenderedPageBreak/>
        <w:t xml:space="preserve">imagen de personas no servidoras públicas que pudieran aparecer en dichas fotografías. </w:t>
      </w:r>
    </w:p>
    <w:p w14:paraId="57E44CF2" w14:textId="77777777" w:rsidR="00F629EB" w:rsidRPr="000B7C87" w:rsidRDefault="00F629EB">
      <w:pPr>
        <w:spacing w:line="360" w:lineRule="auto"/>
        <w:jc w:val="both"/>
        <w:rPr>
          <w:rFonts w:ascii="Palatino Linotype" w:eastAsia="Palatino Linotype" w:hAnsi="Palatino Linotype" w:cs="Palatino Linotype"/>
        </w:rPr>
      </w:pPr>
    </w:p>
    <w:p w14:paraId="6C68D4CD"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Es de señalar que, sí no se llegara a localizar información, por no haberse generado por alguno de </w:t>
      </w:r>
      <w:proofErr w:type="gramStart"/>
      <w:r w:rsidRPr="000B7C87">
        <w:rPr>
          <w:rFonts w:ascii="Palatino Linotype" w:eastAsia="Palatino Linotype" w:hAnsi="Palatino Linotype" w:cs="Palatino Linotype"/>
        </w:rPr>
        <w:t>los áreas referidas</w:t>
      </w:r>
      <w:proofErr w:type="gramEnd"/>
      <w:r w:rsidRPr="000B7C87">
        <w:rPr>
          <w:rFonts w:ascii="Palatino Linotype" w:eastAsia="Palatino Linotype" w:hAnsi="Palatino Linotype" w:cs="Palatino Linotype"/>
        </w:rPr>
        <w:t xml:space="preserve"> en la solicitud,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0CB8A41A"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27C3504"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Artículo 19. (…)</w:t>
      </w:r>
    </w:p>
    <w:p w14:paraId="120A9D71"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3C46BA5D"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w:t>
      </w:r>
    </w:p>
    <w:p w14:paraId="0068521D"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D22CB39"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De lo hasta aquí dicho, lo conveniente es ordenar la entrega de las fotografías tomadas a las Personas Titulares de la Presidencia Municipal, Secretaría del Ayuntamiento y Direcciones Generales, entre el mes de enero y octubre de dos mil veintidós, por resultar con una naturaleza pública. </w:t>
      </w:r>
    </w:p>
    <w:p w14:paraId="7ADB1562"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Finalmente, por cuanto </w:t>
      </w:r>
      <w:proofErr w:type="spellStart"/>
      <w:r w:rsidRPr="000B7C87">
        <w:rPr>
          <w:rFonts w:ascii="Palatino Linotype" w:eastAsia="Palatino Linotype" w:hAnsi="Palatino Linotype" w:cs="Palatino Linotype"/>
        </w:rPr>
        <w:t>haceal</w:t>
      </w:r>
      <w:proofErr w:type="spellEnd"/>
      <w:r w:rsidRPr="000B7C87">
        <w:rPr>
          <w:rFonts w:ascii="Palatino Linotype" w:eastAsia="Palatino Linotype" w:hAnsi="Palatino Linotype" w:cs="Palatino Linotype"/>
        </w:rPr>
        <w:t xml:space="preserve"> agravio manifestado por la </w:t>
      </w:r>
      <w:r w:rsidRPr="000B7C87">
        <w:rPr>
          <w:rFonts w:ascii="Palatino Linotype" w:eastAsia="Palatino Linotype" w:hAnsi="Palatino Linotype" w:cs="Palatino Linotype"/>
          <w:b/>
        </w:rPr>
        <w:t>PARTE RECURRENTE</w:t>
      </w:r>
      <w:r w:rsidRPr="000B7C87">
        <w:rPr>
          <w:rFonts w:ascii="Palatino Linotype" w:eastAsia="Palatino Linotype" w:hAnsi="Palatino Linotype" w:cs="Palatino Linotype"/>
        </w:rPr>
        <w:t xml:space="preserve">  relativo a: </w:t>
      </w:r>
      <w:r w:rsidRPr="000B7C87">
        <w:rPr>
          <w:rFonts w:ascii="Palatino Linotype" w:eastAsia="Palatino Linotype" w:hAnsi="Palatino Linotype" w:cs="Palatino Linotype"/>
          <w:i/>
        </w:rPr>
        <w:t>“NO TENGO FACEBOOK,”</w:t>
      </w:r>
      <w:r w:rsidRPr="000B7C87">
        <w:rPr>
          <w:rFonts w:ascii="Palatino Linotype" w:eastAsia="Palatino Linotype" w:hAnsi="Palatino Linotype" w:cs="Palatino Linotype"/>
        </w:rPr>
        <w:t xml:space="preserve"> (Sic), pues es importante apuntar que el no contar con una cuenta en la red social de Facebook no constituye un impedimento para que la sociedad y en este caso concreto LA PARTE RECURRENTE puedan acceder a la información pública contenida en la cuenta oficial del Ayuntamiento de Toluca en la referida red social, dicho que se sustenta con la búsqueda realizada por este Instituto de Transparencia, en el cual se encontró que la liga electrónica remitida </w:t>
      </w:r>
      <w:r w:rsidRPr="000B7C87">
        <w:rPr>
          <w:rFonts w:ascii="Palatino Linotype" w:eastAsia="Palatino Linotype" w:hAnsi="Palatino Linotype" w:cs="Palatino Linotype"/>
        </w:rPr>
        <w:lastRenderedPageBreak/>
        <w:t>como respuesta a la solicitud 02188/TOLUCA/IP/2022 efectivamente dirige al perfil del SUJETO OBLIGADO, mismo que es de acceso público y que puede consultarse sin la necesidad de registrarse como persona usuaria en Facebook, todo esto dicho sin detrimento de lo expuesto por esta Ponencia Resolutora.</w:t>
      </w:r>
    </w:p>
    <w:p w14:paraId="41D04A5C" w14:textId="77777777" w:rsidR="00F629EB" w:rsidRPr="000B7C87" w:rsidRDefault="00F629EB">
      <w:pPr>
        <w:spacing w:line="360" w:lineRule="auto"/>
        <w:jc w:val="both"/>
        <w:rPr>
          <w:rFonts w:ascii="Palatino Linotype" w:eastAsia="Palatino Linotype" w:hAnsi="Palatino Linotype" w:cs="Palatino Linotype"/>
        </w:rPr>
      </w:pPr>
    </w:p>
    <w:p w14:paraId="6EC18BB4"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 xml:space="preserve">QUINTO. VERSIÓN PÚBLICA. </w:t>
      </w:r>
      <w:r w:rsidRPr="000B7C87">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w:t>
      </w: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w:t>
      </w:r>
      <w:r w:rsidRPr="000B7C87">
        <w:rPr>
          <w:rFonts w:ascii="Palatino Linotype" w:eastAsia="Palatino Linotype" w:hAnsi="Palatino Linotype" w:cs="Palatino Linotype"/>
          <w:b/>
        </w:rPr>
        <w:t>LA PARTE RECURRENTE</w:t>
      </w:r>
      <w:r w:rsidRPr="000B7C87">
        <w:rPr>
          <w:rFonts w:ascii="Palatino Linotype" w:eastAsia="Palatino Linotype" w:hAnsi="Palatino Linotype" w:cs="Palatino Linotype"/>
        </w:rPr>
        <w:t xml:space="preserve"> sin menoscabar el derecho a la protección de los datos personales de terceros.</w:t>
      </w:r>
    </w:p>
    <w:p w14:paraId="121961E5" w14:textId="77777777" w:rsidR="00F629EB" w:rsidRPr="000B7C87" w:rsidRDefault="00F629EB">
      <w:pPr>
        <w:spacing w:line="360" w:lineRule="auto"/>
        <w:jc w:val="both"/>
        <w:rPr>
          <w:rFonts w:ascii="Palatino Linotype" w:eastAsia="Palatino Linotype" w:hAnsi="Palatino Linotype" w:cs="Palatino Linotype"/>
        </w:rPr>
      </w:pPr>
    </w:p>
    <w:p w14:paraId="72CD3813"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r w:rsidRPr="000B7C87">
        <w:rPr>
          <w:rFonts w:ascii="Palatino Linotype" w:eastAsia="Palatino Linotype" w:hAnsi="Palatino Linotype" w:cs="Palatino Linotype"/>
          <w:i/>
        </w:rPr>
        <w:t xml:space="preserve"> </w:t>
      </w:r>
    </w:p>
    <w:p w14:paraId="45ED1F59" w14:textId="77777777" w:rsidR="00F629EB" w:rsidRPr="000B7C87" w:rsidRDefault="00F629EB"/>
    <w:p w14:paraId="34D86948"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Artículo 3. Para los efectos de la presente Ley se entenderá por:</w:t>
      </w:r>
    </w:p>
    <w:p w14:paraId="6D4BC1BA"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IX. Datos personales: La información concerniente a una persona, identificada o identificable según lo dispuesto por la Ley de Protección de Datos Personales del Estado de México;</w:t>
      </w:r>
    </w:p>
    <w:p w14:paraId="0E53DCDB"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XX. Información clasificada: Aquella considerada por la presente Ley como reservada o confidencial;</w:t>
      </w:r>
    </w:p>
    <w:p w14:paraId="424C80C5"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XXXII. Protección de Datos Personales: Derecho humano que tutela la privacidad de datos personales en poder de los sujetos obligados y sujetos particulares;</w:t>
      </w:r>
    </w:p>
    <w:p w14:paraId="0BF4DCC9"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lastRenderedPageBreak/>
        <w:t>XLV. Versión pública: Documento en el que se elimine, suprime o borra la información clasificada como reservada o confidencial para permitir su acceso.</w:t>
      </w:r>
    </w:p>
    <w:p w14:paraId="4BC6CEFB"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4FF435C"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Artículo 6.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FC7E188"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22418B0"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DD40290"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97313FE"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Artículo 143. Para los efectos de esta Ley se considera información confidencial, la clasificada como tal, de manera permanente, por su naturaleza, cuando:</w:t>
      </w:r>
    </w:p>
    <w:p w14:paraId="7ED2F4A0"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I. Se refiera a la información privada y los datos personales concernientes a una persona física o jurídica colectiva identificada o identificable;</w:t>
      </w:r>
    </w:p>
    <w:p w14:paraId="7DFF99E7"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1C035D1"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55DD795A"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C855726" w14:textId="77777777" w:rsidR="00F629EB" w:rsidRPr="000B7C87" w:rsidRDefault="000B7C87">
      <w:pPr>
        <w:spacing w:line="360" w:lineRule="auto"/>
        <w:ind w:right="51"/>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deberá proceder a testar los Datos Personales que se encuentren contenidos en los documentos a entregar por su parte para satisfacer el derecho de acceso a la información pública de </w:t>
      </w:r>
      <w:r w:rsidRPr="000B7C87">
        <w:rPr>
          <w:rFonts w:ascii="Palatino Linotype" w:eastAsia="Palatino Linotype" w:hAnsi="Palatino Linotype" w:cs="Palatino Linotype"/>
          <w:b/>
        </w:rPr>
        <w:t>LA PARTE RECURRENTE,</w:t>
      </w:r>
      <w:r w:rsidRPr="000B7C87">
        <w:rPr>
          <w:rFonts w:ascii="Palatino Linotype" w:eastAsia="Palatino Linotype" w:hAnsi="Palatino Linotype" w:cs="Palatino Linotype"/>
        </w:rPr>
        <w:t xml:space="preserve"> esto es, los datos concernientes a una persona identificada o identificable, o aquellos datos </w:t>
      </w:r>
      <w:r w:rsidRPr="000B7C87">
        <w:rPr>
          <w:rFonts w:ascii="Palatino Linotype" w:eastAsia="Palatino Linotype" w:hAnsi="Palatino Linotype" w:cs="Palatino Linotype"/>
        </w:rPr>
        <w:lastRenderedPageBreak/>
        <w:t>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26D2466" w14:textId="77777777" w:rsidR="00F629EB" w:rsidRPr="000B7C87" w:rsidRDefault="00F629EB">
      <w:pPr>
        <w:spacing w:line="360" w:lineRule="auto"/>
        <w:ind w:right="51"/>
        <w:jc w:val="both"/>
        <w:rPr>
          <w:rFonts w:ascii="Palatino Linotype" w:eastAsia="Palatino Linotype" w:hAnsi="Palatino Linotype" w:cs="Palatino Linotype"/>
        </w:rPr>
      </w:pPr>
    </w:p>
    <w:p w14:paraId="001A1D7F" w14:textId="77777777" w:rsidR="00F629EB" w:rsidRPr="000B7C87" w:rsidRDefault="000B7C87">
      <w:pPr>
        <w:spacing w:line="360" w:lineRule="auto"/>
        <w:ind w:right="50"/>
        <w:jc w:val="both"/>
        <w:rPr>
          <w:rFonts w:ascii="Palatino Linotype" w:eastAsia="Palatino Linotype" w:hAnsi="Palatino Linotype" w:cs="Palatino Linotype"/>
        </w:rPr>
      </w:pPr>
      <w:r w:rsidRPr="000B7C87">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4EA4CB5" w14:textId="77777777" w:rsidR="00F629EB" w:rsidRPr="000B7C87" w:rsidRDefault="00F629EB">
      <w:pPr>
        <w:spacing w:line="360" w:lineRule="auto"/>
        <w:ind w:right="50"/>
        <w:jc w:val="both"/>
        <w:rPr>
          <w:rFonts w:ascii="Palatino Linotype" w:eastAsia="Palatino Linotype" w:hAnsi="Palatino Linotype" w:cs="Palatino Linotype"/>
        </w:rPr>
      </w:pPr>
    </w:p>
    <w:p w14:paraId="2B8D7EBE" w14:textId="77777777" w:rsidR="00F629EB" w:rsidRPr="000B7C87" w:rsidRDefault="000B7C87">
      <w:pPr>
        <w:spacing w:line="360" w:lineRule="auto"/>
        <w:ind w:right="51"/>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w:t>
      </w:r>
      <w:proofErr w:type="gramStart"/>
      <w:r w:rsidRPr="000B7C87">
        <w:rPr>
          <w:rFonts w:ascii="Palatino Linotype" w:eastAsia="Palatino Linotype" w:hAnsi="Palatino Linotype" w:cs="Palatino Linotype"/>
        </w:rPr>
        <w:t>Responsable</w:t>
      </w:r>
      <w:proofErr w:type="gramEnd"/>
      <w:r w:rsidRPr="000B7C87">
        <w:rPr>
          <w:rFonts w:ascii="Palatino Linotype" w:eastAsia="Palatino Linotype" w:hAnsi="Palatino Linotype" w:cs="Palatino Linotype"/>
        </w:rPr>
        <w:t xml:space="preserve"> de la Unidad de Transparencia del </w:t>
      </w:r>
      <w:r w:rsidRPr="000B7C87">
        <w:rPr>
          <w:rFonts w:ascii="Palatino Linotype" w:eastAsia="Palatino Linotype" w:hAnsi="Palatino Linotype" w:cs="Palatino Linotype"/>
          <w:b/>
        </w:rPr>
        <w:t>SUJETO OBLIGADO</w:t>
      </w:r>
      <w:r w:rsidRPr="000B7C87">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6E440FB4" w14:textId="77777777" w:rsidR="00F629EB" w:rsidRPr="000B7C87" w:rsidRDefault="00F629EB">
      <w:pPr>
        <w:spacing w:line="360" w:lineRule="auto"/>
        <w:ind w:right="51"/>
        <w:jc w:val="both"/>
        <w:rPr>
          <w:rFonts w:ascii="Palatino Linotype" w:eastAsia="Palatino Linotype" w:hAnsi="Palatino Linotype" w:cs="Palatino Linotype"/>
        </w:rPr>
      </w:pPr>
    </w:p>
    <w:p w14:paraId="441B6DC1" w14:textId="77777777" w:rsidR="00F629EB" w:rsidRPr="000B7C87" w:rsidRDefault="000B7C87">
      <w:pPr>
        <w:ind w:left="992" w:right="1043"/>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Artículo 49. Los Comités de Transparencia tendrán las siguientes atribuciones:</w:t>
      </w:r>
    </w:p>
    <w:p w14:paraId="6B4E62FF" w14:textId="77777777" w:rsidR="00F629EB" w:rsidRPr="000B7C87" w:rsidRDefault="000B7C87">
      <w:pPr>
        <w:ind w:left="992" w:right="1043"/>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w:t>
      </w:r>
    </w:p>
    <w:p w14:paraId="3938C154" w14:textId="77777777" w:rsidR="00F629EB" w:rsidRPr="000B7C87" w:rsidRDefault="000B7C87">
      <w:pPr>
        <w:ind w:left="992" w:right="1043"/>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VIII. Aprobar, modificar o revocar la clasificación de la información;</w:t>
      </w:r>
    </w:p>
    <w:p w14:paraId="515D948C" w14:textId="77777777" w:rsidR="00F629EB" w:rsidRPr="000B7C87" w:rsidRDefault="000B7C87">
      <w:pPr>
        <w:ind w:left="992" w:right="1043"/>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w:t>
      </w:r>
    </w:p>
    <w:p w14:paraId="0E18A152" w14:textId="77777777" w:rsidR="00F629EB" w:rsidRPr="000B7C87" w:rsidRDefault="00F629EB">
      <w:pPr>
        <w:ind w:left="992" w:right="1043"/>
        <w:jc w:val="both"/>
        <w:rPr>
          <w:rFonts w:ascii="Palatino Linotype" w:eastAsia="Palatino Linotype" w:hAnsi="Palatino Linotype" w:cs="Palatino Linotype"/>
          <w:i/>
          <w:sz w:val="22"/>
          <w:szCs w:val="22"/>
        </w:rPr>
      </w:pPr>
    </w:p>
    <w:p w14:paraId="61F16DD3" w14:textId="77777777" w:rsidR="00F629EB" w:rsidRPr="000B7C87" w:rsidRDefault="000B7C87">
      <w:pPr>
        <w:ind w:left="992" w:right="1043"/>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Artículo 53. Las Unidades de Transparencia tendrán las siguientes funciones:</w:t>
      </w:r>
    </w:p>
    <w:p w14:paraId="060F29D9" w14:textId="77777777" w:rsidR="00F629EB" w:rsidRPr="000B7C87" w:rsidRDefault="000B7C87">
      <w:pPr>
        <w:ind w:left="992" w:right="1043"/>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w:t>
      </w:r>
    </w:p>
    <w:p w14:paraId="0EC5166B" w14:textId="77777777" w:rsidR="00F629EB" w:rsidRPr="000B7C87" w:rsidRDefault="000B7C87">
      <w:pPr>
        <w:ind w:left="992" w:right="1043"/>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X. Presentar ante el Comité, el proyecto de clasificación de información;</w:t>
      </w:r>
    </w:p>
    <w:p w14:paraId="39F9BD45" w14:textId="77777777" w:rsidR="00F629EB" w:rsidRPr="000B7C87" w:rsidRDefault="000B7C87">
      <w:pPr>
        <w:ind w:left="992" w:right="1043"/>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w:t>
      </w:r>
    </w:p>
    <w:p w14:paraId="3CDED4F6" w14:textId="77777777" w:rsidR="00F629EB" w:rsidRPr="000B7C87" w:rsidRDefault="00F629EB">
      <w:pPr>
        <w:ind w:left="992" w:right="1043"/>
        <w:jc w:val="both"/>
        <w:rPr>
          <w:rFonts w:ascii="Palatino Linotype" w:eastAsia="Palatino Linotype" w:hAnsi="Palatino Linotype" w:cs="Palatino Linotype"/>
          <w:i/>
          <w:sz w:val="22"/>
          <w:szCs w:val="22"/>
        </w:rPr>
      </w:pPr>
    </w:p>
    <w:p w14:paraId="4B9CB37D" w14:textId="77777777" w:rsidR="00F629EB" w:rsidRPr="000B7C87" w:rsidRDefault="000B7C87">
      <w:pPr>
        <w:ind w:left="992" w:right="1043"/>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Artículo 59. Los servidores públicos habilitados tendrán las funciones siguientes:</w:t>
      </w:r>
    </w:p>
    <w:p w14:paraId="559E9F3F" w14:textId="77777777" w:rsidR="00F629EB" w:rsidRPr="000B7C87" w:rsidRDefault="000B7C87">
      <w:pPr>
        <w:ind w:left="992" w:right="1043"/>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w:t>
      </w:r>
    </w:p>
    <w:p w14:paraId="41500FC0" w14:textId="77777777" w:rsidR="00F629EB" w:rsidRPr="000B7C87" w:rsidRDefault="000B7C87">
      <w:pPr>
        <w:ind w:left="992" w:right="1043"/>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377906C0" w14:textId="77777777" w:rsidR="00F629EB" w:rsidRPr="000B7C87" w:rsidRDefault="000B7C87">
      <w:pPr>
        <w:ind w:left="992" w:right="1043"/>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w:t>
      </w:r>
    </w:p>
    <w:p w14:paraId="3904D0F6" w14:textId="77777777" w:rsidR="00F629EB" w:rsidRPr="000B7C87" w:rsidRDefault="00F629EB">
      <w:pPr>
        <w:ind w:left="992" w:right="1043"/>
        <w:jc w:val="both"/>
        <w:rPr>
          <w:rFonts w:ascii="Palatino Linotype" w:eastAsia="Palatino Linotype" w:hAnsi="Palatino Linotype" w:cs="Palatino Linotype"/>
          <w:i/>
        </w:rPr>
      </w:pPr>
    </w:p>
    <w:p w14:paraId="08D145B6"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0B7C87">
        <w:rPr>
          <w:rFonts w:ascii="Palatino Linotype" w:eastAsia="Palatino Linotype" w:hAnsi="Palatino Linotype" w:cs="Palatino Linotype"/>
          <w:b/>
        </w:rPr>
        <w:t>SUJETO OBLIGADO,</w:t>
      </w:r>
      <w:r w:rsidRPr="000B7C87">
        <w:rPr>
          <w:rFonts w:ascii="Palatino Linotype" w:eastAsia="Palatino Linotype" w:hAnsi="Palatino Linotype" w:cs="Palatino Linotype"/>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F6C1083" w14:textId="77777777" w:rsidR="00F629EB" w:rsidRPr="000B7C87" w:rsidRDefault="00F629EB">
      <w:pPr>
        <w:spacing w:line="360" w:lineRule="auto"/>
        <w:jc w:val="both"/>
        <w:rPr>
          <w:rFonts w:ascii="Palatino Linotype" w:eastAsia="Palatino Linotype" w:hAnsi="Palatino Linotype" w:cs="Palatino Linotype"/>
        </w:rPr>
      </w:pPr>
    </w:p>
    <w:p w14:paraId="4FC250AC"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C9DC394"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B64F096"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Artículo 149. El acuerdo que clasifique la información como confidencial deberá contener un razonamiento lógico en el que demuestre que la información se encuentra en alguna o algunas de las hipótesis previstas en la presente Ley.</w:t>
      </w:r>
    </w:p>
    <w:p w14:paraId="6A6E9304"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F0AE947" w14:textId="77777777" w:rsidR="00F629EB" w:rsidRPr="000B7C87" w:rsidRDefault="000B7C87">
      <w:pPr>
        <w:spacing w:line="360" w:lineRule="auto"/>
        <w:ind w:right="51"/>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Es decir, el </w:t>
      </w:r>
      <w:r w:rsidRPr="000B7C87">
        <w:rPr>
          <w:rFonts w:ascii="Palatino Linotype" w:eastAsia="Palatino Linotype" w:hAnsi="Palatino Linotype" w:cs="Palatino Linotype"/>
          <w:b/>
        </w:rPr>
        <w:t>SUJETO OBLIGADO</w:t>
      </w:r>
      <w:r w:rsidRPr="000B7C87">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w:t>
      </w:r>
      <w:r w:rsidRPr="000B7C87">
        <w:rPr>
          <w:rFonts w:ascii="Palatino Linotype" w:eastAsia="Palatino Linotype" w:hAnsi="Palatino Linotype" w:cs="Palatino Linotype"/>
        </w:rPr>
        <w:lastRenderedPageBreak/>
        <w:t>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0A4270D" w14:textId="77777777" w:rsidR="00F629EB" w:rsidRPr="000B7C87" w:rsidRDefault="00F629EB">
      <w:pPr>
        <w:spacing w:line="360" w:lineRule="auto"/>
        <w:ind w:right="51"/>
        <w:jc w:val="both"/>
        <w:rPr>
          <w:rFonts w:ascii="Palatino Linotype" w:eastAsia="Palatino Linotype" w:hAnsi="Palatino Linotype" w:cs="Palatino Linotype"/>
        </w:rPr>
      </w:pPr>
    </w:p>
    <w:p w14:paraId="447B0AE5" w14:textId="77777777" w:rsidR="00F629EB" w:rsidRPr="000B7C87" w:rsidRDefault="000B7C87">
      <w:pPr>
        <w:spacing w:line="360" w:lineRule="auto"/>
        <w:jc w:val="both"/>
        <w:rPr>
          <w:rFonts w:ascii="Palatino Linotype" w:eastAsia="Palatino Linotype" w:hAnsi="Palatino Linotype" w:cs="Palatino Linotype"/>
          <w:b/>
          <w:i/>
        </w:rPr>
      </w:pPr>
      <w:r w:rsidRPr="000B7C87">
        <w:rPr>
          <w:rFonts w:ascii="Palatino Linotype" w:eastAsia="Palatino Linotype" w:hAnsi="Palatino Linotype" w:cs="Palatino Linotype"/>
        </w:rPr>
        <w:t xml:space="preserve">Al respecto, se destaca que la versión pública que elabore </w:t>
      </w: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0B7C87">
        <w:rPr>
          <w:rFonts w:ascii="Palatino Linotype" w:eastAsia="Palatino Linotype" w:hAnsi="Palatino Linotype" w:cs="Palatino Linotype"/>
          <w:i/>
        </w:rPr>
        <w:t>Lineamientos Generales en materia de Clasificación y Desclasificación de la Información, así como para la elaboración de Versiones Públicas</w:t>
      </w:r>
      <w:r w:rsidRPr="000B7C87">
        <w:rPr>
          <w:rFonts w:ascii="Palatino Linotype" w:eastAsia="Palatino Linotype" w:hAnsi="Palatino Linotype" w:cs="Palatino Linotype"/>
          <w:b/>
          <w:i/>
        </w:rPr>
        <w:t xml:space="preserve"> </w:t>
      </w:r>
      <w:r w:rsidRPr="000B7C87">
        <w:rPr>
          <w:rFonts w:ascii="Palatino Linotype" w:eastAsia="Palatino Linotype" w:hAnsi="Palatino Linotype" w:cs="Palatino Linotype"/>
        </w:rPr>
        <w:t>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3F5DBF9E"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A8CF4BB"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Lineamientos Generales en materia de Clasificación y Desclasificación de la Información, así como para la elaboración de Versiones Públicas</w:t>
      </w:r>
    </w:p>
    <w:p w14:paraId="5C9565BA"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A6C6875"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proofErr w:type="gramStart"/>
      <w:r w:rsidRPr="000B7C87">
        <w:rPr>
          <w:rFonts w:ascii="Palatino Linotype" w:eastAsia="Palatino Linotype" w:hAnsi="Palatino Linotype" w:cs="Palatino Linotype"/>
          <w:i/>
          <w:sz w:val="22"/>
          <w:szCs w:val="22"/>
        </w:rPr>
        <w:t>Segundo.-</w:t>
      </w:r>
      <w:proofErr w:type="gramEnd"/>
      <w:r w:rsidRPr="000B7C87">
        <w:rPr>
          <w:rFonts w:ascii="Palatino Linotype" w:eastAsia="Palatino Linotype" w:hAnsi="Palatino Linotype" w:cs="Palatino Linotype"/>
          <w:i/>
          <w:sz w:val="22"/>
          <w:szCs w:val="22"/>
        </w:rPr>
        <w:t xml:space="preserve"> Para efectos de los presentes Lineamientos Generales, se entenderá por:</w:t>
      </w:r>
    </w:p>
    <w:p w14:paraId="5BF0532D"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XVIII. Versión pública: El documento a partir del que se otorga acceso a la información, en el que se testan partes o secciones clasificadas, indicando el contenido de éstas de manera genérica, </w:t>
      </w:r>
      <w:r w:rsidRPr="000B7C87">
        <w:rPr>
          <w:rFonts w:ascii="Palatino Linotype" w:eastAsia="Palatino Linotype" w:hAnsi="Palatino Linotype" w:cs="Palatino Linotype"/>
          <w:i/>
          <w:sz w:val="22"/>
          <w:szCs w:val="22"/>
          <w:u w:val="single"/>
        </w:rPr>
        <w:t>fundando y motivando la</w:t>
      </w:r>
      <w:r w:rsidRPr="000B7C87">
        <w:rPr>
          <w:rFonts w:ascii="Palatino Linotype" w:eastAsia="Palatino Linotype" w:hAnsi="Palatino Linotype" w:cs="Palatino Linotype"/>
          <w:i/>
          <w:sz w:val="22"/>
          <w:szCs w:val="22"/>
        </w:rPr>
        <w:t xml:space="preserve"> reserva o </w:t>
      </w:r>
      <w:r w:rsidRPr="000B7C87">
        <w:rPr>
          <w:rFonts w:ascii="Palatino Linotype" w:eastAsia="Palatino Linotype" w:hAnsi="Palatino Linotype" w:cs="Palatino Linotype"/>
          <w:i/>
          <w:sz w:val="22"/>
          <w:szCs w:val="22"/>
          <w:u w:val="single"/>
        </w:rPr>
        <w:t>confidencialidad</w:t>
      </w:r>
      <w:r w:rsidRPr="000B7C87">
        <w:rPr>
          <w:rFonts w:ascii="Palatino Linotype" w:eastAsia="Palatino Linotype" w:hAnsi="Palatino Linotype" w:cs="Palatino Linotype"/>
          <w:i/>
          <w:sz w:val="22"/>
          <w:szCs w:val="22"/>
        </w:rPr>
        <w:t>, a través de la resolución que para tal efecto emita el Comité de Transparencia.</w:t>
      </w:r>
    </w:p>
    <w:p w14:paraId="2DB3DD29" w14:textId="77777777" w:rsidR="00F629EB" w:rsidRPr="000B7C87" w:rsidRDefault="00F629EB"/>
    <w:p w14:paraId="68383260"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EF18DD3"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3DAC8A5" w14:textId="77777777" w:rsidR="00F629EB" w:rsidRPr="000B7C87" w:rsidRDefault="00F629EB"/>
    <w:p w14:paraId="1B50387C"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F93BF04" w14:textId="77777777" w:rsidR="00F629EB" w:rsidRPr="000B7C87" w:rsidRDefault="00F629EB"/>
    <w:p w14:paraId="1213F1B8"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Sexto. Los sujetos obligados no podrán emitir acuerdos de carácter general ni particular que clasifiquen documentos o expedientes como reservados, ni clasificar documentos antes de que se genere la información o cuando éstos no obren en sus archivos.</w:t>
      </w:r>
    </w:p>
    <w:p w14:paraId="222CDDA9"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2E40709E"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92D172A"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Séptimo. La clasificación de la información se llevará a cabo en el momento en que:</w:t>
      </w:r>
    </w:p>
    <w:p w14:paraId="51DEA82F"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I. Se reciba una solicitud de acceso a la información;</w:t>
      </w:r>
    </w:p>
    <w:p w14:paraId="65E6EBB6"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II. Se determine mediante resolución de autoridad competente, o</w:t>
      </w:r>
    </w:p>
    <w:p w14:paraId="66EDA0BF"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III. Se generen versiones públicas para dar cumplimiento a las obligaciones de transparencia previstas en la Ley General, la Ley Federal y las correspondientes de las entidades federativas.</w:t>
      </w:r>
    </w:p>
    <w:p w14:paraId="453CB45A"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4DFA8ED" w14:textId="77777777" w:rsidR="00F629EB" w:rsidRPr="000B7C87" w:rsidRDefault="00F629EB"/>
    <w:p w14:paraId="536069D5"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Octavo. Para fundar la clasificación de la información se debe señalar el artículo, fracción, inciso, párrafo o numeral de la ley o tratado internacional suscrito por </w:t>
      </w:r>
      <w:r w:rsidRPr="000B7C87">
        <w:rPr>
          <w:rFonts w:ascii="Palatino Linotype" w:eastAsia="Palatino Linotype" w:hAnsi="Palatino Linotype" w:cs="Palatino Linotype"/>
          <w:i/>
          <w:sz w:val="22"/>
          <w:szCs w:val="22"/>
        </w:rPr>
        <w:lastRenderedPageBreak/>
        <w:t>el Estado mexicano que expresamente le otorga el carácter de reservada o confidencial.</w:t>
      </w:r>
    </w:p>
    <w:p w14:paraId="34C8F323"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C2448A1"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370303D5"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9B6D6D4"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65C2B54"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8F704B7"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77CBA19" w14:textId="77777777" w:rsidR="00F629EB" w:rsidRPr="000B7C87" w:rsidRDefault="00F629EB"/>
    <w:p w14:paraId="26FC0DDA"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EAC2396"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CDDFE99"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B7CE38A"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131E233"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w:t>
      </w:r>
    </w:p>
    <w:p w14:paraId="01BF99CB"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E7BBD5D"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CAPÍTULO VIII</w:t>
      </w:r>
    </w:p>
    <w:p w14:paraId="5C1C709A"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DE LA LEYENDA DE CLASIFICACIÓN</w:t>
      </w:r>
    </w:p>
    <w:p w14:paraId="4A18B04B"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lastRenderedPageBreak/>
        <w:t>Quincuagésimo. Los titulares de las áreas de los sujetos obligados podrán utilizar los formatos contenidos en el presente Capítulo como modelo para señalar la clasificación de documentos o expedientes, sin perjuicio de que establezcan los propios.</w:t>
      </w:r>
    </w:p>
    <w:p w14:paraId="302FF9C0"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w:t>
      </w:r>
    </w:p>
    <w:p w14:paraId="3B8CFFAF"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Quincuagésimo tercero. El formato para señalar la clasificación parcial de un documento, es el siguiente:</w:t>
      </w:r>
    </w:p>
    <w:p w14:paraId="2B39BA9C" w14:textId="77777777" w:rsidR="00F629EB" w:rsidRPr="000B7C87" w:rsidRDefault="00F629EB"/>
    <w:tbl>
      <w:tblPr>
        <w:tblStyle w:val="af7"/>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0B7C87" w:rsidRPr="000B7C87" w14:paraId="0845FDE8" w14:textId="77777777">
        <w:trPr>
          <w:jc w:val="center"/>
        </w:trPr>
        <w:tc>
          <w:tcPr>
            <w:tcW w:w="1159" w:type="dxa"/>
            <w:tcBorders>
              <w:top w:val="nil"/>
              <w:left w:val="nil"/>
              <w:bottom w:val="single" w:sz="4" w:space="0" w:color="000000"/>
              <w:right w:val="single" w:sz="4" w:space="0" w:color="000000"/>
            </w:tcBorders>
          </w:tcPr>
          <w:p w14:paraId="60B8CAF0" w14:textId="77777777" w:rsidR="00F629EB" w:rsidRPr="000B7C87" w:rsidRDefault="00F629EB">
            <w:pPr>
              <w:jc w:val="both"/>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2C4E31FB" w14:textId="77777777" w:rsidR="00F629EB" w:rsidRPr="000B7C87" w:rsidRDefault="000B7C87">
            <w:pPr>
              <w:jc w:val="center"/>
              <w:rPr>
                <w:rFonts w:ascii="Palatino Linotype" w:eastAsia="Palatino Linotype" w:hAnsi="Palatino Linotype" w:cs="Palatino Linotype"/>
                <w:b/>
                <w:i/>
                <w:sz w:val="22"/>
                <w:szCs w:val="22"/>
              </w:rPr>
            </w:pPr>
            <w:r w:rsidRPr="000B7C87">
              <w:rPr>
                <w:rFonts w:ascii="Palatino Linotype" w:eastAsia="Palatino Linotype" w:hAnsi="Palatino Linotype" w:cs="Palatino Linotype"/>
                <w:b/>
                <w:i/>
                <w:sz w:val="22"/>
                <w:szCs w:val="22"/>
              </w:rPr>
              <w:t>Concepto</w:t>
            </w:r>
          </w:p>
        </w:tc>
        <w:tc>
          <w:tcPr>
            <w:tcW w:w="4531" w:type="dxa"/>
            <w:tcBorders>
              <w:top w:val="single" w:sz="4" w:space="0" w:color="000000"/>
              <w:left w:val="single" w:sz="4" w:space="0" w:color="000000"/>
              <w:bottom w:val="single" w:sz="4" w:space="0" w:color="000000"/>
              <w:right w:val="single" w:sz="4" w:space="0" w:color="000000"/>
            </w:tcBorders>
          </w:tcPr>
          <w:p w14:paraId="4EE02706" w14:textId="77777777" w:rsidR="00F629EB" w:rsidRPr="000B7C87" w:rsidRDefault="000B7C87">
            <w:pPr>
              <w:jc w:val="center"/>
              <w:rPr>
                <w:rFonts w:ascii="Palatino Linotype" w:eastAsia="Palatino Linotype" w:hAnsi="Palatino Linotype" w:cs="Palatino Linotype"/>
                <w:b/>
                <w:i/>
                <w:sz w:val="22"/>
                <w:szCs w:val="22"/>
              </w:rPr>
            </w:pPr>
            <w:r w:rsidRPr="000B7C87">
              <w:rPr>
                <w:rFonts w:ascii="Palatino Linotype" w:eastAsia="Palatino Linotype" w:hAnsi="Palatino Linotype" w:cs="Palatino Linotype"/>
                <w:b/>
                <w:i/>
                <w:sz w:val="22"/>
                <w:szCs w:val="22"/>
              </w:rPr>
              <w:t>Dónde:</w:t>
            </w:r>
          </w:p>
        </w:tc>
      </w:tr>
      <w:tr w:rsidR="000B7C87" w:rsidRPr="000B7C87" w14:paraId="646C4027"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002A4FE7" w14:textId="77777777" w:rsidR="00F629EB" w:rsidRPr="000B7C87" w:rsidRDefault="000B7C87">
            <w:pPr>
              <w:jc w:val="center"/>
              <w:rPr>
                <w:rFonts w:ascii="Palatino Linotype" w:eastAsia="Palatino Linotype" w:hAnsi="Palatino Linotype" w:cs="Palatino Linotype"/>
                <w:b/>
                <w:i/>
                <w:sz w:val="22"/>
                <w:szCs w:val="22"/>
              </w:rPr>
            </w:pPr>
            <w:r w:rsidRPr="000B7C87">
              <w:rPr>
                <w:rFonts w:ascii="Palatino Linotype" w:eastAsia="Palatino Linotype" w:hAnsi="Palatino Linotype" w:cs="Palatino Linotype"/>
                <w:b/>
                <w:i/>
                <w:sz w:val="22"/>
                <w:szCs w:val="22"/>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7248013E" w14:textId="77777777" w:rsidR="00F629EB" w:rsidRPr="000B7C87" w:rsidRDefault="000B7C87">
            <w:pPr>
              <w:jc w:val="center"/>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F64ADCC" w14:textId="77777777" w:rsidR="00F629EB" w:rsidRPr="000B7C87" w:rsidRDefault="000B7C87">
            <w:pPr>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0B7C87" w:rsidRPr="000B7C87" w14:paraId="64208678"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7E5F83A" w14:textId="77777777" w:rsidR="00F629EB" w:rsidRPr="000B7C87" w:rsidRDefault="00F629EB">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3C709DAA" w14:textId="77777777" w:rsidR="00F629EB" w:rsidRPr="000B7C87" w:rsidRDefault="000B7C87">
            <w:pPr>
              <w:jc w:val="center"/>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Área</w:t>
            </w:r>
          </w:p>
        </w:tc>
        <w:tc>
          <w:tcPr>
            <w:tcW w:w="4531" w:type="dxa"/>
            <w:tcBorders>
              <w:top w:val="single" w:sz="4" w:space="0" w:color="000000"/>
              <w:left w:val="single" w:sz="4" w:space="0" w:color="000000"/>
              <w:bottom w:val="single" w:sz="4" w:space="0" w:color="000000"/>
              <w:right w:val="single" w:sz="4" w:space="0" w:color="000000"/>
            </w:tcBorders>
          </w:tcPr>
          <w:p w14:paraId="475D5F5E" w14:textId="77777777" w:rsidR="00F629EB" w:rsidRPr="000B7C87" w:rsidRDefault="000B7C87">
            <w:pPr>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Se señalará el nombre del área del cual es titular quien clasifica.</w:t>
            </w:r>
          </w:p>
        </w:tc>
      </w:tr>
      <w:tr w:rsidR="000B7C87" w:rsidRPr="000B7C87" w14:paraId="3E90B63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ED383F5" w14:textId="77777777" w:rsidR="00F629EB" w:rsidRPr="000B7C87" w:rsidRDefault="00F629EB">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237A2A18" w14:textId="77777777" w:rsidR="00F629EB" w:rsidRPr="000B7C87" w:rsidRDefault="000B7C87">
            <w:pPr>
              <w:jc w:val="center"/>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20AD9743" w14:textId="77777777" w:rsidR="00F629EB" w:rsidRPr="000B7C87" w:rsidRDefault="000B7C87">
            <w:pPr>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0B7C87" w:rsidRPr="000B7C87" w14:paraId="22C6F0FA"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0AA28E7" w14:textId="77777777" w:rsidR="00F629EB" w:rsidRPr="000B7C87" w:rsidRDefault="00F629EB">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2AEFFB1D" w14:textId="77777777" w:rsidR="00F629EB" w:rsidRPr="000B7C87" w:rsidRDefault="000B7C87">
            <w:pPr>
              <w:jc w:val="center"/>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53814F2A" w14:textId="77777777" w:rsidR="00F629EB" w:rsidRPr="000B7C87" w:rsidRDefault="000B7C87">
            <w:pPr>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0B7C87" w:rsidRPr="000B7C87" w14:paraId="05D4189E"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5175DD1" w14:textId="77777777" w:rsidR="00F629EB" w:rsidRPr="000B7C87" w:rsidRDefault="00F629EB">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2C770134" w14:textId="77777777" w:rsidR="00F629EB" w:rsidRPr="000B7C87" w:rsidRDefault="000B7C87">
            <w:pPr>
              <w:jc w:val="center"/>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C75FF68" w14:textId="77777777" w:rsidR="00F629EB" w:rsidRPr="000B7C87" w:rsidRDefault="000B7C87">
            <w:pPr>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0B7C87" w:rsidRPr="000B7C87" w14:paraId="56E5194D"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4C1252A" w14:textId="77777777" w:rsidR="00F629EB" w:rsidRPr="000B7C87" w:rsidRDefault="00F629EB">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70BB85D6" w14:textId="77777777" w:rsidR="00F629EB" w:rsidRPr="000B7C87" w:rsidRDefault="000B7C87">
            <w:pPr>
              <w:jc w:val="center"/>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650A4AD1" w14:textId="77777777" w:rsidR="00F629EB" w:rsidRPr="000B7C87" w:rsidRDefault="000B7C87">
            <w:pPr>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0B7C87" w:rsidRPr="000B7C87" w14:paraId="311FF68A"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E0895F6" w14:textId="77777777" w:rsidR="00F629EB" w:rsidRPr="000B7C87" w:rsidRDefault="00F629EB">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1A6DC2EE" w14:textId="77777777" w:rsidR="00F629EB" w:rsidRPr="000B7C87" w:rsidRDefault="000B7C87">
            <w:pPr>
              <w:jc w:val="center"/>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Confidencial</w:t>
            </w:r>
          </w:p>
        </w:tc>
        <w:tc>
          <w:tcPr>
            <w:tcW w:w="4531" w:type="dxa"/>
            <w:tcBorders>
              <w:top w:val="single" w:sz="4" w:space="0" w:color="000000"/>
              <w:left w:val="single" w:sz="4" w:space="0" w:color="000000"/>
              <w:bottom w:val="single" w:sz="4" w:space="0" w:color="000000"/>
              <w:right w:val="single" w:sz="4" w:space="0" w:color="000000"/>
            </w:tcBorders>
          </w:tcPr>
          <w:p w14:paraId="7FDBDFA7" w14:textId="77777777" w:rsidR="00F629EB" w:rsidRPr="000B7C87" w:rsidRDefault="000B7C87">
            <w:pPr>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B7C87" w:rsidRPr="000B7C87" w14:paraId="080859C3"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241E320" w14:textId="77777777" w:rsidR="00F629EB" w:rsidRPr="000B7C87" w:rsidRDefault="00F629EB">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24B3180C" w14:textId="77777777" w:rsidR="00F629EB" w:rsidRPr="000B7C87" w:rsidRDefault="000B7C87">
            <w:pPr>
              <w:jc w:val="center"/>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05AE3A89" w14:textId="77777777" w:rsidR="00F629EB" w:rsidRPr="000B7C87" w:rsidRDefault="000B7C87">
            <w:pPr>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0B7C87" w:rsidRPr="000B7C87" w14:paraId="087C36C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36845F6" w14:textId="77777777" w:rsidR="00F629EB" w:rsidRPr="000B7C87" w:rsidRDefault="00F629EB">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1250CA15" w14:textId="77777777" w:rsidR="00F629EB" w:rsidRPr="000B7C87" w:rsidRDefault="000B7C87">
            <w:pPr>
              <w:jc w:val="center"/>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406547B1" w14:textId="77777777" w:rsidR="00F629EB" w:rsidRPr="000B7C87" w:rsidRDefault="000B7C87">
            <w:pPr>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Rúbrica autógrafa de quien clasifica.</w:t>
            </w:r>
          </w:p>
        </w:tc>
      </w:tr>
      <w:tr w:rsidR="000B7C87" w:rsidRPr="000B7C87" w14:paraId="5CF16948"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04D61B5" w14:textId="77777777" w:rsidR="00F629EB" w:rsidRPr="000B7C87" w:rsidRDefault="00F629EB">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53AA1D31" w14:textId="77777777" w:rsidR="00F629EB" w:rsidRPr="000B7C87" w:rsidRDefault="000B7C87">
            <w:pPr>
              <w:jc w:val="center"/>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402EC2BB" w14:textId="77777777" w:rsidR="00F629EB" w:rsidRPr="000B7C87" w:rsidRDefault="000B7C87">
            <w:pPr>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Se anotará la fecha en que se desclasifica el documento.</w:t>
            </w:r>
          </w:p>
        </w:tc>
      </w:tr>
      <w:tr w:rsidR="000B7C87" w:rsidRPr="000B7C87" w14:paraId="244B68BC"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460D7D5" w14:textId="77777777" w:rsidR="00F629EB" w:rsidRPr="000B7C87" w:rsidRDefault="00F629EB">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14:paraId="0244D6B5" w14:textId="77777777" w:rsidR="00F629EB" w:rsidRPr="000B7C87" w:rsidRDefault="000B7C87">
            <w:pPr>
              <w:jc w:val="center"/>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25ED8671" w14:textId="77777777" w:rsidR="00F629EB" w:rsidRPr="000B7C87" w:rsidRDefault="000B7C87">
            <w:pPr>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Rúbrica autógrafa de quien desclasifica.</w:t>
            </w:r>
          </w:p>
        </w:tc>
      </w:tr>
    </w:tbl>
    <w:p w14:paraId="7BFDA9F1" w14:textId="77777777" w:rsidR="00F629EB" w:rsidRPr="000B7C87" w:rsidRDefault="00F629EB">
      <w:pPr>
        <w:spacing w:line="360" w:lineRule="auto"/>
        <w:jc w:val="both"/>
        <w:rPr>
          <w:rFonts w:ascii="Palatino Linotype" w:eastAsia="Palatino Linotype" w:hAnsi="Palatino Linotype" w:cs="Palatino Linotype"/>
        </w:rPr>
      </w:pPr>
    </w:p>
    <w:p w14:paraId="4D6D84DA"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7D8E743C" w14:textId="77777777" w:rsidR="00F629EB" w:rsidRPr="000B7C87" w:rsidRDefault="00F629EB">
      <w:pPr>
        <w:spacing w:line="360" w:lineRule="auto"/>
        <w:jc w:val="both"/>
        <w:rPr>
          <w:rFonts w:ascii="Palatino Linotype" w:eastAsia="Palatino Linotype" w:hAnsi="Palatino Linotype" w:cs="Palatino Linotype"/>
        </w:rPr>
      </w:pPr>
    </w:p>
    <w:p w14:paraId="5D0E2837" w14:textId="77777777" w:rsidR="00F629EB" w:rsidRPr="000B7C87" w:rsidRDefault="000B7C87">
      <w:pPr>
        <w:shd w:val="clear" w:color="auto" w:fill="FFFFFF"/>
        <w:spacing w:line="360" w:lineRule="auto"/>
        <w:ind w:right="51"/>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0B7C87">
        <w:rPr>
          <w:rFonts w:ascii="Palatino Linotype" w:eastAsia="Palatino Linotype" w:hAnsi="Palatino Linotype" w:cs="Palatino Linotype"/>
          <w:b/>
        </w:rPr>
        <w:t>SUJETO OBLIGADO</w:t>
      </w:r>
      <w:r w:rsidRPr="000B7C87">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 ya sea porque se testan o suprimen -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0B7C87">
        <w:rPr>
          <w:rFonts w:ascii="Palatino Linotype" w:eastAsia="Palatino Linotype" w:hAnsi="Palatino Linotype" w:cs="Palatino Linotype"/>
          <w:b/>
        </w:rPr>
        <w:t>LA PARTE RECURRENTE.</w:t>
      </w:r>
    </w:p>
    <w:p w14:paraId="0329C117" w14:textId="77777777" w:rsidR="00F629EB" w:rsidRPr="000B7C87" w:rsidRDefault="00F629EB">
      <w:pPr>
        <w:shd w:val="clear" w:color="auto" w:fill="FFFFFF"/>
        <w:spacing w:line="360" w:lineRule="auto"/>
        <w:ind w:right="51"/>
        <w:jc w:val="both"/>
        <w:rPr>
          <w:rFonts w:ascii="Palatino Linotype" w:eastAsia="Palatino Linotype" w:hAnsi="Palatino Linotype" w:cs="Palatino Linotype"/>
        </w:rPr>
      </w:pPr>
    </w:p>
    <w:p w14:paraId="73E1538A"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w:t>
      </w:r>
      <w:r w:rsidRPr="000B7C87">
        <w:rPr>
          <w:rFonts w:ascii="Palatino Linotype" w:eastAsia="Palatino Linotype" w:hAnsi="Palatino Linotype" w:cs="Palatino Linotype"/>
        </w:rPr>
        <w:lastRenderedPageBreak/>
        <w:t>México y Municipios permite la elaboración de versiones públicas en las que se suprima aquella información relacionada con la vida privada.</w:t>
      </w:r>
    </w:p>
    <w:p w14:paraId="264EBA37" w14:textId="77777777" w:rsidR="00F629EB" w:rsidRPr="000B7C87" w:rsidRDefault="00F629EB">
      <w:pPr>
        <w:spacing w:line="360" w:lineRule="auto"/>
        <w:jc w:val="both"/>
        <w:rPr>
          <w:rFonts w:ascii="Palatino Linotype" w:eastAsia="Palatino Linotype" w:hAnsi="Palatino Linotype" w:cs="Palatino Linotype"/>
        </w:rPr>
      </w:pPr>
    </w:p>
    <w:p w14:paraId="354A9BBC" w14:textId="77777777" w:rsidR="00F629EB" w:rsidRPr="000B7C87" w:rsidRDefault="000B7C87">
      <w:pPr>
        <w:pBdr>
          <w:top w:val="nil"/>
          <w:left w:val="nil"/>
          <w:bottom w:val="nil"/>
          <w:right w:val="nil"/>
          <w:between w:val="nil"/>
        </w:pBd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 xml:space="preserve">De lo hasta aquí expuesto, se concluye que los motivos de inconformidad de </w:t>
      </w:r>
      <w:r w:rsidRPr="000B7C87">
        <w:rPr>
          <w:rFonts w:ascii="Palatino Linotype" w:eastAsia="Palatino Linotype" w:hAnsi="Palatino Linotype" w:cs="Palatino Linotype"/>
          <w:b/>
        </w:rPr>
        <w:t xml:space="preserve">LA PARTE RECURRENTE </w:t>
      </w:r>
      <w:r w:rsidRPr="000B7C87">
        <w:rPr>
          <w:rFonts w:ascii="Palatino Linotype" w:eastAsia="Palatino Linotype" w:hAnsi="Palatino Linotype" w:cs="Palatino Linotype"/>
        </w:rPr>
        <w:t xml:space="preserve">devienen </w:t>
      </w:r>
      <w:r w:rsidRPr="000B7C87">
        <w:rPr>
          <w:rFonts w:ascii="Palatino Linotype" w:eastAsia="Palatino Linotype" w:hAnsi="Palatino Linotype" w:cs="Palatino Linotype"/>
          <w:b/>
        </w:rPr>
        <w:t>FUNDADOS,</w:t>
      </w:r>
      <w:r w:rsidRPr="000B7C87">
        <w:rPr>
          <w:rFonts w:ascii="Palatino Linotype" w:eastAsia="Palatino Linotype" w:hAnsi="Palatino Linotype" w:cs="Palatino Linotype"/>
        </w:rPr>
        <w:t xml:space="preserve"> siendo procedente </w:t>
      </w:r>
      <w:r w:rsidRPr="000B7C87">
        <w:rPr>
          <w:rFonts w:ascii="Palatino Linotype" w:eastAsia="Palatino Linotype" w:hAnsi="Palatino Linotype" w:cs="Palatino Linotype"/>
          <w:b/>
        </w:rPr>
        <w:t>MODIFICAR</w:t>
      </w:r>
      <w:r w:rsidRPr="000B7C87">
        <w:rPr>
          <w:rFonts w:ascii="Palatino Linotype" w:eastAsia="Palatino Linotype" w:hAnsi="Palatino Linotype" w:cs="Palatino Linotype"/>
          <w:i/>
        </w:rPr>
        <w:t xml:space="preserve"> </w:t>
      </w:r>
      <w:r w:rsidRPr="000B7C87">
        <w:rPr>
          <w:rFonts w:ascii="Palatino Linotype" w:eastAsia="Palatino Linotype" w:hAnsi="Palatino Linotype" w:cs="Palatino Linotype"/>
        </w:rPr>
        <w:t xml:space="preserve">la respuesta proporcionada por </w:t>
      </w:r>
      <w:r w:rsidRPr="000B7C87">
        <w:rPr>
          <w:rFonts w:ascii="Palatino Linotype" w:eastAsia="Palatino Linotype" w:hAnsi="Palatino Linotype" w:cs="Palatino Linotype"/>
          <w:b/>
        </w:rPr>
        <w:t xml:space="preserve">EL SUJETO OBLIGADO </w:t>
      </w:r>
      <w:r w:rsidRPr="000B7C87">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0A454747" w14:textId="77777777" w:rsidR="00F629EB" w:rsidRPr="000B7C87" w:rsidRDefault="00F629EB">
      <w:pPr>
        <w:pBdr>
          <w:top w:val="nil"/>
          <w:left w:val="nil"/>
          <w:bottom w:val="nil"/>
          <w:right w:val="nil"/>
          <w:between w:val="nil"/>
        </w:pBdr>
        <w:spacing w:line="360" w:lineRule="auto"/>
        <w:jc w:val="both"/>
        <w:rPr>
          <w:rFonts w:ascii="Palatino Linotype" w:eastAsia="Palatino Linotype" w:hAnsi="Palatino Linotype" w:cs="Palatino Linotype"/>
        </w:rPr>
      </w:pPr>
    </w:p>
    <w:p w14:paraId="1ECC2950" w14:textId="77777777" w:rsidR="00F629EB" w:rsidRPr="000B7C87" w:rsidRDefault="000B7C87">
      <w:pPr>
        <w:pBdr>
          <w:top w:val="nil"/>
          <w:left w:val="nil"/>
          <w:bottom w:val="nil"/>
          <w:right w:val="nil"/>
          <w:between w:val="nil"/>
        </w:pBd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959B696" w14:textId="77777777" w:rsidR="00F629EB" w:rsidRPr="000B7C87" w:rsidRDefault="00F629EB">
      <w:pPr>
        <w:pBdr>
          <w:top w:val="nil"/>
          <w:left w:val="nil"/>
          <w:bottom w:val="nil"/>
          <w:right w:val="nil"/>
          <w:between w:val="nil"/>
        </w:pBdr>
        <w:spacing w:line="360" w:lineRule="auto"/>
        <w:jc w:val="both"/>
        <w:rPr>
          <w:rFonts w:ascii="Palatino Linotype" w:eastAsia="Palatino Linotype" w:hAnsi="Palatino Linotype" w:cs="Palatino Linotype"/>
        </w:rPr>
      </w:pPr>
      <w:bookmarkStart w:id="5" w:name="_heading=h.1fob9te" w:colFirst="0" w:colLast="0"/>
      <w:bookmarkEnd w:id="5"/>
    </w:p>
    <w:p w14:paraId="21BE47C6" w14:textId="77777777" w:rsidR="00F629EB" w:rsidRPr="000B7C87" w:rsidRDefault="000B7C87">
      <w:pPr>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rPr>
      </w:pPr>
      <w:r w:rsidRPr="000B7C87">
        <w:rPr>
          <w:rFonts w:ascii="Palatino Linotype" w:eastAsia="Palatino Linotype" w:hAnsi="Palatino Linotype" w:cs="Palatino Linotype"/>
          <w:b/>
        </w:rPr>
        <w:t xml:space="preserve">R E S U E L V E: </w:t>
      </w:r>
    </w:p>
    <w:p w14:paraId="1BD44203" w14:textId="77777777" w:rsidR="00F629EB" w:rsidRPr="000B7C87" w:rsidRDefault="00F629EB">
      <w:pPr>
        <w:pBdr>
          <w:top w:val="nil"/>
          <w:left w:val="nil"/>
          <w:bottom w:val="nil"/>
          <w:right w:val="nil"/>
          <w:between w:val="nil"/>
        </w:pBdr>
        <w:spacing w:line="360" w:lineRule="auto"/>
        <w:ind w:left="1224"/>
        <w:rPr>
          <w:rFonts w:ascii="Palatino Linotype" w:eastAsia="Palatino Linotype" w:hAnsi="Palatino Linotype" w:cs="Palatino Linotype"/>
          <w:b/>
        </w:rPr>
      </w:pPr>
    </w:p>
    <w:p w14:paraId="38F520B7" w14:textId="77777777" w:rsidR="00F629EB" w:rsidRPr="000B7C87" w:rsidRDefault="000B7C87">
      <w:pPr>
        <w:spacing w:line="360" w:lineRule="auto"/>
        <w:jc w:val="both"/>
        <w:rPr>
          <w:rFonts w:ascii="Palatino Linotype" w:eastAsia="Palatino Linotype" w:hAnsi="Palatino Linotype" w:cs="Palatino Linotype"/>
          <w:b/>
        </w:rPr>
      </w:pPr>
      <w:bookmarkStart w:id="6" w:name="_heading=h.4d34og8" w:colFirst="0" w:colLast="0"/>
      <w:bookmarkEnd w:id="6"/>
      <w:r w:rsidRPr="000B7C87">
        <w:rPr>
          <w:rFonts w:ascii="Palatino Linotype" w:eastAsia="Palatino Linotype" w:hAnsi="Palatino Linotype" w:cs="Palatino Linotype"/>
          <w:b/>
        </w:rPr>
        <w:t xml:space="preserve">PRIMERO. </w:t>
      </w:r>
      <w:r w:rsidRPr="000B7C87">
        <w:rPr>
          <w:rFonts w:ascii="Palatino Linotype" w:eastAsia="Palatino Linotype" w:hAnsi="Palatino Linotype" w:cs="Palatino Linotype"/>
        </w:rPr>
        <w:t xml:space="preserve">Resultan </w:t>
      </w:r>
      <w:r w:rsidRPr="000B7C87">
        <w:rPr>
          <w:rFonts w:ascii="Palatino Linotype" w:eastAsia="Palatino Linotype" w:hAnsi="Palatino Linotype" w:cs="Palatino Linotype"/>
          <w:b/>
        </w:rPr>
        <w:t>FUNDADOS</w:t>
      </w:r>
      <w:r w:rsidRPr="000B7C87">
        <w:rPr>
          <w:rFonts w:ascii="Palatino Linotype" w:eastAsia="Palatino Linotype" w:hAnsi="Palatino Linotype" w:cs="Palatino Linotype"/>
        </w:rPr>
        <w:t xml:space="preserve"> los motivos de inconformidad hechos valer por </w:t>
      </w:r>
      <w:r w:rsidRPr="000B7C87">
        <w:rPr>
          <w:rFonts w:ascii="Palatino Linotype" w:eastAsia="Palatino Linotype" w:hAnsi="Palatino Linotype" w:cs="Palatino Linotype"/>
          <w:b/>
        </w:rPr>
        <w:t xml:space="preserve">LA PARTE RECURRENTE </w:t>
      </w:r>
      <w:r w:rsidRPr="000B7C87">
        <w:rPr>
          <w:rFonts w:ascii="Palatino Linotype" w:eastAsia="Palatino Linotype" w:hAnsi="Palatino Linotype" w:cs="Palatino Linotype"/>
        </w:rPr>
        <w:t xml:space="preserve">en el recurso de revisión </w:t>
      </w:r>
      <w:r w:rsidRPr="000B7C87">
        <w:rPr>
          <w:rFonts w:ascii="Palatino Linotype" w:eastAsia="Palatino Linotype" w:hAnsi="Palatino Linotype" w:cs="Palatino Linotype"/>
          <w:b/>
        </w:rPr>
        <w:t xml:space="preserve">16804/INFOEM/IP/RR/2022, </w:t>
      </w:r>
      <w:r w:rsidRPr="000B7C87">
        <w:rPr>
          <w:rFonts w:ascii="Palatino Linotype" w:eastAsia="Palatino Linotype" w:hAnsi="Palatino Linotype" w:cs="Palatino Linotype"/>
        </w:rPr>
        <w:t xml:space="preserve">por lo que, en términos del </w:t>
      </w:r>
      <w:r w:rsidRPr="000B7C87">
        <w:rPr>
          <w:rFonts w:ascii="Palatino Linotype" w:eastAsia="Palatino Linotype" w:hAnsi="Palatino Linotype" w:cs="Palatino Linotype"/>
          <w:b/>
        </w:rPr>
        <w:t>CONSIDERANDO CUARTO</w:t>
      </w:r>
      <w:r w:rsidRPr="000B7C87">
        <w:rPr>
          <w:rFonts w:ascii="Palatino Linotype" w:eastAsia="Palatino Linotype" w:hAnsi="Palatino Linotype" w:cs="Palatino Linotype"/>
        </w:rPr>
        <w:t xml:space="preserve"> de la presente resolución, se</w:t>
      </w:r>
      <w:r w:rsidRPr="000B7C87">
        <w:rPr>
          <w:rFonts w:ascii="Palatino Linotype" w:eastAsia="Palatino Linotype" w:hAnsi="Palatino Linotype" w:cs="Palatino Linotype"/>
          <w:b/>
        </w:rPr>
        <w:t xml:space="preserve"> MODIFICA </w:t>
      </w:r>
      <w:r w:rsidRPr="000B7C87">
        <w:rPr>
          <w:rFonts w:ascii="Palatino Linotype" w:eastAsia="Palatino Linotype" w:hAnsi="Palatino Linotype" w:cs="Palatino Linotype"/>
        </w:rPr>
        <w:t>la respuesta</w:t>
      </w:r>
      <w:r w:rsidRPr="000B7C87">
        <w:rPr>
          <w:rFonts w:ascii="Palatino Linotype" w:eastAsia="Palatino Linotype" w:hAnsi="Palatino Linotype" w:cs="Palatino Linotype"/>
          <w:b/>
        </w:rPr>
        <w:t xml:space="preserve"> </w:t>
      </w:r>
      <w:r w:rsidRPr="000B7C87">
        <w:rPr>
          <w:rFonts w:ascii="Palatino Linotype" w:eastAsia="Palatino Linotype" w:hAnsi="Palatino Linotype" w:cs="Palatino Linotype"/>
        </w:rPr>
        <w:t xml:space="preserve">del </w:t>
      </w:r>
      <w:r w:rsidRPr="000B7C87">
        <w:rPr>
          <w:rFonts w:ascii="Palatino Linotype" w:eastAsia="Palatino Linotype" w:hAnsi="Palatino Linotype" w:cs="Palatino Linotype"/>
          <w:b/>
        </w:rPr>
        <w:t>SUJETO OBLIGADO.</w:t>
      </w:r>
    </w:p>
    <w:p w14:paraId="2EF4EC17" w14:textId="77777777" w:rsidR="00F629EB" w:rsidRPr="000B7C87" w:rsidRDefault="00F629EB">
      <w:pPr>
        <w:spacing w:line="360" w:lineRule="auto"/>
        <w:jc w:val="both"/>
        <w:rPr>
          <w:rFonts w:ascii="Palatino Linotype" w:eastAsia="Palatino Linotype" w:hAnsi="Palatino Linotype" w:cs="Palatino Linotype"/>
          <w:b/>
        </w:rPr>
      </w:pPr>
    </w:p>
    <w:p w14:paraId="0511FF82" w14:textId="77777777" w:rsidR="00F629EB" w:rsidRPr="000B7C87" w:rsidRDefault="000B7C87">
      <w:pPr>
        <w:spacing w:line="360" w:lineRule="auto"/>
        <w:jc w:val="both"/>
        <w:rPr>
          <w:rFonts w:ascii="Palatino Linotype" w:eastAsia="Palatino Linotype" w:hAnsi="Palatino Linotype" w:cs="Palatino Linotype"/>
        </w:rPr>
      </w:pPr>
      <w:bookmarkStart w:id="7" w:name="_heading=h.tyjcwt" w:colFirst="0" w:colLast="0"/>
      <w:bookmarkEnd w:id="7"/>
      <w:r w:rsidRPr="000B7C87">
        <w:rPr>
          <w:rFonts w:ascii="Palatino Linotype" w:eastAsia="Palatino Linotype" w:hAnsi="Palatino Linotype" w:cs="Palatino Linotype"/>
          <w:b/>
        </w:rPr>
        <w:lastRenderedPageBreak/>
        <w:t xml:space="preserve">SEGUNDO. </w:t>
      </w:r>
      <w:r w:rsidRPr="000B7C87">
        <w:rPr>
          <w:rFonts w:ascii="Palatino Linotype" w:eastAsia="Palatino Linotype" w:hAnsi="Palatino Linotype" w:cs="Palatino Linotype"/>
        </w:rPr>
        <w:t xml:space="preserve">Se </w:t>
      </w:r>
      <w:r w:rsidRPr="000B7C87">
        <w:rPr>
          <w:rFonts w:ascii="Palatino Linotype" w:eastAsia="Palatino Linotype" w:hAnsi="Palatino Linotype" w:cs="Palatino Linotype"/>
          <w:b/>
        </w:rPr>
        <w:t>ORDENA</w:t>
      </w:r>
      <w:r w:rsidRPr="000B7C87">
        <w:rPr>
          <w:rFonts w:ascii="Palatino Linotype" w:eastAsia="Palatino Linotype" w:hAnsi="Palatino Linotype" w:cs="Palatino Linotype"/>
        </w:rPr>
        <w:t xml:space="preserve"> al </w:t>
      </w:r>
      <w:r w:rsidRPr="000B7C87">
        <w:rPr>
          <w:rFonts w:ascii="Palatino Linotype" w:eastAsia="Palatino Linotype" w:hAnsi="Palatino Linotype" w:cs="Palatino Linotype"/>
          <w:b/>
        </w:rPr>
        <w:t>SUJETO OBLIGADO</w:t>
      </w:r>
      <w:r w:rsidRPr="000B7C87">
        <w:rPr>
          <w:rFonts w:ascii="Palatino Linotype" w:eastAsia="Palatino Linotype" w:hAnsi="Palatino Linotype" w:cs="Palatino Linotype"/>
        </w:rPr>
        <w:t xml:space="preserve">, en términos de los </w:t>
      </w:r>
      <w:r w:rsidRPr="000B7C87">
        <w:rPr>
          <w:rFonts w:ascii="Palatino Linotype" w:eastAsia="Palatino Linotype" w:hAnsi="Palatino Linotype" w:cs="Palatino Linotype"/>
          <w:b/>
        </w:rPr>
        <w:t xml:space="preserve">CONSIDERANDOS CUARTO </w:t>
      </w:r>
      <w:r w:rsidRPr="000B7C87">
        <w:rPr>
          <w:rFonts w:ascii="Palatino Linotype" w:eastAsia="Palatino Linotype" w:hAnsi="Palatino Linotype" w:cs="Palatino Linotype"/>
        </w:rPr>
        <w:t xml:space="preserve">y </w:t>
      </w:r>
      <w:r w:rsidRPr="000B7C87">
        <w:rPr>
          <w:rFonts w:ascii="Palatino Linotype" w:eastAsia="Palatino Linotype" w:hAnsi="Palatino Linotype" w:cs="Palatino Linotype"/>
          <w:b/>
        </w:rPr>
        <w:t xml:space="preserve">QUINTO </w:t>
      </w:r>
      <w:r w:rsidRPr="000B7C87">
        <w:rPr>
          <w:rFonts w:ascii="Palatino Linotype" w:eastAsia="Palatino Linotype" w:hAnsi="Palatino Linotype" w:cs="Palatino Linotype"/>
        </w:rPr>
        <w:t>de esta resolución, haga entrega vía SAIMEX, de ser procedente en versión pública, de lo siguiente:</w:t>
      </w:r>
    </w:p>
    <w:p w14:paraId="1E83C6D7" w14:textId="77777777" w:rsidR="00F629EB" w:rsidRPr="000B7C87" w:rsidRDefault="00F629EB">
      <w:pPr>
        <w:spacing w:line="360" w:lineRule="auto"/>
        <w:jc w:val="both"/>
        <w:rPr>
          <w:rFonts w:ascii="Palatino Linotype" w:eastAsia="Palatino Linotype" w:hAnsi="Palatino Linotype" w:cs="Palatino Linotype"/>
        </w:rPr>
      </w:pPr>
    </w:p>
    <w:p w14:paraId="406FEAD1" w14:textId="77777777" w:rsidR="00F629EB" w:rsidRPr="000B7C87" w:rsidRDefault="000B7C8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bookmarkStart w:id="8" w:name="_heading=h.3dy6vkm" w:colFirst="0" w:colLast="0"/>
      <w:bookmarkEnd w:id="8"/>
      <w:r w:rsidRPr="000B7C87">
        <w:rPr>
          <w:rFonts w:ascii="Palatino Linotype" w:eastAsia="Palatino Linotype" w:hAnsi="Palatino Linotype" w:cs="Palatino Linotype"/>
        </w:rPr>
        <w:t xml:space="preserve">Acervo fotográfico del </w:t>
      </w:r>
      <w:proofErr w:type="gramStart"/>
      <w:r w:rsidRPr="000B7C87">
        <w:rPr>
          <w:rFonts w:ascii="Palatino Linotype" w:eastAsia="Palatino Linotype" w:hAnsi="Palatino Linotype" w:cs="Palatino Linotype"/>
        </w:rPr>
        <w:t>Presidente</w:t>
      </w:r>
      <w:proofErr w:type="gramEnd"/>
      <w:r w:rsidRPr="000B7C87">
        <w:rPr>
          <w:rFonts w:ascii="Palatino Linotype" w:eastAsia="Palatino Linotype" w:hAnsi="Palatino Linotype" w:cs="Palatino Linotype"/>
        </w:rPr>
        <w:t xml:space="preserve"> Municipal, Secretario del Ayuntamiento y Titulares de Direcciones Generales, del primero de enero al dieciocho de octubre de dos mil veintidós. </w:t>
      </w:r>
    </w:p>
    <w:p w14:paraId="20901D0F"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3B786B7"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En caso de ser procedente, acompañarla con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w:t>
      </w:r>
      <w:r w:rsidRPr="000B7C87">
        <w:rPr>
          <w:rFonts w:ascii="Palatino Linotype" w:eastAsia="Palatino Linotype" w:hAnsi="Palatino Linotype" w:cs="Palatino Linotype"/>
          <w:b/>
          <w:i/>
          <w:sz w:val="22"/>
          <w:szCs w:val="22"/>
        </w:rPr>
        <w:t>LA PARTE RECURRENTE</w:t>
      </w:r>
      <w:r w:rsidRPr="000B7C87">
        <w:rPr>
          <w:rFonts w:ascii="Palatino Linotype" w:eastAsia="Palatino Linotype" w:hAnsi="Palatino Linotype" w:cs="Palatino Linotype"/>
          <w:i/>
          <w:sz w:val="22"/>
          <w:szCs w:val="22"/>
        </w:rPr>
        <w:t>, mismo que igualmente hará de su conocimiento.</w:t>
      </w:r>
    </w:p>
    <w:p w14:paraId="42B7F226"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5D16337" w14:textId="77777777" w:rsidR="00F629EB" w:rsidRPr="000B7C87" w:rsidRDefault="000B7C87">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0B7C87">
        <w:rPr>
          <w:rFonts w:ascii="Palatino Linotype" w:eastAsia="Palatino Linotype" w:hAnsi="Palatino Linotype" w:cs="Palatino Linotype"/>
          <w:i/>
          <w:sz w:val="22"/>
          <w:szCs w:val="22"/>
        </w:rPr>
        <w:t xml:space="preserve">En el supuesto que la información </w:t>
      </w:r>
      <w:proofErr w:type="gramStart"/>
      <w:r w:rsidRPr="000B7C87">
        <w:rPr>
          <w:rFonts w:ascii="Palatino Linotype" w:eastAsia="Palatino Linotype" w:hAnsi="Palatino Linotype" w:cs="Palatino Linotype"/>
          <w:i/>
          <w:sz w:val="22"/>
          <w:szCs w:val="22"/>
        </w:rPr>
        <w:t>ordenada  no</w:t>
      </w:r>
      <w:proofErr w:type="gramEnd"/>
      <w:r w:rsidRPr="000B7C87">
        <w:rPr>
          <w:rFonts w:ascii="Palatino Linotype" w:eastAsia="Palatino Linotype" w:hAnsi="Palatino Linotype" w:cs="Palatino Linotype"/>
          <w:i/>
          <w:sz w:val="22"/>
          <w:szCs w:val="22"/>
        </w:rPr>
        <w:t xml:space="preserve"> obre en los archivos del </w:t>
      </w:r>
      <w:r w:rsidRPr="000B7C87">
        <w:rPr>
          <w:rFonts w:ascii="Palatino Linotype" w:eastAsia="Palatino Linotype" w:hAnsi="Palatino Linotype" w:cs="Palatino Linotype"/>
          <w:b/>
          <w:i/>
          <w:sz w:val="22"/>
          <w:szCs w:val="22"/>
        </w:rPr>
        <w:t xml:space="preserve">SUJETO OBLIGADO </w:t>
      </w:r>
      <w:r w:rsidRPr="000B7C87">
        <w:rPr>
          <w:rFonts w:ascii="Palatino Linotype" w:eastAsia="Palatino Linotype" w:hAnsi="Palatino Linotype" w:cs="Palatino Linotype"/>
          <w:i/>
          <w:sz w:val="22"/>
          <w:szCs w:val="22"/>
        </w:rPr>
        <w:t xml:space="preserve">porque de alguno de los servidores públicos no la haya generado, bastará con que así lo haga del conocimiento de </w:t>
      </w:r>
      <w:r w:rsidRPr="000B7C87">
        <w:rPr>
          <w:rFonts w:ascii="Palatino Linotype" w:eastAsia="Palatino Linotype" w:hAnsi="Palatino Linotype" w:cs="Palatino Linotype"/>
          <w:b/>
          <w:i/>
          <w:sz w:val="22"/>
          <w:szCs w:val="22"/>
        </w:rPr>
        <w:t>LA PARTE RECURRENTE</w:t>
      </w:r>
      <w:r w:rsidRPr="000B7C87">
        <w:rPr>
          <w:rFonts w:ascii="Palatino Linotype" w:eastAsia="Palatino Linotype" w:hAnsi="Palatino Linotype" w:cs="Palatino Linotype"/>
          <w:i/>
          <w:sz w:val="22"/>
          <w:szCs w:val="22"/>
        </w:rPr>
        <w:t>, de manera fundada y motivada, en términos del segundo párrafo del artículo 19 de la Ley de Transparencia de la Entidad, para tener por colmado el requerimiento de información.</w:t>
      </w:r>
    </w:p>
    <w:p w14:paraId="6CD7EC6D" w14:textId="77777777" w:rsidR="00F629EB" w:rsidRPr="000B7C87" w:rsidRDefault="00F629E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295FB53"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 xml:space="preserve">TERCERO. Notifíquese vía SAIMEX </w:t>
      </w:r>
      <w:r w:rsidRPr="000B7C87">
        <w:rPr>
          <w:rFonts w:ascii="Palatino Linotype" w:eastAsia="Palatino Linotype" w:hAnsi="Palatino Linotype" w:cs="Palatino Linotype"/>
        </w:rPr>
        <w:t xml:space="preserve">la presente resolución al Titular de la Unidad de Transparencia del </w:t>
      </w:r>
      <w:r w:rsidRPr="000B7C87">
        <w:rPr>
          <w:rFonts w:ascii="Palatino Linotype" w:eastAsia="Palatino Linotype" w:hAnsi="Palatino Linotype" w:cs="Palatino Linotype"/>
          <w:b/>
        </w:rPr>
        <w:t xml:space="preserve">SUJETO OBLIGADO, </w:t>
      </w:r>
      <w:r w:rsidRPr="000B7C87">
        <w:rPr>
          <w:rFonts w:ascii="Palatino Linotype" w:eastAsia="Palatino Linotype" w:hAnsi="Palatino Linotype" w:cs="Palatino Linotype"/>
        </w:rPr>
        <w:t xml:space="preserve">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0B7C87">
        <w:rPr>
          <w:rFonts w:ascii="Palatino Linotype" w:eastAsia="Palatino Linotype" w:hAnsi="Palatino Linotype" w:cs="Palatino Linotype"/>
        </w:rPr>
        <w:lastRenderedPageBreak/>
        <w:t>previsto en los artículos 198, 200, fracción III; 214, 215 y 216 de la Ley  de Transparencia y Acceso a la Información Pública del Estado de México y Municipios.</w:t>
      </w:r>
    </w:p>
    <w:p w14:paraId="3ED75E05" w14:textId="77777777" w:rsidR="00F629EB" w:rsidRPr="000B7C87" w:rsidRDefault="00F629EB">
      <w:pPr>
        <w:spacing w:line="360" w:lineRule="auto"/>
        <w:jc w:val="both"/>
        <w:rPr>
          <w:rFonts w:ascii="Palatino Linotype" w:eastAsia="Palatino Linotype" w:hAnsi="Palatino Linotype" w:cs="Palatino Linotype"/>
        </w:rPr>
      </w:pPr>
    </w:p>
    <w:p w14:paraId="673EA880"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 xml:space="preserve">CUARTO. </w:t>
      </w:r>
      <w:r w:rsidRPr="000B7C87">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0B7C87">
        <w:rPr>
          <w:rFonts w:ascii="Palatino Linotype" w:eastAsia="Palatino Linotype" w:hAnsi="Palatino Linotype" w:cs="Palatino Linotype"/>
          <w:b/>
        </w:rPr>
        <w:t>EL SUJETO OBLIGADO</w:t>
      </w:r>
      <w:r w:rsidRPr="000B7C87">
        <w:rPr>
          <w:rFonts w:ascii="Palatino Linotype" w:eastAsia="Palatino Linotype" w:hAnsi="Palatino Linotype" w:cs="Palatino Linotype"/>
        </w:rPr>
        <w:t xml:space="preserve"> de manera fundada y motivada, podrá solicitar una ampliación de plazo para el cumplimiento de la presente resolución.</w:t>
      </w:r>
    </w:p>
    <w:p w14:paraId="69D329AA" w14:textId="77777777" w:rsidR="00F629EB" w:rsidRPr="000B7C87" w:rsidRDefault="00F629EB">
      <w:pPr>
        <w:spacing w:line="360" w:lineRule="auto"/>
        <w:jc w:val="both"/>
        <w:rPr>
          <w:rFonts w:ascii="Palatino Linotype" w:eastAsia="Palatino Linotype" w:hAnsi="Palatino Linotype" w:cs="Palatino Linotype"/>
          <w:b/>
        </w:rPr>
      </w:pPr>
    </w:p>
    <w:p w14:paraId="64F23F90"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b/>
        </w:rPr>
        <w:t>QUINTO. Notifíquese</w:t>
      </w:r>
      <w:r w:rsidRPr="000B7C87">
        <w:rPr>
          <w:rFonts w:ascii="Palatino Linotype" w:eastAsia="Palatino Linotype" w:hAnsi="Palatino Linotype" w:cs="Palatino Linotype"/>
        </w:rPr>
        <w:t xml:space="preserve"> vía SAIMEX,</w:t>
      </w:r>
      <w:r w:rsidRPr="000B7C87">
        <w:rPr>
          <w:rFonts w:ascii="Palatino Linotype" w:eastAsia="Palatino Linotype" w:hAnsi="Palatino Linotype" w:cs="Palatino Linotype"/>
          <w:b/>
        </w:rPr>
        <w:t xml:space="preserve"> </w:t>
      </w:r>
      <w:r w:rsidRPr="000B7C87">
        <w:rPr>
          <w:rFonts w:ascii="Palatino Linotype" w:eastAsia="Palatino Linotype" w:hAnsi="Palatino Linotype" w:cs="Palatino Linotype"/>
        </w:rPr>
        <w:t xml:space="preserve">a </w:t>
      </w:r>
      <w:r w:rsidRPr="000B7C87">
        <w:rPr>
          <w:rFonts w:ascii="Palatino Linotype" w:eastAsia="Palatino Linotype" w:hAnsi="Palatino Linotype" w:cs="Palatino Linotype"/>
          <w:b/>
        </w:rPr>
        <w:t>LA PARTE</w:t>
      </w:r>
      <w:r w:rsidRPr="000B7C87">
        <w:rPr>
          <w:rFonts w:ascii="Palatino Linotype" w:eastAsia="Palatino Linotype" w:hAnsi="Palatino Linotype" w:cs="Palatino Linotype"/>
        </w:rPr>
        <w:t xml:space="preserve"> </w:t>
      </w:r>
      <w:r w:rsidRPr="000B7C87">
        <w:rPr>
          <w:rFonts w:ascii="Palatino Linotype" w:eastAsia="Palatino Linotype" w:hAnsi="Palatino Linotype" w:cs="Palatino Linotype"/>
          <w:b/>
        </w:rPr>
        <w:t>RECURRENTE</w:t>
      </w:r>
      <w:r w:rsidRPr="000B7C87">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w:t>
      </w:r>
    </w:p>
    <w:p w14:paraId="3C7D6B3A" w14:textId="77777777" w:rsidR="00F629EB" w:rsidRPr="000B7C87" w:rsidRDefault="00F629EB">
      <w:pPr>
        <w:spacing w:line="360" w:lineRule="auto"/>
        <w:jc w:val="both"/>
        <w:rPr>
          <w:rFonts w:ascii="Palatino Linotype" w:eastAsia="Palatino Linotype" w:hAnsi="Palatino Linotype" w:cs="Palatino Linotype"/>
        </w:rPr>
      </w:pPr>
    </w:p>
    <w:p w14:paraId="328769D6" w14:textId="77777777" w:rsidR="00F629EB" w:rsidRPr="000B7C87" w:rsidRDefault="000B7C87">
      <w:pPr>
        <w:spacing w:line="360" w:lineRule="auto"/>
        <w:jc w:val="both"/>
        <w:rPr>
          <w:rFonts w:ascii="Palatino Linotype" w:eastAsia="Palatino Linotype" w:hAnsi="Palatino Linotype" w:cs="Palatino Linotype"/>
        </w:rPr>
      </w:pPr>
      <w:r w:rsidRPr="000B7C8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TREINTA Y UNO DE MAYO DE DOS MIL VEINTITRÉS, ANTE EL SECRETARIO TÉCNICO DEL PLENO ALEXIS TAPIA RAMÍREZ.</w:t>
      </w:r>
    </w:p>
    <w:p w14:paraId="0FF40173" w14:textId="77777777" w:rsidR="00F629EB" w:rsidRPr="000B7C87" w:rsidRDefault="00F629EB">
      <w:pPr>
        <w:spacing w:line="360" w:lineRule="auto"/>
        <w:jc w:val="both"/>
        <w:rPr>
          <w:rFonts w:ascii="Palatino Linotype" w:eastAsia="Palatino Linotype" w:hAnsi="Palatino Linotype" w:cs="Palatino Linotype"/>
        </w:rPr>
      </w:pPr>
    </w:p>
    <w:p w14:paraId="1EE84FED" w14:textId="77777777" w:rsidR="00F629EB" w:rsidRPr="000B7C87" w:rsidRDefault="00F629EB">
      <w:pPr>
        <w:spacing w:line="360" w:lineRule="auto"/>
        <w:jc w:val="both"/>
        <w:rPr>
          <w:rFonts w:ascii="Palatino Linotype" w:eastAsia="Palatino Linotype" w:hAnsi="Palatino Linotype" w:cs="Palatino Linotype"/>
        </w:rPr>
      </w:pPr>
    </w:p>
    <w:p w14:paraId="514F04F3" w14:textId="77777777" w:rsidR="00F629EB" w:rsidRPr="000B7C87" w:rsidRDefault="00F629EB">
      <w:pPr>
        <w:spacing w:line="360" w:lineRule="auto"/>
        <w:jc w:val="both"/>
        <w:rPr>
          <w:rFonts w:ascii="Palatino Linotype" w:eastAsia="Palatino Linotype" w:hAnsi="Palatino Linotype" w:cs="Palatino Linotype"/>
        </w:rPr>
      </w:pPr>
    </w:p>
    <w:p w14:paraId="5F7DAD8D" w14:textId="77777777" w:rsidR="00F629EB" w:rsidRPr="000B7C87" w:rsidRDefault="00F629EB">
      <w:pPr>
        <w:spacing w:line="360" w:lineRule="auto"/>
        <w:jc w:val="both"/>
        <w:rPr>
          <w:rFonts w:ascii="Palatino Linotype" w:eastAsia="Palatino Linotype" w:hAnsi="Palatino Linotype" w:cs="Palatino Linotype"/>
        </w:rPr>
      </w:pPr>
    </w:p>
    <w:p w14:paraId="7377DACD" w14:textId="77777777" w:rsidR="00F629EB" w:rsidRPr="000B7C87" w:rsidRDefault="00F629EB">
      <w:pPr>
        <w:spacing w:line="360" w:lineRule="auto"/>
        <w:jc w:val="both"/>
        <w:rPr>
          <w:rFonts w:ascii="Palatino Linotype" w:eastAsia="Palatino Linotype" w:hAnsi="Palatino Linotype" w:cs="Palatino Linotype"/>
        </w:rPr>
      </w:pPr>
    </w:p>
    <w:p w14:paraId="5811EFD8" w14:textId="77777777" w:rsidR="00F629EB" w:rsidRPr="000B7C87" w:rsidRDefault="00F629EB">
      <w:pPr>
        <w:spacing w:line="360" w:lineRule="auto"/>
        <w:jc w:val="both"/>
        <w:rPr>
          <w:rFonts w:ascii="Palatino Linotype" w:eastAsia="Palatino Linotype" w:hAnsi="Palatino Linotype" w:cs="Palatino Linotype"/>
        </w:rPr>
      </w:pPr>
    </w:p>
    <w:p w14:paraId="432B1799" w14:textId="77777777" w:rsidR="00F629EB" w:rsidRPr="000B7C87" w:rsidRDefault="00F629EB">
      <w:pPr>
        <w:spacing w:line="360" w:lineRule="auto"/>
        <w:jc w:val="both"/>
        <w:rPr>
          <w:rFonts w:ascii="Palatino Linotype" w:eastAsia="Palatino Linotype" w:hAnsi="Palatino Linotype" w:cs="Palatino Linotype"/>
        </w:rPr>
      </w:pPr>
    </w:p>
    <w:p w14:paraId="67351229" w14:textId="77777777" w:rsidR="00F629EB" w:rsidRPr="000B7C87" w:rsidRDefault="00F629EB">
      <w:pPr>
        <w:spacing w:line="360" w:lineRule="auto"/>
        <w:jc w:val="both"/>
        <w:rPr>
          <w:rFonts w:ascii="Palatino Linotype" w:eastAsia="Palatino Linotype" w:hAnsi="Palatino Linotype" w:cs="Palatino Linotype"/>
        </w:rPr>
      </w:pPr>
    </w:p>
    <w:p w14:paraId="7A0696F7" w14:textId="77777777" w:rsidR="00F629EB" w:rsidRPr="000B7C87" w:rsidRDefault="00F629EB">
      <w:pPr>
        <w:spacing w:line="360" w:lineRule="auto"/>
        <w:jc w:val="both"/>
        <w:rPr>
          <w:rFonts w:ascii="Palatino Linotype" w:eastAsia="Palatino Linotype" w:hAnsi="Palatino Linotype" w:cs="Palatino Linotype"/>
        </w:rPr>
      </w:pPr>
    </w:p>
    <w:p w14:paraId="69DA8D65" w14:textId="77777777" w:rsidR="00F629EB" w:rsidRPr="000B7C87" w:rsidRDefault="00F629EB">
      <w:pPr>
        <w:spacing w:line="360" w:lineRule="auto"/>
        <w:jc w:val="both"/>
        <w:rPr>
          <w:rFonts w:ascii="Palatino Linotype" w:eastAsia="Palatino Linotype" w:hAnsi="Palatino Linotype" w:cs="Palatino Linotype"/>
        </w:rPr>
      </w:pPr>
    </w:p>
    <w:p w14:paraId="006F4BB7" w14:textId="77777777" w:rsidR="00F629EB" w:rsidRPr="000B7C87" w:rsidRDefault="00F629EB">
      <w:pPr>
        <w:spacing w:line="360" w:lineRule="auto"/>
        <w:jc w:val="both"/>
        <w:rPr>
          <w:rFonts w:ascii="Palatino Linotype" w:eastAsia="Palatino Linotype" w:hAnsi="Palatino Linotype" w:cs="Palatino Linotype"/>
        </w:rPr>
      </w:pPr>
    </w:p>
    <w:p w14:paraId="48B84DCC" w14:textId="77777777" w:rsidR="00F629EB" w:rsidRPr="000B7C87" w:rsidRDefault="00F629EB">
      <w:pPr>
        <w:spacing w:line="360" w:lineRule="auto"/>
        <w:jc w:val="both"/>
        <w:rPr>
          <w:rFonts w:ascii="Palatino Linotype" w:eastAsia="Palatino Linotype" w:hAnsi="Palatino Linotype" w:cs="Palatino Linotype"/>
        </w:rPr>
      </w:pPr>
    </w:p>
    <w:p w14:paraId="618D6C4A" w14:textId="77777777" w:rsidR="00F629EB" w:rsidRPr="000B7C87" w:rsidRDefault="00F629EB">
      <w:pPr>
        <w:spacing w:line="360" w:lineRule="auto"/>
        <w:jc w:val="both"/>
        <w:rPr>
          <w:rFonts w:ascii="Palatino Linotype" w:eastAsia="Palatino Linotype" w:hAnsi="Palatino Linotype" w:cs="Palatino Linotype"/>
        </w:rPr>
      </w:pPr>
    </w:p>
    <w:p w14:paraId="09804EBE" w14:textId="77777777" w:rsidR="00F629EB" w:rsidRPr="000B7C87" w:rsidRDefault="00F629EB">
      <w:pPr>
        <w:spacing w:line="360" w:lineRule="auto"/>
        <w:jc w:val="both"/>
        <w:rPr>
          <w:rFonts w:ascii="Palatino Linotype" w:eastAsia="Palatino Linotype" w:hAnsi="Palatino Linotype" w:cs="Palatino Linotype"/>
        </w:rPr>
      </w:pPr>
    </w:p>
    <w:sectPr w:rsidR="00F629EB" w:rsidRPr="000B7C87">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E7BFD" w14:textId="77777777" w:rsidR="00BF08CE" w:rsidRDefault="00BF08CE">
      <w:r>
        <w:separator/>
      </w:r>
    </w:p>
  </w:endnote>
  <w:endnote w:type="continuationSeparator" w:id="0">
    <w:p w14:paraId="1A51D3CA" w14:textId="77777777" w:rsidR="00BF08CE" w:rsidRDefault="00BF0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AEE04" w14:textId="77777777" w:rsidR="00F629EB" w:rsidRDefault="000B7C8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66A1E">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66A1E">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3439EBFE" w14:textId="77777777" w:rsidR="00F629EB" w:rsidRDefault="00F629E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8E4EE" w14:textId="77777777" w:rsidR="00F629EB" w:rsidRDefault="000B7C8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66A1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66A1E">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3D133EC0" w14:textId="77777777" w:rsidR="00F629EB" w:rsidRDefault="00F629E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CDD10" w14:textId="77777777" w:rsidR="00BF08CE" w:rsidRDefault="00BF08CE">
      <w:r>
        <w:separator/>
      </w:r>
    </w:p>
  </w:footnote>
  <w:footnote w:type="continuationSeparator" w:id="0">
    <w:p w14:paraId="011DD697" w14:textId="77777777" w:rsidR="00BF08CE" w:rsidRDefault="00BF0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FC8E" w14:textId="77777777" w:rsidR="00F629EB" w:rsidRDefault="000B7C87">
    <w:pPr>
      <w:rPr>
        <w:rFonts w:ascii="Cambria" w:eastAsia="Cambria" w:hAnsi="Cambria" w:cs="Cambria"/>
        <w:color w:val="000000"/>
      </w:rPr>
    </w:pPr>
    <w:r>
      <w:rPr>
        <w:noProof/>
      </w:rPr>
      <w:drawing>
        <wp:anchor distT="0" distB="0" distL="0" distR="0" simplePos="0" relativeHeight="251658240" behindDoc="1" locked="0" layoutInCell="1" hidden="0" allowOverlap="1" wp14:anchorId="235A47F6" wp14:editId="59877FBB">
          <wp:simplePos x="0" y="0"/>
          <wp:positionH relativeFrom="column">
            <wp:posOffset>-1079498</wp:posOffset>
          </wp:positionH>
          <wp:positionV relativeFrom="paragraph">
            <wp:posOffset>-443786</wp:posOffset>
          </wp:positionV>
          <wp:extent cx="7809865" cy="10165715"/>
          <wp:effectExtent l="0" t="0" r="0" b="0"/>
          <wp:wrapNone/>
          <wp:docPr id="1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953" w:type="dxa"/>
      <w:tblInd w:w="3261" w:type="dxa"/>
      <w:tblLayout w:type="fixed"/>
      <w:tblLook w:val="0400" w:firstRow="0" w:lastRow="0" w:firstColumn="0" w:lastColumn="0" w:noHBand="0" w:noVBand="1"/>
    </w:tblPr>
    <w:tblGrid>
      <w:gridCol w:w="2489"/>
      <w:gridCol w:w="3464"/>
    </w:tblGrid>
    <w:tr w:rsidR="00F629EB" w14:paraId="56A6A710" w14:textId="77777777">
      <w:tc>
        <w:tcPr>
          <w:tcW w:w="2489" w:type="dxa"/>
          <w:shd w:val="clear" w:color="auto" w:fill="auto"/>
        </w:tcPr>
        <w:p w14:paraId="1FFCC70D" w14:textId="77777777" w:rsidR="00F629EB" w:rsidRDefault="000B7C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F6D140A" w14:textId="77777777" w:rsidR="00F629EB" w:rsidRDefault="000B7C8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16804/INFOEM/IP/RR/2022</w:t>
          </w:r>
        </w:p>
      </w:tc>
    </w:tr>
    <w:tr w:rsidR="00F629EB" w14:paraId="4F57F0EB" w14:textId="77777777">
      <w:trPr>
        <w:trHeight w:val="228"/>
      </w:trPr>
      <w:tc>
        <w:tcPr>
          <w:tcW w:w="2489" w:type="dxa"/>
          <w:shd w:val="clear" w:color="auto" w:fill="auto"/>
          <w:vAlign w:val="center"/>
        </w:tcPr>
        <w:p w14:paraId="5263EC13" w14:textId="77777777" w:rsidR="00F629EB" w:rsidRDefault="000B7C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E6477E2" w14:textId="77777777" w:rsidR="00F629EB" w:rsidRDefault="000B7C8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F629EB" w14:paraId="4847CCFB" w14:textId="77777777">
      <w:tc>
        <w:tcPr>
          <w:tcW w:w="2489" w:type="dxa"/>
          <w:shd w:val="clear" w:color="auto" w:fill="auto"/>
          <w:vAlign w:val="center"/>
        </w:tcPr>
        <w:p w14:paraId="7BC23CB6" w14:textId="77777777" w:rsidR="00F629EB" w:rsidRDefault="000B7C8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5A00E0C" w14:textId="77777777" w:rsidR="00F629EB" w:rsidRDefault="000B7C8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8FA53C" w14:textId="77777777" w:rsidR="00F629EB" w:rsidRDefault="000B7C8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FBD4" w14:textId="77777777" w:rsidR="00F629EB" w:rsidRDefault="000B7C8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E3C2132" wp14:editId="23D24319">
          <wp:simplePos x="0" y="0"/>
          <wp:positionH relativeFrom="column">
            <wp:posOffset>-1089023</wp:posOffset>
          </wp:positionH>
          <wp:positionV relativeFrom="paragraph">
            <wp:posOffset>-433371</wp:posOffset>
          </wp:positionV>
          <wp:extent cx="7809865" cy="10165715"/>
          <wp:effectExtent l="0" t="0" r="0" b="0"/>
          <wp:wrapNone/>
          <wp:docPr id="1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5670" w:type="dxa"/>
      <w:tblInd w:w="3261" w:type="dxa"/>
      <w:tblLayout w:type="fixed"/>
      <w:tblLook w:val="0400" w:firstRow="0" w:lastRow="0" w:firstColumn="0" w:lastColumn="0" w:noHBand="0" w:noVBand="1"/>
    </w:tblPr>
    <w:tblGrid>
      <w:gridCol w:w="2551"/>
      <w:gridCol w:w="3119"/>
    </w:tblGrid>
    <w:tr w:rsidR="00F629EB" w14:paraId="08A76C13" w14:textId="77777777">
      <w:tc>
        <w:tcPr>
          <w:tcW w:w="2551" w:type="dxa"/>
          <w:shd w:val="clear" w:color="auto" w:fill="auto"/>
          <w:vAlign w:val="center"/>
        </w:tcPr>
        <w:p w14:paraId="5D1DA95D" w14:textId="77777777" w:rsidR="00F629EB" w:rsidRDefault="000B7C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5F73B36" w14:textId="77777777" w:rsidR="00F629EB" w:rsidRDefault="000B7C8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16804/INFOEM/IP/RR/2022</w:t>
          </w:r>
        </w:p>
      </w:tc>
    </w:tr>
    <w:tr w:rsidR="00F629EB" w14:paraId="40711550" w14:textId="77777777">
      <w:trPr>
        <w:trHeight w:val="130"/>
      </w:trPr>
      <w:tc>
        <w:tcPr>
          <w:tcW w:w="2551" w:type="dxa"/>
          <w:shd w:val="clear" w:color="auto" w:fill="auto"/>
          <w:vAlign w:val="center"/>
        </w:tcPr>
        <w:p w14:paraId="19E9C622" w14:textId="77777777" w:rsidR="00F629EB" w:rsidRDefault="000B7C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862C6CA" w14:textId="529F16E1" w:rsidR="00F629EB" w:rsidRDefault="00D87788">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w:t>
          </w:r>
          <w:r w:rsidR="000B7C87">
            <w:rPr>
              <w:rFonts w:ascii="Palatino Linotype" w:eastAsia="Palatino Linotype" w:hAnsi="Palatino Linotype" w:cs="Palatino Linotype"/>
              <w:b/>
              <w:sz w:val="22"/>
              <w:szCs w:val="22"/>
            </w:rPr>
            <w:t xml:space="preserve"> </w:t>
          </w:r>
        </w:p>
      </w:tc>
    </w:tr>
    <w:tr w:rsidR="00F629EB" w14:paraId="60E3DB9C" w14:textId="77777777">
      <w:trPr>
        <w:trHeight w:val="228"/>
      </w:trPr>
      <w:tc>
        <w:tcPr>
          <w:tcW w:w="2551" w:type="dxa"/>
          <w:shd w:val="clear" w:color="auto" w:fill="auto"/>
          <w:vAlign w:val="center"/>
        </w:tcPr>
        <w:p w14:paraId="4D4B8769" w14:textId="77777777" w:rsidR="00F629EB" w:rsidRDefault="000B7C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596AFD1" w14:textId="77777777" w:rsidR="00F629EB" w:rsidRDefault="000B7C8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F629EB" w14:paraId="08F9B37F" w14:textId="77777777">
      <w:tc>
        <w:tcPr>
          <w:tcW w:w="2551" w:type="dxa"/>
          <w:shd w:val="clear" w:color="auto" w:fill="auto"/>
          <w:vAlign w:val="center"/>
        </w:tcPr>
        <w:p w14:paraId="206CE516" w14:textId="77777777" w:rsidR="00F629EB" w:rsidRDefault="000B7C8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C9D48AC" w14:textId="77777777" w:rsidR="00F629EB" w:rsidRDefault="000B7C8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E67CDC6" w14:textId="77777777" w:rsidR="00F629EB" w:rsidRDefault="00F629E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83201"/>
    <w:multiLevelType w:val="multilevel"/>
    <w:tmpl w:val="3F6A51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525511A"/>
    <w:multiLevelType w:val="multilevel"/>
    <w:tmpl w:val="0C521008"/>
    <w:lvl w:ilvl="0">
      <w:start w:val="3"/>
      <w:numFmt w:val="upperRoman"/>
      <w:lvlText w:val="%1."/>
      <w:lvlJc w:val="right"/>
      <w:pPr>
        <w:ind w:left="158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7076A7"/>
    <w:multiLevelType w:val="multilevel"/>
    <w:tmpl w:val="882EBBD6"/>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7B60EC"/>
    <w:multiLevelType w:val="multilevel"/>
    <w:tmpl w:val="2F7E50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933E04"/>
    <w:multiLevelType w:val="multilevel"/>
    <w:tmpl w:val="DF404AC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5923607D"/>
    <w:multiLevelType w:val="multilevel"/>
    <w:tmpl w:val="E00CB534"/>
    <w:lvl w:ilvl="0">
      <w:start w:val="1"/>
      <w:numFmt w:val="decimal"/>
      <w:pStyle w:val="Listaconvietas2"/>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893A66"/>
    <w:multiLevelType w:val="multilevel"/>
    <w:tmpl w:val="2D6CD6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2"/>
  </w:num>
  <w:num w:numId="3">
    <w:abstractNumId w:val="5"/>
  </w:num>
  <w:num w:numId="4">
    <w:abstractNumId w:val="1"/>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9EB"/>
    <w:rsid w:val="000B7C87"/>
    <w:rsid w:val="00266A1E"/>
    <w:rsid w:val="00377F92"/>
    <w:rsid w:val="00BF08CE"/>
    <w:rsid w:val="00D87788"/>
    <w:rsid w:val="00F629EB"/>
    <w:rsid w:val="00F87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6EC4A"/>
  <w15:docId w15:val="{C8813824-6B0D-42DA-A286-9D7B7807B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numPr>
        <w:numId w:val="3"/>
      </w:numPr>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a">
    <w:basedOn w:val="TableNormal9"/>
    <w:tblPr>
      <w:tblStyleRowBandSize w:val="1"/>
      <w:tblStyleColBandSize w:val="1"/>
      <w:tblCellMar>
        <w:left w:w="115" w:type="dxa"/>
        <w:right w:w="115" w:type="dxa"/>
      </w:tblCellMar>
    </w:tblPr>
  </w:style>
  <w:style w:type="table" w:customStyle="1" w:styleId="a0">
    <w:basedOn w:val="TableNormal9"/>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table" w:customStyle="1" w:styleId="a9">
    <w:basedOn w:val="TableNormal6"/>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paragraph" w:styleId="Cita">
    <w:name w:val="Quote"/>
    <w:basedOn w:val="Normal"/>
    <w:next w:val="Normal"/>
    <w:link w:val="CitaCar"/>
    <w:uiPriority w:val="29"/>
    <w:qFormat/>
    <w:rsid w:val="0021391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1391B"/>
    <w:rPr>
      <w:i/>
      <w:iCs/>
      <w:color w:val="404040" w:themeColor="text1" w:themeTint="BF"/>
    </w:r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s-la.facebook.com/H.AyuntamientoDetoluca/"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s-la.facebook.com/H.AyuntamientoDetoluc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3/psRoGFi7v2WGOe11YaBr6F9A==">CgMxLjAyCGguZ2pkZ3hzMgloLjMwajB6bGwyCWguMnM4ZXlvMTIJaC4zem55c2g3MgloLjJldDkycDAyCWguMWZvYjl0ZTIJaC40ZDM0b2c4MghoLnR5amN3dDIJaC4zZHk2dmttOAByITFMT2JEZm9DRldRVjVWWVV2UnBOOWlOVWN0NS00ZmhSTQ==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10198</Words>
  <Characters>56095</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2023-06-02T18:05:00Z</cp:lastPrinted>
  <dcterms:created xsi:type="dcterms:W3CDTF">2023-06-07T01:05:00Z</dcterms:created>
  <dcterms:modified xsi:type="dcterms:W3CDTF">2023-06-07T01:05:00Z</dcterms:modified>
</cp:coreProperties>
</file>