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CD6D2" w14:textId="77777777" w:rsidR="00954120" w:rsidRPr="006936E0" w:rsidRDefault="003A2877">
      <w:pPr>
        <w:spacing w:before="240" w:after="240" w:line="360" w:lineRule="auto"/>
        <w:jc w:val="both"/>
        <w:rPr>
          <w:rFonts w:ascii="Palatino Linotype" w:eastAsia="Palatino Linotype" w:hAnsi="Palatino Linotype" w:cs="Palatino Linotype"/>
          <w:b/>
        </w:rPr>
      </w:pPr>
      <w:bookmarkStart w:id="0" w:name="_heading=h.gjdgxs" w:colFirst="0" w:colLast="0"/>
      <w:bookmarkEnd w:id="0"/>
      <w:r w:rsidRPr="006936E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6936E0">
        <w:rPr>
          <w:rFonts w:ascii="Palatino Linotype" w:eastAsia="Palatino Linotype" w:hAnsi="Palatino Linotype" w:cs="Palatino Linotype"/>
          <w:b/>
        </w:rPr>
        <w:t>primero de febrero del dos mil veintitrés.</w:t>
      </w:r>
    </w:p>
    <w:p w14:paraId="1DC9F096" w14:textId="77777777" w:rsidR="00954120" w:rsidRPr="006936E0" w:rsidRDefault="003A2877">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6936E0">
        <w:rPr>
          <w:rFonts w:ascii="Palatino Linotype" w:eastAsia="Palatino Linotype" w:hAnsi="Palatino Linotype" w:cs="Palatino Linotype"/>
          <w:b/>
        </w:rPr>
        <w:t xml:space="preserve">Visto </w:t>
      </w:r>
      <w:r w:rsidRPr="006936E0">
        <w:rPr>
          <w:rFonts w:ascii="Palatino Linotype" w:eastAsia="Palatino Linotype" w:hAnsi="Palatino Linotype" w:cs="Palatino Linotype"/>
        </w:rPr>
        <w:t xml:space="preserve">el expediente relativo al recurso de revisión </w:t>
      </w:r>
      <w:r w:rsidRPr="006936E0">
        <w:rPr>
          <w:rFonts w:ascii="Palatino Linotype" w:eastAsia="Palatino Linotype" w:hAnsi="Palatino Linotype" w:cs="Palatino Linotype"/>
          <w:b/>
        </w:rPr>
        <w:t>11274/INFOEM/ICR-78/IP/RR/2022</w:t>
      </w:r>
      <w:r w:rsidRPr="006936E0">
        <w:rPr>
          <w:rFonts w:ascii="Palatino Linotype" w:eastAsia="Palatino Linotype" w:hAnsi="Palatino Linotype" w:cs="Palatino Linotype"/>
        </w:rPr>
        <w:t xml:space="preserve">, interpuesto por un </w:t>
      </w:r>
      <w:r w:rsidRPr="006936E0">
        <w:rPr>
          <w:rFonts w:ascii="Palatino Linotype" w:eastAsia="Palatino Linotype" w:hAnsi="Palatino Linotype" w:cs="Palatino Linotype"/>
          <w:b/>
        </w:rPr>
        <w:t>particular de manera anónima,</w:t>
      </w:r>
      <w:r w:rsidRPr="006936E0">
        <w:rPr>
          <w:rFonts w:ascii="Palatino Linotype" w:eastAsia="Palatino Linotype" w:hAnsi="Palatino Linotype" w:cs="Palatino Linotype"/>
        </w:rPr>
        <w:t xml:space="preserve"> en lo sucesivo la </w:t>
      </w:r>
      <w:r w:rsidRPr="006936E0">
        <w:rPr>
          <w:rFonts w:ascii="Palatino Linotype" w:eastAsia="Palatino Linotype" w:hAnsi="Palatino Linotype" w:cs="Palatino Linotype"/>
          <w:b/>
        </w:rPr>
        <w:t>parte Recurrente</w:t>
      </w:r>
      <w:r w:rsidRPr="006936E0">
        <w:rPr>
          <w:rFonts w:ascii="Palatino Linotype" w:eastAsia="Palatino Linotype" w:hAnsi="Palatino Linotype" w:cs="Palatino Linotype"/>
        </w:rPr>
        <w:t xml:space="preserve">, en contra de la falta de respuesta a la solicitud de información con número de folio </w:t>
      </w:r>
      <w:r w:rsidRPr="006936E0">
        <w:rPr>
          <w:rFonts w:ascii="Palatino Linotype" w:eastAsia="Palatino Linotype" w:hAnsi="Palatino Linotype" w:cs="Palatino Linotype"/>
          <w:b/>
        </w:rPr>
        <w:t>03354/METEPEC/IP/2022,</w:t>
      </w:r>
      <w:r w:rsidRPr="006936E0">
        <w:rPr>
          <w:rFonts w:ascii="Palatino Linotype" w:eastAsia="Palatino Linotype" w:hAnsi="Palatino Linotype" w:cs="Palatino Linotype"/>
        </w:rPr>
        <w:t xml:space="preserve"> por parte de </w:t>
      </w:r>
      <w:r w:rsidRPr="006936E0">
        <w:rPr>
          <w:rFonts w:ascii="Palatino Linotype" w:eastAsia="Palatino Linotype" w:hAnsi="Palatino Linotype" w:cs="Palatino Linotype"/>
          <w:b/>
        </w:rPr>
        <w:t>Ayuntamiento de Metepec</w:t>
      </w:r>
      <w:r w:rsidRPr="006936E0">
        <w:rPr>
          <w:rFonts w:ascii="Palatino Linotype" w:eastAsia="Palatino Linotype" w:hAnsi="Palatino Linotype" w:cs="Palatino Linotype"/>
        </w:rPr>
        <w:t xml:space="preserve">, en lo sucesivo el </w:t>
      </w:r>
      <w:r w:rsidRPr="006936E0">
        <w:rPr>
          <w:rFonts w:ascii="Palatino Linotype" w:eastAsia="Palatino Linotype" w:hAnsi="Palatino Linotype" w:cs="Palatino Linotype"/>
          <w:b/>
        </w:rPr>
        <w:t xml:space="preserve">Sujeto Obligado; </w:t>
      </w:r>
      <w:r w:rsidRPr="006936E0">
        <w:rPr>
          <w:rFonts w:ascii="Palatino Linotype" w:eastAsia="Palatino Linotype" w:hAnsi="Palatino Linotype" w:cs="Palatino Linotype"/>
        </w:rPr>
        <w:t xml:space="preserve">se procede a dictar la presente resolución, con base en lo siguiente. </w:t>
      </w:r>
    </w:p>
    <w:p w14:paraId="671F6A1B" w14:textId="77777777" w:rsidR="00954120" w:rsidRPr="006936E0" w:rsidRDefault="003A287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936E0">
        <w:rPr>
          <w:rFonts w:ascii="Palatino Linotype" w:eastAsia="Palatino Linotype" w:hAnsi="Palatino Linotype" w:cs="Palatino Linotype"/>
          <w:b/>
        </w:rPr>
        <w:t>I. A N T E C E D E N T E S</w:t>
      </w:r>
    </w:p>
    <w:p w14:paraId="3B366FD1"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 xml:space="preserve">1. Solicitud de acceso a la información. </w:t>
      </w:r>
      <w:r w:rsidRPr="006936E0">
        <w:rPr>
          <w:rFonts w:ascii="Palatino Linotype" w:eastAsia="Palatino Linotype" w:hAnsi="Palatino Linotype" w:cs="Palatino Linotype"/>
        </w:rPr>
        <w:t xml:space="preserve">El </w:t>
      </w:r>
      <w:r w:rsidRPr="006936E0">
        <w:rPr>
          <w:rFonts w:ascii="Palatino Linotype" w:eastAsia="Palatino Linotype" w:hAnsi="Palatino Linotype" w:cs="Palatino Linotype"/>
          <w:b/>
        </w:rPr>
        <w:t>dos de mayo de dos mil veintidós</w:t>
      </w:r>
      <w:r w:rsidRPr="006936E0">
        <w:rPr>
          <w:rFonts w:ascii="Palatino Linotype" w:eastAsia="Palatino Linotype" w:hAnsi="Palatino Linotype" w:cs="Palatino Linotype"/>
        </w:rPr>
        <w:t xml:space="preserve">, la </w:t>
      </w:r>
      <w:r w:rsidRPr="006936E0">
        <w:rPr>
          <w:rFonts w:ascii="Palatino Linotype" w:eastAsia="Palatino Linotype" w:hAnsi="Palatino Linotype" w:cs="Palatino Linotype"/>
          <w:b/>
        </w:rPr>
        <w:t>parte Recurrente</w:t>
      </w:r>
      <w:r w:rsidRPr="006936E0">
        <w:rPr>
          <w:rFonts w:ascii="Palatino Linotype" w:eastAsia="Palatino Linotype" w:hAnsi="Palatino Linotype" w:cs="Palatino Linotype"/>
        </w:rPr>
        <w:t xml:space="preserve"> formuló su solicitud de acceso a información pública al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a través del Sistema de Acceso a la Información Mexiquense, en adelante </w:t>
      </w:r>
      <w:r w:rsidRPr="006936E0">
        <w:rPr>
          <w:rFonts w:ascii="Palatino Linotype" w:eastAsia="Palatino Linotype" w:hAnsi="Palatino Linotype" w:cs="Palatino Linotype"/>
          <w:b/>
        </w:rPr>
        <w:t>SAIMEX,</w:t>
      </w:r>
      <w:r w:rsidRPr="006936E0">
        <w:rPr>
          <w:rFonts w:ascii="Palatino Linotype" w:eastAsia="Palatino Linotype" w:hAnsi="Palatino Linotype" w:cs="Palatino Linotype"/>
        </w:rPr>
        <w:t xml:space="preserve"> requiriendo lo siguiente:</w:t>
      </w:r>
    </w:p>
    <w:p w14:paraId="326C6EE2" w14:textId="77777777" w:rsidR="00954120" w:rsidRPr="006936E0" w:rsidRDefault="003A2877">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xml:space="preserve">“se solicita el </w:t>
      </w:r>
      <w:proofErr w:type="spellStart"/>
      <w:r w:rsidRPr="006936E0">
        <w:rPr>
          <w:rFonts w:ascii="Palatino Linotype" w:eastAsia="Palatino Linotype" w:hAnsi="Palatino Linotype" w:cs="Palatino Linotype"/>
          <w:i/>
          <w:sz w:val="22"/>
          <w:szCs w:val="22"/>
        </w:rPr>
        <w:t>padron</w:t>
      </w:r>
      <w:proofErr w:type="spellEnd"/>
      <w:r w:rsidRPr="006936E0">
        <w:rPr>
          <w:rFonts w:ascii="Palatino Linotype" w:eastAsia="Palatino Linotype" w:hAnsi="Palatino Linotype" w:cs="Palatino Linotype"/>
          <w:i/>
          <w:sz w:val="22"/>
          <w:szCs w:val="22"/>
        </w:rPr>
        <w:t xml:space="preserve"> catastral” (Sic)</w:t>
      </w:r>
    </w:p>
    <w:p w14:paraId="04E6924C"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 xml:space="preserve">Modalidad elegida para la entrega de la información: </w:t>
      </w:r>
      <w:r w:rsidRPr="006936E0">
        <w:rPr>
          <w:rFonts w:ascii="Palatino Linotype" w:eastAsia="Palatino Linotype" w:hAnsi="Palatino Linotype" w:cs="Palatino Linotype"/>
        </w:rPr>
        <w:t>a través del SAIMEX.</w:t>
      </w:r>
    </w:p>
    <w:p w14:paraId="1C8717F2"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 xml:space="preserve">2. </w:t>
      </w:r>
      <w:r w:rsidRPr="006936E0">
        <w:rPr>
          <w:rFonts w:ascii="Palatino Linotype" w:eastAsia="Palatino Linotype" w:hAnsi="Palatino Linotype" w:cs="Palatino Linotype"/>
        </w:rPr>
        <w:t xml:space="preserve"> </w:t>
      </w:r>
      <w:r w:rsidRPr="006936E0">
        <w:rPr>
          <w:rFonts w:ascii="Palatino Linotype" w:eastAsia="Palatino Linotype" w:hAnsi="Palatino Linotype" w:cs="Palatino Linotype"/>
          <w:b/>
        </w:rPr>
        <w:t>Prórroga.</w:t>
      </w:r>
      <w:r w:rsidRPr="006936E0">
        <w:rPr>
          <w:rFonts w:ascii="Palatino Linotype" w:eastAsia="Palatino Linotype" w:hAnsi="Palatino Linotype" w:cs="Palatino Linotype"/>
        </w:rPr>
        <w:t xml:space="preserve"> El </w:t>
      </w:r>
      <w:r w:rsidRPr="006936E0">
        <w:rPr>
          <w:rFonts w:ascii="Palatino Linotype" w:eastAsia="Palatino Linotype" w:hAnsi="Palatino Linotype" w:cs="Palatino Linotype"/>
          <w:b/>
        </w:rPr>
        <w:t xml:space="preserve">veinticuatro de mayo de dos mil veintidós, </w:t>
      </w:r>
      <w:r w:rsidRPr="006936E0">
        <w:rPr>
          <w:rFonts w:ascii="Palatino Linotype" w:eastAsia="Palatino Linotype" w:hAnsi="Palatino Linotype" w:cs="Palatino Linotype"/>
        </w:rPr>
        <w:t xml:space="preserve">el </w:t>
      </w:r>
      <w:r w:rsidRPr="006936E0">
        <w:rPr>
          <w:rFonts w:ascii="Palatino Linotype" w:eastAsia="Palatino Linotype" w:hAnsi="Palatino Linotype" w:cs="Palatino Linotype"/>
          <w:b/>
        </w:rPr>
        <w:t xml:space="preserve">Sujeto Obligado </w:t>
      </w:r>
      <w:r w:rsidRPr="006936E0">
        <w:rPr>
          <w:rFonts w:ascii="Palatino Linotype" w:eastAsia="Palatino Linotype" w:hAnsi="Palatino Linotype" w:cs="Palatino Linotype"/>
        </w:rPr>
        <w:t xml:space="preserve">notificó al particular, la prórroga para atender la solicitud de información, esto mediante el Acta de la Cuarta Sesión Extraordinaria, celebrada el 12 de mayo de 2022, medularmente en los siguientes términos: </w:t>
      </w:r>
    </w:p>
    <w:p w14:paraId="05AE6A72" w14:textId="77777777" w:rsidR="00954120" w:rsidRPr="006936E0" w:rsidRDefault="003A2877">
      <w:pPr>
        <w:spacing w:before="240" w:after="240"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F364E7D" w14:textId="77777777" w:rsidR="00954120" w:rsidRPr="006936E0" w:rsidRDefault="003A2877">
      <w:pPr>
        <w:spacing w:before="240" w:after="240"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METEPEC, ESTADO DE MEXICO, MAYO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cuarta sesión extraordinaria de fecha 12 de mayo de 2022 Por lo anterior, se adjunta el acta del comité No CT/MET/EXT-04//2022. Sin más por el momento quedo a sus órdenes. ATENTAMENTE L.F.B. GERARDO ARTURO OZUNA MARTÍNEZ TITULAR DE LA UNIDAD DE TRANSPARENCIA</w:t>
      </w:r>
    </w:p>
    <w:p w14:paraId="316DD84B" w14:textId="77777777" w:rsidR="00954120" w:rsidRPr="006936E0" w:rsidRDefault="003A2877">
      <w:pPr>
        <w:spacing w:before="240" w:after="240"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Lic. Gerardo Arturo Ozuna Martínez</w:t>
      </w:r>
    </w:p>
    <w:p w14:paraId="5E0F88A4" w14:textId="77777777" w:rsidR="00954120" w:rsidRPr="006936E0" w:rsidRDefault="003A2877">
      <w:pPr>
        <w:spacing w:before="240" w:after="240"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xml:space="preserve">Responsable de la Unidad de Transparencia” (Sic) </w:t>
      </w:r>
    </w:p>
    <w:p w14:paraId="14F9DBCA" w14:textId="77777777" w:rsidR="00954120" w:rsidRPr="006936E0" w:rsidRDefault="003A2877">
      <w:pPr>
        <w:spacing w:before="240" w:after="240" w:line="276" w:lineRule="auto"/>
        <w:ind w:left="567" w:right="851"/>
        <w:jc w:val="both"/>
        <w:rPr>
          <w:rFonts w:ascii="Palatino Linotype" w:eastAsia="Palatino Linotype" w:hAnsi="Palatino Linotype" w:cs="Palatino Linotype"/>
          <w:b/>
          <w:sz w:val="22"/>
          <w:szCs w:val="22"/>
        </w:rPr>
      </w:pPr>
      <w:r w:rsidRPr="006936E0">
        <w:rPr>
          <w:rFonts w:ascii="Palatino Linotype" w:eastAsia="Palatino Linotype" w:hAnsi="Palatino Linotype" w:cs="Palatino Linotype"/>
          <w:b/>
          <w:sz w:val="22"/>
          <w:szCs w:val="22"/>
        </w:rPr>
        <w:t xml:space="preserve">Archivos adjuntos: </w:t>
      </w:r>
    </w:p>
    <w:p w14:paraId="5071908D" w14:textId="77777777" w:rsidR="00954120" w:rsidRPr="006936E0" w:rsidRDefault="003A2877">
      <w:pPr>
        <w:spacing w:before="240" w:after="240" w:line="360" w:lineRule="auto"/>
        <w:ind w:left="567" w:right="851"/>
        <w:jc w:val="both"/>
        <w:rPr>
          <w:rFonts w:ascii="Palatino Linotype" w:eastAsia="Palatino Linotype" w:hAnsi="Palatino Linotype" w:cs="Palatino Linotype"/>
        </w:rPr>
      </w:pPr>
      <w:r w:rsidRPr="006936E0">
        <w:rPr>
          <w:rFonts w:ascii="Palatino Linotype" w:eastAsia="Palatino Linotype" w:hAnsi="Palatino Linotype" w:cs="Palatino Linotype"/>
          <w:b/>
          <w:i/>
          <w:sz w:val="22"/>
          <w:szCs w:val="22"/>
        </w:rPr>
        <w:t xml:space="preserve">“Acta04-EXT.2022.PDF”: </w:t>
      </w:r>
      <w:r w:rsidRPr="006936E0">
        <w:rPr>
          <w:rFonts w:ascii="Palatino Linotype" w:eastAsia="Palatino Linotype" w:hAnsi="Palatino Linotype" w:cs="Palatino Linotype"/>
        </w:rPr>
        <w:t xml:space="preserve">Documento de ocho fojas, en el que se aprecia el Acta de la Cuarta Sesión Extraordinaria, celebrada el 12 de mayo de 2022, se inserta la primera foja para referencia. </w:t>
      </w:r>
    </w:p>
    <w:p w14:paraId="2FC34598" w14:textId="77777777" w:rsidR="00954120" w:rsidRPr="006936E0" w:rsidRDefault="003A2877">
      <w:pPr>
        <w:spacing w:before="240" w:after="240" w:line="276" w:lineRule="auto"/>
        <w:ind w:left="567" w:right="851"/>
        <w:jc w:val="both"/>
        <w:rPr>
          <w:rFonts w:ascii="Palatino Linotype" w:eastAsia="Palatino Linotype" w:hAnsi="Palatino Linotype" w:cs="Palatino Linotype"/>
          <w:sz w:val="22"/>
          <w:szCs w:val="22"/>
        </w:rPr>
      </w:pPr>
      <w:r w:rsidRPr="006936E0">
        <w:rPr>
          <w:rFonts w:ascii="Palatino Linotype" w:eastAsia="Palatino Linotype" w:hAnsi="Palatino Linotype" w:cs="Palatino Linotype"/>
          <w:noProof/>
          <w:sz w:val="22"/>
          <w:szCs w:val="22"/>
          <w:lang w:eastAsia="es-MX"/>
        </w:rPr>
        <w:lastRenderedPageBreak/>
        <w:drawing>
          <wp:inline distT="0" distB="0" distL="0" distR="0" wp14:anchorId="0B494982" wp14:editId="1595ACBD">
            <wp:extent cx="5258534" cy="7049484"/>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58534" cy="7049484"/>
                    </a:xfrm>
                    <a:prstGeom prst="rect">
                      <a:avLst/>
                    </a:prstGeom>
                    <a:ln/>
                  </pic:spPr>
                </pic:pic>
              </a:graphicData>
            </a:graphic>
          </wp:inline>
        </w:drawing>
      </w:r>
    </w:p>
    <w:p w14:paraId="71519FEC"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lastRenderedPageBreak/>
        <w:t xml:space="preserve">3. Respuesta. </w:t>
      </w:r>
      <w:r w:rsidRPr="006936E0">
        <w:rPr>
          <w:rFonts w:ascii="Palatino Linotype" w:eastAsia="Palatino Linotype" w:hAnsi="Palatino Linotype" w:cs="Palatino Linotype"/>
        </w:rPr>
        <w:t xml:space="preserve">De las constancias que obran en SAIMEX, se observa que 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no emitió respuesta a la solicitud de información formulada por la parte </w:t>
      </w:r>
      <w:r w:rsidRPr="006936E0">
        <w:rPr>
          <w:rFonts w:ascii="Palatino Linotype" w:eastAsia="Palatino Linotype" w:hAnsi="Palatino Linotype" w:cs="Palatino Linotype"/>
          <w:b/>
        </w:rPr>
        <w:t>Recurrente.</w:t>
      </w:r>
    </w:p>
    <w:p w14:paraId="63711A6B"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 xml:space="preserve">4. Interposición del recurso de revisión. </w:t>
      </w:r>
      <w:r w:rsidRPr="006936E0">
        <w:rPr>
          <w:rFonts w:ascii="Palatino Linotype" w:eastAsia="Palatino Linotype" w:hAnsi="Palatino Linotype" w:cs="Palatino Linotype"/>
        </w:rPr>
        <w:t xml:space="preserve">Inconforme la parte solicitante con la falta de respuesta del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interpuso recurso de revisión a través de SAIMEX en fecha </w:t>
      </w:r>
      <w:r w:rsidRPr="006936E0">
        <w:rPr>
          <w:rFonts w:ascii="Palatino Linotype" w:eastAsia="Palatino Linotype" w:hAnsi="Palatino Linotype" w:cs="Palatino Linotype"/>
          <w:b/>
        </w:rPr>
        <w:t>trece de junio dos mil veintidós</w:t>
      </w:r>
      <w:r w:rsidRPr="006936E0">
        <w:rPr>
          <w:rFonts w:ascii="Palatino Linotype" w:eastAsia="Palatino Linotype" w:hAnsi="Palatino Linotype" w:cs="Palatino Linotype"/>
        </w:rPr>
        <w:t>, expresando lo siguiente:</w:t>
      </w:r>
    </w:p>
    <w:p w14:paraId="050F541D" w14:textId="77777777" w:rsidR="00954120" w:rsidRPr="006936E0" w:rsidRDefault="003A2877">
      <w:pPr>
        <w:spacing w:line="360" w:lineRule="auto"/>
        <w:rPr>
          <w:rFonts w:ascii="Palatino Linotype" w:eastAsia="Palatino Linotype" w:hAnsi="Palatino Linotype" w:cs="Palatino Linotype"/>
          <w:b/>
        </w:rPr>
      </w:pPr>
      <w:r w:rsidRPr="006936E0">
        <w:rPr>
          <w:rFonts w:ascii="Palatino Linotype" w:eastAsia="Palatino Linotype" w:hAnsi="Palatino Linotype" w:cs="Palatino Linotype"/>
          <w:b/>
        </w:rPr>
        <w:t>a) Acto impugnado.</w:t>
      </w:r>
    </w:p>
    <w:p w14:paraId="381A9CD3" w14:textId="77777777" w:rsidR="00954120" w:rsidRPr="006936E0" w:rsidRDefault="003A2877">
      <w:pPr>
        <w:pBdr>
          <w:top w:val="nil"/>
          <w:left w:val="nil"/>
          <w:bottom w:val="nil"/>
          <w:right w:val="nil"/>
          <w:between w:val="nil"/>
        </w:pBdr>
        <w:spacing w:before="240" w:after="240"/>
        <w:ind w:left="851" w:right="900"/>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“Falta de respuesta” (Sic)</w:t>
      </w:r>
    </w:p>
    <w:p w14:paraId="6FFF1EA5" w14:textId="77777777" w:rsidR="00954120" w:rsidRPr="006936E0" w:rsidRDefault="003A2877">
      <w:pPr>
        <w:spacing w:line="360" w:lineRule="auto"/>
        <w:jc w:val="both"/>
        <w:rPr>
          <w:rFonts w:ascii="Palatino Linotype" w:eastAsia="Palatino Linotype" w:hAnsi="Palatino Linotype" w:cs="Palatino Linotype"/>
          <w:b/>
        </w:rPr>
      </w:pPr>
      <w:r w:rsidRPr="006936E0">
        <w:rPr>
          <w:rFonts w:ascii="Palatino Linotype" w:eastAsia="Palatino Linotype" w:hAnsi="Palatino Linotype" w:cs="Palatino Linotype"/>
          <w:b/>
        </w:rPr>
        <w:t>b) Motivos de inconformidad.</w:t>
      </w:r>
    </w:p>
    <w:p w14:paraId="29479189" w14:textId="77777777" w:rsidR="00954120" w:rsidRPr="006936E0" w:rsidRDefault="003A2877">
      <w:pPr>
        <w:pBdr>
          <w:top w:val="nil"/>
          <w:left w:val="nil"/>
          <w:bottom w:val="nil"/>
          <w:right w:val="nil"/>
          <w:between w:val="nil"/>
        </w:pBdr>
        <w:spacing w:before="240" w:after="240"/>
        <w:ind w:left="851" w:right="900"/>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“Falta de respuesta” (Sic)</w:t>
      </w:r>
    </w:p>
    <w:p w14:paraId="39A6F655" w14:textId="77777777" w:rsidR="00954120" w:rsidRPr="006936E0" w:rsidRDefault="003A2877">
      <w:pPr>
        <w:spacing w:line="360" w:lineRule="auto"/>
        <w:jc w:val="both"/>
        <w:rPr>
          <w:rFonts w:ascii="Palatino Linotype" w:eastAsia="Palatino Linotype" w:hAnsi="Palatino Linotype" w:cs="Palatino Linotype"/>
          <w:b/>
        </w:rPr>
      </w:pPr>
      <w:r w:rsidRPr="006936E0">
        <w:rPr>
          <w:rFonts w:ascii="Palatino Linotype" w:eastAsia="Palatino Linotype" w:hAnsi="Palatino Linotype" w:cs="Palatino Linotype"/>
          <w:b/>
        </w:rPr>
        <w:t>5.  Trámite del Recurso de Revisión ante el Instituto.</w:t>
      </w:r>
    </w:p>
    <w:p w14:paraId="5544F23F" w14:textId="77777777" w:rsidR="00954120" w:rsidRPr="006936E0" w:rsidRDefault="003A2877">
      <w:pPr>
        <w:spacing w:before="240" w:after="240" w:line="360" w:lineRule="auto"/>
        <w:jc w:val="both"/>
        <w:rPr>
          <w:rFonts w:ascii="Palatino Linotype" w:eastAsia="Palatino Linotype" w:hAnsi="Palatino Linotype" w:cs="Palatino Linotype"/>
          <w:b/>
        </w:rPr>
      </w:pPr>
      <w:r w:rsidRPr="006936E0">
        <w:rPr>
          <w:rFonts w:ascii="Palatino Linotype" w:eastAsia="Palatino Linotype" w:hAnsi="Palatino Linotype" w:cs="Palatino Linotype"/>
          <w:b/>
        </w:rPr>
        <w:t xml:space="preserve">a. Turno. </w:t>
      </w:r>
      <w:r w:rsidRPr="006936E0">
        <w:rPr>
          <w:rFonts w:ascii="Palatino Linotype" w:eastAsia="Palatino Linotype" w:hAnsi="Palatino Linotype" w:cs="Palatino Linotype"/>
        </w:rPr>
        <w:t xml:space="preserve">De conformidad con el artículo 185 Fracción I de la Ley Transparencia y Acceso a la Información Pública, el recurso de revisión número </w:t>
      </w:r>
      <w:r w:rsidRPr="006936E0">
        <w:rPr>
          <w:rFonts w:ascii="Palatino Linotype" w:eastAsia="Palatino Linotype" w:hAnsi="Palatino Linotype" w:cs="Palatino Linotype"/>
          <w:b/>
        </w:rPr>
        <w:t>11274/INFOEM/IP/RR/2022</w:t>
      </w:r>
      <w:r w:rsidRPr="006936E0">
        <w:rPr>
          <w:rFonts w:ascii="Palatino Linotype" w:eastAsia="Palatino Linotype" w:hAnsi="Palatino Linotype" w:cs="Palatino Linotype"/>
        </w:rPr>
        <w:t xml:space="preserve"> fue turnado a la Comisionada Ponente </w:t>
      </w:r>
      <w:r w:rsidRPr="006936E0">
        <w:rPr>
          <w:rFonts w:ascii="Palatino Linotype" w:eastAsia="Palatino Linotype" w:hAnsi="Palatino Linotype" w:cs="Palatino Linotype"/>
          <w:b/>
        </w:rPr>
        <w:t>Guadalupe Ramírez Peña</w:t>
      </w:r>
      <w:r w:rsidRPr="006936E0">
        <w:rPr>
          <w:rFonts w:ascii="Palatino Linotype" w:eastAsia="Palatino Linotype" w:hAnsi="Palatino Linotype" w:cs="Palatino Linotype"/>
        </w:rPr>
        <w:t>; a efecto de presentar al Pleno el proyecto de resolución correspondiente.</w:t>
      </w:r>
    </w:p>
    <w:p w14:paraId="510E2CC8"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 xml:space="preserve">b. Admisión. </w:t>
      </w:r>
      <w:r w:rsidRPr="006936E0">
        <w:rPr>
          <w:rFonts w:ascii="Palatino Linotype" w:eastAsia="Palatino Linotype" w:hAnsi="Palatino Linotype" w:cs="Palatino Linotype"/>
        </w:rPr>
        <w:t xml:space="preserve">El </w:t>
      </w:r>
      <w:r w:rsidRPr="006936E0">
        <w:rPr>
          <w:rFonts w:ascii="Palatino Linotype" w:eastAsia="Palatino Linotype" w:hAnsi="Palatino Linotype" w:cs="Palatino Linotype"/>
          <w:b/>
        </w:rPr>
        <w:t>dieciséis de junio de dos mil veintidós</w:t>
      </w:r>
      <w:r w:rsidRPr="006936E0">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admitió a trámite el recurso de revisión al rubro indicado.</w:t>
      </w:r>
    </w:p>
    <w:p w14:paraId="27D8E2F4"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lastRenderedPageBreak/>
        <w:t xml:space="preserve">c. Manifestaciones. </w:t>
      </w:r>
      <w:r w:rsidRPr="006936E0">
        <w:rPr>
          <w:rFonts w:ascii="Palatino Linotype" w:eastAsia="Palatino Linotype" w:hAnsi="Palatino Linotype" w:cs="Palatino Linotype"/>
        </w:rPr>
        <w:t xml:space="preserve">De las constancias que obran en el expediente electrónico del SAIMEX se desprende que 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no rindió su informe justificado, del mismo modo </w:t>
      </w:r>
      <w:r w:rsidRPr="006936E0">
        <w:rPr>
          <w:rFonts w:ascii="Palatino Linotype" w:eastAsia="Palatino Linotype" w:hAnsi="Palatino Linotype" w:cs="Palatino Linotype"/>
          <w:b/>
        </w:rPr>
        <w:t>la parte</w:t>
      </w:r>
      <w:r w:rsidRPr="006936E0">
        <w:rPr>
          <w:rFonts w:ascii="Palatino Linotype" w:eastAsia="Palatino Linotype" w:hAnsi="Palatino Linotype" w:cs="Palatino Linotype"/>
        </w:rPr>
        <w:t xml:space="preserve"> </w:t>
      </w:r>
      <w:r w:rsidRPr="006936E0">
        <w:rPr>
          <w:rFonts w:ascii="Palatino Linotype" w:eastAsia="Palatino Linotype" w:hAnsi="Palatino Linotype" w:cs="Palatino Linotype"/>
          <w:b/>
        </w:rPr>
        <w:t>Recurrente</w:t>
      </w:r>
      <w:r w:rsidRPr="006936E0">
        <w:rPr>
          <w:rFonts w:ascii="Palatino Linotype" w:eastAsia="Palatino Linotype" w:hAnsi="Palatino Linotype" w:cs="Palatino Linotype"/>
        </w:rPr>
        <w:t xml:space="preserve"> omitió realizar manifestaciones, como se observa a continuación:</w:t>
      </w:r>
    </w:p>
    <w:p w14:paraId="46876C81"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noProof/>
          <w:lang w:eastAsia="es-MX"/>
        </w:rPr>
        <w:drawing>
          <wp:inline distT="0" distB="0" distL="0" distR="0" wp14:anchorId="2A107E17" wp14:editId="55C2115F">
            <wp:extent cx="5612130" cy="1473200"/>
            <wp:effectExtent l="0" t="0" r="0" b="0"/>
            <wp:docPr id="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612130" cy="1473200"/>
                    </a:xfrm>
                    <a:prstGeom prst="rect">
                      <a:avLst/>
                    </a:prstGeom>
                    <a:ln/>
                  </pic:spPr>
                </pic:pic>
              </a:graphicData>
            </a:graphic>
          </wp:inline>
        </w:drawing>
      </w:r>
    </w:p>
    <w:p w14:paraId="545A5DBD"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 xml:space="preserve">d. Cierre de Instrucción. </w:t>
      </w:r>
      <w:r w:rsidRPr="006936E0">
        <w:rPr>
          <w:rFonts w:ascii="Palatino Linotype" w:eastAsia="Palatino Linotype" w:hAnsi="Palatino Linotype" w:cs="Palatino Linotype"/>
        </w:rPr>
        <w:t xml:space="preserve">El </w:t>
      </w:r>
      <w:r w:rsidRPr="006936E0">
        <w:rPr>
          <w:rFonts w:ascii="Palatino Linotype" w:eastAsia="Palatino Linotype" w:hAnsi="Palatino Linotype" w:cs="Palatino Linotype"/>
          <w:b/>
        </w:rPr>
        <w:t>diez de agosto de dos mil veintidós</w:t>
      </w:r>
      <w:r w:rsidRPr="006936E0">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14:paraId="29CB0370" w14:textId="77777777" w:rsidR="00954120" w:rsidRPr="006936E0" w:rsidRDefault="003A2877">
      <w:pPr>
        <w:pBdr>
          <w:top w:val="nil"/>
          <w:left w:val="nil"/>
          <w:bottom w:val="nil"/>
          <w:right w:val="nil"/>
          <w:between w:val="nil"/>
        </w:pBdr>
        <w:spacing w:line="360" w:lineRule="auto"/>
        <w:jc w:val="both"/>
        <w:rPr>
          <w:sz w:val="22"/>
          <w:szCs w:val="22"/>
        </w:rPr>
      </w:pPr>
      <w:r w:rsidRPr="006936E0">
        <w:rPr>
          <w:rFonts w:ascii="Palatino Linotype" w:eastAsia="Palatino Linotype" w:hAnsi="Palatino Linotype" w:cs="Palatino Linotype"/>
          <w:b/>
        </w:rPr>
        <w:t>e. Ampliación del plazo para emitir resolución.</w:t>
      </w:r>
      <w:r w:rsidRPr="006936E0">
        <w:rPr>
          <w:rFonts w:ascii="Palatino Linotype" w:eastAsia="Palatino Linotype" w:hAnsi="Palatino Linotype" w:cs="Palatino Linotype"/>
        </w:rPr>
        <w:t xml:space="preserve"> El </w:t>
      </w:r>
      <w:r w:rsidRPr="006936E0">
        <w:rPr>
          <w:rFonts w:ascii="Palatino Linotype" w:eastAsia="Palatino Linotype" w:hAnsi="Palatino Linotype" w:cs="Palatino Linotype"/>
          <w:b/>
        </w:rPr>
        <w:t>once de agosto de dos mil veintidós</w:t>
      </w:r>
      <w:r w:rsidRPr="006936E0">
        <w:rPr>
          <w:rFonts w:ascii="Palatino Linotype" w:eastAsia="Palatino Linotype" w:hAnsi="Palatino Linotype" w:cs="Palatino Linotype"/>
        </w:rPr>
        <w:t xml:space="preserve">, en términos del párrafo tercero del artículo 181, de la Ley de Transparencia y Acceso a la Información Pública del Estado de México y Municipios, se emitió acuerdo mediante el cual se amplío el plazo para emitir la resolución. </w:t>
      </w:r>
    </w:p>
    <w:p w14:paraId="6C4FA91D" w14:textId="77777777" w:rsidR="00954120" w:rsidRPr="006936E0" w:rsidRDefault="00954120">
      <w:pPr>
        <w:spacing w:line="360" w:lineRule="auto"/>
      </w:pPr>
    </w:p>
    <w:p w14:paraId="4717BE09" w14:textId="77777777" w:rsidR="00954120" w:rsidRPr="006936E0" w:rsidRDefault="003A2877">
      <w:pPr>
        <w:spacing w:line="360" w:lineRule="auto"/>
        <w:jc w:val="both"/>
        <w:rPr>
          <w:rFonts w:ascii="Palatino Linotype" w:eastAsia="Palatino Linotype" w:hAnsi="Palatino Linotype" w:cs="Palatino Linotype"/>
          <w:b/>
        </w:rPr>
      </w:pPr>
      <w:r w:rsidRPr="006936E0">
        <w:rPr>
          <w:rFonts w:ascii="Palatino Linotype" w:eastAsia="Palatino Linotype" w:hAnsi="Palatino Linotype" w:cs="Palatino Linotype"/>
          <w:b/>
        </w:rPr>
        <w:t xml:space="preserve">f. Resolución del Recurso de Revisión. </w:t>
      </w:r>
      <w:r w:rsidRPr="006936E0">
        <w:rPr>
          <w:rFonts w:ascii="Palatino Linotype" w:eastAsia="Palatino Linotype" w:hAnsi="Palatino Linotype" w:cs="Palatino Linotype"/>
        </w:rPr>
        <w:t xml:space="preserve">El </w:t>
      </w:r>
      <w:r w:rsidRPr="006936E0">
        <w:rPr>
          <w:rFonts w:ascii="Palatino Linotype" w:eastAsia="Palatino Linotype" w:hAnsi="Palatino Linotype" w:cs="Palatino Linotype"/>
          <w:b/>
        </w:rPr>
        <w:t>diecisiete de agosto de dos mil veintidós</w:t>
      </w:r>
      <w:r w:rsidRPr="006936E0">
        <w:rPr>
          <w:rFonts w:ascii="Palatino Linotype" w:eastAsia="Palatino Linotype" w:hAnsi="Palatino Linotype" w:cs="Palatino Linotype"/>
        </w:rPr>
        <w:t>, el Pleno del Instituto de Transparencia, Accesos la Información Pública y Protección de Datos Personales del Estado de México y Municipios, durante la Vigésima Novena Sesión Ordinaria, aprobó por unanimidad de votos, la Resolución del Recurso de Revisión, en la cual se determinó lo siguiente:</w:t>
      </w:r>
    </w:p>
    <w:p w14:paraId="74E24CE3" w14:textId="77777777" w:rsidR="00954120" w:rsidRPr="006936E0" w:rsidRDefault="003A2877">
      <w:pPr>
        <w:spacing w:before="240" w:after="240" w:line="276" w:lineRule="auto"/>
        <w:ind w:left="567" w:right="616"/>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i/>
          <w:sz w:val="22"/>
          <w:szCs w:val="22"/>
        </w:rPr>
        <w:t>“</w:t>
      </w:r>
      <w:r w:rsidRPr="006936E0">
        <w:rPr>
          <w:rFonts w:ascii="Palatino Linotype" w:eastAsia="Palatino Linotype" w:hAnsi="Palatino Linotype" w:cs="Palatino Linotype"/>
          <w:b/>
          <w:i/>
          <w:sz w:val="22"/>
          <w:szCs w:val="22"/>
        </w:rPr>
        <w:t xml:space="preserve">Primero. </w:t>
      </w:r>
      <w:r w:rsidRPr="006936E0">
        <w:rPr>
          <w:rFonts w:ascii="Palatino Linotype" w:eastAsia="Palatino Linotype" w:hAnsi="Palatino Linotype" w:cs="Palatino Linotype"/>
          <w:i/>
          <w:sz w:val="22"/>
          <w:szCs w:val="22"/>
        </w:rPr>
        <w:t xml:space="preserve">Resultan fundados los motivos de inconformidad de la parte Recurrente, en el recurso de revisión 11274/INFOEM/IP/RR/2022, en términos del Considerando Cuarto de la presente resolución. </w:t>
      </w:r>
    </w:p>
    <w:p w14:paraId="28AC96B4" w14:textId="77777777" w:rsidR="00954120" w:rsidRPr="006936E0" w:rsidRDefault="003A2877">
      <w:pPr>
        <w:spacing w:before="240" w:after="240" w:line="276" w:lineRule="auto"/>
        <w:ind w:left="567" w:right="616"/>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 xml:space="preserve">Segundo. </w:t>
      </w:r>
      <w:r w:rsidRPr="006936E0">
        <w:rPr>
          <w:rFonts w:ascii="Palatino Linotype" w:eastAsia="Palatino Linotype" w:hAnsi="Palatino Linotype" w:cs="Palatino Linotype"/>
          <w:i/>
          <w:sz w:val="22"/>
          <w:szCs w:val="22"/>
        </w:rPr>
        <w:t xml:space="preserve">Se Ordena al Sujeto Obligado dé trámite, vía Sistema de Acceso a la Información Mexiquense (SAIMEX), a la solicitud de acceso a la información pública 03354/METEPEC/IP/2022, que dio origen al recurso de revisión 11274/INFOEM/IP/RR/2022, en términos del Considerando Cuarto de esta resolución y emita respuesta, debiendo observar las excepciones contenidas en la Ley de Transparencia y Acceso a la Información Pública del Estado de México y Municipios.” </w:t>
      </w:r>
    </w:p>
    <w:p w14:paraId="001E4326"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 xml:space="preserve">g. Notificación de la Resolución del Recurso de Revisión 11274/INFOEM/IP/RR/2022. </w:t>
      </w:r>
      <w:r w:rsidRPr="006936E0">
        <w:rPr>
          <w:rFonts w:ascii="Palatino Linotype" w:eastAsia="Palatino Linotype" w:hAnsi="Palatino Linotype" w:cs="Palatino Linotype"/>
        </w:rPr>
        <w:t xml:space="preserve">El </w:t>
      </w:r>
      <w:r w:rsidRPr="006936E0">
        <w:rPr>
          <w:rFonts w:ascii="Palatino Linotype" w:eastAsia="Palatino Linotype" w:hAnsi="Palatino Linotype" w:cs="Palatino Linotype"/>
          <w:b/>
        </w:rPr>
        <w:t>veintidós de agosto</w:t>
      </w:r>
      <w:r w:rsidRPr="006936E0">
        <w:rPr>
          <w:rFonts w:ascii="Palatino Linotype" w:eastAsia="Palatino Linotype" w:hAnsi="Palatino Linotype" w:cs="Palatino Linotype"/>
        </w:rPr>
        <w:t xml:space="preserve"> </w:t>
      </w:r>
      <w:r w:rsidRPr="006936E0">
        <w:rPr>
          <w:rFonts w:ascii="Palatino Linotype" w:eastAsia="Palatino Linotype" w:hAnsi="Palatino Linotype" w:cs="Palatino Linotype"/>
          <w:b/>
        </w:rPr>
        <w:t>de dos mil veintidós</w:t>
      </w:r>
      <w:r w:rsidRPr="006936E0">
        <w:rPr>
          <w:rFonts w:ascii="Palatino Linotype" w:eastAsia="Palatino Linotype" w:hAnsi="Palatino Linotype" w:cs="Palatino Linotype"/>
        </w:rPr>
        <w:t xml:space="preserve">, se notificó a las partes la resolución del Medio de Impugnación previamente referido, por medio del Sistema de Acceso a la Información Mexiquense (SAIMEX). </w:t>
      </w:r>
    </w:p>
    <w:p w14:paraId="2402AE6C" w14:textId="77777777" w:rsidR="00954120" w:rsidRPr="006936E0" w:rsidRDefault="00954120">
      <w:pPr>
        <w:spacing w:line="360" w:lineRule="auto"/>
        <w:jc w:val="both"/>
        <w:rPr>
          <w:rFonts w:ascii="Palatino Linotype" w:eastAsia="Palatino Linotype" w:hAnsi="Palatino Linotype" w:cs="Palatino Linotype"/>
        </w:rPr>
      </w:pPr>
    </w:p>
    <w:p w14:paraId="15EA1FC2"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 xml:space="preserve">h. Ampliación Plazo para Responder al Recurso de Revisión. El </w:t>
      </w:r>
      <w:r w:rsidRPr="006936E0">
        <w:rPr>
          <w:rFonts w:ascii="Palatino Linotype" w:eastAsia="Palatino Linotype" w:hAnsi="Palatino Linotype" w:cs="Palatino Linotype"/>
        </w:rPr>
        <w:t xml:space="preserve">veinticuatro de agosto de dos mil veintidós, el Director de Transparencia y Gobierno Abierto del Sujeto Obligado, solicitó al Pleno de este Instituto, una ampliación de plazo por treinta días hábiles adicionales para el cumplimiento de la presente resolución. </w:t>
      </w:r>
    </w:p>
    <w:p w14:paraId="51D11205" w14:textId="77777777" w:rsidR="00954120" w:rsidRPr="006936E0" w:rsidRDefault="00954120">
      <w:pPr>
        <w:spacing w:line="360" w:lineRule="auto"/>
        <w:jc w:val="both"/>
        <w:rPr>
          <w:rFonts w:ascii="Palatino Linotype" w:eastAsia="Palatino Linotype" w:hAnsi="Palatino Linotype" w:cs="Palatino Linotype"/>
        </w:rPr>
      </w:pPr>
    </w:p>
    <w:p w14:paraId="5CAD1AAA"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lastRenderedPageBreak/>
        <w:t xml:space="preserve">i. Acuerdo de Procedencia/Improcedencia Ampliación del plazo para responder. </w:t>
      </w:r>
      <w:r w:rsidRPr="006936E0">
        <w:rPr>
          <w:rFonts w:ascii="Palatino Linotype" w:eastAsia="Palatino Linotype" w:hAnsi="Palatino Linotype" w:cs="Palatino Linotype"/>
        </w:rPr>
        <w:t xml:space="preserve">El </w:t>
      </w:r>
      <w:r w:rsidRPr="006936E0">
        <w:rPr>
          <w:rFonts w:ascii="Palatino Linotype" w:eastAsia="Palatino Linotype" w:hAnsi="Palatino Linotype" w:cs="Palatino Linotype"/>
          <w:b/>
        </w:rPr>
        <w:t>cinco de septiembre de dos mil veintidós</w:t>
      </w:r>
      <w:r w:rsidRPr="006936E0">
        <w:rPr>
          <w:rFonts w:ascii="Palatino Linotype" w:eastAsia="Palatino Linotype" w:hAnsi="Palatino Linotype" w:cs="Palatino Linotype"/>
        </w:rPr>
        <w:t xml:space="preserve">, se notificó a las partes el acuerdo que determina la procedencia de la ampliación de plazo, concediéndole un plazo que transcurrió del </w:t>
      </w:r>
      <w:r w:rsidRPr="006936E0">
        <w:rPr>
          <w:rFonts w:ascii="Palatino Linotype" w:eastAsia="Palatino Linotype" w:hAnsi="Palatino Linotype" w:cs="Palatino Linotype"/>
          <w:b/>
        </w:rPr>
        <w:t>seis de septiembre al dieciocho de octubre de dos mil veintidós</w:t>
      </w:r>
      <w:r w:rsidRPr="006936E0">
        <w:rPr>
          <w:rFonts w:ascii="Palatino Linotype" w:eastAsia="Palatino Linotype" w:hAnsi="Palatino Linotype" w:cs="Palatino Linotype"/>
        </w:rPr>
        <w:t>.</w:t>
      </w:r>
    </w:p>
    <w:p w14:paraId="77E4C538" w14:textId="77777777" w:rsidR="00954120" w:rsidRPr="006936E0" w:rsidRDefault="00954120">
      <w:pPr>
        <w:spacing w:line="360" w:lineRule="auto"/>
        <w:jc w:val="both"/>
        <w:rPr>
          <w:rFonts w:ascii="Palatino Linotype" w:eastAsia="Palatino Linotype" w:hAnsi="Palatino Linotype" w:cs="Palatino Linotype"/>
        </w:rPr>
      </w:pPr>
    </w:p>
    <w:p w14:paraId="1E6EF0E7"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 xml:space="preserve">6. Interposición del Segundo Recurso de Revisión </w:t>
      </w:r>
      <w:r w:rsidRPr="006936E0">
        <w:rPr>
          <w:rFonts w:ascii="Palatino Linotype" w:eastAsia="Palatino Linotype" w:hAnsi="Palatino Linotype" w:cs="Palatino Linotype"/>
          <w:b/>
          <w:sz w:val="22"/>
          <w:szCs w:val="22"/>
        </w:rPr>
        <w:t>11274/INFOEM/ICR-78/IP/RR/2022</w:t>
      </w:r>
      <w:r w:rsidRPr="006936E0">
        <w:rPr>
          <w:rFonts w:ascii="Palatino Linotype" w:eastAsia="Palatino Linotype" w:hAnsi="Palatino Linotype" w:cs="Palatino Linotype"/>
          <w:b/>
        </w:rPr>
        <w:t xml:space="preserve">. </w:t>
      </w:r>
      <w:r w:rsidRPr="006936E0">
        <w:rPr>
          <w:rFonts w:ascii="Palatino Linotype" w:eastAsia="Palatino Linotype" w:hAnsi="Palatino Linotype" w:cs="Palatino Linotype"/>
        </w:rPr>
        <w:t xml:space="preserve">El </w:t>
      </w:r>
      <w:r w:rsidRPr="006936E0">
        <w:rPr>
          <w:rFonts w:ascii="Palatino Linotype" w:eastAsia="Palatino Linotype" w:hAnsi="Palatino Linotype" w:cs="Palatino Linotype"/>
          <w:b/>
        </w:rPr>
        <w:t>diecinueve de octubre de dos mil veintidós</w:t>
      </w:r>
      <w:r w:rsidRPr="006936E0">
        <w:rPr>
          <w:rFonts w:ascii="Palatino Linotype" w:eastAsia="Palatino Linotype" w:hAnsi="Palatino Linotype" w:cs="Palatino Linotype"/>
        </w:rPr>
        <w:t xml:space="preserve">, </w:t>
      </w:r>
      <w:r w:rsidRPr="006936E0">
        <w:rPr>
          <w:rFonts w:ascii="Palatino Linotype" w:eastAsia="Palatino Linotype" w:hAnsi="Palatino Linotype" w:cs="Palatino Linotype"/>
          <w:b/>
        </w:rPr>
        <w:t>la parte</w:t>
      </w:r>
      <w:r w:rsidRPr="006936E0">
        <w:rPr>
          <w:rFonts w:ascii="Palatino Linotype" w:eastAsia="Palatino Linotype" w:hAnsi="Palatino Linotype" w:cs="Palatino Linotype"/>
        </w:rPr>
        <w:t xml:space="preserve"> </w:t>
      </w:r>
      <w:r w:rsidRPr="006936E0">
        <w:rPr>
          <w:rFonts w:ascii="Palatino Linotype" w:eastAsia="Palatino Linotype" w:hAnsi="Palatino Linotype" w:cs="Palatino Linotype"/>
          <w:b/>
        </w:rPr>
        <w:t xml:space="preserve">Recurrente </w:t>
      </w:r>
      <w:r w:rsidRPr="006936E0">
        <w:rPr>
          <w:rFonts w:ascii="Palatino Linotype" w:eastAsia="Palatino Linotype" w:hAnsi="Palatino Linotype" w:cs="Palatino Linotype"/>
        </w:rPr>
        <w:t xml:space="preserve">interpuso Recurso de Revisión en este Instituto, a través del Sistema de Acceso a la Información Mexiquense (SAIMEX), en contra de la falta de respuesta del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en donde se agravió de lo siguiente</w:t>
      </w:r>
      <w:r w:rsidRPr="006936E0">
        <w:rPr>
          <w:rFonts w:ascii="Palatino Linotype" w:eastAsia="Palatino Linotype" w:hAnsi="Palatino Linotype" w:cs="Palatino Linotype"/>
          <w:b/>
        </w:rPr>
        <w:t>:</w:t>
      </w:r>
    </w:p>
    <w:p w14:paraId="211C95A0" w14:textId="77777777" w:rsidR="00954120" w:rsidRPr="006936E0" w:rsidRDefault="00954120">
      <w:pPr>
        <w:widowControl w:val="0"/>
        <w:spacing w:line="360" w:lineRule="auto"/>
        <w:jc w:val="both"/>
        <w:rPr>
          <w:rFonts w:ascii="Palatino Linotype" w:eastAsia="Palatino Linotype" w:hAnsi="Palatino Linotype" w:cs="Palatino Linotype"/>
          <w:b/>
        </w:rPr>
      </w:pPr>
    </w:p>
    <w:p w14:paraId="60A4EE72" w14:textId="77777777" w:rsidR="00954120" w:rsidRPr="006936E0" w:rsidRDefault="003A2877">
      <w:pPr>
        <w:numPr>
          <w:ilvl w:val="0"/>
          <w:numId w:val="3"/>
        </w:numPr>
        <w:pBdr>
          <w:top w:val="nil"/>
          <w:left w:val="nil"/>
          <w:bottom w:val="nil"/>
          <w:right w:val="nil"/>
          <w:between w:val="nil"/>
        </w:pBdr>
        <w:spacing w:line="360" w:lineRule="auto"/>
        <w:ind w:right="567"/>
        <w:jc w:val="both"/>
        <w:rPr>
          <w:rFonts w:ascii="Palatino Linotype" w:eastAsia="Palatino Linotype" w:hAnsi="Palatino Linotype" w:cs="Palatino Linotype"/>
          <w:b/>
        </w:rPr>
      </w:pPr>
      <w:r w:rsidRPr="006936E0">
        <w:rPr>
          <w:rFonts w:ascii="Palatino Linotype" w:eastAsia="Palatino Linotype" w:hAnsi="Palatino Linotype" w:cs="Palatino Linotype"/>
          <w:b/>
        </w:rPr>
        <w:t>Acto Impugnado</w:t>
      </w:r>
    </w:p>
    <w:p w14:paraId="325C64A8" w14:textId="77777777" w:rsidR="00954120" w:rsidRPr="006936E0" w:rsidRDefault="003A2877">
      <w:pPr>
        <w:ind w:left="567" w:right="1013"/>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“Falta de respuesta del sujeto obligado” (Sic.)</w:t>
      </w:r>
    </w:p>
    <w:p w14:paraId="1D8E4152" w14:textId="77777777" w:rsidR="00954120" w:rsidRPr="006936E0" w:rsidRDefault="00954120">
      <w:pPr>
        <w:spacing w:line="360" w:lineRule="auto"/>
        <w:ind w:left="567" w:right="567"/>
        <w:jc w:val="both"/>
        <w:rPr>
          <w:rFonts w:ascii="Palatino Linotype" w:eastAsia="Palatino Linotype" w:hAnsi="Palatino Linotype" w:cs="Palatino Linotype"/>
          <w:i/>
        </w:rPr>
      </w:pPr>
    </w:p>
    <w:p w14:paraId="756CBAC8" w14:textId="77777777" w:rsidR="00954120" w:rsidRPr="006936E0" w:rsidRDefault="003A2877">
      <w:pPr>
        <w:numPr>
          <w:ilvl w:val="0"/>
          <w:numId w:val="3"/>
        </w:numPr>
        <w:pBdr>
          <w:top w:val="nil"/>
          <w:left w:val="nil"/>
          <w:bottom w:val="nil"/>
          <w:right w:val="nil"/>
          <w:between w:val="nil"/>
        </w:pBdr>
        <w:spacing w:line="360" w:lineRule="auto"/>
        <w:ind w:right="567"/>
        <w:jc w:val="both"/>
        <w:rPr>
          <w:rFonts w:ascii="Palatino Linotype" w:eastAsia="Palatino Linotype" w:hAnsi="Palatino Linotype" w:cs="Palatino Linotype"/>
          <w:b/>
        </w:rPr>
      </w:pPr>
      <w:r w:rsidRPr="006936E0">
        <w:rPr>
          <w:rFonts w:ascii="Palatino Linotype" w:eastAsia="Palatino Linotype" w:hAnsi="Palatino Linotype" w:cs="Palatino Linotype"/>
          <w:b/>
        </w:rPr>
        <w:t>Razones o Motivos de la Inconformidad</w:t>
      </w:r>
    </w:p>
    <w:p w14:paraId="67467C3F" w14:textId="77777777" w:rsidR="00954120" w:rsidRPr="006936E0" w:rsidRDefault="003A2877">
      <w:pPr>
        <w:spacing w:line="276" w:lineRule="auto"/>
        <w:ind w:left="567" w:right="567"/>
        <w:jc w:val="both"/>
        <w:rPr>
          <w:rFonts w:ascii="Palatino Linotype" w:eastAsia="Palatino Linotype" w:hAnsi="Palatino Linotype" w:cs="Palatino Linotype"/>
          <w:sz w:val="22"/>
          <w:szCs w:val="22"/>
        </w:rPr>
      </w:pPr>
      <w:r w:rsidRPr="006936E0">
        <w:rPr>
          <w:rFonts w:ascii="Palatino Linotype" w:eastAsia="Palatino Linotype" w:hAnsi="Palatino Linotype" w:cs="Palatino Linotype"/>
          <w:i/>
          <w:sz w:val="22"/>
          <w:szCs w:val="22"/>
        </w:rPr>
        <w:t>“Falta de respuesta del sujeto obligado” (Sic)</w:t>
      </w:r>
    </w:p>
    <w:p w14:paraId="161964D1" w14:textId="77777777" w:rsidR="00954120" w:rsidRPr="006936E0" w:rsidRDefault="00954120">
      <w:pPr>
        <w:widowControl w:val="0"/>
        <w:spacing w:line="360" w:lineRule="auto"/>
        <w:jc w:val="both"/>
        <w:rPr>
          <w:rFonts w:ascii="Palatino Linotype" w:eastAsia="Palatino Linotype" w:hAnsi="Palatino Linotype" w:cs="Palatino Linotype"/>
          <w:b/>
        </w:rPr>
      </w:pPr>
    </w:p>
    <w:p w14:paraId="673D56ED"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7. Trámite del Recurso de Revisión con número 11274/INFOEM/ICR-78/IP/RR/2022 ante el Instituto.</w:t>
      </w:r>
    </w:p>
    <w:p w14:paraId="373CBA5C" w14:textId="77777777" w:rsidR="00954120" w:rsidRPr="006936E0" w:rsidRDefault="00954120">
      <w:pPr>
        <w:spacing w:line="360" w:lineRule="auto"/>
        <w:jc w:val="both"/>
        <w:rPr>
          <w:rFonts w:ascii="Palatino Linotype" w:eastAsia="Palatino Linotype" w:hAnsi="Palatino Linotype" w:cs="Palatino Linotype"/>
          <w:b/>
        </w:rPr>
      </w:pPr>
    </w:p>
    <w:p w14:paraId="2FC6235B"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 xml:space="preserve">a) Turno del Recurso de Revisión. </w:t>
      </w:r>
      <w:r w:rsidRPr="006936E0">
        <w:rPr>
          <w:rFonts w:ascii="Palatino Linotype" w:eastAsia="Palatino Linotype" w:hAnsi="Palatino Linotype" w:cs="Palatino Linotype"/>
        </w:rPr>
        <w:t xml:space="preserve">El </w:t>
      </w:r>
      <w:r w:rsidRPr="006936E0">
        <w:rPr>
          <w:rFonts w:ascii="Palatino Linotype" w:eastAsia="Palatino Linotype" w:hAnsi="Palatino Linotype" w:cs="Palatino Linotype"/>
          <w:b/>
        </w:rPr>
        <w:t>diecinueve de octubre de dos mil veintidós</w:t>
      </w:r>
      <w:r w:rsidRPr="006936E0">
        <w:rPr>
          <w:rFonts w:ascii="Palatino Linotype" w:eastAsia="Palatino Linotype" w:hAnsi="Palatino Linotype" w:cs="Palatino Linotype"/>
        </w:rPr>
        <w:t xml:space="preserve">, el Sistema de Acceso a la Información Mexiquense (SAIMEX), asignó el número de expediente </w:t>
      </w:r>
      <w:r w:rsidRPr="006936E0">
        <w:rPr>
          <w:rFonts w:ascii="Palatino Linotype" w:eastAsia="Palatino Linotype" w:hAnsi="Palatino Linotype" w:cs="Palatino Linotype"/>
          <w:b/>
        </w:rPr>
        <w:t xml:space="preserve">11274/INFOEM/ICR-78/IP/RR/2022, </w:t>
      </w:r>
      <w:r w:rsidRPr="006936E0">
        <w:rPr>
          <w:rFonts w:ascii="Palatino Linotype" w:eastAsia="Palatino Linotype" w:hAnsi="Palatino Linotype" w:cs="Palatino Linotype"/>
        </w:rPr>
        <w:t xml:space="preserve">al Medio de Impugnación que nos ocupa, con base en el sistema aprobado por el Pleno de este Organismo Garante y </w:t>
      </w:r>
      <w:r w:rsidRPr="006936E0">
        <w:rPr>
          <w:rFonts w:ascii="Palatino Linotype" w:eastAsia="Palatino Linotype" w:hAnsi="Palatino Linotype" w:cs="Palatino Linotype"/>
        </w:rPr>
        <w:lastRenderedPageBreak/>
        <w:t xml:space="preserve">lo turnó a la </w:t>
      </w:r>
      <w:r w:rsidRPr="006936E0">
        <w:rPr>
          <w:rFonts w:ascii="Palatino Linotype" w:eastAsia="Palatino Linotype" w:hAnsi="Palatino Linotype" w:cs="Palatino Linotype"/>
          <w:b/>
        </w:rPr>
        <w:t>Comisionada Ponente Guadalupe Ramírez Peña</w:t>
      </w:r>
      <w:r w:rsidRPr="006936E0">
        <w:rPr>
          <w:rFonts w:ascii="Palatino Linotype" w:eastAsia="Palatino Linotype" w:hAnsi="Palatino Linotype" w:cs="Palatino Linotype"/>
        </w:rPr>
        <w:t>, para los efectos del artículo 185, fracción I de la Ley de Transparencia y Acceso a la Información Pública del Estado de México y Municipios.</w:t>
      </w:r>
    </w:p>
    <w:p w14:paraId="5F471BEB" w14:textId="77777777" w:rsidR="00954120" w:rsidRPr="006936E0" w:rsidRDefault="00954120">
      <w:pPr>
        <w:spacing w:line="360" w:lineRule="auto"/>
        <w:jc w:val="both"/>
        <w:rPr>
          <w:rFonts w:ascii="Palatino Linotype" w:eastAsia="Palatino Linotype" w:hAnsi="Palatino Linotype" w:cs="Palatino Linotype"/>
        </w:rPr>
      </w:pPr>
    </w:p>
    <w:p w14:paraId="4606F99C" w14:textId="77777777" w:rsidR="00954120" w:rsidRPr="006936E0" w:rsidRDefault="003A2877">
      <w:pPr>
        <w:spacing w:line="360" w:lineRule="auto"/>
        <w:jc w:val="both"/>
        <w:rPr>
          <w:rFonts w:ascii="Palatino Linotype" w:eastAsia="Palatino Linotype" w:hAnsi="Palatino Linotype" w:cs="Palatino Linotype"/>
          <w:b/>
        </w:rPr>
      </w:pPr>
      <w:r w:rsidRPr="006936E0">
        <w:rPr>
          <w:rFonts w:ascii="Palatino Linotype" w:eastAsia="Palatino Linotype" w:hAnsi="Palatino Linotype" w:cs="Palatino Linotype"/>
          <w:b/>
        </w:rPr>
        <w:t xml:space="preserve">b) Admisión del Recurso de Revisión. </w:t>
      </w:r>
      <w:r w:rsidRPr="006936E0">
        <w:rPr>
          <w:rFonts w:ascii="Palatino Linotype" w:eastAsia="Palatino Linotype" w:hAnsi="Palatino Linotype" w:cs="Palatino Linotype"/>
        </w:rPr>
        <w:t xml:space="preserve">El </w:t>
      </w:r>
      <w:r w:rsidRPr="006936E0">
        <w:rPr>
          <w:rFonts w:ascii="Palatino Linotype" w:eastAsia="Palatino Linotype" w:hAnsi="Palatino Linotype" w:cs="Palatino Linotype"/>
          <w:b/>
        </w:rPr>
        <w:t>veinticuatro de octubre de dos mil veintidós</w:t>
      </w:r>
      <w:r w:rsidRPr="006936E0">
        <w:rPr>
          <w:rFonts w:ascii="Palatino Linotype" w:eastAsia="Palatino Linotype" w:hAnsi="Palatino Linotype" w:cs="Palatino Linotype"/>
        </w:rPr>
        <w:t>, se acordó la admisión del Recurso de Revisión interpuesto por la parte</w:t>
      </w:r>
      <w:r w:rsidRPr="006936E0">
        <w:rPr>
          <w:rFonts w:ascii="Palatino Linotype" w:eastAsia="Palatino Linotype" w:hAnsi="Palatino Linotype" w:cs="Palatino Linotype"/>
          <w:b/>
        </w:rPr>
        <w:t xml:space="preserve"> Recurrente</w:t>
      </w:r>
      <w:r w:rsidRPr="006936E0">
        <w:rPr>
          <w:rFonts w:ascii="Palatino Linotype" w:eastAsia="Palatino Linotype" w:hAnsi="Palatino Linotype" w:cs="Palatino Linotype"/>
        </w:rPr>
        <w:t xml:space="preserve"> en contra del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en términos del artículo 185, fracciones I, II y IV de la Ley de Transparencia y Acceso a la Información Pública del Estado de México y Municipios, el cual fue notificado a las partes a través del Sistema de Acceso a la Información Mexiquense (SAIMEX), en el que se les otorgó un plazo de siete días hábiles posteriores, para que manifestaran lo que a su derecho conviniera y formularan alegatos.</w:t>
      </w:r>
      <w:r w:rsidRPr="006936E0">
        <w:rPr>
          <w:rFonts w:ascii="Palatino Linotype" w:eastAsia="Palatino Linotype" w:hAnsi="Palatino Linotype" w:cs="Palatino Linotype"/>
          <w:b/>
        </w:rPr>
        <w:t xml:space="preserve"> </w:t>
      </w:r>
    </w:p>
    <w:p w14:paraId="14A2BD73" w14:textId="77777777" w:rsidR="00954120" w:rsidRPr="006936E0" w:rsidRDefault="00954120">
      <w:pPr>
        <w:spacing w:line="360" w:lineRule="auto"/>
        <w:jc w:val="both"/>
        <w:rPr>
          <w:rFonts w:ascii="Palatino Linotype" w:eastAsia="Palatino Linotype" w:hAnsi="Palatino Linotype" w:cs="Palatino Linotype"/>
          <w:b/>
        </w:rPr>
      </w:pPr>
    </w:p>
    <w:p w14:paraId="424AAE35" w14:textId="77777777" w:rsidR="00954120" w:rsidRPr="006936E0" w:rsidRDefault="003A2877">
      <w:pPr>
        <w:spacing w:line="360" w:lineRule="auto"/>
        <w:jc w:val="both"/>
        <w:rPr>
          <w:rFonts w:ascii="Palatino Linotype" w:eastAsia="Palatino Linotype" w:hAnsi="Palatino Linotype" w:cs="Palatino Linotype"/>
          <w:b/>
        </w:rPr>
      </w:pPr>
      <w:r w:rsidRPr="006936E0">
        <w:rPr>
          <w:rFonts w:ascii="Palatino Linotype" w:eastAsia="Palatino Linotype" w:hAnsi="Palatino Linotype" w:cs="Palatino Linotype"/>
          <w:b/>
        </w:rPr>
        <w:t xml:space="preserve">8. Abstención de emisión de acuerdo de cumplimiento/incumplimiento del recurso de revisión 11274/INFOEM/IP/RR/2022. El tres de noviembre de dos mil veintidós, </w:t>
      </w:r>
      <w:r w:rsidRPr="006936E0">
        <w:rPr>
          <w:rFonts w:ascii="Palatino Linotype" w:eastAsia="Palatino Linotype" w:hAnsi="Palatino Linotype" w:cs="Palatino Linotype"/>
        </w:rPr>
        <w:t xml:space="preserve">la Dirección de Cumplimientos de este Instituto, remitió un soporte documental en el apartado de manifestaciones en virtud de que ya se había interpuesto y admitido el recurso de revisión que se resuelve. En dicho documento, se manifiesta que la Dirección de Cumplimiento de la Secretaría Técnica del Pleno del Instituto de Transparencia, Acceso a la Información Pública y Protección de Datos del Estado de México y Municipios, se abstiene de emitir acuerdo alguno en materia de verificación de cumplimiento, en tanto no se haya notificado resolución sobre el Segundo Recurso de Revisión, que emita el Pleno de este Instituto y haya </w:t>
      </w:r>
      <w:r w:rsidRPr="006936E0">
        <w:rPr>
          <w:rFonts w:ascii="Palatino Linotype" w:eastAsia="Palatino Linotype" w:hAnsi="Palatino Linotype" w:cs="Palatino Linotype"/>
        </w:rPr>
        <w:lastRenderedPageBreak/>
        <w:t>fenecido el plazo para su cumplimiento dentro del</w:t>
      </w:r>
      <w:r w:rsidRPr="006936E0">
        <w:rPr>
          <w:rFonts w:ascii="Palatino Linotype" w:eastAsia="Palatino Linotype" w:hAnsi="Palatino Linotype" w:cs="Palatino Linotype"/>
          <w:b/>
        </w:rPr>
        <w:t xml:space="preserve"> </w:t>
      </w:r>
      <w:r w:rsidRPr="006936E0">
        <w:rPr>
          <w:rFonts w:ascii="Palatino Linotype" w:eastAsia="Palatino Linotype" w:hAnsi="Palatino Linotype" w:cs="Palatino Linotype"/>
        </w:rPr>
        <w:t>Recurso de Revisión</w:t>
      </w:r>
      <w:r w:rsidRPr="006936E0">
        <w:rPr>
          <w:rFonts w:ascii="Palatino Linotype" w:eastAsia="Palatino Linotype" w:hAnsi="Palatino Linotype" w:cs="Palatino Linotype"/>
          <w:b/>
        </w:rPr>
        <w:t xml:space="preserve"> 11274/INFOEM/ICR-78/IP/RR/2022.</w:t>
      </w:r>
    </w:p>
    <w:p w14:paraId="460A0165"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noProof/>
          <w:lang w:eastAsia="es-MX"/>
        </w:rPr>
        <w:drawing>
          <wp:inline distT="0" distB="0" distL="0" distR="0" wp14:anchorId="11213B43" wp14:editId="42EB3356">
            <wp:extent cx="5581015" cy="1817370"/>
            <wp:effectExtent l="0" t="0" r="0" b="0"/>
            <wp:docPr id="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581015" cy="1817370"/>
                    </a:xfrm>
                    <a:prstGeom prst="rect">
                      <a:avLst/>
                    </a:prstGeom>
                    <a:ln/>
                  </pic:spPr>
                </pic:pic>
              </a:graphicData>
            </a:graphic>
          </wp:inline>
        </w:drawing>
      </w:r>
      <w:r w:rsidRPr="006936E0">
        <w:rPr>
          <w:noProof/>
          <w:lang w:eastAsia="es-MX"/>
        </w:rPr>
        <mc:AlternateContent>
          <mc:Choice Requires="wpg">
            <w:drawing>
              <wp:anchor distT="0" distB="0" distL="114300" distR="114300" simplePos="0" relativeHeight="251658240" behindDoc="0" locked="0" layoutInCell="1" hidden="0" allowOverlap="1" wp14:anchorId="541D3458" wp14:editId="7F6E0675">
                <wp:simplePos x="0" y="0"/>
                <wp:positionH relativeFrom="column">
                  <wp:posOffset>25401</wp:posOffset>
                </wp:positionH>
                <wp:positionV relativeFrom="paragraph">
                  <wp:posOffset>533400</wp:posOffset>
                </wp:positionV>
                <wp:extent cx="5591175" cy="438150"/>
                <wp:effectExtent l="0" t="0" r="0" b="0"/>
                <wp:wrapNone/>
                <wp:docPr id="58" name="Rectángulo 58"/>
                <wp:cNvGraphicFramePr/>
                <a:graphic xmlns:a="http://schemas.openxmlformats.org/drawingml/2006/main">
                  <a:graphicData uri="http://schemas.microsoft.com/office/word/2010/wordprocessingShape">
                    <wps:wsp>
                      <wps:cNvSpPr/>
                      <wps:spPr>
                        <a:xfrm>
                          <a:off x="2578988" y="3589500"/>
                          <a:ext cx="5534025" cy="381000"/>
                        </a:xfrm>
                        <a:prstGeom prst="rect">
                          <a:avLst/>
                        </a:prstGeom>
                        <a:noFill/>
                        <a:ln w="28575" cap="flat" cmpd="sng">
                          <a:solidFill>
                            <a:srgbClr val="002060"/>
                          </a:solidFill>
                          <a:prstDash val="solid"/>
                          <a:miter lim="800000"/>
                          <a:headEnd type="none" w="sm" len="sm"/>
                          <a:tailEnd type="none" w="sm" len="sm"/>
                        </a:ln>
                      </wps:spPr>
                      <wps:txbx>
                        <w:txbxContent>
                          <w:p w14:paraId="32D575D2" w14:textId="77777777" w:rsidR="00954120" w:rsidRDefault="00954120">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25401</wp:posOffset>
                </wp:positionH>
                <wp:positionV relativeFrom="paragraph">
                  <wp:posOffset>533400</wp:posOffset>
                </wp:positionV>
                <wp:extent cx="5591175" cy="438150"/>
                <wp:effectExtent b="0" l="0" r="0" t="0"/>
                <wp:wrapNone/>
                <wp:docPr id="58"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5591175" cy="438150"/>
                        </a:xfrm>
                        <a:prstGeom prst="rect"/>
                        <a:ln/>
                      </pic:spPr>
                    </pic:pic>
                  </a:graphicData>
                </a:graphic>
              </wp:anchor>
            </w:drawing>
          </mc:Fallback>
        </mc:AlternateContent>
      </w:r>
    </w:p>
    <w:p w14:paraId="08E446E1" w14:textId="77777777" w:rsidR="00954120" w:rsidRPr="006936E0" w:rsidRDefault="003A2877">
      <w:pPr>
        <w:spacing w:line="360" w:lineRule="auto"/>
        <w:jc w:val="center"/>
        <w:rPr>
          <w:rFonts w:ascii="Palatino Linotype" w:eastAsia="Palatino Linotype" w:hAnsi="Palatino Linotype" w:cs="Palatino Linotype"/>
        </w:rPr>
      </w:pPr>
      <w:r w:rsidRPr="006936E0">
        <w:rPr>
          <w:rFonts w:ascii="Palatino Linotype" w:eastAsia="Palatino Linotype" w:hAnsi="Palatino Linotype" w:cs="Palatino Linotype"/>
          <w:noProof/>
          <w:lang w:eastAsia="es-MX"/>
        </w:rPr>
        <w:lastRenderedPageBreak/>
        <w:drawing>
          <wp:inline distT="0" distB="0" distL="0" distR="0" wp14:anchorId="3AFAA553" wp14:editId="3CA52D81">
            <wp:extent cx="4624783" cy="5419872"/>
            <wp:effectExtent l="0" t="0" r="0" b="0"/>
            <wp:docPr id="6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624783" cy="5419872"/>
                    </a:xfrm>
                    <a:prstGeom prst="rect">
                      <a:avLst/>
                    </a:prstGeom>
                    <a:ln/>
                  </pic:spPr>
                </pic:pic>
              </a:graphicData>
            </a:graphic>
          </wp:inline>
        </w:drawing>
      </w:r>
    </w:p>
    <w:p w14:paraId="387FC848" w14:textId="77777777" w:rsidR="00954120" w:rsidRPr="006936E0" w:rsidRDefault="00954120">
      <w:pPr>
        <w:spacing w:line="360" w:lineRule="auto"/>
        <w:jc w:val="both"/>
        <w:rPr>
          <w:rFonts w:ascii="Palatino Linotype" w:eastAsia="Palatino Linotype" w:hAnsi="Palatino Linotype" w:cs="Palatino Linotype"/>
          <w:b/>
        </w:rPr>
      </w:pPr>
    </w:p>
    <w:p w14:paraId="193341E2"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 xml:space="preserve">9. Manifestaciones o Informe Justificado. </w:t>
      </w:r>
      <w:r w:rsidRPr="006936E0">
        <w:rPr>
          <w:rFonts w:ascii="Palatino Linotype" w:eastAsia="Palatino Linotype" w:hAnsi="Palatino Linotype" w:cs="Palatino Linotype"/>
        </w:rPr>
        <w:t xml:space="preserve">De las constancias del expediente electrónico del SAIMEX, se observa que el </w:t>
      </w:r>
      <w:r w:rsidRPr="006936E0">
        <w:rPr>
          <w:rFonts w:ascii="Palatino Linotype" w:eastAsia="Palatino Linotype" w:hAnsi="Palatino Linotype" w:cs="Palatino Linotype"/>
          <w:b/>
        </w:rPr>
        <w:t xml:space="preserve">siete de noviembre de dos mil veintidós, </w:t>
      </w:r>
      <w:r w:rsidRPr="006936E0">
        <w:rPr>
          <w:rFonts w:ascii="Palatino Linotype" w:eastAsia="Palatino Linotype" w:hAnsi="Palatino Linotype" w:cs="Palatino Linotype"/>
        </w:rPr>
        <w:t xml:space="preserve">el </w:t>
      </w:r>
      <w:r w:rsidRPr="006936E0">
        <w:rPr>
          <w:rFonts w:ascii="Palatino Linotype" w:eastAsia="Palatino Linotype" w:hAnsi="Palatino Linotype" w:cs="Palatino Linotype"/>
          <w:b/>
        </w:rPr>
        <w:t xml:space="preserve">Sujeto Obligado </w:t>
      </w:r>
      <w:r w:rsidRPr="006936E0">
        <w:rPr>
          <w:rFonts w:ascii="Palatino Linotype" w:eastAsia="Palatino Linotype" w:hAnsi="Palatino Linotype" w:cs="Palatino Linotype"/>
        </w:rPr>
        <w:t>rindió su informe justificado, al que adjuntó el archivo denominado “</w:t>
      </w:r>
      <w:r w:rsidRPr="006936E0">
        <w:rPr>
          <w:rFonts w:ascii="Palatino Linotype" w:eastAsia="Palatino Linotype" w:hAnsi="Palatino Linotype" w:cs="Palatino Linotype"/>
          <w:b/>
          <w:i/>
        </w:rPr>
        <w:t xml:space="preserve">3354- TESORERIA.pdf”, </w:t>
      </w:r>
      <w:r w:rsidRPr="006936E0">
        <w:rPr>
          <w:rFonts w:ascii="Palatino Linotype" w:eastAsia="Palatino Linotype" w:hAnsi="Palatino Linotype" w:cs="Palatino Linotype"/>
        </w:rPr>
        <w:t xml:space="preserve">mismo que se describe a continuación: </w:t>
      </w:r>
    </w:p>
    <w:p w14:paraId="5E7338C4" w14:textId="77777777" w:rsidR="00954120" w:rsidRPr="006936E0" w:rsidRDefault="00954120">
      <w:pPr>
        <w:spacing w:line="360" w:lineRule="auto"/>
        <w:jc w:val="both"/>
        <w:rPr>
          <w:rFonts w:ascii="Palatino Linotype" w:eastAsia="Palatino Linotype" w:hAnsi="Palatino Linotype" w:cs="Palatino Linotype"/>
        </w:rPr>
      </w:pPr>
    </w:p>
    <w:p w14:paraId="0555A3DA"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lastRenderedPageBreak/>
        <w:t>“</w:t>
      </w:r>
      <w:r w:rsidRPr="006936E0">
        <w:rPr>
          <w:rFonts w:ascii="Palatino Linotype" w:eastAsia="Palatino Linotype" w:hAnsi="Palatino Linotype" w:cs="Palatino Linotype"/>
          <w:b/>
          <w:i/>
        </w:rPr>
        <w:t xml:space="preserve">3354- TESORERIA.pdf”: </w:t>
      </w:r>
      <w:r w:rsidRPr="006936E0">
        <w:rPr>
          <w:rFonts w:ascii="Palatino Linotype" w:eastAsia="Palatino Linotype" w:hAnsi="Palatino Linotype" w:cs="Palatino Linotype"/>
        </w:rPr>
        <w:t>Documento de siete fojas en el que se aprecia en primera instancia, el oficio No. INFOEM/DGI/663/2022, signado por el Director General de Informática de este Instituto, mediante el cual señala que a fin de atender el recurso de revisión con folio 11274/INFOEM/IP/RR/2022 derivado de la solicitud de información 03354/METEPEC/IP/2022, al respecto comunica que dicha incidencia técnica ha quedado registrada en la bitácora de incidencias, toda vez que trata de subir un peso de 4.3 GB, lo cual sobrepasa las capacidades técnicas del sistema SAIMEX.</w:t>
      </w:r>
    </w:p>
    <w:p w14:paraId="417BA435" w14:textId="77777777" w:rsidR="00954120" w:rsidRPr="006936E0" w:rsidRDefault="00954120">
      <w:pPr>
        <w:spacing w:line="360" w:lineRule="auto"/>
        <w:jc w:val="both"/>
        <w:rPr>
          <w:rFonts w:ascii="Palatino Linotype" w:eastAsia="Palatino Linotype" w:hAnsi="Palatino Linotype" w:cs="Palatino Linotype"/>
        </w:rPr>
      </w:pPr>
    </w:p>
    <w:p w14:paraId="3F576011" w14:textId="77777777" w:rsidR="00954120" w:rsidRPr="006936E0" w:rsidRDefault="003A2877">
      <w:pPr>
        <w:tabs>
          <w:tab w:val="left" w:pos="4962"/>
        </w:tabs>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Posteriormente se vislumbra el oficio TM/2215/2022, signado por el Tesorero Municipal, mediante el cual quien manifiesta que derivado de que la información solicitada, constituye un cúmulo considerable de documentos, lo cual requiere procesamiento y revisión para verificar si contiene información susceptible de ser clasificada como confidencial y/o reservada, descargarla o escanearla según sea el caso, cuya entrega y procesamiento sobrepasa las capacidades técnicas administrativas y humanas de la Tesorería Municipal, por lo siguiente: </w:t>
      </w:r>
    </w:p>
    <w:p w14:paraId="160D4BB6" w14:textId="77777777" w:rsidR="00954120" w:rsidRPr="006936E0" w:rsidRDefault="00954120">
      <w:pPr>
        <w:pBdr>
          <w:top w:val="nil"/>
          <w:left w:val="nil"/>
          <w:bottom w:val="nil"/>
          <w:right w:val="nil"/>
          <w:between w:val="nil"/>
        </w:pBdr>
        <w:tabs>
          <w:tab w:val="left" w:pos="4962"/>
        </w:tabs>
        <w:spacing w:line="360" w:lineRule="auto"/>
        <w:ind w:left="720" w:right="900"/>
        <w:jc w:val="both"/>
        <w:rPr>
          <w:rFonts w:ascii="Palatino Linotype" w:eastAsia="Palatino Linotype" w:hAnsi="Palatino Linotype" w:cs="Palatino Linotype"/>
        </w:rPr>
      </w:pPr>
    </w:p>
    <w:p w14:paraId="171E4F4D" w14:textId="77777777" w:rsidR="00954120" w:rsidRPr="006936E0" w:rsidRDefault="003A2877">
      <w:pPr>
        <w:numPr>
          <w:ilvl w:val="0"/>
          <w:numId w:val="8"/>
        </w:numPr>
        <w:pBdr>
          <w:top w:val="nil"/>
          <w:left w:val="nil"/>
          <w:bottom w:val="nil"/>
          <w:right w:val="nil"/>
          <w:between w:val="nil"/>
        </w:pBdr>
        <w:tabs>
          <w:tab w:val="left" w:pos="4962"/>
        </w:tabs>
        <w:spacing w:line="360" w:lineRule="auto"/>
        <w:ind w:left="567" w:right="567"/>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El personal que atiende los requerimientos relacionados a solicitudes de acceso a la información es reducido, ya que al día de hoy se cuenta con una persona adscrita a la Tesorería Municipal encargada de realizar el proceso de búsqueda de la información y atendiendo al periodo solicitado, manifiesta que la información se encuentra resguardada en el archivo de trámite (cuya búsqueda de carpeta y expedientes es extenuante y exhaustiva), para hacer el extracto de la misma; además si </w:t>
      </w:r>
      <w:r w:rsidRPr="006936E0">
        <w:rPr>
          <w:rFonts w:ascii="Palatino Linotype" w:eastAsia="Palatino Linotype" w:hAnsi="Palatino Linotype" w:cs="Palatino Linotype"/>
        </w:rPr>
        <w:lastRenderedPageBreak/>
        <w:t xml:space="preserve">requiere escaneo rebasa los 4,303,200 kb de peso, por lo cual, se encuentra imposibilitado a entregar la información vía Sistema de Acceso a la Información Mexiquense (SAIMEX). </w:t>
      </w:r>
    </w:p>
    <w:p w14:paraId="00D4E9B6" w14:textId="77777777" w:rsidR="00954120" w:rsidRPr="006936E0" w:rsidRDefault="00954120">
      <w:pPr>
        <w:pBdr>
          <w:top w:val="nil"/>
          <w:left w:val="nil"/>
          <w:bottom w:val="nil"/>
          <w:right w:val="nil"/>
          <w:between w:val="nil"/>
        </w:pBdr>
        <w:tabs>
          <w:tab w:val="left" w:pos="4962"/>
        </w:tabs>
        <w:spacing w:line="360" w:lineRule="auto"/>
        <w:ind w:left="1080" w:right="567"/>
        <w:jc w:val="both"/>
        <w:rPr>
          <w:rFonts w:ascii="Palatino Linotype" w:eastAsia="Palatino Linotype" w:hAnsi="Palatino Linotype" w:cs="Palatino Linotype"/>
        </w:rPr>
      </w:pPr>
    </w:p>
    <w:p w14:paraId="03168918" w14:textId="77777777" w:rsidR="00954120" w:rsidRPr="006936E0" w:rsidRDefault="003A2877">
      <w:pPr>
        <w:numPr>
          <w:ilvl w:val="0"/>
          <w:numId w:val="8"/>
        </w:numPr>
        <w:pBdr>
          <w:top w:val="nil"/>
          <w:left w:val="nil"/>
          <w:bottom w:val="nil"/>
          <w:right w:val="nil"/>
          <w:between w:val="nil"/>
        </w:pBdr>
        <w:tabs>
          <w:tab w:val="left" w:pos="4962"/>
        </w:tabs>
        <w:spacing w:line="360" w:lineRule="auto"/>
        <w:ind w:right="567"/>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Aunado a que el plazo legal es insuficiente, en razón de que a la fecha esta Tesorería Municipal, tiene en trámite para atender diversas solicitudes de información reflejadas en el SAIMEX, mismas que vencen en próximos plazos y de las que se requiere información que también se debe realizar un procesamiento y revisión para verificar si contiene información clasificada como confidencial y/o reservada, descargarla o escanearla según sea el caso. </w:t>
      </w:r>
    </w:p>
    <w:p w14:paraId="12960403" w14:textId="77777777" w:rsidR="00954120" w:rsidRPr="006936E0" w:rsidRDefault="00954120">
      <w:pPr>
        <w:pBdr>
          <w:top w:val="nil"/>
          <w:left w:val="nil"/>
          <w:bottom w:val="nil"/>
          <w:right w:val="nil"/>
          <w:between w:val="nil"/>
        </w:pBdr>
        <w:tabs>
          <w:tab w:val="left" w:pos="4962"/>
        </w:tabs>
        <w:spacing w:line="360" w:lineRule="auto"/>
        <w:ind w:left="1080" w:right="567"/>
        <w:jc w:val="both"/>
        <w:rPr>
          <w:rFonts w:ascii="Palatino Linotype" w:eastAsia="Palatino Linotype" w:hAnsi="Palatino Linotype" w:cs="Palatino Linotype"/>
        </w:rPr>
      </w:pPr>
    </w:p>
    <w:p w14:paraId="20249F19" w14:textId="77777777" w:rsidR="00954120" w:rsidRPr="006936E0" w:rsidRDefault="003A2877">
      <w:pPr>
        <w:numPr>
          <w:ilvl w:val="0"/>
          <w:numId w:val="8"/>
        </w:numPr>
        <w:pBdr>
          <w:top w:val="nil"/>
          <w:left w:val="nil"/>
          <w:bottom w:val="nil"/>
          <w:right w:val="nil"/>
          <w:between w:val="nil"/>
        </w:pBdr>
        <w:tabs>
          <w:tab w:val="left" w:pos="4962"/>
        </w:tabs>
        <w:spacing w:line="360" w:lineRule="auto"/>
        <w:ind w:right="567"/>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Dentro de la Tesorería Municipal se dispone de dos computadoras con el programa oportuno para elaborar las versiones públicas necesarias para atender las solicitudes de información, aunado a ello solamente se cuenta con escáner de la Dirección de la Tesorería, ya que las otras multifuncionales pertenecen a las demás áreas que componen esta Tesorería, las cuales son fundamentales para el trabajo de cada una y que por ende no está a disposición todo el tiempo y únicamente para realizar los escaneos necesarios para atender a esta Dirección, lo que genera pausas en el proceso de tratamiento a los documentos; cabe señalar que la adquisición de nuevas computadoras y/o escáner no se encuentra contemplado </w:t>
      </w:r>
      <w:r w:rsidRPr="006936E0">
        <w:rPr>
          <w:rFonts w:ascii="Palatino Linotype" w:eastAsia="Palatino Linotype" w:hAnsi="Palatino Linotype" w:cs="Palatino Linotype"/>
        </w:rPr>
        <w:lastRenderedPageBreak/>
        <w:t xml:space="preserve">dentro de los gastos a realizar para este ejercicio y por lo tanto, no se contempla su viabilidad. </w:t>
      </w:r>
    </w:p>
    <w:p w14:paraId="37F84F85" w14:textId="77777777" w:rsidR="00954120" w:rsidRPr="006936E0" w:rsidRDefault="00954120">
      <w:pPr>
        <w:pBdr>
          <w:top w:val="nil"/>
          <w:left w:val="nil"/>
          <w:bottom w:val="nil"/>
          <w:right w:val="nil"/>
          <w:between w:val="nil"/>
        </w:pBdr>
        <w:tabs>
          <w:tab w:val="left" w:pos="4962"/>
        </w:tabs>
        <w:spacing w:line="360" w:lineRule="auto"/>
        <w:ind w:left="1080" w:right="567"/>
        <w:jc w:val="both"/>
        <w:rPr>
          <w:rFonts w:ascii="Palatino Linotype" w:eastAsia="Palatino Linotype" w:hAnsi="Palatino Linotype" w:cs="Palatino Linotype"/>
        </w:rPr>
      </w:pPr>
    </w:p>
    <w:p w14:paraId="4C0F83CF" w14:textId="77777777" w:rsidR="00954120" w:rsidRPr="006936E0" w:rsidRDefault="003A2877">
      <w:pPr>
        <w:numPr>
          <w:ilvl w:val="0"/>
          <w:numId w:val="8"/>
        </w:numPr>
        <w:pBdr>
          <w:top w:val="nil"/>
          <w:left w:val="nil"/>
          <w:bottom w:val="nil"/>
          <w:right w:val="nil"/>
          <w:between w:val="nil"/>
        </w:pBdr>
        <w:tabs>
          <w:tab w:val="left" w:pos="4962"/>
        </w:tabs>
        <w:spacing w:line="360" w:lineRule="auto"/>
        <w:ind w:right="567"/>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Con el propósito de privilegiar una respuesta pronta, expedita y gratuita, se pone a disposición de este la información en cualquiera de las tres modalidades que refiere la Ley y las cuales tengan capacidades de almacenamiento como lo son: USB, o en su caso consulta directa in situ. </w:t>
      </w:r>
    </w:p>
    <w:p w14:paraId="0A40804F" w14:textId="77777777" w:rsidR="00954120" w:rsidRPr="006936E0" w:rsidRDefault="00954120">
      <w:pPr>
        <w:pBdr>
          <w:top w:val="nil"/>
          <w:left w:val="nil"/>
          <w:bottom w:val="nil"/>
          <w:right w:val="nil"/>
          <w:between w:val="nil"/>
        </w:pBdr>
        <w:ind w:left="708"/>
        <w:rPr>
          <w:rFonts w:ascii="Palatino Linotype" w:eastAsia="Palatino Linotype" w:hAnsi="Palatino Linotype" w:cs="Palatino Linotype"/>
        </w:rPr>
      </w:pPr>
    </w:p>
    <w:p w14:paraId="6786FD96" w14:textId="77777777" w:rsidR="00954120" w:rsidRPr="006936E0" w:rsidRDefault="003A2877">
      <w:pPr>
        <w:numPr>
          <w:ilvl w:val="0"/>
          <w:numId w:val="8"/>
        </w:numPr>
        <w:pBdr>
          <w:top w:val="nil"/>
          <w:left w:val="nil"/>
          <w:bottom w:val="nil"/>
          <w:right w:val="nil"/>
          <w:between w:val="nil"/>
        </w:pBdr>
        <w:tabs>
          <w:tab w:val="left" w:pos="4962"/>
        </w:tabs>
        <w:spacing w:line="360" w:lineRule="auto"/>
        <w:ind w:right="567"/>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Para el caso de escoger la modalidad de copias simples o certificadas, se deberá cubrir el costo respectivo por su reproducción, para los efectos correspondientes se le requiere acudir a las oficinas de la Tesorería Municipal para realizar el pago correspondiente. </w:t>
      </w:r>
    </w:p>
    <w:p w14:paraId="40BB47BF" w14:textId="77777777" w:rsidR="00954120" w:rsidRPr="006936E0" w:rsidRDefault="00954120">
      <w:pPr>
        <w:pBdr>
          <w:top w:val="nil"/>
          <w:left w:val="nil"/>
          <w:bottom w:val="nil"/>
          <w:right w:val="nil"/>
          <w:between w:val="nil"/>
        </w:pBdr>
        <w:tabs>
          <w:tab w:val="left" w:pos="4962"/>
        </w:tabs>
        <w:spacing w:line="360" w:lineRule="auto"/>
        <w:ind w:left="1080" w:right="567"/>
        <w:jc w:val="both"/>
        <w:rPr>
          <w:rFonts w:ascii="Palatino Linotype" w:eastAsia="Palatino Linotype" w:hAnsi="Palatino Linotype" w:cs="Palatino Linotype"/>
        </w:rPr>
      </w:pPr>
    </w:p>
    <w:p w14:paraId="6BBC4592" w14:textId="77777777" w:rsidR="00954120" w:rsidRPr="006936E0" w:rsidRDefault="003A2877">
      <w:pPr>
        <w:pBdr>
          <w:top w:val="nil"/>
          <w:left w:val="nil"/>
          <w:bottom w:val="nil"/>
          <w:right w:val="nil"/>
          <w:between w:val="nil"/>
        </w:pBdr>
        <w:tabs>
          <w:tab w:val="left" w:pos="4962"/>
        </w:tabs>
        <w:spacing w:line="360" w:lineRule="auto"/>
        <w:ind w:left="1080" w:right="567"/>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En caso de seleccionar la modalidad de consulta directa, el solicitante deberá presentarse en las oficinas de la Tesorería, </w:t>
      </w:r>
      <w:r w:rsidRPr="006936E0">
        <w:rPr>
          <w:rFonts w:ascii="Palatino Linotype" w:eastAsia="Palatino Linotype" w:hAnsi="Palatino Linotype" w:cs="Palatino Linotype"/>
          <w:b/>
          <w:u w:val="single"/>
        </w:rPr>
        <w:t xml:space="preserve">el día 30 de noviembre de 2022 en un horario de 17:00 a 18:00, </w:t>
      </w:r>
      <w:r w:rsidRPr="006936E0">
        <w:rPr>
          <w:rFonts w:ascii="Palatino Linotype" w:eastAsia="Palatino Linotype" w:hAnsi="Palatino Linotype" w:cs="Palatino Linotype"/>
        </w:rPr>
        <w:t>para consultar los documentos requeridos, el solicitante deberá presentarse con el Enlace de Transparencia, en el día y horario indicado.</w:t>
      </w:r>
    </w:p>
    <w:p w14:paraId="30C5F46A" w14:textId="77777777" w:rsidR="00954120" w:rsidRPr="006936E0" w:rsidRDefault="00954120">
      <w:pPr>
        <w:pBdr>
          <w:top w:val="nil"/>
          <w:left w:val="nil"/>
          <w:bottom w:val="nil"/>
          <w:right w:val="nil"/>
          <w:between w:val="nil"/>
        </w:pBdr>
        <w:tabs>
          <w:tab w:val="left" w:pos="4962"/>
        </w:tabs>
        <w:spacing w:line="360" w:lineRule="auto"/>
        <w:ind w:left="1080" w:right="567"/>
        <w:jc w:val="both"/>
        <w:rPr>
          <w:rFonts w:ascii="Palatino Linotype" w:eastAsia="Palatino Linotype" w:hAnsi="Palatino Linotype" w:cs="Palatino Linotype"/>
        </w:rPr>
      </w:pPr>
    </w:p>
    <w:p w14:paraId="353E6272"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Es de precisar que una vez analizado este documento, se determinó ponerse a la vista de la parte </w:t>
      </w:r>
      <w:r w:rsidRPr="006936E0">
        <w:rPr>
          <w:rFonts w:ascii="Palatino Linotype" w:eastAsia="Palatino Linotype" w:hAnsi="Palatino Linotype" w:cs="Palatino Linotype"/>
          <w:b/>
        </w:rPr>
        <w:t xml:space="preserve">Recurrente, </w:t>
      </w:r>
      <w:r w:rsidRPr="006936E0">
        <w:rPr>
          <w:rFonts w:ascii="Palatino Linotype" w:eastAsia="Palatino Linotype" w:hAnsi="Palatino Linotype" w:cs="Palatino Linotype"/>
        </w:rPr>
        <w:t xml:space="preserve">el </w:t>
      </w:r>
      <w:r w:rsidRPr="006936E0">
        <w:rPr>
          <w:rFonts w:ascii="Palatino Linotype" w:eastAsia="Palatino Linotype" w:hAnsi="Palatino Linotype" w:cs="Palatino Linotype"/>
          <w:b/>
        </w:rPr>
        <w:t>veinticuatro de noviembre de dos mil veintidós</w:t>
      </w:r>
      <w:r w:rsidRPr="006936E0">
        <w:rPr>
          <w:rFonts w:ascii="Palatino Linotype" w:eastAsia="Palatino Linotype" w:hAnsi="Palatino Linotype" w:cs="Palatino Linotype"/>
        </w:rPr>
        <w:t xml:space="preserve">, </w:t>
      </w:r>
      <w:r w:rsidRPr="006936E0">
        <w:rPr>
          <w:rFonts w:ascii="Palatino Linotype" w:eastAsia="Palatino Linotype" w:hAnsi="Palatino Linotype" w:cs="Palatino Linotype"/>
        </w:rPr>
        <w:lastRenderedPageBreak/>
        <w:t>para su conocimiento. Asimismo por cuanto hace a la parte Recurrente, se advierte que no emitió pronunciamiento alguno, por lo que se tiene por precluido su derecho para tal efecto.</w:t>
      </w:r>
    </w:p>
    <w:p w14:paraId="35538462"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noProof/>
          <w:lang w:eastAsia="es-MX"/>
        </w:rPr>
        <w:drawing>
          <wp:inline distT="0" distB="0" distL="0" distR="0" wp14:anchorId="27CF8B3A" wp14:editId="601CEFFC">
            <wp:extent cx="5581015" cy="1814830"/>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581015" cy="1814830"/>
                    </a:xfrm>
                    <a:prstGeom prst="rect">
                      <a:avLst/>
                    </a:prstGeom>
                    <a:ln/>
                  </pic:spPr>
                </pic:pic>
              </a:graphicData>
            </a:graphic>
          </wp:inline>
        </w:drawing>
      </w:r>
    </w:p>
    <w:p w14:paraId="600A7CB1"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 </w:t>
      </w:r>
    </w:p>
    <w:p w14:paraId="0D5E6B05"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10. Cierre de instrucción.</w:t>
      </w:r>
      <w:r w:rsidRPr="006936E0">
        <w:rPr>
          <w:rFonts w:ascii="Palatino Linotype" w:eastAsia="Palatino Linotype" w:hAnsi="Palatino Linotype" w:cs="Palatino Linotype"/>
        </w:rPr>
        <w:t xml:space="preserve"> El </w:t>
      </w:r>
      <w:r w:rsidRPr="006936E0">
        <w:rPr>
          <w:rFonts w:ascii="Palatino Linotype" w:eastAsia="Palatino Linotype" w:hAnsi="Palatino Linotype" w:cs="Palatino Linotype"/>
          <w:b/>
        </w:rPr>
        <w:t>siete de diciembre de dos mil veintidós</w:t>
      </w:r>
      <w:r w:rsidRPr="006936E0">
        <w:rPr>
          <w:rFonts w:ascii="Palatino Linotype" w:eastAsia="Palatino Linotype" w:hAnsi="Palatino Linotype" w:cs="Palatino Linotype"/>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 </w:t>
      </w:r>
    </w:p>
    <w:p w14:paraId="7A3C54B0" w14:textId="77777777" w:rsidR="00954120" w:rsidRPr="006936E0" w:rsidRDefault="00954120">
      <w:pPr>
        <w:spacing w:line="360" w:lineRule="auto"/>
        <w:jc w:val="both"/>
        <w:rPr>
          <w:rFonts w:ascii="Palatino Linotype" w:eastAsia="Palatino Linotype" w:hAnsi="Palatino Linotype" w:cs="Palatino Linotype"/>
        </w:rPr>
      </w:pPr>
    </w:p>
    <w:p w14:paraId="7789D4C7" w14:textId="77777777" w:rsidR="00954120" w:rsidRPr="006936E0" w:rsidRDefault="003A2877">
      <w:pPr>
        <w:widowControl w:val="0"/>
        <w:spacing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11. Ampliación del plazo para emitir resolución.</w:t>
      </w:r>
      <w:r w:rsidRPr="006936E0">
        <w:rPr>
          <w:rFonts w:ascii="Palatino Linotype" w:eastAsia="Palatino Linotype" w:hAnsi="Palatino Linotype" w:cs="Palatino Linotype"/>
        </w:rPr>
        <w:t xml:space="preserve"> El </w:t>
      </w:r>
      <w:r w:rsidRPr="006936E0">
        <w:rPr>
          <w:rFonts w:ascii="Palatino Linotype" w:eastAsia="Palatino Linotype" w:hAnsi="Palatino Linotype" w:cs="Palatino Linotype"/>
          <w:b/>
        </w:rPr>
        <w:t>siete de diciembre del año dos mil veintidós</w:t>
      </w:r>
      <w:r w:rsidRPr="006936E0">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7DB4C568"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durante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1B06355F" w14:textId="77777777" w:rsidR="00954120" w:rsidRPr="006936E0" w:rsidRDefault="00954120">
      <w:pPr>
        <w:spacing w:line="360" w:lineRule="auto"/>
        <w:jc w:val="both"/>
        <w:rPr>
          <w:rFonts w:ascii="Palatino Linotype" w:eastAsia="Palatino Linotype" w:hAnsi="Palatino Linotype" w:cs="Palatino Linotype"/>
        </w:rPr>
      </w:pPr>
    </w:p>
    <w:p w14:paraId="583A4A76"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F477F9C" w14:textId="77777777" w:rsidR="00954120" w:rsidRPr="006936E0" w:rsidRDefault="00954120">
      <w:pPr>
        <w:spacing w:line="360" w:lineRule="auto"/>
        <w:jc w:val="both"/>
        <w:rPr>
          <w:rFonts w:ascii="Palatino Linotype" w:eastAsia="Palatino Linotype" w:hAnsi="Palatino Linotype" w:cs="Palatino Linotype"/>
        </w:rPr>
      </w:pPr>
    </w:p>
    <w:p w14:paraId="04F76F59"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775D7C" w14:textId="77777777" w:rsidR="00954120" w:rsidRPr="006936E0" w:rsidRDefault="00954120">
      <w:pPr>
        <w:spacing w:line="360" w:lineRule="auto"/>
        <w:jc w:val="both"/>
        <w:rPr>
          <w:rFonts w:ascii="Palatino Linotype" w:eastAsia="Palatino Linotype" w:hAnsi="Palatino Linotype" w:cs="Palatino Linotype"/>
        </w:rPr>
      </w:pPr>
    </w:p>
    <w:p w14:paraId="354A21B5"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7FBF76A" w14:textId="77777777" w:rsidR="00954120" w:rsidRPr="006936E0" w:rsidRDefault="003A2877">
      <w:pPr>
        <w:spacing w:line="360" w:lineRule="auto"/>
        <w:jc w:val="both"/>
        <w:rPr>
          <w:rFonts w:ascii="Palatino Linotype" w:eastAsia="Palatino Linotype" w:hAnsi="Palatino Linotype" w:cs="Palatino Linotype"/>
          <w:strike/>
        </w:rPr>
      </w:pPr>
      <w:r w:rsidRPr="006936E0">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84F9579" w14:textId="77777777" w:rsidR="00954120" w:rsidRPr="006936E0" w:rsidRDefault="00954120">
      <w:pPr>
        <w:spacing w:line="360" w:lineRule="auto"/>
        <w:jc w:val="both"/>
        <w:rPr>
          <w:rFonts w:ascii="Palatino Linotype" w:eastAsia="Palatino Linotype" w:hAnsi="Palatino Linotype" w:cs="Palatino Linotype"/>
        </w:rPr>
      </w:pPr>
    </w:p>
    <w:p w14:paraId="4025EF17" w14:textId="77777777" w:rsidR="00954120" w:rsidRPr="006936E0" w:rsidRDefault="003A2877">
      <w:pPr>
        <w:numPr>
          <w:ilvl w:val="0"/>
          <w:numId w:val="1"/>
        </w:numPr>
        <w:spacing w:line="360" w:lineRule="auto"/>
        <w:ind w:left="567" w:right="900" w:hanging="283"/>
        <w:jc w:val="both"/>
        <w:rPr>
          <w:rFonts w:ascii="Palatino Linotype" w:eastAsia="Palatino Linotype" w:hAnsi="Palatino Linotype" w:cs="Palatino Linotype"/>
        </w:rPr>
      </w:pPr>
      <w:r w:rsidRPr="006936E0">
        <w:rPr>
          <w:rFonts w:ascii="Palatino Linotype" w:eastAsia="Palatino Linotype" w:hAnsi="Palatino Linotype" w:cs="Palatino Linotype"/>
          <w:b/>
        </w:rPr>
        <w:t>Complejidad del Asunto</w:t>
      </w:r>
      <w:r w:rsidRPr="006936E0">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A521EAC" w14:textId="77777777" w:rsidR="00954120" w:rsidRPr="006936E0" w:rsidRDefault="00954120">
      <w:pPr>
        <w:spacing w:line="360" w:lineRule="auto"/>
        <w:ind w:left="927"/>
        <w:jc w:val="both"/>
        <w:rPr>
          <w:rFonts w:ascii="Palatino Linotype" w:eastAsia="Palatino Linotype" w:hAnsi="Palatino Linotype" w:cs="Palatino Linotype"/>
        </w:rPr>
      </w:pPr>
    </w:p>
    <w:p w14:paraId="0B6F73BF" w14:textId="77777777" w:rsidR="00954120" w:rsidRPr="006936E0" w:rsidRDefault="003A2877">
      <w:pPr>
        <w:numPr>
          <w:ilvl w:val="0"/>
          <w:numId w:val="1"/>
        </w:numPr>
        <w:spacing w:line="360" w:lineRule="auto"/>
        <w:ind w:left="567" w:right="900" w:hanging="141"/>
        <w:jc w:val="both"/>
        <w:rPr>
          <w:rFonts w:ascii="Palatino Linotype" w:eastAsia="Palatino Linotype" w:hAnsi="Palatino Linotype" w:cs="Palatino Linotype"/>
        </w:rPr>
      </w:pPr>
      <w:r w:rsidRPr="006936E0">
        <w:rPr>
          <w:rFonts w:ascii="Palatino Linotype" w:eastAsia="Palatino Linotype" w:hAnsi="Palatino Linotype" w:cs="Palatino Linotype"/>
          <w:b/>
        </w:rPr>
        <w:t>Actividad Procesal del interesado.</w:t>
      </w:r>
      <w:r w:rsidRPr="006936E0">
        <w:rPr>
          <w:rFonts w:ascii="Palatino Linotype" w:eastAsia="Palatino Linotype" w:hAnsi="Palatino Linotype" w:cs="Palatino Linotype"/>
        </w:rPr>
        <w:t xml:space="preserve"> Acciones u omisiones del interesado.</w:t>
      </w:r>
    </w:p>
    <w:p w14:paraId="4DB80FE6" w14:textId="77777777" w:rsidR="00954120" w:rsidRPr="006936E0" w:rsidRDefault="00954120">
      <w:pPr>
        <w:spacing w:line="360" w:lineRule="auto"/>
        <w:ind w:left="567" w:right="900" w:hanging="141"/>
        <w:jc w:val="both"/>
        <w:rPr>
          <w:rFonts w:ascii="Palatino Linotype" w:eastAsia="Palatino Linotype" w:hAnsi="Palatino Linotype" w:cs="Palatino Linotype"/>
        </w:rPr>
      </w:pPr>
    </w:p>
    <w:p w14:paraId="2946B629" w14:textId="77777777" w:rsidR="00954120" w:rsidRPr="006936E0" w:rsidRDefault="003A2877">
      <w:pPr>
        <w:numPr>
          <w:ilvl w:val="0"/>
          <w:numId w:val="1"/>
        </w:numPr>
        <w:spacing w:line="360" w:lineRule="auto"/>
        <w:ind w:left="567" w:right="900" w:hanging="141"/>
        <w:jc w:val="both"/>
        <w:rPr>
          <w:rFonts w:ascii="Palatino Linotype" w:eastAsia="Palatino Linotype" w:hAnsi="Palatino Linotype" w:cs="Palatino Linotype"/>
        </w:rPr>
      </w:pPr>
      <w:r w:rsidRPr="006936E0">
        <w:rPr>
          <w:rFonts w:ascii="Palatino Linotype" w:eastAsia="Palatino Linotype" w:hAnsi="Palatino Linotype" w:cs="Palatino Linotype"/>
          <w:b/>
        </w:rPr>
        <w:t>Conducta de la Autoridad:</w:t>
      </w:r>
      <w:r w:rsidRPr="006936E0">
        <w:rPr>
          <w:rFonts w:ascii="Palatino Linotype" w:eastAsia="Palatino Linotype" w:hAnsi="Palatino Linotype" w:cs="Palatino Linotype"/>
        </w:rPr>
        <w:t xml:space="preserve"> Las Acciones u omisiones realizadas en el procedimiento. Así como si la autoridad actuó con la debida diligencia.</w:t>
      </w:r>
    </w:p>
    <w:p w14:paraId="18C700F0" w14:textId="77777777" w:rsidR="00954120" w:rsidRPr="006936E0" w:rsidRDefault="00954120">
      <w:pPr>
        <w:spacing w:line="360" w:lineRule="auto"/>
        <w:ind w:left="567" w:right="900" w:hanging="283"/>
        <w:rPr>
          <w:rFonts w:ascii="Palatino Linotype" w:eastAsia="Palatino Linotype" w:hAnsi="Palatino Linotype" w:cs="Palatino Linotype"/>
        </w:rPr>
      </w:pPr>
    </w:p>
    <w:p w14:paraId="257BB9F3" w14:textId="77777777" w:rsidR="00954120" w:rsidRPr="006936E0" w:rsidRDefault="003A2877">
      <w:pPr>
        <w:spacing w:line="360" w:lineRule="auto"/>
        <w:ind w:left="567" w:right="900" w:hanging="283"/>
        <w:jc w:val="both"/>
        <w:rPr>
          <w:rFonts w:ascii="Palatino Linotype" w:eastAsia="Palatino Linotype" w:hAnsi="Palatino Linotype" w:cs="Palatino Linotype"/>
        </w:rPr>
      </w:pPr>
      <w:r w:rsidRPr="006936E0">
        <w:rPr>
          <w:rFonts w:ascii="Palatino Linotype" w:eastAsia="Palatino Linotype" w:hAnsi="Palatino Linotype" w:cs="Palatino Linotype"/>
          <w:b/>
        </w:rPr>
        <w:t>d) La afectación generada en la situación jurídica de la persona involucrada en el proceso:</w:t>
      </w:r>
      <w:r w:rsidRPr="006936E0">
        <w:rPr>
          <w:rFonts w:ascii="Palatino Linotype" w:eastAsia="Palatino Linotype" w:hAnsi="Palatino Linotype" w:cs="Palatino Linotype"/>
        </w:rPr>
        <w:t xml:space="preserve"> Violación a sus derechos humanos.</w:t>
      </w:r>
    </w:p>
    <w:p w14:paraId="1699730D" w14:textId="77777777" w:rsidR="00954120" w:rsidRPr="006936E0" w:rsidRDefault="00954120">
      <w:pPr>
        <w:spacing w:line="360" w:lineRule="auto"/>
        <w:jc w:val="both"/>
        <w:rPr>
          <w:rFonts w:ascii="Palatino Linotype" w:eastAsia="Palatino Linotype" w:hAnsi="Palatino Linotype" w:cs="Palatino Linotype"/>
        </w:rPr>
      </w:pPr>
    </w:p>
    <w:p w14:paraId="17DF700C"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DA4A48" w14:textId="77777777" w:rsidR="00954120" w:rsidRPr="006936E0" w:rsidRDefault="003A2877">
      <w:pPr>
        <w:spacing w:line="360" w:lineRule="auto"/>
        <w:jc w:val="both"/>
        <w:rPr>
          <w:rFonts w:ascii="Palatino Linotype" w:eastAsia="Palatino Linotype" w:hAnsi="Palatino Linotype" w:cs="Palatino Linotype"/>
          <w:b/>
        </w:rPr>
      </w:pPr>
      <w:r w:rsidRPr="006936E0">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6936E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936E0">
        <w:rPr>
          <w:rFonts w:ascii="Palatino Linotype" w:eastAsia="Palatino Linotype" w:hAnsi="Palatino Linotype" w:cs="Palatino Linotype"/>
        </w:rPr>
        <w:t>, visible en la Gaceta del Seminario Judicial de la Federación con el registro digital 205635.</w:t>
      </w:r>
    </w:p>
    <w:p w14:paraId="5E60A8C3" w14:textId="77777777" w:rsidR="00954120" w:rsidRPr="006936E0" w:rsidRDefault="00954120">
      <w:pPr>
        <w:spacing w:line="360" w:lineRule="auto"/>
        <w:jc w:val="both"/>
        <w:rPr>
          <w:rFonts w:ascii="Palatino Linotype" w:eastAsia="Palatino Linotype" w:hAnsi="Palatino Linotype" w:cs="Palatino Linotype"/>
        </w:rPr>
      </w:pPr>
    </w:p>
    <w:p w14:paraId="3D371D60"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6ED23B" w14:textId="77777777" w:rsidR="00954120" w:rsidRPr="006936E0" w:rsidRDefault="00954120">
      <w:pPr>
        <w:spacing w:line="360" w:lineRule="auto"/>
        <w:jc w:val="both"/>
        <w:rPr>
          <w:rFonts w:ascii="Palatino Linotype" w:eastAsia="Palatino Linotype" w:hAnsi="Palatino Linotype" w:cs="Palatino Linotype"/>
        </w:rPr>
      </w:pPr>
    </w:p>
    <w:p w14:paraId="6483D98E"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13DF84D" w14:textId="77777777" w:rsidR="00954120" w:rsidRPr="006936E0" w:rsidRDefault="00954120">
      <w:pPr>
        <w:spacing w:line="360" w:lineRule="auto"/>
        <w:jc w:val="both"/>
        <w:rPr>
          <w:rFonts w:ascii="Palatino Linotype" w:eastAsia="Palatino Linotype" w:hAnsi="Palatino Linotype" w:cs="Palatino Linotype"/>
        </w:rPr>
      </w:pPr>
    </w:p>
    <w:p w14:paraId="316B620A"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lastRenderedPageBreak/>
        <w:t xml:space="preserve"> </w:t>
      </w:r>
      <w:r w:rsidRPr="006936E0">
        <w:rPr>
          <w:rFonts w:ascii="Palatino Linotype" w:eastAsia="Palatino Linotype" w:hAnsi="Palatino Linotype" w:cs="Palatino Linotype"/>
          <w:i/>
        </w:rPr>
        <w:t>“PLAZO RAZONABLE PARA RESOLVER. DIMENSIÓN Y EFECTOS DE ESTE CONCEPTO CUANDO SE ADUCE EXCESIVA CARGA DE TRABAJO.”</w:t>
      </w:r>
      <w:r w:rsidRPr="006936E0">
        <w:rPr>
          <w:rFonts w:ascii="Palatino Linotype" w:eastAsia="Palatino Linotype" w:hAnsi="Palatino Linotype" w:cs="Palatino Linotype"/>
        </w:rPr>
        <w:t xml:space="preserve"> consultable en el Seminario Judicial de la Federación y su gaceta, con el registro digital 2002351.</w:t>
      </w:r>
    </w:p>
    <w:p w14:paraId="7F9CD8B8"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i/>
        </w:rPr>
        <w:t>“PLAZO RAZONABLE PARA RESOLVER. CONCEPTO Y ELEMENTOS QUE LO INTEGRAN A LA LUZ DEL DERECHO INTERNACIONAL DE LOS DERECHOS HUMANOS.”</w:t>
      </w:r>
      <w:r w:rsidRPr="006936E0">
        <w:rPr>
          <w:rFonts w:ascii="Palatino Linotype" w:eastAsia="Palatino Linotype" w:hAnsi="Palatino Linotype" w:cs="Palatino Linotype"/>
        </w:rPr>
        <w:t>, visible en el Seminario Judicial de la Federación y su gaceta, con el registro digital 2002350.</w:t>
      </w:r>
    </w:p>
    <w:p w14:paraId="3F3308CC" w14:textId="77777777" w:rsidR="00954120" w:rsidRPr="006936E0" w:rsidRDefault="00954120">
      <w:pPr>
        <w:spacing w:line="360" w:lineRule="auto"/>
        <w:jc w:val="both"/>
        <w:rPr>
          <w:rFonts w:ascii="Palatino Linotype" w:eastAsia="Palatino Linotype" w:hAnsi="Palatino Linotype" w:cs="Palatino Linotype"/>
        </w:rPr>
      </w:pPr>
    </w:p>
    <w:p w14:paraId="23E560FD"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1C68C73"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12. Requerimiento de información adicional.</w:t>
      </w:r>
      <w:r w:rsidRPr="006936E0">
        <w:rPr>
          <w:rFonts w:ascii="Palatino Linotype" w:eastAsia="Palatino Linotype" w:hAnsi="Palatino Linotype" w:cs="Palatino Linotype"/>
        </w:rPr>
        <w:t xml:space="preserve"> El </w:t>
      </w:r>
      <w:r w:rsidRPr="006936E0">
        <w:rPr>
          <w:rFonts w:ascii="Palatino Linotype" w:eastAsia="Palatino Linotype" w:hAnsi="Palatino Linotype" w:cs="Palatino Linotype"/>
          <w:b/>
        </w:rPr>
        <w:t>siete de diciembre de dos mil veintidós</w:t>
      </w:r>
      <w:r w:rsidRPr="006936E0">
        <w:rPr>
          <w:rFonts w:ascii="Palatino Linotype" w:eastAsia="Palatino Linotype" w:hAnsi="Palatino Linotype" w:cs="Palatino Linotype"/>
        </w:rPr>
        <w:t xml:space="preserve">, se envió por correo electrónico un requerimiento de información adicional al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el cual consistió en lo siguiente:</w:t>
      </w:r>
    </w:p>
    <w:p w14:paraId="2906D6A5"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noProof/>
          <w:lang w:eastAsia="es-MX"/>
        </w:rPr>
        <w:drawing>
          <wp:inline distT="0" distB="0" distL="0" distR="0" wp14:anchorId="512F6E10" wp14:editId="239E3BA6">
            <wp:extent cx="6002414" cy="2525116"/>
            <wp:effectExtent l="0" t="0" r="0" b="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002414" cy="2525116"/>
                    </a:xfrm>
                    <a:prstGeom prst="rect">
                      <a:avLst/>
                    </a:prstGeom>
                    <a:ln/>
                  </pic:spPr>
                </pic:pic>
              </a:graphicData>
            </a:graphic>
          </wp:inline>
        </w:drawing>
      </w:r>
    </w:p>
    <w:p w14:paraId="06653AA2"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noProof/>
          <w:lang w:eastAsia="es-MX"/>
        </w:rPr>
        <w:lastRenderedPageBreak/>
        <w:drawing>
          <wp:inline distT="0" distB="0" distL="0" distR="0" wp14:anchorId="08630EFF" wp14:editId="5B430F3F">
            <wp:extent cx="5729736" cy="6801388"/>
            <wp:effectExtent l="0" t="0" r="0" b="0"/>
            <wp:docPr id="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729736" cy="6801388"/>
                    </a:xfrm>
                    <a:prstGeom prst="rect">
                      <a:avLst/>
                    </a:prstGeom>
                    <a:ln/>
                  </pic:spPr>
                </pic:pic>
              </a:graphicData>
            </a:graphic>
          </wp:inline>
        </w:drawing>
      </w:r>
    </w:p>
    <w:p w14:paraId="7486FF49" w14:textId="77777777" w:rsidR="00954120" w:rsidRPr="006936E0" w:rsidRDefault="00954120">
      <w:pPr>
        <w:spacing w:before="240" w:after="240" w:line="360" w:lineRule="auto"/>
        <w:jc w:val="both"/>
        <w:rPr>
          <w:rFonts w:ascii="Palatino Linotype" w:eastAsia="Palatino Linotype" w:hAnsi="Palatino Linotype" w:cs="Palatino Linotype"/>
        </w:rPr>
      </w:pPr>
    </w:p>
    <w:p w14:paraId="79FC9AB0"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noProof/>
          <w:lang w:eastAsia="es-MX"/>
        </w:rPr>
        <w:lastRenderedPageBreak/>
        <w:drawing>
          <wp:inline distT="0" distB="0" distL="0" distR="0" wp14:anchorId="36ACD016" wp14:editId="1EB79A8F">
            <wp:extent cx="5612130" cy="3257550"/>
            <wp:effectExtent l="0" t="0" r="0" b="0"/>
            <wp:docPr id="7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612130" cy="3257550"/>
                    </a:xfrm>
                    <a:prstGeom prst="rect">
                      <a:avLst/>
                    </a:prstGeom>
                    <a:ln/>
                  </pic:spPr>
                </pic:pic>
              </a:graphicData>
            </a:graphic>
          </wp:inline>
        </w:drawing>
      </w:r>
    </w:p>
    <w:p w14:paraId="6AC745D9"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Resulta importante mencionar que el </w:t>
      </w:r>
      <w:r w:rsidRPr="006936E0">
        <w:rPr>
          <w:rFonts w:ascii="Palatino Linotype" w:eastAsia="Palatino Linotype" w:hAnsi="Palatino Linotype" w:cs="Palatino Linotype"/>
          <w:b/>
        </w:rPr>
        <w:t>doce de diciembre de dos mil veintidós</w:t>
      </w:r>
      <w:r w:rsidRPr="006936E0">
        <w:rPr>
          <w:rFonts w:ascii="Palatino Linotype" w:eastAsia="Palatino Linotype" w:hAnsi="Palatino Linotype" w:cs="Palatino Linotype"/>
        </w:rPr>
        <w:t xml:space="preserve">, 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remitió su respuesta al requerimiento de información adicional, misma que se desahogó en los términos siguientes: </w:t>
      </w:r>
      <w:r w:rsidRPr="006936E0">
        <w:rPr>
          <w:noProof/>
          <w:lang w:eastAsia="es-MX"/>
        </w:rPr>
        <w:drawing>
          <wp:anchor distT="0" distB="0" distL="114300" distR="114300" simplePos="0" relativeHeight="251659264" behindDoc="0" locked="0" layoutInCell="1" hidden="0" allowOverlap="1" wp14:anchorId="04B12D21" wp14:editId="1C1D01EA">
            <wp:simplePos x="0" y="0"/>
            <wp:positionH relativeFrom="column">
              <wp:posOffset>-422907</wp:posOffset>
            </wp:positionH>
            <wp:positionV relativeFrom="paragraph">
              <wp:posOffset>1093470</wp:posOffset>
            </wp:positionV>
            <wp:extent cx="6513830" cy="2581275"/>
            <wp:effectExtent l="0" t="0" r="0" b="0"/>
            <wp:wrapTopAndBottom distT="0" dist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513830" cy="2581275"/>
                    </a:xfrm>
                    <a:prstGeom prst="rect">
                      <a:avLst/>
                    </a:prstGeom>
                    <a:ln/>
                  </pic:spPr>
                </pic:pic>
              </a:graphicData>
            </a:graphic>
          </wp:anchor>
        </w:drawing>
      </w:r>
    </w:p>
    <w:p w14:paraId="79CF9608"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noProof/>
          <w:lang w:eastAsia="es-MX"/>
        </w:rPr>
        <w:lastRenderedPageBreak/>
        <w:drawing>
          <wp:inline distT="0" distB="0" distL="0" distR="0" wp14:anchorId="1FDF26F5" wp14:editId="4EE63A47">
            <wp:extent cx="5612130" cy="7066280"/>
            <wp:effectExtent l="0" t="0" r="0" b="0"/>
            <wp:docPr id="7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5612130" cy="7066280"/>
                    </a:xfrm>
                    <a:prstGeom prst="rect">
                      <a:avLst/>
                    </a:prstGeom>
                    <a:ln/>
                  </pic:spPr>
                </pic:pic>
              </a:graphicData>
            </a:graphic>
          </wp:inline>
        </w:drawing>
      </w:r>
    </w:p>
    <w:p w14:paraId="2BBBA905"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noProof/>
          <w:lang w:eastAsia="es-MX"/>
        </w:rPr>
        <w:lastRenderedPageBreak/>
        <w:drawing>
          <wp:inline distT="0" distB="0" distL="0" distR="0" wp14:anchorId="71569540" wp14:editId="21A8A1D3">
            <wp:extent cx="5131163" cy="7003343"/>
            <wp:effectExtent l="0" t="0" r="0" b="0"/>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131163" cy="7003343"/>
                    </a:xfrm>
                    <a:prstGeom prst="rect">
                      <a:avLst/>
                    </a:prstGeom>
                    <a:ln/>
                  </pic:spPr>
                </pic:pic>
              </a:graphicData>
            </a:graphic>
          </wp:inline>
        </w:drawing>
      </w:r>
    </w:p>
    <w:p w14:paraId="594FDEE2" w14:textId="77777777" w:rsidR="00954120" w:rsidRPr="006936E0" w:rsidRDefault="003A2877">
      <w:pPr>
        <w:spacing w:before="240" w:after="240" w:line="360" w:lineRule="auto"/>
        <w:jc w:val="center"/>
        <w:rPr>
          <w:rFonts w:ascii="Palatino Linotype" w:eastAsia="Palatino Linotype" w:hAnsi="Palatino Linotype" w:cs="Palatino Linotype"/>
        </w:rPr>
      </w:pPr>
      <w:r w:rsidRPr="006936E0">
        <w:rPr>
          <w:rFonts w:ascii="Palatino Linotype" w:eastAsia="Palatino Linotype" w:hAnsi="Palatino Linotype" w:cs="Palatino Linotype"/>
          <w:noProof/>
          <w:lang w:eastAsia="es-MX"/>
        </w:rPr>
        <w:lastRenderedPageBreak/>
        <w:drawing>
          <wp:inline distT="0" distB="0" distL="0" distR="0" wp14:anchorId="5D54F2F1" wp14:editId="1EF8F8D8">
            <wp:extent cx="5068007" cy="4115374"/>
            <wp:effectExtent l="0" t="0" r="0" b="0"/>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068007" cy="4115374"/>
                    </a:xfrm>
                    <a:prstGeom prst="rect">
                      <a:avLst/>
                    </a:prstGeom>
                    <a:ln/>
                  </pic:spPr>
                </pic:pic>
              </a:graphicData>
            </a:graphic>
          </wp:inline>
        </w:drawing>
      </w:r>
    </w:p>
    <w:p w14:paraId="68267B89" w14:textId="77777777" w:rsidR="00954120" w:rsidRPr="006936E0" w:rsidRDefault="003A2877">
      <w:pPr>
        <w:pBdr>
          <w:top w:val="nil"/>
          <w:left w:val="nil"/>
          <w:bottom w:val="nil"/>
          <w:right w:val="nil"/>
          <w:between w:val="nil"/>
        </w:pBdr>
        <w:spacing w:before="240" w:after="240" w:line="360" w:lineRule="auto"/>
        <w:jc w:val="both"/>
      </w:pPr>
      <w:r w:rsidRPr="006936E0">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14:paraId="275E2524" w14:textId="77777777" w:rsidR="00954120" w:rsidRPr="006936E0" w:rsidRDefault="003A287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936E0">
        <w:rPr>
          <w:rFonts w:ascii="Palatino Linotype" w:eastAsia="Palatino Linotype" w:hAnsi="Palatino Linotype" w:cs="Palatino Linotype"/>
          <w:b/>
        </w:rPr>
        <w:t>II. C O N S I D E R A N D O S</w:t>
      </w:r>
    </w:p>
    <w:p w14:paraId="61C39EE8"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Primero. Competencia.</w:t>
      </w:r>
      <w:r w:rsidRPr="006936E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6936E0">
        <w:rPr>
          <w:rFonts w:ascii="Palatino Linotype" w:eastAsia="Palatino Linotype" w:hAnsi="Palatino Linotype" w:cs="Palatino Linotype"/>
          <w:b/>
        </w:rPr>
        <w:t>la parte</w:t>
      </w:r>
      <w:r w:rsidRPr="006936E0">
        <w:rPr>
          <w:rFonts w:ascii="Palatino Linotype" w:eastAsia="Palatino Linotype" w:hAnsi="Palatino Linotype" w:cs="Palatino Linotype"/>
        </w:rPr>
        <w:t xml:space="preserve"> </w:t>
      </w:r>
      <w:r w:rsidRPr="006936E0">
        <w:rPr>
          <w:rFonts w:ascii="Palatino Linotype" w:eastAsia="Palatino Linotype" w:hAnsi="Palatino Linotype" w:cs="Palatino Linotype"/>
          <w:b/>
        </w:rPr>
        <w:t>Recurrente</w:t>
      </w:r>
      <w:r w:rsidRPr="006936E0">
        <w:rPr>
          <w:rFonts w:ascii="Palatino Linotype" w:eastAsia="Palatino Linotype" w:hAnsi="Palatino Linotype" w:cs="Palatino Linotype"/>
        </w:rPr>
        <w:t xml:space="preserve">, conforme a lo dispuesto en los artículos 6, apartado A de la Constitución Política de los Estados Unidos Mexicanos; 5 párrafos trigésimo, </w:t>
      </w:r>
      <w:r w:rsidRPr="006936E0">
        <w:rPr>
          <w:rFonts w:ascii="Palatino Linotype" w:eastAsia="Palatino Linotype" w:hAnsi="Palatino Linotype" w:cs="Palatino Linotype"/>
        </w:rPr>
        <w:lastRenderedPageBreak/>
        <w:t>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8B41967" w14:textId="77777777" w:rsidR="00954120" w:rsidRPr="006936E0" w:rsidRDefault="003A2877">
      <w:pPr>
        <w:spacing w:line="360" w:lineRule="auto"/>
        <w:jc w:val="both"/>
        <w:rPr>
          <w:rFonts w:ascii="Palatino Linotype" w:eastAsia="Palatino Linotype" w:hAnsi="Palatino Linotype" w:cs="Palatino Linotype"/>
          <w:b/>
        </w:rPr>
      </w:pPr>
      <w:r w:rsidRPr="006936E0">
        <w:rPr>
          <w:rFonts w:ascii="Palatino Linotype" w:eastAsia="Palatino Linotype" w:hAnsi="Palatino Linotype" w:cs="Palatino Linotype"/>
          <w:b/>
        </w:rPr>
        <w:t>Segundo</w:t>
      </w:r>
      <w:r w:rsidRPr="006936E0">
        <w:rPr>
          <w:rFonts w:ascii="Palatino Linotype" w:eastAsia="Palatino Linotype" w:hAnsi="Palatino Linotype" w:cs="Palatino Linotype"/>
          <w:b/>
          <w:sz w:val="28"/>
          <w:szCs w:val="28"/>
        </w:rPr>
        <w:t xml:space="preserve">. </w:t>
      </w:r>
      <w:r w:rsidRPr="006936E0">
        <w:rPr>
          <w:rFonts w:ascii="Palatino Linotype" w:eastAsia="Palatino Linotype" w:hAnsi="Palatino Linotype" w:cs="Palatino Linotype"/>
          <w:b/>
        </w:rPr>
        <w:t xml:space="preserve"> De los alcances del Recurso de Revisión. </w:t>
      </w:r>
      <w:r w:rsidRPr="006936E0">
        <w:rPr>
          <w:rFonts w:ascii="Palatino Linotype" w:eastAsia="Palatino Linotype" w:hAnsi="Palatino Linotype" w:cs="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03F4635" w14:textId="77777777" w:rsidR="00954120" w:rsidRPr="006936E0" w:rsidRDefault="00954120">
      <w:pPr>
        <w:spacing w:line="360" w:lineRule="auto"/>
        <w:jc w:val="both"/>
        <w:rPr>
          <w:rFonts w:ascii="Palatino Linotype" w:eastAsia="Palatino Linotype" w:hAnsi="Palatino Linotype" w:cs="Palatino Linotype"/>
          <w:b/>
        </w:rPr>
      </w:pPr>
    </w:p>
    <w:p w14:paraId="3675252A" w14:textId="77777777" w:rsidR="00954120" w:rsidRPr="006936E0" w:rsidRDefault="003A2877">
      <w:pPr>
        <w:pBdr>
          <w:top w:val="nil"/>
          <w:left w:val="nil"/>
          <w:bottom w:val="nil"/>
          <w:right w:val="nil"/>
          <w:between w:val="nil"/>
        </w:pBdr>
        <w:spacing w:line="360" w:lineRule="auto"/>
        <w:jc w:val="both"/>
      </w:pPr>
      <w:r w:rsidRPr="006936E0">
        <w:rPr>
          <w:rFonts w:ascii="Palatino Linotype" w:eastAsia="Palatino Linotype" w:hAnsi="Palatino Linotype" w:cs="Palatino Linotype"/>
          <w:b/>
        </w:rPr>
        <w:t xml:space="preserve">Tercero. Del estudio de las causas de improcedencia. </w:t>
      </w:r>
      <w:r w:rsidRPr="006936E0">
        <w:rPr>
          <w:rFonts w:ascii="Palatino Linotype" w:eastAsia="Palatino Linotype" w:hAnsi="Palatino Linotype" w:cs="Palatino Linotype"/>
        </w:rPr>
        <w:t xml:space="preserve">El estudio de las causas de improcedencia que se hagan valer por las partes o que se advierta de oficio por este Instituto deben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w:t>
      </w:r>
      <w:r w:rsidRPr="006936E0">
        <w:rPr>
          <w:rFonts w:ascii="Palatino Linotype" w:eastAsia="Palatino Linotype" w:hAnsi="Palatino Linotype" w:cs="Palatino Linotype"/>
        </w:rPr>
        <w:lastRenderedPageBreak/>
        <w:t>acceso a la justicia, ya que éste no se coarta por regular causas de improcedencia y sobreseimiento con tales fines.</w:t>
      </w:r>
    </w:p>
    <w:p w14:paraId="471F81CB" w14:textId="77777777" w:rsidR="00954120" w:rsidRPr="006936E0" w:rsidRDefault="00954120">
      <w:pPr>
        <w:spacing w:line="360" w:lineRule="auto"/>
        <w:jc w:val="both"/>
        <w:rPr>
          <w:rFonts w:ascii="Palatino Linotype" w:eastAsia="Palatino Linotype" w:hAnsi="Palatino Linotype" w:cs="Palatino Linotype"/>
          <w:b/>
        </w:rPr>
      </w:pPr>
    </w:p>
    <w:p w14:paraId="1EC311CE"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 xml:space="preserve">Cuarto. Estudio del asunto. </w:t>
      </w:r>
      <w:r w:rsidRPr="006936E0">
        <w:rPr>
          <w:rFonts w:ascii="Palatino Linotype" w:eastAsia="Palatino Linotype" w:hAnsi="Palatino Linotype" w:cs="Palatino Linotype"/>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C8EC322" w14:textId="77777777" w:rsidR="00954120" w:rsidRPr="006936E0" w:rsidRDefault="00954120">
      <w:pPr>
        <w:spacing w:line="360" w:lineRule="auto"/>
        <w:jc w:val="both"/>
        <w:rPr>
          <w:rFonts w:ascii="Palatino Linotype" w:eastAsia="Palatino Linotype" w:hAnsi="Palatino Linotype" w:cs="Palatino Linotype"/>
        </w:rPr>
      </w:pPr>
    </w:p>
    <w:p w14:paraId="4BE0CB23" w14:textId="77777777" w:rsidR="00954120" w:rsidRPr="006936E0" w:rsidRDefault="003A2877">
      <w:pPr>
        <w:tabs>
          <w:tab w:val="left" w:pos="709"/>
        </w:tabs>
        <w:ind w:left="851" w:right="850"/>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6936E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9DDEB1D" w14:textId="77777777" w:rsidR="00954120" w:rsidRPr="006936E0" w:rsidRDefault="003A2877">
      <w:pPr>
        <w:tabs>
          <w:tab w:val="left" w:pos="709"/>
        </w:tabs>
        <w:ind w:left="851" w:right="850"/>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1917282" w14:textId="77777777" w:rsidR="00954120" w:rsidRPr="006936E0" w:rsidRDefault="003A2877">
      <w:pPr>
        <w:tabs>
          <w:tab w:val="left" w:pos="709"/>
        </w:tabs>
        <w:ind w:left="851" w:right="850"/>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936E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3E296D4" w14:textId="77777777" w:rsidR="00954120" w:rsidRPr="006936E0" w:rsidRDefault="003A2877">
      <w:pPr>
        <w:tabs>
          <w:tab w:val="left" w:pos="709"/>
        </w:tabs>
        <w:ind w:left="851" w:right="850"/>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w:t>
      </w:r>
    </w:p>
    <w:p w14:paraId="06C1264D" w14:textId="77777777" w:rsidR="00954120" w:rsidRPr="006936E0" w:rsidRDefault="003A2877">
      <w:pPr>
        <w:ind w:left="851" w:right="90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“Artículo 6o.</w:t>
      </w:r>
    </w:p>
    <w:p w14:paraId="3AE6FEF0" w14:textId="77777777" w:rsidR="00954120" w:rsidRPr="006936E0" w:rsidRDefault="003A2877">
      <w:pPr>
        <w:ind w:left="851" w:right="90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w:t>
      </w:r>
    </w:p>
    <w:p w14:paraId="4ACF020C"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 xml:space="preserve">A. Para el ejercicio del derecho de acceso a la información, la Federación y </w:t>
      </w:r>
      <w:r w:rsidRPr="006936E0">
        <w:rPr>
          <w:rFonts w:ascii="Palatino Linotype" w:eastAsia="Palatino Linotype" w:hAnsi="Palatino Linotype" w:cs="Palatino Linotype"/>
          <w:b/>
          <w:i/>
          <w:sz w:val="22"/>
          <w:szCs w:val="22"/>
          <w:u w:val="single"/>
        </w:rPr>
        <w:t>las entidades federativas</w:t>
      </w:r>
      <w:r w:rsidRPr="006936E0">
        <w:rPr>
          <w:rFonts w:ascii="Palatino Linotype" w:eastAsia="Palatino Linotype" w:hAnsi="Palatino Linotype" w:cs="Palatino Linotype"/>
          <w:b/>
          <w:i/>
          <w:sz w:val="22"/>
          <w:szCs w:val="22"/>
        </w:rPr>
        <w:t>,</w:t>
      </w:r>
      <w:r w:rsidRPr="006936E0">
        <w:rPr>
          <w:rFonts w:ascii="Palatino Linotype" w:eastAsia="Palatino Linotype" w:hAnsi="Palatino Linotype" w:cs="Palatino Linotype"/>
          <w:i/>
          <w:sz w:val="22"/>
          <w:szCs w:val="22"/>
        </w:rPr>
        <w:t xml:space="preserve"> en el ámbito de sus respectivas competencias, se regirán por los siguientes principios y bases:</w:t>
      </w:r>
    </w:p>
    <w:p w14:paraId="028E5D6E"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lastRenderedPageBreak/>
        <w:t> </w:t>
      </w:r>
    </w:p>
    <w:p w14:paraId="2AA2FAFC"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 xml:space="preserve">I. </w:t>
      </w:r>
      <w:r w:rsidRPr="006936E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936E0">
        <w:rPr>
          <w:rFonts w:ascii="Palatino Linotype" w:eastAsia="Palatino Linotype" w:hAnsi="Palatino Linotype" w:cs="Palatino Linotype"/>
          <w:i/>
          <w:sz w:val="22"/>
          <w:szCs w:val="22"/>
        </w:rPr>
        <w:t xml:space="preserve"> Ejecutivo, Legislativo </w:t>
      </w:r>
      <w:r w:rsidRPr="006936E0">
        <w:rPr>
          <w:rFonts w:ascii="Palatino Linotype" w:eastAsia="Palatino Linotype" w:hAnsi="Palatino Linotype" w:cs="Palatino Linotype"/>
          <w:b/>
          <w:i/>
          <w:sz w:val="22"/>
          <w:szCs w:val="22"/>
          <w:u w:val="single"/>
        </w:rPr>
        <w:t>y Judicial</w:t>
      </w:r>
      <w:r w:rsidRPr="006936E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936E0">
        <w:rPr>
          <w:rFonts w:ascii="Palatino Linotype" w:eastAsia="Palatino Linotype" w:hAnsi="Palatino Linotype" w:cs="Palatino Linotype"/>
          <w:b/>
          <w:i/>
          <w:sz w:val="22"/>
          <w:szCs w:val="22"/>
        </w:rPr>
        <w:t>es pública y sólo podrá ser reservada temporalmente por razones de interés público y seguridad nacional,</w:t>
      </w:r>
      <w:r w:rsidRPr="006936E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836DF7"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w:t>
      </w:r>
    </w:p>
    <w:p w14:paraId="521E7419" w14:textId="77777777" w:rsidR="00954120" w:rsidRPr="006936E0" w:rsidRDefault="003A2877">
      <w:pPr>
        <w:ind w:left="851" w:right="851"/>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558B4FA"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w:t>
      </w:r>
    </w:p>
    <w:p w14:paraId="6723C91D"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 xml:space="preserve">III. </w:t>
      </w:r>
      <w:r w:rsidRPr="006936E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936E0">
        <w:rPr>
          <w:rFonts w:ascii="Palatino Linotype" w:eastAsia="Palatino Linotype" w:hAnsi="Palatino Linotype" w:cs="Palatino Linotype"/>
          <w:i/>
          <w:sz w:val="22"/>
          <w:szCs w:val="22"/>
        </w:rPr>
        <w:t xml:space="preserve"> a sus datos personales o a la rectificación de éstos.</w:t>
      </w:r>
    </w:p>
    <w:p w14:paraId="62E745C2"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w:t>
      </w:r>
    </w:p>
    <w:p w14:paraId="5D6C16B7"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 xml:space="preserve">IV. </w:t>
      </w:r>
      <w:r w:rsidRPr="006936E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6B05242" w14:textId="77777777" w:rsidR="00954120" w:rsidRPr="006936E0" w:rsidRDefault="00954120">
      <w:pPr>
        <w:ind w:left="851" w:right="851"/>
        <w:jc w:val="both"/>
        <w:rPr>
          <w:rFonts w:ascii="Palatino Linotype" w:eastAsia="Palatino Linotype" w:hAnsi="Palatino Linotype" w:cs="Palatino Linotype"/>
          <w:i/>
          <w:sz w:val="22"/>
          <w:szCs w:val="22"/>
        </w:rPr>
      </w:pPr>
    </w:p>
    <w:p w14:paraId="05507769"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 xml:space="preserve">V. </w:t>
      </w:r>
      <w:r w:rsidRPr="006936E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B01AAEB"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w:t>
      </w:r>
    </w:p>
    <w:p w14:paraId="0A06E6EB"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 xml:space="preserve">VI. </w:t>
      </w:r>
      <w:r w:rsidRPr="006936E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5D58E6D"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w:t>
      </w:r>
    </w:p>
    <w:p w14:paraId="2CC5C942"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 xml:space="preserve">VII. </w:t>
      </w:r>
      <w:r w:rsidRPr="006936E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AC6C4C4" w14:textId="77777777" w:rsidR="00954120" w:rsidRPr="006936E0" w:rsidRDefault="00954120">
      <w:pPr>
        <w:ind w:right="851"/>
        <w:jc w:val="both"/>
        <w:rPr>
          <w:rFonts w:ascii="Palatino Linotype" w:eastAsia="Palatino Linotype" w:hAnsi="Palatino Linotype" w:cs="Palatino Linotype"/>
          <w:i/>
          <w:sz w:val="22"/>
          <w:szCs w:val="22"/>
        </w:rPr>
      </w:pPr>
    </w:p>
    <w:p w14:paraId="76775A3B" w14:textId="77777777" w:rsidR="00954120" w:rsidRPr="006936E0" w:rsidRDefault="003A2877">
      <w:pPr>
        <w:tabs>
          <w:tab w:val="left" w:pos="709"/>
        </w:tabs>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BCD9121"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8457707" w14:textId="77777777" w:rsidR="00954120" w:rsidRPr="006936E0" w:rsidRDefault="003A2877">
      <w:pPr>
        <w:spacing w:before="240"/>
        <w:ind w:left="709" w:right="760"/>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w:t>
      </w:r>
      <w:r w:rsidRPr="006936E0">
        <w:rPr>
          <w:rFonts w:ascii="Palatino Linotype" w:eastAsia="Palatino Linotype" w:hAnsi="Palatino Linotype" w:cs="Palatino Linotype"/>
          <w:b/>
          <w:i/>
          <w:sz w:val="22"/>
          <w:szCs w:val="22"/>
        </w:rPr>
        <w:t>Artículo 4</w:t>
      </w:r>
      <w:r w:rsidRPr="006936E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BF431CB" w14:textId="77777777" w:rsidR="00954120" w:rsidRPr="006936E0" w:rsidRDefault="003A2877">
      <w:pPr>
        <w:ind w:left="709" w:right="760"/>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w:t>
      </w:r>
      <w:r w:rsidRPr="006936E0">
        <w:rPr>
          <w:rFonts w:ascii="Palatino Linotype" w:eastAsia="Palatino Linotype" w:hAnsi="Palatino Linotype" w:cs="Palatino Linotype"/>
          <w:b/>
          <w:i/>
          <w:sz w:val="22"/>
          <w:szCs w:val="22"/>
        </w:rPr>
        <w:lastRenderedPageBreak/>
        <w:t>Ley de Transparencia y Acceso a la Información Pública del Estado de México y Municipios 29 como reservada temporalmente por razones de interés público, en los términos de las causas legítimas y estrictamente necesarias previstas por esta Ley.</w:t>
      </w:r>
    </w:p>
    <w:p w14:paraId="0227021B" w14:textId="77777777" w:rsidR="00954120" w:rsidRPr="006936E0" w:rsidRDefault="003A2877">
      <w:pPr>
        <w:ind w:left="709" w:right="760"/>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2D88729E" w14:textId="77777777" w:rsidR="00954120" w:rsidRPr="006936E0" w:rsidRDefault="00954120">
      <w:pPr>
        <w:spacing w:line="360" w:lineRule="auto"/>
        <w:jc w:val="both"/>
        <w:rPr>
          <w:rFonts w:ascii="Palatino Linotype" w:eastAsia="Palatino Linotype" w:hAnsi="Palatino Linotype" w:cs="Palatino Linotype"/>
        </w:rPr>
      </w:pPr>
    </w:p>
    <w:p w14:paraId="66A1E2B4"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6936E0">
        <w:rPr>
          <w:rFonts w:ascii="Palatino Linotype" w:eastAsia="Palatino Linotype" w:hAnsi="Palatino Linotype" w:cs="Palatino Linotype"/>
          <w:b/>
        </w:rPr>
        <w:t>artículo 12</w:t>
      </w:r>
      <w:r w:rsidRPr="006936E0">
        <w:rPr>
          <w:rFonts w:ascii="Palatino Linotype" w:eastAsia="Palatino Linotype" w:hAnsi="Palatino Linotype" w:cs="Palatino Linotype"/>
        </w:rPr>
        <w:t xml:space="preserve"> de la Ley de Transparencia y Acceso a la Información Pública del Estado de México y Municipios, el cual a la letra dice:</w:t>
      </w:r>
    </w:p>
    <w:p w14:paraId="6B82F2EC" w14:textId="77777777" w:rsidR="00954120" w:rsidRPr="006936E0" w:rsidRDefault="00954120">
      <w:pPr>
        <w:spacing w:line="360" w:lineRule="auto"/>
        <w:jc w:val="both"/>
        <w:rPr>
          <w:rFonts w:ascii="Palatino Linotype" w:eastAsia="Palatino Linotype" w:hAnsi="Palatino Linotype" w:cs="Palatino Linotype"/>
        </w:rPr>
      </w:pPr>
    </w:p>
    <w:p w14:paraId="19AE3848"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w:t>
      </w:r>
      <w:r w:rsidRPr="006936E0">
        <w:rPr>
          <w:rFonts w:ascii="Palatino Linotype" w:eastAsia="Palatino Linotype" w:hAnsi="Palatino Linotype" w:cs="Palatino Linotype"/>
          <w:b/>
          <w:i/>
          <w:sz w:val="22"/>
          <w:szCs w:val="22"/>
        </w:rPr>
        <w:t>Artículo 12</w:t>
      </w:r>
      <w:r w:rsidRPr="006936E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BB1CF0A" w14:textId="77777777" w:rsidR="00954120" w:rsidRPr="006936E0" w:rsidRDefault="00954120">
      <w:pPr>
        <w:ind w:left="851" w:right="851"/>
        <w:jc w:val="both"/>
        <w:rPr>
          <w:rFonts w:ascii="Palatino Linotype" w:eastAsia="Palatino Linotype" w:hAnsi="Palatino Linotype" w:cs="Palatino Linotype"/>
          <w:i/>
          <w:sz w:val="22"/>
          <w:szCs w:val="22"/>
        </w:rPr>
      </w:pPr>
    </w:p>
    <w:p w14:paraId="7F6084E7"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34D77CB1" w14:textId="77777777" w:rsidR="00954120" w:rsidRPr="006936E0" w:rsidRDefault="00954120">
      <w:pPr>
        <w:spacing w:line="360" w:lineRule="auto"/>
        <w:jc w:val="both"/>
        <w:rPr>
          <w:rFonts w:ascii="Palatino Linotype" w:eastAsia="Palatino Linotype" w:hAnsi="Palatino Linotype" w:cs="Palatino Linotype"/>
        </w:rPr>
      </w:pPr>
    </w:p>
    <w:p w14:paraId="49D765FF"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6936E0">
        <w:rPr>
          <w:rFonts w:ascii="Palatino Linotype" w:eastAsia="Palatino Linotype" w:hAnsi="Palatino Linotype" w:cs="Palatino Linotype"/>
          <w:b/>
        </w:rPr>
        <w:t xml:space="preserve"> </w:t>
      </w:r>
      <w:r w:rsidRPr="006936E0">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6936E0">
        <w:rPr>
          <w:rFonts w:ascii="Palatino Linotype" w:eastAsia="Palatino Linotype" w:hAnsi="Palatino Linotype" w:cs="Palatino Linotype"/>
          <w:i/>
        </w:rPr>
        <w:t>ad hoc</w:t>
      </w:r>
      <w:r w:rsidRPr="006936E0">
        <w:rPr>
          <w:rFonts w:ascii="Palatino Linotype" w:eastAsia="Palatino Linotype" w:hAnsi="Palatino Linotype" w:cs="Palatino Linotype"/>
        </w:rPr>
        <w:t xml:space="preserve">, para satisfacer el derecho de acceso a la información pública, como así lo establece el criterio 03/17 emitidos por el Instituto </w:t>
      </w:r>
      <w:r w:rsidRPr="006936E0">
        <w:rPr>
          <w:rFonts w:ascii="Palatino Linotype" w:eastAsia="Palatino Linotype" w:hAnsi="Palatino Linotype" w:cs="Palatino Linotype"/>
        </w:rPr>
        <w:lastRenderedPageBreak/>
        <w:t>Nacional de Transparencia, Acceso a la Información Pública y Protección de Datos Personales, los cuales señalan lo siguiente:</w:t>
      </w:r>
    </w:p>
    <w:p w14:paraId="6770BD5A" w14:textId="77777777" w:rsidR="00954120" w:rsidRPr="006936E0" w:rsidRDefault="00954120">
      <w:pPr>
        <w:ind w:right="851"/>
        <w:jc w:val="both"/>
        <w:rPr>
          <w:rFonts w:ascii="Palatino Linotype" w:eastAsia="Palatino Linotype" w:hAnsi="Palatino Linotype" w:cs="Palatino Linotype"/>
          <w:b/>
          <w:i/>
          <w:sz w:val="22"/>
          <w:szCs w:val="22"/>
        </w:rPr>
      </w:pPr>
    </w:p>
    <w:p w14:paraId="6B1D1E1A" w14:textId="77777777" w:rsidR="00954120" w:rsidRPr="006936E0" w:rsidRDefault="003A2877">
      <w:pPr>
        <w:ind w:left="851" w:right="851"/>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03/17</w:t>
      </w:r>
    </w:p>
    <w:p w14:paraId="5718C7AD" w14:textId="77777777" w:rsidR="00954120" w:rsidRPr="006936E0" w:rsidRDefault="003A2877">
      <w:pPr>
        <w:ind w:left="851" w:right="851"/>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“NO EXISTE OBLIGACIÓN DE ELABORAR DOCUMENTOS AD HOC PARA ATENDER LAS SOLICITUDES DE ACCESO A LA INFORM ACIÓN.</w:t>
      </w:r>
    </w:p>
    <w:p w14:paraId="6CB117FA"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0F1D3BF" w14:textId="77777777" w:rsidR="00954120" w:rsidRPr="006936E0" w:rsidRDefault="00954120">
      <w:pPr>
        <w:spacing w:line="360" w:lineRule="auto"/>
        <w:jc w:val="both"/>
        <w:rPr>
          <w:rFonts w:ascii="Palatino Linotype" w:eastAsia="Palatino Linotype" w:hAnsi="Palatino Linotype" w:cs="Palatino Linotype"/>
        </w:rPr>
      </w:pPr>
    </w:p>
    <w:p w14:paraId="38551F07"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Por otra parte, conviene mencionar que la Ley de Transparencia vigente en el Estado de México refiere: </w:t>
      </w:r>
    </w:p>
    <w:p w14:paraId="349424D0" w14:textId="77777777" w:rsidR="00954120" w:rsidRPr="006936E0" w:rsidRDefault="00954120">
      <w:pPr>
        <w:spacing w:line="360" w:lineRule="auto"/>
        <w:jc w:val="both"/>
        <w:rPr>
          <w:rFonts w:ascii="Palatino Linotype" w:eastAsia="Palatino Linotype" w:hAnsi="Palatino Linotype" w:cs="Palatino Linotype"/>
        </w:rPr>
      </w:pPr>
    </w:p>
    <w:p w14:paraId="32550E2A"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“Artículo 18.</w:t>
      </w:r>
      <w:r w:rsidRPr="006936E0">
        <w:rPr>
          <w:rFonts w:ascii="Palatino Linotype" w:eastAsia="Palatino Linotype" w:hAnsi="Palatino Linotype" w:cs="Palatino Linotype"/>
          <w:i/>
          <w:sz w:val="22"/>
          <w:szCs w:val="22"/>
        </w:rPr>
        <w:t xml:space="preserve"> </w:t>
      </w:r>
      <w:r w:rsidRPr="006936E0">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6936E0">
        <w:rPr>
          <w:rFonts w:ascii="Palatino Linotype" w:eastAsia="Palatino Linotype" w:hAnsi="Palatino Linotype" w:cs="Palatino Linotype"/>
          <w:i/>
          <w:sz w:val="22"/>
          <w:szCs w:val="22"/>
        </w:rPr>
        <w:t xml:space="preserve"> y reutilización de la información que generen.</w:t>
      </w:r>
    </w:p>
    <w:p w14:paraId="040D297E" w14:textId="77777777" w:rsidR="00954120" w:rsidRPr="006936E0" w:rsidRDefault="00954120">
      <w:pPr>
        <w:ind w:left="851" w:right="851"/>
        <w:jc w:val="both"/>
        <w:rPr>
          <w:rFonts w:ascii="Palatino Linotype" w:eastAsia="Palatino Linotype" w:hAnsi="Palatino Linotype" w:cs="Palatino Linotype"/>
          <w:b/>
          <w:i/>
          <w:sz w:val="22"/>
          <w:szCs w:val="22"/>
        </w:rPr>
      </w:pPr>
    </w:p>
    <w:p w14:paraId="07FD7E26"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 xml:space="preserve">Artículo 19. </w:t>
      </w:r>
      <w:r w:rsidRPr="006936E0">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6936E0">
        <w:rPr>
          <w:rFonts w:ascii="Palatino Linotype" w:eastAsia="Palatino Linotype" w:hAnsi="Palatino Linotype" w:cs="Palatino Linotype"/>
          <w:i/>
          <w:sz w:val="22"/>
          <w:szCs w:val="22"/>
        </w:rPr>
        <w:t>.</w:t>
      </w:r>
    </w:p>
    <w:p w14:paraId="22DD3433" w14:textId="77777777" w:rsidR="00954120" w:rsidRPr="006936E0" w:rsidRDefault="00954120">
      <w:pPr>
        <w:ind w:left="851" w:right="851"/>
        <w:jc w:val="both"/>
        <w:rPr>
          <w:rFonts w:ascii="Palatino Linotype" w:eastAsia="Palatino Linotype" w:hAnsi="Palatino Linotype" w:cs="Palatino Linotype"/>
          <w:i/>
          <w:sz w:val="22"/>
          <w:szCs w:val="22"/>
        </w:rPr>
      </w:pPr>
    </w:p>
    <w:p w14:paraId="1B284B71"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73E2E964" w14:textId="77777777" w:rsidR="00954120" w:rsidRPr="006936E0" w:rsidRDefault="00954120">
      <w:pPr>
        <w:ind w:left="851" w:right="851"/>
        <w:jc w:val="both"/>
        <w:rPr>
          <w:rFonts w:ascii="Palatino Linotype" w:eastAsia="Palatino Linotype" w:hAnsi="Palatino Linotype" w:cs="Palatino Linotype"/>
          <w:i/>
          <w:sz w:val="22"/>
          <w:szCs w:val="22"/>
        </w:rPr>
      </w:pPr>
    </w:p>
    <w:p w14:paraId="63209C22"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512B976" w14:textId="77777777" w:rsidR="00954120" w:rsidRPr="006936E0" w:rsidRDefault="00954120">
      <w:pPr>
        <w:ind w:left="851" w:right="851"/>
        <w:jc w:val="both"/>
        <w:rPr>
          <w:rFonts w:ascii="Palatino Linotype" w:eastAsia="Palatino Linotype" w:hAnsi="Palatino Linotype" w:cs="Palatino Linotype"/>
          <w:i/>
          <w:sz w:val="22"/>
          <w:szCs w:val="22"/>
        </w:rPr>
      </w:pPr>
    </w:p>
    <w:p w14:paraId="6A61E065" w14:textId="77777777" w:rsidR="00954120" w:rsidRPr="006936E0" w:rsidRDefault="003A2877">
      <w:pPr>
        <w:ind w:left="851"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Énfasis añadido.</w:t>
      </w:r>
    </w:p>
    <w:p w14:paraId="47EA7EB3"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A0B641C"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6936E0">
        <w:rPr>
          <w:rFonts w:ascii="Palatino Linotype" w:eastAsia="Palatino Linotype" w:hAnsi="Palatino Linotype" w:cs="Palatino Linotype"/>
          <w:b/>
        </w:rPr>
        <w:t>cualquier otro registro que documente el ejercicio de las facultades, funciones, obligaciones y competencias de los Sujetos Obligados</w:t>
      </w:r>
      <w:r w:rsidRPr="006936E0">
        <w:rPr>
          <w:rFonts w:ascii="Palatino Linotype" w:eastAsia="Palatino Linotype" w:hAnsi="Palatino Linotype" w:cs="Palatino Linotype"/>
        </w:rPr>
        <w:t xml:space="preserve">; </w:t>
      </w:r>
      <w:r w:rsidRPr="006936E0">
        <w:rPr>
          <w:rFonts w:ascii="Palatino Linotype" w:eastAsia="Palatino Linotype" w:hAnsi="Palatino Linotype" w:cs="Palatino Linotype"/>
          <w:b/>
        </w:rPr>
        <w:t>los que, podrán estar en cualquier medio</w:t>
      </w:r>
      <w:r w:rsidRPr="006936E0">
        <w:rPr>
          <w:rFonts w:ascii="Palatino Linotype" w:eastAsia="Palatino Linotype" w:hAnsi="Palatino Linotype" w:cs="Palatino Linotype"/>
        </w:rPr>
        <w:t xml:space="preserve">, sea escrito, impreso, sonoro, visual, </w:t>
      </w:r>
      <w:r w:rsidRPr="006936E0">
        <w:rPr>
          <w:rFonts w:ascii="Palatino Linotype" w:eastAsia="Palatino Linotype" w:hAnsi="Palatino Linotype" w:cs="Palatino Linotype"/>
          <w:b/>
        </w:rPr>
        <w:t>electrónico</w:t>
      </w:r>
      <w:r w:rsidRPr="006936E0">
        <w:rPr>
          <w:rFonts w:ascii="Palatino Linotype" w:eastAsia="Palatino Linotype" w:hAnsi="Palatino Linotype" w:cs="Palatino Linotype"/>
        </w:rPr>
        <w:t xml:space="preserve">, informático u holográfico, esto es, </w:t>
      </w:r>
      <w:r w:rsidRPr="006936E0">
        <w:rPr>
          <w:rFonts w:ascii="Palatino Linotype" w:eastAsia="Palatino Linotype" w:hAnsi="Palatino Linotype" w:cs="Palatino Linotype"/>
          <w:b/>
        </w:rPr>
        <w:t xml:space="preserve">el derecho de acceso a la información pública, se define en cuanto a su alcance y resultado material, el acceso a los archivos, registros y documentos públicos, administrados, generados </w:t>
      </w:r>
      <w:r w:rsidRPr="006936E0">
        <w:rPr>
          <w:rFonts w:ascii="Palatino Linotype" w:eastAsia="Palatino Linotype" w:hAnsi="Palatino Linotype" w:cs="Palatino Linotype"/>
          <w:b/>
        </w:rPr>
        <w:lastRenderedPageBreak/>
        <w:t>o en posesión de los órganos u organismos públicos, en virtud del ejercicio de sus funciones de derecho público, sin importar su fuente, soporte o fecha de elaboración.</w:t>
      </w:r>
    </w:p>
    <w:p w14:paraId="720C39CB" w14:textId="77777777" w:rsidR="00954120" w:rsidRPr="006936E0" w:rsidRDefault="003A2877">
      <w:pPr>
        <w:spacing w:before="280" w:after="28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De ahí que 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936E0">
        <w:rPr>
          <w:rFonts w:ascii="Palatino Linotype" w:eastAsia="Palatino Linotype" w:hAnsi="Palatino Linotype" w:cs="Palatino Linotype"/>
          <w:vertAlign w:val="superscript"/>
        </w:rPr>
        <w:footnoteReference w:id="1"/>
      </w:r>
      <w:r w:rsidRPr="006936E0">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6936E0">
        <w:rPr>
          <w:rFonts w:ascii="Palatino Linotype" w:eastAsia="Palatino Linotype" w:hAnsi="Palatino Linotype" w:cs="Palatino Linotype"/>
          <w:vertAlign w:val="superscript"/>
        </w:rPr>
        <w:footnoteReference w:id="2"/>
      </w:r>
      <w:r w:rsidRPr="006936E0">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5A1226B7" w14:textId="77777777" w:rsidR="00954120" w:rsidRPr="006936E0" w:rsidRDefault="003A2877">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En este sentido, es conveniente recordar y analizar tanto los planteamientos formulados por </w:t>
      </w:r>
      <w:r w:rsidRPr="006936E0">
        <w:rPr>
          <w:rFonts w:ascii="Palatino Linotype" w:eastAsia="Palatino Linotype" w:hAnsi="Palatino Linotype" w:cs="Palatino Linotype"/>
          <w:b/>
        </w:rPr>
        <w:t>la parte</w:t>
      </w:r>
      <w:r w:rsidRPr="006936E0">
        <w:rPr>
          <w:rFonts w:ascii="Palatino Linotype" w:eastAsia="Palatino Linotype" w:hAnsi="Palatino Linotype" w:cs="Palatino Linotype"/>
        </w:rPr>
        <w:t xml:space="preserve"> </w:t>
      </w:r>
      <w:r w:rsidRPr="006936E0">
        <w:rPr>
          <w:rFonts w:ascii="Palatino Linotype" w:eastAsia="Palatino Linotype" w:hAnsi="Palatino Linotype" w:cs="Palatino Linotype"/>
          <w:b/>
        </w:rPr>
        <w:t xml:space="preserve">Recurrente </w:t>
      </w:r>
      <w:r w:rsidRPr="006936E0">
        <w:rPr>
          <w:rFonts w:ascii="Palatino Linotype" w:eastAsia="Palatino Linotype" w:hAnsi="Palatino Linotype" w:cs="Palatino Linotype"/>
        </w:rPr>
        <w:t xml:space="preserve">en la solicitud inicial; así como, las manifestaciones y documentales entregadas por el </w:t>
      </w:r>
      <w:r w:rsidRPr="006936E0">
        <w:rPr>
          <w:rFonts w:ascii="Palatino Linotype" w:eastAsia="Palatino Linotype" w:hAnsi="Palatino Linotype" w:cs="Palatino Linotype"/>
          <w:b/>
        </w:rPr>
        <w:t xml:space="preserve">Sujeto Obligado </w:t>
      </w:r>
      <w:r w:rsidRPr="006936E0">
        <w:rPr>
          <w:rFonts w:ascii="Palatino Linotype" w:eastAsia="Palatino Linotype" w:hAnsi="Palatino Linotype" w:cs="Palatino Linotype"/>
        </w:rPr>
        <w:t xml:space="preserve">en </w:t>
      </w:r>
      <w:r w:rsidRPr="006936E0">
        <w:rPr>
          <w:rFonts w:ascii="Palatino Linotype" w:eastAsia="Palatino Linotype" w:hAnsi="Palatino Linotype" w:cs="Palatino Linotype"/>
        </w:rPr>
        <w:lastRenderedPageBreak/>
        <w:t>cumplimiento a la primera resolución emitida por este Organismo Garante; con el objeto de determinar si se colmó el derecho de acceso a la información del particular.</w:t>
      </w:r>
    </w:p>
    <w:p w14:paraId="056431FF" w14:textId="77777777" w:rsidR="00954120" w:rsidRPr="006936E0" w:rsidRDefault="003A2877">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sz w:val="28"/>
          <w:szCs w:val="28"/>
        </w:rPr>
      </w:pPr>
      <w:r w:rsidRPr="006936E0">
        <w:rPr>
          <w:rFonts w:ascii="Palatino Linotype" w:eastAsia="Palatino Linotype" w:hAnsi="Palatino Linotype" w:cs="Palatino Linotype"/>
        </w:rPr>
        <w:t xml:space="preserve">Precisado lo anterior, conviene señalar que el particular requirió al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w:t>
      </w:r>
      <w:r w:rsidRPr="006936E0">
        <w:rPr>
          <w:rFonts w:ascii="Palatino Linotype" w:eastAsia="Palatino Linotype" w:hAnsi="Palatino Linotype" w:cs="Palatino Linotype"/>
          <w:b/>
          <w:u w:val="single"/>
        </w:rPr>
        <w:t>el padrón catastral</w:t>
      </w:r>
      <w:r w:rsidRPr="006936E0">
        <w:rPr>
          <w:rFonts w:ascii="Palatino Linotype" w:eastAsia="Palatino Linotype" w:hAnsi="Palatino Linotype" w:cs="Palatino Linotype"/>
          <w:b/>
        </w:rPr>
        <w:t>.</w:t>
      </w:r>
    </w:p>
    <w:p w14:paraId="6FDEAC3F" w14:textId="77777777" w:rsidR="00954120" w:rsidRPr="006936E0" w:rsidRDefault="003A2877">
      <w:pPr>
        <w:tabs>
          <w:tab w:val="left" w:pos="4962"/>
        </w:tabs>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Ante la falta de respuesta del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w:t>
      </w:r>
      <w:r w:rsidRPr="006936E0">
        <w:rPr>
          <w:rFonts w:ascii="Palatino Linotype" w:eastAsia="Palatino Linotype" w:hAnsi="Palatino Linotype" w:cs="Palatino Linotype"/>
          <w:b/>
        </w:rPr>
        <w:t>la parte</w:t>
      </w:r>
      <w:r w:rsidRPr="006936E0">
        <w:rPr>
          <w:rFonts w:ascii="Palatino Linotype" w:eastAsia="Palatino Linotype" w:hAnsi="Palatino Linotype" w:cs="Palatino Linotype"/>
        </w:rPr>
        <w:t xml:space="preserve"> </w:t>
      </w:r>
      <w:r w:rsidRPr="006936E0">
        <w:rPr>
          <w:rFonts w:ascii="Palatino Linotype" w:eastAsia="Palatino Linotype" w:hAnsi="Palatino Linotype" w:cs="Palatino Linotype"/>
          <w:b/>
        </w:rPr>
        <w:t>Recurrente</w:t>
      </w:r>
      <w:r w:rsidRPr="006936E0">
        <w:rPr>
          <w:rFonts w:ascii="Palatino Linotype" w:eastAsia="Palatino Linotype" w:hAnsi="Palatino Linotype" w:cs="Palatino Linotype"/>
        </w:rPr>
        <w:t xml:space="preserve">, justamente se inconformó por la negativa de no entregar la información requerida, lo cual actualiza el supuesto previsto en el artículo 179, fracción VII, de la Ley de Transparencia y Acceso a la Información Pública del Estado de México y Municipios. </w:t>
      </w:r>
    </w:p>
    <w:p w14:paraId="4C82D7F5" w14:textId="77777777" w:rsidR="00954120" w:rsidRPr="006936E0" w:rsidRDefault="00954120">
      <w:pPr>
        <w:tabs>
          <w:tab w:val="left" w:pos="4962"/>
        </w:tabs>
        <w:spacing w:line="360" w:lineRule="auto"/>
        <w:jc w:val="both"/>
        <w:rPr>
          <w:rFonts w:ascii="Palatino Linotype" w:eastAsia="Palatino Linotype" w:hAnsi="Palatino Linotype" w:cs="Palatino Linotype"/>
        </w:rPr>
      </w:pPr>
    </w:p>
    <w:p w14:paraId="52A3C192" w14:textId="77777777" w:rsidR="00954120" w:rsidRPr="006936E0" w:rsidRDefault="003A2877">
      <w:pPr>
        <w:tabs>
          <w:tab w:val="left" w:pos="4962"/>
        </w:tabs>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Así las cosas, una vez admitido y notificado el Recurso de Revisión a las partes, se tiene que 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rindió su informe justificado mediante el archivo “</w:t>
      </w:r>
      <w:r w:rsidRPr="006936E0">
        <w:rPr>
          <w:rFonts w:ascii="Palatino Linotype" w:eastAsia="Palatino Linotype" w:hAnsi="Palatino Linotype" w:cs="Palatino Linotype"/>
          <w:b/>
          <w:i/>
        </w:rPr>
        <w:t xml:space="preserve">3354-TESORERIA.pdf”, </w:t>
      </w:r>
      <w:r w:rsidRPr="006936E0">
        <w:rPr>
          <w:rFonts w:ascii="Palatino Linotype" w:eastAsia="Palatino Linotype" w:hAnsi="Palatino Linotype" w:cs="Palatino Linotype"/>
        </w:rPr>
        <w:t xml:space="preserve">cuyo contenido fue descrito en líneas anteriores, no obstante, por cuanto hace a </w:t>
      </w:r>
      <w:r w:rsidRPr="006936E0">
        <w:rPr>
          <w:rFonts w:ascii="Palatino Linotype" w:eastAsia="Palatino Linotype" w:hAnsi="Palatino Linotype" w:cs="Palatino Linotype"/>
          <w:b/>
        </w:rPr>
        <w:t xml:space="preserve">la parte Recurrente, </w:t>
      </w:r>
      <w:r w:rsidRPr="006936E0">
        <w:rPr>
          <w:rFonts w:ascii="Palatino Linotype" w:eastAsia="Palatino Linotype" w:hAnsi="Palatino Linotype" w:cs="Palatino Linotype"/>
        </w:rPr>
        <w:t>se aprecia que fue omisa en emitir algún pronunciamiento, por lo tanto, se tiene por precluido su derecho para tal efecto.</w:t>
      </w:r>
    </w:p>
    <w:p w14:paraId="6F45E9A2" w14:textId="77777777" w:rsidR="00954120" w:rsidRPr="006936E0" w:rsidRDefault="00954120">
      <w:pPr>
        <w:tabs>
          <w:tab w:val="left" w:pos="4962"/>
        </w:tabs>
        <w:spacing w:line="360" w:lineRule="auto"/>
        <w:jc w:val="both"/>
        <w:rPr>
          <w:rFonts w:ascii="Palatino Linotype" w:eastAsia="Palatino Linotype" w:hAnsi="Palatino Linotype" w:cs="Palatino Linotype"/>
        </w:rPr>
      </w:pPr>
    </w:p>
    <w:p w14:paraId="6820E5C2" w14:textId="77777777" w:rsidR="00954120" w:rsidRPr="006936E0" w:rsidRDefault="003A2877">
      <w:pPr>
        <w:tabs>
          <w:tab w:val="left" w:pos="4962"/>
        </w:tabs>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Teniendo esto en cuenta, conviene señalar que del análisis al contenido que obra en el informe justificado, se desprenden los siguientes supuestos: </w:t>
      </w:r>
    </w:p>
    <w:p w14:paraId="511B31B2" w14:textId="77777777" w:rsidR="00954120" w:rsidRPr="006936E0" w:rsidRDefault="00954120">
      <w:pPr>
        <w:tabs>
          <w:tab w:val="left" w:pos="4962"/>
        </w:tabs>
        <w:spacing w:line="360" w:lineRule="auto"/>
        <w:jc w:val="both"/>
        <w:rPr>
          <w:rFonts w:ascii="Palatino Linotype" w:eastAsia="Palatino Linotype" w:hAnsi="Palatino Linotype" w:cs="Palatino Linotype"/>
        </w:rPr>
      </w:pPr>
    </w:p>
    <w:p w14:paraId="1B4E5AEC" w14:textId="77777777" w:rsidR="00954120" w:rsidRPr="006936E0" w:rsidRDefault="003A2877">
      <w:pPr>
        <w:numPr>
          <w:ilvl w:val="0"/>
          <w:numId w:val="4"/>
        </w:numPr>
        <w:pBdr>
          <w:top w:val="nil"/>
          <w:left w:val="nil"/>
          <w:bottom w:val="nil"/>
          <w:right w:val="nil"/>
          <w:between w:val="nil"/>
        </w:pBdr>
        <w:spacing w:line="360" w:lineRule="auto"/>
        <w:ind w:left="567" w:right="851" w:hanging="141"/>
        <w:jc w:val="both"/>
        <w:rPr>
          <w:rFonts w:ascii="Palatino Linotype" w:eastAsia="Palatino Linotype" w:hAnsi="Palatino Linotype" w:cs="Palatino Linotype"/>
          <w:b/>
        </w:rPr>
      </w:pPr>
      <w:r w:rsidRPr="006936E0">
        <w:rPr>
          <w:rFonts w:ascii="Palatino Linotype" w:eastAsia="Palatino Linotype" w:hAnsi="Palatino Linotype" w:cs="Palatino Linotype"/>
        </w:rPr>
        <w:t xml:space="preserve">Se vislumbra un oficio signado por el Director General de Informática de este Instituto, mediante el cual señala que </w:t>
      </w:r>
      <w:r w:rsidRPr="006936E0">
        <w:rPr>
          <w:rFonts w:ascii="Palatino Linotype" w:eastAsia="Palatino Linotype" w:hAnsi="Palatino Linotype" w:cs="Palatino Linotype"/>
          <w:b/>
        </w:rPr>
        <w:t>se registró una incidencia técnica en la bitácora de incidencias</w:t>
      </w:r>
      <w:r w:rsidRPr="006936E0">
        <w:rPr>
          <w:rFonts w:ascii="Palatino Linotype" w:eastAsia="Palatino Linotype" w:hAnsi="Palatino Linotype" w:cs="Palatino Linotype"/>
        </w:rPr>
        <w:t xml:space="preserve">, toda vez que </w:t>
      </w:r>
      <w:r w:rsidRPr="006936E0">
        <w:rPr>
          <w:rFonts w:ascii="Palatino Linotype" w:eastAsia="Palatino Linotype" w:hAnsi="Palatino Linotype" w:cs="Palatino Linotype"/>
        </w:rPr>
        <w:lastRenderedPageBreak/>
        <w:t xml:space="preserve">para atender el recurso de revisión con folio 11274/INFOEM/IP/RR/2022 derivado de la solicitud de información 03354/METEPEC/IP/2022, </w:t>
      </w:r>
      <w:r w:rsidRPr="006936E0">
        <w:rPr>
          <w:rFonts w:ascii="Palatino Linotype" w:eastAsia="Palatino Linotype" w:hAnsi="Palatino Linotype" w:cs="Palatino Linotype"/>
          <w:b/>
          <w:u w:val="single"/>
        </w:rPr>
        <w:t>trata de subir un peso de 4.3 GB</w:t>
      </w:r>
      <w:r w:rsidRPr="006936E0">
        <w:rPr>
          <w:rFonts w:ascii="Palatino Linotype" w:eastAsia="Palatino Linotype" w:hAnsi="Palatino Linotype" w:cs="Palatino Linotype"/>
          <w:b/>
        </w:rPr>
        <w:t>, lo cual sobrepasa las capacidades técnicas del sistema SAIMEX.</w:t>
      </w:r>
    </w:p>
    <w:p w14:paraId="2802E0BC" w14:textId="77777777" w:rsidR="00954120" w:rsidRPr="006936E0" w:rsidRDefault="00954120">
      <w:pPr>
        <w:pBdr>
          <w:top w:val="nil"/>
          <w:left w:val="nil"/>
          <w:bottom w:val="nil"/>
          <w:right w:val="nil"/>
          <w:between w:val="nil"/>
        </w:pBdr>
        <w:tabs>
          <w:tab w:val="left" w:pos="4962"/>
        </w:tabs>
        <w:spacing w:line="360" w:lineRule="auto"/>
        <w:ind w:left="567" w:right="567"/>
        <w:jc w:val="both"/>
        <w:rPr>
          <w:rFonts w:ascii="Palatino Linotype" w:eastAsia="Palatino Linotype" w:hAnsi="Palatino Linotype" w:cs="Palatino Linotype"/>
        </w:rPr>
      </w:pPr>
    </w:p>
    <w:p w14:paraId="11744D56" w14:textId="77777777" w:rsidR="00954120" w:rsidRPr="006936E0" w:rsidRDefault="003A2877">
      <w:pPr>
        <w:numPr>
          <w:ilvl w:val="0"/>
          <w:numId w:val="4"/>
        </w:numPr>
        <w:pBdr>
          <w:top w:val="nil"/>
          <w:left w:val="nil"/>
          <w:bottom w:val="nil"/>
          <w:right w:val="nil"/>
          <w:between w:val="nil"/>
        </w:pBdr>
        <w:tabs>
          <w:tab w:val="left" w:pos="4962"/>
        </w:tabs>
        <w:spacing w:line="360" w:lineRule="auto"/>
        <w:ind w:left="567" w:right="567" w:hanging="283"/>
        <w:jc w:val="both"/>
        <w:rPr>
          <w:rFonts w:ascii="Palatino Linotype" w:eastAsia="Palatino Linotype" w:hAnsi="Palatino Linotype" w:cs="Palatino Linotype"/>
          <w:b/>
        </w:rPr>
      </w:pPr>
      <w:r w:rsidRPr="006936E0">
        <w:rPr>
          <w:rFonts w:ascii="Palatino Linotype" w:eastAsia="Palatino Linotype" w:hAnsi="Palatino Linotype" w:cs="Palatino Linotype"/>
        </w:rPr>
        <w:t xml:space="preserve">Posteriormente el Tesorero Municipal, en un oficio dirigido al Titular de la Unidad de Transparencia manifiesta que </w:t>
      </w:r>
      <w:r w:rsidRPr="006936E0">
        <w:rPr>
          <w:rFonts w:ascii="Palatino Linotype" w:eastAsia="Palatino Linotype" w:hAnsi="Palatino Linotype" w:cs="Palatino Linotype"/>
          <w:b/>
        </w:rPr>
        <w:t>la información solicitada, constituye un cúmulo considerable de documentos,</w:t>
      </w:r>
      <w:r w:rsidRPr="006936E0">
        <w:rPr>
          <w:rFonts w:ascii="Palatino Linotype" w:eastAsia="Palatino Linotype" w:hAnsi="Palatino Linotype" w:cs="Palatino Linotype"/>
        </w:rPr>
        <w:t xml:space="preserve"> lo cual requiere procesamiento y revisión para verificar si contiene información susceptible de ser clasificada como confidencial y/o reservada, descargarla o escanearla según sea el caso, </w:t>
      </w:r>
      <w:r w:rsidRPr="006936E0">
        <w:rPr>
          <w:rFonts w:ascii="Palatino Linotype" w:eastAsia="Palatino Linotype" w:hAnsi="Palatino Linotype" w:cs="Palatino Linotype"/>
          <w:b/>
        </w:rPr>
        <w:t>cuya entrega y procesamiento sobrepasa las capacidades técnicas administrativas y humanas de la Tesorería Municipal.</w:t>
      </w:r>
    </w:p>
    <w:p w14:paraId="35C7A932" w14:textId="77777777" w:rsidR="00954120" w:rsidRPr="006936E0" w:rsidRDefault="00954120">
      <w:pPr>
        <w:tabs>
          <w:tab w:val="left" w:pos="4962"/>
        </w:tabs>
        <w:spacing w:line="360" w:lineRule="auto"/>
        <w:ind w:right="567"/>
        <w:jc w:val="both"/>
        <w:rPr>
          <w:rFonts w:ascii="Palatino Linotype" w:eastAsia="Palatino Linotype" w:hAnsi="Palatino Linotype" w:cs="Palatino Linotype"/>
        </w:rPr>
      </w:pPr>
    </w:p>
    <w:p w14:paraId="47B2AB8B" w14:textId="77777777" w:rsidR="00954120" w:rsidRPr="006936E0" w:rsidRDefault="003A2877">
      <w:pPr>
        <w:numPr>
          <w:ilvl w:val="0"/>
          <w:numId w:val="4"/>
        </w:numPr>
        <w:pBdr>
          <w:top w:val="nil"/>
          <w:left w:val="nil"/>
          <w:bottom w:val="nil"/>
          <w:right w:val="nil"/>
          <w:between w:val="nil"/>
        </w:pBdr>
        <w:tabs>
          <w:tab w:val="left" w:pos="4962"/>
        </w:tabs>
        <w:spacing w:line="360" w:lineRule="auto"/>
        <w:ind w:left="567" w:right="567" w:hanging="283"/>
        <w:jc w:val="both"/>
        <w:rPr>
          <w:rFonts w:ascii="Palatino Linotype" w:eastAsia="Palatino Linotype" w:hAnsi="Palatino Linotype" w:cs="Palatino Linotype"/>
        </w:rPr>
      </w:pPr>
      <w:r w:rsidRPr="006936E0">
        <w:rPr>
          <w:rFonts w:ascii="Palatino Linotype" w:eastAsia="Palatino Linotype" w:hAnsi="Palatino Linotype" w:cs="Palatino Linotype"/>
          <w:b/>
        </w:rPr>
        <w:t>El personal que atiende los requerimientos relacionados a solicitudes de acceso a la información es reducido, ya que al día de hoy se cuenta con una persona adscrita a la Tesorería Municipal encargada de realizar el proceso de búsqueda de la información y atendiendo al periodo solicitado</w:t>
      </w:r>
      <w:r w:rsidRPr="006936E0">
        <w:rPr>
          <w:rFonts w:ascii="Palatino Linotype" w:eastAsia="Palatino Linotype" w:hAnsi="Palatino Linotype" w:cs="Palatino Linotype"/>
        </w:rPr>
        <w:t xml:space="preserve">, manifiesta que </w:t>
      </w:r>
      <w:r w:rsidRPr="006936E0">
        <w:rPr>
          <w:rFonts w:ascii="Palatino Linotype" w:eastAsia="Palatino Linotype" w:hAnsi="Palatino Linotype" w:cs="Palatino Linotype"/>
          <w:b/>
        </w:rPr>
        <w:t xml:space="preserve">la información se encuentra resguardada en el archivo de trámite (cuya búsqueda de carpeta y expedientes es extenuante y exhaustiva), para hacer el extracto de la misma; </w:t>
      </w:r>
      <w:r w:rsidRPr="006936E0">
        <w:rPr>
          <w:rFonts w:ascii="Palatino Linotype" w:eastAsia="Palatino Linotype" w:hAnsi="Palatino Linotype" w:cs="Palatino Linotype"/>
          <w:b/>
          <w:u w:val="single"/>
        </w:rPr>
        <w:t>además si requiere escaneo rebasa los 4,303,200 kb de peso</w:t>
      </w:r>
      <w:r w:rsidRPr="006936E0">
        <w:rPr>
          <w:rFonts w:ascii="Palatino Linotype" w:eastAsia="Palatino Linotype" w:hAnsi="Palatino Linotype" w:cs="Palatino Linotype"/>
        </w:rPr>
        <w:t xml:space="preserve">, por lo cual, se encuentra imposibilitado a entregar la información vía Sistema de Acceso a la Información Mexiquense (SAIMEX). </w:t>
      </w:r>
    </w:p>
    <w:p w14:paraId="2C6BDF2B" w14:textId="77777777" w:rsidR="00954120" w:rsidRPr="006936E0" w:rsidRDefault="00954120">
      <w:pPr>
        <w:pBdr>
          <w:top w:val="nil"/>
          <w:left w:val="nil"/>
          <w:bottom w:val="nil"/>
          <w:right w:val="nil"/>
          <w:between w:val="nil"/>
        </w:pBdr>
        <w:tabs>
          <w:tab w:val="left" w:pos="4962"/>
        </w:tabs>
        <w:spacing w:line="360" w:lineRule="auto"/>
        <w:ind w:left="1080" w:right="567"/>
        <w:jc w:val="both"/>
        <w:rPr>
          <w:rFonts w:ascii="Palatino Linotype" w:eastAsia="Palatino Linotype" w:hAnsi="Palatino Linotype" w:cs="Palatino Linotype"/>
        </w:rPr>
      </w:pPr>
    </w:p>
    <w:p w14:paraId="415D4F22" w14:textId="77777777" w:rsidR="00954120" w:rsidRPr="006936E0" w:rsidRDefault="003A2877">
      <w:pPr>
        <w:numPr>
          <w:ilvl w:val="0"/>
          <w:numId w:val="4"/>
        </w:numPr>
        <w:pBdr>
          <w:top w:val="nil"/>
          <w:left w:val="nil"/>
          <w:bottom w:val="nil"/>
          <w:right w:val="nil"/>
          <w:between w:val="nil"/>
        </w:pBdr>
        <w:tabs>
          <w:tab w:val="left" w:pos="4962"/>
        </w:tabs>
        <w:spacing w:line="360" w:lineRule="auto"/>
        <w:ind w:left="567" w:right="851" w:hanging="283"/>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Aunado a que el plazo legal es insuficiente, en razón de que a la fecha esta Tesorería Municipal, tiene en trámite para atender diversas solicitudes de información reflejadas en el SAIMEX, mismas que vencen en próximos plazos y de las que se requiere información que también se debe realizar un procesamiento y revisión para verificar si contiene información clasificada como confidencial y/o reservada, descargarla o escanearla según sea el caso. </w:t>
      </w:r>
    </w:p>
    <w:p w14:paraId="33B1B560" w14:textId="77777777" w:rsidR="00954120" w:rsidRPr="006936E0" w:rsidRDefault="00954120">
      <w:pPr>
        <w:pBdr>
          <w:top w:val="nil"/>
          <w:left w:val="nil"/>
          <w:bottom w:val="nil"/>
          <w:right w:val="nil"/>
          <w:between w:val="nil"/>
        </w:pBdr>
        <w:tabs>
          <w:tab w:val="left" w:pos="4962"/>
        </w:tabs>
        <w:spacing w:line="360" w:lineRule="auto"/>
        <w:ind w:left="1080" w:right="567" w:hanging="283"/>
        <w:jc w:val="both"/>
        <w:rPr>
          <w:rFonts w:ascii="Palatino Linotype" w:eastAsia="Palatino Linotype" w:hAnsi="Palatino Linotype" w:cs="Palatino Linotype"/>
        </w:rPr>
      </w:pPr>
    </w:p>
    <w:p w14:paraId="4387FE8A" w14:textId="77777777" w:rsidR="00954120" w:rsidRPr="006936E0" w:rsidRDefault="003A2877">
      <w:pPr>
        <w:numPr>
          <w:ilvl w:val="0"/>
          <w:numId w:val="4"/>
        </w:numPr>
        <w:pBdr>
          <w:top w:val="nil"/>
          <w:left w:val="nil"/>
          <w:bottom w:val="nil"/>
          <w:right w:val="nil"/>
          <w:between w:val="nil"/>
        </w:pBdr>
        <w:tabs>
          <w:tab w:val="left" w:pos="4962"/>
        </w:tabs>
        <w:spacing w:line="360" w:lineRule="auto"/>
        <w:ind w:left="567" w:right="851" w:hanging="283"/>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Dentro de la Tesorería Municipal se dispone de dos computadoras con el programa oportuno para elaborar las versiones públicas necesarias para atender las solicitudes de información, aunado a ello solamente se cuenta con escáner de la Dirección de la Tesorería, ya que las otras multifuncionales pertenecen a las demás áreas que componen esta Tesorería, las cuales son fundamentales para el trabajo de cada una y que por ende no está a disposición todo el tiempo y únicamente para realizar los escaneos necesarios para atender a esta Dirección, lo que genera pausas en el proceso de tratamiento a los documentos; cabe señalar que la adquisición de nuevas computadoras y/o escáner no se encuentra contemplado dentro de los gastos a realizar para este ejercicio y por lo tanto, no se contempla su viabilidad. </w:t>
      </w:r>
    </w:p>
    <w:p w14:paraId="533CC5BB" w14:textId="77777777" w:rsidR="00954120" w:rsidRPr="006936E0" w:rsidRDefault="00954120">
      <w:pPr>
        <w:pBdr>
          <w:top w:val="nil"/>
          <w:left w:val="nil"/>
          <w:bottom w:val="nil"/>
          <w:right w:val="nil"/>
          <w:between w:val="nil"/>
        </w:pBdr>
        <w:tabs>
          <w:tab w:val="left" w:pos="4962"/>
        </w:tabs>
        <w:spacing w:line="360" w:lineRule="auto"/>
        <w:ind w:left="567" w:right="851" w:hanging="283"/>
        <w:jc w:val="both"/>
        <w:rPr>
          <w:rFonts w:ascii="Palatino Linotype" w:eastAsia="Palatino Linotype" w:hAnsi="Palatino Linotype" w:cs="Palatino Linotype"/>
        </w:rPr>
      </w:pPr>
    </w:p>
    <w:p w14:paraId="5D7A695A" w14:textId="77777777" w:rsidR="00954120" w:rsidRPr="006936E0" w:rsidRDefault="003A2877">
      <w:pPr>
        <w:numPr>
          <w:ilvl w:val="0"/>
          <w:numId w:val="4"/>
        </w:numPr>
        <w:pBdr>
          <w:top w:val="nil"/>
          <w:left w:val="nil"/>
          <w:bottom w:val="nil"/>
          <w:right w:val="nil"/>
          <w:between w:val="nil"/>
        </w:pBdr>
        <w:tabs>
          <w:tab w:val="left" w:pos="4962"/>
        </w:tabs>
        <w:spacing w:line="360" w:lineRule="auto"/>
        <w:ind w:left="567" w:right="851" w:hanging="283"/>
        <w:jc w:val="both"/>
        <w:rPr>
          <w:rFonts w:ascii="Palatino Linotype" w:eastAsia="Palatino Linotype" w:hAnsi="Palatino Linotype" w:cs="Palatino Linotype"/>
          <w:b/>
          <w:sz w:val="22"/>
          <w:szCs w:val="22"/>
        </w:rPr>
      </w:pPr>
      <w:r w:rsidRPr="006936E0">
        <w:rPr>
          <w:rFonts w:ascii="Palatino Linotype" w:eastAsia="Palatino Linotype" w:hAnsi="Palatino Linotype" w:cs="Palatino Linotype"/>
          <w:b/>
          <w:sz w:val="22"/>
          <w:szCs w:val="22"/>
        </w:rPr>
        <w:t xml:space="preserve">Con el propósito de privilegiar una respuesta pronta, expedita y gratuita, se pone a disposición de este la información en cualquiera de las tres </w:t>
      </w:r>
      <w:r w:rsidRPr="006936E0">
        <w:rPr>
          <w:rFonts w:ascii="Palatino Linotype" w:eastAsia="Palatino Linotype" w:hAnsi="Palatino Linotype" w:cs="Palatino Linotype"/>
          <w:b/>
          <w:sz w:val="22"/>
          <w:szCs w:val="22"/>
        </w:rPr>
        <w:lastRenderedPageBreak/>
        <w:t xml:space="preserve">modalidades que refiere la Ley y las cuales tengan capacidades de almacenamiento como lo son: USB, o en su caso consulta directa in situ. </w:t>
      </w:r>
    </w:p>
    <w:p w14:paraId="3C289A68" w14:textId="77777777" w:rsidR="00954120" w:rsidRPr="006936E0" w:rsidRDefault="00954120">
      <w:pPr>
        <w:pBdr>
          <w:top w:val="nil"/>
          <w:left w:val="nil"/>
          <w:bottom w:val="nil"/>
          <w:right w:val="nil"/>
          <w:between w:val="nil"/>
        </w:pBdr>
        <w:ind w:left="708"/>
        <w:rPr>
          <w:rFonts w:ascii="Palatino Linotype" w:eastAsia="Palatino Linotype" w:hAnsi="Palatino Linotype" w:cs="Palatino Linotype"/>
        </w:rPr>
      </w:pPr>
    </w:p>
    <w:p w14:paraId="7CB85328" w14:textId="77777777" w:rsidR="00954120" w:rsidRPr="006936E0" w:rsidRDefault="003A2877">
      <w:pPr>
        <w:numPr>
          <w:ilvl w:val="0"/>
          <w:numId w:val="4"/>
        </w:numPr>
        <w:pBdr>
          <w:top w:val="nil"/>
          <w:left w:val="nil"/>
          <w:bottom w:val="nil"/>
          <w:right w:val="nil"/>
          <w:between w:val="nil"/>
        </w:pBdr>
        <w:tabs>
          <w:tab w:val="left" w:pos="4962"/>
        </w:tabs>
        <w:spacing w:line="360" w:lineRule="auto"/>
        <w:ind w:left="567" w:right="851"/>
        <w:jc w:val="both"/>
        <w:rPr>
          <w:rFonts w:ascii="Palatino Linotype" w:eastAsia="Palatino Linotype" w:hAnsi="Palatino Linotype" w:cs="Palatino Linotype"/>
        </w:rPr>
      </w:pPr>
      <w:r w:rsidRPr="006936E0">
        <w:rPr>
          <w:rFonts w:ascii="Palatino Linotype" w:eastAsia="Palatino Linotype" w:hAnsi="Palatino Linotype" w:cs="Palatino Linotype"/>
        </w:rPr>
        <w:t>Para el caso de escoger la modalidad de copias simples o certificadas, se deberá cubrir el costo respectivo por su reproducción, para los efectos correspondientes se le requiere acudir a las oficinas de la Tesorería Municipal para realizar el pago correspondiente, el cual deberá efectuarse en un plazo no mayor a treinta días hábiles, en un horario de 17:00 a 18:00 horas con el servidor público Jesús David González López, Enlace de Transparencia.</w:t>
      </w:r>
    </w:p>
    <w:p w14:paraId="465B1B65" w14:textId="77777777" w:rsidR="00954120" w:rsidRPr="006936E0" w:rsidRDefault="00954120">
      <w:pPr>
        <w:pBdr>
          <w:top w:val="nil"/>
          <w:left w:val="nil"/>
          <w:bottom w:val="nil"/>
          <w:right w:val="nil"/>
          <w:between w:val="nil"/>
        </w:pBdr>
        <w:tabs>
          <w:tab w:val="left" w:pos="4962"/>
        </w:tabs>
        <w:spacing w:line="360" w:lineRule="auto"/>
        <w:ind w:left="567" w:right="851"/>
        <w:jc w:val="both"/>
        <w:rPr>
          <w:rFonts w:ascii="Palatino Linotype" w:eastAsia="Palatino Linotype" w:hAnsi="Palatino Linotype" w:cs="Palatino Linotype"/>
        </w:rPr>
      </w:pPr>
    </w:p>
    <w:p w14:paraId="3036C0E4" w14:textId="77777777" w:rsidR="00954120" w:rsidRPr="006936E0" w:rsidRDefault="003A2877">
      <w:pPr>
        <w:pBdr>
          <w:top w:val="nil"/>
          <w:left w:val="nil"/>
          <w:bottom w:val="nil"/>
          <w:right w:val="nil"/>
          <w:between w:val="nil"/>
        </w:pBdr>
        <w:tabs>
          <w:tab w:val="left" w:pos="4962"/>
        </w:tabs>
        <w:spacing w:line="360" w:lineRule="auto"/>
        <w:ind w:left="567" w:right="851"/>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En caso de seleccionar la modalidad de consulta directa, el solicitante deberá presentarse en las oficinas de la Tesorería, ubicadas en Av. Estado de México No. 1201 </w:t>
      </w:r>
      <w:proofErr w:type="spellStart"/>
      <w:r w:rsidRPr="006936E0">
        <w:rPr>
          <w:rFonts w:ascii="Palatino Linotype" w:eastAsia="Palatino Linotype" w:hAnsi="Palatino Linotype" w:cs="Palatino Linotype"/>
        </w:rPr>
        <w:t>Ote</w:t>
      </w:r>
      <w:proofErr w:type="spellEnd"/>
      <w:r w:rsidRPr="006936E0">
        <w:rPr>
          <w:rFonts w:ascii="Palatino Linotype" w:eastAsia="Palatino Linotype" w:hAnsi="Palatino Linotype" w:cs="Palatino Linotype"/>
        </w:rPr>
        <w:t>, Barrio de San Miguel, C.P. 52140 en Metepec, México, bajo el siguiente calendario: el día 30 de noviembre de 2022 en un horario de 17:00 a 18:00. Para consultar los documentos requeridos, el solicitante deberá presentarse con el servidor público Jesús David González López, Enlace de Transparencia, en el día y horario indicado; de igual manera se le informa al solicitante que tendrá disponible la información por un periodo de sesenta días hábiles, lo anterior con fundamento en el artículo 166 de la Ley de Transparencia Local.</w:t>
      </w:r>
    </w:p>
    <w:p w14:paraId="3F92C471" w14:textId="77777777" w:rsidR="00954120" w:rsidRPr="006936E0" w:rsidRDefault="003A2877">
      <w:pPr>
        <w:spacing w:before="280" w:after="280" w:line="360" w:lineRule="auto"/>
        <w:ind w:right="49"/>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En esta tesitura, al no tener certeza del número de hojas que conforman la información a entregar, este Organismo Garante realizó un requerimiento de </w:t>
      </w:r>
      <w:r w:rsidRPr="006936E0">
        <w:rPr>
          <w:rFonts w:ascii="Palatino Linotype" w:eastAsia="Palatino Linotype" w:hAnsi="Palatino Linotype" w:cs="Palatino Linotype"/>
        </w:rPr>
        <w:lastRenderedPageBreak/>
        <w:t xml:space="preserve">información adicional al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en el cual, el Tesorero Municipal expresó medularmente lo siguiente: </w:t>
      </w:r>
    </w:p>
    <w:p w14:paraId="7C87062D" w14:textId="77777777" w:rsidR="00954120" w:rsidRPr="006936E0" w:rsidRDefault="003A2877">
      <w:pPr>
        <w:numPr>
          <w:ilvl w:val="0"/>
          <w:numId w:val="7"/>
        </w:numPr>
        <w:pBdr>
          <w:top w:val="nil"/>
          <w:left w:val="nil"/>
          <w:bottom w:val="nil"/>
          <w:right w:val="nil"/>
          <w:between w:val="nil"/>
        </w:pBdr>
        <w:spacing w:before="280" w:line="360" w:lineRule="auto"/>
        <w:ind w:right="900"/>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Se llevará a cabo el cambio de modalidad a consulta directa para la entrega de la información solicitada, debido a que por el alto volumen de la información que contiene, implica el análisis, estudio o procesamiento de documentos cuya entrega o reproducción sobrepasa las capacidades técnicas administrativas y humanas de este sujeto obligado, por lo que </w:t>
      </w:r>
      <w:r w:rsidRPr="006936E0">
        <w:rPr>
          <w:rFonts w:ascii="Palatino Linotype" w:eastAsia="Palatino Linotype" w:hAnsi="Palatino Linotype" w:cs="Palatino Linotype"/>
          <w:b/>
          <w:u w:val="single"/>
        </w:rPr>
        <w:t xml:space="preserve">se dejó a disposición del particular en consulta directa, salvo la información clasificada, el día 30 de noviembre de dos mil veintidós, en un horario de 17:00 a 18:00 </w:t>
      </w:r>
      <w:proofErr w:type="spellStart"/>
      <w:r w:rsidRPr="006936E0">
        <w:rPr>
          <w:rFonts w:ascii="Palatino Linotype" w:eastAsia="Palatino Linotype" w:hAnsi="Palatino Linotype" w:cs="Palatino Linotype"/>
          <w:b/>
          <w:u w:val="single"/>
        </w:rPr>
        <w:t>p.m</w:t>
      </w:r>
      <w:proofErr w:type="spellEnd"/>
      <w:r w:rsidRPr="006936E0">
        <w:rPr>
          <w:rFonts w:ascii="Palatino Linotype" w:eastAsia="Palatino Linotype" w:hAnsi="Palatino Linotype" w:cs="Palatino Linotype"/>
        </w:rPr>
        <w:t xml:space="preserve"> de la siguiente solicitud: </w:t>
      </w:r>
    </w:p>
    <w:p w14:paraId="6304F876" w14:textId="77777777" w:rsidR="00954120" w:rsidRPr="006936E0" w:rsidRDefault="003A2877">
      <w:pPr>
        <w:pBdr>
          <w:top w:val="nil"/>
          <w:left w:val="nil"/>
          <w:bottom w:val="nil"/>
          <w:right w:val="nil"/>
          <w:between w:val="nil"/>
        </w:pBdr>
        <w:spacing w:line="360" w:lineRule="auto"/>
        <w:ind w:left="720" w:right="900"/>
        <w:jc w:val="both"/>
        <w:rPr>
          <w:rFonts w:ascii="Palatino Linotype" w:eastAsia="Palatino Linotype" w:hAnsi="Palatino Linotype" w:cs="Palatino Linotype"/>
          <w:sz w:val="22"/>
          <w:szCs w:val="22"/>
        </w:rPr>
      </w:pPr>
      <w:r w:rsidRPr="006936E0">
        <w:rPr>
          <w:noProof/>
          <w:lang w:eastAsia="es-MX"/>
        </w:rPr>
        <w:drawing>
          <wp:anchor distT="0" distB="0" distL="114300" distR="114300" simplePos="0" relativeHeight="251660288" behindDoc="0" locked="0" layoutInCell="1" hidden="0" allowOverlap="1" wp14:anchorId="506F4285" wp14:editId="5757D02A">
            <wp:simplePos x="0" y="0"/>
            <wp:positionH relativeFrom="column">
              <wp:posOffset>205740</wp:posOffset>
            </wp:positionH>
            <wp:positionV relativeFrom="paragraph">
              <wp:posOffset>297180</wp:posOffset>
            </wp:positionV>
            <wp:extent cx="5067300" cy="876300"/>
            <wp:effectExtent l="9525" t="9525" r="9525" b="9525"/>
            <wp:wrapTopAndBottom distT="0" distB="0"/>
            <wp:docPr id="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t="11667" r="931" b="11667"/>
                    <a:stretch>
                      <a:fillRect/>
                    </a:stretch>
                  </pic:blipFill>
                  <pic:spPr>
                    <a:xfrm>
                      <a:off x="0" y="0"/>
                      <a:ext cx="5067300" cy="876300"/>
                    </a:xfrm>
                    <a:prstGeom prst="rect">
                      <a:avLst/>
                    </a:prstGeom>
                    <a:ln w="9525">
                      <a:solidFill>
                        <a:srgbClr val="000000"/>
                      </a:solidFill>
                      <a:prstDash val="solid"/>
                    </a:ln>
                  </pic:spPr>
                </pic:pic>
              </a:graphicData>
            </a:graphic>
          </wp:anchor>
        </w:drawing>
      </w:r>
    </w:p>
    <w:p w14:paraId="50BCBA7B" w14:textId="77777777" w:rsidR="00954120" w:rsidRPr="006936E0" w:rsidRDefault="00954120">
      <w:pPr>
        <w:pBdr>
          <w:top w:val="nil"/>
          <w:left w:val="nil"/>
          <w:bottom w:val="nil"/>
          <w:right w:val="nil"/>
          <w:between w:val="nil"/>
        </w:pBdr>
        <w:spacing w:line="360" w:lineRule="auto"/>
        <w:ind w:left="720" w:right="900"/>
        <w:jc w:val="both"/>
        <w:rPr>
          <w:rFonts w:ascii="Palatino Linotype" w:eastAsia="Palatino Linotype" w:hAnsi="Palatino Linotype" w:cs="Palatino Linotype"/>
          <w:sz w:val="22"/>
          <w:szCs w:val="22"/>
        </w:rPr>
      </w:pPr>
    </w:p>
    <w:p w14:paraId="734AE4EF" w14:textId="77777777" w:rsidR="00954120" w:rsidRPr="006936E0" w:rsidRDefault="003A2877">
      <w:pPr>
        <w:numPr>
          <w:ilvl w:val="0"/>
          <w:numId w:val="7"/>
        </w:numPr>
        <w:pBdr>
          <w:top w:val="nil"/>
          <w:left w:val="nil"/>
          <w:bottom w:val="nil"/>
          <w:right w:val="nil"/>
          <w:between w:val="nil"/>
        </w:pBdr>
        <w:spacing w:line="360" w:lineRule="auto"/>
        <w:ind w:right="900"/>
        <w:jc w:val="both"/>
        <w:rPr>
          <w:rFonts w:ascii="Palatino Linotype" w:eastAsia="Palatino Linotype" w:hAnsi="Palatino Linotype" w:cs="Palatino Linotype"/>
          <w:b/>
          <w:u w:val="single"/>
        </w:rPr>
      </w:pPr>
      <w:r w:rsidRPr="006936E0">
        <w:rPr>
          <w:rFonts w:ascii="Palatino Linotype" w:eastAsia="Palatino Linotype" w:hAnsi="Palatino Linotype" w:cs="Palatino Linotype"/>
        </w:rPr>
        <w:t xml:space="preserve">El número de fojas que contiene la información requerida data de </w:t>
      </w:r>
      <w:r w:rsidRPr="006936E0">
        <w:rPr>
          <w:rFonts w:ascii="Palatino Linotype" w:eastAsia="Palatino Linotype" w:hAnsi="Palatino Linotype" w:cs="Palatino Linotype"/>
          <w:b/>
          <w:u w:val="single"/>
        </w:rPr>
        <w:t xml:space="preserve">90,000 fojas. </w:t>
      </w:r>
    </w:p>
    <w:p w14:paraId="1B3DA661" w14:textId="77777777" w:rsidR="00954120" w:rsidRPr="006936E0" w:rsidRDefault="00954120">
      <w:pPr>
        <w:pBdr>
          <w:top w:val="nil"/>
          <w:left w:val="nil"/>
          <w:bottom w:val="nil"/>
          <w:right w:val="nil"/>
          <w:between w:val="nil"/>
        </w:pBdr>
        <w:spacing w:line="360" w:lineRule="auto"/>
        <w:ind w:left="708"/>
        <w:rPr>
          <w:rFonts w:ascii="Palatino Linotype" w:eastAsia="Palatino Linotype" w:hAnsi="Palatino Linotype" w:cs="Palatino Linotype"/>
          <w:b/>
          <w:u w:val="single"/>
        </w:rPr>
      </w:pPr>
    </w:p>
    <w:p w14:paraId="27248CF7" w14:textId="77777777" w:rsidR="00954120" w:rsidRPr="006936E0" w:rsidRDefault="003A2877">
      <w:pPr>
        <w:numPr>
          <w:ilvl w:val="0"/>
          <w:numId w:val="7"/>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El escaneo del padrón catastral rebasa los 4,303, 200 kb de peso, por lo cual este sujeto obligado se encuentra imposibilitado para entregar la información vía SAIMEX. </w:t>
      </w:r>
    </w:p>
    <w:p w14:paraId="40409C46" w14:textId="77777777" w:rsidR="00954120" w:rsidRPr="006936E0" w:rsidRDefault="00954120">
      <w:pPr>
        <w:pBdr>
          <w:top w:val="nil"/>
          <w:left w:val="nil"/>
          <w:bottom w:val="nil"/>
          <w:right w:val="nil"/>
          <w:between w:val="nil"/>
        </w:pBdr>
        <w:spacing w:line="360" w:lineRule="auto"/>
        <w:ind w:left="708"/>
        <w:rPr>
          <w:rFonts w:ascii="Palatino Linotype" w:eastAsia="Palatino Linotype" w:hAnsi="Palatino Linotype" w:cs="Palatino Linotype"/>
        </w:rPr>
      </w:pPr>
    </w:p>
    <w:p w14:paraId="09B7FA48" w14:textId="77777777" w:rsidR="00954120" w:rsidRPr="006936E0" w:rsidRDefault="003A2877">
      <w:pPr>
        <w:numPr>
          <w:ilvl w:val="0"/>
          <w:numId w:val="7"/>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6936E0">
        <w:rPr>
          <w:rFonts w:ascii="Palatino Linotype" w:eastAsia="Palatino Linotype" w:hAnsi="Palatino Linotype" w:cs="Palatino Linotype"/>
        </w:rPr>
        <w:lastRenderedPageBreak/>
        <w:t xml:space="preserve">La Tesorería dispone de una computadora con el programa oportuno para elaborar las versiones públicas necesarias, aunado a ello solamente se cuenta con escáner de la Dirección de la Tesorería, ya que las otras multifuncionales pertenecen a las demás áreas que componen esta Tesorería, las cuales son fundamentales para el trabajo de cada una y que por ende no está a disposición todo el tiempo y únicamente para realizar los escaneos necesarios para atender a esta Dirección, lo que genera pausas en el proceso de tratamiento a los documentos; cabe señalar que la adquisición de nuevas computadoras y/o escáner no se encuentra contemplado dentro de los gastos a realizar para este ejercicio y por lo tanto, no se contempla su viabilidad. </w:t>
      </w:r>
    </w:p>
    <w:p w14:paraId="72094F41" w14:textId="77777777" w:rsidR="00954120" w:rsidRPr="006936E0" w:rsidRDefault="00954120">
      <w:pPr>
        <w:pBdr>
          <w:top w:val="nil"/>
          <w:left w:val="nil"/>
          <w:bottom w:val="nil"/>
          <w:right w:val="nil"/>
          <w:between w:val="nil"/>
        </w:pBdr>
        <w:spacing w:line="360" w:lineRule="auto"/>
        <w:ind w:left="708"/>
        <w:rPr>
          <w:rFonts w:ascii="Palatino Linotype" w:eastAsia="Palatino Linotype" w:hAnsi="Palatino Linotype" w:cs="Palatino Linotype"/>
        </w:rPr>
      </w:pPr>
    </w:p>
    <w:p w14:paraId="6A326C2B" w14:textId="77777777" w:rsidR="00954120" w:rsidRPr="006936E0" w:rsidRDefault="003A2877">
      <w:pPr>
        <w:numPr>
          <w:ilvl w:val="0"/>
          <w:numId w:val="7"/>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6936E0">
        <w:rPr>
          <w:rFonts w:ascii="Palatino Linotype" w:eastAsia="Palatino Linotype" w:hAnsi="Palatino Linotype" w:cs="Palatino Linotype"/>
        </w:rPr>
        <w:t>El personal que atiende los requerimientos relacionados a solicitudes de acceso a la información es reducido, ya que al día de hoy se cuenta con una persona adscrita a la Tesorería Municipal encargada de realizar el proceso de búsqueda de la información y atendiendo al periodo solicitado, manifiesta que la información se encuentra resguardada en el archivo de trámite (cuya búsqueda de carpeta y expedientes es extenuante y exhaustiva), para hacer el extracto de la misma.</w:t>
      </w:r>
    </w:p>
    <w:p w14:paraId="2B6C9BB1" w14:textId="77777777" w:rsidR="00954120" w:rsidRPr="006936E0" w:rsidRDefault="00954120">
      <w:pPr>
        <w:spacing w:line="360" w:lineRule="auto"/>
        <w:jc w:val="both"/>
        <w:rPr>
          <w:rFonts w:ascii="Palatino Linotype" w:eastAsia="Palatino Linotype" w:hAnsi="Palatino Linotype" w:cs="Palatino Linotype"/>
        </w:rPr>
      </w:pPr>
    </w:p>
    <w:p w14:paraId="009DA8A0" w14:textId="77777777" w:rsidR="00954120" w:rsidRPr="006936E0" w:rsidRDefault="00954120">
      <w:pPr>
        <w:spacing w:line="360" w:lineRule="auto"/>
        <w:jc w:val="both"/>
        <w:rPr>
          <w:rFonts w:ascii="Palatino Linotype" w:eastAsia="Palatino Linotype" w:hAnsi="Palatino Linotype" w:cs="Palatino Linotype"/>
        </w:rPr>
      </w:pPr>
    </w:p>
    <w:p w14:paraId="3B5AB500" w14:textId="77777777" w:rsidR="00954120" w:rsidRPr="006936E0" w:rsidRDefault="00954120">
      <w:pPr>
        <w:spacing w:line="360" w:lineRule="auto"/>
        <w:jc w:val="both"/>
        <w:rPr>
          <w:rFonts w:ascii="Palatino Linotype" w:eastAsia="Palatino Linotype" w:hAnsi="Palatino Linotype" w:cs="Palatino Linotype"/>
        </w:rPr>
      </w:pPr>
    </w:p>
    <w:p w14:paraId="21DEA7A8" w14:textId="77777777" w:rsidR="00954120" w:rsidRPr="006936E0" w:rsidRDefault="003A287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rPr>
      </w:pPr>
      <w:r w:rsidRPr="006936E0">
        <w:rPr>
          <w:rFonts w:ascii="Palatino Linotype" w:eastAsia="Palatino Linotype" w:hAnsi="Palatino Linotype" w:cs="Palatino Linotype"/>
          <w:b/>
        </w:rPr>
        <w:lastRenderedPageBreak/>
        <w:t>Del cambio de modalidad</w:t>
      </w:r>
    </w:p>
    <w:p w14:paraId="75D29120"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Teniendo estas premisas en cuenta, resulta importante señalar que en primera instancia, al momento de presentar la solicitud de información que dio origen al recurso de revisión que nos ocupa, el particular eligió como modalidad de entrega </w:t>
      </w:r>
      <w:r w:rsidRPr="006936E0">
        <w:rPr>
          <w:rFonts w:ascii="Palatino Linotype" w:eastAsia="Palatino Linotype" w:hAnsi="Palatino Linotype" w:cs="Palatino Linotype"/>
          <w:b/>
        </w:rPr>
        <w:t>Vía SAIMEX</w:t>
      </w:r>
      <w:r w:rsidRPr="006936E0">
        <w:rPr>
          <w:rFonts w:ascii="Palatino Linotype" w:eastAsia="Palatino Linotype" w:hAnsi="Palatino Linotype" w:cs="Palatino Linotype"/>
        </w:rPr>
        <w:t>, tal y como se precisa en la siguiente imagen a modo de ejemplo:</w:t>
      </w:r>
    </w:p>
    <w:p w14:paraId="2A166233"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noProof/>
          <w:lang w:eastAsia="es-MX"/>
        </w:rPr>
        <w:drawing>
          <wp:inline distT="0" distB="0" distL="0" distR="0" wp14:anchorId="5ED9D205" wp14:editId="655ADFD5">
            <wp:extent cx="5520721" cy="1756279"/>
            <wp:effectExtent l="0" t="0" r="0" b="0"/>
            <wp:docPr id="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520721" cy="1756279"/>
                    </a:xfrm>
                    <a:prstGeom prst="rect">
                      <a:avLst/>
                    </a:prstGeom>
                    <a:ln/>
                  </pic:spPr>
                </pic:pic>
              </a:graphicData>
            </a:graphic>
          </wp:inline>
        </w:drawing>
      </w:r>
    </w:p>
    <w:p w14:paraId="37C215D2" w14:textId="77777777" w:rsidR="00954120" w:rsidRPr="006936E0" w:rsidRDefault="00954120">
      <w:pPr>
        <w:spacing w:line="360" w:lineRule="auto"/>
        <w:jc w:val="both"/>
        <w:rPr>
          <w:rFonts w:ascii="Palatino Linotype" w:eastAsia="Palatino Linotype" w:hAnsi="Palatino Linotype" w:cs="Palatino Linotype"/>
        </w:rPr>
      </w:pPr>
    </w:p>
    <w:p w14:paraId="2BCBE438"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A lo anterior, queda evidente que la información se requirió </w:t>
      </w:r>
      <w:r w:rsidRPr="006936E0">
        <w:rPr>
          <w:rFonts w:ascii="Palatino Linotype" w:eastAsia="Palatino Linotype" w:hAnsi="Palatino Linotype" w:cs="Palatino Linotype"/>
          <w:b/>
        </w:rPr>
        <w:t>Vía SAIMEX</w:t>
      </w:r>
      <w:r w:rsidRPr="006936E0">
        <w:rPr>
          <w:rFonts w:ascii="Palatino Linotype" w:eastAsia="Palatino Linotype" w:hAnsi="Palatino Linotype" w:cs="Palatino Linotype"/>
        </w:rPr>
        <w:t xml:space="preserve">; por otra parte, 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se limita a referir mediante informe justificado que la información solicitada, constituye un cúmulo considerable de documentos, lo cual requiere procesamiento y revisión para verificar si contiene información susceptible de ser clasificada como confidencial y/o reservada, descargarla o escanearla según sea el caso, cuya entrega y procesamiento sobrepasa las capacidades técnicas administrativas y humanas de la Tesorería Municipal.</w:t>
      </w:r>
    </w:p>
    <w:p w14:paraId="47FF0465" w14:textId="77777777" w:rsidR="00954120" w:rsidRPr="006936E0" w:rsidRDefault="00954120">
      <w:pPr>
        <w:spacing w:line="360" w:lineRule="auto"/>
        <w:jc w:val="both"/>
        <w:rPr>
          <w:rFonts w:ascii="Palatino Linotype" w:eastAsia="Palatino Linotype" w:hAnsi="Palatino Linotype" w:cs="Palatino Linotype"/>
        </w:rPr>
      </w:pPr>
    </w:p>
    <w:p w14:paraId="1D587E8B" w14:textId="77777777" w:rsidR="00954120" w:rsidRPr="006936E0" w:rsidRDefault="003A2877">
      <w:pPr>
        <w:spacing w:line="360" w:lineRule="auto"/>
        <w:jc w:val="both"/>
        <w:rPr>
          <w:rFonts w:ascii="Palatino Linotype" w:eastAsia="Palatino Linotype" w:hAnsi="Palatino Linotype" w:cs="Palatino Linotype"/>
          <w:b/>
          <w:u w:val="single"/>
        </w:rPr>
      </w:pPr>
      <w:r w:rsidRPr="006936E0">
        <w:rPr>
          <w:rFonts w:ascii="Palatino Linotype" w:eastAsia="Palatino Linotype" w:hAnsi="Palatino Linotype" w:cs="Palatino Linotype"/>
        </w:rPr>
        <w:t xml:space="preserve">Con el propósito de privilegiar una respuesta pronta, expedita y gratuita, se pone a disposición de este la información en cualquiera de las tres modalidades que refiere la Ley y las cuales tengan capacidades de almacenamiento como lo son: </w:t>
      </w:r>
      <w:r w:rsidRPr="006936E0">
        <w:rPr>
          <w:rFonts w:ascii="Palatino Linotype" w:eastAsia="Palatino Linotype" w:hAnsi="Palatino Linotype" w:cs="Palatino Linotype"/>
          <w:b/>
          <w:u w:val="single"/>
        </w:rPr>
        <w:t xml:space="preserve">USB, o en su caso consulta directa in situ. </w:t>
      </w:r>
    </w:p>
    <w:p w14:paraId="66FB6AE4"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lastRenderedPageBreak/>
        <w:t xml:space="preserve">Para el caso de escoger la modalidad de </w:t>
      </w:r>
      <w:r w:rsidRPr="006936E0">
        <w:rPr>
          <w:rFonts w:ascii="Palatino Linotype" w:eastAsia="Palatino Linotype" w:hAnsi="Palatino Linotype" w:cs="Palatino Linotype"/>
          <w:b/>
          <w:u w:val="single"/>
        </w:rPr>
        <w:t>copias simples o certificadas</w:t>
      </w:r>
      <w:r w:rsidRPr="006936E0">
        <w:rPr>
          <w:rFonts w:ascii="Palatino Linotype" w:eastAsia="Palatino Linotype" w:hAnsi="Palatino Linotype" w:cs="Palatino Linotype"/>
        </w:rPr>
        <w:t xml:space="preserve">, se deberá cubrir el costo respectivo por su reproducción, para los efectos correspondientes se le requiere acudir a las oficinas de la Tesorería Municipal para realizar el pago correspondiente. </w:t>
      </w:r>
    </w:p>
    <w:p w14:paraId="5640A935" w14:textId="77777777" w:rsidR="00954120" w:rsidRPr="006936E0" w:rsidRDefault="00954120">
      <w:pPr>
        <w:spacing w:line="360" w:lineRule="auto"/>
        <w:jc w:val="both"/>
        <w:rPr>
          <w:rFonts w:ascii="Palatino Linotype" w:eastAsia="Palatino Linotype" w:hAnsi="Palatino Linotype" w:cs="Palatino Linotype"/>
        </w:rPr>
      </w:pPr>
    </w:p>
    <w:p w14:paraId="09A8442D"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En caso de seleccionar la modalidad de consulta directa, el solicitante deberá presentarse en las oficinas de la Tesorería, </w:t>
      </w:r>
      <w:r w:rsidRPr="006936E0">
        <w:rPr>
          <w:rFonts w:ascii="Palatino Linotype" w:eastAsia="Palatino Linotype" w:hAnsi="Palatino Linotype" w:cs="Palatino Linotype"/>
          <w:b/>
          <w:u w:val="single"/>
        </w:rPr>
        <w:t xml:space="preserve">el día 30 de noviembre de 2022 en un horario de 17:00 a 18:00, </w:t>
      </w:r>
      <w:r w:rsidRPr="006936E0">
        <w:rPr>
          <w:rFonts w:ascii="Palatino Linotype" w:eastAsia="Palatino Linotype" w:hAnsi="Palatino Linotype" w:cs="Palatino Linotype"/>
        </w:rPr>
        <w:t>para consultar los documentos requeridos, el solicitante deberá presentarse con el Enlace de Transparencia, en el día y horario indicado.</w:t>
      </w:r>
    </w:p>
    <w:p w14:paraId="174C37BC" w14:textId="77777777" w:rsidR="00954120" w:rsidRPr="006936E0" w:rsidRDefault="00954120">
      <w:pPr>
        <w:spacing w:line="360" w:lineRule="auto"/>
        <w:jc w:val="both"/>
        <w:rPr>
          <w:rFonts w:ascii="Palatino Linotype" w:eastAsia="Palatino Linotype" w:hAnsi="Palatino Linotype" w:cs="Palatino Linotype"/>
        </w:rPr>
      </w:pPr>
    </w:p>
    <w:p w14:paraId="6202E26A"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Para justificar la imposibilidad técnica, adjunta un oficio signado por el Director General de Informática de este Instituto, mediante el cual señala que se registró una incidencia técnica en la bitácora de incidencias, toda vez que para atender el recurso de revisión con folio 11274/INFOEM/IP/RR/2022 derivado de la solicitud de información 03354/METEPEC/IP/2022, trata de subir un peso de </w:t>
      </w:r>
      <w:r w:rsidRPr="006936E0">
        <w:rPr>
          <w:rFonts w:ascii="Palatino Linotype" w:eastAsia="Palatino Linotype" w:hAnsi="Palatino Linotype" w:cs="Palatino Linotype"/>
          <w:b/>
        </w:rPr>
        <w:t>4.3 GB</w:t>
      </w:r>
      <w:r w:rsidRPr="006936E0">
        <w:rPr>
          <w:rFonts w:ascii="Palatino Linotype" w:eastAsia="Palatino Linotype" w:hAnsi="Palatino Linotype" w:cs="Palatino Linotype"/>
        </w:rPr>
        <w:t>, lo cual sobrepasa las capacidades técnicas del sistema SAIMEX.</w:t>
      </w:r>
    </w:p>
    <w:p w14:paraId="23B4E26A" w14:textId="77777777" w:rsidR="00954120" w:rsidRPr="006936E0" w:rsidRDefault="00954120">
      <w:pPr>
        <w:spacing w:line="360" w:lineRule="auto"/>
        <w:jc w:val="both"/>
        <w:rPr>
          <w:rFonts w:ascii="Palatino Linotype" w:eastAsia="Palatino Linotype" w:hAnsi="Palatino Linotype" w:cs="Palatino Linotype"/>
        </w:rPr>
      </w:pPr>
    </w:p>
    <w:p w14:paraId="6D5EB12E"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De este modo, en el asunto que se resuelve queda obviada la existencia de la información y que 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la tiene en posesión, por lo que a continuación se analizará el motivo de inconformidad planteado y se determinará si la omisión a entregar la información en la modalidad elegida por </w:t>
      </w:r>
      <w:r w:rsidRPr="006936E0">
        <w:rPr>
          <w:rFonts w:ascii="Palatino Linotype" w:eastAsia="Palatino Linotype" w:hAnsi="Palatino Linotype" w:cs="Palatino Linotype"/>
          <w:b/>
        </w:rPr>
        <w:t>la parte</w:t>
      </w:r>
      <w:r w:rsidRPr="006936E0">
        <w:rPr>
          <w:rFonts w:ascii="Palatino Linotype" w:eastAsia="Palatino Linotype" w:hAnsi="Palatino Linotype" w:cs="Palatino Linotype"/>
        </w:rPr>
        <w:t xml:space="preserve"> </w:t>
      </w:r>
      <w:r w:rsidRPr="006936E0">
        <w:rPr>
          <w:rFonts w:ascii="Palatino Linotype" w:eastAsia="Palatino Linotype" w:hAnsi="Palatino Linotype" w:cs="Palatino Linotype"/>
          <w:b/>
        </w:rPr>
        <w:t>Recurrente</w:t>
      </w:r>
      <w:r w:rsidRPr="006936E0">
        <w:rPr>
          <w:rFonts w:ascii="Palatino Linotype" w:eastAsia="Palatino Linotype" w:hAnsi="Palatino Linotype" w:cs="Palatino Linotype"/>
        </w:rPr>
        <w:t xml:space="preserve"> se encuentra justificada en términos legales.</w:t>
      </w:r>
    </w:p>
    <w:p w14:paraId="64C02626" w14:textId="77777777" w:rsidR="00954120" w:rsidRPr="006936E0" w:rsidRDefault="003A2877">
      <w:pPr>
        <w:spacing w:before="28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lastRenderedPageBreak/>
        <w:t>Así, los artículos 158 y 164 de la Ley de Transparencia y Acceso a la Información Pública del Estado de México y Municipios, señalan lo siguiente:</w:t>
      </w:r>
    </w:p>
    <w:p w14:paraId="3A846422" w14:textId="77777777" w:rsidR="00954120" w:rsidRPr="006936E0" w:rsidRDefault="003A2877">
      <w:pPr>
        <w:spacing w:before="280"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w:t>
      </w:r>
      <w:r w:rsidRPr="006936E0">
        <w:rPr>
          <w:rFonts w:ascii="Palatino Linotype" w:eastAsia="Palatino Linotype" w:hAnsi="Palatino Linotype" w:cs="Palatino Linotype"/>
          <w:b/>
          <w:i/>
          <w:sz w:val="22"/>
          <w:szCs w:val="22"/>
        </w:rPr>
        <w:t>se podrá poner a disposición del solicitante los documentos en consulta directa, salvo la información clasificada.</w:t>
      </w:r>
      <w:r w:rsidRPr="006936E0">
        <w:rPr>
          <w:rFonts w:ascii="Palatino Linotype" w:eastAsia="Palatino Linotype" w:hAnsi="Palatino Linotype" w:cs="Palatino Linotype"/>
          <w:i/>
          <w:sz w:val="22"/>
          <w:szCs w:val="22"/>
        </w:rPr>
        <w:t xml:space="preserve"> </w:t>
      </w:r>
    </w:p>
    <w:p w14:paraId="04024E83" w14:textId="77777777" w:rsidR="00954120" w:rsidRPr="006936E0" w:rsidRDefault="003A2877">
      <w:pPr>
        <w:spacing w:before="280" w:line="276" w:lineRule="auto"/>
        <w:ind w:left="567" w:right="851"/>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En todo caso, se facilitará su copia simple o certificada, así como su reproducción por cualquier medio disponible en las instalaciones del sujeto obligado o que, en su caso, aporte el solicitante.</w:t>
      </w:r>
    </w:p>
    <w:p w14:paraId="678AA91E" w14:textId="77777777" w:rsidR="00954120" w:rsidRPr="006936E0" w:rsidRDefault="003A2877">
      <w:pPr>
        <w:spacing w:before="280"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w:t>
      </w:r>
    </w:p>
    <w:p w14:paraId="4D86C036" w14:textId="77777777" w:rsidR="00954120" w:rsidRPr="006936E0" w:rsidRDefault="003A2877">
      <w:pPr>
        <w:spacing w:before="280"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xml:space="preserve">Artículo 164. El acceso se dará en la modalidad de entrega y, en su caso, de envío elegidos por el solicitante. </w:t>
      </w:r>
      <w:r w:rsidRPr="006936E0">
        <w:rPr>
          <w:rFonts w:ascii="Palatino Linotype" w:eastAsia="Palatino Linotype" w:hAnsi="Palatino Linotype" w:cs="Palatino Linotype"/>
          <w:b/>
          <w:i/>
          <w:sz w:val="22"/>
          <w:szCs w:val="22"/>
          <w:u w:val="single"/>
        </w:rPr>
        <w:t>Cuando la información no pueda entregarse o enviarse en la modalidad solicitada, el sujeto obligado deberá ofrecer otra u otras modalidades de entrega. En cualquier caso, se deberá fundar y motivar la necesidad de ofrecer otras modalidades.</w:t>
      </w:r>
      <w:r w:rsidRPr="006936E0">
        <w:rPr>
          <w:rFonts w:ascii="Palatino Linotype" w:eastAsia="Palatino Linotype" w:hAnsi="Palatino Linotype" w:cs="Palatino Linotype"/>
          <w:i/>
          <w:sz w:val="22"/>
          <w:szCs w:val="22"/>
        </w:rPr>
        <w:t>”(Sic) (Énfasis añadido)</w:t>
      </w:r>
    </w:p>
    <w:p w14:paraId="4588A910" w14:textId="77777777" w:rsidR="00954120" w:rsidRPr="006936E0" w:rsidRDefault="003A2877">
      <w:pPr>
        <w:spacing w:before="28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De tal modo que 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se ciñó a los establecido en la normatividad, haciendo del conocimiento de </w:t>
      </w:r>
      <w:r w:rsidRPr="006936E0">
        <w:rPr>
          <w:rFonts w:ascii="Palatino Linotype" w:eastAsia="Palatino Linotype" w:hAnsi="Palatino Linotype" w:cs="Palatino Linotype"/>
          <w:b/>
        </w:rPr>
        <w:t>la parte Recurrente</w:t>
      </w:r>
      <w:r w:rsidRPr="006936E0">
        <w:rPr>
          <w:rFonts w:ascii="Palatino Linotype" w:eastAsia="Palatino Linotype" w:hAnsi="Palatino Linotype" w:cs="Palatino Linotype"/>
        </w:rPr>
        <w:t xml:space="preserve"> que no es posible hacer entrega de la información en la modalidad elegida en virtud de que se sobrepasan las capacidades del SAIMEX, por lo que se señaló el procedimiento, horario y lugar para realizar la consulta de la información; y por tanto resulta evidente que existe una imposibilidad técnica para entregar la información conforme lo solicitó el Recurrente; empero, no se negó la entrega de la información, sino que, con el </w:t>
      </w:r>
      <w:r w:rsidRPr="006936E0">
        <w:rPr>
          <w:rFonts w:ascii="Palatino Linotype" w:eastAsia="Palatino Linotype" w:hAnsi="Palatino Linotype" w:cs="Palatino Linotype"/>
        </w:rPr>
        <w:lastRenderedPageBreak/>
        <w:t>propósito de colmar el derecho de acceso a la información del particular, se puso a su disposición la información en consulta directa, con lo que se subsanó la imposibilidad técnica referida. Igualmente, para robustecer lo anterior, es conveniente citar a continuación el Criterio 008/2013 del hoy Instituto Nacional de Acceso a la Información y Protección de Datos Personales:</w:t>
      </w:r>
    </w:p>
    <w:p w14:paraId="26CAB5A9" w14:textId="77777777" w:rsidR="00954120" w:rsidRPr="006936E0" w:rsidRDefault="003A2877">
      <w:pPr>
        <w:spacing w:before="280"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w:t>
      </w:r>
      <w:r w:rsidRPr="006936E0">
        <w:rPr>
          <w:rFonts w:ascii="Palatino Linotype" w:eastAsia="Palatino Linotype" w:hAnsi="Palatino Linotype" w:cs="Palatino Linotype"/>
          <w:b/>
          <w:i/>
          <w:sz w:val="22"/>
          <w:szCs w:val="22"/>
        </w:rPr>
        <w:t>CUANDO EXISTA IMPEDIMENTO JUSTIFICADO DE ATENDER LA MODALIDAD DE ENTREGA ELEGIDA POR EL SOLICITANTE, PROCEDE OFRECER TODAS LAS DEMÁS OPCIONES PREVISTAS EN LA LEY</w:t>
      </w:r>
      <w:r w:rsidRPr="006936E0">
        <w:rPr>
          <w:rFonts w:ascii="Palatino Linotype" w:eastAsia="Palatino Linotype" w:hAnsi="Palatino Linotype" w:cs="Palatino Linotype"/>
          <w:i/>
          <w:sz w:val="22"/>
          <w:szCs w:val="22"/>
        </w:rPr>
        <w:t>.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w:t>
      </w:r>
    </w:p>
    <w:p w14:paraId="49A7EEFC" w14:textId="77777777" w:rsidR="00954120" w:rsidRPr="006936E0" w:rsidRDefault="003A2877">
      <w:pPr>
        <w:spacing w:before="28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lastRenderedPageBreak/>
        <w:t xml:space="preserve">De lo anterior se desprende que no existe una negativa por parte del Sujeto Obligado a entregar la información, puesto que, ante la imposibilidad demostrada de entregar la información vía SAIMEX, se efectuó el cambio de la modalidad de entrega cumpliendo con los requisitos legales establecidos por la normatividad aplicable por lo que es procedente el cambio a consulta directa o in situ de la información relativa a la solicitud referida. </w:t>
      </w:r>
    </w:p>
    <w:p w14:paraId="4A88042D"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Por otra parte, no pasa desapercibido para este Instituto que el </w:t>
      </w:r>
      <w:r w:rsidRPr="006936E0">
        <w:rPr>
          <w:rFonts w:ascii="Palatino Linotype" w:eastAsia="Palatino Linotype" w:hAnsi="Palatino Linotype" w:cs="Palatino Linotype"/>
          <w:b/>
          <w:u w:val="single"/>
        </w:rPr>
        <w:t xml:space="preserve">Sujeto Obligado señaló el día 30 de noviembre de 2022 en un horario de 17:00 a 18:00, para que el Recurrente realizara su consulta; </w:t>
      </w:r>
      <w:r w:rsidRPr="006936E0">
        <w:rPr>
          <w:rFonts w:ascii="Palatino Linotype" w:eastAsia="Palatino Linotype" w:hAnsi="Palatino Linotype" w:cs="Palatino Linotype"/>
        </w:rPr>
        <w:t>lo cual resulta una restricción indebida en el ejercicio del derecho de acceso a la información.</w:t>
      </w:r>
    </w:p>
    <w:p w14:paraId="5F1508E3"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En virtud de que se considera limitativa y restrictiva al derecho de acceso a la información, pues dicho tiempo para su consulta, resulta ser por un lado una argumentación discrecional del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carente de justificación para sustentar porqué de tal limitación para su consulta. </w:t>
      </w:r>
    </w:p>
    <w:p w14:paraId="4502E4CD"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Además de dicha limitación contradice los principios de publicidad, oportunidad y suficiencia a favor del solicitante para poder acceder a la información pública que obra en poder de los Sujetos Obligados, pues dichos principios implican la posibilidad del solicitante de poder conocer las acciones de los entes públicos que se encuentran precisamente en el actuar gubernamental que se encuentra documentado; la oportunidad, como la posibilidad de que el solicitante tenga el momento o la ocasión propicia para acceder o aprovechar la consulta de la información, se trata en el caso en estudio de que el solicitante cuente con las </w:t>
      </w:r>
      <w:r w:rsidRPr="006936E0">
        <w:rPr>
          <w:rFonts w:ascii="Palatino Linotype" w:eastAsia="Palatino Linotype" w:hAnsi="Palatino Linotype" w:cs="Palatino Linotype"/>
        </w:rPr>
        <w:lastRenderedPageBreak/>
        <w:t>condiciones propicias -en este supuesto de tiempo- para su consulta, la cual puede darse en días y horarios hábiles, sin que se tenga que limitar a un solo día, más aún cuando en informe justificado señaló que por la cantidad de información a consultar existe imposibilidad de proporcionarla vía SAIMEX y posteriormente en el requerimiento de información adicional, refirió que la información requerida consta de 90,000 fojas, por lo que se insiste que existe una evidente restricción al derecho de acceso a la información.</w:t>
      </w:r>
    </w:p>
    <w:p w14:paraId="1B105B60" w14:textId="77777777" w:rsidR="00954120" w:rsidRPr="006936E0" w:rsidRDefault="003A2877">
      <w:pPr>
        <w:spacing w:before="28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Por otra parte, es importante señalar que en el informe justificado, el Sujeto Obligado señaló que tendrá disponible la información por un periodo de sesenta días hábiles, con fundamento en el artículo 166 de la Ley de Transparencia Local, sin embargo, no precisó a partir de qué fecha comenzaba a computarse dicho plazo, por lo tanto, se estima que 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deberá hacer el conocimiento de la Particular que la información estará disponible, por un plazo mínimo de sesenta días hábiles, a partir de la fecha de la puesta a disposición, en términos del segundo párrafo del artículo 166 de la Ley de Transparencia y Acceso a la Información Pública del Estado de México y Municipios.</w:t>
      </w:r>
    </w:p>
    <w:p w14:paraId="5D8E2F9D" w14:textId="77777777" w:rsidR="00954120" w:rsidRPr="006936E0" w:rsidRDefault="003A2877">
      <w:pPr>
        <w:spacing w:before="28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Asimismo, si durante la consulta de la información el Recurrente solicitara que se le hiciera entrega de la misma mediante la entrega de copias simples, certificadas o mediante la entrega de un disco magnético o dispositivo USB, 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le deberá hacer del conocimiento el procedimiento para realizar el cobro correspondiente y su posterior entrega; o bien, en el supuesto de que el particular provea del dispositivo magnético, se le podrá hacer la entrega gratuita de la información, en versión pública de ser procedente sustentada mediante el </w:t>
      </w:r>
      <w:r w:rsidRPr="006936E0">
        <w:rPr>
          <w:rFonts w:ascii="Palatino Linotype" w:eastAsia="Palatino Linotype" w:hAnsi="Palatino Linotype" w:cs="Palatino Linotype"/>
        </w:rPr>
        <w:lastRenderedPageBreak/>
        <w:t xml:space="preserve">correspondiente acuerdo que para tales efectos emita el Comité de Transparencia. Lo anterior con fundamento en los Lineamientos generales en materia de clasificación y desclasificación de la información, así como para la elaboración de versiones públicas, numeral Septuagésimo Tercero, que estipula lo siguiente: </w:t>
      </w:r>
    </w:p>
    <w:p w14:paraId="32C58DA7" w14:textId="77777777" w:rsidR="00954120" w:rsidRPr="006936E0" w:rsidRDefault="003A2877">
      <w:pPr>
        <w:spacing w:before="280"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w:t>
      </w:r>
      <w:r w:rsidRPr="006936E0">
        <w:rPr>
          <w:rFonts w:ascii="Palatino Linotype" w:eastAsia="Palatino Linotype" w:hAnsi="Palatino Linotype" w:cs="Palatino Linotype"/>
          <w:b/>
          <w:i/>
          <w:sz w:val="22"/>
          <w:szCs w:val="22"/>
        </w:rPr>
        <w:t>Septuagésimo tercero.</w:t>
      </w:r>
      <w:r w:rsidRPr="006936E0">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La información deberá ser entregada sin costo, cuando implique la entrega de no más de veinte hojas simples.”</w:t>
      </w:r>
    </w:p>
    <w:p w14:paraId="5FD7FD8F" w14:textId="77777777" w:rsidR="00954120" w:rsidRPr="006936E0" w:rsidRDefault="003A2877">
      <w:pPr>
        <w:spacing w:before="28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Es por todo lo expuesto que para este Organismo Garante, 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no cumplió con los requerimientos necesarios para justificar el cambio de modalidad para efecto de entregar la información requerida.</w:t>
      </w:r>
    </w:p>
    <w:p w14:paraId="7C273222" w14:textId="77777777" w:rsidR="00954120" w:rsidRPr="006936E0" w:rsidRDefault="003A2877">
      <w:pPr>
        <w:numPr>
          <w:ilvl w:val="0"/>
          <w:numId w:val="2"/>
        </w:numPr>
        <w:pBdr>
          <w:top w:val="nil"/>
          <w:left w:val="nil"/>
          <w:bottom w:val="nil"/>
          <w:right w:val="nil"/>
          <w:between w:val="nil"/>
        </w:pBdr>
        <w:spacing w:before="280" w:line="360" w:lineRule="auto"/>
        <w:jc w:val="both"/>
        <w:rPr>
          <w:rFonts w:ascii="Palatino Linotype" w:eastAsia="Palatino Linotype" w:hAnsi="Palatino Linotype" w:cs="Palatino Linotype"/>
          <w:sz w:val="22"/>
          <w:szCs w:val="22"/>
        </w:rPr>
      </w:pPr>
      <w:r w:rsidRPr="006936E0">
        <w:rPr>
          <w:rFonts w:ascii="Palatino Linotype" w:eastAsia="Palatino Linotype" w:hAnsi="Palatino Linotype" w:cs="Palatino Linotype"/>
          <w:b/>
          <w:sz w:val="22"/>
          <w:szCs w:val="22"/>
        </w:rPr>
        <w:t>De la naturaleza de la información a entregar: El padrón catastral</w:t>
      </w:r>
    </w:p>
    <w:p w14:paraId="06BB44BB" w14:textId="77777777" w:rsidR="00954120" w:rsidRPr="006936E0" w:rsidRDefault="003A2877">
      <w:pPr>
        <w:spacing w:before="28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Ahora bien, sobre este punto, resulta importante señalar que mediante la etapa de informe justificado, así como en el requerimiento de información adicional, se pronunció la unidad administrativa competente que es la </w:t>
      </w:r>
      <w:r w:rsidRPr="006936E0">
        <w:rPr>
          <w:rFonts w:ascii="Palatino Linotype" w:eastAsia="Palatino Linotype" w:hAnsi="Palatino Linotype" w:cs="Palatino Linotype"/>
          <w:b/>
        </w:rPr>
        <w:t>Tesorería Municipal</w:t>
      </w:r>
      <w:r w:rsidRPr="006936E0">
        <w:rPr>
          <w:rFonts w:ascii="Palatino Linotype" w:eastAsia="Palatino Linotype" w:hAnsi="Palatino Linotype" w:cs="Palatino Linotype"/>
        </w:rPr>
        <w:t xml:space="preserve">, en razón de que cuenta con las siguientes atribuciones plasmadas en el Código de Reglamentación Municipal de Metepec, Estado de México: </w:t>
      </w:r>
    </w:p>
    <w:p w14:paraId="59486F82" w14:textId="77777777" w:rsidR="00954120" w:rsidRPr="006936E0" w:rsidRDefault="00954120">
      <w:pPr>
        <w:spacing w:line="360" w:lineRule="auto"/>
        <w:jc w:val="both"/>
        <w:rPr>
          <w:rFonts w:ascii="Palatino Linotype" w:eastAsia="Palatino Linotype" w:hAnsi="Palatino Linotype" w:cs="Palatino Linotype"/>
        </w:rPr>
      </w:pPr>
    </w:p>
    <w:p w14:paraId="4AEAA332" w14:textId="77777777" w:rsidR="00954120" w:rsidRPr="006936E0" w:rsidRDefault="003A2877">
      <w:pPr>
        <w:spacing w:line="276" w:lineRule="auto"/>
        <w:ind w:left="567" w:right="900"/>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xml:space="preserve">“Artículo 3.52. La Tesorería Municipal es la encargada de conducir la disciplina presupuestal del Municipio y coordinar las diferentes fuentes de captación, en coordinación con las entidades federales, estatales y municipales, buscando lograr la realización de los objetivos contemplados en el Plan de Desarrollo Municipal, a </w:t>
      </w:r>
      <w:r w:rsidRPr="006936E0">
        <w:rPr>
          <w:rFonts w:ascii="Palatino Linotype" w:eastAsia="Palatino Linotype" w:hAnsi="Palatino Linotype" w:cs="Palatino Linotype"/>
          <w:i/>
          <w:sz w:val="22"/>
          <w:szCs w:val="22"/>
        </w:rPr>
        <w:lastRenderedPageBreak/>
        <w:t>través de una adecuada integración del presupuesto de ingresos y egresos del Municipio, para la correcta administración de la hacienda municipal.</w:t>
      </w:r>
    </w:p>
    <w:p w14:paraId="26838E41" w14:textId="77777777" w:rsidR="00954120" w:rsidRPr="006936E0" w:rsidRDefault="00954120">
      <w:pPr>
        <w:spacing w:line="276" w:lineRule="auto"/>
        <w:ind w:left="567" w:right="900"/>
        <w:jc w:val="both"/>
        <w:rPr>
          <w:rFonts w:ascii="Palatino Linotype" w:eastAsia="Palatino Linotype" w:hAnsi="Palatino Linotype" w:cs="Palatino Linotype"/>
          <w:i/>
          <w:sz w:val="22"/>
          <w:szCs w:val="22"/>
        </w:rPr>
      </w:pPr>
    </w:p>
    <w:p w14:paraId="1FF52C55" w14:textId="77777777" w:rsidR="00954120" w:rsidRPr="006936E0" w:rsidRDefault="003A2877">
      <w:pPr>
        <w:spacing w:line="276" w:lineRule="auto"/>
        <w:ind w:left="567" w:right="900"/>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 xml:space="preserve">Artículo 3.53. Además de las previstas en la Ley Orgánica y en la legislación fiscal para los Municipios, son atribuciones de la </w:t>
      </w:r>
      <w:r w:rsidRPr="006936E0">
        <w:rPr>
          <w:rFonts w:ascii="Palatino Linotype" w:eastAsia="Palatino Linotype" w:hAnsi="Palatino Linotype" w:cs="Palatino Linotype"/>
          <w:b/>
          <w:i/>
          <w:sz w:val="22"/>
          <w:szCs w:val="22"/>
          <w:u w:val="single"/>
        </w:rPr>
        <w:t>Tesorería Municipal</w:t>
      </w:r>
      <w:r w:rsidRPr="006936E0">
        <w:rPr>
          <w:rFonts w:ascii="Palatino Linotype" w:eastAsia="Palatino Linotype" w:hAnsi="Palatino Linotype" w:cs="Palatino Linotype"/>
          <w:b/>
          <w:i/>
          <w:sz w:val="22"/>
          <w:szCs w:val="22"/>
        </w:rPr>
        <w:t xml:space="preserve"> las siguientes:</w:t>
      </w:r>
    </w:p>
    <w:p w14:paraId="1BB26EC1" w14:textId="77777777" w:rsidR="00954120" w:rsidRPr="006936E0" w:rsidRDefault="003A2877">
      <w:pPr>
        <w:spacing w:line="276" w:lineRule="auto"/>
        <w:ind w:left="567" w:right="900"/>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w:t>
      </w:r>
    </w:p>
    <w:p w14:paraId="274FAC98" w14:textId="77777777" w:rsidR="00954120" w:rsidRPr="006936E0" w:rsidRDefault="003A2877">
      <w:pPr>
        <w:spacing w:line="276" w:lineRule="auto"/>
        <w:ind w:left="567" w:right="900"/>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XX. Registrar y controlar los bienes inmuebles localizados dentro del territorio municipal, con el objeto de adecuar y actualizar el padrón catastral</w:t>
      </w:r>
      <w:r w:rsidRPr="006936E0">
        <w:rPr>
          <w:rFonts w:ascii="Palatino Linotype" w:eastAsia="Palatino Linotype" w:hAnsi="Palatino Linotype" w:cs="Palatino Linotype"/>
          <w:i/>
          <w:sz w:val="22"/>
          <w:szCs w:val="22"/>
        </w:rPr>
        <w:t>;</w:t>
      </w:r>
    </w:p>
    <w:p w14:paraId="369D0BD3" w14:textId="77777777" w:rsidR="00954120" w:rsidRPr="006936E0" w:rsidRDefault="003A2877">
      <w:pPr>
        <w:spacing w:line="276" w:lineRule="auto"/>
        <w:ind w:left="567" w:right="900"/>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w:t>
      </w:r>
    </w:p>
    <w:p w14:paraId="41DB77DE" w14:textId="77777777" w:rsidR="00954120" w:rsidRPr="006936E0" w:rsidRDefault="003A2877">
      <w:pPr>
        <w:spacing w:line="276" w:lineRule="auto"/>
        <w:ind w:left="567" w:right="900"/>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Artículo 3.54. Para el cumplimiento de sus atribuciones y facultades la Tesorería Municipal contará con:</w:t>
      </w:r>
    </w:p>
    <w:p w14:paraId="1B924DCD" w14:textId="77777777" w:rsidR="00954120" w:rsidRPr="006936E0" w:rsidRDefault="003A2877">
      <w:pPr>
        <w:spacing w:line="276" w:lineRule="auto"/>
        <w:ind w:left="567" w:right="900"/>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w:t>
      </w:r>
    </w:p>
    <w:p w14:paraId="56BF7641" w14:textId="77777777" w:rsidR="00954120" w:rsidRPr="006936E0" w:rsidRDefault="003A2877">
      <w:pPr>
        <w:spacing w:line="276" w:lineRule="auto"/>
        <w:ind w:left="567" w:right="900"/>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 xml:space="preserve">IV. </w:t>
      </w:r>
      <w:r w:rsidRPr="006936E0">
        <w:rPr>
          <w:rFonts w:ascii="Palatino Linotype" w:eastAsia="Palatino Linotype" w:hAnsi="Palatino Linotype" w:cs="Palatino Linotype"/>
          <w:b/>
          <w:i/>
          <w:sz w:val="22"/>
          <w:szCs w:val="22"/>
          <w:u w:val="single"/>
        </w:rPr>
        <w:t>Subdirección de Catastro</w:t>
      </w:r>
      <w:r w:rsidRPr="006936E0">
        <w:rPr>
          <w:rFonts w:ascii="Palatino Linotype" w:eastAsia="Palatino Linotype" w:hAnsi="Palatino Linotype" w:cs="Palatino Linotype"/>
          <w:b/>
          <w:i/>
          <w:sz w:val="22"/>
          <w:szCs w:val="22"/>
        </w:rPr>
        <w:t>.</w:t>
      </w:r>
    </w:p>
    <w:p w14:paraId="0A289214" w14:textId="77777777" w:rsidR="00954120" w:rsidRPr="006936E0" w:rsidRDefault="003A2877">
      <w:pPr>
        <w:spacing w:line="276" w:lineRule="auto"/>
        <w:ind w:left="567" w:right="900"/>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w:t>
      </w:r>
    </w:p>
    <w:p w14:paraId="5178C369" w14:textId="77777777" w:rsidR="00954120" w:rsidRPr="006936E0" w:rsidRDefault="003A2877">
      <w:pPr>
        <w:spacing w:line="276" w:lineRule="auto"/>
        <w:ind w:left="567" w:right="900"/>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 xml:space="preserve">Artículo 8.332. </w:t>
      </w:r>
      <w:r w:rsidRPr="006936E0">
        <w:rPr>
          <w:rFonts w:ascii="Palatino Linotype" w:eastAsia="Palatino Linotype" w:hAnsi="Palatino Linotype" w:cs="Palatino Linotype"/>
          <w:b/>
          <w:i/>
          <w:sz w:val="22"/>
          <w:szCs w:val="22"/>
          <w:u w:val="single"/>
        </w:rPr>
        <w:t>La Subdirección</w:t>
      </w:r>
      <w:r w:rsidRPr="006936E0">
        <w:rPr>
          <w:rFonts w:ascii="Palatino Linotype" w:eastAsia="Palatino Linotype" w:hAnsi="Palatino Linotype" w:cs="Palatino Linotype"/>
          <w:b/>
          <w:i/>
          <w:sz w:val="22"/>
          <w:szCs w:val="22"/>
        </w:rPr>
        <w:t xml:space="preserve"> realizará los siguientes trámites relativos al padrón catastral:</w:t>
      </w:r>
    </w:p>
    <w:p w14:paraId="20ED6B30" w14:textId="77777777" w:rsidR="00954120" w:rsidRPr="006936E0" w:rsidRDefault="003A2877">
      <w:pPr>
        <w:spacing w:line="276" w:lineRule="auto"/>
        <w:ind w:left="567" w:right="900"/>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I. Inscripción;</w:t>
      </w:r>
    </w:p>
    <w:p w14:paraId="4F35D452" w14:textId="77777777" w:rsidR="00954120" w:rsidRPr="006936E0" w:rsidRDefault="003A2877">
      <w:pPr>
        <w:spacing w:line="276" w:lineRule="auto"/>
        <w:ind w:left="567" w:right="900"/>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II. Altas, bajas y modificaciones de la construcción;</w:t>
      </w:r>
    </w:p>
    <w:p w14:paraId="5F1F3D5B" w14:textId="77777777" w:rsidR="00954120" w:rsidRPr="006936E0" w:rsidRDefault="003A2877">
      <w:pPr>
        <w:spacing w:line="276" w:lineRule="auto"/>
        <w:ind w:left="567" w:right="900"/>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III. Subdivisión;</w:t>
      </w:r>
    </w:p>
    <w:p w14:paraId="4C81B7A8" w14:textId="77777777" w:rsidR="00954120" w:rsidRPr="006936E0" w:rsidRDefault="003A2877">
      <w:pPr>
        <w:spacing w:line="276" w:lineRule="auto"/>
        <w:ind w:left="567" w:right="900"/>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IV. Fusión;</w:t>
      </w:r>
    </w:p>
    <w:p w14:paraId="276F7B94" w14:textId="77777777" w:rsidR="00954120" w:rsidRPr="006936E0" w:rsidRDefault="003A2877">
      <w:pPr>
        <w:spacing w:line="276" w:lineRule="auto"/>
        <w:ind w:left="567" w:right="900"/>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V. Lotificación;</w:t>
      </w:r>
    </w:p>
    <w:p w14:paraId="7AE4A48B" w14:textId="77777777" w:rsidR="00954120" w:rsidRPr="006936E0" w:rsidRDefault="003A2877">
      <w:pPr>
        <w:spacing w:line="276" w:lineRule="auto"/>
        <w:ind w:left="567" w:right="900"/>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VI. Relotificación;</w:t>
      </w:r>
    </w:p>
    <w:p w14:paraId="30896926" w14:textId="77777777" w:rsidR="00954120" w:rsidRPr="006936E0" w:rsidRDefault="003A2877">
      <w:pPr>
        <w:spacing w:line="276" w:lineRule="auto"/>
        <w:ind w:left="567" w:right="900"/>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VII. Cambios técnicos y Administrativos;</w:t>
      </w:r>
    </w:p>
    <w:p w14:paraId="2293AC00" w14:textId="77777777" w:rsidR="00954120" w:rsidRPr="006936E0" w:rsidRDefault="003A2877">
      <w:pPr>
        <w:spacing w:line="276" w:lineRule="auto"/>
        <w:ind w:left="567" w:right="900"/>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VIII. Alta y Cambio de Clave Catastral; y</w:t>
      </w:r>
    </w:p>
    <w:p w14:paraId="163A43A2" w14:textId="77777777" w:rsidR="00954120" w:rsidRPr="006936E0" w:rsidRDefault="003A2877">
      <w:pPr>
        <w:spacing w:line="276" w:lineRule="auto"/>
        <w:ind w:left="567" w:right="900"/>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 xml:space="preserve">IX. Baja de clave.” </w:t>
      </w:r>
      <w:r w:rsidRPr="006936E0">
        <w:rPr>
          <w:rFonts w:ascii="Palatino Linotype" w:eastAsia="Palatino Linotype" w:hAnsi="Palatino Linotype" w:cs="Palatino Linotype"/>
          <w:i/>
          <w:sz w:val="22"/>
          <w:szCs w:val="22"/>
        </w:rPr>
        <w:t>(Sic) (Énfasis añadido)</w:t>
      </w:r>
    </w:p>
    <w:p w14:paraId="54416A34" w14:textId="77777777" w:rsidR="00954120" w:rsidRPr="006936E0" w:rsidRDefault="00954120">
      <w:pPr>
        <w:spacing w:line="276" w:lineRule="auto"/>
        <w:ind w:right="900"/>
        <w:jc w:val="both"/>
        <w:rPr>
          <w:rFonts w:ascii="Palatino Linotype" w:eastAsia="Palatino Linotype" w:hAnsi="Palatino Linotype" w:cs="Palatino Linotype"/>
          <w:b/>
          <w:i/>
          <w:sz w:val="22"/>
          <w:szCs w:val="22"/>
        </w:rPr>
      </w:pPr>
    </w:p>
    <w:p w14:paraId="6C942A40" w14:textId="77777777" w:rsidR="00954120" w:rsidRPr="006936E0" w:rsidRDefault="003A2877">
      <w:pPr>
        <w:spacing w:line="360" w:lineRule="auto"/>
        <w:ind w:right="49"/>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De lo anteriormente citado, se aprecia que efectivamente la unidad administrativa que se pronunció mediante informe justificado, es la competente, en virtud de que la Tesorería Municipal, cuenta con una Subdirección de Catastro que se encarga de diversos trámites relativos al padrón catastral, como puede ser altas, bajas y </w:t>
      </w:r>
      <w:r w:rsidRPr="006936E0">
        <w:rPr>
          <w:rFonts w:ascii="Palatino Linotype" w:eastAsia="Palatino Linotype" w:hAnsi="Palatino Linotype" w:cs="Palatino Linotype"/>
        </w:rPr>
        <w:lastRenderedPageBreak/>
        <w:t xml:space="preserve">modificaciones de la construcción, subdivisiones, fusiones, cambios técnicos y administrativos, etcétera. </w:t>
      </w:r>
    </w:p>
    <w:p w14:paraId="0B25BF88" w14:textId="77777777" w:rsidR="00954120" w:rsidRPr="006936E0" w:rsidRDefault="00954120">
      <w:pPr>
        <w:spacing w:line="360" w:lineRule="auto"/>
        <w:ind w:right="49"/>
        <w:jc w:val="both"/>
        <w:rPr>
          <w:rFonts w:ascii="Palatino Linotype" w:eastAsia="Palatino Linotype" w:hAnsi="Palatino Linotype" w:cs="Palatino Linotype"/>
        </w:rPr>
      </w:pPr>
    </w:p>
    <w:p w14:paraId="423175A2" w14:textId="77777777" w:rsidR="00954120" w:rsidRPr="006936E0" w:rsidRDefault="003A2877">
      <w:pPr>
        <w:spacing w:line="360" w:lineRule="auto"/>
        <w:ind w:right="49"/>
        <w:jc w:val="both"/>
        <w:rPr>
          <w:rFonts w:ascii="Palatino Linotype" w:eastAsia="Palatino Linotype" w:hAnsi="Palatino Linotype" w:cs="Palatino Linotype"/>
          <w:b/>
        </w:rPr>
      </w:pPr>
      <w:r w:rsidRPr="006936E0">
        <w:rPr>
          <w:rFonts w:ascii="Palatino Linotype" w:eastAsia="Palatino Linotype" w:hAnsi="Palatino Linotype" w:cs="Palatino Linotype"/>
        </w:rPr>
        <w:t xml:space="preserve">Acotado el ámbito competencial del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es importante señalar que de conformidad con el artículo 168 del Código Financiero del Estado de México y Municipios, el catastro es un </w:t>
      </w:r>
      <w:r w:rsidRPr="006936E0">
        <w:rPr>
          <w:rFonts w:ascii="Palatino Linotype" w:eastAsia="Palatino Linotype" w:hAnsi="Palatino Linotype" w:cs="Palatino Linotype"/>
          <w:b/>
        </w:rPr>
        <w:t xml:space="preserve">sistema de información territorial, cuyo propósito es integrar, conservar y mantener actualizados el padrón catastral estatal y los padrones municipales de la Entidad. </w:t>
      </w:r>
      <w:r w:rsidRPr="006936E0">
        <w:rPr>
          <w:rFonts w:ascii="Palatino Linotype" w:eastAsia="Palatino Linotype" w:hAnsi="Palatino Linotype" w:cs="Palatino Linotype"/>
        </w:rPr>
        <w:t xml:space="preserve">Asimismo el artículo en análisis define al padrón catastral como un </w:t>
      </w:r>
      <w:r w:rsidRPr="006936E0">
        <w:rPr>
          <w:rFonts w:ascii="Palatino Linotype" w:eastAsia="Palatino Linotype" w:hAnsi="Palatino Linotype" w:cs="Palatino Linotype"/>
          <w:b/>
        </w:rPr>
        <w:t>inventario analítico que contiene los datos técnicos y administrativos de los inmuebles y está conformado por el conjunto de registros geográficos, gráficos, estadísticos, alfanuméricos y elementos y características resultantes de las actividades catastrales.</w:t>
      </w:r>
    </w:p>
    <w:p w14:paraId="7E7AAEA6" w14:textId="77777777" w:rsidR="00954120" w:rsidRPr="006936E0" w:rsidRDefault="00954120">
      <w:pPr>
        <w:spacing w:line="360" w:lineRule="auto"/>
        <w:ind w:right="49"/>
        <w:jc w:val="both"/>
        <w:rPr>
          <w:rFonts w:ascii="Palatino Linotype" w:eastAsia="Palatino Linotype" w:hAnsi="Palatino Linotype" w:cs="Palatino Linotype"/>
          <w:b/>
        </w:rPr>
      </w:pPr>
    </w:p>
    <w:p w14:paraId="438B1E99" w14:textId="77777777" w:rsidR="00954120" w:rsidRPr="006936E0" w:rsidRDefault="003A2877">
      <w:pPr>
        <w:spacing w:line="360" w:lineRule="auto"/>
        <w:ind w:right="49"/>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En correlación con la disposición insertada previamente, el artículo 180 del multicitado Código, detalla la composición del padrón catastral, mismo que se inserta a continuación para mejor proveer del presente estudio: </w:t>
      </w:r>
    </w:p>
    <w:p w14:paraId="4B21BD01" w14:textId="77777777" w:rsidR="00954120" w:rsidRPr="006936E0" w:rsidRDefault="00954120">
      <w:pPr>
        <w:spacing w:line="360" w:lineRule="auto"/>
        <w:ind w:right="49"/>
        <w:jc w:val="both"/>
        <w:rPr>
          <w:rFonts w:ascii="Palatino Linotype" w:eastAsia="Palatino Linotype" w:hAnsi="Palatino Linotype" w:cs="Palatino Linotype"/>
        </w:rPr>
      </w:pPr>
    </w:p>
    <w:p w14:paraId="685CBF01" w14:textId="77777777" w:rsidR="00954120" w:rsidRPr="006936E0" w:rsidRDefault="003A2877">
      <w:pPr>
        <w:spacing w:line="276" w:lineRule="auto"/>
        <w:ind w:left="567" w:right="851"/>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 xml:space="preserve">“Artículo 180.- El padrón catastral </w:t>
      </w:r>
      <w:r w:rsidRPr="006936E0">
        <w:rPr>
          <w:rFonts w:ascii="Palatino Linotype" w:eastAsia="Palatino Linotype" w:hAnsi="Palatino Linotype" w:cs="Palatino Linotype"/>
          <w:b/>
          <w:i/>
          <w:sz w:val="22"/>
          <w:szCs w:val="22"/>
          <w:u w:val="single"/>
        </w:rPr>
        <w:t>se integra por un registro alfanumérico y un registro gráfico y deberán contener los datos, catálogos y especificaciones establecidos en el reglamento de este Título</w:t>
      </w:r>
      <w:r w:rsidRPr="006936E0">
        <w:rPr>
          <w:rFonts w:ascii="Palatino Linotype" w:eastAsia="Palatino Linotype" w:hAnsi="Palatino Linotype" w:cs="Palatino Linotype"/>
          <w:b/>
          <w:i/>
          <w:sz w:val="22"/>
          <w:szCs w:val="22"/>
        </w:rPr>
        <w:t>, el Manual Catastral y demás disposiciones aplicables a la materia.”</w:t>
      </w:r>
    </w:p>
    <w:p w14:paraId="49187BEE" w14:textId="77777777" w:rsidR="00954120" w:rsidRPr="006936E0" w:rsidRDefault="00954120">
      <w:pPr>
        <w:spacing w:line="276" w:lineRule="auto"/>
        <w:ind w:left="567" w:right="851"/>
        <w:jc w:val="both"/>
        <w:rPr>
          <w:rFonts w:ascii="Palatino Linotype" w:eastAsia="Palatino Linotype" w:hAnsi="Palatino Linotype" w:cs="Palatino Linotype"/>
          <w:b/>
          <w:i/>
          <w:sz w:val="22"/>
          <w:szCs w:val="22"/>
        </w:rPr>
      </w:pPr>
    </w:p>
    <w:p w14:paraId="4B5728E2" w14:textId="77777777" w:rsidR="00954120" w:rsidRPr="006936E0" w:rsidRDefault="003A2877">
      <w:pPr>
        <w:spacing w:line="360" w:lineRule="auto"/>
        <w:ind w:right="49"/>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De manera que como se visualiza con la cita insertada a previamente, el padrón catastral se compone de dos registros respectivamente: uno que es alfanumérico y otro que es el registro gráfico, por lo que bajo esta línea de pensamiento conviene </w:t>
      </w:r>
      <w:r w:rsidRPr="006936E0">
        <w:rPr>
          <w:rFonts w:ascii="Palatino Linotype" w:eastAsia="Palatino Linotype" w:hAnsi="Palatino Linotype" w:cs="Palatino Linotype"/>
        </w:rPr>
        <w:lastRenderedPageBreak/>
        <w:t xml:space="preserve">desglosar los elementos que contienen tanto el registro alfanumérico como el gráfico, para lo cual, es necesario traer a colación lo referido por el artículo 29 del Reglamento del Título Quinto del Código Financiero del Estado de México y Municipios, Denominado “Del Catastro”: </w:t>
      </w:r>
    </w:p>
    <w:p w14:paraId="69C8549E" w14:textId="77777777" w:rsidR="00954120" w:rsidRPr="006936E0" w:rsidRDefault="00954120">
      <w:pPr>
        <w:spacing w:line="360" w:lineRule="auto"/>
        <w:ind w:right="49"/>
        <w:jc w:val="both"/>
        <w:rPr>
          <w:rFonts w:ascii="Palatino Linotype" w:eastAsia="Palatino Linotype" w:hAnsi="Palatino Linotype" w:cs="Palatino Linotype"/>
        </w:rPr>
      </w:pPr>
    </w:p>
    <w:p w14:paraId="45632E87" w14:textId="77777777" w:rsidR="00954120" w:rsidRPr="006936E0" w:rsidRDefault="003A2877">
      <w:pPr>
        <w:spacing w:line="276" w:lineRule="auto"/>
        <w:ind w:left="567" w:right="851"/>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i/>
          <w:sz w:val="22"/>
          <w:szCs w:val="22"/>
        </w:rPr>
        <w:t>“</w:t>
      </w:r>
      <w:r w:rsidRPr="006936E0">
        <w:rPr>
          <w:rFonts w:ascii="Palatino Linotype" w:eastAsia="Palatino Linotype" w:hAnsi="Palatino Linotype" w:cs="Palatino Linotype"/>
          <w:b/>
          <w:i/>
          <w:sz w:val="22"/>
          <w:szCs w:val="22"/>
        </w:rPr>
        <w:t>Artículo 29.- Los datos, catálogos y especificaciones a que se refiere el artículo 180 del Código, serán como mínimo los siguientes:</w:t>
      </w:r>
    </w:p>
    <w:p w14:paraId="08FCD7EC" w14:textId="77777777" w:rsidR="00954120" w:rsidRPr="006936E0" w:rsidRDefault="003A2877">
      <w:pPr>
        <w:spacing w:line="276" w:lineRule="auto"/>
        <w:ind w:left="567" w:right="851"/>
        <w:jc w:val="both"/>
        <w:rPr>
          <w:rFonts w:ascii="Palatino Linotype" w:eastAsia="Palatino Linotype" w:hAnsi="Palatino Linotype" w:cs="Palatino Linotype"/>
          <w:b/>
          <w:i/>
          <w:sz w:val="22"/>
          <w:szCs w:val="22"/>
          <w:u w:val="single"/>
        </w:rPr>
      </w:pPr>
      <w:r w:rsidRPr="006936E0">
        <w:rPr>
          <w:rFonts w:ascii="Palatino Linotype" w:eastAsia="Palatino Linotype" w:hAnsi="Palatino Linotype" w:cs="Palatino Linotype"/>
          <w:b/>
          <w:i/>
          <w:sz w:val="22"/>
          <w:szCs w:val="22"/>
          <w:u w:val="single"/>
        </w:rPr>
        <w:t>I. El registro alfanumérico deberá contener:</w:t>
      </w:r>
    </w:p>
    <w:p w14:paraId="66F43B45"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A. Datos del inmueble:</w:t>
      </w:r>
    </w:p>
    <w:p w14:paraId="4292AB4B"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1. Clave catastral.</w:t>
      </w:r>
    </w:p>
    <w:p w14:paraId="0FC2454C"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xml:space="preserve">2. </w:t>
      </w:r>
      <w:r w:rsidRPr="006936E0">
        <w:rPr>
          <w:rFonts w:ascii="Palatino Linotype" w:eastAsia="Palatino Linotype" w:hAnsi="Palatino Linotype" w:cs="Palatino Linotype"/>
          <w:b/>
          <w:i/>
          <w:sz w:val="22"/>
          <w:szCs w:val="22"/>
          <w:u w:val="single"/>
        </w:rPr>
        <w:t>Nombre del propietario o poseedor.</w:t>
      </w:r>
    </w:p>
    <w:p w14:paraId="2AE9416A"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3. Clave Única de Registro de Población (CURP).</w:t>
      </w:r>
    </w:p>
    <w:p w14:paraId="517F39F3"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4. Ubicación del predio.</w:t>
      </w:r>
    </w:p>
    <w:p w14:paraId="18DF1332"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5. Domicilio para recibir notificaciones.</w:t>
      </w:r>
    </w:p>
    <w:p w14:paraId="40F01891"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6. Superficie total del terreno.</w:t>
      </w:r>
    </w:p>
    <w:p w14:paraId="55EB3D61"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7. Superficie privativa del terreno en condominio.</w:t>
      </w:r>
    </w:p>
    <w:p w14:paraId="3C9E8FC0"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8. Superficie común del terreno en condominio</w:t>
      </w:r>
    </w:p>
    <w:p w14:paraId="29FD869A"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9. Características del terreno.</w:t>
      </w:r>
    </w:p>
    <w:p w14:paraId="7E219137"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10.Superficie total de construcción.</w:t>
      </w:r>
    </w:p>
    <w:p w14:paraId="68CCF1ED"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11.Superficie privativa de la construcción en condominio.</w:t>
      </w:r>
    </w:p>
    <w:p w14:paraId="1969F02F"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12.Superficie común de la construcción en condominio.</w:t>
      </w:r>
    </w:p>
    <w:p w14:paraId="103001CF"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13.Características de la construcción.</w:t>
      </w:r>
    </w:p>
    <w:p w14:paraId="1CC227A9"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14.Uso del Suelo.</w:t>
      </w:r>
    </w:p>
    <w:p w14:paraId="5F78407B"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15.Uso específico del predio.</w:t>
      </w:r>
    </w:p>
    <w:p w14:paraId="234E9078"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16.Régimen jurídico de la propiedad.</w:t>
      </w:r>
    </w:p>
    <w:p w14:paraId="180900A5"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17. Valor catastral total.</w:t>
      </w:r>
    </w:p>
    <w:p w14:paraId="2C6A847F"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18. Valor catastral del terreno.</w:t>
      </w:r>
    </w:p>
    <w:p w14:paraId="0D69CBB7"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19. Valor catastral de la construcción.</w:t>
      </w:r>
    </w:p>
    <w:p w14:paraId="2EB8DB36" w14:textId="77777777" w:rsidR="00954120" w:rsidRPr="006936E0" w:rsidRDefault="00954120">
      <w:pPr>
        <w:spacing w:line="276" w:lineRule="auto"/>
        <w:ind w:left="567" w:right="851"/>
        <w:jc w:val="both"/>
        <w:rPr>
          <w:rFonts w:ascii="Palatino Linotype" w:eastAsia="Palatino Linotype" w:hAnsi="Palatino Linotype" w:cs="Palatino Linotype"/>
          <w:i/>
          <w:sz w:val="22"/>
          <w:szCs w:val="22"/>
        </w:rPr>
      </w:pPr>
    </w:p>
    <w:p w14:paraId="04BE7525" w14:textId="77777777" w:rsidR="00954120" w:rsidRPr="006936E0" w:rsidRDefault="003A2877">
      <w:pPr>
        <w:spacing w:line="276" w:lineRule="auto"/>
        <w:ind w:left="567" w:right="851"/>
        <w:jc w:val="both"/>
        <w:rPr>
          <w:rFonts w:ascii="Palatino Linotype" w:eastAsia="Palatino Linotype" w:hAnsi="Palatino Linotype" w:cs="Palatino Linotype"/>
          <w:b/>
          <w:i/>
          <w:sz w:val="22"/>
          <w:szCs w:val="22"/>
          <w:u w:val="single"/>
        </w:rPr>
      </w:pPr>
      <w:r w:rsidRPr="006936E0">
        <w:rPr>
          <w:rFonts w:ascii="Palatino Linotype" w:eastAsia="Palatino Linotype" w:hAnsi="Palatino Linotype" w:cs="Palatino Linotype"/>
          <w:b/>
          <w:i/>
          <w:sz w:val="22"/>
          <w:szCs w:val="22"/>
          <w:u w:val="single"/>
        </w:rPr>
        <w:t>B. Catálogos operativos:</w:t>
      </w:r>
    </w:p>
    <w:p w14:paraId="19A0CDB5"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1. Localidades.</w:t>
      </w:r>
    </w:p>
    <w:p w14:paraId="4900543F"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2. Colonias.</w:t>
      </w:r>
    </w:p>
    <w:p w14:paraId="2CACD745"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lastRenderedPageBreak/>
        <w:t>3. Áreas Homogéneas.</w:t>
      </w:r>
    </w:p>
    <w:p w14:paraId="7DCB387F"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4. Tipologías de construcción.</w:t>
      </w:r>
    </w:p>
    <w:p w14:paraId="78435672"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5. Bandas de valor.</w:t>
      </w:r>
    </w:p>
    <w:p w14:paraId="4A584C6C"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6. Manzanas.</w:t>
      </w:r>
    </w:p>
    <w:p w14:paraId="3878B290"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7. Calles.</w:t>
      </w:r>
    </w:p>
    <w:p w14:paraId="0967044D" w14:textId="77777777" w:rsidR="00954120" w:rsidRPr="006936E0" w:rsidRDefault="00954120">
      <w:pPr>
        <w:spacing w:line="276" w:lineRule="auto"/>
        <w:ind w:left="567" w:right="851"/>
        <w:jc w:val="both"/>
        <w:rPr>
          <w:rFonts w:ascii="Palatino Linotype" w:eastAsia="Palatino Linotype" w:hAnsi="Palatino Linotype" w:cs="Palatino Linotype"/>
          <w:i/>
          <w:sz w:val="22"/>
          <w:szCs w:val="22"/>
        </w:rPr>
      </w:pPr>
    </w:p>
    <w:p w14:paraId="501CA41C" w14:textId="77777777" w:rsidR="00954120" w:rsidRPr="006936E0" w:rsidRDefault="003A2877">
      <w:pPr>
        <w:spacing w:line="276" w:lineRule="auto"/>
        <w:ind w:left="567" w:right="851"/>
        <w:jc w:val="both"/>
        <w:rPr>
          <w:rFonts w:ascii="Palatino Linotype" w:eastAsia="Palatino Linotype" w:hAnsi="Palatino Linotype" w:cs="Palatino Linotype"/>
          <w:b/>
          <w:i/>
          <w:sz w:val="22"/>
          <w:szCs w:val="22"/>
          <w:u w:val="single"/>
        </w:rPr>
      </w:pPr>
      <w:r w:rsidRPr="006936E0">
        <w:rPr>
          <w:rFonts w:ascii="Palatino Linotype" w:eastAsia="Palatino Linotype" w:hAnsi="Palatino Linotype" w:cs="Palatino Linotype"/>
          <w:b/>
          <w:i/>
          <w:sz w:val="22"/>
          <w:szCs w:val="22"/>
          <w:u w:val="single"/>
        </w:rPr>
        <w:t>C. Catálogos normativos:</w:t>
      </w:r>
    </w:p>
    <w:p w14:paraId="75D0B177"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1. Delegaciones regionales.</w:t>
      </w:r>
    </w:p>
    <w:p w14:paraId="623526A1"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2. Municipios.</w:t>
      </w:r>
    </w:p>
    <w:p w14:paraId="2C17C6D5"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3. Tipos de vialidad</w:t>
      </w:r>
    </w:p>
    <w:p w14:paraId="273392C7"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4. Régimen de propiedad.</w:t>
      </w:r>
    </w:p>
    <w:p w14:paraId="00929505"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5. Uso del suelo.</w:t>
      </w:r>
    </w:p>
    <w:p w14:paraId="126B8130"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6. Usos específicos de los predios.</w:t>
      </w:r>
    </w:p>
    <w:p w14:paraId="4147D3E6"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7. Tipos de mérito / demérito.</w:t>
      </w:r>
    </w:p>
    <w:p w14:paraId="7B98EC24"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8. Factores de mérito / demérito.</w:t>
      </w:r>
    </w:p>
    <w:p w14:paraId="34A81179" w14:textId="77777777" w:rsidR="00954120" w:rsidRPr="006936E0" w:rsidRDefault="00954120">
      <w:pPr>
        <w:spacing w:line="276" w:lineRule="auto"/>
        <w:ind w:left="567" w:right="851"/>
        <w:jc w:val="both"/>
        <w:rPr>
          <w:rFonts w:ascii="Palatino Linotype" w:eastAsia="Palatino Linotype" w:hAnsi="Palatino Linotype" w:cs="Palatino Linotype"/>
          <w:i/>
          <w:sz w:val="22"/>
          <w:szCs w:val="22"/>
        </w:rPr>
      </w:pPr>
    </w:p>
    <w:p w14:paraId="2EB3141E" w14:textId="77777777" w:rsidR="00954120" w:rsidRPr="006936E0" w:rsidRDefault="003A2877">
      <w:pPr>
        <w:spacing w:line="276" w:lineRule="auto"/>
        <w:ind w:left="567" w:right="851"/>
        <w:jc w:val="both"/>
        <w:rPr>
          <w:rFonts w:ascii="Palatino Linotype" w:eastAsia="Palatino Linotype" w:hAnsi="Palatino Linotype" w:cs="Palatino Linotype"/>
          <w:b/>
          <w:i/>
          <w:sz w:val="22"/>
          <w:szCs w:val="22"/>
        </w:rPr>
      </w:pPr>
      <w:r w:rsidRPr="006936E0">
        <w:rPr>
          <w:rFonts w:ascii="Palatino Linotype" w:eastAsia="Palatino Linotype" w:hAnsi="Palatino Linotype" w:cs="Palatino Linotype"/>
          <w:b/>
          <w:i/>
          <w:sz w:val="22"/>
          <w:szCs w:val="22"/>
        </w:rPr>
        <w:t>II. El registro gráfico deberá contener:</w:t>
      </w:r>
    </w:p>
    <w:p w14:paraId="27178F7A"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xml:space="preserve">A. Tratándose de la </w:t>
      </w:r>
      <w:r w:rsidRPr="006936E0">
        <w:rPr>
          <w:rFonts w:ascii="Palatino Linotype" w:eastAsia="Palatino Linotype" w:hAnsi="Palatino Linotype" w:cs="Palatino Linotype"/>
          <w:b/>
          <w:i/>
          <w:sz w:val="22"/>
          <w:szCs w:val="22"/>
          <w:u w:val="single"/>
        </w:rPr>
        <w:t>cartografía vectorial catastral a nivel de manzana</w:t>
      </w:r>
      <w:r w:rsidRPr="006936E0">
        <w:rPr>
          <w:rFonts w:ascii="Palatino Linotype" w:eastAsia="Palatino Linotype" w:hAnsi="Palatino Linotype" w:cs="Palatino Linotype"/>
          <w:i/>
          <w:sz w:val="22"/>
          <w:szCs w:val="22"/>
        </w:rPr>
        <w:t>:</w:t>
      </w:r>
    </w:p>
    <w:p w14:paraId="4DE80739"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1. Delimitación municipal.</w:t>
      </w:r>
    </w:p>
    <w:p w14:paraId="5969EF9F"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2. Delimitación de zonas catastrales.</w:t>
      </w:r>
    </w:p>
    <w:p w14:paraId="501A7F67"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3. Delimitación de áreas homogéneas.</w:t>
      </w:r>
    </w:p>
    <w:p w14:paraId="239667B0"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4. Delimitación de bandas de valor.</w:t>
      </w:r>
    </w:p>
    <w:p w14:paraId="5C149989"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5. Delimitación y código de manzanas.</w:t>
      </w:r>
    </w:p>
    <w:p w14:paraId="1D530B5E"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6. Código de clave de calle.</w:t>
      </w:r>
    </w:p>
    <w:p w14:paraId="15E7CC86"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7. Nombre de la calle.</w:t>
      </w:r>
    </w:p>
    <w:p w14:paraId="789DED12" w14:textId="77777777" w:rsidR="00954120" w:rsidRPr="006936E0" w:rsidRDefault="00954120">
      <w:pPr>
        <w:spacing w:line="276" w:lineRule="auto"/>
        <w:ind w:left="567" w:right="851"/>
        <w:jc w:val="both"/>
        <w:rPr>
          <w:rFonts w:ascii="Palatino Linotype" w:eastAsia="Palatino Linotype" w:hAnsi="Palatino Linotype" w:cs="Palatino Linotype"/>
          <w:i/>
          <w:sz w:val="22"/>
          <w:szCs w:val="22"/>
        </w:rPr>
      </w:pPr>
    </w:p>
    <w:p w14:paraId="5D9CB4D0"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xml:space="preserve">B. En el caso de la cartografía vectorial catastral </w:t>
      </w:r>
      <w:r w:rsidRPr="006936E0">
        <w:rPr>
          <w:rFonts w:ascii="Palatino Linotype" w:eastAsia="Palatino Linotype" w:hAnsi="Palatino Linotype" w:cs="Palatino Linotype"/>
          <w:b/>
          <w:i/>
          <w:sz w:val="22"/>
          <w:szCs w:val="22"/>
          <w:u w:val="single"/>
        </w:rPr>
        <w:t>a nivel de predio</w:t>
      </w:r>
      <w:r w:rsidRPr="006936E0">
        <w:rPr>
          <w:rFonts w:ascii="Palatino Linotype" w:eastAsia="Palatino Linotype" w:hAnsi="Palatino Linotype" w:cs="Palatino Linotype"/>
          <w:i/>
          <w:sz w:val="22"/>
          <w:szCs w:val="22"/>
        </w:rPr>
        <w:t>, además de lo anterior:</w:t>
      </w:r>
    </w:p>
    <w:p w14:paraId="5FD17158"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1. Clave catastral.</w:t>
      </w:r>
    </w:p>
    <w:p w14:paraId="00F61863"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2. Delimitación del predio.</w:t>
      </w:r>
    </w:p>
    <w:p w14:paraId="7C123227"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3. Superficie total de terreno.</w:t>
      </w:r>
    </w:p>
    <w:p w14:paraId="611AF81B"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4. Perímetro y superficie de las construcciones.</w:t>
      </w:r>
    </w:p>
    <w:p w14:paraId="62AD0570"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5. Representación del número de niveles de las construcciones.</w:t>
      </w:r>
    </w:p>
    <w:p w14:paraId="22B68D87"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6. Número oficial.” (Sic) (Énfasis añadido)</w:t>
      </w:r>
    </w:p>
    <w:p w14:paraId="506046D7" w14:textId="77777777" w:rsidR="00954120" w:rsidRPr="006936E0" w:rsidRDefault="00954120">
      <w:pPr>
        <w:spacing w:line="360" w:lineRule="auto"/>
        <w:ind w:right="49"/>
        <w:jc w:val="both"/>
        <w:rPr>
          <w:rFonts w:ascii="Palatino Linotype" w:eastAsia="Palatino Linotype" w:hAnsi="Palatino Linotype" w:cs="Palatino Linotype"/>
        </w:rPr>
      </w:pPr>
    </w:p>
    <w:p w14:paraId="188A74EF" w14:textId="77777777" w:rsidR="00954120" w:rsidRPr="006936E0" w:rsidRDefault="003A2877">
      <w:pPr>
        <w:spacing w:after="280" w:line="360" w:lineRule="auto"/>
        <w:ind w:right="49"/>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Delimitado lo anterior, se advierte que existen dos elementos que componen al padrón catastral: </w:t>
      </w:r>
      <w:r w:rsidRPr="006936E0">
        <w:rPr>
          <w:rFonts w:ascii="Palatino Linotype" w:eastAsia="Palatino Linotype" w:hAnsi="Palatino Linotype" w:cs="Palatino Linotype"/>
          <w:b/>
          <w:u w:val="single"/>
        </w:rPr>
        <w:t>el registro alfanumérico y el registro gráfico</w:t>
      </w:r>
      <w:r w:rsidRPr="006936E0">
        <w:rPr>
          <w:rFonts w:ascii="Palatino Linotype" w:eastAsia="Palatino Linotype" w:hAnsi="Palatino Linotype" w:cs="Palatino Linotype"/>
        </w:rPr>
        <w:t>.</w:t>
      </w:r>
    </w:p>
    <w:p w14:paraId="12B4AB9A" w14:textId="77777777" w:rsidR="00954120" w:rsidRPr="006936E0" w:rsidRDefault="003A2877">
      <w:pPr>
        <w:numPr>
          <w:ilvl w:val="0"/>
          <w:numId w:val="6"/>
        </w:numPr>
        <w:pBdr>
          <w:top w:val="nil"/>
          <w:left w:val="nil"/>
          <w:bottom w:val="nil"/>
          <w:right w:val="nil"/>
          <w:between w:val="nil"/>
        </w:pBdr>
        <w:spacing w:before="280" w:after="280" w:line="360" w:lineRule="auto"/>
        <w:ind w:left="567" w:right="49" w:hanging="141"/>
        <w:jc w:val="both"/>
        <w:rPr>
          <w:rFonts w:ascii="Palatino Linotype" w:eastAsia="Palatino Linotype" w:hAnsi="Palatino Linotype" w:cs="Palatino Linotype"/>
          <w:b/>
          <w:sz w:val="22"/>
          <w:szCs w:val="22"/>
        </w:rPr>
      </w:pPr>
      <w:r w:rsidRPr="006936E0">
        <w:rPr>
          <w:rFonts w:ascii="Palatino Linotype" w:eastAsia="Palatino Linotype" w:hAnsi="Palatino Linotype" w:cs="Palatino Linotype"/>
          <w:b/>
          <w:sz w:val="22"/>
          <w:szCs w:val="22"/>
        </w:rPr>
        <w:t>Del registro alfanumérico</w:t>
      </w:r>
    </w:p>
    <w:p w14:paraId="3827DDF4" w14:textId="77777777" w:rsidR="00954120" w:rsidRPr="006936E0" w:rsidRDefault="003A2877">
      <w:pPr>
        <w:spacing w:before="280" w:line="360" w:lineRule="auto"/>
        <w:ind w:right="49"/>
        <w:jc w:val="both"/>
        <w:rPr>
          <w:rFonts w:ascii="Palatino Linotype" w:eastAsia="Palatino Linotype" w:hAnsi="Palatino Linotype" w:cs="Palatino Linotype"/>
          <w:b/>
        </w:rPr>
      </w:pPr>
      <w:r w:rsidRPr="006936E0">
        <w:rPr>
          <w:rFonts w:ascii="Palatino Linotype" w:eastAsia="Palatino Linotype" w:hAnsi="Palatino Linotype" w:cs="Palatino Linotype"/>
        </w:rPr>
        <w:t xml:space="preserve">Previo análisis de este registro, resulta importante señalar que se compone de tres elementos: </w:t>
      </w:r>
      <w:r w:rsidRPr="006936E0">
        <w:rPr>
          <w:rFonts w:ascii="Palatino Linotype" w:eastAsia="Palatino Linotype" w:hAnsi="Palatino Linotype" w:cs="Palatino Linotype"/>
          <w:b/>
        </w:rPr>
        <w:t>datos del inmueble, catálogos operativos y catálogos normativos.</w:t>
      </w:r>
    </w:p>
    <w:p w14:paraId="6C7ABD85" w14:textId="77777777" w:rsidR="00954120" w:rsidRPr="006936E0" w:rsidRDefault="00954120">
      <w:pPr>
        <w:spacing w:line="360" w:lineRule="auto"/>
        <w:ind w:right="49"/>
        <w:jc w:val="both"/>
        <w:rPr>
          <w:rFonts w:ascii="Palatino Linotype" w:eastAsia="Palatino Linotype" w:hAnsi="Palatino Linotype" w:cs="Palatino Linotype"/>
          <w:b/>
        </w:rPr>
      </w:pPr>
    </w:p>
    <w:p w14:paraId="3BC57607" w14:textId="77777777" w:rsidR="00954120" w:rsidRPr="006936E0" w:rsidRDefault="003A2877">
      <w:pPr>
        <w:spacing w:line="360" w:lineRule="auto"/>
        <w:ind w:right="49"/>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En este sentido, se entienden </w:t>
      </w:r>
      <w:r w:rsidRPr="006936E0">
        <w:rPr>
          <w:rFonts w:ascii="Palatino Linotype" w:eastAsia="Palatino Linotype" w:hAnsi="Palatino Linotype" w:cs="Palatino Linotype"/>
          <w:b/>
        </w:rPr>
        <w:t>los datos del inmueble</w:t>
      </w:r>
      <w:r w:rsidRPr="006936E0">
        <w:rPr>
          <w:rFonts w:ascii="Palatino Linotype" w:eastAsia="Palatino Linotype" w:hAnsi="Palatino Linotype" w:cs="Palatino Linotype"/>
        </w:rPr>
        <w:t xml:space="preserve"> como aquellos que dan cuenta de la propiedad de una persona sobre el bien, como por ejemplo: la clave catastral, nombre del propietario, ubicación del predio, uso del suelo, régimen jurídico de la propiedad, valor del terreno, valor de la construcción, </w:t>
      </w:r>
      <w:proofErr w:type="spellStart"/>
      <w:r w:rsidRPr="006936E0">
        <w:rPr>
          <w:rFonts w:ascii="Palatino Linotype" w:eastAsia="Palatino Linotype" w:hAnsi="Palatino Linotype" w:cs="Palatino Linotype"/>
        </w:rPr>
        <w:t>etc</w:t>
      </w:r>
      <w:proofErr w:type="spellEnd"/>
      <w:r w:rsidRPr="006936E0">
        <w:rPr>
          <w:rFonts w:ascii="Palatino Linotype" w:eastAsia="Palatino Linotype" w:hAnsi="Palatino Linotype" w:cs="Palatino Linotype"/>
        </w:rPr>
        <w:t xml:space="preserve">, por lo tanto, se determina que estos datos conducen a la identificación de predios que son propiedad de los particulares, en consecuencia, </w:t>
      </w:r>
      <w:r w:rsidRPr="006936E0">
        <w:rPr>
          <w:rFonts w:ascii="Palatino Linotype" w:eastAsia="Palatino Linotype" w:hAnsi="Palatino Linotype" w:cs="Palatino Linotype"/>
          <w:b/>
        </w:rPr>
        <w:t>no es susceptible de entrega esta información y, por el contrario, procede su clasificación como confidencial</w:t>
      </w:r>
      <w:r w:rsidRPr="006936E0">
        <w:rPr>
          <w:rFonts w:ascii="Palatino Linotype" w:eastAsia="Palatino Linotype" w:hAnsi="Palatino Linotype" w:cs="Palatino Linotype"/>
        </w:rPr>
        <w:t>, de conformidad con lo dispuesto en los artículos 3, fracciones IX, XX y XXI, 143 fracción I y 91 de la Ley de Transparencia y Acceso a la Información Pública del Estado de México y Municipios porque se trata de información de carácter patrimonial que puede vincularse a particulares.</w:t>
      </w:r>
    </w:p>
    <w:p w14:paraId="214DB4CD" w14:textId="77777777" w:rsidR="00954120" w:rsidRPr="006936E0" w:rsidRDefault="00954120">
      <w:pPr>
        <w:spacing w:line="360" w:lineRule="auto"/>
        <w:ind w:right="49"/>
        <w:jc w:val="both"/>
        <w:rPr>
          <w:rFonts w:ascii="Palatino Linotype" w:eastAsia="Palatino Linotype" w:hAnsi="Palatino Linotype" w:cs="Palatino Linotype"/>
        </w:rPr>
      </w:pPr>
    </w:p>
    <w:p w14:paraId="3D1DD02C" w14:textId="77777777" w:rsidR="00954120" w:rsidRPr="006936E0" w:rsidRDefault="003A2877">
      <w:pPr>
        <w:spacing w:line="360" w:lineRule="auto"/>
        <w:ind w:right="49"/>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Por cuanto hace a </w:t>
      </w:r>
      <w:r w:rsidRPr="006936E0">
        <w:rPr>
          <w:rFonts w:ascii="Palatino Linotype" w:eastAsia="Palatino Linotype" w:hAnsi="Palatino Linotype" w:cs="Palatino Linotype"/>
          <w:b/>
        </w:rPr>
        <w:t>los catálogos operativos</w:t>
      </w:r>
      <w:r w:rsidRPr="006936E0">
        <w:rPr>
          <w:rFonts w:ascii="Palatino Linotype" w:eastAsia="Palatino Linotype" w:hAnsi="Palatino Linotype" w:cs="Palatino Linotype"/>
        </w:rPr>
        <w:t xml:space="preserve">, se tiene que este rubro se compone por información de las localidades, colonias, áreas homogéneas, tipologías de construcción, bandas de valor, manzanas y calles.  Resulta importante destacar que conforme a lo dispuesto por el Manual Catastral del Estado de México, estos </w:t>
      </w:r>
      <w:r w:rsidRPr="006936E0">
        <w:rPr>
          <w:rFonts w:ascii="Palatino Linotype" w:eastAsia="Palatino Linotype" w:hAnsi="Palatino Linotype" w:cs="Palatino Linotype"/>
        </w:rPr>
        <w:lastRenderedPageBreak/>
        <w:t xml:space="preserve">elementos a su vez se remiten al Instituto de Información e Investigación Geográfica, Estadística y Catastral del Estado de México (IGECEM) para permitir la aplicación del modelo de valuación catastral. Dicha valuación, en términos del Reglamento del Título Quinto del Código Financiero del Estado de México y Municipios, Denominado “Del Catastro”, se define como la actividad que determina el valor catastral de los inmuebles, aplicando estrictamente las Tablas de Valores Unitarios de Suelo y Construcciones aprobadas por la Legislatura y las normas, lineamientos y procedimientos establecidos en este Reglamento y el Manual Catastral. No podemos perder de vista que su utilidad se encuentra cuando la persona física o jurídica colectiva, la dependencia o entidad pública estatal o municipal requiere conocer el valor catastral de un inmueble, </w:t>
      </w:r>
      <w:r w:rsidRPr="006936E0">
        <w:rPr>
          <w:rFonts w:ascii="Palatino Linotype" w:eastAsia="Palatino Linotype" w:hAnsi="Palatino Linotype" w:cs="Palatino Linotype"/>
          <w:b/>
          <w:u w:val="single"/>
        </w:rPr>
        <w:t xml:space="preserve">principalmente para efecto de la determinación correcta de la base gravable para calcular el monto de pago de impuestos y derechos sobre el bien de que se trate, como puede ser el cálculo del impuesto predial, </w:t>
      </w:r>
      <w:r w:rsidRPr="006936E0">
        <w:rPr>
          <w:rFonts w:ascii="Palatino Linotype" w:eastAsia="Palatino Linotype" w:hAnsi="Palatino Linotype" w:cs="Palatino Linotype"/>
        </w:rPr>
        <w:t xml:space="preserve">por lo tanto, </w:t>
      </w:r>
      <w:r w:rsidRPr="006936E0">
        <w:rPr>
          <w:rFonts w:ascii="Palatino Linotype" w:eastAsia="Palatino Linotype" w:hAnsi="Palatino Linotype" w:cs="Palatino Linotype"/>
          <w:b/>
        </w:rPr>
        <w:t>se considera que esta información es susceptible de darse a conocer al público, pues reviste un interés a la colectividad al formar parte de los elementos que permiten la implementación de la valuación catastral</w:t>
      </w:r>
      <w:r w:rsidRPr="006936E0">
        <w:rPr>
          <w:rFonts w:ascii="Palatino Linotype" w:eastAsia="Palatino Linotype" w:hAnsi="Palatino Linotype" w:cs="Palatino Linotype"/>
        </w:rPr>
        <w:t xml:space="preserve"> que a su vez sirve para el cálculo de impuestos o derechos.</w:t>
      </w:r>
    </w:p>
    <w:p w14:paraId="3BC80E90" w14:textId="77777777" w:rsidR="00954120" w:rsidRPr="006936E0" w:rsidRDefault="00954120">
      <w:pPr>
        <w:spacing w:line="360" w:lineRule="auto"/>
        <w:ind w:right="49"/>
        <w:jc w:val="both"/>
        <w:rPr>
          <w:rFonts w:ascii="Palatino Linotype" w:eastAsia="Palatino Linotype" w:hAnsi="Palatino Linotype" w:cs="Palatino Linotype"/>
        </w:rPr>
      </w:pPr>
    </w:p>
    <w:p w14:paraId="04E37758" w14:textId="77777777" w:rsidR="00954120" w:rsidRPr="006936E0" w:rsidRDefault="003A2877">
      <w:pPr>
        <w:spacing w:after="280" w:line="360" w:lineRule="auto"/>
        <w:ind w:right="49"/>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Finalmente, sobre este apartado tenemos a los </w:t>
      </w:r>
      <w:r w:rsidRPr="006936E0">
        <w:rPr>
          <w:rFonts w:ascii="Palatino Linotype" w:eastAsia="Palatino Linotype" w:hAnsi="Palatino Linotype" w:cs="Palatino Linotype"/>
          <w:b/>
        </w:rPr>
        <w:t>catálogos normativos</w:t>
      </w:r>
      <w:r w:rsidRPr="006936E0">
        <w:rPr>
          <w:rFonts w:ascii="Palatino Linotype" w:eastAsia="Palatino Linotype" w:hAnsi="Palatino Linotype" w:cs="Palatino Linotype"/>
        </w:rPr>
        <w:t xml:space="preserve">, se advierte que contienen los siguientes elementos: delegaciones regionales, municipios, tipos de vialidad, régimen de propiedad, uso del suelo, usos específicos de los predios, tipos de mérito / demérito y factores de mérito / demérito, por lo que dentro de dicha información pudiera encontrarse tanto información de acceso público, como confidencial en términos de lo dispuesto por la fracción I del artículo 143 de la Ley </w:t>
      </w:r>
      <w:r w:rsidRPr="006936E0">
        <w:rPr>
          <w:rFonts w:ascii="Palatino Linotype" w:eastAsia="Palatino Linotype" w:hAnsi="Palatino Linotype" w:cs="Palatino Linotype"/>
        </w:rPr>
        <w:lastRenderedPageBreak/>
        <w:t>de Transparencia y Acceso a la Información Pública del Estado de México y Municipios, pues como se detalló en líneas anteriores, cierta información pudiera vincularse con información de carácter patrimonial de particulares, no obstante, respecto de los otros elementos que conforman estos catálogos como delegaciones regionales, municipios, tipos de vialidad y los ,</w:t>
      </w:r>
      <w:r w:rsidRPr="006936E0">
        <w:t xml:space="preserve"> </w:t>
      </w:r>
      <w:r w:rsidRPr="006936E0">
        <w:rPr>
          <w:rFonts w:ascii="Palatino Linotype" w:eastAsia="Palatino Linotype" w:hAnsi="Palatino Linotype" w:cs="Palatino Linotype"/>
        </w:rPr>
        <w:t xml:space="preserve">tipos de mérito / demérito y factores de mérito / demérito el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xml:space="preserve"> deberá analizar la información para efecto de determinar si le reviste acceso público.</w:t>
      </w:r>
    </w:p>
    <w:p w14:paraId="256613F5" w14:textId="77777777" w:rsidR="00954120" w:rsidRPr="006936E0" w:rsidRDefault="003A2877">
      <w:pPr>
        <w:spacing w:after="280" w:line="360" w:lineRule="auto"/>
        <w:ind w:right="49"/>
        <w:jc w:val="both"/>
        <w:rPr>
          <w:rFonts w:ascii="Palatino Linotype" w:eastAsia="Palatino Linotype" w:hAnsi="Palatino Linotype" w:cs="Palatino Linotype"/>
          <w:b/>
          <w:sz w:val="22"/>
          <w:szCs w:val="22"/>
        </w:rPr>
      </w:pPr>
      <w:r w:rsidRPr="006936E0">
        <w:rPr>
          <w:rFonts w:ascii="Palatino Linotype" w:eastAsia="Palatino Linotype" w:hAnsi="Palatino Linotype" w:cs="Palatino Linotype"/>
          <w:b/>
          <w:sz w:val="22"/>
          <w:szCs w:val="22"/>
        </w:rPr>
        <w:t xml:space="preserve">Del registro gráfico </w:t>
      </w:r>
    </w:p>
    <w:p w14:paraId="58185F31" w14:textId="77777777" w:rsidR="00954120" w:rsidRPr="006936E0" w:rsidRDefault="003A2877">
      <w:pPr>
        <w:spacing w:after="160" w:line="360" w:lineRule="auto"/>
        <w:ind w:right="49"/>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De conformidad con el Manual Catastral del Estado de México, el propósito de la actualización del registro gráfico es el siguiente: </w:t>
      </w:r>
    </w:p>
    <w:p w14:paraId="3A08B5B1" w14:textId="77777777" w:rsidR="00954120" w:rsidRPr="006936E0" w:rsidRDefault="003A2877">
      <w:pPr>
        <w:spacing w:after="160" w:line="259"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xml:space="preserve">“VI. Actualización Del Registro Gráfico </w:t>
      </w:r>
    </w:p>
    <w:p w14:paraId="7B2F0770" w14:textId="77777777" w:rsidR="00954120" w:rsidRPr="006936E0" w:rsidRDefault="003A2877">
      <w:pPr>
        <w:spacing w:after="160" w:line="259"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xml:space="preserve">VI.I. OBJETIVO </w:t>
      </w:r>
    </w:p>
    <w:p w14:paraId="563D401C" w14:textId="77777777" w:rsidR="00954120" w:rsidRPr="006936E0" w:rsidRDefault="003A2877">
      <w:pPr>
        <w:spacing w:after="160" w:line="259"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xml:space="preserve">Dar a conocer las políticas, lineamientos y procedimientos para la representación y actualización del registro gráfico del padrón catastral, al personal responsable de </w:t>
      </w:r>
      <w:r w:rsidRPr="006936E0">
        <w:rPr>
          <w:rFonts w:ascii="Palatino Linotype" w:eastAsia="Palatino Linotype" w:hAnsi="Palatino Linotype" w:cs="Palatino Linotype"/>
          <w:b/>
          <w:i/>
          <w:sz w:val="22"/>
          <w:szCs w:val="22"/>
        </w:rPr>
        <w:t>llevar a cabo la actualización de la cartografía lineal catastral respecto de los inmuebles y las manzanas ubicadas en los territorios municipales correspondientes</w:t>
      </w:r>
      <w:r w:rsidRPr="006936E0">
        <w:rPr>
          <w:rFonts w:ascii="Palatino Linotype" w:eastAsia="Palatino Linotype" w:hAnsi="Palatino Linotype" w:cs="Palatino Linotype"/>
          <w:i/>
          <w:sz w:val="22"/>
          <w:szCs w:val="22"/>
        </w:rPr>
        <w:t>.”</w:t>
      </w:r>
    </w:p>
    <w:p w14:paraId="06D145B9" w14:textId="77777777" w:rsidR="00954120" w:rsidRPr="006936E0" w:rsidRDefault="00954120">
      <w:pPr>
        <w:spacing w:after="160" w:line="259" w:lineRule="auto"/>
        <w:ind w:right="49"/>
        <w:jc w:val="both"/>
        <w:rPr>
          <w:rFonts w:ascii="Palatino Linotype" w:eastAsia="Palatino Linotype" w:hAnsi="Palatino Linotype" w:cs="Palatino Linotype"/>
          <w:sz w:val="22"/>
          <w:szCs w:val="22"/>
        </w:rPr>
      </w:pPr>
    </w:p>
    <w:p w14:paraId="256C6BA1" w14:textId="77777777" w:rsidR="00954120" w:rsidRPr="006936E0" w:rsidRDefault="003A2877">
      <w:pPr>
        <w:spacing w:after="160" w:line="259" w:lineRule="auto"/>
        <w:ind w:right="49"/>
        <w:jc w:val="both"/>
        <w:rPr>
          <w:rFonts w:ascii="Palatino Linotype" w:eastAsia="Palatino Linotype" w:hAnsi="Palatino Linotype" w:cs="Palatino Linotype"/>
          <w:sz w:val="22"/>
          <w:szCs w:val="22"/>
        </w:rPr>
      </w:pPr>
      <w:r w:rsidRPr="006936E0">
        <w:rPr>
          <w:rFonts w:ascii="Palatino Linotype" w:eastAsia="Palatino Linotype" w:hAnsi="Palatino Linotype" w:cs="Palatino Linotype"/>
          <w:sz w:val="22"/>
          <w:szCs w:val="22"/>
        </w:rPr>
        <w:t xml:space="preserve">Para ello, se divide en dos, a saber: </w:t>
      </w:r>
    </w:p>
    <w:p w14:paraId="4B69B36A" w14:textId="77777777" w:rsidR="00954120" w:rsidRPr="006936E0" w:rsidRDefault="00954120">
      <w:pPr>
        <w:spacing w:after="160" w:line="259" w:lineRule="auto"/>
        <w:ind w:right="49"/>
        <w:jc w:val="both"/>
        <w:rPr>
          <w:rFonts w:ascii="Palatino Linotype" w:eastAsia="Palatino Linotype" w:hAnsi="Palatino Linotype" w:cs="Palatino Linotype"/>
          <w:sz w:val="22"/>
          <w:szCs w:val="22"/>
        </w:rPr>
      </w:pPr>
    </w:p>
    <w:p w14:paraId="3114BEA1" w14:textId="77777777" w:rsidR="00954120" w:rsidRPr="006936E0" w:rsidRDefault="003A2877">
      <w:pPr>
        <w:spacing w:after="160" w:line="259" w:lineRule="auto"/>
        <w:ind w:right="49"/>
        <w:jc w:val="both"/>
        <w:rPr>
          <w:rFonts w:ascii="Palatino Linotype" w:eastAsia="Palatino Linotype" w:hAnsi="Palatino Linotype" w:cs="Palatino Linotype"/>
          <w:b/>
        </w:rPr>
      </w:pPr>
      <w:r w:rsidRPr="006936E0">
        <w:rPr>
          <w:rFonts w:ascii="Palatino Linotype" w:eastAsia="Palatino Linotype" w:hAnsi="Palatino Linotype" w:cs="Palatino Linotype"/>
          <w:b/>
        </w:rPr>
        <w:t>A. De la cartografía vectorial catastral a nivel de manzana:</w:t>
      </w:r>
    </w:p>
    <w:p w14:paraId="03E1E728" w14:textId="77777777" w:rsidR="00954120" w:rsidRPr="006936E0" w:rsidRDefault="003A2877">
      <w:pPr>
        <w:spacing w:after="160" w:line="360" w:lineRule="auto"/>
        <w:ind w:right="49"/>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La cual contiene: </w:t>
      </w:r>
      <w:r w:rsidRPr="006936E0">
        <w:rPr>
          <w:rFonts w:ascii="Palatino Linotype" w:eastAsia="Palatino Linotype" w:hAnsi="Palatino Linotype" w:cs="Palatino Linotype"/>
          <w:b/>
        </w:rPr>
        <w:t xml:space="preserve">Delimitación municipal, delimitación de zonas catastrales, delimitación de áreas homogéneas, delimitación de bandas de valor, delimitación y código de manzanas, código de clave de calle y nombre de la calle, </w:t>
      </w:r>
      <w:r w:rsidRPr="006936E0">
        <w:rPr>
          <w:rFonts w:ascii="Palatino Linotype" w:eastAsia="Palatino Linotype" w:hAnsi="Palatino Linotype" w:cs="Palatino Linotype"/>
        </w:rPr>
        <w:lastRenderedPageBreak/>
        <w:t xml:space="preserve">es de vital importancia señalar que de estos elementos se advierte que la cartografía hace referencia a una generalidad, es decir, a las manzanas dentro de los territorios municipales, no así a predios en específico, por lo tanto, con su entrega, no se estarían identificando inmuebles o información de carácter patrimonial concerniente a particulares, tal como se desprende de la siguiente imagen: </w:t>
      </w:r>
    </w:p>
    <w:p w14:paraId="0C6D93A5" w14:textId="77777777" w:rsidR="00954120" w:rsidRPr="006936E0" w:rsidRDefault="003A2877">
      <w:pPr>
        <w:spacing w:after="160" w:line="360" w:lineRule="auto"/>
        <w:ind w:right="49"/>
        <w:jc w:val="both"/>
        <w:rPr>
          <w:rFonts w:ascii="Palatino Linotype" w:eastAsia="Palatino Linotype" w:hAnsi="Palatino Linotype" w:cs="Palatino Linotype"/>
        </w:rPr>
      </w:pPr>
      <w:r w:rsidRPr="006936E0">
        <w:rPr>
          <w:rFonts w:ascii="Palatino Linotype" w:eastAsia="Palatino Linotype" w:hAnsi="Palatino Linotype" w:cs="Palatino Linotype"/>
          <w:noProof/>
          <w:lang w:eastAsia="es-MX"/>
        </w:rPr>
        <w:drawing>
          <wp:inline distT="0" distB="0" distL="0" distR="0" wp14:anchorId="6A49DC4C" wp14:editId="2E953B5C">
            <wp:extent cx="5581015" cy="2352675"/>
            <wp:effectExtent l="9525" t="9525" r="9525" b="9525"/>
            <wp:docPr id="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b="29023"/>
                    <a:stretch>
                      <a:fillRect/>
                    </a:stretch>
                  </pic:blipFill>
                  <pic:spPr>
                    <a:xfrm>
                      <a:off x="0" y="0"/>
                      <a:ext cx="5581015" cy="2352675"/>
                    </a:xfrm>
                    <a:prstGeom prst="rect">
                      <a:avLst/>
                    </a:prstGeom>
                    <a:ln w="9525">
                      <a:solidFill>
                        <a:srgbClr val="000000"/>
                      </a:solidFill>
                      <a:prstDash val="solid"/>
                    </a:ln>
                  </pic:spPr>
                </pic:pic>
              </a:graphicData>
            </a:graphic>
          </wp:inline>
        </w:drawing>
      </w:r>
    </w:p>
    <w:p w14:paraId="62C5D790" w14:textId="77777777" w:rsidR="00954120" w:rsidRPr="006936E0" w:rsidRDefault="003A2877">
      <w:pPr>
        <w:spacing w:after="160" w:line="360" w:lineRule="auto"/>
        <w:ind w:right="49"/>
        <w:jc w:val="both"/>
        <w:rPr>
          <w:rFonts w:ascii="Palatino Linotype" w:eastAsia="Palatino Linotype" w:hAnsi="Palatino Linotype" w:cs="Palatino Linotype"/>
        </w:rPr>
      </w:pPr>
      <w:r w:rsidRPr="006936E0">
        <w:rPr>
          <w:rFonts w:ascii="Palatino Linotype" w:eastAsia="Palatino Linotype" w:hAnsi="Palatino Linotype" w:cs="Palatino Linotype"/>
        </w:rPr>
        <w:t>Aunado a lo anterior, el portal del Instituto de Información e Investigación Geográfica, Estadística y Catastral del Estado de México (IGECEM), dentro de sus servicios catastrales publica la cartografía a nivel manzana aplicable a los ejercicios fiscales, de manera ilustrativa se inserta la cartografía correspondiente al año 2019:</w:t>
      </w:r>
    </w:p>
    <w:p w14:paraId="5AEB991C" w14:textId="77777777" w:rsidR="00954120" w:rsidRPr="006936E0" w:rsidRDefault="003A2877">
      <w:pPr>
        <w:spacing w:after="160" w:line="360" w:lineRule="auto"/>
        <w:ind w:right="49"/>
        <w:jc w:val="both"/>
        <w:rPr>
          <w:rFonts w:ascii="Palatino Linotype" w:eastAsia="Palatino Linotype" w:hAnsi="Palatino Linotype" w:cs="Palatino Linotype"/>
        </w:rPr>
      </w:pPr>
      <w:r w:rsidRPr="006936E0">
        <w:rPr>
          <w:rFonts w:ascii="Palatino Linotype" w:eastAsia="Palatino Linotype" w:hAnsi="Palatino Linotype" w:cs="Palatino Linotype"/>
          <w:noProof/>
          <w:lang w:eastAsia="es-MX"/>
        </w:rPr>
        <w:lastRenderedPageBreak/>
        <w:drawing>
          <wp:inline distT="0" distB="0" distL="0" distR="0" wp14:anchorId="2E12F38B" wp14:editId="2815DB09">
            <wp:extent cx="5581015" cy="3594100"/>
            <wp:effectExtent l="0" t="0" r="0" b="0"/>
            <wp:docPr id="7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581015" cy="3594100"/>
                    </a:xfrm>
                    <a:prstGeom prst="rect">
                      <a:avLst/>
                    </a:prstGeom>
                    <a:ln/>
                  </pic:spPr>
                </pic:pic>
              </a:graphicData>
            </a:graphic>
          </wp:inline>
        </w:drawing>
      </w:r>
    </w:p>
    <w:p w14:paraId="1B5DB34C" w14:textId="77777777" w:rsidR="00954120" w:rsidRPr="006936E0" w:rsidRDefault="003A2877">
      <w:pPr>
        <w:spacing w:after="160" w:line="259" w:lineRule="auto"/>
        <w:ind w:right="49"/>
        <w:jc w:val="both"/>
        <w:rPr>
          <w:rFonts w:ascii="Palatino Linotype" w:eastAsia="Palatino Linotype" w:hAnsi="Palatino Linotype" w:cs="Palatino Linotype"/>
          <w:b/>
          <w:sz w:val="22"/>
          <w:szCs w:val="22"/>
        </w:rPr>
      </w:pPr>
      <w:r w:rsidRPr="006936E0">
        <w:rPr>
          <w:rFonts w:ascii="Palatino Linotype" w:eastAsia="Palatino Linotype" w:hAnsi="Palatino Linotype" w:cs="Palatino Linotype"/>
          <w:b/>
          <w:sz w:val="22"/>
          <w:szCs w:val="22"/>
        </w:rPr>
        <w:t>B. De la cartografía vectorial catastral a nivel de predio:</w:t>
      </w:r>
    </w:p>
    <w:p w14:paraId="74B42234" w14:textId="77777777" w:rsidR="00954120" w:rsidRPr="006936E0" w:rsidRDefault="003A2877">
      <w:pPr>
        <w:spacing w:before="160" w:line="360" w:lineRule="auto"/>
        <w:ind w:right="49"/>
        <w:jc w:val="both"/>
        <w:rPr>
          <w:rFonts w:ascii="Palatino Linotype" w:eastAsia="Palatino Linotype" w:hAnsi="Palatino Linotype" w:cs="Palatino Linotype"/>
        </w:rPr>
      </w:pPr>
      <w:r w:rsidRPr="006936E0">
        <w:rPr>
          <w:rFonts w:ascii="Palatino Linotype" w:eastAsia="Palatino Linotype" w:hAnsi="Palatino Linotype" w:cs="Palatino Linotype"/>
        </w:rPr>
        <w:t>Esta cartografía contiene la Clave catastral, delimitación del predio, superficie total de terreno, perímetro y superficie de las construcciones, representación del número de niveles de las construcciones y número oficial del predio, datos que como se ha reiterado a lo largo de la resolución, con su divulgación se puede conducir a una vulneración a la esfera privada de los particulares propietarios o poseedores de los inmuebles, por lo tanto deberá ser analizado por el sujeto obligado si procede su clasificación como confidencial, de conformidad con lo dispuesto en los artículos 3, fracciones IX, XX y XXI, 143 fracción I y 91 de la Ley de Transparencia y Acceso a la Información Pública del Estado de México y Municipios porque se trata de información de carácter patrimonial que puede vincularse a particulares.</w:t>
      </w:r>
    </w:p>
    <w:p w14:paraId="3D911C8D" w14:textId="77777777" w:rsidR="00954120" w:rsidRPr="006936E0" w:rsidRDefault="00954120">
      <w:pPr>
        <w:spacing w:line="360" w:lineRule="auto"/>
        <w:ind w:right="49"/>
        <w:jc w:val="both"/>
        <w:rPr>
          <w:rFonts w:ascii="Palatino Linotype" w:eastAsia="Palatino Linotype" w:hAnsi="Palatino Linotype" w:cs="Palatino Linotype"/>
        </w:rPr>
      </w:pPr>
    </w:p>
    <w:p w14:paraId="03012A36" w14:textId="77777777" w:rsidR="00954120" w:rsidRPr="006936E0" w:rsidRDefault="003A2877">
      <w:pPr>
        <w:spacing w:line="360" w:lineRule="auto"/>
        <w:ind w:right="49"/>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Como se puede advertir de lo analizado a lo largo de las líneas argumentativas, existen elementos dentro del padrón catastral que efectivamente pudieran hacerse del conocimiento del público en general, ello en razón de que abordan una generalidad y no un predio en particular. Asimismo, para robustecer esta argumentación, sirve de interés lo dispuesto por el Instituto de Información e Investigación Geográfica, Estadística y Catastral del Estado de México (IGECEM) en su portal electrónico: </w:t>
      </w:r>
      <w:hyperlink r:id="rId25">
        <w:r w:rsidRPr="006936E0">
          <w:rPr>
            <w:rFonts w:ascii="Palatino Linotype" w:eastAsia="Palatino Linotype" w:hAnsi="Palatino Linotype" w:cs="Palatino Linotype"/>
            <w:u w:val="single"/>
          </w:rPr>
          <w:t>https://igecem.edomex.gob.mx/padron-catastral</w:t>
        </w:r>
      </w:hyperlink>
      <w:r w:rsidRPr="006936E0">
        <w:rPr>
          <w:rFonts w:ascii="Palatino Linotype" w:eastAsia="Palatino Linotype" w:hAnsi="Palatino Linotype" w:cs="Palatino Linotype"/>
        </w:rPr>
        <w:t xml:space="preserve"> (consultado el quince de diciembre de dos mil veintidós a las 21:38 </w:t>
      </w:r>
      <w:proofErr w:type="spellStart"/>
      <w:r w:rsidRPr="006936E0">
        <w:rPr>
          <w:rFonts w:ascii="Palatino Linotype" w:eastAsia="Palatino Linotype" w:hAnsi="Palatino Linotype" w:cs="Palatino Linotype"/>
        </w:rPr>
        <w:t>p.m</w:t>
      </w:r>
      <w:proofErr w:type="spellEnd"/>
      <w:r w:rsidRPr="006936E0">
        <w:rPr>
          <w:rFonts w:ascii="Palatino Linotype" w:eastAsia="Palatino Linotype" w:hAnsi="Palatino Linotype" w:cs="Palatino Linotype"/>
        </w:rPr>
        <w:t xml:space="preserve">) </w:t>
      </w:r>
    </w:p>
    <w:p w14:paraId="5EBD1D0D" w14:textId="77777777" w:rsidR="00954120" w:rsidRPr="006936E0" w:rsidRDefault="00954120">
      <w:pPr>
        <w:spacing w:line="360" w:lineRule="auto"/>
        <w:ind w:right="49"/>
        <w:jc w:val="both"/>
        <w:rPr>
          <w:rFonts w:ascii="Palatino Linotype" w:eastAsia="Palatino Linotype" w:hAnsi="Palatino Linotype" w:cs="Palatino Linotype"/>
        </w:rPr>
      </w:pPr>
    </w:p>
    <w:p w14:paraId="181067D9"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xml:space="preserve">“El Padrón Catastral es el conjunto de datos integrados por un registro alfanumérico y un registro gráfico que contienen los catálogos operativos, tales como zonas, manzanas, calles, áreas homogéneas, bandas de valor, además de la descripción técnica y administrativa de los predios, propiedades y construcciones de los inmuebles localizados en territorio Estatal. </w:t>
      </w:r>
    </w:p>
    <w:p w14:paraId="486CBE6E" w14:textId="77777777" w:rsidR="00954120" w:rsidRPr="006936E0" w:rsidRDefault="00954120">
      <w:pPr>
        <w:spacing w:line="276" w:lineRule="auto"/>
        <w:ind w:left="567" w:right="851"/>
        <w:jc w:val="both"/>
        <w:rPr>
          <w:rFonts w:ascii="Palatino Linotype" w:eastAsia="Palatino Linotype" w:hAnsi="Palatino Linotype" w:cs="Palatino Linotype"/>
          <w:i/>
          <w:sz w:val="22"/>
          <w:szCs w:val="22"/>
        </w:rPr>
      </w:pPr>
    </w:p>
    <w:p w14:paraId="0ED2708F"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xml:space="preserve">Los dos objetivos primordiales de las Unidades Administrativas de Catastro Municipal son: </w:t>
      </w:r>
    </w:p>
    <w:p w14:paraId="3A34D552"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La asignación de la clave catastral (ubicación geográfica de los inmuebles)</w:t>
      </w:r>
    </w:p>
    <w:p w14:paraId="17E88D8C"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La obtención del valor catastral (base gravable del cálculo del monto del impuesto predial)</w:t>
      </w:r>
    </w:p>
    <w:p w14:paraId="4F8AF6C5" w14:textId="77777777" w:rsidR="00954120" w:rsidRPr="006936E0" w:rsidRDefault="00954120">
      <w:pPr>
        <w:spacing w:line="276" w:lineRule="auto"/>
        <w:ind w:left="567" w:right="851"/>
        <w:jc w:val="both"/>
        <w:rPr>
          <w:rFonts w:ascii="Palatino Linotype" w:eastAsia="Palatino Linotype" w:hAnsi="Palatino Linotype" w:cs="Palatino Linotype"/>
          <w:i/>
          <w:sz w:val="22"/>
          <w:szCs w:val="22"/>
        </w:rPr>
      </w:pPr>
    </w:p>
    <w:p w14:paraId="2129C546" w14:textId="77777777" w:rsidR="00954120" w:rsidRPr="006936E0" w:rsidRDefault="003A2877">
      <w:pP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 xml:space="preserve">El Padrón Catastral se considera, en parte, información clasificada como reservada debido al contenido de datos personales de los propietarios o poseedores de los inmuebles, y para acceder a dicha información es necesario acreditar la personalidad jurídica y legítima; </w:t>
      </w:r>
      <w:r w:rsidRPr="006936E0">
        <w:rPr>
          <w:rFonts w:ascii="Palatino Linotype" w:eastAsia="Palatino Linotype" w:hAnsi="Palatino Linotype" w:cs="Palatino Linotype"/>
          <w:b/>
          <w:i/>
          <w:sz w:val="22"/>
          <w:szCs w:val="22"/>
          <w:u w:val="single"/>
        </w:rPr>
        <w:t>sin embargo, existe información dentro del padrón catastral que no está clasificada como reservada, sino que es de índole pública, tal es el caso de los catálogos operativos</w:t>
      </w:r>
      <w:r w:rsidRPr="006936E0">
        <w:rPr>
          <w:rFonts w:ascii="Palatino Linotype" w:eastAsia="Palatino Linotype" w:hAnsi="Palatino Linotype" w:cs="Palatino Linotype"/>
          <w:b/>
          <w:i/>
          <w:sz w:val="22"/>
          <w:szCs w:val="22"/>
        </w:rPr>
        <w:t xml:space="preserve"> arriba descritos, y el público en general (entidades públicas </w:t>
      </w:r>
      <w:r w:rsidRPr="006936E0">
        <w:rPr>
          <w:rFonts w:ascii="Palatino Linotype" w:eastAsia="Palatino Linotype" w:hAnsi="Palatino Linotype" w:cs="Palatino Linotype"/>
          <w:b/>
          <w:i/>
          <w:sz w:val="22"/>
          <w:szCs w:val="22"/>
        </w:rPr>
        <w:lastRenderedPageBreak/>
        <w:t>incluidas), puede acceder a ellos, a través de la página de internet del IGECEM o de la publicación en Gaceta del Gobierno, de las Tablas de Valores Unitarios de Suelo y Construcciones</w:t>
      </w:r>
      <w:r w:rsidRPr="006936E0">
        <w:rPr>
          <w:rFonts w:ascii="Palatino Linotype" w:eastAsia="Palatino Linotype" w:hAnsi="Palatino Linotype" w:cs="Palatino Linotype"/>
          <w:i/>
          <w:sz w:val="22"/>
          <w:szCs w:val="22"/>
        </w:rPr>
        <w:t>.” (Sic) (Énfasis añadido)</w:t>
      </w:r>
    </w:p>
    <w:p w14:paraId="5A81E2DF" w14:textId="77777777" w:rsidR="00954120" w:rsidRPr="006936E0" w:rsidRDefault="00954120">
      <w:pPr>
        <w:spacing w:line="276" w:lineRule="auto"/>
        <w:ind w:right="851"/>
        <w:jc w:val="both"/>
        <w:rPr>
          <w:rFonts w:ascii="Palatino Linotype" w:eastAsia="Palatino Linotype" w:hAnsi="Palatino Linotype" w:cs="Palatino Linotype"/>
          <w:b/>
          <w:i/>
          <w:sz w:val="22"/>
          <w:szCs w:val="22"/>
        </w:rPr>
      </w:pPr>
    </w:p>
    <w:p w14:paraId="43E97A0D" w14:textId="77777777" w:rsidR="00954120" w:rsidRPr="006936E0" w:rsidRDefault="003A2877">
      <w:pPr>
        <w:spacing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Como puede observarse, es el propio Instituto de Información e Investigación Geográfica, Estadística y Catastral del Estado de México (IGECEM) quien reconoce que </w:t>
      </w:r>
      <w:r w:rsidRPr="006936E0">
        <w:rPr>
          <w:rFonts w:ascii="Palatino Linotype" w:eastAsia="Palatino Linotype" w:hAnsi="Palatino Linotype" w:cs="Palatino Linotype"/>
          <w:b/>
        </w:rPr>
        <w:t>la clasificación al padrón catastral no debe ser absoluta</w:t>
      </w:r>
      <w:r w:rsidRPr="006936E0">
        <w:rPr>
          <w:rFonts w:ascii="Palatino Linotype" w:eastAsia="Palatino Linotype" w:hAnsi="Palatino Linotype" w:cs="Palatino Linotype"/>
        </w:rPr>
        <w:t>, pues contiene información susceptible de darse a conocer al público, como son los catálogos operativos y los registros gráficos que dan cuenta de las localidades, colonias, áreas homogéneas, tipologías de construcción, bandas de valor, manzanas y calles, mismas a las que le reviste interés público por formar parte de los elementos que permiten la implementación de la valuación catastral que a su vez sirve para el cálculo de impuestos o derechos, por lo que, se insiste que dentro del padrón catastral, existen elementos que efectivamente pudieran hacerse del conocimiento del público en general, por lo tanto, no se puede hablar de una clasificación absoluta de la información y, por el contrario, se estima pertinente su entrega, ello en versión pública, atendiendo a lo que disponga el considerando siguiente.</w:t>
      </w:r>
    </w:p>
    <w:p w14:paraId="6EFC13EB" w14:textId="77777777" w:rsidR="00954120" w:rsidRPr="006936E0" w:rsidRDefault="003A2877">
      <w:pPr>
        <w:spacing w:before="240" w:after="240" w:line="360" w:lineRule="auto"/>
        <w:ind w:right="162"/>
        <w:jc w:val="both"/>
        <w:rPr>
          <w:rFonts w:ascii="Palatino Linotype" w:eastAsia="Palatino Linotype" w:hAnsi="Palatino Linotype" w:cs="Palatino Linotype"/>
        </w:rPr>
      </w:pPr>
      <w:r w:rsidRPr="006936E0">
        <w:rPr>
          <w:rFonts w:ascii="Palatino Linotype" w:eastAsia="Palatino Linotype" w:hAnsi="Palatino Linotype" w:cs="Palatino Linotype"/>
          <w:b/>
        </w:rPr>
        <w:t xml:space="preserve">Quinto. Versión Pública. </w:t>
      </w:r>
      <w:r w:rsidRPr="006936E0">
        <w:rPr>
          <w:rFonts w:ascii="Palatino Linotype" w:eastAsia="Palatino Linotype" w:hAnsi="Palatino Linotype" w:cs="Palatino Linotype"/>
        </w:rPr>
        <w:t xml:space="preserve">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w:t>
      </w:r>
      <w:r w:rsidRPr="006936E0">
        <w:rPr>
          <w:rFonts w:ascii="Palatino Linotype" w:eastAsia="Palatino Linotype" w:hAnsi="Palatino Linotype" w:cs="Palatino Linotype"/>
        </w:rPr>
        <w:lastRenderedPageBreak/>
        <w:t>entregar para dar cumplimiento a esta resolución, a fin de satisfacer el derecho de acceso a la información pública de la recurrente sin menoscabar el derecho a la protección de los datos personales de terceros.</w:t>
      </w:r>
    </w:p>
    <w:p w14:paraId="57951E59" w14:textId="77777777" w:rsidR="00954120" w:rsidRPr="006936E0" w:rsidRDefault="003A2877">
      <w:pPr>
        <w:spacing w:before="240" w:after="240" w:line="360" w:lineRule="auto"/>
        <w:ind w:right="162"/>
        <w:jc w:val="both"/>
        <w:rPr>
          <w:rFonts w:ascii="Palatino Linotype" w:eastAsia="Palatino Linotype" w:hAnsi="Palatino Linotype" w:cs="Palatino Linotype"/>
        </w:rPr>
      </w:pPr>
      <w:r w:rsidRPr="006936E0">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0EBA1F77"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w:t>
      </w:r>
      <w:r w:rsidRPr="006936E0">
        <w:rPr>
          <w:rFonts w:ascii="Palatino Linotype" w:eastAsia="Palatino Linotype" w:hAnsi="Palatino Linotype" w:cs="Palatino Linotype"/>
          <w:b/>
          <w:i/>
          <w:sz w:val="22"/>
          <w:szCs w:val="22"/>
        </w:rPr>
        <w:t>Artículo 3</w:t>
      </w:r>
      <w:r w:rsidRPr="006936E0">
        <w:rPr>
          <w:rFonts w:ascii="Palatino Linotype" w:eastAsia="Palatino Linotype" w:hAnsi="Palatino Linotype" w:cs="Palatino Linotype"/>
          <w:i/>
          <w:sz w:val="22"/>
          <w:szCs w:val="22"/>
        </w:rPr>
        <w:t>. Para los efectos de la presente Ley se entenderá por:</w:t>
      </w:r>
    </w:p>
    <w:p w14:paraId="1555D79F"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w:t>
      </w:r>
    </w:p>
    <w:p w14:paraId="193DBBDE"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IX. Datos personales:</w:t>
      </w:r>
      <w:r w:rsidRPr="006936E0">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05CE39A"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XX. Información clasificada</w:t>
      </w:r>
      <w:r w:rsidRPr="006936E0">
        <w:rPr>
          <w:rFonts w:ascii="Palatino Linotype" w:eastAsia="Palatino Linotype" w:hAnsi="Palatino Linotype" w:cs="Palatino Linotype"/>
          <w:i/>
          <w:sz w:val="22"/>
          <w:szCs w:val="22"/>
        </w:rPr>
        <w:t>: Aquella considerada por la presente Ley como reservada o confidencial;</w:t>
      </w:r>
    </w:p>
    <w:p w14:paraId="36946E60"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XXI. Información confidencial:</w:t>
      </w:r>
      <w:r w:rsidRPr="006936E0">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75B3436"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XLV. Versión pública:</w:t>
      </w:r>
      <w:r w:rsidRPr="006936E0">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0EEE592"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w:t>
      </w:r>
    </w:p>
    <w:p w14:paraId="67E9BF85"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 xml:space="preserve">Artículo 91. </w:t>
      </w:r>
      <w:r w:rsidRPr="006936E0">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0D6534FA"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 xml:space="preserve">Artículo 132. </w:t>
      </w:r>
      <w:r w:rsidRPr="006936E0">
        <w:rPr>
          <w:rFonts w:ascii="Palatino Linotype" w:eastAsia="Palatino Linotype" w:hAnsi="Palatino Linotype" w:cs="Palatino Linotype"/>
          <w:i/>
          <w:sz w:val="22"/>
          <w:szCs w:val="22"/>
        </w:rPr>
        <w:t>La clasificación de la información se llevará a cabo en el momento en que:</w:t>
      </w:r>
    </w:p>
    <w:p w14:paraId="7EAE09B9"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I</w:t>
      </w:r>
      <w:r w:rsidRPr="006936E0">
        <w:rPr>
          <w:rFonts w:ascii="Palatino Linotype" w:eastAsia="Palatino Linotype" w:hAnsi="Palatino Linotype" w:cs="Palatino Linotype"/>
          <w:i/>
          <w:sz w:val="22"/>
          <w:szCs w:val="22"/>
        </w:rPr>
        <w:t>. Se reciba una solicitud de acceso a la información;</w:t>
      </w:r>
    </w:p>
    <w:p w14:paraId="75B7F32B"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II</w:t>
      </w:r>
      <w:r w:rsidRPr="006936E0">
        <w:rPr>
          <w:rFonts w:ascii="Palatino Linotype" w:eastAsia="Palatino Linotype" w:hAnsi="Palatino Linotype" w:cs="Palatino Linotype"/>
          <w:i/>
          <w:sz w:val="22"/>
          <w:szCs w:val="22"/>
        </w:rPr>
        <w:t>. Se determine mediante resolución de autoridad competente; o</w:t>
      </w:r>
    </w:p>
    <w:p w14:paraId="2CF8A74B"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lastRenderedPageBreak/>
        <w:t>III</w:t>
      </w:r>
      <w:r w:rsidRPr="006936E0">
        <w:rPr>
          <w:rFonts w:ascii="Palatino Linotype" w:eastAsia="Palatino Linotype" w:hAnsi="Palatino Linotype" w:cs="Palatino Linotype"/>
          <w:i/>
          <w:sz w:val="22"/>
          <w:szCs w:val="22"/>
        </w:rPr>
        <w:t>. Se generen versiones públicas para dar cumplimiento a las obligaciones de transparencia previstas en esta Ley.</w:t>
      </w:r>
    </w:p>
    <w:p w14:paraId="5A36A6A9"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w:t>
      </w:r>
    </w:p>
    <w:p w14:paraId="7DA486FE"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Artículo 143</w:t>
      </w:r>
      <w:r w:rsidRPr="006936E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BDBCA2B"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I.</w:t>
      </w:r>
      <w:r w:rsidRPr="006936E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9E78BE5"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II.</w:t>
      </w:r>
      <w:r w:rsidRPr="006936E0">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2EE937A"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III</w:t>
      </w:r>
      <w:r w:rsidRPr="006936E0">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059C8D82"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1ED7410"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D8A80B9"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5791D29"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lastRenderedPageBreak/>
        <w:t>Entorno a lo que aquí nos interesa, los Lineamientos Quincuagésimo sexto, Quincuagésimo séptimo y Quincuagésimo octavo, establecen lo siguiente:</w:t>
      </w:r>
    </w:p>
    <w:p w14:paraId="426093B9"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w:t>
      </w:r>
      <w:r w:rsidRPr="006936E0">
        <w:rPr>
          <w:rFonts w:ascii="Palatino Linotype" w:eastAsia="Palatino Linotype" w:hAnsi="Palatino Linotype" w:cs="Palatino Linotype"/>
          <w:b/>
          <w:i/>
          <w:sz w:val="22"/>
          <w:szCs w:val="22"/>
        </w:rPr>
        <w:t>Quincuagésimo sexto</w:t>
      </w:r>
      <w:r w:rsidRPr="006936E0">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E0FF45B"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Quincuagésimo séptimo</w:t>
      </w:r>
      <w:r w:rsidRPr="006936E0">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51DF9DD"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I</w:t>
      </w:r>
      <w:r w:rsidRPr="006936E0">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A074C9B"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II.</w:t>
      </w:r>
      <w:r w:rsidRPr="006936E0">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4512AE6D"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III.</w:t>
      </w:r>
      <w:r w:rsidRPr="006936E0">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8BA5673"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1F93653A" w14:textId="77777777" w:rsidR="00954120" w:rsidRPr="006936E0" w:rsidRDefault="003A2877">
      <w:pPr>
        <w:spacing w:before="120" w:after="120"/>
        <w:ind w:left="567" w:right="902"/>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b/>
          <w:i/>
          <w:sz w:val="22"/>
          <w:szCs w:val="22"/>
        </w:rPr>
        <w:t>Quincuagésimo octavo</w:t>
      </w:r>
      <w:r w:rsidRPr="006936E0">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749F27D3"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w:t>
      </w:r>
      <w:r w:rsidRPr="006936E0">
        <w:rPr>
          <w:rFonts w:ascii="Palatino Linotype" w:eastAsia="Palatino Linotype" w:hAnsi="Palatino Linotype" w:cs="Palatino Linotype"/>
        </w:rPr>
        <w:lastRenderedPageBreak/>
        <w:t>se testan o suprimen- deja al solicitante en estado de incertidumbre, al no conocer o comprender porque no aparecen en la documentación respectiva.</w:t>
      </w:r>
    </w:p>
    <w:p w14:paraId="18C7CDFA"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5"/>
        <w:tblW w:w="88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6936E0" w:rsidRPr="006936E0" w14:paraId="1D3A53D0" w14:textId="77777777">
        <w:tc>
          <w:tcPr>
            <w:tcW w:w="4253" w:type="dxa"/>
            <w:gridSpan w:val="2"/>
            <w:tcBorders>
              <w:top w:val="nil"/>
              <w:left w:val="nil"/>
              <w:right w:val="nil"/>
            </w:tcBorders>
          </w:tcPr>
          <w:p w14:paraId="4435C144" w14:textId="77777777" w:rsidR="00954120" w:rsidRPr="006936E0" w:rsidRDefault="003A2877">
            <w:pPr>
              <w:jc w:val="center"/>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5D44388D" w14:textId="77777777" w:rsidR="00954120" w:rsidRPr="006936E0" w:rsidRDefault="003A2877">
            <w:pPr>
              <w:jc w:val="center"/>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Total</w:t>
            </w:r>
          </w:p>
        </w:tc>
      </w:tr>
      <w:tr w:rsidR="006936E0" w:rsidRPr="006936E0" w14:paraId="1A3EF7A0" w14:textId="77777777">
        <w:tc>
          <w:tcPr>
            <w:tcW w:w="1134" w:type="dxa"/>
          </w:tcPr>
          <w:p w14:paraId="61AE1D30" w14:textId="77777777" w:rsidR="00954120" w:rsidRPr="006936E0" w:rsidRDefault="003A2877">
            <w:pPr>
              <w:jc w:val="center"/>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Concepto</w:t>
            </w:r>
          </w:p>
        </w:tc>
        <w:tc>
          <w:tcPr>
            <w:tcW w:w="3119" w:type="dxa"/>
          </w:tcPr>
          <w:p w14:paraId="6FA2B757" w14:textId="77777777" w:rsidR="00954120" w:rsidRPr="006936E0" w:rsidRDefault="003A2877">
            <w:pPr>
              <w:jc w:val="center"/>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Dónde</w:t>
            </w:r>
          </w:p>
        </w:tc>
        <w:tc>
          <w:tcPr>
            <w:tcW w:w="1129" w:type="dxa"/>
          </w:tcPr>
          <w:p w14:paraId="50607CF1" w14:textId="77777777" w:rsidR="00954120" w:rsidRPr="006936E0" w:rsidRDefault="003A2877">
            <w:pPr>
              <w:jc w:val="center"/>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Concepto</w:t>
            </w:r>
          </w:p>
        </w:tc>
        <w:tc>
          <w:tcPr>
            <w:tcW w:w="3446" w:type="dxa"/>
          </w:tcPr>
          <w:p w14:paraId="20A5F89A" w14:textId="77777777" w:rsidR="00954120" w:rsidRPr="006936E0" w:rsidRDefault="003A2877">
            <w:pPr>
              <w:jc w:val="center"/>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Dónde</w:t>
            </w:r>
          </w:p>
        </w:tc>
      </w:tr>
      <w:tr w:rsidR="006936E0" w:rsidRPr="006936E0" w14:paraId="4C904F5B" w14:textId="77777777">
        <w:tc>
          <w:tcPr>
            <w:tcW w:w="8828" w:type="dxa"/>
            <w:gridSpan w:val="4"/>
          </w:tcPr>
          <w:p w14:paraId="7CAE7A21" w14:textId="77777777" w:rsidR="00954120" w:rsidRPr="006936E0" w:rsidRDefault="003A2877">
            <w:pPr>
              <w:jc w:val="center"/>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Sello oficial o logotipo del sujeto obligado</w:t>
            </w:r>
          </w:p>
        </w:tc>
      </w:tr>
      <w:tr w:rsidR="006936E0" w:rsidRPr="006936E0" w14:paraId="1ED4E360" w14:textId="77777777">
        <w:tc>
          <w:tcPr>
            <w:tcW w:w="1134" w:type="dxa"/>
          </w:tcPr>
          <w:p w14:paraId="57412A34"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Fecha de clasificación</w:t>
            </w:r>
          </w:p>
        </w:tc>
        <w:tc>
          <w:tcPr>
            <w:tcW w:w="3119" w:type="dxa"/>
          </w:tcPr>
          <w:p w14:paraId="79FCE60D"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761286C4"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Fecha de clasificación</w:t>
            </w:r>
          </w:p>
        </w:tc>
        <w:tc>
          <w:tcPr>
            <w:tcW w:w="3446" w:type="dxa"/>
          </w:tcPr>
          <w:p w14:paraId="3FC90BC2"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936E0" w:rsidRPr="006936E0" w14:paraId="4CFF96E9" w14:textId="77777777">
        <w:tc>
          <w:tcPr>
            <w:tcW w:w="1134" w:type="dxa"/>
          </w:tcPr>
          <w:p w14:paraId="6823A1CE"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Área</w:t>
            </w:r>
          </w:p>
        </w:tc>
        <w:tc>
          <w:tcPr>
            <w:tcW w:w="3119" w:type="dxa"/>
          </w:tcPr>
          <w:p w14:paraId="3A034410"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Se señalará el nombre del área del cual es titular quien clasifica.</w:t>
            </w:r>
          </w:p>
        </w:tc>
        <w:tc>
          <w:tcPr>
            <w:tcW w:w="1129" w:type="dxa"/>
          </w:tcPr>
          <w:p w14:paraId="2A56E6B1"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Área</w:t>
            </w:r>
          </w:p>
        </w:tc>
        <w:tc>
          <w:tcPr>
            <w:tcW w:w="3446" w:type="dxa"/>
          </w:tcPr>
          <w:p w14:paraId="62DCD5B6"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Se señalará el nombre del área de la cual es el titular quien clasifica.</w:t>
            </w:r>
          </w:p>
        </w:tc>
      </w:tr>
      <w:tr w:rsidR="006936E0" w:rsidRPr="006936E0" w14:paraId="012AD76A" w14:textId="77777777">
        <w:tc>
          <w:tcPr>
            <w:tcW w:w="1134" w:type="dxa"/>
          </w:tcPr>
          <w:p w14:paraId="044D42CA"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Información reservada</w:t>
            </w:r>
          </w:p>
        </w:tc>
        <w:tc>
          <w:tcPr>
            <w:tcW w:w="3119" w:type="dxa"/>
          </w:tcPr>
          <w:p w14:paraId="2307E034"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0030F3CD"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Reservado</w:t>
            </w:r>
          </w:p>
        </w:tc>
        <w:tc>
          <w:tcPr>
            <w:tcW w:w="3446" w:type="dxa"/>
          </w:tcPr>
          <w:p w14:paraId="7105A8D5"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Leyenda de información RESERVADA.</w:t>
            </w:r>
          </w:p>
        </w:tc>
      </w:tr>
      <w:tr w:rsidR="006936E0" w:rsidRPr="006936E0" w14:paraId="726C44AF" w14:textId="77777777">
        <w:tc>
          <w:tcPr>
            <w:tcW w:w="1134" w:type="dxa"/>
          </w:tcPr>
          <w:p w14:paraId="6396ABE3"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Fundamento legal</w:t>
            </w:r>
          </w:p>
        </w:tc>
        <w:tc>
          <w:tcPr>
            <w:tcW w:w="3119" w:type="dxa"/>
          </w:tcPr>
          <w:p w14:paraId="264D0E04"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751F79A1"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Periodo de reserva</w:t>
            </w:r>
          </w:p>
        </w:tc>
        <w:tc>
          <w:tcPr>
            <w:tcW w:w="3446" w:type="dxa"/>
          </w:tcPr>
          <w:p w14:paraId="538A0EF2"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936E0" w:rsidRPr="006936E0" w14:paraId="59FEAB89" w14:textId="77777777">
        <w:tc>
          <w:tcPr>
            <w:tcW w:w="1134" w:type="dxa"/>
          </w:tcPr>
          <w:p w14:paraId="3E93E78F"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Ampliación del periodo de reserva</w:t>
            </w:r>
          </w:p>
        </w:tc>
        <w:tc>
          <w:tcPr>
            <w:tcW w:w="3119" w:type="dxa"/>
          </w:tcPr>
          <w:p w14:paraId="4B2727B3"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382AD432"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Fundamento legal</w:t>
            </w:r>
          </w:p>
        </w:tc>
        <w:tc>
          <w:tcPr>
            <w:tcW w:w="3446" w:type="dxa"/>
          </w:tcPr>
          <w:p w14:paraId="5E1B57A8"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936E0" w:rsidRPr="006936E0" w14:paraId="4D114B62" w14:textId="77777777">
        <w:tc>
          <w:tcPr>
            <w:tcW w:w="1134" w:type="dxa"/>
          </w:tcPr>
          <w:p w14:paraId="1A078901"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Confidencial</w:t>
            </w:r>
          </w:p>
        </w:tc>
        <w:tc>
          <w:tcPr>
            <w:tcW w:w="3119" w:type="dxa"/>
          </w:tcPr>
          <w:p w14:paraId="2E1FA3DC"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0EDE071E"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Ampliación del periodo de reserva</w:t>
            </w:r>
          </w:p>
        </w:tc>
        <w:tc>
          <w:tcPr>
            <w:tcW w:w="3446" w:type="dxa"/>
          </w:tcPr>
          <w:p w14:paraId="76C3B55B"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936E0" w:rsidRPr="006936E0" w14:paraId="46A30D76" w14:textId="77777777">
        <w:tc>
          <w:tcPr>
            <w:tcW w:w="1134" w:type="dxa"/>
          </w:tcPr>
          <w:p w14:paraId="2B85DB06"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Fundamento legal</w:t>
            </w:r>
          </w:p>
        </w:tc>
        <w:tc>
          <w:tcPr>
            <w:tcW w:w="3119" w:type="dxa"/>
          </w:tcPr>
          <w:p w14:paraId="493048A6"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5C5FEF7B"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Confidencial</w:t>
            </w:r>
          </w:p>
        </w:tc>
        <w:tc>
          <w:tcPr>
            <w:tcW w:w="3446" w:type="dxa"/>
          </w:tcPr>
          <w:p w14:paraId="67732017"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Leyenda de información CONFIDENCIAL.</w:t>
            </w:r>
          </w:p>
        </w:tc>
      </w:tr>
      <w:tr w:rsidR="006936E0" w:rsidRPr="006936E0" w14:paraId="2343CBA5" w14:textId="77777777">
        <w:tc>
          <w:tcPr>
            <w:tcW w:w="1134" w:type="dxa"/>
          </w:tcPr>
          <w:p w14:paraId="78485269"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Rúbrica del titular del área</w:t>
            </w:r>
          </w:p>
        </w:tc>
        <w:tc>
          <w:tcPr>
            <w:tcW w:w="3119" w:type="dxa"/>
          </w:tcPr>
          <w:p w14:paraId="098E9197"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Rúbrica autógrafa de quien clasifica.</w:t>
            </w:r>
          </w:p>
        </w:tc>
        <w:tc>
          <w:tcPr>
            <w:tcW w:w="1129" w:type="dxa"/>
          </w:tcPr>
          <w:p w14:paraId="3D7402AE"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Fundamento legal</w:t>
            </w:r>
          </w:p>
        </w:tc>
        <w:tc>
          <w:tcPr>
            <w:tcW w:w="3446" w:type="dxa"/>
          </w:tcPr>
          <w:p w14:paraId="2697A93A"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936E0" w:rsidRPr="006936E0" w14:paraId="2DBE16E3" w14:textId="77777777">
        <w:tc>
          <w:tcPr>
            <w:tcW w:w="1134" w:type="dxa"/>
          </w:tcPr>
          <w:p w14:paraId="7AE84DE8"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Fecha de desclasificación</w:t>
            </w:r>
          </w:p>
        </w:tc>
        <w:tc>
          <w:tcPr>
            <w:tcW w:w="3119" w:type="dxa"/>
          </w:tcPr>
          <w:p w14:paraId="3D01BCBC"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Se anotará la fecha en que se desclasifica el documento.</w:t>
            </w:r>
          </w:p>
        </w:tc>
        <w:tc>
          <w:tcPr>
            <w:tcW w:w="1129" w:type="dxa"/>
          </w:tcPr>
          <w:p w14:paraId="06B25117"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Rúbrica del titular del área</w:t>
            </w:r>
          </w:p>
        </w:tc>
        <w:tc>
          <w:tcPr>
            <w:tcW w:w="3446" w:type="dxa"/>
          </w:tcPr>
          <w:p w14:paraId="01DD9C34"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Rúbrica autógrafa de quien clasifica.</w:t>
            </w:r>
          </w:p>
        </w:tc>
      </w:tr>
      <w:tr w:rsidR="006936E0" w:rsidRPr="006936E0" w14:paraId="7412709A" w14:textId="77777777">
        <w:tc>
          <w:tcPr>
            <w:tcW w:w="1134" w:type="dxa"/>
          </w:tcPr>
          <w:p w14:paraId="7080CB72"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Rúbrica y cargo del servidor público</w:t>
            </w:r>
          </w:p>
        </w:tc>
        <w:tc>
          <w:tcPr>
            <w:tcW w:w="3119" w:type="dxa"/>
          </w:tcPr>
          <w:p w14:paraId="1809C21D"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Rúbrica autógrafa de quien desclasifica.</w:t>
            </w:r>
          </w:p>
        </w:tc>
        <w:tc>
          <w:tcPr>
            <w:tcW w:w="1129" w:type="dxa"/>
          </w:tcPr>
          <w:p w14:paraId="49688303"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Fecha de desclasificación</w:t>
            </w:r>
          </w:p>
        </w:tc>
        <w:tc>
          <w:tcPr>
            <w:tcW w:w="3446" w:type="dxa"/>
          </w:tcPr>
          <w:p w14:paraId="4976F7EF"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Se anotará la fecha en que se desclasifica.</w:t>
            </w:r>
          </w:p>
        </w:tc>
      </w:tr>
      <w:tr w:rsidR="006936E0" w:rsidRPr="006936E0" w14:paraId="665D8C06" w14:textId="77777777">
        <w:tc>
          <w:tcPr>
            <w:tcW w:w="1134" w:type="dxa"/>
          </w:tcPr>
          <w:p w14:paraId="0276A98D" w14:textId="77777777" w:rsidR="00954120" w:rsidRPr="006936E0" w:rsidRDefault="00954120">
            <w:pPr>
              <w:jc w:val="both"/>
              <w:rPr>
                <w:rFonts w:ascii="Palatino Linotype" w:eastAsia="Palatino Linotype" w:hAnsi="Palatino Linotype" w:cs="Palatino Linotype"/>
                <w:b/>
                <w:sz w:val="12"/>
                <w:szCs w:val="12"/>
              </w:rPr>
            </w:pPr>
          </w:p>
        </w:tc>
        <w:tc>
          <w:tcPr>
            <w:tcW w:w="3119" w:type="dxa"/>
          </w:tcPr>
          <w:p w14:paraId="1D534564" w14:textId="77777777" w:rsidR="00954120" w:rsidRPr="006936E0" w:rsidRDefault="00954120">
            <w:pPr>
              <w:jc w:val="both"/>
              <w:rPr>
                <w:rFonts w:ascii="Palatino Linotype" w:eastAsia="Palatino Linotype" w:hAnsi="Palatino Linotype" w:cs="Palatino Linotype"/>
                <w:sz w:val="12"/>
                <w:szCs w:val="12"/>
              </w:rPr>
            </w:pPr>
          </w:p>
        </w:tc>
        <w:tc>
          <w:tcPr>
            <w:tcW w:w="1129" w:type="dxa"/>
          </w:tcPr>
          <w:p w14:paraId="1E99C587"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Partes o secciones reservadas o confidenciales</w:t>
            </w:r>
          </w:p>
        </w:tc>
        <w:tc>
          <w:tcPr>
            <w:tcW w:w="3446" w:type="dxa"/>
          </w:tcPr>
          <w:p w14:paraId="0C3B9F5E"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 xml:space="preserve">En caso que una vez desclasificado el expediente, </w:t>
            </w:r>
            <w:proofErr w:type="spellStart"/>
            <w:r w:rsidRPr="006936E0">
              <w:rPr>
                <w:rFonts w:ascii="Palatino Linotype" w:eastAsia="Palatino Linotype" w:hAnsi="Palatino Linotype" w:cs="Palatino Linotype"/>
                <w:sz w:val="12"/>
                <w:szCs w:val="12"/>
              </w:rPr>
              <w:t>subsistanpartes</w:t>
            </w:r>
            <w:proofErr w:type="spellEnd"/>
            <w:r w:rsidRPr="006936E0">
              <w:rPr>
                <w:rFonts w:ascii="Palatino Linotype" w:eastAsia="Palatino Linotype" w:hAnsi="Palatino Linotype" w:cs="Palatino Linotype"/>
                <w:sz w:val="12"/>
                <w:szCs w:val="12"/>
              </w:rPr>
              <w:t xml:space="preserve"> o secciones del mismo reservadas o confidenciales, se señalará este hecho.</w:t>
            </w:r>
          </w:p>
        </w:tc>
      </w:tr>
      <w:tr w:rsidR="006936E0" w:rsidRPr="006936E0" w14:paraId="46CA8DE1" w14:textId="77777777">
        <w:tc>
          <w:tcPr>
            <w:tcW w:w="1134" w:type="dxa"/>
          </w:tcPr>
          <w:p w14:paraId="2DD1A8D5" w14:textId="77777777" w:rsidR="00954120" w:rsidRPr="006936E0" w:rsidRDefault="00954120">
            <w:pPr>
              <w:jc w:val="both"/>
              <w:rPr>
                <w:rFonts w:ascii="Palatino Linotype" w:eastAsia="Palatino Linotype" w:hAnsi="Palatino Linotype" w:cs="Palatino Linotype"/>
                <w:b/>
                <w:sz w:val="12"/>
                <w:szCs w:val="12"/>
              </w:rPr>
            </w:pPr>
          </w:p>
        </w:tc>
        <w:tc>
          <w:tcPr>
            <w:tcW w:w="3119" w:type="dxa"/>
          </w:tcPr>
          <w:p w14:paraId="5F46C75F" w14:textId="77777777" w:rsidR="00954120" w:rsidRPr="006936E0" w:rsidRDefault="00954120">
            <w:pPr>
              <w:jc w:val="both"/>
              <w:rPr>
                <w:rFonts w:ascii="Palatino Linotype" w:eastAsia="Palatino Linotype" w:hAnsi="Palatino Linotype" w:cs="Palatino Linotype"/>
                <w:sz w:val="12"/>
                <w:szCs w:val="12"/>
              </w:rPr>
            </w:pPr>
          </w:p>
        </w:tc>
        <w:tc>
          <w:tcPr>
            <w:tcW w:w="1129" w:type="dxa"/>
          </w:tcPr>
          <w:p w14:paraId="395B791B" w14:textId="77777777" w:rsidR="00954120" w:rsidRPr="006936E0" w:rsidRDefault="003A2877">
            <w:pPr>
              <w:jc w:val="both"/>
              <w:rPr>
                <w:rFonts w:ascii="Palatino Linotype" w:eastAsia="Palatino Linotype" w:hAnsi="Palatino Linotype" w:cs="Palatino Linotype"/>
                <w:b/>
                <w:sz w:val="12"/>
                <w:szCs w:val="12"/>
              </w:rPr>
            </w:pPr>
            <w:r w:rsidRPr="006936E0">
              <w:rPr>
                <w:rFonts w:ascii="Palatino Linotype" w:eastAsia="Palatino Linotype" w:hAnsi="Palatino Linotype" w:cs="Palatino Linotype"/>
                <w:b/>
                <w:sz w:val="12"/>
                <w:szCs w:val="12"/>
              </w:rPr>
              <w:t>Rúbrica y cargo del servidor público</w:t>
            </w:r>
          </w:p>
        </w:tc>
        <w:tc>
          <w:tcPr>
            <w:tcW w:w="3446" w:type="dxa"/>
          </w:tcPr>
          <w:p w14:paraId="0541C260" w14:textId="77777777" w:rsidR="00954120" w:rsidRPr="006936E0" w:rsidRDefault="003A2877">
            <w:pPr>
              <w:jc w:val="both"/>
              <w:rPr>
                <w:rFonts w:ascii="Palatino Linotype" w:eastAsia="Palatino Linotype" w:hAnsi="Palatino Linotype" w:cs="Palatino Linotype"/>
                <w:sz w:val="12"/>
                <w:szCs w:val="12"/>
              </w:rPr>
            </w:pPr>
            <w:r w:rsidRPr="006936E0">
              <w:rPr>
                <w:rFonts w:ascii="Palatino Linotype" w:eastAsia="Palatino Linotype" w:hAnsi="Palatino Linotype" w:cs="Palatino Linotype"/>
                <w:sz w:val="12"/>
                <w:szCs w:val="12"/>
              </w:rPr>
              <w:t>Rúbrica autógrafa de quien desclasifica.</w:t>
            </w:r>
          </w:p>
        </w:tc>
      </w:tr>
    </w:tbl>
    <w:p w14:paraId="63B1C2A2" w14:textId="77777777" w:rsidR="00954120" w:rsidRPr="006936E0" w:rsidRDefault="00954120">
      <w:pPr>
        <w:spacing w:after="160" w:line="360" w:lineRule="auto"/>
        <w:jc w:val="both"/>
        <w:rPr>
          <w:rFonts w:ascii="Palatino Linotype" w:eastAsia="Palatino Linotype" w:hAnsi="Palatino Linotype" w:cs="Palatino Linotype"/>
        </w:rPr>
      </w:pPr>
    </w:p>
    <w:p w14:paraId="3584AF26"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rPr>
        <w:t>Así, con fundamento en lo prescrito en los</w:t>
      </w:r>
      <w:r w:rsidRPr="006936E0">
        <w:t xml:space="preserve"> </w:t>
      </w:r>
      <w:r w:rsidRPr="006936E0">
        <w:rPr>
          <w:rFonts w:ascii="Palatino Linotype" w:eastAsia="Palatino Linotype" w:hAnsi="Palatino Linotype" w:cs="Palatino Linotype"/>
        </w:rPr>
        <w:t xml:space="preserve">artículos 5 párrafos trigésimo, trigésimo primero y trigésimo segundo fracciones IV y V de la Constitución Política del Estado </w:t>
      </w:r>
      <w:r w:rsidRPr="006936E0">
        <w:rPr>
          <w:rFonts w:ascii="Palatino Linotype" w:eastAsia="Palatino Linotype" w:hAnsi="Palatino Linotype" w:cs="Palatino Linotype"/>
        </w:rPr>
        <w:lastRenderedPageBreak/>
        <w:t>Libre y Soberano de México; 2, fracción II; 29, 36 fracciones I y II; 176, 178, 181, 185, fracción I, 186 y 188 de la Ley de Transparencia y Acceso a la Información Pública del Estado de México y Municipios, este Pleno:</w:t>
      </w:r>
    </w:p>
    <w:p w14:paraId="3E4006AB" w14:textId="77777777" w:rsidR="00954120" w:rsidRPr="006936E0" w:rsidRDefault="003A2877">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6936E0">
        <w:rPr>
          <w:rFonts w:ascii="Palatino Linotype" w:eastAsia="Palatino Linotype" w:hAnsi="Palatino Linotype" w:cs="Palatino Linotype"/>
          <w:b/>
        </w:rPr>
        <w:t>III. R E S U E L V E</w:t>
      </w:r>
    </w:p>
    <w:p w14:paraId="394C9B00" w14:textId="77777777" w:rsidR="00954120" w:rsidRPr="006936E0" w:rsidRDefault="003A2877">
      <w:pPr>
        <w:spacing w:line="360" w:lineRule="auto"/>
        <w:ind w:right="49"/>
        <w:jc w:val="both"/>
        <w:rPr>
          <w:rFonts w:ascii="Palatino Linotype" w:eastAsia="Palatino Linotype" w:hAnsi="Palatino Linotype" w:cs="Palatino Linotype"/>
        </w:rPr>
      </w:pPr>
      <w:bookmarkStart w:id="2" w:name="_heading=h.3znysh7" w:colFirst="0" w:colLast="0"/>
      <w:bookmarkEnd w:id="2"/>
      <w:r w:rsidRPr="006936E0">
        <w:rPr>
          <w:rFonts w:ascii="Palatino Linotype" w:eastAsia="Palatino Linotype" w:hAnsi="Palatino Linotype" w:cs="Palatino Linotype"/>
          <w:b/>
        </w:rPr>
        <w:t>Primero.</w:t>
      </w:r>
      <w:r w:rsidRPr="006936E0">
        <w:rPr>
          <w:rFonts w:ascii="Palatino Linotype" w:eastAsia="Palatino Linotype" w:hAnsi="Palatino Linotype" w:cs="Palatino Linotype"/>
          <w:sz w:val="22"/>
          <w:szCs w:val="22"/>
        </w:rPr>
        <w:t xml:space="preserve"> </w:t>
      </w:r>
      <w:r w:rsidRPr="006936E0">
        <w:rPr>
          <w:rFonts w:ascii="Palatino Linotype" w:eastAsia="Palatino Linotype" w:hAnsi="Palatino Linotype" w:cs="Palatino Linotype"/>
        </w:rPr>
        <w:t xml:space="preserve">Resultan </w:t>
      </w:r>
      <w:r w:rsidRPr="006936E0">
        <w:rPr>
          <w:rFonts w:ascii="Palatino Linotype" w:eastAsia="Palatino Linotype" w:hAnsi="Palatino Linotype" w:cs="Palatino Linotype"/>
          <w:b/>
        </w:rPr>
        <w:t>fundadas</w:t>
      </w:r>
      <w:r w:rsidRPr="006936E0">
        <w:rPr>
          <w:rFonts w:ascii="Palatino Linotype" w:eastAsia="Palatino Linotype" w:hAnsi="Palatino Linotype" w:cs="Palatino Linotype"/>
        </w:rPr>
        <w:t xml:space="preserve"> las razones o motivos de inconformidad hechos valer por </w:t>
      </w:r>
      <w:r w:rsidRPr="006936E0">
        <w:rPr>
          <w:rFonts w:ascii="Palatino Linotype" w:eastAsia="Palatino Linotype" w:hAnsi="Palatino Linotype" w:cs="Palatino Linotype"/>
          <w:b/>
        </w:rPr>
        <w:t xml:space="preserve">la parte Recurrente, </w:t>
      </w:r>
      <w:r w:rsidRPr="006936E0">
        <w:rPr>
          <w:rFonts w:ascii="Palatino Linotype" w:eastAsia="Palatino Linotype" w:hAnsi="Palatino Linotype" w:cs="Palatino Linotype"/>
        </w:rPr>
        <w:t>en el recurso de revisión</w:t>
      </w:r>
      <w:r w:rsidRPr="006936E0">
        <w:rPr>
          <w:rFonts w:ascii="Palatino Linotype" w:eastAsia="Palatino Linotype" w:hAnsi="Palatino Linotype" w:cs="Palatino Linotype"/>
          <w:b/>
        </w:rPr>
        <w:t xml:space="preserve"> 11274/INFOEM/ICR-78/IP/RR/2022, </w:t>
      </w:r>
      <w:r w:rsidRPr="006936E0">
        <w:rPr>
          <w:rFonts w:ascii="Palatino Linotype" w:eastAsia="Palatino Linotype" w:hAnsi="Palatino Linotype" w:cs="Palatino Linotype"/>
        </w:rPr>
        <w:t xml:space="preserve">en términos del </w:t>
      </w:r>
      <w:r w:rsidRPr="006936E0">
        <w:rPr>
          <w:rFonts w:ascii="Palatino Linotype" w:eastAsia="Palatino Linotype" w:hAnsi="Palatino Linotype" w:cs="Palatino Linotype"/>
          <w:b/>
        </w:rPr>
        <w:t>Considerando</w:t>
      </w:r>
      <w:r w:rsidRPr="006936E0">
        <w:rPr>
          <w:rFonts w:ascii="Palatino Linotype" w:eastAsia="Palatino Linotype" w:hAnsi="Palatino Linotype" w:cs="Palatino Linotype"/>
        </w:rPr>
        <w:t xml:space="preserve"> </w:t>
      </w:r>
      <w:r w:rsidRPr="006936E0">
        <w:rPr>
          <w:rFonts w:ascii="Palatino Linotype" w:eastAsia="Palatino Linotype" w:hAnsi="Palatino Linotype" w:cs="Palatino Linotype"/>
          <w:b/>
        </w:rPr>
        <w:t xml:space="preserve">Cuarto </w:t>
      </w:r>
      <w:r w:rsidRPr="006936E0">
        <w:rPr>
          <w:rFonts w:ascii="Palatino Linotype" w:eastAsia="Palatino Linotype" w:hAnsi="Palatino Linotype" w:cs="Palatino Linotype"/>
        </w:rPr>
        <w:t>de la presente resolución.</w:t>
      </w:r>
    </w:p>
    <w:p w14:paraId="4AE31069" w14:textId="77777777" w:rsidR="00954120" w:rsidRPr="006936E0" w:rsidRDefault="00954120">
      <w:pPr>
        <w:spacing w:line="360" w:lineRule="auto"/>
        <w:jc w:val="both"/>
        <w:rPr>
          <w:rFonts w:ascii="Palatino Linotype" w:eastAsia="Palatino Linotype" w:hAnsi="Palatino Linotype" w:cs="Palatino Linotype"/>
        </w:rPr>
      </w:pPr>
    </w:p>
    <w:p w14:paraId="03F97BF1" w14:textId="77777777" w:rsidR="00954120" w:rsidRPr="006936E0" w:rsidRDefault="003A2877">
      <w:pPr>
        <w:spacing w:line="360" w:lineRule="auto"/>
        <w:jc w:val="both"/>
        <w:rPr>
          <w:rFonts w:ascii="Palatino Linotype" w:eastAsia="Palatino Linotype" w:hAnsi="Palatino Linotype" w:cs="Palatino Linotype"/>
          <w:b/>
        </w:rPr>
      </w:pPr>
      <w:bookmarkStart w:id="3" w:name="_heading=h.3dy6vkm" w:colFirst="0" w:colLast="0"/>
      <w:bookmarkEnd w:id="3"/>
      <w:r w:rsidRPr="006936E0">
        <w:rPr>
          <w:rFonts w:ascii="Palatino Linotype" w:eastAsia="Palatino Linotype" w:hAnsi="Palatino Linotype" w:cs="Palatino Linotype"/>
          <w:b/>
        </w:rPr>
        <w:t>Segundo</w:t>
      </w:r>
      <w:r w:rsidRPr="006936E0">
        <w:rPr>
          <w:rFonts w:ascii="Palatino Linotype" w:eastAsia="Palatino Linotype" w:hAnsi="Palatino Linotype" w:cs="Palatino Linotype"/>
        </w:rPr>
        <w:t>. Se</w:t>
      </w:r>
      <w:r w:rsidRPr="006936E0">
        <w:rPr>
          <w:rFonts w:ascii="Palatino Linotype" w:eastAsia="Palatino Linotype" w:hAnsi="Palatino Linotype" w:cs="Palatino Linotype"/>
          <w:b/>
        </w:rPr>
        <w:t> ORDENA </w:t>
      </w:r>
      <w:r w:rsidRPr="006936E0">
        <w:rPr>
          <w:rFonts w:ascii="Palatino Linotype" w:eastAsia="Palatino Linotype" w:hAnsi="Palatino Linotype" w:cs="Palatino Linotype"/>
        </w:rPr>
        <w:t xml:space="preserve">al </w:t>
      </w:r>
      <w:r w:rsidRPr="006936E0">
        <w:rPr>
          <w:rFonts w:ascii="Palatino Linotype" w:eastAsia="Palatino Linotype" w:hAnsi="Palatino Linotype" w:cs="Palatino Linotype"/>
          <w:b/>
        </w:rPr>
        <w:t>Sujeto Obligado</w:t>
      </w:r>
      <w:r w:rsidRPr="006936E0">
        <w:rPr>
          <w:rFonts w:ascii="Palatino Linotype" w:eastAsia="Palatino Linotype" w:hAnsi="Palatino Linotype" w:cs="Palatino Linotype"/>
        </w:rPr>
        <w:t>, atienda la solicitud de información número</w:t>
      </w:r>
      <w:r w:rsidRPr="006936E0">
        <w:rPr>
          <w:rFonts w:ascii="Palatino Linotype" w:eastAsia="Palatino Linotype" w:hAnsi="Palatino Linotype" w:cs="Palatino Linotype"/>
          <w:b/>
        </w:rPr>
        <w:t> 03354/METEPEC/IP/2022</w:t>
      </w:r>
      <w:r w:rsidRPr="006936E0">
        <w:rPr>
          <w:rFonts w:ascii="Palatino Linotype" w:eastAsia="Palatino Linotype" w:hAnsi="Palatino Linotype" w:cs="Palatino Linotype"/>
        </w:rPr>
        <w:t xml:space="preserve">, en términos de los </w:t>
      </w:r>
      <w:r w:rsidRPr="006936E0">
        <w:rPr>
          <w:rFonts w:ascii="Palatino Linotype" w:eastAsia="Palatino Linotype" w:hAnsi="Palatino Linotype" w:cs="Palatino Linotype"/>
          <w:b/>
        </w:rPr>
        <w:t>Considerandos</w:t>
      </w:r>
      <w:r w:rsidRPr="006936E0">
        <w:rPr>
          <w:rFonts w:ascii="Palatino Linotype" w:eastAsia="Palatino Linotype" w:hAnsi="Palatino Linotype" w:cs="Palatino Linotype"/>
        </w:rPr>
        <w:t xml:space="preserve"> </w:t>
      </w:r>
      <w:r w:rsidRPr="006936E0">
        <w:rPr>
          <w:rFonts w:ascii="Palatino Linotype" w:eastAsia="Palatino Linotype" w:hAnsi="Palatino Linotype" w:cs="Palatino Linotype"/>
          <w:b/>
        </w:rPr>
        <w:t xml:space="preserve">Cuarto y Quinto </w:t>
      </w:r>
      <w:r w:rsidRPr="006936E0">
        <w:rPr>
          <w:rFonts w:ascii="Palatino Linotype" w:eastAsia="Palatino Linotype" w:hAnsi="Palatino Linotype" w:cs="Palatino Linotype"/>
        </w:rPr>
        <w:t xml:space="preserve">de esta resolución, que </w:t>
      </w:r>
      <w:r w:rsidRPr="006936E0">
        <w:rPr>
          <w:rFonts w:ascii="Palatino Linotype" w:eastAsia="Palatino Linotype" w:hAnsi="Palatino Linotype" w:cs="Palatino Linotype"/>
          <w:b/>
        </w:rPr>
        <w:t>realice lo siguiente:</w:t>
      </w:r>
    </w:p>
    <w:p w14:paraId="15148054" w14:textId="77777777" w:rsidR="00954120" w:rsidRPr="006936E0" w:rsidRDefault="00954120">
      <w:pPr>
        <w:widowControl w:val="0"/>
        <w:spacing w:after="160" w:line="360" w:lineRule="auto"/>
        <w:jc w:val="both"/>
        <w:rPr>
          <w:rFonts w:ascii="Palatino Linotype" w:eastAsia="Palatino Linotype" w:hAnsi="Palatino Linotype" w:cs="Palatino Linotype"/>
          <w:b/>
        </w:rPr>
      </w:pPr>
    </w:p>
    <w:p w14:paraId="4E8BDDB2" w14:textId="77777777" w:rsidR="00954120" w:rsidRPr="006936E0" w:rsidRDefault="003A2877">
      <w:pPr>
        <w:widowControl w:val="0"/>
        <w:numPr>
          <w:ilvl w:val="0"/>
          <w:numId w:val="5"/>
        </w:numPr>
        <w:pBdr>
          <w:top w:val="nil"/>
          <w:left w:val="nil"/>
          <w:bottom w:val="nil"/>
          <w:right w:val="nil"/>
          <w:between w:val="nil"/>
        </w:pBdr>
        <w:spacing w:line="360" w:lineRule="auto"/>
        <w:ind w:left="567" w:right="851" w:hanging="141"/>
        <w:jc w:val="both"/>
        <w:rPr>
          <w:rFonts w:ascii="Palatino Linotype" w:eastAsia="Palatino Linotype" w:hAnsi="Palatino Linotype" w:cs="Palatino Linotype"/>
          <w:b/>
          <w:sz w:val="22"/>
          <w:szCs w:val="22"/>
          <w:u w:val="single"/>
        </w:rPr>
      </w:pPr>
      <w:r w:rsidRPr="006936E0">
        <w:rPr>
          <w:rFonts w:ascii="Palatino Linotype" w:eastAsia="Palatino Linotype" w:hAnsi="Palatino Linotype" w:cs="Palatino Linotype"/>
          <w:sz w:val="22"/>
          <w:szCs w:val="22"/>
        </w:rPr>
        <w:t xml:space="preserve">Ponga a disposición, en todas las modalidades que permita la documentación, tales como, consulta directa, un vínculo electrónico, disco compacto, dispositivo de almacenamiento, copias simples o certificadas, con posibilidad de entrega en la Unidad de Transparencia o a domicilio por correo certificado, previo pago de los derechos correspondientes, en versión pública, </w:t>
      </w:r>
      <w:r w:rsidRPr="006936E0">
        <w:rPr>
          <w:rFonts w:ascii="Palatino Linotype" w:eastAsia="Palatino Linotype" w:hAnsi="Palatino Linotype" w:cs="Palatino Linotype"/>
          <w:b/>
          <w:sz w:val="22"/>
          <w:szCs w:val="22"/>
          <w:u w:val="single"/>
        </w:rPr>
        <w:t>el padrón catastral actualizado al dos de mayo de dos mil veintidós.</w:t>
      </w:r>
    </w:p>
    <w:p w14:paraId="66C4E4EE" w14:textId="77777777" w:rsidR="00954120" w:rsidRPr="006936E0" w:rsidRDefault="003A2877">
      <w:pPr>
        <w:widowControl w:val="0"/>
        <w:pBdr>
          <w:top w:val="nil"/>
          <w:left w:val="nil"/>
          <w:bottom w:val="nil"/>
          <w:right w:val="nil"/>
          <w:between w:val="nil"/>
        </w:pBdr>
        <w:spacing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 xml:space="preserve">Para el supuesto señalado, deberá indicar a través del Sistema de Acceso a la Información Mexiquense (SAIMEX),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w:t>
      </w:r>
      <w:r w:rsidRPr="006936E0">
        <w:rPr>
          <w:rFonts w:ascii="Palatino Linotype" w:eastAsia="Palatino Linotype" w:hAnsi="Palatino Linotype" w:cs="Palatino Linotype"/>
          <w:i/>
          <w:sz w:val="22"/>
          <w:szCs w:val="22"/>
        </w:rPr>
        <w:lastRenderedPageBreak/>
        <w:t>nombre del servidor público que le atenderá. Además, deberá señalarle que podrá acceder de manera gratuita a la información si proporciona el medio electrónico y recoge la información en la Unidad de Transparencia.</w:t>
      </w:r>
    </w:p>
    <w:p w14:paraId="2A8F748D" w14:textId="77777777" w:rsidR="00954120" w:rsidRPr="006936E0" w:rsidRDefault="00954120">
      <w:pPr>
        <w:widowControl w:val="0"/>
        <w:pBdr>
          <w:top w:val="nil"/>
          <w:left w:val="nil"/>
          <w:bottom w:val="nil"/>
          <w:right w:val="nil"/>
          <w:between w:val="nil"/>
        </w:pBdr>
        <w:spacing w:line="276" w:lineRule="auto"/>
        <w:ind w:left="567" w:right="851"/>
        <w:jc w:val="both"/>
        <w:rPr>
          <w:rFonts w:ascii="Palatino Linotype" w:eastAsia="Palatino Linotype" w:hAnsi="Palatino Linotype" w:cs="Palatino Linotype"/>
          <w:i/>
          <w:sz w:val="22"/>
          <w:szCs w:val="22"/>
        </w:rPr>
      </w:pPr>
    </w:p>
    <w:p w14:paraId="5C7702E3" w14:textId="77777777" w:rsidR="00954120" w:rsidRPr="006936E0" w:rsidRDefault="003A2877">
      <w:pPr>
        <w:widowControl w:val="0"/>
        <w:pBdr>
          <w:top w:val="nil"/>
          <w:left w:val="nil"/>
          <w:bottom w:val="nil"/>
          <w:right w:val="nil"/>
          <w:between w:val="nil"/>
        </w:pBdr>
        <w:spacing w:after="160" w:line="276" w:lineRule="auto"/>
        <w:ind w:left="567" w:right="851"/>
        <w:jc w:val="both"/>
        <w:rPr>
          <w:rFonts w:ascii="Palatino Linotype" w:eastAsia="Palatino Linotype" w:hAnsi="Palatino Linotype" w:cs="Palatino Linotype"/>
          <w:i/>
          <w:sz w:val="22"/>
          <w:szCs w:val="22"/>
        </w:rPr>
      </w:pPr>
      <w:r w:rsidRPr="006936E0">
        <w:rPr>
          <w:rFonts w:ascii="Palatino Linotype" w:eastAsia="Palatino Linotype" w:hAnsi="Palatino Linotype" w:cs="Palatino Linotype"/>
          <w:i/>
          <w:sz w:val="22"/>
          <w:szCs w:val="22"/>
        </w:rPr>
        <w:t>Para la entrega en versión pública, s</w:t>
      </w:r>
      <w:bookmarkStart w:id="4" w:name="_GoBack"/>
      <w:bookmarkEnd w:id="4"/>
      <w:r w:rsidRPr="006936E0">
        <w:rPr>
          <w:rFonts w:ascii="Palatino Linotype" w:eastAsia="Palatino Linotype" w:hAnsi="Palatino Linotype" w:cs="Palatino Linotype"/>
          <w:i/>
          <w:sz w:val="22"/>
          <w:szCs w:val="22"/>
        </w:rPr>
        <w:t>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del particular.</w:t>
      </w:r>
    </w:p>
    <w:p w14:paraId="5CB6AB1C" w14:textId="77777777" w:rsidR="00954120" w:rsidRPr="006936E0" w:rsidRDefault="00954120">
      <w:pPr>
        <w:spacing w:line="276" w:lineRule="auto"/>
        <w:ind w:left="567" w:right="851"/>
        <w:jc w:val="both"/>
        <w:rPr>
          <w:rFonts w:ascii="Palatino Linotype" w:eastAsia="Palatino Linotype" w:hAnsi="Palatino Linotype" w:cs="Palatino Linotype"/>
          <w:i/>
          <w:sz w:val="22"/>
          <w:szCs w:val="22"/>
        </w:rPr>
      </w:pPr>
    </w:p>
    <w:p w14:paraId="66CF398C" w14:textId="77777777" w:rsidR="00954120" w:rsidRPr="006936E0" w:rsidRDefault="003A2877">
      <w:pPr>
        <w:spacing w:line="360" w:lineRule="auto"/>
        <w:jc w:val="both"/>
        <w:rPr>
          <w:rFonts w:ascii="Palatino Linotype" w:eastAsia="Palatino Linotype" w:hAnsi="Palatino Linotype" w:cs="Palatino Linotype"/>
        </w:rPr>
      </w:pPr>
      <w:bookmarkStart w:id="5" w:name="_heading=h.1fob9te" w:colFirst="0" w:colLast="0"/>
      <w:bookmarkEnd w:id="5"/>
      <w:r w:rsidRPr="006936E0">
        <w:rPr>
          <w:rFonts w:ascii="Palatino Linotype" w:eastAsia="Palatino Linotype" w:hAnsi="Palatino Linotype" w:cs="Palatino Linotype"/>
          <w:b/>
        </w:rPr>
        <w:t>Tercero</w:t>
      </w:r>
      <w:r w:rsidRPr="006936E0">
        <w:rPr>
          <w:rFonts w:ascii="Palatino Linotype" w:eastAsia="Palatino Linotype" w:hAnsi="Palatino Linotype" w:cs="Palatino Linotype"/>
          <w:b/>
          <w:sz w:val="28"/>
          <w:szCs w:val="28"/>
        </w:rPr>
        <w:t xml:space="preserve">. </w:t>
      </w:r>
      <w:r w:rsidRPr="006936E0">
        <w:rPr>
          <w:rFonts w:ascii="Palatino Linotype" w:eastAsia="Palatino Linotype" w:hAnsi="Palatino Linotype" w:cs="Palatino Linotype"/>
          <w:b/>
        </w:rPr>
        <w:t>Notifíquese</w:t>
      </w:r>
      <w:r w:rsidRPr="006936E0">
        <w:rPr>
          <w:rFonts w:ascii="Palatino Linotype" w:eastAsia="Palatino Linotype" w:hAnsi="Palatino Linotype" w:cs="Palatino Linotype"/>
          <w:i/>
        </w:rPr>
        <w:t xml:space="preserve"> </w:t>
      </w:r>
      <w:r w:rsidRPr="006936E0">
        <w:rPr>
          <w:rFonts w:ascii="Palatino Linotype" w:eastAsia="Palatino Linotype" w:hAnsi="Palatino Linotype" w:cs="Palatino Linotype"/>
        </w:rPr>
        <w:t>la presente resolución vía Sistema de Acceso a la Información Mexiquense (SAIMEX), al Titular de la Unidad de Transparencia del</w:t>
      </w:r>
      <w:r w:rsidRPr="006936E0">
        <w:rPr>
          <w:rFonts w:ascii="Palatino Linotype" w:eastAsia="Palatino Linotype" w:hAnsi="Palatino Linotype" w:cs="Palatino Linotype"/>
          <w:b/>
        </w:rPr>
        <w:t xml:space="preserve"> Sujeto Obligado</w:t>
      </w:r>
      <w:r w:rsidRPr="006936E0">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6DF8AAC" w14:textId="77777777" w:rsidR="00954120" w:rsidRPr="006936E0" w:rsidRDefault="003A2877">
      <w:pPr>
        <w:spacing w:before="240" w:after="240" w:line="360" w:lineRule="auto"/>
        <w:jc w:val="both"/>
        <w:rPr>
          <w:rFonts w:ascii="Palatino Linotype" w:eastAsia="Palatino Linotype" w:hAnsi="Palatino Linotype" w:cs="Palatino Linotype"/>
        </w:rPr>
      </w:pPr>
      <w:r w:rsidRPr="006936E0">
        <w:rPr>
          <w:rFonts w:ascii="Palatino Linotype" w:eastAsia="Palatino Linotype" w:hAnsi="Palatino Linotype" w:cs="Palatino Linotype"/>
          <w:b/>
        </w:rPr>
        <w:t xml:space="preserve">Cuarto. Notifíquese la presente resolución al Recurrente mediante el Sistema de Acceso a la Información Mexiquense (SAIMEX) </w:t>
      </w:r>
      <w:r w:rsidRPr="006936E0">
        <w:rPr>
          <w:rFonts w:ascii="Palatino Linotype" w:eastAsia="Palatino Linotype" w:hAnsi="Palatino Linotype" w:cs="Palatino Linotype"/>
        </w:rPr>
        <w:t xml:space="preserve">y hágase de su conocimiento que, de conformidad con lo establecido en el artículo 196 de la Ley de Transparencia y Acceso a la Información Pública del Estado de México y Municipios, podrá impugnarla vía juicio de amparo en los términos de las leyes aplicables podrá promover el Juicio de Amparo en los términos de las leyes aplicables. </w:t>
      </w:r>
    </w:p>
    <w:p w14:paraId="38D7C805" w14:textId="77777777" w:rsidR="00954120" w:rsidRPr="006936E0" w:rsidRDefault="003A2877">
      <w:pPr>
        <w:spacing w:line="360" w:lineRule="auto"/>
        <w:ind w:right="49"/>
        <w:jc w:val="both"/>
        <w:rPr>
          <w:rFonts w:ascii="Palatino Linotype" w:eastAsia="Palatino Linotype" w:hAnsi="Palatino Linotype" w:cs="Palatino Linotype"/>
        </w:rPr>
        <w:sectPr w:rsidR="00954120" w:rsidRPr="006936E0">
          <w:headerReference w:type="default" r:id="rId26"/>
          <w:footerReference w:type="default" r:id="rId27"/>
          <w:headerReference w:type="first" r:id="rId28"/>
          <w:footerReference w:type="first" r:id="rId29"/>
          <w:pgSz w:w="12240" w:h="15840"/>
          <w:pgMar w:top="1985" w:right="1750" w:bottom="1701" w:left="1701" w:header="709" w:footer="709" w:gutter="0"/>
          <w:pgNumType w:start="1"/>
          <w:cols w:space="720"/>
          <w:titlePg/>
        </w:sectPr>
      </w:pPr>
      <w:r w:rsidRPr="006936E0">
        <w:rPr>
          <w:rFonts w:ascii="Palatino Linotype" w:eastAsia="Palatino Linotype" w:hAnsi="Palatino Linotype" w:cs="Palatino Linotype"/>
        </w:rPr>
        <w:t xml:space="preserve">ASÍ LO RESUELVE, POR UNANIMIDAD DE VOTOS, EL PLENO DEL INSTITUTO DE TRANSPARENCIA, ACCESO A LA INFORMACIÓN </w:t>
      </w:r>
      <w:r w:rsidRPr="006936E0">
        <w:rPr>
          <w:rFonts w:ascii="Palatino Linotype" w:eastAsia="Palatino Linotype" w:hAnsi="Palatino Linotype" w:cs="Palatino Linotype"/>
        </w:rPr>
        <w:lastRenderedPageBreak/>
        <w:t xml:space="preserve">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PRIMERO DE FEBRERO DE DOS MIL VEINTITRÉS, ANTE EL SECRETARIO </w:t>
      </w:r>
      <w:r w:rsidR="005A0CA2" w:rsidRPr="006936E0">
        <w:rPr>
          <w:rFonts w:ascii="Palatino Linotype" w:eastAsia="Palatino Linotype" w:hAnsi="Palatino Linotype" w:cs="Palatino Linotype"/>
          <w:noProof/>
          <w:lang w:eastAsia="es-MX"/>
        </w:rPr>
        <mc:AlternateContent>
          <mc:Choice Requires="wps">
            <w:drawing>
              <wp:anchor distT="0" distB="0" distL="114300" distR="114300" simplePos="0" relativeHeight="251661312" behindDoc="0" locked="0" layoutInCell="1" allowOverlap="1" wp14:anchorId="6980C34E" wp14:editId="0BD17BC7">
                <wp:simplePos x="0" y="0"/>
                <wp:positionH relativeFrom="column">
                  <wp:posOffset>53340</wp:posOffset>
                </wp:positionH>
                <wp:positionV relativeFrom="paragraph">
                  <wp:posOffset>2063115</wp:posOffset>
                </wp:positionV>
                <wp:extent cx="5257800" cy="54102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257800" cy="54102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1C1BAF"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pt,162.45pt" to="418.2pt,5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" strokecolor="black [3200]" strokeweight="1.5pt">
                <v:stroke joinstyle="miter"/>
              </v:line>
            </w:pict>
          </mc:Fallback>
        </mc:AlternateContent>
      </w:r>
      <w:r w:rsidRPr="006936E0">
        <w:rPr>
          <w:rFonts w:ascii="Palatino Linotype" w:eastAsia="Palatino Linotype" w:hAnsi="Palatino Linotype" w:cs="Palatino Linotype"/>
        </w:rPr>
        <w:t>TÉCNICO DEL PLENO ALEXIS TAPIA RAMÍREZ.</w:t>
      </w:r>
    </w:p>
    <w:p w14:paraId="492131FF" w14:textId="77777777" w:rsidR="00954120" w:rsidRPr="006936E0" w:rsidRDefault="00954120">
      <w:pPr>
        <w:tabs>
          <w:tab w:val="left" w:pos="709"/>
        </w:tabs>
        <w:spacing w:before="240" w:after="240" w:line="360" w:lineRule="auto"/>
        <w:jc w:val="both"/>
        <w:rPr>
          <w:rFonts w:ascii="Palatino Linotype" w:eastAsia="Palatino Linotype" w:hAnsi="Palatino Linotype" w:cs="Palatino Linotype"/>
        </w:rPr>
      </w:pPr>
    </w:p>
    <w:p w14:paraId="1987D6BC" w14:textId="77777777" w:rsidR="00954120" w:rsidRPr="006936E0" w:rsidRDefault="00954120"/>
    <w:p w14:paraId="0B45AEA3" w14:textId="77777777" w:rsidR="00954120" w:rsidRPr="006936E0" w:rsidRDefault="00954120"/>
    <w:sectPr w:rsidR="00954120" w:rsidRPr="006936E0">
      <w:headerReference w:type="first" r:id="rId30"/>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BA1EC" w14:textId="77777777" w:rsidR="00200609" w:rsidRDefault="00200609">
      <w:r>
        <w:separator/>
      </w:r>
    </w:p>
  </w:endnote>
  <w:endnote w:type="continuationSeparator" w:id="0">
    <w:p w14:paraId="19BDEF33" w14:textId="77777777" w:rsidR="00200609" w:rsidRDefault="0020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AFEA8" w14:textId="77777777" w:rsidR="00954120" w:rsidRDefault="003A287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C74B5">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C74B5">
      <w:rPr>
        <w:rFonts w:ascii="Arial" w:eastAsia="Arial" w:hAnsi="Arial" w:cs="Arial"/>
        <w:b/>
        <w:noProof/>
        <w:color w:val="000000"/>
        <w:sz w:val="20"/>
        <w:szCs w:val="20"/>
      </w:rPr>
      <w:t>63</w:t>
    </w:r>
    <w:r>
      <w:rPr>
        <w:rFonts w:ascii="Arial" w:eastAsia="Arial" w:hAnsi="Arial" w:cs="Arial"/>
        <w:b/>
        <w:color w:val="000000"/>
        <w:sz w:val="20"/>
        <w:szCs w:val="20"/>
      </w:rPr>
      <w:fldChar w:fldCharType="end"/>
    </w:r>
  </w:p>
  <w:p w14:paraId="095860A8" w14:textId="77777777" w:rsidR="00954120" w:rsidRDefault="00954120">
    <w:pPr>
      <w:pBdr>
        <w:top w:val="nil"/>
        <w:left w:val="nil"/>
        <w:bottom w:val="nil"/>
        <w:right w:val="nil"/>
        <w:between w:val="nil"/>
      </w:pBdr>
      <w:tabs>
        <w:tab w:val="center" w:pos="4252"/>
        <w:tab w:val="right" w:pos="8504"/>
      </w:tabs>
      <w:rPr>
        <w:color w:val="000000"/>
      </w:rPr>
    </w:pPr>
  </w:p>
  <w:p w14:paraId="1E80B68B" w14:textId="77777777" w:rsidR="00954120" w:rsidRDefault="0095412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D464E" w14:textId="77777777" w:rsidR="00954120" w:rsidRDefault="003A287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C74B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C74B5">
      <w:rPr>
        <w:rFonts w:ascii="Arial" w:eastAsia="Arial" w:hAnsi="Arial" w:cs="Arial"/>
        <w:b/>
        <w:noProof/>
        <w:color w:val="000000"/>
        <w:sz w:val="20"/>
        <w:szCs w:val="20"/>
      </w:rPr>
      <w:t>63</w:t>
    </w:r>
    <w:r>
      <w:rPr>
        <w:rFonts w:ascii="Arial" w:eastAsia="Arial" w:hAnsi="Arial" w:cs="Arial"/>
        <w:b/>
        <w:color w:val="000000"/>
        <w:sz w:val="20"/>
        <w:szCs w:val="20"/>
      </w:rPr>
      <w:fldChar w:fldCharType="end"/>
    </w:r>
  </w:p>
  <w:p w14:paraId="230ECB85" w14:textId="77777777" w:rsidR="00954120" w:rsidRDefault="0095412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4EBAB" w14:textId="77777777" w:rsidR="00200609" w:rsidRDefault="00200609">
      <w:r>
        <w:separator/>
      </w:r>
    </w:p>
  </w:footnote>
  <w:footnote w:type="continuationSeparator" w:id="0">
    <w:p w14:paraId="76E4D40B" w14:textId="77777777" w:rsidR="00200609" w:rsidRDefault="00200609">
      <w:r>
        <w:continuationSeparator/>
      </w:r>
    </w:p>
  </w:footnote>
  <w:footnote w:id="1">
    <w:p w14:paraId="373E60D9" w14:textId="77777777" w:rsidR="00954120" w:rsidRDefault="003A2877">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F163108" w14:textId="77777777" w:rsidR="00954120" w:rsidRDefault="003A287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CFA7A" w14:textId="77777777" w:rsidR="00954120" w:rsidRDefault="003A2877">
    <w:pPr>
      <w:widowControl w:val="0"/>
      <w:pBdr>
        <w:top w:val="nil"/>
        <w:left w:val="nil"/>
        <w:bottom w:val="nil"/>
        <w:right w:val="nil"/>
        <w:between w:val="nil"/>
      </w:pBdr>
      <w:spacing w:line="276" w:lineRule="auto"/>
      <w:rPr>
        <w:rFonts w:ascii="Calibri" w:eastAsia="Calibri" w:hAnsi="Calibri" w:cs="Calibri"/>
      </w:rPr>
    </w:pPr>
    <w:r>
      <w:rPr>
        <w:noProof/>
        <w:lang w:eastAsia="es-MX"/>
      </w:rPr>
      <w:drawing>
        <wp:anchor distT="0" distB="0" distL="0" distR="0" simplePos="0" relativeHeight="251658240" behindDoc="1" locked="0" layoutInCell="1" hidden="0" allowOverlap="1" wp14:anchorId="00FF7896" wp14:editId="63C1D5ED">
          <wp:simplePos x="0" y="0"/>
          <wp:positionH relativeFrom="column">
            <wp:posOffset>-1017904</wp:posOffset>
          </wp:positionH>
          <wp:positionV relativeFrom="paragraph">
            <wp:posOffset>-325027</wp:posOffset>
          </wp:positionV>
          <wp:extent cx="7635163" cy="9944100"/>
          <wp:effectExtent l="0" t="0" r="0" b="0"/>
          <wp:wrapNone/>
          <wp:docPr id="6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7"/>
      <w:tblW w:w="6095" w:type="dxa"/>
      <w:tblInd w:w="3261" w:type="dxa"/>
      <w:tblLayout w:type="fixed"/>
      <w:tblLook w:val="0400" w:firstRow="0" w:lastRow="0" w:firstColumn="0" w:lastColumn="0" w:noHBand="0" w:noVBand="1"/>
    </w:tblPr>
    <w:tblGrid>
      <w:gridCol w:w="2552"/>
      <w:gridCol w:w="3543"/>
    </w:tblGrid>
    <w:tr w:rsidR="00954120" w14:paraId="0E223138" w14:textId="77777777">
      <w:tc>
        <w:tcPr>
          <w:tcW w:w="2552" w:type="dxa"/>
          <w:vAlign w:val="center"/>
        </w:tcPr>
        <w:p w14:paraId="78C1EDF0" w14:textId="77777777" w:rsidR="00954120" w:rsidRDefault="003A287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42D2054D" w14:textId="77777777" w:rsidR="00954120" w:rsidRDefault="003A287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11274/INFOEM/ICR-78/IP/RR/2022 </w:t>
          </w:r>
        </w:p>
      </w:tc>
    </w:tr>
    <w:tr w:rsidR="00954120" w14:paraId="7F3BB9ED" w14:textId="77777777">
      <w:trPr>
        <w:trHeight w:val="228"/>
      </w:trPr>
      <w:tc>
        <w:tcPr>
          <w:tcW w:w="2552" w:type="dxa"/>
          <w:vAlign w:val="center"/>
        </w:tcPr>
        <w:p w14:paraId="50C6E771" w14:textId="77777777" w:rsidR="00954120" w:rsidRDefault="003A287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79A9B96E" w14:textId="77777777" w:rsidR="00954120" w:rsidRDefault="003A287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954120" w14:paraId="74420903" w14:textId="77777777">
      <w:tc>
        <w:tcPr>
          <w:tcW w:w="2552" w:type="dxa"/>
          <w:vAlign w:val="center"/>
        </w:tcPr>
        <w:p w14:paraId="3158BACD" w14:textId="77777777" w:rsidR="00954120" w:rsidRDefault="003A287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14:paraId="34030E22" w14:textId="77777777" w:rsidR="00954120" w:rsidRDefault="003A287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460B00D" w14:textId="77777777" w:rsidR="00954120" w:rsidRDefault="003A2877">
    <w:pPr>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4A97D" w14:textId="77777777" w:rsidR="00954120" w:rsidRDefault="003A2877">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eastAsia="es-MX"/>
      </w:rPr>
      <w:drawing>
        <wp:anchor distT="0" distB="0" distL="0" distR="0" simplePos="0" relativeHeight="251659264" behindDoc="1" locked="0" layoutInCell="1" hidden="0" allowOverlap="1" wp14:anchorId="1E38D139" wp14:editId="04BF3AC6">
          <wp:simplePos x="0" y="0"/>
          <wp:positionH relativeFrom="column">
            <wp:posOffset>-1010917</wp:posOffset>
          </wp:positionH>
          <wp:positionV relativeFrom="paragraph">
            <wp:posOffset>-276222</wp:posOffset>
          </wp:positionV>
          <wp:extent cx="7635240" cy="9942830"/>
          <wp:effectExtent l="0" t="0" r="0" b="0"/>
          <wp:wrapNone/>
          <wp:docPr id="6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6"/>
      <w:tblW w:w="6460" w:type="dxa"/>
      <w:tblInd w:w="2612" w:type="dxa"/>
      <w:tblLayout w:type="fixed"/>
      <w:tblLook w:val="0400" w:firstRow="0" w:lastRow="0" w:firstColumn="0" w:lastColumn="0" w:noHBand="0" w:noVBand="1"/>
    </w:tblPr>
    <w:tblGrid>
      <w:gridCol w:w="2551"/>
      <w:gridCol w:w="3909"/>
    </w:tblGrid>
    <w:tr w:rsidR="00954120" w14:paraId="6528E2CC" w14:textId="77777777">
      <w:tc>
        <w:tcPr>
          <w:tcW w:w="2551" w:type="dxa"/>
          <w:vAlign w:val="center"/>
        </w:tcPr>
        <w:p w14:paraId="1196E32D" w14:textId="77777777" w:rsidR="00954120" w:rsidRDefault="003A287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9" w:type="dxa"/>
          <w:vAlign w:val="center"/>
        </w:tcPr>
        <w:p w14:paraId="6495E2C1" w14:textId="77777777" w:rsidR="00954120" w:rsidRDefault="003A287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11274/INFOEM/ICR-78/IP/RR/2022</w:t>
          </w:r>
        </w:p>
      </w:tc>
    </w:tr>
    <w:tr w:rsidR="00954120" w14:paraId="42602325" w14:textId="77777777">
      <w:tc>
        <w:tcPr>
          <w:tcW w:w="2551" w:type="dxa"/>
          <w:vAlign w:val="center"/>
        </w:tcPr>
        <w:p w14:paraId="6C91A065" w14:textId="77777777" w:rsidR="00954120" w:rsidRDefault="003A287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9" w:type="dxa"/>
          <w:vAlign w:val="center"/>
        </w:tcPr>
        <w:p w14:paraId="29C33F4D" w14:textId="77777777" w:rsidR="00954120" w:rsidRDefault="00954120">
          <w:pPr>
            <w:ind w:left="-45"/>
            <w:jc w:val="both"/>
            <w:rPr>
              <w:rFonts w:ascii="Palatino Linotype" w:eastAsia="Palatino Linotype" w:hAnsi="Palatino Linotype" w:cs="Palatino Linotype"/>
              <w:b/>
              <w:sz w:val="22"/>
              <w:szCs w:val="22"/>
            </w:rPr>
          </w:pPr>
        </w:p>
      </w:tc>
    </w:tr>
    <w:tr w:rsidR="00954120" w14:paraId="54EBFD38" w14:textId="77777777">
      <w:trPr>
        <w:trHeight w:val="228"/>
      </w:trPr>
      <w:tc>
        <w:tcPr>
          <w:tcW w:w="2551" w:type="dxa"/>
          <w:vAlign w:val="center"/>
        </w:tcPr>
        <w:p w14:paraId="7D3128CA" w14:textId="77777777" w:rsidR="00954120" w:rsidRDefault="003A287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9" w:type="dxa"/>
          <w:vAlign w:val="center"/>
        </w:tcPr>
        <w:p w14:paraId="61F6D23B" w14:textId="77777777" w:rsidR="00954120" w:rsidRDefault="003A2877">
          <w:pPr>
            <w:ind w:right="458"/>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Metepec</w:t>
          </w:r>
        </w:p>
      </w:tc>
    </w:tr>
    <w:tr w:rsidR="00954120" w14:paraId="1389F951" w14:textId="77777777">
      <w:tc>
        <w:tcPr>
          <w:tcW w:w="2551" w:type="dxa"/>
          <w:vAlign w:val="center"/>
        </w:tcPr>
        <w:p w14:paraId="7C5E3ABC" w14:textId="77777777" w:rsidR="00954120" w:rsidRDefault="003A287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9" w:type="dxa"/>
          <w:vAlign w:val="center"/>
        </w:tcPr>
        <w:p w14:paraId="460045FE" w14:textId="77777777" w:rsidR="00954120" w:rsidRDefault="003A287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2E5C50" w14:textId="77777777" w:rsidR="00954120" w:rsidRDefault="00954120">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31A5F" w14:textId="77777777" w:rsidR="00954120" w:rsidRDefault="003A2877">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32C783A2" w14:textId="77777777" w:rsidR="00954120" w:rsidRDefault="0095412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91133"/>
    <w:multiLevelType w:val="multilevel"/>
    <w:tmpl w:val="15221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AC67074"/>
    <w:multiLevelType w:val="multilevel"/>
    <w:tmpl w:val="A7DA028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126E2F8F"/>
    <w:multiLevelType w:val="multilevel"/>
    <w:tmpl w:val="8710F1EA"/>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192965C3"/>
    <w:multiLevelType w:val="multilevel"/>
    <w:tmpl w:val="662AE5A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nsid w:val="332015FA"/>
    <w:multiLevelType w:val="multilevel"/>
    <w:tmpl w:val="AE3E2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5D959FD"/>
    <w:multiLevelType w:val="multilevel"/>
    <w:tmpl w:val="135E41F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56B35264"/>
    <w:multiLevelType w:val="multilevel"/>
    <w:tmpl w:val="129AD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3306280"/>
    <w:multiLevelType w:val="multilevel"/>
    <w:tmpl w:val="10D05A2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5"/>
  </w:num>
  <w:num w:numId="2">
    <w:abstractNumId w:val="6"/>
  </w:num>
  <w:num w:numId="3">
    <w:abstractNumId w:val="7"/>
  </w:num>
  <w:num w:numId="4">
    <w:abstractNumId w:val="2"/>
  </w:num>
  <w:num w:numId="5">
    <w:abstractNumId w:val="3"/>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120"/>
    <w:rsid w:val="001624AE"/>
    <w:rsid w:val="00200609"/>
    <w:rsid w:val="0026648D"/>
    <w:rsid w:val="003A2877"/>
    <w:rsid w:val="005155DE"/>
    <w:rsid w:val="0058418E"/>
    <w:rsid w:val="005A0CA2"/>
    <w:rsid w:val="006936E0"/>
    <w:rsid w:val="008C74B5"/>
    <w:rsid w:val="008E391D"/>
    <w:rsid w:val="00954120"/>
    <w:rsid w:val="00AE1307"/>
    <w:rsid w:val="00B42D85"/>
    <w:rsid w:val="00D340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64AEF"/>
  <w15:docId w15:val="{107DE3D3-5A81-45B8-BAE3-59EB39C27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tblPr>
      <w:tblStyleRowBandSize w:val="1"/>
      <w:tblStyleColBandSize w:val="1"/>
      <w:tblCellMar>
        <w:top w:w="0" w:type="dxa"/>
        <w:left w:w="115" w:type="dxa"/>
        <w:bottom w:w="0" w:type="dxa"/>
        <w:right w:w="115" w:type="dxa"/>
      </w:tblCellMar>
    </w:tbl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
    <w:tblPr>
      <w:tblStyleRowBandSize w:val="1"/>
      <w:tblStyleColBandSize w:val="1"/>
      <w:tblCellMar>
        <w:top w:w="0" w:type="dxa"/>
        <w:left w:w="115" w:type="dxa"/>
        <w:bottom w:w="0" w:type="dxa"/>
        <w:right w:w="115" w:type="dxa"/>
      </w:tblCellMar>
    </w:tblPr>
  </w:style>
  <w:style w:type="table" w:customStyle="1" w:styleId="3">
    <w:name w:val="3"/>
    <w:basedOn w:val="TableNormal3"/>
    <w:tblPr>
      <w:tblStyleRowBandSize w:val="1"/>
      <w:tblStyleColBandSize w:val="1"/>
      <w:tblCellMar>
        <w:top w:w="0" w:type="dxa"/>
        <w:left w:w="115" w:type="dxa"/>
        <w:bottom w:w="0" w:type="dxa"/>
        <w:right w:w="115" w:type="dxa"/>
      </w:tblCellMar>
    </w:tblPr>
  </w:style>
  <w:style w:type="table" w:customStyle="1" w:styleId="2">
    <w:name w:val="2"/>
    <w:basedOn w:val="TableNormal4"/>
    <w:tblPr>
      <w:tblStyleRowBandSize w:val="1"/>
      <w:tblStyleColBandSize w:val="1"/>
      <w:tblCellMar>
        <w:top w:w="0" w:type="dxa"/>
        <w:left w:w="115" w:type="dxa"/>
        <w:bottom w:w="0" w:type="dxa"/>
        <w:right w:w="115" w:type="dxa"/>
      </w:tblCellMar>
    </w:tblPr>
  </w:style>
  <w:style w:type="table" w:customStyle="1" w:styleId="1">
    <w:name w:val="1"/>
    <w:basedOn w:val="TableNormal4"/>
    <w:tblPr>
      <w:tblStyleRowBandSize w:val="1"/>
      <w:tblStyleColBandSize w:val="1"/>
      <w:tblCellMar>
        <w:top w:w="0" w:type="dxa"/>
        <w:left w:w="115" w:type="dxa"/>
        <w:bottom w:w="0"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igecem.edomex.gob.mx/padron-catastra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8.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L1yqN8uJPvcBJQmC9LlDKQuJw6w==">AMUW2mUNKbBiDIU1AmmmRYXjUm99sa6KSj6avm2QwK/xpFuLTJHOp1/jpm69+X9ua5qNPPesAXUwwtou0Cqj4Gpbz+lxEkf2W2eFHus3WgTKlfapSnCZQWxDA9jmTi9siE9wR7GhhF7udHg0DNeo3Nkx0sHDRdKIaw0HJMHSiy7PwBaD2jwtov2yEI3AT8QGtzOrhH2RCClo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12714</Words>
  <Characters>69929</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2</cp:revision>
  <cp:lastPrinted>2023-02-03T18:12:00Z</cp:lastPrinted>
  <dcterms:created xsi:type="dcterms:W3CDTF">2023-02-08T19:02:00Z</dcterms:created>
  <dcterms:modified xsi:type="dcterms:W3CDTF">2023-02-08T19:02:00Z</dcterms:modified>
</cp:coreProperties>
</file>