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327D"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242BA" w:rsidRPr="00FB27AF">
        <w:rPr>
          <w:rFonts w:ascii="Palatino Linotype" w:eastAsia="Palatino Linotype" w:hAnsi="Palatino Linotype" w:cs="Palatino Linotype"/>
        </w:rPr>
        <w:t xml:space="preserve">veintiuno </w:t>
      </w:r>
      <w:r w:rsidRPr="00FB27AF">
        <w:rPr>
          <w:rFonts w:ascii="Palatino Linotype" w:eastAsia="Palatino Linotype" w:hAnsi="Palatino Linotype" w:cs="Palatino Linotype"/>
        </w:rPr>
        <w:t xml:space="preserve">de junio de dos mil veintitrés. </w:t>
      </w:r>
    </w:p>
    <w:p w14:paraId="6E4BA7A5"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b/>
        </w:rPr>
        <w:t>VISTO</w:t>
      </w:r>
      <w:r w:rsidRPr="00FB27AF">
        <w:rPr>
          <w:rFonts w:ascii="Palatino Linotype" w:eastAsia="Palatino Linotype" w:hAnsi="Palatino Linotype" w:cs="Palatino Linotype"/>
        </w:rPr>
        <w:t xml:space="preserve"> el expediente formado con motivo del recurso de revisión </w:t>
      </w:r>
      <w:r w:rsidR="00A242BA" w:rsidRPr="00FB27AF">
        <w:rPr>
          <w:rFonts w:ascii="Palatino Linotype" w:eastAsia="Palatino Linotype" w:hAnsi="Palatino Linotype" w:cs="Palatino Linotype"/>
          <w:b/>
        </w:rPr>
        <w:t>17</w:t>
      </w:r>
      <w:r w:rsidR="007E3DD7" w:rsidRPr="00FB27AF">
        <w:rPr>
          <w:rFonts w:ascii="Palatino Linotype" w:eastAsia="Palatino Linotype" w:hAnsi="Palatino Linotype" w:cs="Palatino Linotype"/>
          <w:b/>
        </w:rPr>
        <w:t>129</w:t>
      </w:r>
      <w:r w:rsidRPr="00FB27AF">
        <w:rPr>
          <w:rFonts w:ascii="Palatino Linotype" w:eastAsia="Palatino Linotype" w:hAnsi="Palatino Linotype" w:cs="Palatino Linotype"/>
          <w:b/>
        </w:rPr>
        <w:t>/INFOEM/IP/RR/2022</w:t>
      </w:r>
      <w:r w:rsidRPr="00FB27AF">
        <w:rPr>
          <w:rFonts w:ascii="Palatino Linotype" w:eastAsia="Palatino Linotype" w:hAnsi="Palatino Linotype" w:cs="Palatino Linotype"/>
        </w:rPr>
        <w:t>, interpuesto por</w:t>
      </w:r>
      <w:r w:rsidRPr="00FB27AF">
        <w:rPr>
          <w:rFonts w:ascii="Palatino Linotype" w:eastAsia="Palatino Linotype" w:hAnsi="Palatino Linotype" w:cs="Palatino Linotype"/>
          <w:b/>
        </w:rPr>
        <w:t xml:space="preserve"> </w:t>
      </w:r>
      <w:r w:rsidR="007E3DD7" w:rsidRPr="00FB27AF">
        <w:rPr>
          <w:rFonts w:ascii="Palatino Linotype" w:eastAsia="Palatino Linotype" w:hAnsi="Palatino Linotype" w:cs="Palatino Linotype"/>
          <w:b/>
        </w:rPr>
        <w:t>un particular que no proporcionó nombre o seudónimo</w:t>
      </w:r>
      <w:r w:rsidRPr="00FB27AF">
        <w:rPr>
          <w:rFonts w:ascii="Palatino Linotype" w:eastAsia="Palatino Linotype" w:hAnsi="Palatino Linotype" w:cs="Palatino Linotype"/>
        </w:rPr>
        <w:t>, en lo sucesivo</w:t>
      </w:r>
      <w:r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rPr>
        <w:t xml:space="preserve">la parte </w:t>
      </w:r>
      <w:r w:rsidRPr="00FB27AF">
        <w:rPr>
          <w:rFonts w:ascii="Palatino Linotype" w:eastAsia="Palatino Linotype" w:hAnsi="Palatino Linotype" w:cs="Palatino Linotype"/>
          <w:b/>
        </w:rPr>
        <w:t>Recurrente,</w:t>
      </w:r>
      <w:r w:rsidRPr="00FB27AF">
        <w:rPr>
          <w:rFonts w:ascii="Palatino Linotype" w:eastAsia="Palatino Linotype" w:hAnsi="Palatino Linotype" w:cs="Palatino Linotype"/>
        </w:rPr>
        <w:t xml:space="preserve"> en contra de la respue</w:t>
      </w:r>
      <w:r w:rsidR="007E3DD7" w:rsidRPr="00FB27AF">
        <w:rPr>
          <w:rFonts w:ascii="Palatino Linotype" w:eastAsia="Palatino Linotype" w:hAnsi="Palatino Linotype" w:cs="Palatino Linotype"/>
        </w:rPr>
        <w:t xml:space="preserve">sta a su solicitud por parte del </w:t>
      </w:r>
      <w:r w:rsidR="007E3DD7" w:rsidRPr="00FB27AF">
        <w:rPr>
          <w:rFonts w:ascii="Palatino Linotype" w:eastAsia="Palatino Linotype" w:hAnsi="Palatino Linotype" w:cs="Palatino Linotype"/>
          <w:b/>
        </w:rPr>
        <w:t>Sistema Municipal Para el Desarrollo Integral de la Familia de Coacalco de Berriozábal</w:t>
      </w:r>
      <w:r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rPr>
        <w:t xml:space="preserve">en lo sucesivo el </w:t>
      </w:r>
      <w:r w:rsidRPr="00FB27AF">
        <w:rPr>
          <w:rFonts w:ascii="Palatino Linotype" w:eastAsia="Palatino Linotype" w:hAnsi="Palatino Linotype" w:cs="Palatino Linotype"/>
          <w:b/>
        </w:rPr>
        <w:t xml:space="preserve">Sujeto Obligado, </w:t>
      </w:r>
      <w:r w:rsidRPr="00FB27AF">
        <w:rPr>
          <w:rFonts w:ascii="Palatino Linotype" w:eastAsia="Palatino Linotype" w:hAnsi="Palatino Linotype" w:cs="Palatino Linotype"/>
        </w:rPr>
        <w:t xml:space="preserve">se procede a dictar la presente resolución con base en los siguientes: </w:t>
      </w:r>
    </w:p>
    <w:p w14:paraId="676B54A8" w14:textId="77777777" w:rsidR="000C6F0F" w:rsidRPr="00FB27AF" w:rsidRDefault="00B949B2">
      <w:pPr>
        <w:spacing w:before="240" w:after="240" w:line="360" w:lineRule="auto"/>
        <w:jc w:val="center"/>
        <w:rPr>
          <w:rFonts w:ascii="Palatino Linotype" w:eastAsia="Palatino Linotype" w:hAnsi="Palatino Linotype" w:cs="Palatino Linotype"/>
          <w:b/>
        </w:rPr>
      </w:pPr>
      <w:r w:rsidRPr="00FB27AF">
        <w:rPr>
          <w:rFonts w:ascii="Palatino Linotype" w:eastAsia="Palatino Linotype" w:hAnsi="Palatino Linotype" w:cs="Palatino Linotype"/>
          <w:b/>
        </w:rPr>
        <w:t>I. A N T E C E D E N T E S</w:t>
      </w:r>
    </w:p>
    <w:p w14:paraId="1B9BAAA4"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b/>
        </w:rPr>
        <w:t>1. Solicitud de acceso a la información.</w:t>
      </w:r>
      <w:r w:rsidRPr="00FB27AF">
        <w:rPr>
          <w:rFonts w:ascii="Palatino Linotype" w:eastAsia="Palatino Linotype" w:hAnsi="Palatino Linotype" w:cs="Palatino Linotype"/>
        </w:rPr>
        <w:t xml:space="preserve"> Con fecha </w:t>
      </w:r>
      <w:r w:rsidR="007E3DD7" w:rsidRPr="00FB27AF">
        <w:rPr>
          <w:rFonts w:ascii="Palatino Linotype" w:eastAsia="Palatino Linotype" w:hAnsi="Palatino Linotype" w:cs="Palatino Linotype"/>
          <w:b/>
        </w:rPr>
        <w:t>nueve</w:t>
      </w:r>
      <w:r w:rsidR="00A242BA" w:rsidRPr="00FB27AF">
        <w:rPr>
          <w:rFonts w:ascii="Palatino Linotype" w:eastAsia="Palatino Linotype" w:hAnsi="Palatino Linotype" w:cs="Palatino Linotype"/>
          <w:b/>
        </w:rPr>
        <w:t xml:space="preserve"> de noviembre</w:t>
      </w:r>
      <w:r w:rsidRPr="00FB27AF">
        <w:rPr>
          <w:rFonts w:ascii="Palatino Linotype" w:eastAsia="Palatino Linotype" w:hAnsi="Palatino Linotype" w:cs="Palatino Linotype"/>
          <w:b/>
        </w:rPr>
        <w:t xml:space="preserve"> de </w:t>
      </w:r>
      <w:r w:rsidR="00A242BA" w:rsidRPr="00FB27AF">
        <w:rPr>
          <w:rFonts w:ascii="Palatino Linotype" w:eastAsia="Palatino Linotype" w:hAnsi="Palatino Linotype" w:cs="Palatino Linotype"/>
          <w:b/>
        </w:rPr>
        <w:t xml:space="preserve">dos mil </w:t>
      </w:r>
      <w:r w:rsidR="00BE16BC" w:rsidRPr="00FB27AF">
        <w:rPr>
          <w:rFonts w:ascii="Palatino Linotype" w:eastAsia="Palatino Linotype" w:hAnsi="Palatino Linotype" w:cs="Palatino Linotype"/>
          <w:b/>
        </w:rPr>
        <w:t>veintidós,</w:t>
      </w:r>
      <w:r w:rsidRPr="00FB27AF">
        <w:rPr>
          <w:rFonts w:ascii="Palatino Linotype" w:eastAsia="Palatino Linotype" w:hAnsi="Palatino Linotype" w:cs="Palatino Linotype"/>
        </w:rPr>
        <w:t xml:space="preserve"> la parte </w:t>
      </w:r>
      <w:r w:rsidRPr="00FB27AF">
        <w:rPr>
          <w:rFonts w:ascii="Palatino Linotype" w:eastAsia="Palatino Linotype" w:hAnsi="Palatino Linotype" w:cs="Palatino Linotype"/>
          <w:b/>
        </w:rPr>
        <w:t xml:space="preserve">Recurrente </w:t>
      </w:r>
      <w:r w:rsidRPr="00FB27AF">
        <w:rPr>
          <w:rFonts w:ascii="Palatino Linotype" w:eastAsia="Palatino Linotype" w:hAnsi="Palatino Linotype" w:cs="Palatino Linotype"/>
        </w:rPr>
        <w:t xml:space="preserve">presentó, a través del Sistema de Acceso a la Información Mexiquense, en lo subsecuente el </w:t>
      </w:r>
      <w:r w:rsidRPr="00FB27AF">
        <w:rPr>
          <w:rFonts w:ascii="Palatino Linotype" w:eastAsia="Palatino Linotype" w:hAnsi="Palatino Linotype" w:cs="Palatino Linotype"/>
          <w:b/>
        </w:rPr>
        <w:t>SAIMEX,</w:t>
      </w:r>
      <w:r w:rsidRPr="00FB27AF">
        <w:rPr>
          <w:rFonts w:ascii="Palatino Linotype" w:eastAsia="Palatino Linotype" w:hAnsi="Palatino Linotype" w:cs="Palatino Linotype"/>
        </w:rPr>
        <w:t xml:space="preserve"> ante el </w:t>
      </w:r>
      <w:r w:rsidRPr="00FB27AF">
        <w:rPr>
          <w:rFonts w:ascii="Palatino Linotype" w:eastAsia="Palatino Linotype" w:hAnsi="Palatino Linotype" w:cs="Palatino Linotype"/>
          <w:b/>
        </w:rPr>
        <w:t>Sujeto Obligado</w:t>
      </w:r>
      <w:r w:rsidRPr="00FB27AF">
        <w:rPr>
          <w:rFonts w:ascii="Palatino Linotype" w:eastAsia="Palatino Linotype" w:hAnsi="Palatino Linotype" w:cs="Palatino Linotype"/>
        </w:rPr>
        <w:t>, la solicitud de acceso a la información pública, a la que se le asignó el número</w:t>
      </w:r>
      <w:r w:rsidRPr="00FB27AF">
        <w:rPr>
          <w:rFonts w:ascii="Palatino Linotype" w:eastAsia="Palatino Linotype" w:hAnsi="Palatino Linotype" w:cs="Palatino Linotype"/>
          <w:b/>
        </w:rPr>
        <w:t xml:space="preserve"> </w:t>
      </w:r>
      <w:r w:rsidR="007E3DD7" w:rsidRPr="00FB27AF">
        <w:rPr>
          <w:rFonts w:ascii="Palatino Linotype" w:eastAsia="Palatino Linotype" w:hAnsi="Palatino Linotype" w:cs="Palatino Linotype"/>
          <w:b/>
        </w:rPr>
        <w:t>00024/DIFCOACALC/IP/2022</w:t>
      </w:r>
      <w:r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rPr>
        <w:t xml:space="preserve">mediante la cual requirió la información siguiente: </w:t>
      </w:r>
    </w:p>
    <w:p w14:paraId="3DEE27DA" w14:textId="77777777" w:rsidR="000C6F0F" w:rsidRPr="00FB27AF" w:rsidRDefault="00B949B2">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FB27AF">
        <w:rPr>
          <w:rFonts w:ascii="Palatino Linotype" w:eastAsia="Palatino Linotype" w:hAnsi="Palatino Linotype" w:cs="Palatino Linotype"/>
          <w:i/>
          <w:sz w:val="22"/>
          <w:szCs w:val="22"/>
        </w:rPr>
        <w:t xml:space="preserve"> “</w:t>
      </w:r>
      <w:r w:rsidR="007E3DD7" w:rsidRPr="00FB27AF">
        <w:rPr>
          <w:rFonts w:ascii="Palatino Linotype" w:eastAsia="Palatino Linotype" w:hAnsi="Palatino Linotype" w:cs="Palatino Linotype"/>
          <w:i/>
          <w:sz w:val="22"/>
          <w:szCs w:val="22"/>
        </w:rPr>
        <w:t xml:space="preserve">Solicito a través de este medio, justifique la relación entre el personal del DIF Coacalco y la Diputada Local Ana Karen Santamaría, esto </w:t>
      </w:r>
      <w:r w:rsidR="007E3DD7" w:rsidRPr="00FB27AF">
        <w:rPr>
          <w:rFonts w:ascii="Palatino Linotype" w:eastAsia="Palatino Linotype" w:hAnsi="Palatino Linotype" w:cs="Palatino Linotype"/>
          <w:b/>
          <w:i/>
          <w:sz w:val="22"/>
          <w:szCs w:val="22"/>
          <w:u w:val="single"/>
        </w:rPr>
        <w:t>porqué han asistido a eventos públicos</w:t>
      </w:r>
      <w:r w:rsidR="007E3DD7" w:rsidRPr="00FB27AF">
        <w:rPr>
          <w:rFonts w:ascii="Palatino Linotype" w:eastAsia="Palatino Linotype" w:hAnsi="Palatino Linotype" w:cs="Palatino Linotype"/>
          <w:i/>
          <w:sz w:val="22"/>
          <w:szCs w:val="22"/>
        </w:rPr>
        <w:t xml:space="preserve"> en horario laboral como el día de ayer, 9 de noviembre del 2022. Asimismo, justifiquen las horas de entrada y salida del día de ayer según el biométrico. Lo anterior, deberá ser remitido en PDF por SAIMEX debido a que soy una persona con discapacidad motriz que me impide salir de mi domicilio. </w:t>
      </w:r>
      <w:r w:rsidR="007E3DD7" w:rsidRPr="00FB27AF">
        <w:rPr>
          <w:rFonts w:ascii="Palatino Linotype" w:eastAsia="Palatino Linotype" w:hAnsi="Palatino Linotype" w:cs="Palatino Linotype"/>
          <w:i/>
          <w:sz w:val="22"/>
          <w:szCs w:val="22"/>
        </w:rPr>
        <w:lastRenderedPageBreak/>
        <w:t>Esperando su respuesta, pido que se respete mi derecho al acceso a la información pública.</w:t>
      </w:r>
      <w:r w:rsidRPr="00FB27AF">
        <w:rPr>
          <w:rFonts w:ascii="Palatino Linotype" w:eastAsia="Palatino Linotype" w:hAnsi="Palatino Linotype" w:cs="Palatino Linotype"/>
          <w:b/>
          <w:i/>
          <w:sz w:val="22"/>
          <w:szCs w:val="22"/>
        </w:rPr>
        <w:t>”</w:t>
      </w:r>
      <w:r w:rsidRPr="00FB27AF">
        <w:rPr>
          <w:rFonts w:ascii="Palatino Linotype" w:eastAsia="Palatino Linotype" w:hAnsi="Palatino Linotype" w:cs="Palatino Linotype"/>
          <w:i/>
          <w:sz w:val="22"/>
          <w:szCs w:val="22"/>
        </w:rPr>
        <w:t xml:space="preserve"> (sic) </w:t>
      </w:r>
    </w:p>
    <w:p w14:paraId="747B9A9A" w14:textId="77777777" w:rsidR="007E3DD7" w:rsidRPr="00FB27AF" w:rsidRDefault="007E3DD7">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La persona solicitante adjuntó una imagen que contiene palabras de felicitación a la Diputada Ana Karen Santamaría, así como la captura de pantalla de una publicación en el perfil de la Diputada Ana Karen </w:t>
      </w:r>
      <w:r w:rsidR="00DB1814" w:rsidRPr="00FB27AF">
        <w:rPr>
          <w:rFonts w:ascii="Palatino Linotype" w:eastAsia="Palatino Linotype" w:hAnsi="Palatino Linotype" w:cs="Palatino Linotype"/>
        </w:rPr>
        <w:t xml:space="preserve">Guadarrama </w:t>
      </w:r>
      <w:r w:rsidRPr="00FB27AF">
        <w:rPr>
          <w:rFonts w:ascii="Palatino Linotype" w:eastAsia="Palatino Linotype" w:hAnsi="Palatino Linotype" w:cs="Palatino Linotype"/>
        </w:rPr>
        <w:t>Santamaría en la red social Twitter.</w:t>
      </w:r>
    </w:p>
    <w:p w14:paraId="44E6FFEE"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b/>
        </w:rPr>
        <w:t>Modalidad de Entrega:</w:t>
      </w:r>
      <w:r w:rsidRPr="00FB27AF">
        <w:rPr>
          <w:rFonts w:ascii="Palatino Linotype" w:eastAsia="Palatino Linotype" w:hAnsi="Palatino Linotype" w:cs="Palatino Linotype"/>
        </w:rPr>
        <w:t xml:space="preserve"> a través </w:t>
      </w:r>
      <w:r w:rsidRPr="00FB27AF">
        <w:rPr>
          <w:rFonts w:ascii="Palatino Linotype" w:eastAsia="Palatino Linotype" w:hAnsi="Palatino Linotype" w:cs="Palatino Linotype"/>
          <w:b/>
        </w:rPr>
        <w:t>de SAIMEX</w:t>
      </w:r>
    </w:p>
    <w:p w14:paraId="6CF51C35" w14:textId="77777777" w:rsidR="000C6F0F" w:rsidRPr="00FB27AF" w:rsidRDefault="00B949B2">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FB27AF">
        <w:rPr>
          <w:rFonts w:ascii="Palatino Linotype" w:eastAsia="Palatino Linotype" w:hAnsi="Palatino Linotype" w:cs="Palatino Linotype"/>
          <w:b/>
        </w:rPr>
        <w:t xml:space="preserve">2. </w:t>
      </w:r>
      <w:r w:rsidR="007E3DD7" w:rsidRPr="00FB27AF">
        <w:rPr>
          <w:rFonts w:ascii="Palatino Linotype" w:eastAsia="Palatino Linotype" w:hAnsi="Palatino Linotype" w:cs="Palatino Linotype"/>
          <w:b/>
        </w:rPr>
        <w:t>Respuesta</w:t>
      </w:r>
      <w:r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rPr>
        <w:t>Con fecha</w:t>
      </w:r>
      <w:r w:rsidRPr="00FB27AF">
        <w:rPr>
          <w:rFonts w:ascii="Palatino Linotype" w:eastAsia="Palatino Linotype" w:hAnsi="Palatino Linotype" w:cs="Palatino Linotype"/>
          <w:b/>
        </w:rPr>
        <w:t xml:space="preserve"> </w:t>
      </w:r>
      <w:r w:rsidR="007E3DD7" w:rsidRPr="00FB27AF">
        <w:rPr>
          <w:rFonts w:ascii="Palatino Linotype" w:eastAsia="Palatino Linotype" w:hAnsi="Palatino Linotype" w:cs="Palatino Linotype"/>
          <w:b/>
        </w:rPr>
        <w:t>uno de diciembre</w:t>
      </w:r>
      <w:r w:rsidR="00A242BA"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b/>
        </w:rPr>
        <w:t>de dos mil veintidós</w:t>
      </w:r>
      <w:r w:rsidRPr="00FB27AF">
        <w:rPr>
          <w:rFonts w:ascii="Palatino Linotype" w:eastAsia="Palatino Linotype" w:hAnsi="Palatino Linotype" w:cs="Palatino Linotype"/>
        </w:rPr>
        <w:t xml:space="preserve">, el </w:t>
      </w:r>
      <w:r w:rsidRPr="00FB27AF">
        <w:rPr>
          <w:rFonts w:ascii="Palatino Linotype" w:eastAsia="Palatino Linotype" w:hAnsi="Palatino Linotype" w:cs="Palatino Linotype"/>
          <w:b/>
        </w:rPr>
        <w:t xml:space="preserve">Sujeto Obligado </w:t>
      </w:r>
      <w:r w:rsidRPr="00FB27AF">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24819CA" w14:textId="77777777" w:rsidR="000C6F0F" w:rsidRPr="00FB27AF" w:rsidRDefault="00B949B2" w:rsidP="00212CB5">
      <w:pPr>
        <w:ind w:left="851" w:right="902"/>
        <w:jc w:val="both"/>
        <w:rPr>
          <w:rFonts w:ascii="Palatino Linotype" w:hAnsi="Palatino Linotype"/>
          <w:i/>
          <w:sz w:val="22"/>
          <w:szCs w:val="22"/>
        </w:rPr>
      </w:pPr>
      <w:r w:rsidRPr="00FB27AF">
        <w:rPr>
          <w:rFonts w:ascii="Palatino Linotype" w:eastAsia="Palatino Linotype" w:hAnsi="Palatino Linotype" w:cs="Palatino Linotype"/>
          <w:i/>
          <w:sz w:val="22"/>
          <w:szCs w:val="22"/>
        </w:rPr>
        <w:t>“…</w:t>
      </w:r>
      <w:r w:rsidR="00ED3BC6" w:rsidRPr="00FB27AF">
        <w:rPr>
          <w:rFonts w:ascii="Palatino Linotype" w:hAnsi="Palatino Linotype"/>
          <w:i/>
          <w:sz w:val="22"/>
          <w:szCs w:val="22"/>
        </w:rPr>
        <w:t xml:space="preserve">Con fundamento en lo dispuesto por los artículos 12 párrafo segundo, 19 párrafo primero, 23 fracción IV, 24 párrafo tercero, 162 de la Ley de Transparencia y Acceso a la Información Pública del Estado de México y Municipios, y de acuerdo con la información proporcionada por la Subdirección de Administración del Sistema Municipal para el Desarrollo Integral de la Familia (DIF) del Municipio de Coacalco de Berriozábal, me permito informarle lo siguiente: Al respecto se rinde el siguiente informe Con fundamento en lo dispuesto por los artículos 3 fracción XXXIX, 12 párrafo segundo, 19 párrafo primero y 59 fracciones I, II y III y 162 de la Ley de Transparencia y Acceso a la Información Pública del Estado de México y Municipios, y de acuerdo con la información que obra en los archivos de la Subdirección de Administración del Sistema Municipal DIF, me permito informarle lo siguiente: Respecto a su requerimiento, de información comento a usted que el horario laboral de este organismo descentralizado se establece de conformidad con lo dispuesto en los artículos 59 y 60 de Ley del Trabajo de los Servidores Públicos del Estado y Municipios, así como establece los artículos 42, 43, 44, 45 y 46 del Reglamento Interno del Sistema Municipal para el Desarrollo Integral de la Familia de Coacalco de Berriozábal respecto de la integración de la administración pública del SMDIF y de las atribuciones genéricas para subdirectores de área y </w:t>
      </w:r>
      <w:r w:rsidR="00ED3BC6" w:rsidRPr="00FB27AF">
        <w:rPr>
          <w:rFonts w:ascii="Palatino Linotype" w:hAnsi="Palatino Linotype"/>
          <w:i/>
          <w:sz w:val="22"/>
          <w:szCs w:val="22"/>
        </w:rPr>
        <w:lastRenderedPageBreak/>
        <w:t xml:space="preserve">departamentos Ley del Trabajo de los Servidores Públicos del Estado y Municipios ARTICULO 59.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 ARTICULO 60. La jornada de trabajo puede ser diurna, nocturna o mixta, conforme a lo siguiente: I. Diurna, la comprendida entre las seis y las veinte horas; II. Nocturna, la comprendida entre las veinte y las seis horas; y III. Mixta, la que comprenda períodos de tiempo de las jornadas diurna y nocturna, siempre que el período nocturno sea menor de tres horas y media, pues en caso contrario, se considerará como jornada nocturna. Reglamento Interno del Sistema Municipal para el Desarrollo Integral de la Familia de Coacalco de Berriozábal Artículo 42.-En el ejercicio de sus atribuciones y para el despacho eficiente y eficaz de las responsabilidades del SMDIF, éste contará con las siguientes unidades administrativas: I. Presidencia del SMDIF; II. Dirección General; III. Secretaría Técnica; IV. Órgano Interno de Control; V. Subdirección de Administración; VI. Subdirección de Bienestar Familiar; VII. Subdirección Médica; VIII. Procuraduría de Protección de Niñas, Niños y Adolescentes; IX. Tesorería; y la X. Subdirección Jurídica Consultiva; De manera adicional el SMDIF se auxiliará de los órganos técnicos y administrativos necesarios para el cumplimiento de sus atribuciones, de acuerdo con la normativa aplicable, estructura orgánica y presupuesto autorizado. DE LAS ATRIBUCIONES GENÉRICAS PARA SUBDIRECCIONES DE ÁREA Y DEPARTAMENTOS Artículo 43.- Al frente de cada Subdirección, Procuraduría, Órgano Interno de Control, </w:t>
      </w:r>
      <w:proofErr w:type="gramStart"/>
      <w:r w:rsidR="00ED3BC6" w:rsidRPr="00FB27AF">
        <w:rPr>
          <w:rFonts w:ascii="Palatino Linotype" w:hAnsi="Palatino Linotype"/>
          <w:i/>
          <w:sz w:val="22"/>
          <w:szCs w:val="22"/>
        </w:rPr>
        <w:t>Secretaria Técnica</w:t>
      </w:r>
      <w:proofErr w:type="gramEnd"/>
      <w:r w:rsidR="00ED3BC6" w:rsidRPr="00FB27AF">
        <w:rPr>
          <w:rFonts w:ascii="Palatino Linotype" w:hAnsi="Palatino Linotype"/>
          <w:i/>
          <w:sz w:val="22"/>
          <w:szCs w:val="22"/>
        </w:rPr>
        <w:t xml:space="preserve">, Coordinación y Departamento habrá un titular, quien para el cumplimiento de sus atribuciones se auxiliará de los servidores públicos que las necesidades del servicio requieran, de acuerdo con la normatividad aplicable, estructura orgánica y presupuesto autorizados. El nombramiento y remoción de las y los titulares de las Subdirecciones, Procuraduría, Órgano Interno de Control, Secretaría Técnica y Tesorería serán autorizados por la Junta de Gobierno a propuesta de la o el </w:t>
      </w:r>
      <w:proofErr w:type="gramStart"/>
      <w:r w:rsidR="00ED3BC6" w:rsidRPr="00FB27AF">
        <w:rPr>
          <w:rFonts w:ascii="Palatino Linotype" w:hAnsi="Palatino Linotype"/>
          <w:i/>
          <w:sz w:val="22"/>
          <w:szCs w:val="22"/>
        </w:rPr>
        <w:t>Presidente</w:t>
      </w:r>
      <w:proofErr w:type="gramEnd"/>
      <w:r w:rsidR="00ED3BC6" w:rsidRPr="00FB27AF">
        <w:rPr>
          <w:rFonts w:ascii="Palatino Linotype" w:hAnsi="Palatino Linotype"/>
          <w:i/>
          <w:sz w:val="22"/>
          <w:szCs w:val="22"/>
        </w:rPr>
        <w:t xml:space="preserve"> de la Junta de Gobierno. Artículo 44.- Las Subdirecciones, Procuraduría, Órgano Interno de Control, </w:t>
      </w:r>
      <w:proofErr w:type="gramStart"/>
      <w:r w:rsidR="00ED3BC6" w:rsidRPr="00FB27AF">
        <w:rPr>
          <w:rFonts w:ascii="Palatino Linotype" w:hAnsi="Palatino Linotype"/>
          <w:i/>
          <w:sz w:val="22"/>
          <w:szCs w:val="22"/>
        </w:rPr>
        <w:t>Secretaria Técnica</w:t>
      </w:r>
      <w:proofErr w:type="gramEnd"/>
      <w:r w:rsidR="00ED3BC6" w:rsidRPr="00FB27AF">
        <w:rPr>
          <w:rFonts w:ascii="Palatino Linotype" w:hAnsi="Palatino Linotype"/>
          <w:i/>
          <w:sz w:val="22"/>
          <w:szCs w:val="22"/>
        </w:rPr>
        <w:t xml:space="preserve"> y Tesorería contarán a su vez con las unidades administrativas necesarias para su buen funcionamiento, cuyos responsables serán nombrados y removidos por la Dirección General, previo visto bueno de la Presidencia y conforme a la normatividad aplicable. Artículo 45.- A las Subdirecciones, </w:t>
      </w:r>
      <w:r w:rsidR="00ED3BC6" w:rsidRPr="00FB27AF">
        <w:rPr>
          <w:rFonts w:ascii="Palatino Linotype" w:hAnsi="Palatino Linotype"/>
          <w:i/>
          <w:sz w:val="22"/>
          <w:szCs w:val="22"/>
        </w:rPr>
        <w:lastRenderedPageBreak/>
        <w:t xml:space="preserve">Procuraduría, Órgano Interno de Control, </w:t>
      </w:r>
      <w:proofErr w:type="gramStart"/>
      <w:r w:rsidR="00ED3BC6" w:rsidRPr="00FB27AF">
        <w:rPr>
          <w:rFonts w:ascii="Palatino Linotype" w:hAnsi="Palatino Linotype"/>
          <w:i/>
          <w:sz w:val="22"/>
          <w:szCs w:val="22"/>
        </w:rPr>
        <w:t>Secretaria Técnica</w:t>
      </w:r>
      <w:proofErr w:type="gramEnd"/>
      <w:r w:rsidR="00ED3BC6" w:rsidRPr="00FB27AF">
        <w:rPr>
          <w:rFonts w:ascii="Palatino Linotype" w:hAnsi="Palatino Linotype"/>
          <w:i/>
          <w:sz w:val="22"/>
          <w:szCs w:val="22"/>
        </w:rPr>
        <w:t xml:space="preserve">, Tesorería y Coordinaciones corresponde originalmente la representación, trámite y resolución de los asuntos de su competencia y para la mejor distribución y desarrollo del trabajo, podrán conferir sus atribuciones delegables a servidores públicos subalternos, sin perjuicio de su ejercicio directo, siempre y cuando no contravenga las disposiciones legales aplicables. Para el ejercicio de sus atribuciones los titulares de las Subdirecciones, Procuraduría, Órgano Interno de Control, </w:t>
      </w:r>
      <w:proofErr w:type="gramStart"/>
      <w:r w:rsidR="00ED3BC6" w:rsidRPr="00FB27AF">
        <w:rPr>
          <w:rFonts w:ascii="Palatino Linotype" w:hAnsi="Palatino Linotype"/>
          <w:i/>
          <w:sz w:val="22"/>
          <w:szCs w:val="22"/>
        </w:rPr>
        <w:t>Secretaria Técnica</w:t>
      </w:r>
      <w:proofErr w:type="gramEnd"/>
      <w:r w:rsidR="00ED3BC6" w:rsidRPr="00FB27AF">
        <w:rPr>
          <w:rFonts w:ascii="Palatino Linotype" w:hAnsi="Palatino Linotype"/>
          <w:i/>
          <w:sz w:val="22"/>
          <w:szCs w:val="22"/>
        </w:rPr>
        <w:t xml:space="preserve">, Tesorería, Coordinaciones y Jefaturas de Departamento, deberán administrar los recursos humanos y financieros con eficiencia, eficacia, economía, transparencia y honradez para satisfacer los objetivos a los que estén destinados. Artículo 46.- Corresponde a los titulares de las Subdirecciones, Procuraduría, Órgano Interno de Control, </w:t>
      </w:r>
      <w:proofErr w:type="gramStart"/>
      <w:r w:rsidR="00ED3BC6" w:rsidRPr="00FB27AF">
        <w:rPr>
          <w:rFonts w:ascii="Palatino Linotype" w:hAnsi="Palatino Linotype"/>
          <w:i/>
          <w:sz w:val="22"/>
          <w:szCs w:val="22"/>
        </w:rPr>
        <w:t>Secretaria Técnica</w:t>
      </w:r>
      <w:proofErr w:type="gramEnd"/>
      <w:r w:rsidR="00ED3BC6" w:rsidRPr="00FB27AF">
        <w:rPr>
          <w:rFonts w:ascii="Palatino Linotype" w:hAnsi="Palatino Linotype"/>
          <w:i/>
          <w:sz w:val="22"/>
          <w:szCs w:val="22"/>
        </w:rPr>
        <w:t xml:space="preserve"> y Tesorería las siguientes atribuciones genéricas: I. Dirigir, planear, programar, presupuestar, organizar, ejecutar, controlar, evaluar y rendir cuentas de las acciones encomendadas a las unidades administrativas a su cargo, con base en los planes, programas y proyectos aprobados; II. Verificar que la planeación y programación de las Unidades Administrativas a su cargo guarden congruencia con el presupuesto autorizado y se encuentren alineados con los ODS; III. Integrar y remitir información, así como considerar dentro de su planeación y programación, acciones, en el ámbito de sus atribuciones, con el objeto de coadyuvar en las actividades del Sistema de Protección Integral de Niñas, Niños y Adolescentes (SIPINNA); IV. Acordar con su jefe inmediato o con quien éste designe, el despacho de los asuntos relevantes de su responsabilidad; V. Formular y ejecutar en el ámbito de su competencia el POA y </w:t>
      </w:r>
      <w:proofErr w:type="spellStart"/>
      <w:r w:rsidR="00ED3BC6" w:rsidRPr="00FB27AF">
        <w:rPr>
          <w:rFonts w:ascii="Palatino Linotype" w:hAnsi="Palatino Linotype"/>
          <w:i/>
          <w:sz w:val="22"/>
          <w:szCs w:val="22"/>
        </w:rPr>
        <w:t>PbRM</w:t>
      </w:r>
      <w:proofErr w:type="spellEnd"/>
      <w:r w:rsidR="00ED3BC6" w:rsidRPr="00FB27AF">
        <w:rPr>
          <w:rFonts w:ascii="Palatino Linotype" w:hAnsi="Palatino Linotype"/>
          <w:i/>
          <w:sz w:val="22"/>
          <w:szCs w:val="22"/>
        </w:rPr>
        <w:t xml:space="preserve">, coordinándose con la Secretaría Técnica, a través de la Coordinación de la UIPPE, para su integración; VI. Proponer a la Dirección General por conducto de las Subdirecciones, Procuraduría, Órgano Interno de Control, </w:t>
      </w:r>
      <w:proofErr w:type="gramStart"/>
      <w:r w:rsidR="00ED3BC6" w:rsidRPr="00FB27AF">
        <w:rPr>
          <w:rFonts w:ascii="Palatino Linotype" w:hAnsi="Palatino Linotype"/>
          <w:i/>
          <w:sz w:val="22"/>
          <w:szCs w:val="22"/>
        </w:rPr>
        <w:t>Secretaria Técnica</w:t>
      </w:r>
      <w:proofErr w:type="gramEnd"/>
      <w:r w:rsidR="00ED3BC6" w:rsidRPr="00FB27AF">
        <w:rPr>
          <w:rFonts w:ascii="Palatino Linotype" w:hAnsi="Palatino Linotype"/>
          <w:i/>
          <w:sz w:val="22"/>
          <w:szCs w:val="22"/>
        </w:rPr>
        <w:t xml:space="preserve"> y Tesorería cuando sea el caso, la gestión de acuerdos o convenios que contribuyan al cumplimiento de sus objetivos; VII. Certificar los documentos oficiales que emanen de su unidad administrativa; VIII. Vigilar en el ámbito de su competencia el cumplimiento de las disposiciones jurídicas aplicables, así como de los planes, programas y proyectos, y demás disposiciones que emanen de la Junta de Gobierno; IX. Proponer a la Dirección General por conducto de las Subdirecciones, Procuraduría, Órgano Interno de Control y </w:t>
      </w:r>
      <w:proofErr w:type="gramStart"/>
      <w:r w:rsidR="00ED3BC6" w:rsidRPr="00FB27AF">
        <w:rPr>
          <w:rFonts w:ascii="Palatino Linotype" w:hAnsi="Palatino Linotype"/>
          <w:i/>
          <w:sz w:val="22"/>
          <w:szCs w:val="22"/>
        </w:rPr>
        <w:t>Secretaria Técnica</w:t>
      </w:r>
      <w:proofErr w:type="gramEnd"/>
      <w:r w:rsidR="00ED3BC6" w:rsidRPr="00FB27AF">
        <w:rPr>
          <w:rFonts w:ascii="Palatino Linotype" w:hAnsi="Palatino Linotype"/>
          <w:i/>
          <w:sz w:val="22"/>
          <w:szCs w:val="22"/>
        </w:rPr>
        <w:t xml:space="preserve"> el ingreso, licencia, promoción, cambio y remoción del personal adscrito a la unidad administrativa a su cargo, de conformidad con las disposiciones aplicables; X. Formular los estudios, análisis y dictámenes que sean encomendados por la </w:t>
      </w:r>
      <w:r w:rsidR="00ED3BC6" w:rsidRPr="00FB27AF">
        <w:rPr>
          <w:rFonts w:ascii="Palatino Linotype" w:hAnsi="Palatino Linotype"/>
          <w:i/>
          <w:sz w:val="22"/>
          <w:szCs w:val="22"/>
        </w:rPr>
        <w:lastRenderedPageBreak/>
        <w:t xml:space="preserve">Dirección General o su jefe inmediato; XI. Proponer a la Dirección General, por conducto de la Secretaría Técnica, la organización o modificaciones de las unidades administrativas a su cargo, conforme a la normatividad aplicable; XII. Realizar los informes y reportes mensuales o periódicos solicitados por la Presidencia, Dirección General y/o las unidades administrativas encargadas del seguimiento programático, presupuestal o de control; XIII. Integrar y remitir los informes oportunos del ejercicio de recursos federales o estatales y municipales conforme a la normatividad aplicable, a las dependencias responsables de la fiscalización de los mismos, informando a la Tesorería y Secretaría Técnica, a través de la Coordinación de la UIPPE, de su ejercicio y cumplimiento de metas; XIV. Integrar y actualizar periódicamente el FUR con el objeto de contar con información estadística de los trámites y servicios que se otorgan en el SMDIF; XV. Informar permanentemente a su superior jerárquico sobre el desarrollo de sus actividades; XVI. Custodiar los archivos en trámite o de concentración, expedientes y demás documentación que se genere con motivo del desarrollo de sus atribuciones; XVII. Integrar, revisar y validar los Manuales de Organización y de Procedimientos, así como actualizar sus modificaciones respectivas referentes a las unidades administrativas a su cargo; XVIII. Integrar, revisar y actualizar las Cédulas de Trámites y Servicios de la unidad administrativa a su cargo de acuerdo al Programa Anual de Mejora Regulatoria aprobado por el Comité Interno de Mejora Regulatoria del SMDIF; XIX. Promover la capacitación y profesionalización del personal a su cargo; XX. Proponer al a la Tesorería las modificaciones y/o actualizaciones sobre las cuotas de recuperación por la prestación de servicios a bajo costo, que ofrece la unidad administrativa a su cargo, ello para su análisis a efecto de presentarlas para su autorización ante la Junta de Gobierno; XXI. Llevar un control y reportar periódicamente a la Tesorería, los ingresos obtenidos por donaciones, cuotas de recuperación por la prestación de servicios diversos, correspondientes a la unidad administrativa a su cargo; XXII. Presentar la información necesaria y que sea requerida para la operación del SEGEMUN, ante la Coordinación de la UIPPE dependiente de la Secretaría Técnica; XXIII. Informar a DIFEM sobre el desempeño y cumplimiento de las acciones de la unidad a su cargo, cuando así sea necesario; XXIV. Comparecer ante la Junta de Gobierno cuando así sean requeridos; XXV. Constituir y mantener actualizados sus expedientes, conforme a la normatividad aplicable; XXVI. Proteger y resguardar la información clasificada como reservada y confidencial; XXVII. Transparentar sus acciones, así como garantizar y respetar el derecho a la información pública; XXVIII. Documentar todo acto que </w:t>
      </w:r>
      <w:r w:rsidR="00ED3BC6" w:rsidRPr="00FB27AF">
        <w:rPr>
          <w:rFonts w:ascii="Palatino Linotype" w:hAnsi="Palatino Linotype"/>
          <w:i/>
          <w:sz w:val="22"/>
          <w:szCs w:val="22"/>
        </w:rPr>
        <w:lastRenderedPageBreak/>
        <w:t xml:space="preserve">derive del ejercicio de sus atribuciones y abstenerse de destruirlos u ocultarlos, dentro de los que destacan los procesos deliberativos y de decisión definitiva; XXIX. Preparar y enviar oportunamente la documentación a la Coordinación de Transparencia que le sea requerida mediante las solicitudes, conforme a la normatividad aplicable; XXX. Organizar, coordinar y supervisar al personal a su cargo que participe en jornadas, eventos o giras de trabajo del SMDIF; XXXI. Atender las peticiones de particulares de manera pronta, expedita y eficaz, a fin de dar una respuesta al asunto del que se trate; XXXII. Gestionar, ante la Subdirección de Administración, la realización de mejoras en las instalaciones y equipamiento de la unidad administrativa a su cargo; XXXIII. Observar el debido uso de los vehículos bajo su resguardo; XXXIV. Observar el debido uso de los bienes muebles e inmuebles a su cargo; XXXV. Organizar, custodiar, resguardar y llevar un control interno de los bienes muebles de gasto y bajo costo, de las unidades administrativas a su cargo; XXXVI. Dar aviso por escrito a la Tesorería, Subdirección Jurídica Consultiva y al Órgano Interno de Control ante una eventual pérdida, robo o extravío de bienes muebles, recursos financieros y documentales; XXXVII. Administrar y supervisar los recursos humanos, materiales, económicos y de equipamiento de la unidad administrativa a su cargo; XXXVIII. Informar permanentemente a su jefe inmediato sobre los resultados y el desempeño de la unidad administrativa a su cargo, así como de los asuntos de importante resolución o atención; XXXIX. Informar sobre la gestión de cualquier donación, en especie o financiera, que realice a la Presidencia, a través de la Subdirección de Procuración de Fondos; XL. Identificar espacios de oportunidad en sus áreas, mismos que deberán ser notificados a la Presidencia a efecto de analizar posibles fuentes de financiamiento externo o atención a través del Voluntariado y la Subdirección de Procuración de Fondos; XLI. Participar en las juntas a las que sean convocados para definir los alcances y las estrategias que se implementarán para alcanzar los objetivos y metas establecidas por el SMDIF; y XLII. Las demás que establezca su jefe inmediato o que señale las disposiciones jurídicas aplicables. Artículo 47.- Las diferentes unidades administrativas del SMDIF definidas en el presente Reglamento son responsables del manejo directo de los recursos financieros, materiales, bienes muebles e inmuebles para su buen uso y control; así como la administración del recursos humano, conforme a los objetivos del SMDIF y normatividad aplicable, de no ser así, los titulares asumirán la responsabilidad legal administrativa que ello conlleva y se dará vista al Órgano Interno de Control para su atención correspondiente. Las unidades administrativas que reciban o recauden ingresos deberán enterarlo a la Tesorería </w:t>
      </w:r>
      <w:r w:rsidR="00ED3BC6" w:rsidRPr="00FB27AF">
        <w:rPr>
          <w:rFonts w:ascii="Palatino Linotype" w:hAnsi="Palatino Linotype"/>
          <w:i/>
          <w:sz w:val="22"/>
          <w:szCs w:val="22"/>
        </w:rPr>
        <w:lastRenderedPageBreak/>
        <w:t xml:space="preserve">de manera oportuna, conforme lo señalado en el presente Reglamento. Derivado de lo anterior, de conformidad con lo establecido en los artículos 12 y 24 de la Ley de Transparencia y Acceso a la Información Pública del Estado de México y Municipios, mismos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Aunado a ello, el Pleno del Instituto de Transparencia y Acceso a la Información Pública del Estado de México y Municipios, aprobó el Criterio de Interpretación en el Orden Administrativo número 0002-11, el cual se describe a continuación: “CRITERIO 0002-11 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Consecuencia el acceso a la información se refiere a que se cumplan cualquiera de los siguientes tres supuestos: 1). Que se trate de información registrada en cualquier soporte documental, </w:t>
      </w:r>
      <w:proofErr w:type="gramStart"/>
      <w:r w:rsidR="00ED3BC6" w:rsidRPr="00FB27AF">
        <w:rPr>
          <w:rFonts w:ascii="Palatino Linotype" w:hAnsi="Palatino Linotype"/>
          <w:i/>
          <w:sz w:val="22"/>
          <w:szCs w:val="22"/>
        </w:rPr>
        <w:t>que</w:t>
      </w:r>
      <w:proofErr w:type="gramEnd"/>
      <w:r w:rsidR="00ED3BC6" w:rsidRPr="00FB27AF">
        <w:rPr>
          <w:rFonts w:ascii="Palatino Linotype" w:hAnsi="Palatino Linotype"/>
          <w:i/>
          <w:sz w:val="22"/>
          <w:szCs w:val="22"/>
        </w:rPr>
        <w:t xml:space="preserve"> en ejercicio de las atribuciones conferidas, sea generada por los Sujetos Obligados; 2). Que se trate de información registrada en cualquier soporte documental, </w:t>
      </w:r>
      <w:proofErr w:type="gramStart"/>
      <w:r w:rsidR="00ED3BC6" w:rsidRPr="00FB27AF">
        <w:rPr>
          <w:rFonts w:ascii="Palatino Linotype" w:hAnsi="Palatino Linotype"/>
          <w:i/>
          <w:sz w:val="22"/>
          <w:szCs w:val="22"/>
        </w:rPr>
        <w:t>que</w:t>
      </w:r>
      <w:proofErr w:type="gramEnd"/>
      <w:r w:rsidR="00ED3BC6" w:rsidRPr="00FB27AF">
        <w:rPr>
          <w:rFonts w:ascii="Palatino Linotype" w:hAnsi="Palatino Linotype"/>
          <w:i/>
          <w:sz w:val="22"/>
          <w:szCs w:val="22"/>
        </w:rPr>
        <w:t xml:space="preserve"> en ejercicio de las atribuciones conferidas, sea administrada por los Sujetos Obligados, y 3). Que se dé información registrada en cualquier soporte documental, </w:t>
      </w:r>
      <w:proofErr w:type="gramStart"/>
      <w:r w:rsidR="00ED3BC6" w:rsidRPr="00FB27AF">
        <w:rPr>
          <w:rFonts w:ascii="Palatino Linotype" w:hAnsi="Palatino Linotype"/>
          <w:i/>
          <w:sz w:val="22"/>
          <w:szCs w:val="22"/>
        </w:rPr>
        <w:t>que</w:t>
      </w:r>
      <w:proofErr w:type="gramEnd"/>
      <w:r w:rsidR="00ED3BC6" w:rsidRPr="00FB27AF">
        <w:rPr>
          <w:rFonts w:ascii="Palatino Linotype" w:hAnsi="Palatino Linotype"/>
          <w:i/>
          <w:sz w:val="22"/>
          <w:szCs w:val="22"/>
        </w:rPr>
        <w:t xml:space="preserve"> en ejercicio de las atribuciones conferidas, se encuentre en posesión de los Sujetos Obligados”. Por otra parte, con relación a su petición: “…Solicito a través de este medio, justifique la relación entre el personal del DIF Coacalco y la Diputada Local, esto porque han asistido a eventos públicos en horario laboral como el día de ayer, 9 de noviembre del 2022…”, me permito informarle que de conformidad con lo dispuesto por el artículo 4 párrafo primero de la ley estatal de transparencia, se concibe al derecho humano de acceso a la </w:t>
      </w:r>
      <w:r w:rsidR="00ED3BC6" w:rsidRPr="00FB27AF">
        <w:rPr>
          <w:rFonts w:ascii="Palatino Linotype" w:hAnsi="Palatino Linotype"/>
          <w:i/>
          <w:sz w:val="22"/>
          <w:szCs w:val="22"/>
        </w:rPr>
        <w:lastRenderedPageBreak/>
        <w:t>información pública como la prerrogativa de las personas para buscar difundir, investigar, recabar, recibir y solicitar información pública; entendiéndose como información pública aquella información generada, obtenida, adquirida, transformada, administrada o en posesión de los sujetos obligados en el ejercicio de sus atribuciones y funciones. En este sentido, se le precisa que lo solicitado en el párrafo anterior, así como otros apartados de su requerimiento, no encuadran en el supuesto del párrafo anterior, dado que corresponden más a un derecho de petición que contiene juicios de valor y apreciaciones subjetivas que al derecho de acceso a la información pública, por lo cual son inatendibles por parte de este organismo descentralizado. Sin otro particular, le envío un cordial saludo</w:t>
      </w:r>
      <w:r w:rsidRPr="00FB27AF">
        <w:rPr>
          <w:rFonts w:ascii="Palatino Linotype" w:eastAsia="Palatino Linotype" w:hAnsi="Palatino Linotype" w:cs="Palatino Linotype"/>
          <w:i/>
          <w:sz w:val="22"/>
          <w:szCs w:val="22"/>
        </w:rPr>
        <w:t>...” (sic)</w:t>
      </w:r>
    </w:p>
    <w:p w14:paraId="731209A9" w14:textId="77777777" w:rsidR="00212CB5" w:rsidRPr="00FB27AF" w:rsidRDefault="00B949B2">
      <w:pPr>
        <w:spacing w:before="240" w:after="240" w:line="360" w:lineRule="auto"/>
        <w:ind w:right="49"/>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El </w:t>
      </w:r>
      <w:r w:rsidRPr="00FB27AF">
        <w:rPr>
          <w:rFonts w:ascii="Palatino Linotype" w:eastAsia="Palatino Linotype" w:hAnsi="Palatino Linotype" w:cs="Palatino Linotype"/>
          <w:b/>
        </w:rPr>
        <w:t>Sujeto Obligado</w:t>
      </w:r>
      <w:r w:rsidRPr="00FB27AF">
        <w:rPr>
          <w:rFonts w:ascii="Palatino Linotype" w:eastAsia="Palatino Linotype" w:hAnsi="Palatino Linotype" w:cs="Palatino Linotype"/>
        </w:rPr>
        <w:t xml:space="preserve"> adjuntó </w:t>
      </w:r>
      <w:r w:rsidR="00212CB5" w:rsidRPr="00FB27AF">
        <w:rPr>
          <w:rFonts w:ascii="Palatino Linotype" w:eastAsia="Palatino Linotype" w:hAnsi="Palatino Linotype" w:cs="Palatino Linotype"/>
        </w:rPr>
        <w:t>lo siguiente:</w:t>
      </w:r>
    </w:p>
    <w:p w14:paraId="160989D7" w14:textId="77777777" w:rsidR="00212CB5" w:rsidRPr="00FB27AF" w:rsidRDefault="00212CB5">
      <w:pPr>
        <w:spacing w:before="240" w:after="240" w:line="360" w:lineRule="auto"/>
        <w:ind w:right="49"/>
        <w:jc w:val="both"/>
        <w:rPr>
          <w:rFonts w:ascii="Palatino Linotype" w:eastAsia="Palatino Linotype" w:hAnsi="Palatino Linotype" w:cs="Palatino Linotype"/>
        </w:rPr>
      </w:pPr>
      <w:r w:rsidRPr="00FB27AF">
        <w:rPr>
          <w:rFonts w:ascii="Palatino Linotype" w:eastAsia="Palatino Linotype" w:hAnsi="Palatino Linotype" w:cs="Palatino Linotype"/>
        </w:rPr>
        <w:t>- Oficio número SMDIF/S.A/104/2022, de fecha dieciséis de noviembre de dos mil veintidós, mediante el cual, en atención a la solicitud la Subdirección de Administración informa, respecto al horario laboral del O</w:t>
      </w:r>
      <w:r w:rsidR="004E1078" w:rsidRPr="00FB27AF">
        <w:rPr>
          <w:rFonts w:ascii="Palatino Linotype" w:eastAsia="Palatino Linotype" w:hAnsi="Palatino Linotype" w:cs="Palatino Linotype"/>
        </w:rPr>
        <w:t xml:space="preserve">rganismo descentralizado, que </w:t>
      </w:r>
      <w:r w:rsidRPr="00FB27AF">
        <w:rPr>
          <w:rFonts w:ascii="Palatino Linotype" w:eastAsia="Palatino Linotype" w:hAnsi="Palatino Linotype" w:cs="Palatino Linotype"/>
        </w:rPr>
        <w:t>se establece de conformidad con lo dispuesto en los artículos 59 y 60 de Ley del Trabajo de los Servidores Públicos del Estado y Municipios, así como establece los artículos 42, 43, 44, 45 y 46 del Reglamento Interno del Sistema Municipal para el Desarrollo Integral de la Familia de Coacalco de Berriozábal</w:t>
      </w:r>
      <w:r w:rsidR="004E1078" w:rsidRPr="00FB27AF">
        <w:rPr>
          <w:rFonts w:ascii="Palatino Linotype" w:eastAsia="Palatino Linotype" w:hAnsi="Palatino Linotype" w:cs="Palatino Linotype"/>
        </w:rPr>
        <w:t>, respecto de la integración de la adm</w:t>
      </w:r>
      <w:r w:rsidR="00914B98" w:rsidRPr="00FB27AF">
        <w:rPr>
          <w:rFonts w:ascii="Palatino Linotype" w:eastAsia="Palatino Linotype" w:hAnsi="Palatino Linotype" w:cs="Palatino Linotype"/>
        </w:rPr>
        <w:t>inistración pública del SMDIF, y</w:t>
      </w:r>
      <w:r w:rsidR="004E1078" w:rsidRPr="00FB27AF">
        <w:rPr>
          <w:rFonts w:ascii="Palatino Linotype" w:eastAsia="Palatino Linotype" w:hAnsi="Palatino Linotype" w:cs="Palatino Linotype"/>
        </w:rPr>
        <w:t xml:space="preserve"> de las atribuciones genéricas para subdirectores de área y departamentos.</w:t>
      </w:r>
    </w:p>
    <w:p w14:paraId="06F9B0E2" w14:textId="77777777" w:rsidR="004E1078" w:rsidRPr="00FB27AF" w:rsidRDefault="004E1078">
      <w:pPr>
        <w:spacing w:before="240" w:after="240" w:line="360" w:lineRule="auto"/>
        <w:ind w:right="49"/>
        <w:jc w:val="both"/>
        <w:rPr>
          <w:rFonts w:ascii="Palatino Linotype" w:eastAsia="Palatino Linotype" w:hAnsi="Palatino Linotype" w:cs="Palatino Linotype"/>
        </w:rPr>
      </w:pPr>
      <w:r w:rsidRPr="00FB27AF">
        <w:rPr>
          <w:rFonts w:ascii="Palatino Linotype" w:eastAsia="Palatino Linotype" w:hAnsi="Palatino Linotype" w:cs="Palatino Linotype"/>
        </w:rPr>
        <w:t>- Oficio CT/DIF/024/2022, de fecha treinta de noviembre de dos mil veintidós</w:t>
      </w:r>
      <w:r w:rsidR="00E84390" w:rsidRPr="00FB27AF">
        <w:rPr>
          <w:rFonts w:ascii="Palatino Linotype" w:eastAsia="Palatino Linotype" w:hAnsi="Palatino Linotype" w:cs="Palatino Linotype"/>
        </w:rPr>
        <w:t xml:space="preserve">, signado por la Coordinadora de Transparencia, mediante el cual notifica la respuesta </w:t>
      </w:r>
      <w:r w:rsidR="00BE71A7" w:rsidRPr="00FB27AF">
        <w:rPr>
          <w:rFonts w:ascii="Palatino Linotype" w:eastAsia="Palatino Linotype" w:hAnsi="Palatino Linotype" w:cs="Palatino Linotype"/>
        </w:rPr>
        <w:t xml:space="preserve">emitida por la Subdirección de Administración del Sistema Municipal DIF, </w:t>
      </w:r>
      <w:r w:rsidR="00E84390" w:rsidRPr="00FB27AF">
        <w:rPr>
          <w:rFonts w:ascii="Palatino Linotype" w:eastAsia="Palatino Linotype" w:hAnsi="Palatino Linotype" w:cs="Palatino Linotype"/>
        </w:rPr>
        <w:t>a la persona solicitante, en los mismos términos vertidos en SAIMEX.</w:t>
      </w:r>
    </w:p>
    <w:p w14:paraId="34039549" w14:textId="77777777" w:rsidR="000C6F0F" w:rsidRPr="00FB27AF" w:rsidRDefault="00BD3266">
      <w:pPr>
        <w:spacing w:before="240" w:after="240" w:line="360" w:lineRule="auto"/>
        <w:ind w:right="49"/>
        <w:jc w:val="both"/>
        <w:rPr>
          <w:rFonts w:ascii="Palatino Linotype" w:eastAsia="Palatino Linotype" w:hAnsi="Palatino Linotype" w:cs="Palatino Linotype"/>
        </w:rPr>
      </w:pPr>
      <w:r w:rsidRPr="00FB27AF">
        <w:rPr>
          <w:rFonts w:ascii="Palatino Linotype" w:eastAsia="Palatino Linotype" w:hAnsi="Palatino Linotype" w:cs="Palatino Linotype"/>
          <w:b/>
        </w:rPr>
        <w:lastRenderedPageBreak/>
        <w:t>3</w:t>
      </w:r>
      <w:r w:rsidR="00B949B2" w:rsidRPr="00FB27AF">
        <w:rPr>
          <w:rFonts w:ascii="Palatino Linotype" w:eastAsia="Palatino Linotype" w:hAnsi="Palatino Linotype" w:cs="Palatino Linotype"/>
          <w:b/>
        </w:rPr>
        <w:t xml:space="preserve">. Interposición del recurso de revisión. </w:t>
      </w:r>
      <w:r w:rsidR="00B949B2" w:rsidRPr="00FB27AF">
        <w:rPr>
          <w:rFonts w:ascii="Palatino Linotype" w:eastAsia="Palatino Linotype" w:hAnsi="Palatino Linotype" w:cs="Palatino Linotype"/>
        </w:rPr>
        <w:t xml:space="preserve">Inconforme con los términos de la respuesta emitida por parte del </w:t>
      </w:r>
      <w:r w:rsidR="00B949B2" w:rsidRPr="00FB27AF">
        <w:rPr>
          <w:rFonts w:ascii="Palatino Linotype" w:eastAsia="Palatino Linotype" w:hAnsi="Palatino Linotype" w:cs="Palatino Linotype"/>
          <w:b/>
        </w:rPr>
        <w:t>Sujeto Obligado</w:t>
      </w:r>
      <w:r w:rsidR="00B949B2" w:rsidRPr="00FB27AF">
        <w:rPr>
          <w:rFonts w:ascii="Palatino Linotype" w:eastAsia="Palatino Linotype" w:hAnsi="Palatino Linotype" w:cs="Palatino Linotype"/>
        </w:rPr>
        <w:t>,</w:t>
      </w:r>
      <w:r w:rsidR="00B949B2" w:rsidRPr="00FB27AF">
        <w:rPr>
          <w:rFonts w:ascii="Palatino Linotype" w:eastAsia="Palatino Linotype" w:hAnsi="Palatino Linotype" w:cs="Palatino Linotype"/>
          <w:b/>
        </w:rPr>
        <w:t xml:space="preserve"> </w:t>
      </w:r>
      <w:r w:rsidR="00B949B2" w:rsidRPr="00FB27AF">
        <w:rPr>
          <w:rFonts w:ascii="Palatino Linotype" w:eastAsia="Palatino Linotype" w:hAnsi="Palatino Linotype" w:cs="Palatino Linotype"/>
        </w:rPr>
        <w:t xml:space="preserve">el </w:t>
      </w:r>
      <w:r w:rsidR="00E84390" w:rsidRPr="00FB27AF">
        <w:rPr>
          <w:rFonts w:ascii="Palatino Linotype" w:eastAsia="Palatino Linotype" w:hAnsi="Palatino Linotype" w:cs="Palatino Linotype"/>
          <w:b/>
        </w:rPr>
        <w:t>cinco de diciembre</w:t>
      </w:r>
      <w:r w:rsidR="00B949B2" w:rsidRPr="00FB27AF">
        <w:rPr>
          <w:rFonts w:ascii="Palatino Linotype" w:eastAsia="Palatino Linotype" w:hAnsi="Palatino Linotype" w:cs="Palatino Linotype"/>
          <w:b/>
        </w:rPr>
        <w:t xml:space="preserve"> de dos mil veintidós,</w:t>
      </w:r>
      <w:r w:rsidR="00B949B2" w:rsidRPr="00FB27AF">
        <w:rPr>
          <w:rFonts w:ascii="Palatino Linotype" w:eastAsia="Palatino Linotype" w:hAnsi="Palatino Linotype" w:cs="Palatino Linotype"/>
        </w:rPr>
        <w:t xml:space="preserve"> la parte </w:t>
      </w:r>
      <w:r w:rsidR="00B949B2" w:rsidRPr="00FB27AF">
        <w:rPr>
          <w:rFonts w:ascii="Palatino Linotype" w:eastAsia="Palatino Linotype" w:hAnsi="Palatino Linotype" w:cs="Palatino Linotype"/>
          <w:b/>
        </w:rPr>
        <w:t>Recurrente</w:t>
      </w:r>
      <w:r w:rsidR="00B949B2" w:rsidRPr="00FB27AF">
        <w:rPr>
          <w:rFonts w:ascii="Palatino Linotype" w:eastAsia="Palatino Linotype" w:hAnsi="Palatino Linotype" w:cs="Palatino Linotype"/>
        </w:rPr>
        <w:t xml:space="preserve"> interpuso el recurso de revisión a través de </w:t>
      </w:r>
      <w:r w:rsidR="00B949B2" w:rsidRPr="00FB27AF">
        <w:rPr>
          <w:rFonts w:ascii="Palatino Linotype" w:eastAsia="Palatino Linotype" w:hAnsi="Palatino Linotype" w:cs="Palatino Linotype"/>
          <w:b/>
        </w:rPr>
        <w:t xml:space="preserve">SAIMEX, </w:t>
      </w:r>
      <w:r w:rsidR="00B949B2" w:rsidRPr="00FB27AF">
        <w:rPr>
          <w:rFonts w:ascii="Palatino Linotype" w:eastAsia="Palatino Linotype" w:hAnsi="Palatino Linotype" w:cs="Palatino Linotype"/>
        </w:rPr>
        <w:t>en donde se manifestó de la siguiente manera:</w:t>
      </w:r>
    </w:p>
    <w:p w14:paraId="0882DA6E" w14:textId="77777777" w:rsidR="000C6F0F" w:rsidRPr="00FB27AF" w:rsidRDefault="00B949B2">
      <w:pPr>
        <w:tabs>
          <w:tab w:val="left" w:pos="2745"/>
        </w:tabs>
        <w:spacing w:before="240" w:after="240" w:line="360" w:lineRule="auto"/>
        <w:jc w:val="both"/>
        <w:rPr>
          <w:rFonts w:ascii="Palatino Linotype" w:eastAsia="Palatino Linotype" w:hAnsi="Palatino Linotype" w:cs="Palatino Linotype"/>
          <w:b/>
        </w:rPr>
      </w:pPr>
      <w:r w:rsidRPr="00FB27AF">
        <w:rPr>
          <w:rFonts w:ascii="Palatino Linotype" w:eastAsia="Palatino Linotype" w:hAnsi="Palatino Linotype" w:cs="Palatino Linotype"/>
          <w:b/>
        </w:rPr>
        <w:t xml:space="preserve">Acto impugnado: </w:t>
      </w:r>
    </w:p>
    <w:p w14:paraId="1F025753" w14:textId="77777777" w:rsidR="000C6F0F" w:rsidRPr="00FB27AF" w:rsidRDefault="00B949B2">
      <w:pPr>
        <w:tabs>
          <w:tab w:val="left" w:pos="2745"/>
        </w:tabs>
        <w:spacing w:before="240" w:after="240"/>
        <w:ind w:left="851" w:right="900"/>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i/>
          <w:sz w:val="22"/>
          <w:szCs w:val="22"/>
        </w:rPr>
        <w:t>“</w:t>
      </w:r>
      <w:r w:rsidR="00E84390" w:rsidRPr="00FB27AF">
        <w:rPr>
          <w:rFonts w:ascii="Palatino Linotype" w:eastAsia="Palatino Linotype" w:hAnsi="Palatino Linotype" w:cs="Palatino Linotype"/>
          <w:i/>
          <w:sz w:val="22"/>
          <w:szCs w:val="22"/>
        </w:rPr>
        <w:t xml:space="preserve">El Sujeto Obligado </w:t>
      </w:r>
      <w:r w:rsidR="00E84390" w:rsidRPr="00FB27AF">
        <w:rPr>
          <w:rFonts w:ascii="Palatino Linotype" w:eastAsia="Palatino Linotype" w:hAnsi="Palatino Linotype" w:cs="Palatino Linotype"/>
          <w:b/>
          <w:i/>
          <w:sz w:val="22"/>
          <w:szCs w:val="22"/>
          <w:u w:val="single"/>
        </w:rPr>
        <w:t>no está justificando la asistencia a eventos políticos por parte del personal adscrito al Sistema Municipal</w:t>
      </w:r>
      <w:r w:rsidR="00E84390" w:rsidRPr="00FB27AF">
        <w:rPr>
          <w:rFonts w:ascii="Palatino Linotype" w:eastAsia="Palatino Linotype" w:hAnsi="Palatino Linotype" w:cs="Palatino Linotype"/>
          <w:i/>
          <w:sz w:val="22"/>
          <w:szCs w:val="22"/>
        </w:rPr>
        <w:t>, para favorecer actos proselitistas para el PRI y la diputada en comento.</w:t>
      </w:r>
      <w:r w:rsidRPr="00FB27AF">
        <w:rPr>
          <w:rFonts w:ascii="Palatino Linotype" w:eastAsia="Palatino Linotype" w:hAnsi="Palatino Linotype" w:cs="Palatino Linotype"/>
          <w:i/>
          <w:sz w:val="22"/>
          <w:szCs w:val="22"/>
        </w:rPr>
        <w:t>” (sic)</w:t>
      </w:r>
    </w:p>
    <w:p w14:paraId="37DCC8D2" w14:textId="77777777" w:rsidR="000C6F0F" w:rsidRPr="00FB27AF" w:rsidRDefault="00B949B2">
      <w:pPr>
        <w:spacing w:line="360" w:lineRule="auto"/>
        <w:jc w:val="both"/>
        <w:rPr>
          <w:rFonts w:ascii="Palatino Linotype" w:eastAsia="Palatino Linotype" w:hAnsi="Palatino Linotype" w:cs="Palatino Linotype"/>
        </w:rPr>
      </w:pPr>
      <w:bookmarkStart w:id="2" w:name="_heading=h.30j0zll" w:colFirst="0" w:colLast="0"/>
      <w:bookmarkEnd w:id="2"/>
      <w:r w:rsidRPr="00FB27AF">
        <w:rPr>
          <w:rFonts w:ascii="Palatino Linotype" w:eastAsia="Palatino Linotype" w:hAnsi="Palatino Linotype" w:cs="Palatino Linotype"/>
          <w:b/>
        </w:rPr>
        <w:t>Y Razones o motivos de inconformidad</w:t>
      </w:r>
      <w:r w:rsidRPr="00FB27AF">
        <w:rPr>
          <w:rFonts w:ascii="Palatino Linotype" w:eastAsia="Palatino Linotype" w:hAnsi="Palatino Linotype" w:cs="Palatino Linotype"/>
        </w:rPr>
        <w:t xml:space="preserve">: </w:t>
      </w:r>
    </w:p>
    <w:p w14:paraId="2C10E693" w14:textId="77777777" w:rsidR="000C6F0F" w:rsidRPr="00FB27AF" w:rsidRDefault="00B949B2">
      <w:pPr>
        <w:tabs>
          <w:tab w:val="left" w:pos="2745"/>
        </w:tabs>
        <w:spacing w:before="240" w:after="240"/>
        <w:ind w:left="851" w:right="900"/>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i/>
          <w:sz w:val="22"/>
          <w:szCs w:val="22"/>
        </w:rPr>
        <w:t>“</w:t>
      </w:r>
      <w:r w:rsidR="00E84390" w:rsidRPr="00FB27AF">
        <w:rPr>
          <w:rFonts w:ascii="Palatino Linotype" w:eastAsia="Palatino Linotype" w:hAnsi="Palatino Linotype" w:cs="Palatino Linotype"/>
          <w:i/>
          <w:sz w:val="22"/>
          <w:szCs w:val="22"/>
        </w:rPr>
        <w:t xml:space="preserve">Omite </w:t>
      </w:r>
      <w:r w:rsidR="00E84390" w:rsidRPr="00FB27AF">
        <w:rPr>
          <w:rFonts w:ascii="Palatino Linotype" w:eastAsia="Palatino Linotype" w:hAnsi="Palatino Linotype" w:cs="Palatino Linotype"/>
          <w:b/>
          <w:i/>
          <w:sz w:val="22"/>
          <w:szCs w:val="22"/>
          <w:u w:val="single"/>
        </w:rPr>
        <w:t>la respuesta a la justificación de asistencia en horario laboral a eventos proselitistas del PRI</w:t>
      </w:r>
      <w:r w:rsidR="00E84390" w:rsidRPr="00FB27AF">
        <w:rPr>
          <w:rFonts w:ascii="Palatino Linotype" w:eastAsia="Palatino Linotype" w:hAnsi="Palatino Linotype" w:cs="Palatino Linotype"/>
          <w:i/>
          <w:sz w:val="22"/>
          <w:szCs w:val="22"/>
        </w:rPr>
        <w:t>.</w:t>
      </w:r>
      <w:r w:rsidRPr="00FB27AF">
        <w:rPr>
          <w:rFonts w:ascii="Palatino Linotype" w:eastAsia="Palatino Linotype" w:hAnsi="Palatino Linotype" w:cs="Palatino Linotype"/>
          <w:i/>
          <w:sz w:val="22"/>
          <w:szCs w:val="22"/>
        </w:rPr>
        <w:t>” (sic)</w:t>
      </w:r>
    </w:p>
    <w:p w14:paraId="1F6A576B" w14:textId="77777777" w:rsidR="000C6F0F" w:rsidRPr="00FB27AF" w:rsidRDefault="00EC2F05">
      <w:pPr>
        <w:spacing w:before="240" w:after="240" w:line="360" w:lineRule="auto"/>
        <w:ind w:right="51"/>
        <w:jc w:val="both"/>
        <w:rPr>
          <w:rFonts w:ascii="Palatino Linotype" w:eastAsia="Palatino Linotype" w:hAnsi="Palatino Linotype" w:cs="Palatino Linotype"/>
        </w:rPr>
      </w:pPr>
      <w:r w:rsidRPr="00FB27AF">
        <w:rPr>
          <w:rFonts w:ascii="Palatino Linotype" w:eastAsia="Palatino Linotype" w:hAnsi="Palatino Linotype" w:cs="Palatino Linotype"/>
          <w:b/>
        </w:rPr>
        <w:t>4</w:t>
      </w:r>
      <w:r w:rsidR="00B949B2" w:rsidRPr="00FB27AF">
        <w:rPr>
          <w:rFonts w:ascii="Palatino Linotype" w:eastAsia="Palatino Linotype" w:hAnsi="Palatino Linotype" w:cs="Palatino Linotype"/>
          <w:b/>
        </w:rPr>
        <w:t xml:space="preserve">. Turno. </w:t>
      </w:r>
      <w:r w:rsidR="00B949B2" w:rsidRPr="00FB27A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B949B2" w:rsidRPr="00FB27AF">
        <w:rPr>
          <w:rFonts w:ascii="Palatino Linotype" w:eastAsia="Palatino Linotype" w:hAnsi="Palatino Linotype" w:cs="Palatino Linotype"/>
          <w:b/>
        </w:rPr>
        <w:t xml:space="preserve">Guadalupe Ramírez Peña, </w:t>
      </w:r>
      <w:r w:rsidR="00B949B2" w:rsidRPr="00FB27AF">
        <w:rPr>
          <w:rFonts w:ascii="Palatino Linotype" w:eastAsia="Palatino Linotype" w:hAnsi="Palatino Linotype" w:cs="Palatino Linotype"/>
        </w:rPr>
        <w:t xml:space="preserve">a efecto de que analizara sobre su admisión o su </w:t>
      </w:r>
      <w:proofErr w:type="spellStart"/>
      <w:r w:rsidR="00B949B2" w:rsidRPr="00FB27AF">
        <w:rPr>
          <w:rFonts w:ascii="Palatino Linotype" w:eastAsia="Palatino Linotype" w:hAnsi="Palatino Linotype" w:cs="Palatino Linotype"/>
        </w:rPr>
        <w:t>desechamiento</w:t>
      </w:r>
      <w:proofErr w:type="spellEnd"/>
      <w:r w:rsidR="00B949B2" w:rsidRPr="00FB27AF">
        <w:rPr>
          <w:rFonts w:ascii="Palatino Linotype" w:eastAsia="Palatino Linotype" w:hAnsi="Palatino Linotype" w:cs="Palatino Linotype"/>
        </w:rPr>
        <w:t>.</w:t>
      </w:r>
    </w:p>
    <w:p w14:paraId="4DA85852" w14:textId="77777777" w:rsidR="000C6F0F" w:rsidRPr="00FB27AF" w:rsidRDefault="00EC2F05">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b/>
        </w:rPr>
        <w:t>5</w:t>
      </w:r>
      <w:r w:rsidR="00B949B2" w:rsidRPr="00FB27AF">
        <w:rPr>
          <w:rFonts w:ascii="Palatino Linotype" w:eastAsia="Palatino Linotype" w:hAnsi="Palatino Linotype" w:cs="Palatino Linotype"/>
          <w:b/>
        </w:rPr>
        <w:t>. Admisión del Recurso de revisión.</w:t>
      </w:r>
      <w:r w:rsidR="00B949B2" w:rsidRPr="00FB27AF">
        <w:rPr>
          <w:rFonts w:ascii="Palatino Linotype" w:eastAsia="Palatino Linotype" w:hAnsi="Palatino Linotype" w:cs="Palatino Linotype"/>
        </w:rPr>
        <w:t xml:space="preserve"> Con fecha</w:t>
      </w:r>
      <w:r w:rsidR="00B949B2" w:rsidRPr="00FB27AF">
        <w:rPr>
          <w:rFonts w:ascii="Palatino Linotype" w:eastAsia="Palatino Linotype" w:hAnsi="Palatino Linotype" w:cs="Palatino Linotype"/>
          <w:b/>
        </w:rPr>
        <w:t xml:space="preserve"> </w:t>
      </w:r>
      <w:r w:rsidR="0048500C" w:rsidRPr="00FB27AF">
        <w:rPr>
          <w:rFonts w:ascii="Palatino Linotype" w:eastAsia="Palatino Linotype" w:hAnsi="Palatino Linotype" w:cs="Palatino Linotype"/>
          <w:b/>
        </w:rPr>
        <w:t xml:space="preserve">ocho de diciembre </w:t>
      </w:r>
      <w:r w:rsidR="00B949B2" w:rsidRPr="00FB27AF">
        <w:rPr>
          <w:rFonts w:ascii="Palatino Linotype" w:eastAsia="Palatino Linotype" w:hAnsi="Palatino Linotype" w:cs="Palatino Linotype"/>
          <w:b/>
        </w:rPr>
        <w:t xml:space="preserve">de dos mil veintidós, </w:t>
      </w:r>
      <w:r w:rsidR="00B949B2" w:rsidRPr="00FB27A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B949B2" w:rsidRPr="00FB27AF">
        <w:rPr>
          <w:rFonts w:ascii="Palatino Linotype" w:eastAsia="Palatino Linotype" w:hAnsi="Palatino Linotype" w:cs="Palatino Linotype"/>
        </w:rPr>
        <w:lastRenderedPageBreak/>
        <w:t xml:space="preserve">conveniente, ofrecieran pruebas, formularan alegatos y el </w:t>
      </w:r>
      <w:r w:rsidR="00B949B2" w:rsidRPr="00FB27AF">
        <w:rPr>
          <w:rFonts w:ascii="Palatino Linotype" w:eastAsia="Palatino Linotype" w:hAnsi="Palatino Linotype" w:cs="Palatino Linotype"/>
          <w:b/>
        </w:rPr>
        <w:t xml:space="preserve">Sujeto Obligado </w:t>
      </w:r>
      <w:r w:rsidR="00B949B2" w:rsidRPr="00FB27AF">
        <w:rPr>
          <w:rFonts w:ascii="Palatino Linotype" w:eastAsia="Palatino Linotype" w:hAnsi="Palatino Linotype" w:cs="Palatino Linotype"/>
        </w:rPr>
        <w:t>presentara su informe justificado.</w:t>
      </w:r>
    </w:p>
    <w:p w14:paraId="4E512152" w14:textId="77777777" w:rsidR="00EE5440" w:rsidRPr="00FB27AF" w:rsidRDefault="00EC2F05">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FB27AF">
        <w:rPr>
          <w:rFonts w:ascii="Palatino Linotype" w:eastAsia="Palatino Linotype" w:hAnsi="Palatino Linotype" w:cs="Palatino Linotype"/>
          <w:b/>
        </w:rPr>
        <w:t>6</w:t>
      </w:r>
      <w:r w:rsidR="00B949B2" w:rsidRPr="00FB27AF">
        <w:rPr>
          <w:rFonts w:ascii="Palatino Linotype" w:eastAsia="Palatino Linotype" w:hAnsi="Palatino Linotype" w:cs="Palatino Linotype"/>
          <w:b/>
        </w:rPr>
        <w:t>. Manifestaciones</w:t>
      </w:r>
      <w:r w:rsidR="00B949B2" w:rsidRPr="00FB27AF">
        <w:rPr>
          <w:rFonts w:ascii="Palatino Linotype" w:eastAsia="Palatino Linotype" w:hAnsi="Palatino Linotype" w:cs="Palatino Linotype"/>
        </w:rPr>
        <w:t xml:space="preserve">. De las constancias que integran el expediente electrónico en que se actúa se advierte que en fecha </w:t>
      </w:r>
      <w:r w:rsidR="00D00EEC" w:rsidRPr="00FB27AF">
        <w:rPr>
          <w:rFonts w:ascii="Palatino Linotype" w:eastAsia="Palatino Linotype" w:hAnsi="Palatino Linotype" w:cs="Palatino Linotype"/>
          <w:b/>
        </w:rPr>
        <w:t xml:space="preserve">quince de diciembre de dos mil veintidós, </w:t>
      </w:r>
      <w:r w:rsidR="00B949B2" w:rsidRPr="00FB27AF">
        <w:rPr>
          <w:rFonts w:ascii="Palatino Linotype" w:eastAsia="Palatino Linotype" w:hAnsi="Palatino Linotype" w:cs="Palatino Linotype"/>
        </w:rPr>
        <w:t xml:space="preserve">el </w:t>
      </w:r>
      <w:r w:rsidR="00B949B2" w:rsidRPr="00FB27AF">
        <w:rPr>
          <w:rFonts w:ascii="Palatino Linotype" w:eastAsia="Palatino Linotype" w:hAnsi="Palatino Linotype" w:cs="Palatino Linotype"/>
          <w:b/>
        </w:rPr>
        <w:t>Sujeto Obligado</w:t>
      </w:r>
      <w:r w:rsidR="00B949B2" w:rsidRPr="00FB27AF">
        <w:rPr>
          <w:rFonts w:ascii="Palatino Linotype" w:eastAsia="Palatino Linotype" w:hAnsi="Palatino Linotype" w:cs="Palatino Linotype"/>
        </w:rPr>
        <w:t xml:space="preserve"> remitió su informe j</w:t>
      </w:r>
      <w:r w:rsidR="00D00EEC" w:rsidRPr="00FB27AF">
        <w:rPr>
          <w:rFonts w:ascii="Palatino Linotype" w:eastAsia="Palatino Linotype" w:hAnsi="Palatino Linotype" w:cs="Palatino Linotype"/>
        </w:rPr>
        <w:t xml:space="preserve">ustificado, mediante el cual la Coordinación de Transparencia </w:t>
      </w:r>
      <w:r w:rsidR="00B949B2" w:rsidRPr="00FB27AF">
        <w:rPr>
          <w:rFonts w:ascii="Palatino Linotype" w:eastAsia="Palatino Linotype" w:hAnsi="Palatino Linotype" w:cs="Palatino Linotype"/>
        </w:rPr>
        <w:t>manifestó que</w:t>
      </w:r>
      <w:r w:rsidR="00D00EEC" w:rsidRPr="00FB27AF">
        <w:rPr>
          <w:rFonts w:ascii="Palatino Linotype" w:eastAsia="Palatino Linotype" w:hAnsi="Palatino Linotype" w:cs="Palatino Linotype"/>
        </w:rPr>
        <w:t xml:space="preserve"> el acto impugnado a través del recurso de revisi</w:t>
      </w:r>
      <w:r w:rsidR="006E6042" w:rsidRPr="00FB27AF">
        <w:rPr>
          <w:rFonts w:ascii="Palatino Linotype" w:eastAsia="Palatino Linotype" w:hAnsi="Palatino Linotype" w:cs="Palatino Linotype"/>
        </w:rPr>
        <w:t>ón se niega, dado que una vez revisada y analizada la solicitud de información se dio atención mediante la respuesta otorgada a los requerimientos que encuadraron el supuesto de información pública, dado que en el contenido de la solicitud la persona solicitante incluyó apreciaciones subjetivas y juicios de valor que no se relacionan con el derecho de acceso a la informaci</w:t>
      </w:r>
      <w:r w:rsidR="00EE5440" w:rsidRPr="00FB27AF">
        <w:rPr>
          <w:rFonts w:ascii="Palatino Linotype" w:eastAsia="Palatino Linotype" w:hAnsi="Palatino Linotype" w:cs="Palatino Linotype"/>
        </w:rPr>
        <w:t>ón.</w:t>
      </w:r>
    </w:p>
    <w:p w14:paraId="19783756" w14:textId="77777777" w:rsidR="00905EE6" w:rsidRPr="00FB27AF" w:rsidRDefault="002D1948">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D</w:t>
      </w:r>
      <w:r w:rsidR="00823835" w:rsidRPr="00FB27AF">
        <w:rPr>
          <w:rFonts w:ascii="Palatino Linotype" w:eastAsia="Palatino Linotype" w:hAnsi="Palatino Linotype" w:cs="Palatino Linotype"/>
        </w:rPr>
        <w:t xml:space="preserve">ocumento que una vez analizado, </w:t>
      </w:r>
      <w:r w:rsidR="00B949B2" w:rsidRPr="00FB27AF">
        <w:rPr>
          <w:rFonts w:ascii="Palatino Linotype" w:eastAsia="Palatino Linotype" w:hAnsi="Palatino Linotype" w:cs="Palatino Linotype"/>
        </w:rPr>
        <w:t>se</w:t>
      </w:r>
      <w:r w:rsidR="00823835" w:rsidRPr="00FB27AF">
        <w:rPr>
          <w:rFonts w:ascii="Palatino Linotype" w:eastAsia="Palatino Linotype" w:hAnsi="Palatino Linotype" w:cs="Palatino Linotype"/>
        </w:rPr>
        <w:t xml:space="preserve"> hi</w:t>
      </w:r>
      <w:r w:rsidRPr="00FB27AF">
        <w:rPr>
          <w:rFonts w:ascii="Palatino Linotype" w:eastAsia="Palatino Linotype" w:hAnsi="Palatino Linotype" w:cs="Palatino Linotype"/>
        </w:rPr>
        <w:t>zo</w:t>
      </w:r>
      <w:r w:rsidR="00823835" w:rsidRPr="00FB27AF">
        <w:rPr>
          <w:rFonts w:ascii="Palatino Linotype" w:eastAsia="Palatino Linotype" w:hAnsi="Palatino Linotype" w:cs="Palatino Linotype"/>
        </w:rPr>
        <w:t xml:space="preserve"> del conocimiento de la parte </w:t>
      </w:r>
      <w:r w:rsidR="00823835" w:rsidRPr="00FB27AF">
        <w:rPr>
          <w:rFonts w:ascii="Palatino Linotype" w:eastAsia="Palatino Linotype" w:hAnsi="Palatino Linotype" w:cs="Palatino Linotype"/>
          <w:b/>
        </w:rPr>
        <w:t xml:space="preserve">Recurrente </w:t>
      </w:r>
      <w:r w:rsidR="00B949B2" w:rsidRPr="00FB27AF">
        <w:rPr>
          <w:rFonts w:ascii="Palatino Linotype" w:eastAsia="Palatino Linotype" w:hAnsi="Palatino Linotype" w:cs="Palatino Linotype"/>
        </w:rPr>
        <w:t>con la finalidad de que manifestara lo que a s</w:t>
      </w:r>
      <w:r w:rsidR="00905EE6" w:rsidRPr="00FB27AF">
        <w:rPr>
          <w:rFonts w:ascii="Palatino Linotype" w:eastAsia="Palatino Linotype" w:hAnsi="Palatino Linotype" w:cs="Palatino Linotype"/>
        </w:rPr>
        <w:t>u derecho estimara conveniente.</w:t>
      </w:r>
    </w:p>
    <w:p w14:paraId="33EF8AFA" w14:textId="77777777" w:rsidR="00905EE6" w:rsidRPr="00FB27AF" w:rsidRDefault="00905EE6">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En fecha </w:t>
      </w:r>
      <w:r w:rsidRPr="00FB27AF">
        <w:rPr>
          <w:rFonts w:ascii="Palatino Linotype" w:eastAsia="Palatino Linotype" w:hAnsi="Palatino Linotype" w:cs="Palatino Linotype"/>
          <w:b/>
        </w:rPr>
        <w:t xml:space="preserve">quince de </w:t>
      </w:r>
      <w:r w:rsidR="00570E25" w:rsidRPr="00FB27AF">
        <w:rPr>
          <w:rFonts w:ascii="Palatino Linotype" w:eastAsia="Palatino Linotype" w:hAnsi="Palatino Linotype" w:cs="Palatino Linotype"/>
          <w:b/>
        </w:rPr>
        <w:t>febrero</w:t>
      </w:r>
      <w:r w:rsidRPr="00FB27AF">
        <w:rPr>
          <w:rFonts w:ascii="Palatino Linotype" w:eastAsia="Palatino Linotype" w:hAnsi="Palatino Linotype" w:cs="Palatino Linotype"/>
          <w:b/>
        </w:rPr>
        <w:t xml:space="preserve"> de dos mil veintitrés, </w:t>
      </w:r>
      <w:r w:rsidR="0086451F" w:rsidRPr="00FB27AF">
        <w:rPr>
          <w:rFonts w:ascii="Palatino Linotype" w:eastAsia="Palatino Linotype" w:hAnsi="Palatino Linotype" w:cs="Palatino Linotype"/>
        </w:rPr>
        <w:t xml:space="preserve">se cargó en el apartado de Archivos enviados por el Recurrente del SAIMEX, el oficio CT/DIF/024/2022 de fecha quince de febrero de dos mil veintitrés </w:t>
      </w:r>
      <w:r w:rsidR="006138E9" w:rsidRPr="00FB27AF">
        <w:rPr>
          <w:rFonts w:ascii="Palatino Linotype" w:eastAsia="Palatino Linotype" w:hAnsi="Palatino Linotype" w:cs="Palatino Linotype"/>
        </w:rPr>
        <w:t xml:space="preserve">signado por la </w:t>
      </w:r>
      <w:r w:rsidR="0025660E" w:rsidRPr="00FB27AF">
        <w:rPr>
          <w:rFonts w:ascii="Palatino Linotype" w:eastAsia="Palatino Linotype" w:hAnsi="Palatino Linotype" w:cs="Palatino Linotype"/>
        </w:rPr>
        <w:t>Titular de la Unidad de</w:t>
      </w:r>
      <w:r w:rsidR="006138E9" w:rsidRPr="00FB27AF">
        <w:rPr>
          <w:rFonts w:ascii="Palatino Linotype" w:eastAsia="Palatino Linotype" w:hAnsi="Palatino Linotype" w:cs="Palatino Linotype"/>
        </w:rPr>
        <w:t xml:space="preserve"> Transparencia,  mediante el cual hace referencia nuevamente a la respuesta emitida en atención a la solicitud de información, </w:t>
      </w:r>
      <w:r w:rsidR="0025660E" w:rsidRPr="00FB27AF">
        <w:rPr>
          <w:rFonts w:ascii="Palatino Linotype" w:eastAsia="Palatino Linotype" w:hAnsi="Palatino Linotype" w:cs="Palatino Linotype"/>
        </w:rPr>
        <w:t xml:space="preserve">razón por la cual señala que resulta infundado que la persona solicitante considere que su derecho de acceso a la información haya sido vulnerado, limitado o restringido al no recibir la información que solicitó, pues la respuesta proporcionada se realizó en estricto apego a lo </w:t>
      </w:r>
      <w:r w:rsidR="0025660E" w:rsidRPr="00FB27AF">
        <w:rPr>
          <w:rFonts w:ascii="Palatino Linotype" w:eastAsia="Palatino Linotype" w:hAnsi="Palatino Linotype" w:cs="Palatino Linotype"/>
        </w:rPr>
        <w:lastRenderedPageBreak/>
        <w:t>señalado en la Ley de Transparencia y Acceso a la Información Pública del Estado de México y Municipios, razón por la cual solicita a este Organismo se confirme la respuesta al no actualizarse ninguno de los supuestos jurídicos contenidos en el artículo 179 de la Ley de Transparencia Local, o se resuelva a favor del Organismo Descentralizado de conformidad con los artículos 186 fracción I y 191 fracciones III, V y VII de la misma Ley.</w:t>
      </w:r>
    </w:p>
    <w:p w14:paraId="07B35D29" w14:textId="77777777" w:rsidR="000C6F0F" w:rsidRPr="00FB27AF" w:rsidRDefault="00823835">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b/>
        </w:rPr>
        <w:t>7</w:t>
      </w:r>
      <w:r w:rsidR="00B949B2" w:rsidRPr="00FB27AF">
        <w:rPr>
          <w:rFonts w:ascii="Palatino Linotype" w:eastAsia="Palatino Linotype" w:hAnsi="Palatino Linotype" w:cs="Palatino Linotype"/>
          <w:b/>
        </w:rPr>
        <w:t>. Ampliación del término para resolver</w:t>
      </w:r>
      <w:r w:rsidR="00B949B2" w:rsidRPr="00FB27AF">
        <w:rPr>
          <w:rFonts w:ascii="Palatino Linotype" w:eastAsia="Palatino Linotype" w:hAnsi="Palatino Linotype" w:cs="Palatino Linotype"/>
        </w:rPr>
        <w:t xml:space="preserve">. En fecha </w:t>
      </w:r>
      <w:r w:rsidRPr="00FB27AF">
        <w:rPr>
          <w:rFonts w:ascii="Palatino Linotype" w:eastAsia="Palatino Linotype" w:hAnsi="Palatino Linotype" w:cs="Palatino Linotype"/>
          <w:b/>
        </w:rPr>
        <w:t>veintinueve de mayo</w:t>
      </w:r>
      <w:r w:rsidR="00B949B2" w:rsidRPr="00FB27AF">
        <w:rPr>
          <w:rFonts w:ascii="Palatino Linotype" w:eastAsia="Palatino Linotype" w:hAnsi="Palatino Linotype" w:cs="Palatino Linotype"/>
          <w:b/>
        </w:rPr>
        <w:t xml:space="preserve"> de dos mil veintitrés</w:t>
      </w:r>
      <w:r w:rsidR="00B949B2" w:rsidRPr="00FB27AF">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7099430"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586A1F3"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FB27AF">
        <w:rPr>
          <w:rFonts w:ascii="Palatino Linotype" w:eastAsia="Palatino Linotype" w:hAnsi="Palatino Linotype" w:cs="Palatino Linotype"/>
        </w:rPr>
        <w:lastRenderedPageBreak/>
        <w:t>órganos jurisdiccionales federales, aplicables también en procedimientos análogos, como el que nos ocupa.</w:t>
      </w:r>
    </w:p>
    <w:p w14:paraId="68FF96B4"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4576C5"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EA354F" w14:textId="77777777" w:rsidR="000C6F0F" w:rsidRPr="00FB27AF" w:rsidRDefault="00B949B2">
      <w:pPr>
        <w:spacing w:before="240" w:after="240" w:line="360" w:lineRule="auto"/>
        <w:jc w:val="both"/>
        <w:rPr>
          <w:rFonts w:ascii="Palatino Linotype" w:eastAsia="Palatino Linotype" w:hAnsi="Palatino Linotype" w:cs="Palatino Linotype"/>
          <w:strike/>
        </w:rPr>
      </w:pPr>
      <w:r w:rsidRPr="00FB27A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B0C1E6B" w14:textId="77777777" w:rsidR="000C6F0F" w:rsidRPr="00FB27AF" w:rsidRDefault="00B949B2">
      <w:pPr>
        <w:numPr>
          <w:ilvl w:val="0"/>
          <w:numId w:val="2"/>
        </w:num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AF7DF7E" w14:textId="77777777" w:rsidR="000C6F0F" w:rsidRPr="00FB27AF" w:rsidRDefault="00B949B2">
      <w:pPr>
        <w:numPr>
          <w:ilvl w:val="0"/>
          <w:numId w:val="2"/>
        </w:num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Actividad Procesal del interesado. Acciones u omisiones del interesado.</w:t>
      </w:r>
    </w:p>
    <w:p w14:paraId="3245988D" w14:textId="77777777" w:rsidR="000C6F0F" w:rsidRPr="00FB27AF" w:rsidRDefault="00B949B2">
      <w:pPr>
        <w:numPr>
          <w:ilvl w:val="0"/>
          <w:numId w:val="2"/>
        </w:num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Conducta de la Autoridad: Las Acciones u omisiones realizadas en el procedimiento. Así como si la autoridad actuó con la debida diligencia.</w:t>
      </w:r>
    </w:p>
    <w:p w14:paraId="32FA2068" w14:textId="77777777" w:rsidR="000C6F0F" w:rsidRPr="00FB27AF" w:rsidRDefault="00B949B2">
      <w:pPr>
        <w:spacing w:before="240" w:after="240" w:line="360" w:lineRule="auto"/>
        <w:ind w:left="567"/>
        <w:jc w:val="both"/>
        <w:rPr>
          <w:rFonts w:ascii="Palatino Linotype" w:eastAsia="Palatino Linotype" w:hAnsi="Palatino Linotype" w:cs="Palatino Linotype"/>
        </w:rPr>
      </w:pPr>
      <w:r w:rsidRPr="00FB27AF">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40B9FEB0"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6C75A9" w14:textId="77777777" w:rsidR="000C6F0F" w:rsidRPr="00FB27AF" w:rsidRDefault="00B949B2">
      <w:pPr>
        <w:spacing w:before="240" w:after="240" w:line="360" w:lineRule="auto"/>
        <w:jc w:val="both"/>
        <w:rPr>
          <w:rFonts w:ascii="Palatino Linotype" w:eastAsia="Palatino Linotype" w:hAnsi="Palatino Linotype" w:cs="Palatino Linotype"/>
          <w:b/>
        </w:rPr>
      </w:pPr>
      <w:r w:rsidRPr="00FB27A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B27A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B27AF">
        <w:rPr>
          <w:rFonts w:ascii="Palatino Linotype" w:eastAsia="Palatino Linotype" w:hAnsi="Palatino Linotype" w:cs="Palatino Linotype"/>
        </w:rPr>
        <w:t>, visible en la Gaceta del Seminario Judicial de la Federación con el registro digital 205635.</w:t>
      </w:r>
    </w:p>
    <w:p w14:paraId="6DEAB86C"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FB27AF">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60B1F3E1"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5E5E744" w14:textId="77777777" w:rsidR="000C6F0F" w:rsidRPr="00FB27AF" w:rsidRDefault="00B949B2">
      <w:pPr>
        <w:spacing w:before="240" w:after="240"/>
        <w:ind w:left="851" w:right="902"/>
        <w:jc w:val="both"/>
        <w:rPr>
          <w:rFonts w:ascii="Palatino Linotype" w:eastAsia="Palatino Linotype" w:hAnsi="Palatino Linotype" w:cs="Palatino Linotype"/>
          <w:sz w:val="22"/>
          <w:szCs w:val="22"/>
        </w:rPr>
      </w:pPr>
      <w:r w:rsidRPr="00FB27AF">
        <w:rPr>
          <w:rFonts w:ascii="Palatino Linotype" w:eastAsia="Palatino Linotype" w:hAnsi="Palatino Linotype" w:cs="Palatino Linotype"/>
        </w:rPr>
        <w:t xml:space="preserve"> </w:t>
      </w:r>
      <w:r w:rsidRPr="00FB27AF">
        <w:rPr>
          <w:rFonts w:ascii="Palatino Linotype" w:eastAsia="Palatino Linotype" w:hAnsi="Palatino Linotype" w:cs="Palatino Linotype"/>
          <w:i/>
          <w:sz w:val="22"/>
          <w:szCs w:val="22"/>
        </w:rPr>
        <w:t>“</w:t>
      </w:r>
      <w:r w:rsidRPr="00FB27AF">
        <w:rPr>
          <w:rFonts w:ascii="Palatino Linotype" w:eastAsia="Palatino Linotype" w:hAnsi="Palatino Linotype" w:cs="Palatino Linotype"/>
          <w:b/>
          <w:i/>
          <w:sz w:val="22"/>
          <w:szCs w:val="22"/>
        </w:rPr>
        <w:t>PLAZO RAZONABLE PARA RESOLVER. DIMENSIÓN Y EFECTOS DE ESTE CONCEPTO CUANDO SE ADUCE EXCESIVA CARGA DE TRABAJO</w:t>
      </w:r>
      <w:r w:rsidRPr="00FB27AF">
        <w:rPr>
          <w:rFonts w:ascii="Palatino Linotype" w:eastAsia="Palatino Linotype" w:hAnsi="Palatino Linotype" w:cs="Palatino Linotype"/>
          <w:i/>
          <w:sz w:val="22"/>
          <w:szCs w:val="22"/>
        </w:rPr>
        <w:t>.”</w:t>
      </w:r>
      <w:r w:rsidRPr="00FB27AF">
        <w:rPr>
          <w:rFonts w:ascii="Palatino Linotype" w:eastAsia="Palatino Linotype" w:hAnsi="Palatino Linotype" w:cs="Palatino Linotype"/>
          <w:sz w:val="22"/>
          <w:szCs w:val="22"/>
        </w:rPr>
        <w:t xml:space="preserve"> consultable en el Seminario Judicial de la Federación y su gaceta, con el registro digital 2002351.</w:t>
      </w:r>
    </w:p>
    <w:p w14:paraId="7FE5DE16" w14:textId="77777777" w:rsidR="000C6F0F" w:rsidRPr="00FB27AF" w:rsidRDefault="00B949B2">
      <w:pPr>
        <w:spacing w:before="240" w:after="240"/>
        <w:ind w:left="851" w:right="902"/>
        <w:jc w:val="both"/>
        <w:rPr>
          <w:rFonts w:ascii="Palatino Linotype" w:eastAsia="Palatino Linotype" w:hAnsi="Palatino Linotype" w:cs="Palatino Linotype"/>
          <w:sz w:val="22"/>
          <w:szCs w:val="22"/>
        </w:rPr>
      </w:pPr>
      <w:r w:rsidRPr="00FB27AF">
        <w:rPr>
          <w:rFonts w:ascii="Palatino Linotype" w:eastAsia="Palatino Linotype" w:hAnsi="Palatino Linotype" w:cs="Palatino Linotype"/>
          <w:i/>
          <w:sz w:val="22"/>
          <w:szCs w:val="22"/>
        </w:rPr>
        <w:t>“</w:t>
      </w:r>
      <w:r w:rsidRPr="00FB27A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B27AF">
        <w:rPr>
          <w:rFonts w:ascii="Palatino Linotype" w:eastAsia="Palatino Linotype" w:hAnsi="Palatino Linotype" w:cs="Palatino Linotype"/>
          <w:i/>
          <w:sz w:val="22"/>
          <w:szCs w:val="22"/>
        </w:rPr>
        <w:t>.”</w:t>
      </w:r>
      <w:r w:rsidRPr="00FB27AF">
        <w:rPr>
          <w:rFonts w:ascii="Palatino Linotype" w:eastAsia="Palatino Linotype" w:hAnsi="Palatino Linotype" w:cs="Palatino Linotype"/>
          <w:sz w:val="22"/>
          <w:szCs w:val="22"/>
        </w:rPr>
        <w:t>, visible en el Seminario Judicial de la Federación y su gaceta, con el registro digital 2002350.</w:t>
      </w:r>
    </w:p>
    <w:p w14:paraId="3085EFA6"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D477E4F" w14:textId="77777777" w:rsidR="000C6F0F" w:rsidRPr="00FB27AF" w:rsidRDefault="00823835">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b/>
        </w:rPr>
        <w:t>8</w:t>
      </w:r>
      <w:r w:rsidR="00B949B2" w:rsidRPr="00FB27AF">
        <w:rPr>
          <w:rFonts w:ascii="Palatino Linotype" w:eastAsia="Palatino Linotype" w:hAnsi="Palatino Linotype" w:cs="Palatino Linotype"/>
          <w:b/>
        </w:rPr>
        <w:t xml:space="preserve">. Cierre de instrucción. </w:t>
      </w:r>
      <w:r w:rsidR="00B949B2" w:rsidRPr="00FB27A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25660E" w:rsidRPr="00FB27AF">
        <w:rPr>
          <w:rFonts w:ascii="Palatino Linotype" w:eastAsia="Palatino Linotype" w:hAnsi="Palatino Linotype" w:cs="Palatino Linotype"/>
          <w:b/>
        </w:rPr>
        <w:t xml:space="preserve">catorce </w:t>
      </w:r>
      <w:r w:rsidR="00B949B2" w:rsidRPr="00FB27AF">
        <w:rPr>
          <w:rFonts w:ascii="Palatino Linotype" w:eastAsia="Palatino Linotype" w:hAnsi="Palatino Linotype" w:cs="Palatino Linotype"/>
          <w:b/>
        </w:rPr>
        <w:t xml:space="preserve">de </w:t>
      </w:r>
      <w:r w:rsidR="00F52DA0" w:rsidRPr="00FB27AF">
        <w:rPr>
          <w:rFonts w:ascii="Palatino Linotype" w:eastAsia="Palatino Linotype" w:hAnsi="Palatino Linotype" w:cs="Palatino Linotype"/>
          <w:b/>
        </w:rPr>
        <w:t xml:space="preserve">junio </w:t>
      </w:r>
      <w:r w:rsidR="00B949B2" w:rsidRPr="00FB27AF">
        <w:rPr>
          <w:rFonts w:ascii="Palatino Linotype" w:eastAsia="Palatino Linotype" w:hAnsi="Palatino Linotype" w:cs="Palatino Linotype"/>
          <w:b/>
        </w:rPr>
        <w:t xml:space="preserve">dos mil veintitrés, </w:t>
      </w:r>
      <w:r w:rsidR="00B949B2" w:rsidRPr="00FB27AF">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5AC56FB8"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35BC992" w14:textId="77777777" w:rsidR="000C6F0F" w:rsidRPr="00FB27AF" w:rsidRDefault="00B949B2">
      <w:pPr>
        <w:widowControl w:val="0"/>
        <w:spacing w:before="240" w:after="240" w:line="360" w:lineRule="auto"/>
        <w:jc w:val="center"/>
        <w:rPr>
          <w:rFonts w:ascii="Palatino Linotype" w:eastAsia="Palatino Linotype" w:hAnsi="Palatino Linotype" w:cs="Palatino Linotype"/>
          <w:b/>
        </w:rPr>
      </w:pPr>
      <w:r w:rsidRPr="00FB27AF">
        <w:rPr>
          <w:rFonts w:ascii="Palatino Linotype" w:eastAsia="Palatino Linotype" w:hAnsi="Palatino Linotype" w:cs="Palatino Linotype"/>
          <w:b/>
        </w:rPr>
        <w:t>II. C O N S I D E R A N D O S</w:t>
      </w:r>
    </w:p>
    <w:p w14:paraId="5350DD2D"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b/>
        </w:rPr>
        <w:t>Primero. Competencia.</w:t>
      </w:r>
      <w:r w:rsidRPr="00FB27A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41D9D8" w14:textId="77777777" w:rsidR="000C6F0F" w:rsidRPr="00FB27AF" w:rsidRDefault="00B949B2">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FB27AF">
        <w:rPr>
          <w:rFonts w:ascii="Palatino Linotype" w:eastAsia="Palatino Linotype" w:hAnsi="Palatino Linotype" w:cs="Palatino Linotype"/>
          <w:b/>
        </w:rPr>
        <w:t>Segundo. Oportunidad y Procedibilidad del Recurso de Revisión</w:t>
      </w:r>
      <w:r w:rsidRPr="00FB27A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94F0CC8" w14:textId="77777777" w:rsidR="000C6F0F" w:rsidRPr="00FB27AF" w:rsidRDefault="00B949B2">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FB27AF">
        <w:rPr>
          <w:rFonts w:ascii="Palatino Linotype" w:eastAsia="Palatino Linotype" w:hAnsi="Palatino Linotype" w:cs="Palatino Linotype"/>
          <w:b/>
        </w:rPr>
        <w:t xml:space="preserve">Sujeto Obligado </w:t>
      </w:r>
      <w:r w:rsidRPr="00FB27AF">
        <w:rPr>
          <w:rFonts w:ascii="Palatino Linotype" w:eastAsia="Palatino Linotype" w:hAnsi="Palatino Linotype" w:cs="Palatino Linotype"/>
        </w:rPr>
        <w:t xml:space="preserve">remitió la respuesta a la solicitud de información el día </w:t>
      </w:r>
      <w:r w:rsidR="00947084" w:rsidRPr="00FB27AF">
        <w:rPr>
          <w:rFonts w:ascii="Palatino Linotype" w:eastAsia="Palatino Linotype" w:hAnsi="Palatino Linotype" w:cs="Palatino Linotype"/>
          <w:b/>
        </w:rPr>
        <w:t>uno de diciembre d</w:t>
      </w:r>
      <w:r w:rsidRPr="00FB27AF">
        <w:rPr>
          <w:rFonts w:ascii="Palatino Linotype" w:eastAsia="Palatino Linotype" w:hAnsi="Palatino Linotype" w:cs="Palatino Linotype"/>
          <w:b/>
        </w:rPr>
        <w:t xml:space="preserve">e dos mil veintidós, </w:t>
      </w:r>
      <w:r w:rsidRPr="00FB27AF">
        <w:rPr>
          <w:rFonts w:ascii="Palatino Linotype" w:eastAsia="Palatino Linotype" w:hAnsi="Palatino Linotype" w:cs="Palatino Linotype"/>
        </w:rPr>
        <w:t xml:space="preserve">mientras que el recurso de revisión interpuesto por la parte </w:t>
      </w:r>
      <w:r w:rsidRPr="00FB27AF">
        <w:rPr>
          <w:rFonts w:ascii="Palatino Linotype" w:eastAsia="Palatino Linotype" w:hAnsi="Palatino Linotype" w:cs="Palatino Linotype"/>
          <w:b/>
        </w:rPr>
        <w:t>Recurrente</w:t>
      </w:r>
      <w:r w:rsidRPr="00FB27AF">
        <w:rPr>
          <w:rFonts w:ascii="Palatino Linotype" w:eastAsia="Palatino Linotype" w:hAnsi="Palatino Linotype" w:cs="Palatino Linotype"/>
        </w:rPr>
        <w:t xml:space="preserve">, se tuvo por presentado el día </w:t>
      </w:r>
      <w:r w:rsidR="00947084" w:rsidRPr="00FB27AF">
        <w:rPr>
          <w:rFonts w:ascii="Palatino Linotype" w:eastAsia="Palatino Linotype" w:hAnsi="Palatino Linotype" w:cs="Palatino Linotype"/>
          <w:b/>
        </w:rPr>
        <w:t xml:space="preserve">cinco de diciembre </w:t>
      </w:r>
      <w:r w:rsidRPr="00FB27AF">
        <w:rPr>
          <w:rFonts w:ascii="Palatino Linotype" w:eastAsia="Palatino Linotype" w:hAnsi="Palatino Linotype" w:cs="Palatino Linotype"/>
          <w:b/>
        </w:rPr>
        <w:t>de dos mil veintidós</w:t>
      </w:r>
      <w:r w:rsidR="00F07D35" w:rsidRPr="00FB27AF">
        <w:rPr>
          <w:rFonts w:ascii="Palatino Linotype" w:eastAsia="Palatino Linotype" w:hAnsi="Palatino Linotype" w:cs="Palatino Linotype"/>
        </w:rPr>
        <w:t xml:space="preserve">, esto es, </w:t>
      </w:r>
      <w:r w:rsidR="00947084" w:rsidRPr="00FB27AF">
        <w:rPr>
          <w:rFonts w:ascii="Palatino Linotype" w:eastAsia="Palatino Linotype" w:hAnsi="Palatino Linotype" w:cs="Palatino Linotype"/>
        </w:rPr>
        <w:t>a</w:t>
      </w:r>
      <w:r w:rsidRPr="00FB27AF">
        <w:rPr>
          <w:rFonts w:ascii="Palatino Linotype" w:eastAsia="Palatino Linotype" w:hAnsi="Palatino Linotype" w:cs="Palatino Linotype"/>
        </w:rPr>
        <w:t>l</w:t>
      </w:r>
      <w:r w:rsidR="00947084" w:rsidRPr="00FB27AF">
        <w:rPr>
          <w:rFonts w:ascii="Palatino Linotype" w:eastAsia="Palatino Linotype" w:hAnsi="Palatino Linotype" w:cs="Palatino Linotype"/>
        </w:rPr>
        <w:t xml:space="preserve"> segundo día hábil </w:t>
      </w:r>
      <w:r w:rsidRPr="00FB27AF">
        <w:rPr>
          <w:rFonts w:ascii="Palatino Linotype" w:eastAsia="Palatino Linotype" w:hAnsi="Palatino Linotype" w:cs="Palatino Linotype"/>
        </w:rPr>
        <w:t>en que tuvo conocimiento de la respuesta impugnada.</w:t>
      </w:r>
    </w:p>
    <w:p w14:paraId="48AA4247" w14:textId="77777777" w:rsidR="00F07D35" w:rsidRPr="00FB27AF" w:rsidRDefault="00F07D35" w:rsidP="00F07D35">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En este sentido, se concluye que el presente recurso de revisión se encuentra dentro de los márgenes temporales previstos en las disposiciones legales referidas.</w:t>
      </w:r>
    </w:p>
    <w:p w14:paraId="46BD6DAB" w14:textId="77777777" w:rsidR="000C6F0F" w:rsidRPr="00FB27AF" w:rsidRDefault="00B949B2">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FB27A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C2504B9" w14:textId="77777777" w:rsidR="00947084" w:rsidRPr="00FB27AF" w:rsidRDefault="00947084" w:rsidP="00947084">
      <w:pPr>
        <w:spacing w:before="240" w:after="240" w:line="360" w:lineRule="auto"/>
        <w:jc w:val="both"/>
        <w:rPr>
          <w:rFonts w:ascii="Palatino Linotype" w:hAnsi="Palatino Linotype" w:cs="Arial"/>
        </w:rPr>
      </w:pPr>
      <w:r w:rsidRPr="00FB27AF">
        <w:rPr>
          <w:rFonts w:ascii="Palatino Linotype" w:hAnsi="Palatino Linotype" w:cs="Arial"/>
        </w:rPr>
        <w:t xml:space="preserve">A efecto de sustentar lo anterior, es de suma importancia mencionar que la persona solicitante </w:t>
      </w:r>
      <w:r w:rsidRPr="00FB27AF">
        <w:rPr>
          <w:rFonts w:ascii="Palatino Linotype" w:hAnsi="Palatino Linotype" w:cs="Arial"/>
          <w:b/>
          <w:bCs/>
        </w:rPr>
        <w:t xml:space="preserve">no proporcionó nombre o seudónimo, </w:t>
      </w:r>
      <w:r w:rsidRPr="00FB27AF">
        <w:rPr>
          <w:rFonts w:ascii="Palatino Linotype" w:hAnsi="Palatino Linotype" w:cs="Arial"/>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Ley de </w:t>
      </w:r>
      <w:r w:rsidRPr="00FB27AF">
        <w:rPr>
          <w:rFonts w:ascii="Palatino Linotype" w:hAnsi="Palatino Linotype" w:cs="Arial"/>
        </w:rPr>
        <w:lastRenderedPageBreak/>
        <w:t>Transparencia y Acceso a la Información Pública del Estado de México y Municipios que establece lo siguiente:</w:t>
      </w:r>
    </w:p>
    <w:p w14:paraId="6333119C" w14:textId="77777777" w:rsidR="00947084" w:rsidRPr="00FB27AF" w:rsidRDefault="00947084" w:rsidP="00947084">
      <w:pPr>
        <w:spacing w:before="120" w:after="120"/>
        <w:ind w:left="851" w:right="902"/>
        <w:jc w:val="both"/>
        <w:rPr>
          <w:rFonts w:ascii="Palatino Linotype" w:hAnsi="Palatino Linotype" w:cs="Arial"/>
          <w:sz w:val="22"/>
        </w:rPr>
      </w:pPr>
      <w:r w:rsidRPr="00FB27AF">
        <w:rPr>
          <w:rFonts w:ascii="Palatino Linotype" w:hAnsi="Palatino Linotype" w:cs="Arial"/>
          <w:i/>
          <w:iCs/>
          <w:sz w:val="22"/>
        </w:rPr>
        <w:t>"</w:t>
      </w:r>
      <w:r w:rsidRPr="00FB27AF">
        <w:rPr>
          <w:rFonts w:ascii="Palatino Linotype" w:hAnsi="Palatino Linotype" w:cs="Arial"/>
          <w:b/>
          <w:bCs/>
          <w:i/>
          <w:iCs/>
          <w:sz w:val="22"/>
        </w:rPr>
        <w:t>Las solicitudes anónimas</w:t>
      </w:r>
      <w:r w:rsidRPr="00FB27AF">
        <w:rPr>
          <w:rFonts w:ascii="Palatino Linotype" w:hAnsi="Palatino Linotype" w:cs="Arial"/>
          <w:i/>
          <w:iCs/>
          <w:sz w:val="22"/>
        </w:rPr>
        <w:t xml:space="preserve">, con nombre incompleto o seudónimo </w:t>
      </w:r>
      <w:r w:rsidRPr="00FB27AF">
        <w:rPr>
          <w:rFonts w:ascii="Palatino Linotype" w:hAnsi="Palatino Linotype" w:cs="Arial"/>
          <w:b/>
          <w:bCs/>
          <w:i/>
          <w:iCs/>
          <w:sz w:val="22"/>
        </w:rPr>
        <w:t>serán procedentes para su trámite por parte del sujeto obligado ante quien se presente</w:t>
      </w:r>
      <w:r w:rsidRPr="00FB27AF">
        <w:rPr>
          <w:rFonts w:ascii="Palatino Linotype" w:hAnsi="Palatino Linotype" w:cs="Arial"/>
          <w:i/>
          <w:iCs/>
          <w:sz w:val="22"/>
        </w:rPr>
        <w:t>. No podrá requerirse información adicional con motivo del nombre proporcionado por el solicitante."</w:t>
      </w:r>
    </w:p>
    <w:p w14:paraId="393776CC" w14:textId="77777777" w:rsidR="00947084" w:rsidRPr="00FB27AF" w:rsidRDefault="00947084" w:rsidP="00947084">
      <w:pPr>
        <w:spacing w:before="240" w:after="240" w:line="360" w:lineRule="auto"/>
        <w:jc w:val="both"/>
        <w:rPr>
          <w:rFonts w:ascii="Palatino Linotype" w:hAnsi="Palatino Linotype" w:cs="Arial"/>
        </w:rPr>
      </w:pPr>
      <w:r w:rsidRPr="00FB27AF">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FB27AF">
        <w:rPr>
          <w:rFonts w:ascii="Palatino Linotype" w:hAnsi="Palatino Linotype"/>
          <w:b/>
        </w:rPr>
        <w:t>Recurrente</w:t>
      </w:r>
      <w:r w:rsidRPr="00FB27AF">
        <w:rPr>
          <w:rFonts w:ascii="Palatino Linotype" w:hAnsi="Palatino Linotype"/>
        </w:rPr>
        <w:t>, por lo que, en el presente caso, al haber sido presentado el recurso de revisión vía SAIMEX, dicho requisito resulta innecesario</w:t>
      </w:r>
      <w:r w:rsidRPr="00FB27AF">
        <w:rPr>
          <w:rFonts w:ascii="Palatino Linotype" w:hAnsi="Palatino Linotype" w:cs="Arial"/>
        </w:rPr>
        <w:t>.</w:t>
      </w:r>
    </w:p>
    <w:p w14:paraId="1FD543E2" w14:textId="77777777" w:rsidR="007142BE" w:rsidRPr="00FB27AF" w:rsidRDefault="00B949B2" w:rsidP="007142BE">
      <w:pPr>
        <w:spacing w:before="240" w:after="240" w:line="360" w:lineRule="auto"/>
        <w:jc w:val="both"/>
      </w:pPr>
      <w:r w:rsidRPr="00FB27AF">
        <w:rPr>
          <w:rFonts w:ascii="Palatino Linotype" w:eastAsia="Palatino Linotype" w:hAnsi="Palatino Linotype" w:cs="Palatino Linotype"/>
          <w:b/>
        </w:rPr>
        <w:t xml:space="preserve">Tercero. </w:t>
      </w:r>
      <w:r w:rsidR="007142BE" w:rsidRPr="00FB27AF">
        <w:rPr>
          <w:rFonts w:ascii="Palatino Linotype" w:hAnsi="Palatino Linotype" w:cs="Arial"/>
          <w:b/>
          <w:szCs w:val="28"/>
        </w:rPr>
        <w:t>Análisis de las causales de improcedencia y sobreseimiento del Recurso de Revisión</w:t>
      </w:r>
      <w:r w:rsidR="007142BE" w:rsidRPr="00FB27AF">
        <w:rPr>
          <w:rFonts w:ascii="Palatino Linotype" w:hAnsi="Palatino Linotype" w:cs="Arial"/>
          <w:b/>
          <w:sz w:val="28"/>
          <w:szCs w:val="28"/>
        </w:rPr>
        <w:t xml:space="preserve">. </w:t>
      </w:r>
      <w:r w:rsidR="007142BE" w:rsidRPr="00FB27AF">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99EB6C" w14:textId="77777777" w:rsidR="007142BE" w:rsidRPr="00FB27AF" w:rsidRDefault="007142BE" w:rsidP="007142BE">
      <w:pPr>
        <w:spacing w:before="240" w:after="240" w:line="360" w:lineRule="auto"/>
        <w:jc w:val="both"/>
      </w:pPr>
      <w:r w:rsidRPr="00FB27AF">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w:t>
      </w:r>
      <w:r w:rsidRPr="00FB27AF">
        <w:rPr>
          <w:rFonts w:ascii="Palatino Linotype" w:eastAsia="Palatino Linotype" w:hAnsi="Palatino Linotype" w:cs="Palatino Linotype"/>
        </w:rPr>
        <w:lastRenderedPageBreak/>
        <w:t>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w:t>
      </w:r>
      <w:r w:rsidR="00896E0B" w:rsidRPr="00FB27AF">
        <w:rPr>
          <w:rFonts w:ascii="Palatino Linotype" w:eastAsia="Palatino Linotype" w:hAnsi="Palatino Linotype" w:cs="Palatino Linotype"/>
        </w:rPr>
        <w:t>e acceso a la justicia, ya que e</w:t>
      </w:r>
      <w:r w:rsidRPr="00FB27AF">
        <w:rPr>
          <w:rFonts w:ascii="Palatino Linotype" w:eastAsia="Palatino Linotype" w:hAnsi="Palatino Linotype" w:cs="Palatino Linotype"/>
        </w:rPr>
        <w:t>ste no se coarta por regular causas de improcedencia y sobreseimiento con tales fines.</w:t>
      </w:r>
    </w:p>
    <w:p w14:paraId="52E98286" w14:textId="77777777" w:rsidR="007142BE" w:rsidRPr="00FB27AF" w:rsidRDefault="007142BE" w:rsidP="007142BE">
      <w:pPr>
        <w:spacing w:before="240" w:after="240" w:line="360" w:lineRule="auto"/>
        <w:ind w:right="51"/>
        <w:jc w:val="both"/>
        <w:rPr>
          <w:rFonts w:ascii="Palatino Linotype" w:eastAsia="Palatino Linotype" w:hAnsi="Palatino Linotype" w:cs="Palatino Linotype"/>
        </w:rPr>
      </w:pPr>
      <w:r w:rsidRPr="00FB27AF">
        <w:rPr>
          <w:rFonts w:ascii="Palatino Linotype" w:eastAsia="Palatino Linotype" w:hAnsi="Palatino Linotype" w:cs="Palatino Linotype"/>
        </w:rPr>
        <w:t>De manera preliminar en el caso concreto conviene analizar si se actualiza alguna de las causales de sobreseimiento del recurso de revisión.</w:t>
      </w:r>
    </w:p>
    <w:p w14:paraId="634124EC" w14:textId="77777777" w:rsidR="007142BE" w:rsidRPr="00FB27AF" w:rsidRDefault="007142BE" w:rsidP="007142BE">
      <w:pPr>
        <w:spacing w:before="240" w:after="240" w:line="360" w:lineRule="auto"/>
        <w:ind w:right="51"/>
        <w:jc w:val="both"/>
        <w:rPr>
          <w:rFonts w:ascii="Palatino Linotype" w:eastAsia="Palatino Linotype" w:hAnsi="Palatino Linotype" w:cs="Palatino Linotype"/>
        </w:rPr>
      </w:pPr>
      <w:r w:rsidRPr="00FB27AF">
        <w:rPr>
          <w:rFonts w:ascii="Palatino Linotype" w:hAnsi="Palatino Linotype" w:cs="Arial"/>
          <w:szCs w:val="28"/>
        </w:rPr>
        <w:t xml:space="preserve">En tal contexto, del análisis de la </w:t>
      </w:r>
      <w:r w:rsidRPr="00FB27AF">
        <w:rPr>
          <w:rFonts w:ascii="Palatino Linotype" w:eastAsia="Palatino Linotype" w:hAnsi="Palatino Linotype" w:cs="Palatino Linotype"/>
        </w:rPr>
        <w:t xml:space="preserve">solicitud de información motivo del recurso de revisión que ahora se resuelve, se advierte que la persona solicitante requirió al </w:t>
      </w:r>
      <w:r w:rsidRPr="00FB27AF">
        <w:rPr>
          <w:rFonts w:ascii="Palatino Linotype" w:eastAsia="Palatino Linotype" w:hAnsi="Palatino Linotype" w:cs="Palatino Linotype"/>
          <w:b/>
        </w:rPr>
        <w:t>Sujeto Obligado</w:t>
      </w:r>
      <w:r w:rsidRPr="00FB27AF">
        <w:rPr>
          <w:rFonts w:ascii="Palatino Linotype" w:eastAsia="Palatino Linotype" w:hAnsi="Palatino Linotype" w:cs="Palatino Linotype"/>
        </w:rPr>
        <w:t xml:space="preserve"> le proporcione información consistente en lo siguiente:</w:t>
      </w:r>
    </w:p>
    <w:p w14:paraId="55324E32" w14:textId="77777777" w:rsidR="00710417" w:rsidRPr="00FB27AF" w:rsidRDefault="007142BE" w:rsidP="00710417">
      <w:pPr>
        <w:spacing w:before="240" w:after="240" w:line="360" w:lineRule="auto"/>
        <w:ind w:left="426"/>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1. Solicito a través de este medio, </w:t>
      </w:r>
      <w:r w:rsidRPr="00FB27AF">
        <w:rPr>
          <w:rFonts w:ascii="Palatino Linotype" w:eastAsia="Palatino Linotype" w:hAnsi="Palatino Linotype" w:cs="Palatino Linotype"/>
          <w:b/>
          <w:u w:val="single"/>
        </w:rPr>
        <w:t>justifique la</w:t>
      </w:r>
      <w:r w:rsidR="00710417" w:rsidRPr="00FB27AF">
        <w:rPr>
          <w:rFonts w:ascii="Palatino Linotype" w:eastAsia="Palatino Linotype" w:hAnsi="Palatino Linotype" w:cs="Palatino Linotype"/>
          <w:b/>
          <w:u w:val="single"/>
        </w:rPr>
        <w:t xml:space="preserve"> relación entre el personal del </w:t>
      </w:r>
      <w:r w:rsidRPr="00FB27AF">
        <w:rPr>
          <w:rFonts w:ascii="Palatino Linotype" w:eastAsia="Palatino Linotype" w:hAnsi="Palatino Linotype" w:cs="Palatino Linotype"/>
          <w:b/>
          <w:u w:val="single"/>
        </w:rPr>
        <w:t>DIF Coacalco</w:t>
      </w:r>
      <w:r w:rsidR="00710417" w:rsidRPr="00FB27AF">
        <w:rPr>
          <w:rFonts w:ascii="Palatino Linotype" w:eastAsia="Palatino Linotype" w:hAnsi="Palatino Linotype" w:cs="Palatino Linotype"/>
          <w:b/>
          <w:u w:val="single"/>
        </w:rPr>
        <w:t xml:space="preserve"> de Berriozábal</w:t>
      </w:r>
      <w:r w:rsidRPr="00FB27AF">
        <w:rPr>
          <w:rFonts w:ascii="Palatino Linotype" w:eastAsia="Palatino Linotype" w:hAnsi="Palatino Linotype" w:cs="Palatino Linotype"/>
          <w:b/>
          <w:u w:val="single"/>
        </w:rPr>
        <w:t xml:space="preserve"> y la Diput</w:t>
      </w:r>
      <w:r w:rsidR="00710417" w:rsidRPr="00FB27AF">
        <w:rPr>
          <w:rFonts w:ascii="Palatino Linotype" w:eastAsia="Palatino Linotype" w:hAnsi="Palatino Linotype" w:cs="Palatino Linotype"/>
          <w:b/>
          <w:u w:val="single"/>
        </w:rPr>
        <w:t>ada Local</w:t>
      </w:r>
      <w:r w:rsidR="00710417" w:rsidRPr="00FB27AF">
        <w:rPr>
          <w:rFonts w:ascii="Palatino Linotype" w:eastAsia="Palatino Linotype" w:hAnsi="Palatino Linotype" w:cs="Palatino Linotype"/>
        </w:rPr>
        <w:t xml:space="preserve"> Ana Karen Guadarrama Santamaría. </w:t>
      </w:r>
    </w:p>
    <w:p w14:paraId="05EEB38D" w14:textId="77777777" w:rsidR="007142BE" w:rsidRPr="00FB27AF" w:rsidRDefault="007142BE" w:rsidP="007142BE">
      <w:pPr>
        <w:spacing w:before="240" w:after="240" w:line="360" w:lineRule="auto"/>
        <w:ind w:left="426"/>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2. Asimismo, </w:t>
      </w:r>
      <w:r w:rsidRPr="00FB27AF">
        <w:rPr>
          <w:rFonts w:ascii="Palatino Linotype" w:eastAsia="Palatino Linotype" w:hAnsi="Palatino Linotype" w:cs="Palatino Linotype"/>
          <w:b/>
          <w:u w:val="single"/>
        </w:rPr>
        <w:t>j</w:t>
      </w:r>
      <w:r w:rsidR="00710417" w:rsidRPr="00FB27AF">
        <w:rPr>
          <w:rFonts w:ascii="Palatino Linotype" w:eastAsia="Palatino Linotype" w:hAnsi="Palatino Linotype" w:cs="Palatino Linotype"/>
          <w:b/>
          <w:u w:val="single"/>
        </w:rPr>
        <w:t>ustifique</w:t>
      </w:r>
      <w:r w:rsidRPr="00FB27AF">
        <w:rPr>
          <w:rFonts w:ascii="Palatino Linotype" w:eastAsia="Palatino Linotype" w:hAnsi="Palatino Linotype" w:cs="Palatino Linotype"/>
          <w:b/>
          <w:u w:val="single"/>
        </w:rPr>
        <w:t xml:space="preserve"> las horas de entrada y salida</w:t>
      </w:r>
      <w:r w:rsidRPr="00FB27AF">
        <w:rPr>
          <w:rFonts w:ascii="Palatino Linotype" w:eastAsia="Palatino Linotype" w:hAnsi="Palatino Linotype" w:cs="Palatino Linotype"/>
        </w:rPr>
        <w:t xml:space="preserve"> del día </w:t>
      </w:r>
      <w:r w:rsidR="00710417" w:rsidRPr="00FB27AF">
        <w:rPr>
          <w:rFonts w:ascii="Palatino Linotype" w:eastAsia="Palatino Linotype" w:hAnsi="Palatino Linotype" w:cs="Palatino Linotype"/>
        </w:rPr>
        <w:t xml:space="preserve">nueve de noviembre de dos mil veintidós, </w:t>
      </w:r>
      <w:r w:rsidRPr="00FB27AF">
        <w:rPr>
          <w:rFonts w:ascii="Palatino Linotype" w:eastAsia="Palatino Linotype" w:hAnsi="Palatino Linotype" w:cs="Palatino Linotype"/>
        </w:rPr>
        <w:t xml:space="preserve">según el biométrico. </w:t>
      </w:r>
    </w:p>
    <w:p w14:paraId="316AE477" w14:textId="77777777" w:rsidR="007142BE" w:rsidRPr="00FB27AF" w:rsidRDefault="007142BE" w:rsidP="00694E9F">
      <w:pPr>
        <w:pStyle w:val="NormalWeb"/>
        <w:spacing w:before="0" w:beforeAutospacing="0" w:after="160" w:afterAutospacing="0" w:line="360" w:lineRule="auto"/>
        <w:jc w:val="both"/>
        <w:rPr>
          <w:rFonts w:ascii="Palatino Linotype" w:hAnsi="Palatino Linotype"/>
        </w:rPr>
      </w:pPr>
      <w:r w:rsidRPr="00FB27AF">
        <w:rPr>
          <w:rFonts w:ascii="Palatino Linotype" w:hAnsi="Palatino Linotype"/>
        </w:rPr>
        <w:t xml:space="preserve">Asimismo, no pasa desapercibido que la persona solicitante realizó diversos planteamientos como parte de su solicitud de </w:t>
      </w:r>
      <w:proofErr w:type="gramStart"/>
      <w:r w:rsidRPr="00FB27AF">
        <w:rPr>
          <w:rFonts w:ascii="Palatino Linotype" w:hAnsi="Palatino Linotype"/>
        </w:rPr>
        <w:t>información  tales</w:t>
      </w:r>
      <w:proofErr w:type="gramEnd"/>
      <w:r w:rsidRPr="00FB27AF">
        <w:rPr>
          <w:rFonts w:ascii="Palatino Linotype" w:hAnsi="Palatino Linotype"/>
        </w:rPr>
        <w:t xml:space="preserve"> como “</w:t>
      </w:r>
      <w:r w:rsidRPr="00FB27AF">
        <w:rPr>
          <w:rFonts w:ascii="Palatino Linotype" w:hAnsi="Palatino Linotype"/>
          <w:i/>
        </w:rPr>
        <w:t>esto porqué han asistido a eventos públicos en horario laboral</w:t>
      </w:r>
      <w:r w:rsidRPr="00FB27AF">
        <w:rPr>
          <w:rFonts w:ascii="Palatino Linotype" w:hAnsi="Palatino Linotype"/>
        </w:rPr>
        <w:t>” ... “</w:t>
      </w:r>
      <w:r w:rsidRPr="00FB27AF">
        <w:rPr>
          <w:rFonts w:ascii="Palatino Linotype" w:hAnsi="Palatino Linotype"/>
          <w:i/>
        </w:rPr>
        <w:t xml:space="preserve">debido a que soy una persona con </w:t>
      </w:r>
      <w:r w:rsidRPr="00FB27AF">
        <w:rPr>
          <w:rFonts w:ascii="Palatino Linotype" w:hAnsi="Palatino Linotype"/>
          <w:i/>
        </w:rPr>
        <w:lastRenderedPageBreak/>
        <w:t>discapacidad motriz que me impide salir de mi domicilio. Esperando su respuesta, pido que se respete mi derecho al acceso a la información pública</w:t>
      </w:r>
      <w:r w:rsidRPr="00FB27AF">
        <w:rPr>
          <w:rFonts w:ascii="Palatino Linotype" w:hAnsi="Palatino Linotype"/>
        </w:rPr>
        <w:t>”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En este sentido, se trata de manifestaciones sobre las cuales este Instituto no está facultado para pronunciarse.</w:t>
      </w:r>
    </w:p>
    <w:p w14:paraId="6CCB8491" w14:textId="77777777" w:rsidR="00DB1814" w:rsidRPr="00FB27AF" w:rsidRDefault="00DB1814" w:rsidP="00694E9F">
      <w:pPr>
        <w:pStyle w:val="NormalWeb"/>
        <w:spacing w:before="0" w:beforeAutospacing="0" w:after="160" w:afterAutospacing="0" w:line="360" w:lineRule="auto"/>
        <w:jc w:val="both"/>
        <w:rPr>
          <w:rFonts w:ascii="Palatino Linotype" w:hAnsi="Palatino Linotype"/>
        </w:rPr>
      </w:pPr>
      <w:r w:rsidRPr="00FB27AF">
        <w:rPr>
          <w:rFonts w:ascii="Palatino Linotype" w:hAnsi="Palatino Linotype"/>
        </w:rPr>
        <w:t xml:space="preserve">Asimismo, la persona solicitante remitió dos imágenes relacionadas con la </w:t>
      </w:r>
      <w:r w:rsidRPr="00FB27AF">
        <w:rPr>
          <w:rFonts w:ascii="Palatino Linotype" w:eastAsia="Palatino Linotype" w:hAnsi="Palatino Linotype" w:cs="Palatino Linotype"/>
        </w:rPr>
        <w:t>Diputada referida, sin embargo,</w:t>
      </w:r>
      <w:r w:rsidR="00BE16BC" w:rsidRPr="00FB27AF">
        <w:rPr>
          <w:rFonts w:ascii="Palatino Linotype" w:eastAsia="Palatino Linotype" w:hAnsi="Palatino Linotype" w:cs="Palatino Linotype"/>
        </w:rPr>
        <w:t xml:space="preserve"> </w:t>
      </w:r>
      <w:r w:rsidRPr="00FB27AF">
        <w:rPr>
          <w:rFonts w:ascii="Palatino Linotype" w:eastAsia="Palatino Linotype" w:hAnsi="Palatino Linotype" w:cs="Palatino Linotype"/>
        </w:rPr>
        <w:t>del análisis efectuado por este Organismo, no se</w:t>
      </w:r>
      <w:r w:rsidR="00BE16BC" w:rsidRPr="00FB27AF">
        <w:rPr>
          <w:rFonts w:ascii="Palatino Linotype" w:eastAsia="Palatino Linotype" w:hAnsi="Palatino Linotype" w:cs="Palatino Linotype"/>
        </w:rPr>
        <w:t xml:space="preserve"> tiene certeza de que las mismas </w:t>
      </w:r>
      <w:r w:rsidRPr="00FB27AF">
        <w:rPr>
          <w:rFonts w:ascii="Palatino Linotype" w:eastAsia="Palatino Linotype" w:hAnsi="Palatino Linotype" w:cs="Palatino Linotype"/>
        </w:rPr>
        <w:t>estén vinculadas con los servidores públicos del Sistema Municipal para el Desarrollo Integral de la Fami</w:t>
      </w:r>
      <w:r w:rsidR="00BE16BC" w:rsidRPr="00FB27AF">
        <w:rPr>
          <w:rFonts w:ascii="Palatino Linotype" w:eastAsia="Palatino Linotype" w:hAnsi="Palatino Linotype" w:cs="Palatino Linotype"/>
        </w:rPr>
        <w:t>lia de Coacalco de Berriozábal.</w:t>
      </w:r>
    </w:p>
    <w:p w14:paraId="56A998A0" w14:textId="77777777" w:rsidR="00914B98" w:rsidRPr="00FB27AF" w:rsidRDefault="0026414C" w:rsidP="00971DA7">
      <w:pPr>
        <w:spacing w:before="240" w:after="240" w:line="360" w:lineRule="auto"/>
        <w:ind w:right="51"/>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En respuesta, el </w:t>
      </w:r>
      <w:r w:rsidRPr="00FB27AF">
        <w:rPr>
          <w:rFonts w:ascii="Palatino Linotype" w:eastAsia="Palatino Linotype" w:hAnsi="Palatino Linotype" w:cs="Palatino Linotype"/>
          <w:b/>
        </w:rPr>
        <w:t xml:space="preserve">Sujeto Obligado, </w:t>
      </w:r>
      <w:r w:rsidRPr="00FB27AF">
        <w:rPr>
          <w:rFonts w:ascii="Palatino Linotype" w:eastAsia="Palatino Linotype" w:hAnsi="Palatino Linotype" w:cs="Palatino Linotype"/>
        </w:rPr>
        <w:t>a través de la Unidad de Transparencia</w:t>
      </w:r>
      <w:r w:rsidR="006A2350" w:rsidRPr="00FB27AF">
        <w:rPr>
          <w:rFonts w:ascii="Palatino Linotype" w:eastAsia="Palatino Linotype" w:hAnsi="Palatino Linotype" w:cs="Palatino Linotype"/>
        </w:rPr>
        <w:t xml:space="preserve"> notificó el pronunciamiento de la </w:t>
      </w:r>
      <w:r w:rsidR="00EF5B73" w:rsidRPr="00FB27AF">
        <w:rPr>
          <w:rFonts w:ascii="Palatino Linotype" w:eastAsia="Palatino Linotype" w:hAnsi="Palatino Linotype" w:cs="Palatino Linotype"/>
        </w:rPr>
        <w:t>Subdirección de Administración</w:t>
      </w:r>
      <w:r w:rsidR="003C7A38" w:rsidRPr="00FB27AF">
        <w:rPr>
          <w:rFonts w:ascii="Palatino Linotype" w:eastAsia="Palatino Linotype" w:hAnsi="Palatino Linotype" w:cs="Palatino Linotype"/>
        </w:rPr>
        <w:t>, quien informó que el horario laboral del Organismo Descentralizado se establece de conformidad con lo dispuesto en los artículos 59 y 60 de Ley del Trabajo de los Servidores Públicos del Estado y Municipios, así como establece los artículos 42, 43, 44, 45 y 46 del Reglamento Interno del Sistema Municipal para el Desarrollo Integral de la Familia de Coacalco de Berriozábal, respecto de la integración de la administración pública del SMDIF y de las atribuciones genéricas para subdir</w:t>
      </w:r>
      <w:r w:rsidR="00914B98" w:rsidRPr="00FB27AF">
        <w:rPr>
          <w:rFonts w:ascii="Palatino Linotype" w:eastAsia="Palatino Linotype" w:hAnsi="Palatino Linotype" w:cs="Palatino Linotype"/>
        </w:rPr>
        <w:t xml:space="preserve">ectores de área y </w:t>
      </w:r>
      <w:r w:rsidR="00914B98" w:rsidRPr="00FB27AF">
        <w:rPr>
          <w:rFonts w:ascii="Palatino Linotype" w:eastAsia="Palatino Linotype" w:hAnsi="Palatino Linotype" w:cs="Palatino Linotype"/>
        </w:rPr>
        <w:lastRenderedPageBreak/>
        <w:t>departamentos, y, respecto de la justificación de la relación entre el personal del DIF y la Diputada Local referida, señaló que dicho requerimiento no encuadran en el supuesto previsto en el artículo 4 párrafo primero de la Ley Estatal de Transparencia, que concibe al derecho humano de acceso a la información pública como la prerrogativa de las personas para buscar difundir, investigar, recabar, recibir y solicitar información pública; entendiéndose como información pública aquella información generada, obtenida, adquirida, transformada, administrada o en posesión de los sujetos obligados en el ejercicio de sus atribuciones y funciones, dado que corresponde más a un derecho de petición que contiene juicios de valor y apreciaciones subjetivas que al derecho de acceso a la información pública, por lo cual es inatendibles por parte del Organismo Descentralizado.</w:t>
      </w:r>
    </w:p>
    <w:p w14:paraId="435105F8" w14:textId="77777777" w:rsidR="00914B98" w:rsidRPr="00FB27AF" w:rsidRDefault="00914B98" w:rsidP="00914B98">
      <w:pPr>
        <w:spacing w:before="240" w:after="240" w:line="360" w:lineRule="auto"/>
        <w:ind w:right="49"/>
        <w:jc w:val="both"/>
        <w:rPr>
          <w:rFonts w:ascii="Palatino Linotype" w:eastAsia="Palatino Linotype" w:hAnsi="Palatino Linotype" w:cs="Palatino Linotype"/>
        </w:rPr>
      </w:pPr>
      <w:r w:rsidRPr="00FB27AF">
        <w:rPr>
          <w:rFonts w:ascii="Palatino Linotype" w:eastAsia="Palatino Linotype" w:hAnsi="Palatino Linotype" w:cs="Palatino Linotype"/>
        </w:rPr>
        <w:t>Una vez notificada la respuesta, la persona solicitante</w:t>
      </w:r>
      <w:r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rPr>
        <w:t>presentó el recurso de revisión que nos ocupa, en el cual señaló como motivo de inconformidad, lo siguiente:</w:t>
      </w:r>
    </w:p>
    <w:p w14:paraId="165EDEC0" w14:textId="77777777" w:rsidR="00914B98" w:rsidRPr="00FB27AF" w:rsidRDefault="00914B98" w:rsidP="00914B98">
      <w:pPr>
        <w:tabs>
          <w:tab w:val="left" w:pos="2745"/>
        </w:tabs>
        <w:spacing w:before="240" w:after="240"/>
        <w:ind w:left="851" w:right="900"/>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i/>
          <w:sz w:val="22"/>
          <w:szCs w:val="22"/>
        </w:rPr>
        <w:t>“</w:t>
      </w:r>
      <w:r w:rsidRPr="00FB27AF">
        <w:rPr>
          <w:rFonts w:ascii="Palatino Linotype" w:eastAsia="Palatino Linotype" w:hAnsi="Palatino Linotype" w:cs="Palatino Linotype"/>
          <w:b/>
          <w:i/>
          <w:sz w:val="22"/>
          <w:szCs w:val="22"/>
        </w:rPr>
        <w:t xml:space="preserve">Omite la respuesta </w:t>
      </w:r>
      <w:r w:rsidRPr="00FB27AF">
        <w:rPr>
          <w:rFonts w:ascii="Palatino Linotype" w:eastAsia="Palatino Linotype" w:hAnsi="Palatino Linotype" w:cs="Palatino Linotype"/>
          <w:b/>
          <w:i/>
          <w:sz w:val="22"/>
          <w:szCs w:val="22"/>
          <w:u w:val="single"/>
        </w:rPr>
        <w:t>a</w:t>
      </w:r>
      <w:r w:rsidRPr="00FB27AF">
        <w:rPr>
          <w:rFonts w:ascii="Palatino Linotype" w:eastAsia="Palatino Linotype" w:hAnsi="Palatino Linotype" w:cs="Palatino Linotype"/>
          <w:i/>
          <w:sz w:val="22"/>
          <w:szCs w:val="22"/>
          <w:u w:val="single"/>
        </w:rPr>
        <w:t xml:space="preserve"> </w:t>
      </w:r>
      <w:r w:rsidRPr="00FB27AF">
        <w:rPr>
          <w:rFonts w:ascii="Palatino Linotype" w:eastAsia="Palatino Linotype" w:hAnsi="Palatino Linotype" w:cs="Palatino Linotype"/>
          <w:b/>
          <w:i/>
          <w:sz w:val="22"/>
          <w:szCs w:val="22"/>
          <w:u w:val="single"/>
        </w:rPr>
        <w:t>la justificación de asistencia</w:t>
      </w:r>
      <w:r w:rsidRPr="00FB27AF">
        <w:rPr>
          <w:rFonts w:ascii="Palatino Linotype" w:eastAsia="Palatino Linotype" w:hAnsi="Palatino Linotype" w:cs="Palatino Linotype"/>
          <w:i/>
          <w:sz w:val="22"/>
          <w:szCs w:val="22"/>
          <w:u w:val="single"/>
        </w:rPr>
        <w:t xml:space="preserve"> </w:t>
      </w:r>
      <w:r w:rsidRPr="00FB27AF">
        <w:rPr>
          <w:rFonts w:ascii="Palatino Linotype" w:eastAsia="Palatino Linotype" w:hAnsi="Palatino Linotype" w:cs="Palatino Linotype"/>
          <w:b/>
          <w:i/>
          <w:sz w:val="22"/>
          <w:szCs w:val="22"/>
          <w:u w:val="single"/>
        </w:rPr>
        <w:t>en horario laboral a eventos proselitistas del PRI</w:t>
      </w:r>
      <w:r w:rsidRPr="00FB27AF">
        <w:rPr>
          <w:rFonts w:ascii="Palatino Linotype" w:eastAsia="Palatino Linotype" w:hAnsi="Palatino Linotype" w:cs="Palatino Linotype"/>
          <w:i/>
          <w:sz w:val="22"/>
          <w:szCs w:val="22"/>
        </w:rPr>
        <w:t>.” (sic)</w:t>
      </w:r>
    </w:p>
    <w:p w14:paraId="5094358E" w14:textId="3D3C74B0" w:rsidR="00162064" w:rsidRPr="00FB27AF" w:rsidRDefault="00914B98" w:rsidP="00162064">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Atentos a la inconformidad planteada resulta necesario</w:t>
      </w:r>
      <w:r w:rsidR="00162064" w:rsidRPr="00FB27AF">
        <w:rPr>
          <w:rFonts w:ascii="Palatino Linotype" w:eastAsia="Palatino Linotype" w:hAnsi="Palatino Linotype" w:cs="Palatino Linotype"/>
        </w:rPr>
        <w:t xml:space="preserve"> señalar,</w:t>
      </w:r>
      <w:r w:rsidRPr="00FB27AF">
        <w:rPr>
          <w:rFonts w:ascii="Palatino Linotype" w:eastAsia="Palatino Linotype" w:hAnsi="Palatino Linotype" w:cs="Palatino Linotype"/>
        </w:rPr>
        <w:t xml:space="preserve"> en primer lugar, que la persona solicitante no expresó motivo de inconformidad respecto de la información remitida por el </w:t>
      </w:r>
      <w:r w:rsidRPr="00FB27AF">
        <w:rPr>
          <w:rFonts w:ascii="Palatino Linotype" w:eastAsia="Palatino Linotype" w:hAnsi="Palatino Linotype" w:cs="Palatino Linotype"/>
          <w:b/>
        </w:rPr>
        <w:t>Sujeto Obligado</w:t>
      </w:r>
      <w:r w:rsidRPr="00FB27AF">
        <w:rPr>
          <w:rFonts w:ascii="Palatino Linotype" w:eastAsia="Palatino Linotype" w:hAnsi="Palatino Linotype" w:cs="Palatino Linotype"/>
        </w:rPr>
        <w:t xml:space="preserve">, </w:t>
      </w:r>
      <w:r w:rsidR="00162064" w:rsidRPr="00FB27AF">
        <w:rPr>
          <w:rFonts w:ascii="Palatino Linotype" w:eastAsia="Palatino Linotype" w:hAnsi="Palatino Linotype" w:cs="Palatino Linotype"/>
        </w:rPr>
        <w:t>para atender la solicitud de información,</w:t>
      </w:r>
      <w:r w:rsidR="007A2447" w:rsidRPr="00FB27AF">
        <w:rPr>
          <w:rFonts w:ascii="Palatino Linotype" w:eastAsia="Palatino Linotype" w:hAnsi="Palatino Linotype" w:cs="Palatino Linotype"/>
        </w:rPr>
        <w:t xml:space="preserve"> respecto de la justificación de la relación entre el personal del DIF Coacalco de Berriozábal y la Diputada Ana Karen Guadarrama Santamaría, así como de las horas de entrada y salida del día nueve de noviembre de dos mil veintidós, </w:t>
      </w:r>
      <w:r w:rsidR="007A2447" w:rsidRPr="00FB27AF">
        <w:rPr>
          <w:rFonts w:ascii="Palatino Linotype" w:eastAsia="Palatino Linotype" w:hAnsi="Palatino Linotype" w:cs="Palatino Linotype"/>
        </w:rPr>
        <w:lastRenderedPageBreak/>
        <w:t xml:space="preserve">según el biométrico, </w:t>
      </w:r>
      <w:r w:rsidR="00162064" w:rsidRPr="00FB27AF">
        <w:rPr>
          <w:rFonts w:ascii="Palatino Linotype" w:eastAsia="Palatino Linotype" w:hAnsi="Palatino Linotype" w:cs="Palatino Linotype"/>
        </w:rPr>
        <w:t xml:space="preserve">por lo que la respuesta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00162064" w:rsidRPr="00FB27AF">
        <w:rPr>
          <w:rFonts w:ascii="Palatino Linotype" w:eastAsia="Palatino Linotype" w:hAnsi="Palatino Linotype" w:cs="Palatino Linotype"/>
          <w:b/>
        </w:rPr>
        <w:t>Sujeto Obligado</w:t>
      </w:r>
      <w:r w:rsidR="00162064" w:rsidRPr="00FB27AF">
        <w:rPr>
          <w:rFonts w:ascii="Palatino Linotype" w:eastAsia="Palatino Linotype" w:hAnsi="Palatino Linotype" w:cs="Palatino Linotype"/>
        </w:rPr>
        <w:t>, satisface la solicitud presentada.</w:t>
      </w:r>
    </w:p>
    <w:p w14:paraId="60D75F34" w14:textId="77777777" w:rsidR="00162064" w:rsidRPr="00FB27AF" w:rsidRDefault="00162064" w:rsidP="00162064">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En este orden de ideas, al no haber realizado manifestaciones de inconformidad respecto de la información remitida, no pueden producirse efectos jurídicos tendentes a revocar, confirmar o modificar el acto reclamado, ya que, en el caso concreto se infiere que la información proporcionada por el </w:t>
      </w:r>
      <w:r w:rsidRPr="00FB27AF">
        <w:rPr>
          <w:rFonts w:ascii="Palatino Linotype" w:eastAsia="Palatino Linotype" w:hAnsi="Palatino Linotype" w:cs="Palatino Linotype"/>
          <w:b/>
        </w:rPr>
        <w:t>Sujeto Obligado</w:t>
      </w:r>
      <w:r w:rsidRPr="00FB27AF">
        <w:rPr>
          <w:rFonts w:ascii="Palatino Linotype" w:eastAsia="Palatino Linotype" w:hAnsi="Palatino Linotype" w:cs="Palatino Linotype"/>
        </w:rPr>
        <w:t>, satisface la solicitud presentada.</w:t>
      </w:r>
    </w:p>
    <w:p w14:paraId="416C26D5" w14:textId="77777777" w:rsidR="00162064" w:rsidRPr="00FB27AF" w:rsidRDefault="00162064" w:rsidP="00162064">
      <w:pPr>
        <w:spacing w:before="240" w:after="36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Lo anterior es así, debido a que cuando la parte </w:t>
      </w:r>
      <w:r w:rsidRPr="00FB27AF">
        <w:rPr>
          <w:rFonts w:ascii="Palatino Linotype" w:eastAsia="Palatino Linotype" w:hAnsi="Palatino Linotype" w:cs="Palatino Linotype"/>
          <w:b/>
          <w:bCs/>
        </w:rPr>
        <w:t>Recurrente</w:t>
      </w:r>
      <w:r w:rsidRPr="00FB27AF">
        <w:rPr>
          <w:rFonts w:ascii="Palatino Linotype" w:eastAsia="Palatino Linotype" w:hAnsi="Palatino Linotype" w:cs="Palatino Linotype"/>
        </w:rPr>
        <w:t xml:space="preserve"> impugna la respuesta del </w:t>
      </w:r>
      <w:r w:rsidRPr="00FB27AF">
        <w:rPr>
          <w:rFonts w:ascii="Palatino Linotype" w:eastAsia="Palatino Linotype" w:hAnsi="Palatino Linotype" w:cs="Palatino Linotype"/>
          <w:b/>
        </w:rPr>
        <w:t>Sujeto Obligado</w:t>
      </w:r>
      <w:r w:rsidR="00786E31" w:rsidRPr="00FB27AF">
        <w:rPr>
          <w:rFonts w:ascii="Palatino Linotype" w:eastAsia="Palatino Linotype" w:hAnsi="Palatino Linotype" w:cs="Palatino Linotype"/>
        </w:rPr>
        <w:t>, y e</w:t>
      </w:r>
      <w:r w:rsidRPr="00FB27AF">
        <w:rPr>
          <w:rFonts w:ascii="Palatino Linotype" w:eastAsia="Palatino Linotype" w:hAnsi="Palatino Linotype" w:cs="Palatino Linotype"/>
        </w:rPr>
        <w:t xml:space="preserve">ste no expresa Razón o Motivo de Inconformidad en contra de todos los rubros solicitados, dichos rubros deben declararse atendidos, pues se entiende que la parte </w:t>
      </w:r>
      <w:r w:rsidRPr="00FB27AF">
        <w:rPr>
          <w:rFonts w:ascii="Palatino Linotype" w:eastAsia="Palatino Linotype" w:hAnsi="Palatino Linotype" w:cs="Palatino Linotype"/>
          <w:b/>
          <w:bCs/>
        </w:rPr>
        <w:t>Recurrente</w:t>
      </w:r>
      <w:r w:rsidRPr="00FB27AF">
        <w:rPr>
          <w:rFonts w:ascii="Palatino Linotype" w:eastAsia="Palatino Linotype" w:hAnsi="Palatino Linotype" w:cs="Palatino Linotype"/>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D1A8428" w14:textId="77777777" w:rsidR="00162064" w:rsidRPr="00FB27AF" w:rsidRDefault="00162064" w:rsidP="00162064">
      <w:pPr>
        <w:spacing w:before="240" w:after="360"/>
        <w:ind w:left="851" w:right="900"/>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“REVISIÓN EN AMPARO. LOS RESOLUTIVOS NO COMBATIDOS DEBEN DECLARARSE FIRMES. </w:t>
      </w:r>
      <w:r w:rsidRPr="00FB27AF">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sidRPr="00FB27AF">
        <w:rPr>
          <w:rFonts w:ascii="Palatino Linotype" w:eastAsia="Palatino Linotype" w:hAnsi="Palatino Linotype" w:cs="Palatino Linotype"/>
          <w:i/>
          <w:sz w:val="22"/>
          <w:szCs w:val="22"/>
        </w:rPr>
        <w:lastRenderedPageBreak/>
        <w:t>contra de los cuales no se formuló agravio y dicha declaración de firmeza debe reflejarse en la parte considerativa y en los resolutivos debe confirmarse la sentencia recurrida en la parte correspondiente.”</w:t>
      </w:r>
    </w:p>
    <w:p w14:paraId="2D4CD703" w14:textId="77777777" w:rsidR="00162064" w:rsidRPr="00FB27AF" w:rsidRDefault="00162064" w:rsidP="00162064">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Consecuentemente, se insiste, ante la falta de impugnación eficaz, </w:t>
      </w:r>
      <w:r w:rsidRPr="00FB27AF">
        <w:rPr>
          <w:rFonts w:ascii="Palatino Linotype" w:eastAsia="Palatino Linotype" w:hAnsi="Palatino Linotype" w:cs="Palatino Linotype"/>
          <w:b/>
        </w:rPr>
        <w:t>la respuesta entregada debe declararse consentida por la persona solicitante.</w:t>
      </w:r>
    </w:p>
    <w:p w14:paraId="77E157E4" w14:textId="77777777" w:rsidR="00162064" w:rsidRPr="00FB27AF" w:rsidRDefault="00162064" w:rsidP="00162064">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1AF5C2D0" w14:textId="77777777" w:rsidR="00162064" w:rsidRPr="00FB27AF" w:rsidRDefault="00162064" w:rsidP="0016206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i/>
          <w:sz w:val="22"/>
          <w:szCs w:val="22"/>
        </w:rPr>
        <w:t>“</w:t>
      </w:r>
      <w:r w:rsidRPr="00FB27AF">
        <w:rPr>
          <w:rFonts w:ascii="Palatino Linotype" w:eastAsia="Palatino Linotype" w:hAnsi="Palatino Linotype" w:cs="Palatino Linotype"/>
          <w:b/>
          <w:i/>
          <w:sz w:val="22"/>
          <w:szCs w:val="22"/>
        </w:rPr>
        <w:t xml:space="preserve">Actos consentidos tácitamente. Improcedencia de su análisis. </w:t>
      </w:r>
      <w:r w:rsidRPr="00FB27AF">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13F5823" w14:textId="77777777" w:rsidR="00162064" w:rsidRPr="00FB27AF" w:rsidRDefault="00162064" w:rsidP="00162064">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562527DB" w14:textId="77777777" w:rsidR="00162064" w:rsidRPr="00FB27AF" w:rsidRDefault="00162064" w:rsidP="00162064">
      <w:pPr>
        <w:ind w:left="851" w:right="900"/>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mallCaps/>
          <w:sz w:val="22"/>
          <w:szCs w:val="22"/>
        </w:rPr>
        <w:t xml:space="preserve">“ACTOS CONSENTIDOS. SON LOS QUE NO SE IMPUGNAN MEDIANTE EL RECURSO IDÓNEO. </w:t>
      </w:r>
      <w:r w:rsidRPr="00FB27AF">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FB27AF">
        <w:rPr>
          <w:rFonts w:ascii="Palatino Linotype" w:eastAsia="Palatino Linotype" w:hAnsi="Palatino Linotype" w:cs="Palatino Linotype"/>
          <w:i/>
          <w:sz w:val="22"/>
          <w:szCs w:val="22"/>
        </w:rPr>
        <w:t>ya que</w:t>
      </w:r>
      <w:proofErr w:type="gramEnd"/>
      <w:r w:rsidRPr="00FB27AF">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A76E109" w14:textId="77777777" w:rsidR="00300C74" w:rsidRPr="00FB27AF" w:rsidRDefault="00300C74" w:rsidP="00300C74">
      <w:pPr>
        <w:spacing w:before="240" w:after="240" w:line="360" w:lineRule="auto"/>
        <w:ind w:right="49"/>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Asimismo, sin contrariar lo anterior, es imprescindible mencionar que no escapa de la óptica de este Organismo Garante que en el punto 1 de la solicitud, mediante el </w:t>
      </w:r>
      <w:r w:rsidRPr="00FB27AF">
        <w:rPr>
          <w:rFonts w:ascii="Palatino Linotype" w:eastAsia="Palatino Linotype" w:hAnsi="Palatino Linotype" w:cs="Palatino Linotype"/>
        </w:rPr>
        <w:lastRenderedPageBreak/>
        <w:t xml:space="preserve">cual se requirió </w:t>
      </w:r>
      <w:r w:rsidRPr="00FB27AF">
        <w:rPr>
          <w:rFonts w:ascii="Palatino Linotype" w:eastAsia="Palatino Linotype" w:hAnsi="Palatino Linotype" w:cs="Palatino Linotype"/>
          <w:b/>
          <w:u w:val="single"/>
        </w:rPr>
        <w:t>justificar la relación entre el personal del Sistema Municipal DIF</w:t>
      </w:r>
      <w:r w:rsidRPr="00FB27AF">
        <w:rPr>
          <w:rFonts w:ascii="Palatino Linotype" w:eastAsia="Palatino Linotype" w:hAnsi="Palatino Linotype" w:cs="Palatino Linotype"/>
        </w:rPr>
        <w:t xml:space="preserve"> Coacalco de Berriozábal  </w:t>
      </w:r>
      <w:r w:rsidRPr="00FB27AF">
        <w:rPr>
          <w:rFonts w:ascii="Palatino Linotype" w:eastAsia="Palatino Linotype" w:hAnsi="Palatino Linotype" w:cs="Palatino Linotype"/>
          <w:b/>
          <w:u w:val="single"/>
        </w:rPr>
        <w:t>y la Diputada Local</w:t>
      </w:r>
      <w:r w:rsidRPr="00FB27AF">
        <w:rPr>
          <w:rFonts w:ascii="Palatino Linotype" w:eastAsia="Palatino Linotype" w:hAnsi="Palatino Linotype" w:cs="Palatino Linotype"/>
        </w:rPr>
        <w:t xml:space="preserve"> referida, argumentando que han asistido a eventos públicos en horario laboral, la persona solicitante realizó planteamientos mediante los cuales no pretende ejercer su derecho de acceso a la información pública; sino que por este medio presentó una interrogante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RPr="00FB27AF">
        <w:rPr>
          <w:rFonts w:ascii="Palatino Linotype" w:eastAsia="Palatino Linotype" w:hAnsi="Palatino Linotype" w:cs="Palatino Linotype"/>
          <w:b/>
        </w:rPr>
        <w:t>Sujeto Obligado</w:t>
      </w:r>
      <w:r w:rsidRPr="00FB27AF">
        <w:rPr>
          <w:rFonts w:ascii="Palatino Linotype" w:eastAsia="Palatino Linotype" w:hAnsi="Palatino Linotype" w:cs="Palatino Linotype"/>
        </w:rPr>
        <w:t xml:space="preserve">, situación que conlleva a afirmar que se está en presencia del ejercicio del derecho a la libre expresión y en todo caso a un derecho de petición. </w:t>
      </w:r>
    </w:p>
    <w:p w14:paraId="6DA4065C" w14:textId="77777777" w:rsidR="00300C74" w:rsidRPr="00FB27AF" w:rsidRDefault="00300C74" w:rsidP="00300C74">
      <w:pPr>
        <w:spacing w:before="240" w:after="240" w:line="360" w:lineRule="auto"/>
        <w:jc w:val="both"/>
        <w:rPr>
          <w:rFonts w:ascii="Palatino Linotype" w:eastAsia="Palatino Linotype" w:hAnsi="Palatino Linotype" w:cs="Palatino Linotype"/>
          <w:i/>
        </w:rPr>
      </w:pPr>
      <w:r w:rsidRPr="00FB27AF">
        <w:rPr>
          <w:rFonts w:ascii="Palatino Linotype" w:eastAsia="Palatino Linotype" w:hAnsi="Palatino Linotype" w:cs="Palatino Linotype"/>
        </w:rPr>
        <w:t xml:space="preserve">A efecto de robustecer lo anterior, es preciso mencionar que David Cienfuegos Salgado, concibe al derecho de petición como </w:t>
      </w:r>
      <w:r w:rsidRPr="00FB27AF">
        <w:rPr>
          <w:rFonts w:ascii="Palatino Linotype" w:eastAsia="Palatino Linotype" w:hAnsi="Palatino Linotype" w:cs="Palatino Linotype"/>
          <w:i/>
        </w:rPr>
        <w:t>“</w:t>
      </w:r>
      <w:r w:rsidRPr="00FB27AF">
        <w:rPr>
          <w:rFonts w:ascii="Palatino Linotype" w:eastAsia="Palatino Linotype" w:hAnsi="Palatino Linotype" w:cs="Palatino Linotype"/>
          <w:b/>
          <w:i/>
          <w:u w:val="single"/>
        </w:rPr>
        <w:t>el derecho de toda persona a ser escuchado por quienes ejercen el poder públic</w:t>
      </w:r>
      <w:r w:rsidRPr="00FB27AF">
        <w:rPr>
          <w:rFonts w:ascii="Palatino Linotype" w:eastAsia="Palatino Linotype" w:hAnsi="Palatino Linotype" w:cs="Palatino Linotype"/>
          <w:i/>
        </w:rPr>
        <w:t>o.</w:t>
      </w:r>
      <w:r w:rsidRPr="00FB27AF">
        <w:rPr>
          <w:rFonts w:ascii="Palatino Linotype" w:eastAsia="Palatino Linotype" w:hAnsi="Palatino Linotype" w:cs="Palatino Linotype"/>
          <w:i/>
          <w:vertAlign w:val="superscript"/>
        </w:rPr>
        <w:t xml:space="preserve"> </w:t>
      </w:r>
      <w:r w:rsidRPr="00FB27AF">
        <w:rPr>
          <w:rFonts w:ascii="Palatino Linotype" w:eastAsia="Palatino Linotype" w:hAnsi="Palatino Linotype" w:cs="Palatino Linotype"/>
          <w:i/>
          <w:vertAlign w:val="superscript"/>
        </w:rPr>
        <w:footnoteReference w:id="1"/>
      </w:r>
      <w:r w:rsidRPr="00FB27AF">
        <w:rPr>
          <w:rFonts w:ascii="Palatino Linotype" w:eastAsia="Palatino Linotype" w:hAnsi="Palatino Linotype" w:cs="Palatino Linotype"/>
          <w:i/>
        </w:rPr>
        <w:t xml:space="preserve">” (Sic) </w:t>
      </w:r>
    </w:p>
    <w:p w14:paraId="4894ED6F" w14:textId="77777777" w:rsidR="00300C74" w:rsidRPr="00FB27AF" w:rsidRDefault="00300C74" w:rsidP="00300C74">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De la misma manera, Miguel Carbonell en su libro “Los derechos fundamentales” refiere que el </w:t>
      </w:r>
      <w:r w:rsidRPr="00FB27AF">
        <w:rPr>
          <w:rFonts w:ascii="Palatino Linotype" w:eastAsia="Palatino Linotype" w:hAnsi="Palatino Linotype" w:cs="Palatino Linotype"/>
          <w:u w:val="single"/>
        </w:rPr>
        <w:t>derecho de petición se ha entendido de dos distintitas maneras</w:t>
      </w:r>
      <w:r w:rsidRPr="00FB27AF">
        <w:rPr>
          <w:rFonts w:ascii="Palatino Linotype" w:eastAsia="Palatino Linotype" w:hAnsi="Palatino Linotype" w:cs="Palatino Linotype"/>
        </w:rPr>
        <w:t xml:space="preserve">, a saber: como un derecho fundamental de participación política ya que </w:t>
      </w:r>
      <w:r w:rsidRPr="00FB27AF">
        <w:rPr>
          <w:rFonts w:ascii="Palatino Linotype" w:eastAsia="Palatino Linotype" w:hAnsi="Palatino Linotype" w:cs="Palatino Linotype"/>
          <w:u w:val="single"/>
        </w:rPr>
        <w:t xml:space="preserve">permite a los particulares trasladar a las autoridades sus </w:t>
      </w:r>
      <w:r w:rsidRPr="00FB27AF">
        <w:rPr>
          <w:rFonts w:ascii="Palatino Linotype" w:eastAsia="Palatino Linotype" w:hAnsi="Palatino Linotype" w:cs="Palatino Linotype"/>
          <w:b/>
          <w:u w:val="single"/>
        </w:rPr>
        <w:t>inquietudes, quejas</w:t>
      </w:r>
      <w:r w:rsidRPr="00FB27AF">
        <w:rPr>
          <w:rFonts w:ascii="Palatino Linotype" w:eastAsia="Palatino Linotype" w:hAnsi="Palatino Linotype" w:cs="Palatino Linotype"/>
          <w:u w:val="single"/>
        </w:rPr>
        <w:t>, sugerencias</w:t>
      </w:r>
      <w:r w:rsidRPr="00FB27AF">
        <w:rPr>
          <w:rFonts w:ascii="Palatino Linotype" w:eastAsia="Palatino Linotype" w:hAnsi="Palatino Linotype" w:cs="Palatino Linotype"/>
        </w:rPr>
        <w:t xml:space="preserve"> y requerimientos en cualquier materia o asunto; y como una </w:t>
      </w:r>
      <w:r w:rsidRPr="00FB27AF">
        <w:rPr>
          <w:rFonts w:ascii="Palatino Linotype" w:eastAsia="Palatino Linotype" w:hAnsi="Palatino Linotype" w:cs="Palatino Linotype"/>
          <w:b/>
        </w:rPr>
        <w:t>forma específica de la libertad de expresión</w:t>
      </w:r>
      <w:r w:rsidRPr="00FB27AF">
        <w:rPr>
          <w:rFonts w:ascii="Palatino Linotype" w:eastAsia="Palatino Linotype" w:hAnsi="Palatino Linotype" w:cs="Palatino Linotype"/>
        </w:rPr>
        <w:t xml:space="preserve">, en tanto que permite expresarse frente a las autoridades. De </w:t>
      </w:r>
      <w:r w:rsidRPr="00FB27AF">
        <w:rPr>
          <w:rFonts w:ascii="Palatino Linotype" w:eastAsia="Palatino Linotype" w:hAnsi="Palatino Linotype" w:cs="Palatino Linotype"/>
        </w:rPr>
        <w:lastRenderedPageBreak/>
        <w:t>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FB27AF">
        <w:rPr>
          <w:rFonts w:ascii="Palatino Linotype" w:eastAsia="Palatino Linotype" w:hAnsi="Palatino Linotype" w:cs="Palatino Linotype"/>
          <w:vertAlign w:val="superscript"/>
        </w:rPr>
        <w:footnoteReference w:id="2"/>
      </w:r>
    </w:p>
    <w:p w14:paraId="14659877" w14:textId="77777777" w:rsidR="00300C74" w:rsidRPr="00FB27AF" w:rsidRDefault="00300C74" w:rsidP="00300C7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Por otro lado, el autor anteriormente citado, indica que el </w:t>
      </w:r>
      <w:r w:rsidRPr="00FB27AF">
        <w:rPr>
          <w:rFonts w:ascii="Palatino Linotype" w:eastAsia="Palatino Linotype" w:hAnsi="Palatino Linotype" w:cs="Palatino Linotype"/>
          <w:b/>
          <w:u w:val="single"/>
        </w:rPr>
        <w:t>derecho de acceso a la información pública</w:t>
      </w:r>
      <w:r w:rsidRPr="00FB27AF">
        <w:rPr>
          <w:rFonts w:ascii="Palatino Linotype" w:eastAsia="Palatino Linotype" w:hAnsi="Palatino Linotype" w:cs="Palatino Linotype"/>
        </w:rPr>
        <w:t xml:space="preserve"> es el derecho de conocer la </w:t>
      </w:r>
      <w:r w:rsidRPr="00FB27AF">
        <w:rPr>
          <w:rFonts w:ascii="Palatino Linotype" w:eastAsia="Palatino Linotype" w:hAnsi="Palatino Linotype" w:cs="Palatino Linotype"/>
          <w:u w:val="single"/>
        </w:rPr>
        <w:t>información de carácter público que se genera o está en posesión de los órganos del poder público</w:t>
      </w:r>
      <w:r w:rsidRPr="00FB27AF">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1896B83E" w14:textId="77777777" w:rsidR="00300C74" w:rsidRPr="00FB27AF" w:rsidRDefault="00300C74" w:rsidP="00300C7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FB27AF">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FB27AF">
        <w:rPr>
          <w:rFonts w:ascii="Palatino Linotype" w:eastAsia="Palatino Linotype" w:hAnsi="Palatino Linotype" w:cs="Palatino Linotype"/>
          <w:vertAlign w:val="superscript"/>
        </w:rPr>
        <w:footnoteReference w:id="3"/>
      </w:r>
    </w:p>
    <w:p w14:paraId="6926E00A" w14:textId="77777777" w:rsidR="00300C74" w:rsidRPr="00FB27AF" w:rsidRDefault="00300C74" w:rsidP="00300C74">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De lo anterior se puede concluir que la distinción entre el </w:t>
      </w:r>
      <w:r w:rsidRPr="00FB27AF">
        <w:rPr>
          <w:rFonts w:ascii="Palatino Linotype" w:eastAsia="Palatino Linotype" w:hAnsi="Palatino Linotype" w:cs="Palatino Linotype"/>
          <w:b/>
        </w:rPr>
        <w:t>derecho de petición</w:t>
      </w:r>
      <w:r w:rsidRPr="00FB27AF">
        <w:rPr>
          <w:rFonts w:ascii="Palatino Linotype" w:eastAsia="Palatino Linotype" w:hAnsi="Palatino Linotype" w:cs="Palatino Linotype"/>
        </w:rPr>
        <w:t xml:space="preserve"> y el derecho de acceso a la información descansa, principalmente, en que </w:t>
      </w:r>
      <w:r w:rsidRPr="00FB27AF">
        <w:rPr>
          <w:rFonts w:ascii="Palatino Linotype" w:eastAsia="Palatino Linotype" w:hAnsi="Palatino Linotype" w:cs="Palatino Linotype"/>
          <w:u w:val="single"/>
        </w:rPr>
        <w:t xml:space="preserve">la pretensión del peticionario consiste generalmente en obligar a la autoridad responsable a que </w:t>
      </w:r>
      <w:r w:rsidRPr="00FB27AF">
        <w:rPr>
          <w:rFonts w:ascii="Palatino Linotype" w:eastAsia="Palatino Linotype" w:hAnsi="Palatino Linotype" w:cs="Palatino Linotype"/>
          <w:u w:val="single"/>
        </w:rPr>
        <w:lastRenderedPageBreak/>
        <w:t xml:space="preserve">actúe </w:t>
      </w:r>
      <w:r w:rsidRPr="00FB27AF">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136DBE58" w14:textId="77777777" w:rsidR="00300C74" w:rsidRPr="00FB27AF" w:rsidRDefault="00300C74" w:rsidP="00312C53">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Con base a lo anterior, se precisa que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FB27AF">
        <w:rPr>
          <w:rFonts w:ascii="Palatino Linotype" w:eastAsia="Palatino Linotype" w:hAnsi="Palatino Linotype" w:cs="Palatino Linotype"/>
          <w:b/>
          <w:u w:val="single"/>
        </w:rPr>
        <w:t>interrogantes, inquietudes, quejas y manifestaciones</w:t>
      </w:r>
      <w:r w:rsidRPr="00FB27AF">
        <w:rPr>
          <w:rFonts w:ascii="Palatino Linotype" w:eastAsia="Palatino Linotype" w:hAnsi="Palatino Linotype" w:cs="Palatino Linotype"/>
        </w:rPr>
        <w:t xml:space="preserve"> resultan estar encaminadas a ser satisfechas en ejercicio del derecho de petición.</w:t>
      </w:r>
    </w:p>
    <w:p w14:paraId="742C0038" w14:textId="77777777" w:rsidR="00162064" w:rsidRPr="00FB27AF" w:rsidRDefault="00312C53" w:rsidP="00312C53">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Ahora bien, tomando en consideración el motivo de inconformidad manifestado por la parte </w:t>
      </w:r>
      <w:r w:rsidRPr="00FB27AF">
        <w:rPr>
          <w:rFonts w:ascii="Palatino Linotype" w:eastAsia="Palatino Linotype" w:hAnsi="Palatino Linotype" w:cs="Palatino Linotype"/>
          <w:b/>
        </w:rPr>
        <w:t>Recurrente</w:t>
      </w:r>
      <w:r w:rsidRPr="00FB27AF">
        <w:rPr>
          <w:rFonts w:ascii="Palatino Linotype" w:eastAsia="Palatino Linotype" w:hAnsi="Palatino Linotype" w:cs="Palatino Linotype"/>
        </w:rPr>
        <w:t xml:space="preserve">, es oportuno </w:t>
      </w:r>
      <w:r w:rsidR="00162064" w:rsidRPr="00FB27AF">
        <w:rPr>
          <w:rFonts w:ascii="Palatino Linotype" w:eastAsia="Palatino Linotype" w:hAnsi="Palatino Linotype" w:cs="Palatino Linotype"/>
        </w:rPr>
        <w:t>traer a colación el contenido los artículos 186, 191 y 192 de la Ley en cita, disponen lo siguiente:</w:t>
      </w:r>
    </w:p>
    <w:p w14:paraId="571164C5" w14:textId="77777777" w:rsidR="00162064" w:rsidRPr="00FB27AF" w:rsidRDefault="00162064" w:rsidP="00162064">
      <w:pPr>
        <w:spacing w:before="120" w:after="120"/>
        <w:ind w:left="851"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“Artículo 186. </w:t>
      </w:r>
      <w:r w:rsidRPr="00FB27AF">
        <w:rPr>
          <w:rFonts w:ascii="Palatino Linotype" w:eastAsia="Palatino Linotype" w:hAnsi="Palatino Linotype" w:cs="Palatino Linotype"/>
          <w:i/>
          <w:sz w:val="22"/>
          <w:szCs w:val="22"/>
        </w:rPr>
        <w:t>Las resoluciones del Instituto podrán:</w:t>
      </w:r>
    </w:p>
    <w:p w14:paraId="5153C04B" w14:textId="77777777" w:rsidR="00162064" w:rsidRPr="00FB27AF" w:rsidRDefault="00162064" w:rsidP="00162064">
      <w:pPr>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I. Desechar o sobreseer el recurso;</w:t>
      </w:r>
    </w:p>
    <w:p w14:paraId="1504D836" w14:textId="77777777" w:rsidR="00162064" w:rsidRPr="00FB27AF" w:rsidRDefault="00162064" w:rsidP="00162064">
      <w:pPr>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II. </w:t>
      </w:r>
      <w:r w:rsidRPr="00FB27AF">
        <w:rPr>
          <w:rFonts w:ascii="Palatino Linotype" w:eastAsia="Palatino Linotype" w:hAnsi="Palatino Linotype" w:cs="Palatino Linotype"/>
          <w:i/>
          <w:sz w:val="22"/>
          <w:szCs w:val="22"/>
        </w:rPr>
        <w:t>Confirmar la respuesta del sujeto obligado;</w:t>
      </w:r>
    </w:p>
    <w:p w14:paraId="75E756B9" w14:textId="77777777" w:rsidR="00162064" w:rsidRPr="00FB27AF" w:rsidRDefault="00162064" w:rsidP="00162064">
      <w:pPr>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III. </w:t>
      </w:r>
      <w:r w:rsidRPr="00FB27AF">
        <w:rPr>
          <w:rFonts w:ascii="Palatino Linotype" w:eastAsia="Palatino Linotype" w:hAnsi="Palatino Linotype" w:cs="Palatino Linotype"/>
          <w:i/>
          <w:sz w:val="22"/>
          <w:szCs w:val="22"/>
        </w:rPr>
        <w:t>Revocar o modificar la respuesta del sujeto obligado; y</w:t>
      </w:r>
    </w:p>
    <w:p w14:paraId="46F6DF82" w14:textId="77777777" w:rsidR="00162064" w:rsidRPr="00FB27AF" w:rsidRDefault="00162064" w:rsidP="00162064">
      <w:pPr>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IV. </w:t>
      </w:r>
      <w:r w:rsidRPr="00FB27AF">
        <w:rPr>
          <w:rFonts w:ascii="Palatino Linotype" w:eastAsia="Palatino Linotype" w:hAnsi="Palatino Linotype" w:cs="Palatino Linotype"/>
          <w:i/>
          <w:sz w:val="22"/>
          <w:szCs w:val="22"/>
        </w:rPr>
        <w:t>Ordenar la entrega de la información…</w:t>
      </w:r>
    </w:p>
    <w:p w14:paraId="07E95213" w14:textId="77777777" w:rsidR="00162064" w:rsidRPr="00FB27AF" w:rsidRDefault="00162064" w:rsidP="00162064">
      <w:pPr>
        <w:spacing w:before="120" w:after="120"/>
        <w:ind w:left="851" w:right="902"/>
        <w:jc w:val="both"/>
        <w:rPr>
          <w:rFonts w:ascii="Palatino Linotype" w:eastAsia="Palatino Linotype" w:hAnsi="Palatino Linotype" w:cs="Palatino Linotype"/>
          <w:b/>
          <w:i/>
          <w:sz w:val="22"/>
          <w:szCs w:val="22"/>
        </w:rPr>
      </w:pPr>
      <w:r w:rsidRPr="00FB27AF">
        <w:rPr>
          <w:rFonts w:ascii="Palatino Linotype" w:eastAsia="Palatino Linotype" w:hAnsi="Palatino Linotype" w:cs="Palatino Linotype"/>
          <w:b/>
          <w:i/>
          <w:sz w:val="22"/>
          <w:szCs w:val="22"/>
        </w:rPr>
        <w:t>...</w:t>
      </w:r>
    </w:p>
    <w:p w14:paraId="1CFE6032" w14:textId="77777777" w:rsidR="00162064" w:rsidRPr="00FB27AF" w:rsidRDefault="00162064" w:rsidP="00162064">
      <w:pPr>
        <w:spacing w:before="120" w:after="120"/>
        <w:ind w:left="851"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Artículo 191. </w:t>
      </w:r>
      <w:r w:rsidRPr="00FB27AF">
        <w:rPr>
          <w:rFonts w:ascii="Palatino Linotype" w:eastAsia="Palatino Linotype" w:hAnsi="Palatino Linotype" w:cs="Palatino Linotype"/>
          <w:i/>
          <w:sz w:val="22"/>
          <w:szCs w:val="22"/>
        </w:rPr>
        <w:t>El recurso será desechado por improcedente cuando:</w:t>
      </w:r>
    </w:p>
    <w:p w14:paraId="65BD27F7" w14:textId="77777777" w:rsidR="00162064" w:rsidRPr="00FB27AF" w:rsidRDefault="00162064" w:rsidP="00162064">
      <w:pPr>
        <w:tabs>
          <w:tab w:val="left" w:pos="1276"/>
        </w:tabs>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lastRenderedPageBreak/>
        <w:t xml:space="preserve">I. </w:t>
      </w:r>
      <w:r w:rsidRPr="00FB27AF">
        <w:rPr>
          <w:rFonts w:ascii="Palatino Linotype" w:eastAsia="Palatino Linotype" w:hAnsi="Palatino Linotype" w:cs="Palatino Linotype"/>
          <w:i/>
          <w:sz w:val="22"/>
          <w:szCs w:val="22"/>
        </w:rPr>
        <w:t>Sea extemporáneo por haber transcurrido el plazo establecido en la presente Ley, a partir de la respuesta;</w:t>
      </w:r>
    </w:p>
    <w:p w14:paraId="24B32BB6" w14:textId="77777777" w:rsidR="00162064" w:rsidRPr="00FB27AF" w:rsidRDefault="00162064" w:rsidP="00162064">
      <w:pPr>
        <w:tabs>
          <w:tab w:val="left" w:pos="1276"/>
        </w:tabs>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II. </w:t>
      </w:r>
      <w:r w:rsidRPr="00FB27AF">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08A0BE10" w14:textId="77777777" w:rsidR="00162064" w:rsidRPr="00FB27AF" w:rsidRDefault="00162064" w:rsidP="00162064">
      <w:pPr>
        <w:tabs>
          <w:tab w:val="left" w:pos="1276"/>
        </w:tabs>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III. </w:t>
      </w:r>
      <w:r w:rsidRPr="00FB27AF">
        <w:rPr>
          <w:rFonts w:ascii="Palatino Linotype" w:eastAsia="Palatino Linotype" w:hAnsi="Palatino Linotype" w:cs="Palatino Linotype"/>
          <w:i/>
          <w:sz w:val="22"/>
          <w:szCs w:val="22"/>
        </w:rPr>
        <w:t>No actualice alguno de los supuestos previstos en la presente Ley;</w:t>
      </w:r>
    </w:p>
    <w:p w14:paraId="19A8103B" w14:textId="77777777" w:rsidR="00162064" w:rsidRPr="00FB27AF" w:rsidRDefault="00162064" w:rsidP="00162064">
      <w:pPr>
        <w:tabs>
          <w:tab w:val="left" w:pos="1276"/>
        </w:tabs>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IV. </w:t>
      </w:r>
      <w:r w:rsidRPr="00FB27AF">
        <w:rPr>
          <w:rFonts w:ascii="Palatino Linotype" w:eastAsia="Palatino Linotype" w:hAnsi="Palatino Linotype" w:cs="Palatino Linotype"/>
          <w:i/>
          <w:sz w:val="22"/>
          <w:szCs w:val="22"/>
        </w:rPr>
        <w:t>No se haya desahogado la prevención en los términos establecidos en la presente Ley;</w:t>
      </w:r>
    </w:p>
    <w:p w14:paraId="5F83658C" w14:textId="77777777" w:rsidR="00162064" w:rsidRPr="00FB27AF" w:rsidRDefault="00162064" w:rsidP="00162064">
      <w:pPr>
        <w:tabs>
          <w:tab w:val="left" w:pos="1276"/>
        </w:tabs>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V. </w:t>
      </w:r>
      <w:r w:rsidRPr="00FB27AF">
        <w:rPr>
          <w:rFonts w:ascii="Palatino Linotype" w:eastAsia="Palatino Linotype" w:hAnsi="Palatino Linotype" w:cs="Palatino Linotype"/>
          <w:i/>
          <w:sz w:val="22"/>
          <w:szCs w:val="22"/>
        </w:rPr>
        <w:t>Se impugne la veracidad de la información proporcionada</w:t>
      </w:r>
      <w:r w:rsidRPr="00FB27AF">
        <w:rPr>
          <w:rFonts w:ascii="Palatino Linotype" w:eastAsia="Palatino Linotype" w:hAnsi="Palatino Linotype" w:cs="Palatino Linotype"/>
          <w:b/>
          <w:i/>
          <w:sz w:val="22"/>
          <w:szCs w:val="22"/>
        </w:rPr>
        <w:t>;</w:t>
      </w:r>
    </w:p>
    <w:p w14:paraId="4EDB9BF4" w14:textId="77777777" w:rsidR="00162064" w:rsidRPr="00FB27AF" w:rsidRDefault="00162064" w:rsidP="00162064">
      <w:pPr>
        <w:tabs>
          <w:tab w:val="left" w:pos="1276"/>
        </w:tabs>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VI. </w:t>
      </w:r>
      <w:r w:rsidRPr="00FB27AF">
        <w:rPr>
          <w:rFonts w:ascii="Palatino Linotype" w:eastAsia="Palatino Linotype" w:hAnsi="Palatino Linotype" w:cs="Palatino Linotype"/>
          <w:i/>
          <w:sz w:val="22"/>
          <w:szCs w:val="22"/>
        </w:rPr>
        <w:t>Se trate de una consulta, o trámite en específico; y</w:t>
      </w:r>
    </w:p>
    <w:p w14:paraId="59FAAF4A" w14:textId="77777777" w:rsidR="00162064" w:rsidRPr="00FB27AF" w:rsidRDefault="00162064" w:rsidP="00162064">
      <w:pPr>
        <w:tabs>
          <w:tab w:val="left" w:pos="1276"/>
        </w:tabs>
        <w:spacing w:before="120" w:after="120"/>
        <w:ind w:left="1134" w:right="902"/>
        <w:jc w:val="both"/>
        <w:rPr>
          <w:rFonts w:ascii="Palatino Linotype" w:eastAsia="Palatino Linotype" w:hAnsi="Palatino Linotype" w:cs="Palatino Linotype"/>
          <w:b/>
          <w:i/>
          <w:sz w:val="22"/>
          <w:szCs w:val="22"/>
        </w:rPr>
      </w:pPr>
      <w:r w:rsidRPr="00FB27AF">
        <w:rPr>
          <w:rFonts w:ascii="Palatino Linotype" w:eastAsia="Palatino Linotype" w:hAnsi="Palatino Linotype" w:cs="Palatino Linotype"/>
          <w:b/>
          <w:i/>
          <w:sz w:val="22"/>
          <w:szCs w:val="22"/>
        </w:rPr>
        <w:t>VII. El recurrente amplíe su solicitud en el recurso de revisión, únicamente respecto de los nuevos contenidos.</w:t>
      </w:r>
    </w:p>
    <w:p w14:paraId="012386F3" w14:textId="77777777" w:rsidR="00162064" w:rsidRPr="00FB27AF" w:rsidRDefault="00162064" w:rsidP="00162064">
      <w:pPr>
        <w:spacing w:before="120" w:after="120"/>
        <w:ind w:left="851" w:right="902"/>
        <w:jc w:val="both"/>
        <w:rPr>
          <w:rFonts w:ascii="Palatino Linotype" w:eastAsia="Palatino Linotype" w:hAnsi="Palatino Linotype" w:cs="Palatino Linotype"/>
          <w:b/>
          <w:i/>
          <w:sz w:val="22"/>
          <w:szCs w:val="22"/>
        </w:rPr>
      </w:pPr>
      <w:r w:rsidRPr="00FB27AF">
        <w:rPr>
          <w:rFonts w:ascii="Palatino Linotype" w:eastAsia="Palatino Linotype" w:hAnsi="Palatino Linotype" w:cs="Palatino Linotype"/>
          <w:b/>
          <w:i/>
          <w:sz w:val="22"/>
          <w:szCs w:val="22"/>
        </w:rPr>
        <w:t>...</w:t>
      </w:r>
    </w:p>
    <w:p w14:paraId="4AFCBC51" w14:textId="77777777" w:rsidR="00162064" w:rsidRPr="00FB27AF" w:rsidRDefault="00162064" w:rsidP="00162064">
      <w:pPr>
        <w:spacing w:before="120" w:after="120"/>
        <w:ind w:left="851"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Artículo 192. </w:t>
      </w:r>
      <w:r w:rsidRPr="00FB27AF">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5CD1576D" w14:textId="77777777" w:rsidR="00162064" w:rsidRPr="00FB27AF" w:rsidRDefault="00162064" w:rsidP="00162064">
      <w:pPr>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I. </w:t>
      </w:r>
      <w:r w:rsidRPr="00FB27AF">
        <w:rPr>
          <w:rFonts w:ascii="Palatino Linotype" w:eastAsia="Palatino Linotype" w:hAnsi="Palatino Linotype" w:cs="Palatino Linotype"/>
          <w:i/>
          <w:sz w:val="22"/>
          <w:szCs w:val="22"/>
        </w:rPr>
        <w:t>El recurrente se desista expresamente del recurso;</w:t>
      </w:r>
    </w:p>
    <w:p w14:paraId="6613DA65" w14:textId="77777777" w:rsidR="00162064" w:rsidRPr="00FB27AF" w:rsidRDefault="00162064" w:rsidP="00162064">
      <w:pPr>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II. </w:t>
      </w:r>
      <w:r w:rsidRPr="00FB27AF">
        <w:rPr>
          <w:rFonts w:ascii="Palatino Linotype" w:eastAsia="Palatino Linotype" w:hAnsi="Palatino Linotype" w:cs="Palatino Linotype"/>
          <w:i/>
          <w:sz w:val="22"/>
          <w:szCs w:val="22"/>
        </w:rPr>
        <w:t>El recurrente fallezca o, tratándose de personas jurídicas colectivas, se disuelva;</w:t>
      </w:r>
    </w:p>
    <w:p w14:paraId="22AE40D1" w14:textId="77777777" w:rsidR="00162064" w:rsidRPr="00FB27AF" w:rsidRDefault="00162064" w:rsidP="00162064">
      <w:pPr>
        <w:spacing w:before="120" w:after="120"/>
        <w:ind w:left="1134"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b/>
          <w:i/>
          <w:sz w:val="22"/>
          <w:szCs w:val="22"/>
        </w:rPr>
        <w:t xml:space="preserve">III. </w:t>
      </w:r>
      <w:r w:rsidRPr="00FB27AF">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11F94987" w14:textId="77777777" w:rsidR="00162064" w:rsidRPr="00FB27AF" w:rsidRDefault="00162064" w:rsidP="00162064">
      <w:pPr>
        <w:spacing w:before="120" w:after="120"/>
        <w:ind w:left="1134" w:right="902"/>
        <w:jc w:val="both"/>
        <w:rPr>
          <w:rFonts w:ascii="Palatino Linotype" w:eastAsia="Palatino Linotype" w:hAnsi="Palatino Linotype" w:cs="Palatino Linotype"/>
          <w:b/>
          <w:i/>
          <w:sz w:val="22"/>
          <w:szCs w:val="22"/>
        </w:rPr>
      </w:pPr>
      <w:r w:rsidRPr="00FB27AF">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23866AFB" w14:textId="77777777" w:rsidR="00162064" w:rsidRPr="00FB27AF" w:rsidRDefault="00162064" w:rsidP="00162064">
      <w:pPr>
        <w:spacing w:before="120" w:after="120"/>
        <w:ind w:left="1134" w:right="902"/>
        <w:jc w:val="both"/>
        <w:rPr>
          <w:rFonts w:ascii="Palatino Linotype" w:eastAsia="Palatino Linotype" w:hAnsi="Palatino Linotype" w:cs="Palatino Linotype"/>
          <w:sz w:val="22"/>
          <w:szCs w:val="22"/>
        </w:rPr>
      </w:pPr>
      <w:r w:rsidRPr="00FB27AF">
        <w:rPr>
          <w:rFonts w:ascii="Palatino Linotype" w:eastAsia="Palatino Linotype" w:hAnsi="Palatino Linotype" w:cs="Palatino Linotype"/>
          <w:b/>
          <w:i/>
          <w:sz w:val="22"/>
          <w:szCs w:val="22"/>
        </w:rPr>
        <w:t xml:space="preserve">V. </w:t>
      </w:r>
      <w:r w:rsidRPr="00FB27AF">
        <w:rPr>
          <w:rFonts w:ascii="Palatino Linotype" w:eastAsia="Palatino Linotype" w:hAnsi="Palatino Linotype" w:cs="Palatino Linotype"/>
          <w:i/>
          <w:sz w:val="22"/>
          <w:szCs w:val="22"/>
        </w:rPr>
        <w:t>Cuando por cualquier motivo quede sin materia el recurso</w:t>
      </w:r>
      <w:r w:rsidRPr="00FB27AF">
        <w:rPr>
          <w:rFonts w:ascii="Palatino Linotype" w:eastAsia="Palatino Linotype" w:hAnsi="Palatino Linotype" w:cs="Palatino Linotype"/>
          <w:sz w:val="22"/>
          <w:szCs w:val="22"/>
        </w:rPr>
        <w:t>.”</w:t>
      </w:r>
    </w:p>
    <w:p w14:paraId="76C2D5BA" w14:textId="77777777" w:rsidR="00162064" w:rsidRPr="00FB27AF" w:rsidRDefault="00162064" w:rsidP="00162064">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En el presente caso, es de mencionar que del análisis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VII del artículo 191 de la misma Ley citado con antelación, al no existir elementos de procedencia.</w:t>
      </w:r>
    </w:p>
    <w:p w14:paraId="2B8E49C4" w14:textId="16B5750E" w:rsidR="00162064" w:rsidRPr="00FB27AF" w:rsidRDefault="00162064" w:rsidP="00162064">
      <w:pPr>
        <w:spacing w:before="240" w:after="240" w:line="360" w:lineRule="auto"/>
        <w:jc w:val="both"/>
        <w:rPr>
          <w:rFonts w:ascii="Palatino Linotype" w:eastAsia="Palatino Linotype" w:hAnsi="Palatino Linotype" w:cs="Palatino Linotype"/>
          <w:b/>
          <w:color w:val="FF0000"/>
          <w:u w:val="single"/>
        </w:rPr>
      </w:pPr>
      <w:r w:rsidRPr="00FB27AF">
        <w:rPr>
          <w:rFonts w:ascii="Palatino Linotype" w:eastAsia="Palatino Linotype" w:hAnsi="Palatino Linotype" w:cs="Palatino Linotype"/>
        </w:rPr>
        <w:lastRenderedPageBreak/>
        <w:t xml:space="preserve">Lo anterior se afirma así toda vez que la parte </w:t>
      </w:r>
      <w:r w:rsidRPr="00FB27AF">
        <w:rPr>
          <w:rFonts w:ascii="Palatino Linotype" w:eastAsia="Palatino Linotype" w:hAnsi="Palatino Linotype" w:cs="Palatino Linotype"/>
          <w:b/>
        </w:rPr>
        <w:t>Recurrente</w:t>
      </w:r>
      <w:r w:rsidRPr="00FB27AF">
        <w:rPr>
          <w:rFonts w:ascii="Palatino Linotype" w:eastAsia="Palatino Linotype" w:hAnsi="Palatino Linotype" w:cs="Palatino Linotype"/>
        </w:rPr>
        <w:t xml:space="preserve">, mediante el recurso de revisión, no impugna el contenido de la respuesta proporcionada, sino que </w:t>
      </w:r>
      <w:r w:rsidRPr="00FB27AF">
        <w:rPr>
          <w:rFonts w:ascii="Palatino Linotype" w:eastAsia="Palatino Linotype" w:hAnsi="Palatino Linotype" w:cs="Palatino Linotype"/>
          <w:b/>
          <w:u w:val="single"/>
        </w:rPr>
        <w:t>solicita le sea entregada información que no formó parte de la solicitud primigenia</w:t>
      </w:r>
      <w:r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rPr>
        <w:t>pues de la confronta a la solicitud de información y las razones o motivos de inconformidad aducidos, se advierte que el requerimiento de información consistió en la entrega de la justificación de la relación de los servidores públicos del DIF con la Diputada referida</w:t>
      </w:r>
      <w:r w:rsidR="007A2447" w:rsidRPr="00FB27AF">
        <w:rPr>
          <w:rFonts w:ascii="Palatino Linotype" w:eastAsia="Palatino Linotype" w:hAnsi="Palatino Linotype" w:cs="Palatino Linotype"/>
        </w:rPr>
        <w:t>,</w:t>
      </w:r>
      <w:r w:rsidRPr="00FB27AF">
        <w:rPr>
          <w:rFonts w:ascii="Palatino Linotype" w:eastAsia="Palatino Linotype" w:hAnsi="Palatino Linotype" w:cs="Palatino Linotype"/>
        </w:rPr>
        <w:t xml:space="preserve"> </w:t>
      </w:r>
      <w:r w:rsidR="00F64878" w:rsidRPr="00FB27AF">
        <w:rPr>
          <w:rFonts w:ascii="Palatino Linotype" w:eastAsia="Palatino Linotype" w:hAnsi="Palatino Linotype" w:cs="Palatino Linotype"/>
        </w:rPr>
        <w:t xml:space="preserve">así como </w:t>
      </w:r>
      <w:r w:rsidRPr="00FB27AF">
        <w:rPr>
          <w:rFonts w:ascii="Palatino Linotype" w:eastAsia="Palatino Linotype" w:hAnsi="Palatino Linotype" w:cs="Palatino Linotype"/>
        </w:rPr>
        <w:t xml:space="preserve">las horas de entrada y salida de los servidores públicos del nueve de noviembre de dos mil veintidós, conforme al biométrico, </w:t>
      </w:r>
      <w:r w:rsidRPr="00FB27AF">
        <w:rPr>
          <w:rFonts w:ascii="Palatino Linotype" w:eastAsia="Palatino Linotype" w:hAnsi="Palatino Linotype" w:cs="Palatino Linotype"/>
          <w:b/>
          <w:u w:val="single"/>
        </w:rPr>
        <w:t xml:space="preserve">no así </w:t>
      </w:r>
      <w:r w:rsidR="007A7E73" w:rsidRPr="00FB27AF">
        <w:rPr>
          <w:rFonts w:ascii="Palatino Linotype" w:eastAsia="Palatino Linotype" w:hAnsi="Palatino Linotype" w:cs="Palatino Linotype"/>
          <w:b/>
          <w:u w:val="single"/>
        </w:rPr>
        <w:t>en la entrega de la</w:t>
      </w:r>
      <w:r w:rsidRPr="00FB27AF">
        <w:rPr>
          <w:rFonts w:ascii="Palatino Linotype" w:eastAsia="Palatino Linotype" w:hAnsi="Palatino Linotype" w:cs="Palatino Linotype"/>
          <w:b/>
          <w:u w:val="single"/>
        </w:rPr>
        <w:t xml:space="preserve"> justifica</w:t>
      </w:r>
      <w:r w:rsidR="007A7E73" w:rsidRPr="00FB27AF">
        <w:rPr>
          <w:rFonts w:ascii="Palatino Linotype" w:eastAsia="Palatino Linotype" w:hAnsi="Palatino Linotype" w:cs="Palatino Linotype"/>
          <w:b/>
          <w:u w:val="single"/>
        </w:rPr>
        <w:t>ción de</w:t>
      </w:r>
      <w:r w:rsidRPr="00FB27AF">
        <w:rPr>
          <w:rFonts w:ascii="Palatino Linotype" w:eastAsia="Palatino Linotype" w:hAnsi="Palatino Linotype" w:cs="Palatino Linotype"/>
          <w:b/>
          <w:u w:val="single"/>
        </w:rPr>
        <w:t xml:space="preserve"> la asistencia en horario laboral de los servidores públi</w:t>
      </w:r>
      <w:r w:rsidR="009E72A8" w:rsidRPr="00FB27AF">
        <w:rPr>
          <w:rFonts w:ascii="Palatino Linotype" w:eastAsia="Palatino Linotype" w:hAnsi="Palatino Linotype" w:cs="Palatino Linotype"/>
          <w:b/>
          <w:u w:val="single"/>
        </w:rPr>
        <w:t xml:space="preserve">cos del DIF a eventos políticos, de manera general. </w:t>
      </w:r>
    </w:p>
    <w:p w14:paraId="636BC933" w14:textId="16A62D46" w:rsidR="007A2447" w:rsidRPr="00FB27AF" w:rsidRDefault="007A2447" w:rsidP="00162064">
      <w:pPr>
        <w:spacing w:before="240" w:after="240" w:line="360" w:lineRule="auto"/>
        <w:jc w:val="both"/>
        <w:rPr>
          <w:rFonts w:ascii="Palatino Linotype" w:eastAsia="Palatino Linotype" w:hAnsi="Palatino Linotype" w:cs="Palatino Linotype"/>
          <w:bCs/>
        </w:rPr>
      </w:pPr>
      <w:r w:rsidRPr="00FB27AF">
        <w:rPr>
          <w:rFonts w:ascii="Palatino Linotype" w:eastAsia="Palatino Linotype" w:hAnsi="Palatino Linotype" w:cs="Palatino Linotype"/>
          <w:bCs/>
        </w:rPr>
        <w:t>Para un mejor entendimiento, dicho análisis se realiza a través de la siguiente tabla:</w:t>
      </w:r>
    </w:p>
    <w:tbl>
      <w:tblPr>
        <w:tblStyle w:val="Tablaconcuadrcula"/>
        <w:tblW w:w="0" w:type="auto"/>
        <w:tblLook w:val="04A0" w:firstRow="1" w:lastRow="0" w:firstColumn="1" w:lastColumn="0" w:noHBand="0" w:noVBand="1"/>
      </w:tblPr>
      <w:tblGrid>
        <w:gridCol w:w="4414"/>
        <w:gridCol w:w="4414"/>
      </w:tblGrid>
      <w:tr w:rsidR="007A2447" w:rsidRPr="00FB27AF" w14:paraId="537117B2" w14:textId="77777777" w:rsidTr="007A2447">
        <w:tc>
          <w:tcPr>
            <w:tcW w:w="4414" w:type="dxa"/>
          </w:tcPr>
          <w:p w14:paraId="28664ACA" w14:textId="396A8A2B" w:rsidR="007A2447" w:rsidRPr="00FB27AF" w:rsidRDefault="007A2447" w:rsidP="007A2447">
            <w:pPr>
              <w:spacing w:before="120" w:after="120"/>
              <w:jc w:val="center"/>
              <w:rPr>
                <w:rFonts w:ascii="Palatino Linotype" w:eastAsia="Palatino Linotype" w:hAnsi="Palatino Linotype" w:cs="Palatino Linotype"/>
                <w:b/>
                <w:sz w:val="20"/>
                <w:szCs w:val="20"/>
              </w:rPr>
            </w:pPr>
            <w:r w:rsidRPr="00FB27AF">
              <w:rPr>
                <w:rFonts w:ascii="Palatino Linotype" w:eastAsia="Palatino Linotype" w:hAnsi="Palatino Linotype" w:cs="Palatino Linotype"/>
                <w:b/>
                <w:sz w:val="20"/>
                <w:szCs w:val="20"/>
              </w:rPr>
              <w:t>SOLICITUD DE INFORMACIÓN</w:t>
            </w:r>
          </w:p>
        </w:tc>
        <w:tc>
          <w:tcPr>
            <w:tcW w:w="4414" w:type="dxa"/>
          </w:tcPr>
          <w:p w14:paraId="77500231" w14:textId="61B303D3" w:rsidR="007A2447" w:rsidRPr="00FB27AF" w:rsidRDefault="007A2447" w:rsidP="007A2447">
            <w:pPr>
              <w:spacing w:before="120" w:after="120"/>
              <w:jc w:val="center"/>
              <w:rPr>
                <w:rFonts w:ascii="Palatino Linotype" w:eastAsia="Palatino Linotype" w:hAnsi="Palatino Linotype" w:cs="Palatino Linotype"/>
                <w:b/>
                <w:sz w:val="20"/>
                <w:szCs w:val="20"/>
              </w:rPr>
            </w:pPr>
            <w:r w:rsidRPr="00FB27AF">
              <w:rPr>
                <w:rFonts w:ascii="Palatino Linotype" w:eastAsia="Palatino Linotype" w:hAnsi="Palatino Linotype" w:cs="Palatino Linotype"/>
                <w:b/>
                <w:sz w:val="20"/>
                <w:szCs w:val="20"/>
              </w:rPr>
              <w:t>RECURSO DE REVISIÓN</w:t>
            </w:r>
          </w:p>
        </w:tc>
      </w:tr>
      <w:tr w:rsidR="007A2447" w:rsidRPr="00FB27AF" w14:paraId="193496EC" w14:textId="77777777" w:rsidTr="007A2447">
        <w:tc>
          <w:tcPr>
            <w:tcW w:w="4414" w:type="dxa"/>
          </w:tcPr>
          <w:p w14:paraId="276C96E0" w14:textId="77777777" w:rsidR="00301207" w:rsidRPr="00FB27AF" w:rsidRDefault="00F64878" w:rsidP="007A2447">
            <w:pPr>
              <w:spacing w:before="120" w:after="120"/>
              <w:jc w:val="both"/>
              <w:rPr>
                <w:rFonts w:ascii="Palatino Linotype" w:eastAsia="Palatino Linotype" w:hAnsi="Palatino Linotype" w:cs="Palatino Linotype"/>
                <w:bCs/>
                <w:i/>
                <w:iCs/>
                <w:sz w:val="20"/>
                <w:szCs w:val="20"/>
              </w:rPr>
            </w:pPr>
            <w:r w:rsidRPr="00FB27AF">
              <w:rPr>
                <w:rFonts w:ascii="Palatino Linotype" w:eastAsia="Palatino Linotype" w:hAnsi="Palatino Linotype" w:cs="Palatino Linotype"/>
                <w:bCs/>
                <w:i/>
                <w:iCs/>
                <w:sz w:val="20"/>
                <w:szCs w:val="20"/>
              </w:rPr>
              <w:t xml:space="preserve">“Solicito a través de este medio, </w:t>
            </w:r>
            <w:r w:rsidRPr="00FB27AF">
              <w:rPr>
                <w:rFonts w:ascii="Palatino Linotype" w:eastAsia="Palatino Linotype" w:hAnsi="Palatino Linotype" w:cs="Palatino Linotype"/>
                <w:b/>
                <w:i/>
                <w:iCs/>
                <w:sz w:val="20"/>
                <w:szCs w:val="20"/>
              </w:rPr>
              <w:t>justifique la relación entre el personal del DIF Coacalco y la Diputada Local Ana Karen Santamaría</w:t>
            </w:r>
            <w:r w:rsidRPr="00FB27AF">
              <w:rPr>
                <w:rFonts w:ascii="Palatino Linotype" w:eastAsia="Palatino Linotype" w:hAnsi="Palatino Linotype" w:cs="Palatino Linotype"/>
                <w:bCs/>
                <w:i/>
                <w:iCs/>
                <w:sz w:val="20"/>
                <w:szCs w:val="20"/>
              </w:rPr>
              <w:t xml:space="preserve">, esto porqué han asistido a eventos públicos en horario laboral como el día de ayer, 9 de noviembre del 2022. </w:t>
            </w:r>
          </w:p>
          <w:p w14:paraId="34A6F848" w14:textId="3C7674D3" w:rsidR="007A2447" w:rsidRPr="00FB27AF" w:rsidRDefault="00F64878" w:rsidP="007A2447">
            <w:pPr>
              <w:spacing w:before="120" w:after="120"/>
              <w:jc w:val="both"/>
              <w:rPr>
                <w:rFonts w:ascii="Palatino Linotype" w:eastAsia="Palatino Linotype" w:hAnsi="Palatino Linotype" w:cs="Palatino Linotype"/>
                <w:bCs/>
                <w:i/>
                <w:iCs/>
              </w:rPr>
            </w:pPr>
            <w:r w:rsidRPr="00FB27AF">
              <w:rPr>
                <w:rFonts w:ascii="Palatino Linotype" w:eastAsia="Palatino Linotype" w:hAnsi="Palatino Linotype" w:cs="Palatino Linotype"/>
                <w:bCs/>
                <w:i/>
                <w:iCs/>
                <w:sz w:val="20"/>
                <w:szCs w:val="20"/>
              </w:rPr>
              <w:t xml:space="preserve">Asimismo, </w:t>
            </w:r>
            <w:r w:rsidRPr="00FB27AF">
              <w:rPr>
                <w:rFonts w:ascii="Palatino Linotype" w:eastAsia="Palatino Linotype" w:hAnsi="Palatino Linotype" w:cs="Palatino Linotype"/>
                <w:b/>
                <w:i/>
                <w:iCs/>
                <w:sz w:val="20"/>
                <w:szCs w:val="20"/>
              </w:rPr>
              <w:t>justifiquen las horas de entrada y salida del día de ayer según el biométrico</w:t>
            </w:r>
            <w:r w:rsidRPr="00FB27AF">
              <w:rPr>
                <w:rFonts w:ascii="Palatino Linotype" w:eastAsia="Palatino Linotype" w:hAnsi="Palatino Linotype" w:cs="Palatino Linotype"/>
                <w:bCs/>
                <w:i/>
                <w:iCs/>
                <w:sz w:val="20"/>
                <w:szCs w:val="20"/>
              </w:rPr>
              <w:t>. Lo anterior, deberá ser remitido en PDF por SAIMEX debido a que soy una persona con discapacidad motriz que me impide salir de mi domicilio. Esperando su respuesta, pido que se respete mi derecho al acceso a la información pública.” (sic)</w:t>
            </w:r>
          </w:p>
        </w:tc>
        <w:tc>
          <w:tcPr>
            <w:tcW w:w="4414" w:type="dxa"/>
          </w:tcPr>
          <w:p w14:paraId="3E4591B0" w14:textId="77777777" w:rsidR="00F64878" w:rsidRPr="00FB27AF" w:rsidRDefault="00F64878" w:rsidP="00F64878">
            <w:pPr>
              <w:tabs>
                <w:tab w:val="left" w:pos="2745"/>
              </w:tabs>
              <w:spacing w:before="240" w:after="240"/>
              <w:jc w:val="both"/>
              <w:rPr>
                <w:rFonts w:ascii="Palatino Linotype" w:eastAsia="Palatino Linotype" w:hAnsi="Palatino Linotype" w:cs="Palatino Linotype"/>
                <w:b/>
                <w:sz w:val="20"/>
                <w:szCs w:val="20"/>
              </w:rPr>
            </w:pPr>
            <w:r w:rsidRPr="00FB27AF">
              <w:rPr>
                <w:rFonts w:ascii="Palatino Linotype" w:eastAsia="Palatino Linotype" w:hAnsi="Palatino Linotype" w:cs="Palatino Linotype"/>
                <w:b/>
                <w:sz w:val="20"/>
                <w:szCs w:val="20"/>
              </w:rPr>
              <w:t xml:space="preserve">Acto impugnado: </w:t>
            </w:r>
          </w:p>
          <w:p w14:paraId="0DF2EC66" w14:textId="77777777" w:rsidR="00F64878" w:rsidRPr="00FB27AF" w:rsidRDefault="00F64878" w:rsidP="00F64878">
            <w:pPr>
              <w:tabs>
                <w:tab w:val="left" w:pos="2745"/>
              </w:tabs>
              <w:spacing w:before="240" w:after="240"/>
              <w:jc w:val="both"/>
              <w:rPr>
                <w:rFonts w:ascii="Palatino Linotype" w:eastAsia="Palatino Linotype" w:hAnsi="Palatino Linotype" w:cs="Palatino Linotype"/>
                <w:i/>
                <w:sz w:val="20"/>
                <w:szCs w:val="20"/>
              </w:rPr>
            </w:pPr>
            <w:r w:rsidRPr="00FB27AF">
              <w:rPr>
                <w:rFonts w:ascii="Palatino Linotype" w:eastAsia="Palatino Linotype" w:hAnsi="Palatino Linotype" w:cs="Palatino Linotype"/>
                <w:i/>
                <w:sz w:val="20"/>
                <w:szCs w:val="20"/>
              </w:rPr>
              <w:t xml:space="preserve">“El Sujeto Obligado </w:t>
            </w:r>
            <w:r w:rsidRPr="00FB27AF">
              <w:rPr>
                <w:rFonts w:ascii="Palatino Linotype" w:eastAsia="Palatino Linotype" w:hAnsi="Palatino Linotype" w:cs="Palatino Linotype"/>
                <w:b/>
                <w:i/>
                <w:sz w:val="20"/>
                <w:szCs w:val="20"/>
                <w:u w:val="single"/>
              </w:rPr>
              <w:t>no está justificando la asistencia a eventos políticos por parte del personal adscrito al Sistema Municipal</w:t>
            </w:r>
            <w:r w:rsidRPr="00FB27AF">
              <w:rPr>
                <w:rFonts w:ascii="Palatino Linotype" w:eastAsia="Palatino Linotype" w:hAnsi="Palatino Linotype" w:cs="Palatino Linotype"/>
                <w:i/>
                <w:sz w:val="20"/>
                <w:szCs w:val="20"/>
              </w:rPr>
              <w:t>, para favorecer actos proselitistas para el PRI y la diputada en comento.” (sic)</w:t>
            </w:r>
          </w:p>
          <w:p w14:paraId="3B63C844" w14:textId="4F575668" w:rsidR="00F64878" w:rsidRPr="00FB27AF" w:rsidRDefault="00F64878" w:rsidP="00F64878">
            <w:pPr>
              <w:jc w:val="both"/>
              <w:rPr>
                <w:rFonts w:ascii="Palatino Linotype" w:eastAsia="Palatino Linotype" w:hAnsi="Palatino Linotype" w:cs="Palatino Linotype"/>
                <w:sz w:val="20"/>
                <w:szCs w:val="20"/>
              </w:rPr>
            </w:pPr>
            <w:r w:rsidRPr="00FB27AF">
              <w:rPr>
                <w:rFonts w:ascii="Palatino Linotype" w:eastAsia="Palatino Linotype" w:hAnsi="Palatino Linotype" w:cs="Palatino Linotype"/>
                <w:b/>
                <w:sz w:val="20"/>
                <w:szCs w:val="20"/>
              </w:rPr>
              <w:t>Razones o motivos de inconformidad</w:t>
            </w:r>
            <w:r w:rsidRPr="00FB27AF">
              <w:rPr>
                <w:rFonts w:ascii="Palatino Linotype" w:eastAsia="Palatino Linotype" w:hAnsi="Palatino Linotype" w:cs="Palatino Linotype"/>
                <w:sz w:val="20"/>
                <w:szCs w:val="20"/>
              </w:rPr>
              <w:t xml:space="preserve">: </w:t>
            </w:r>
          </w:p>
          <w:p w14:paraId="048FBC39" w14:textId="10D30103" w:rsidR="007A2447" w:rsidRPr="00FB27AF" w:rsidRDefault="00F64878" w:rsidP="00F64878">
            <w:pPr>
              <w:spacing w:before="120" w:after="120"/>
              <w:jc w:val="both"/>
              <w:rPr>
                <w:rFonts w:ascii="Palatino Linotype" w:eastAsia="Palatino Linotype" w:hAnsi="Palatino Linotype" w:cs="Palatino Linotype"/>
                <w:bCs/>
                <w:sz w:val="20"/>
                <w:szCs w:val="20"/>
              </w:rPr>
            </w:pPr>
            <w:r w:rsidRPr="00FB27AF">
              <w:rPr>
                <w:rFonts w:ascii="Palatino Linotype" w:eastAsia="Palatino Linotype" w:hAnsi="Palatino Linotype" w:cs="Palatino Linotype"/>
                <w:bCs/>
                <w:sz w:val="20"/>
                <w:szCs w:val="20"/>
              </w:rPr>
              <w:t>“</w:t>
            </w:r>
            <w:r w:rsidRPr="00FB27AF">
              <w:rPr>
                <w:rFonts w:ascii="Palatino Linotype" w:eastAsia="Palatino Linotype" w:hAnsi="Palatino Linotype" w:cs="Palatino Linotype"/>
                <w:bCs/>
                <w:i/>
                <w:iCs/>
                <w:sz w:val="20"/>
                <w:szCs w:val="20"/>
              </w:rPr>
              <w:t xml:space="preserve">Omite </w:t>
            </w:r>
            <w:r w:rsidRPr="00FB27AF">
              <w:rPr>
                <w:rFonts w:ascii="Palatino Linotype" w:eastAsia="Palatino Linotype" w:hAnsi="Palatino Linotype" w:cs="Palatino Linotype"/>
                <w:b/>
                <w:i/>
                <w:iCs/>
                <w:sz w:val="20"/>
                <w:szCs w:val="20"/>
                <w:u w:val="single"/>
              </w:rPr>
              <w:t>la respuesta a la justificación de asistencia en horario laboral a eventos proselitistas del PRI</w:t>
            </w:r>
            <w:r w:rsidRPr="00FB27AF">
              <w:rPr>
                <w:rFonts w:ascii="Palatino Linotype" w:eastAsia="Palatino Linotype" w:hAnsi="Palatino Linotype" w:cs="Palatino Linotype"/>
                <w:bCs/>
                <w:sz w:val="20"/>
                <w:szCs w:val="20"/>
              </w:rPr>
              <w:t>.” (sic)</w:t>
            </w:r>
          </w:p>
        </w:tc>
      </w:tr>
    </w:tbl>
    <w:p w14:paraId="6DFDD304" w14:textId="77777777" w:rsidR="007A2447" w:rsidRPr="00FB27AF" w:rsidRDefault="007A2447" w:rsidP="00162064">
      <w:pPr>
        <w:spacing w:before="240" w:after="240" w:line="360" w:lineRule="auto"/>
        <w:jc w:val="both"/>
        <w:rPr>
          <w:rFonts w:ascii="Palatino Linotype" w:eastAsia="Palatino Linotype" w:hAnsi="Palatino Linotype" w:cs="Palatino Linotype"/>
          <w:bCs/>
        </w:rPr>
      </w:pPr>
    </w:p>
    <w:p w14:paraId="0CB0AE29" w14:textId="324EE471" w:rsidR="00162064" w:rsidRPr="00FB27AF" w:rsidRDefault="00162064" w:rsidP="00162064">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lastRenderedPageBreak/>
        <w:t xml:space="preserve">Así, toda vez que la justificación de la asistencia a eventos políticos no fue solicitada desde el primer momento como se </w:t>
      </w:r>
      <w:r w:rsidR="00F64878" w:rsidRPr="00FB27AF">
        <w:rPr>
          <w:rFonts w:ascii="Palatino Linotype" w:eastAsia="Palatino Linotype" w:hAnsi="Palatino Linotype" w:cs="Palatino Linotype"/>
        </w:rPr>
        <w:t>advierte en la tabla anterior</w:t>
      </w:r>
      <w:r w:rsidRPr="00FB27AF">
        <w:rPr>
          <w:rFonts w:ascii="Palatino Linotype" w:eastAsia="Palatino Linotype" w:hAnsi="Palatino Linotype" w:cs="Palatino Linotype"/>
        </w:rPr>
        <w:t xml:space="preserve">, los motivos de inconformidad constituyen en su totalidad nuevos requerimientos de información, configurándose lo que se conoce como </w:t>
      </w:r>
      <w:r w:rsidRPr="00FB27AF">
        <w:rPr>
          <w:rFonts w:ascii="Palatino Linotype" w:eastAsia="Palatino Linotype" w:hAnsi="Palatino Linotype" w:cs="Palatino Linotype"/>
          <w:i/>
        </w:rPr>
        <w:t xml:space="preserve">plus </w:t>
      </w:r>
      <w:proofErr w:type="spellStart"/>
      <w:r w:rsidRPr="00FB27AF">
        <w:rPr>
          <w:rFonts w:ascii="Palatino Linotype" w:eastAsia="Palatino Linotype" w:hAnsi="Palatino Linotype" w:cs="Palatino Linotype"/>
          <w:i/>
        </w:rPr>
        <w:t>petitio</w:t>
      </w:r>
      <w:proofErr w:type="spellEnd"/>
      <w:r w:rsidRPr="00FB27AF">
        <w:rPr>
          <w:rFonts w:ascii="Palatino Linotype" w:eastAsia="Palatino Linotype" w:hAnsi="Palatino Linotype" w:cs="Palatino Linotype"/>
          <w:b/>
          <w:i/>
        </w:rPr>
        <w:t xml:space="preserve">, </w:t>
      </w:r>
      <w:r w:rsidRPr="00FB27AF">
        <w:rPr>
          <w:rFonts w:ascii="Palatino Linotype" w:eastAsia="Palatino Linotype" w:hAnsi="Palatino Linotype" w:cs="Palatino Linotype"/>
        </w:rPr>
        <w:t xml:space="preserve">que consiste en una ampliación a un requerimiento informativo, argumentos que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w:t>
      </w:r>
      <w:r w:rsidRPr="00FB27AF">
        <w:rPr>
          <w:rFonts w:ascii="Palatino Linotype" w:eastAsia="Palatino Linotype" w:hAnsi="Palatino Linotype" w:cs="Palatino Linotype"/>
          <w:b/>
          <w:u w:val="single"/>
        </w:rPr>
        <w:t xml:space="preserve">únicamente respecto de los nuevos contenidos; </w:t>
      </w:r>
      <w:r w:rsidRPr="00FB27AF">
        <w:rPr>
          <w:rFonts w:ascii="Palatino Linotype" w:eastAsia="Palatino Linotype" w:hAnsi="Palatino Linotype" w:cs="Palatino Linotype"/>
        </w:rPr>
        <w:t xml:space="preserve">cuestión que tuvo lugar en el presente caso, pues la parte </w:t>
      </w:r>
      <w:r w:rsidRPr="00FB27AF">
        <w:rPr>
          <w:rFonts w:ascii="Palatino Linotype" w:eastAsia="Palatino Linotype" w:hAnsi="Palatino Linotype" w:cs="Palatino Linotype"/>
          <w:b/>
        </w:rPr>
        <w:t>Recurrente</w:t>
      </w:r>
      <w:r w:rsidRPr="00FB27AF">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w:t>
      </w:r>
    </w:p>
    <w:p w14:paraId="71161915" w14:textId="77777777" w:rsidR="00162064" w:rsidRPr="00FB27AF" w:rsidRDefault="00162064" w:rsidP="00162064">
      <w:pPr>
        <w:spacing w:before="240" w:after="240" w:line="360" w:lineRule="auto"/>
        <w:jc w:val="both"/>
        <w:rPr>
          <w:rFonts w:ascii="Palatino Linotype" w:eastAsia="Palatino Linotype" w:hAnsi="Palatino Linotype" w:cs="Palatino Linotype"/>
        </w:rPr>
      </w:pPr>
      <w:r w:rsidRPr="00FB27AF">
        <w:rPr>
          <w:rFonts w:ascii="Palatino Linotype" w:eastAsia="Calibri" w:hAnsi="Palatino Linotype" w:cs="Tahoma"/>
          <w:iCs/>
        </w:rPr>
        <w:t xml:space="preserve">Con base en lo anterior, es posible determinar que para el caso que nos ocupa, la totalidad de los argumentos formulados como motivos o razones de inconformidad son una ampliación a la solicitud inicial y corresponden a nuevos requerimientos de información, que no se encuentran relacionados con lo solicitado en un primer momento; </w:t>
      </w:r>
      <w:r w:rsidRPr="00FB27AF">
        <w:rPr>
          <w:rFonts w:ascii="Palatino Linotype" w:eastAsia="Palatino Linotype" w:hAnsi="Palatino Linotype" w:cs="Palatino Linotype"/>
        </w:rPr>
        <w:t>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6AC66865" w14:textId="77777777" w:rsidR="00162064" w:rsidRPr="00FB27AF" w:rsidRDefault="00162064" w:rsidP="0016206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lastRenderedPageBreak/>
        <w:t>Robustece lo anterior lo plasmado en el criterio orientador número 01/17 emitido por el Instituto Nacional de Transparencia, Acceso a la Información y Protección de Datos Personales, INAI, que lleva por rubro y texto lo que a continuación se transcribe:</w:t>
      </w:r>
    </w:p>
    <w:p w14:paraId="589FDAC8" w14:textId="77777777" w:rsidR="00162064" w:rsidRPr="00FB27AF" w:rsidRDefault="00162064" w:rsidP="00162064">
      <w:pPr>
        <w:spacing w:before="240" w:after="240"/>
        <w:ind w:left="851" w:right="900"/>
        <w:jc w:val="both"/>
        <w:rPr>
          <w:rFonts w:ascii="Palatino Linotype" w:eastAsia="Palatino Linotype" w:hAnsi="Palatino Linotype" w:cs="Palatino Linotype"/>
        </w:rPr>
      </w:pPr>
      <w:r w:rsidRPr="00FB27AF">
        <w:rPr>
          <w:rFonts w:ascii="Palatino Linotype" w:eastAsia="Palatino Linotype" w:hAnsi="Palatino Linotype" w:cs="Palatino Linotype"/>
          <w:i/>
          <w:sz w:val="22"/>
          <w:szCs w:val="22"/>
        </w:rPr>
        <w:t>“</w:t>
      </w:r>
      <w:r w:rsidRPr="00FB27AF">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FB27AF">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FB27AF">
        <w:rPr>
          <w:rFonts w:ascii="Palatino Linotype" w:eastAsia="Palatino Linotype" w:hAnsi="Palatino Linotype" w:cs="Palatino Linotype"/>
          <w:b/>
          <w:i/>
          <w:sz w:val="22"/>
          <w:szCs w:val="22"/>
        </w:rPr>
        <w:t>.</w:t>
      </w:r>
      <w:r w:rsidRPr="00FB27AF">
        <w:rPr>
          <w:rFonts w:ascii="Palatino Linotype" w:eastAsia="Palatino Linotype" w:hAnsi="Palatino Linotype" w:cs="Palatino Linotype"/>
          <w:i/>
          <w:sz w:val="22"/>
          <w:szCs w:val="22"/>
        </w:rPr>
        <w:t>”</w:t>
      </w:r>
    </w:p>
    <w:p w14:paraId="079920AC" w14:textId="77777777" w:rsidR="00BE16BC" w:rsidRPr="00FB27AF" w:rsidRDefault="00BE16BC" w:rsidP="00433BE7">
      <w:pPr>
        <w:widowControl w:val="0"/>
        <w:spacing w:before="240" w:after="240" w:line="360" w:lineRule="auto"/>
        <w:ind w:right="51"/>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A pesar de lo anterior, cabe mencionar que el </w:t>
      </w:r>
      <w:r w:rsidRPr="00FB27AF">
        <w:rPr>
          <w:rFonts w:ascii="Palatino Linotype" w:eastAsia="Palatino Linotype" w:hAnsi="Palatino Linotype" w:cs="Palatino Linotype"/>
          <w:b/>
        </w:rPr>
        <w:t>Sujeto Obligado</w:t>
      </w:r>
      <w:r w:rsidRPr="00FB27AF">
        <w:rPr>
          <w:rFonts w:ascii="Palatino Linotype" w:eastAsia="Palatino Linotype" w:hAnsi="Palatino Linotype" w:cs="Palatino Linotype"/>
        </w:rPr>
        <w:t xml:space="preserve">, en la etapa de manifestaciones, además de precisar que </w:t>
      </w:r>
      <w:r w:rsidR="00982509" w:rsidRPr="00FB27AF">
        <w:rPr>
          <w:rFonts w:ascii="Palatino Linotype" w:eastAsia="Palatino Linotype" w:hAnsi="Palatino Linotype" w:cs="Palatino Linotype"/>
        </w:rPr>
        <w:t xml:space="preserve">las razones o motivos de inconformidad </w:t>
      </w:r>
      <w:r w:rsidRPr="00FB27AF">
        <w:rPr>
          <w:rFonts w:ascii="Palatino Linotype" w:eastAsia="Palatino Linotype" w:hAnsi="Palatino Linotype" w:cs="Palatino Linotype"/>
        </w:rPr>
        <w:t xml:space="preserve">vertidos por la parte </w:t>
      </w:r>
      <w:r w:rsidRPr="00FB27AF">
        <w:rPr>
          <w:rFonts w:ascii="Palatino Linotype" w:eastAsia="Palatino Linotype" w:hAnsi="Palatino Linotype" w:cs="Palatino Linotype"/>
          <w:b/>
        </w:rPr>
        <w:t>Recurrente</w:t>
      </w:r>
      <w:r w:rsidRPr="00FB27AF">
        <w:rPr>
          <w:rFonts w:ascii="Palatino Linotype" w:eastAsia="Palatino Linotype" w:hAnsi="Palatino Linotype" w:cs="Palatino Linotype"/>
        </w:rPr>
        <w:t xml:space="preserve"> a través de su recurso de </w:t>
      </w:r>
      <w:proofErr w:type="gramStart"/>
      <w:r w:rsidRPr="00FB27AF">
        <w:rPr>
          <w:rFonts w:ascii="Palatino Linotype" w:eastAsia="Palatino Linotype" w:hAnsi="Palatino Linotype" w:cs="Palatino Linotype"/>
        </w:rPr>
        <w:t xml:space="preserve">revisión,  </w:t>
      </w:r>
      <w:r w:rsidR="00982509" w:rsidRPr="00FB27AF">
        <w:rPr>
          <w:rFonts w:ascii="Palatino Linotype" w:eastAsia="Palatino Linotype" w:hAnsi="Palatino Linotype" w:cs="Palatino Linotype"/>
        </w:rPr>
        <w:t>se</w:t>
      </w:r>
      <w:proofErr w:type="gramEnd"/>
      <w:r w:rsidR="00982509" w:rsidRPr="00FB27AF">
        <w:rPr>
          <w:rFonts w:ascii="Palatino Linotype" w:eastAsia="Palatino Linotype" w:hAnsi="Palatino Linotype" w:cs="Palatino Linotype"/>
        </w:rPr>
        <w:t xml:space="preserve"> trataban de argumentos que no fueron requeridos de manera inicial en la solicitud, </w:t>
      </w:r>
      <w:r w:rsidR="00F26810" w:rsidRPr="00FB27AF">
        <w:rPr>
          <w:rFonts w:ascii="Palatino Linotype" w:eastAsia="Palatino Linotype" w:hAnsi="Palatino Linotype" w:cs="Palatino Linotype"/>
        </w:rPr>
        <w:t xml:space="preserve">como ya ha sido expuesto en el estudio que antecede, señaló que </w:t>
      </w:r>
      <w:r w:rsidR="00433BE7" w:rsidRPr="00FB27AF">
        <w:rPr>
          <w:rFonts w:ascii="Palatino Linotype" w:eastAsia="Palatino Linotype" w:hAnsi="Palatino Linotype" w:cs="Palatino Linotype"/>
        </w:rPr>
        <w:t>a través de dichos argumentos se daban hechos subjetivos y juicios de valor que son inatendibles.</w:t>
      </w:r>
    </w:p>
    <w:p w14:paraId="18871D2F" w14:textId="77777777" w:rsidR="00433BE7" w:rsidRPr="00FB27AF" w:rsidRDefault="00433BE7" w:rsidP="00433BE7">
      <w:pPr>
        <w:widowControl w:val="0"/>
        <w:spacing w:before="240" w:after="240" w:line="360" w:lineRule="auto"/>
        <w:ind w:right="51"/>
        <w:jc w:val="both"/>
        <w:rPr>
          <w:rFonts w:ascii="Palatino Linotype" w:eastAsia="Palatino Linotype" w:hAnsi="Palatino Linotype" w:cs="Palatino Linotype"/>
        </w:rPr>
      </w:pPr>
      <w:r w:rsidRPr="00FB27AF">
        <w:rPr>
          <w:rFonts w:ascii="Palatino Linotype" w:eastAsia="Palatino Linotype" w:hAnsi="Palatino Linotype" w:cs="Palatino Linotype"/>
        </w:rPr>
        <w:t>Ante lo cual se reitera que la prerrogativa de acceder información pública, no implica la entrega de una razón o la respuesta o atención a pronunciamientos que no encuentren en soporte documental alguno, pues ello implicaría emitir un juicio de valor referente a cuestionamientos encaminados a ser satisfechas en ejercicio del derecho de petición.</w:t>
      </w:r>
    </w:p>
    <w:p w14:paraId="12775E7B" w14:textId="77777777" w:rsidR="00204056" w:rsidRPr="00FB27AF" w:rsidRDefault="008D2A2A" w:rsidP="00433BE7">
      <w:pPr>
        <w:widowControl w:val="0"/>
        <w:spacing w:before="240" w:after="240" w:line="360" w:lineRule="auto"/>
        <w:ind w:right="51"/>
        <w:jc w:val="both"/>
        <w:rPr>
          <w:rFonts w:ascii="Palatino Linotype" w:eastAsia="Palatino Linotype" w:hAnsi="Palatino Linotype" w:cs="Palatino Linotype"/>
        </w:rPr>
      </w:pPr>
      <w:r w:rsidRPr="00FB27AF">
        <w:rPr>
          <w:rFonts w:ascii="Palatino Linotype" w:eastAsia="Palatino Linotype" w:hAnsi="Palatino Linotype" w:cs="Palatino Linotype"/>
        </w:rPr>
        <w:lastRenderedPageBreak/>
        <w:t xml:space="preserve">Derivado de lo </w:t>
      </w:r>
      <w:r w:rsidR="00391053" w:rsidRPr="00FB27AF">
        <w:rPr>
          <w:rFonts w:ascii="Palatino Linotype" w:eastAsia="Palatino Linotype" w:hAnsi="Palatino Linotype" w:cs="Palatino Linotype"/>
        </w:rPr>
        <w:t>anterior</w:t>
      </w:r>
      <w:r w:rsidRPr="00FB27AF">
        <w:rPr>
          <w:rFonts w:ascii="Palatino Linotype" w:eastAsia="Palatino Linotype" w:hAnsi="Palatino Linotype" w:cs="Palatino Linotype"/>
        </w:rPr>
        <w:t xml:space="preserve">, se concluye que el presente caso actualiza </w:t>
      </w:r>
      <w:r w:rsidR="00EF2C23" w:rsidRPr="00FB27AF">
        <w:rPr>
          <w:rFonts w:ascii="Palatino Linotype" w:eastAsia="Palatino Linotype" w:hAnsi="Palatino Linotype" w:cs="Palatino Linotype"/>
        </w:rPr>
        <w:t>la causal de sobreseimiento prevista en la fracción IV del artículo 192 de la Ley de Transparencia y Acceso a la Información Pública del Estado de México y Municipios, en relación con la fracción V</w:t>
      </w:r>
      <w:r w:rsidR="00391053" w:rsidRPr="00FB27AF">
        <w:rPr>
          <w:rFonts w:ascii="Palatino Linotype" w:eastAsia="Palatino Linotype" w:hAnsi="Palatino Linotype" w:cs="Palatino Linotype"/>
        </w:rPr>
        <w:t>I</w:t>
      </w:r>
      <w:r w:rsidR="00EF2C23" w:rsidRPr="00FB27AF">
        <w:rPr>
          <w:rFonts w:ascii="Palatino Linotype" w:eastAsia="Palatino Linotype" w:hAnsi="Palatino Linotype" w:cs="Palatino Linotype"/>
        </w:rPr>
        <w:t xml:space="preserve">I del artículo 191 del mismo ordenamiento, </w:t>
      </w:r>
      <w:r w:rsidR="00204056" w:rsidRPr="00FB27AF">
        <w:rPr>
          <w:rFonts w:ascii="Palatino Linotype" w:eastAsia="Palatino Linotype" w:hAnsi="Palatino Linotype" w:cs="Palatino Linotype"/>
        </w:rPr>
        <w:t>citados con antelación.</w:t>
      </w:r>
    </w:p>
    <w:p w14:paraId="08705653" w14:textId="77777777" w:rsidR="00EF2C23" w:rsidRPr="00FB27AF" w:rsidRDefault="00204056" w:rsidP="00EF2C23">
      <w:pPr>
        <w:spacing w:before="240" w:after="240" w:line="360" w:lineRule="auto"/>
        <w:ind w:right="49"/>
        <w:jc w:val="both"/>
        <w:rPr>
          <w:rFonts w:ascii="Palatino Linotype" w:eastAsia="Palatino Linotype" w:hAnsi="Palatino Linotype" w:cs="Palatino Linotype"/>
        </w:rPr>
      </w:pPr>
      <w:r w:rsidRPr="00FB27AF">
        <w:rPr>
          <w:rFonts w:ascii="Palatino Linotype" w:eastAsia="Palatino Linotype" w:hAnsi="Palatino Linotype" w:cs="Palatino Linotype"/>
        </w:rPr>
        <w:t>Asimismo, c</w:t>
      </w:r>
      <w:r w:rsidR="00EF2C23" w:rsidRPr="00FB27AF">
        <w:rPr>
          <w:rFonts w:ascii="Palatino Linotype" w:eastAsia="Palatino Linotype" w:hAnsi="Palatino Linotype" w:cs="Palatino Linotype"/>
        </w:rPr>
        <w:t xml:space="preserve">abe destacar que la Ley da la posibilidad de desechar el recurso de </w:t>
      </w:r>
      <w:r w:rsidR="00433BE7" w:rsidRPr="00FB27AF">
        <w:rPr>
          <w:rFonts w:ascii="Palatino Linotype" w:eastAsia="Palatino Linotype" w:hAnsi="Palatino Linotype" w:cs="Palatino Linotype"/>
        </w:rPr>
        <w:t>r</w:t>
      </w:r>
      <w:r w:rsidR="00EF2C23" w:rsidRPr="00FB27AF">
        <w:rPr>
          <w:rFonts w:ascii="Palatino Linotype" w:eastAsia="Palatino Linotype" w:hAnsi="Palatino Linotype" w:cs="Palatino Linotype"/>
        </w:rPr>
        <w:t>evisión en el momento procesal en que también se puede admi</w:t>
      </w:r>
      <w:r w:rsidR="00AB5F2B" w:rsidRPr="00FB27AF">
        <w:rPr>
          <w:rFonts w:ascii="Palatino Linotype" w:eastAsia="Palatino Linotype" w:hAnsi="Palatino Linotype" w:cs="Palatino Linotype"/>
        </w:rPr>
        <w:t>tir, por alguno de los supuestos previstos en el artículo 191 de la Ley en la Materia</w:t>
      </w:r>
      <w:r w:rsidR="00EF2C23" w:rsidRPr="00FB27AF">
        <w:rPr>
          <w:rFonts w:ascii="Palatino Linotype" w:eastAsia="Palatino Linotype" w:hAnsi="Palatino Linotype" w:cs="Palatino Linotype"/>
        </w:rPr>
        <w:t>, artículo que tiene un momento de aplicabilidad previo a la admisión del recurso de revisión por no reunir los requisitos de procedibilidad previstos en el artíc</w:t>
      </w:r>
      <w:r w:rsidR="00AB5F2B" w:rsidRPr="00FB27AF">
        <w:rPr>
          <w:rFonts w:ascii="Palatino Linotype" w:eastAsia="Palatino Linotype" w:hAnsi="Palatino Linotype" w:cs="Palatino Linotype"/>
        </w:rPr>
        <w:t>ulo 179 de la misma Ley</w:t>
      </w:r>
      <w:r w:rsidR="00EF2C23" w:rsidRPr="00FB27AF">
        <w:rPr>
          <w:rFonts w:ascii="Palatino Linotype" w:eastAsia="Palatino Linotype" w:hAnsi="Palatino Linotype" w:cs="Palatino Linotype"/>
        </w:rPr>
        <w:t>.</w:t>
      </w:r>
    </w:p>
    <w:p w14:paraId="58AC661F" w14:textId="77777777" w:rsidR="00EF2C23" w:rsidRPr="00FB27AF" w:rsidRDefault="00EF2C23" w:rsidP="00EF2C23">
      <w:pPr>
        <w:spacing w:before="240" w:after="240" w:line="360" w:lineRule="auto"/>
        <w:ind w:right="49"/>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actualización de un </w:t>
      </w:r>
      <w:proofErr w:type="spellStart"/>
      <w:r w:rsidRPr="00FB27AF">
        <w:rPr>
          <w:rFonts w:ascii="Palatino Linotype" w:eastAsia="Palatino Linotype" w:hAnsi="Palatino Linotype" w:cs="Palatino Linotype"/>
        </w:rPr>
        <w:t>desechamiento</w:t>
      </w:r>
      <w:proofErr w:type="spellEnd"/>
      <w:r w:rsidRPr="00FB27AF">
        <w:rPr>
          <w:rFonts w:ascii="Palatino Linotype" w:eastAsia="Palatino Linotype" w:hAnsi="Palatino Linotype" w:cs="Palatino Linotype"/>
          <w:vertAlign w:val="superscript"/>
        </w:rPr>
        <w:footnoteReference w:id="4"/>
      </w:r>
      <w:r w:rsidRPr="00FB27AF">
        <w:rPr>
          <w:rFonts w:ascii="Palatino Linotype" w:eastAsia="Palatino Linotype" w:hAnsi="Palatino Linotype" w:cs="Palatino Linotype"/>
        </w:rPr>
        <w:t>, porque está ya sería posterior a la etapa procedimental en la que debió desecharse.</w:t>
      </w:r>
    </w:p>
    <w:p w14:paraId="68D6A766" w14:textId="77777777" w:rsidR="00EF2C23" w:rsidRPr="00FB27AF" w:rsidRDefault="00EF2C23" w:rsidP="00EF2C23">
      <w:pPr>
        <w:spacing w:before="240" w:after="240" w:line="360" w:lineRule="auto"/>
        <w:ind w:right="49"/>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Cobrando aplicación lo previsto en la fracción IV del artículo 192, en razón a que al haber sido admitido el recurso de revisión y al actualizarse una causal de </w:t>
      </w:r>
      <w:r w:rsidRPr="00FB27AF">
        <w:rPr>
          <w:rFonts w:ascii="Palatino Linotype" w:eastAsia="Palatino Linotype" w:hAnsi="Palatino Linotype" w:cs="Palatino Linotype"/>
        </w:rPr>
        <w:lastRenderedPageBreak/>
        <w:t>improcedencia</w:t>
      </w:r>
      <w:r w:rsidR="00AB5F2B" w:rsidRPr="00FB27AF">
        <w:rPr>
          <w:rFonts w:ascii="Palatino Linotype" w:eastAsia="Palatino Linotype" w:hAnsi="Palatino Linotype" w:cs="Palatino Linotype"/>
        </w:rPr>
        <w:t>, en este caso la establecida en la fracción VI</w:t>
      </w:r>
      <w:r w:rsidR="00F27B1A" w:rsidRPr="00FB27AF">
        <w:rPr>
          <w:rFonts w:ascii="Palatino Linotype" w:eastAsia="Palatino Linotype" w:hAnsi="Palatino Linotype" w:cs="Palatino Linotype"/>
        </w:rPr>
        <w:t>I</w:t>
      </w:r>
      <w:r w:rsidR="00AB5F2B" w:rsidRPr="00FB27AF">
        <w:rPr>
          <w:rFonts w:ascii="Palatino Linotype" w:eastAsia="Palatino Linotype" w:hAnsi="Palatino Linotype" w:cs="Palatino Linotype"/>
        </w:rPr>
        <w:t xml:space="preserve"> </w:t>
      </w:r>
      <w:r w:rsidRPr="00FB27AF">
        <w:rPr>
          <w:rFonts w:ascii="Palatino Linotype" w:eastAsia="Palatino Linotype" w:hAnsi="Palatino Linotype" w:cs="Palatino Linotype"/>
        </w:rPr>
        <w:t xml:space="preserve">del artículo 191 de la misma Ley, éste debe ser </w:t>
      </w:r>
      <w:r w:rsidRPr="00FB27AF">
        <w:rPr>
          <w:rFonts w:ascii="Palatino Linotype" w:eastAsia="Palatino Linotype" w:hAnsi="Palatino Linotype" w:cs="Palatino Linotype"/>
          <w:i/>
        </w:rPr>
        <w:t>sobreseído</w:t>
      </w:r>
      <w:r w:rsidRPr="00FB27AF">
        <w:rPr>
          <w:rFonts w:ascii="Palatino Linotype" w:eastAsia="Palatino Linotype" w:hAnsi="Palatino Linotype" w:cs="Palatino Linotype"/>
        </w:rPr>
        <w:t xml:space="preserve">. </w:t>
      </w:r>
    </w:p>
    <w:p w14:paraId="0DE0E2BA" w14:textId="77777777" w:rsidR="00EF2C23" w:rsidRPr="00FB27AF" w:rsidRDefault="00EF2C23" w:rsidP="00EF2C23">
      <w:pPr>
        <w:spacing w:before="240" w:after="240" w:line="360" w:lineRule="auto"/>
        <w:jc w:val="both"/>
        <w:rPr>
          <w:rFonts w:ascii="Palatino Linotype" w:eastAsia="Palatino Linotype" w:hAnsi="Palatino Linotype" w:cs="Palatino Linotype"/>
          <w:b/>
        </w:rPr>
      </w:pPr>
      <w:r w:rsidRPr="00FB27AF">
        <w:rPr>
          <w:rFonts w:ascii="Palatino Linotype" w:eastAsia="Palatino Linotype" w:hAnsi="Palatino Linotype" w:cs="Palatino Linotype"/>
        </w:rPr>
        <w:t xml:space="preserve">Atento a los razonamientos lógico jurídicos que han quedado precisados y toda vez que el  </w:t>
      </w:r>
      <w:r w:rsidRPr="00FB27AF">
        <w:rPr>
          <w:rFonts w:ascii="Palatino Linotype" w:eastAsia="Palatino Linotype" w:hAnsi="Palatino Linotype" w:cs="Palatino Linotype"/>
          <w:i/>
        </w:rPr>
        <w:t xml:space="preserve">sobreseimiento </w:t>
      </w:r>
      <w:r w:rsidRPr="00FB27AF">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FB27AF">
        <w:rPr>
          <w:rFonts w:ascii="Palatino Linotype" w:eastAsia="Palatino Linotype" w:hAnsi="Palatino Linotype" w:cs="Palatino Linotype"/>
          <w:b/>
        </w:rPr>
        <w:t>SOBRESEIMIENTO, NO PERMITE ENTRAR AL ESTUDIO DE LAS CUESTIONES DE FONDO</w:t>
      </w:r>
      <w:r w:rsidRPr="00FB27AF">
        <w:rPr>
          <w:rFonts w:ascii="Palatino Linotype" w:eastAsia="Palatino Linotype" w:hAnsi="Palatino Linotype" w:cs="Palatino Linotype"/>
          <w:vertAlign w:val="superscript"/>
        </w:rPr>
        <w:footnoteReference w:id="5"/>
      </w:r>
      <w:r w:rsidRPr="00FB27AF">
        <w:rPr>
          <w:rFonts w:ascii="Palatino Linotype" w:eastAsia="Palatino Linotype" w:hAnsi="Palatino Linotype" w:cs="Palatino Linotype"/>
          <w:b/>
        </w:rPr>
        <w:t>.</w:t>
      </w:r>
    </w:p>
    <w:p w14:paraId="0766B7EA" w14:textId="77777777" w:rsidR="00EF2C23" w:rsidRPr="00FB27AF" w:rsidRDefault="00EF2C23" w:rsidP="00EF2C23">
      <w:pPr>
        <w:spacing w:before="240" w:after="24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AAA4448" w14:textId="77777777" w:rsidR="00EF2C23" w:rsidRPr="00FB27AF" w:rsidRDefault="00EF2C23" w:rsidP="00EF2C23">
      <w:pPr>
        <w:spacing w:before="120" w:after="120"/>
        <w:ind w:left="851" w:right="902"/>
        <w:jc w:val="both"/>
        <w:rPr>
          <w:rFonts w:ascii="Palatino Linotype" w:eastAsia="Palatino Linotype" w:hAnsi="Palatino Linotype" w:cs="Palatino Linotype"/>
          <w:b/>
          <w:i/>
          <w:sz w:val="22"/>
          <w:szCs w:val="22"/>
        </w:rPr>
      </w:pPr>
      <w:r w:rsidRPr="00FB27AF">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p>
    <w:p w14:paraId="410A4171" w14:textId="77777777" w:rsidR="00EF2C23" w:rsidRPr="00FB27AF" w:rsidRDefault="00EF2C23" w:rsidP="00EF2C23">
      <w:pPr>
        <w:spacing w:before="120" w:after="120"/>
        <w:ind w:left="851" w:right="902"/>
        <w:jc w:val="both"/>
        <w:rPr>
          <w:rFonts w:ascii="Palatino Linotype" w:eastAsia="Palatino Linotype" w:hAnsi="Palatino Linotype" w:cs="Palatino Linotype"/>
          <w:i/>
          <w:sz w:val="22"/>
          <w:szCs w:val="22"/>
        </w:rPr>
      </w:pPr>
      <w:r w:rsidRPr="00FB27AF">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w:t>
      </w:r>
      <w:r w:rsidRPr="00FB27AF">
        <w:rPr>
          <w:rFonts w:ascii="Palatino Linotype" w:eastAsia="Palatino Linotype" w:hAnsi="Palatino Linotype" w:cs="Palatino Linotype"/>
          <w:i/>
          <w:sz w:val="22"/>
          <w:szCs w:val="22"/>
        </w:rPr>
        <w:lastRenderedPageBreak/>
        <w:t>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FB27AF">
        <w:rPr>
          <w:rFonts w:ascii="Palatino Linotype" w:eastAsia="Palatino Linotype" w:hAnsi="Palatino Linotype" w:cs="Palatino Linotype"/>
        </w:rPr>
        <w:tab/>
      </w:r>
    </w:p>
    <w:p w14:paraId="417D6A3C" w14:textId="77777777" w:rsidR="00EF2C23" w:rsidRPr="00FB27AF" w:rsidRDefault="00EF2C23" w:rsidP="00EF2C23">
      <w:pPr>
        <w:spacing w:before="120" w:line="360" w:lineRule="auto"/>
        <w:jc w:val="both"/>
        <w:rPr>
          <w:rFonts w:ascii="Palatino Linotype" w:eastAsia="Palatino Linotype" w:hAnsi="Palatino Linotype" w:cs="Palatino Linotype"/>
        </w:rPr>
      </w:pPr>
      <w:r w:rsidRPr="00FB27AF">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FB27AF">
        <w:rPr>
          <w:rFonts w:ascii="Palatino Linotype" w:eastAsia="Palatino Linotype" w:hAnsi="Palatino Linotype" w:cs="Palatino Linotype"/>
          <w:i/>
        </w:rPr>
        <w:t>Sobresee</w:t>
      </w:r>
      <w:r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rPr>
        <w:t xml:space="preserve">el recurso de revisión </w:t>
      </w:r>
      <w:r w:rsidRPr="00FB27AF">
        <w:rPr>
          <w:rFonts w:ascii="Palatino Linotype" w:eastAsia="Palatino Linotype" w:hAnsi="Palatino Linotype" w:cs="Palatino Linotype"/>
          <w:b/>
        </w:rPr>
        <w:t>17129/INFOEM/IP/RR/2022</w:t>
      </w:r>
      <w:r w:rsidRPr="00FB27AF">
        <w:rPr>
          <w:rFonts w:ascii="Palatino Linotype" w:eastAsia="Palatino Linotype" w:hAnsi="Palatino Linotype" w:cs="Palatino Linotype"/>
        </w:rPr>
        <w:t>, que ha sido materia del presente fallo.</w:t>
      </w:r>
    </w:p>
    <w:p w14:paraId="03616601" w14:textId="77777777" w:rsidR="000C6F0F" w:rsidRPr="00FB27AF" w:rsidRDefault="00B949B2">
      <w:pPr>
        <w:spacing w:before="240" w:after="240" w:line="360" w:lineRule="auto"/>
        <w:jc w:val="both"/>
        <w:rPr>
          <w:rFonts w:ascii="Palatino Linotype" w:eastAsia="Palatino Linotype" w:hAnsi="Palatino Linotype" w:cs="Palatino Linotype"/>
        </w:rPr>
      </w:pPr>
      <w:bookmarkStart w:id="6" w:name="_heading=h.1ksv4uv" w:colFirst="0" w:colLast="0"/>
      <w:bookmarkEnd w:id="6"/>
      <w:r w:rsidRPr="00FB27AF">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A92DE8C" w14:textId="77777777" w:rsidR="000C6F0F" w:rsidRPr="00FB27AF" w:rsidRDefault="00B949B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B27AF">
        <w:rPr>
          <w:rFonts w:ascii="Palatino Linotype" w:eastAsia="Palatino Linotype" w:hAnsi="Palatino Linotype" w:cs="Palatino Linotype"/>
          <w:b/>
        </w:rPr>
        <w:t>III. R E S U E L V E</w:t>
      </w:r>
    </w:p>
    <w:p w14:paraId="7F7084CF" w14:textId="77777777" w:rsidR="00EF2C23" w:rsidRPr="00FB27AF" w:rsidRDefault="00EF2C23" w:rsidP="00204056">
      <w:pPr>
        <w:tabs>
          <w:tab w:val="left" w:pos="7936"/>
        </w:tabs>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FB27AF">
        <w:rPr>
          <w:rFonts w:ascii="Palatino Linotype" w:eastAsia="Palatino Linotype" w:hAnsi="Palatino Linotype" w:cs="Palatino Linotype"/>
          <w:b/>
        </w:rPr>
        <w:t xml:space="preserve">Primero. </w:t>
      </w:r>
      <w:r w:rsidRPr="00FB27AF">
        <w:rPr>
          <w:rFonts w:ascii="Palatino Linotype" w:eastAsia="Palatino Linotype" w:hAnsi="Palatino Linotype" w:cs="Palatino Linotype"/>
        </w:rPr>
        <w:t xml:space="preserve">Se </w:t>
      </w:r>
      <w:r w:rsidRPr="00FB27AF">
        <w:rPr>
          <w:rFonts w:ascii="Palatino Linotype" w:eastAsia="Palatino Linotype" w:hAnsi="Palatino Linotype" w:cs="Palatino Linotype"/>
          <w:b/>
        </w:rPr>
        <w:t>Sobresee</w:t>
      </w:r>
      <w:r w:rsidRPr="00FB27AF">
        <w:rPr>
          <w:rFonts w:ascii="Palatino Linotype" w:eastAsia="Palatino Linotype" w:hAnsi="Palatino Linotype" w:cs="Palatino Linotype"/>
        </w:rPr>
        <w:t xml:space="preserve"> el Recurso de Revisión </w:t>
      </w:r>
      <w:r w:rsidRPr="00FB27AF">
        <w:rPr>
          <w:rFonts w:ascii="Palatino Linotype" w:eastAsia="Palatino Linotype" w:hAnsi="Palatino Linotype" w:cs="Palatino Linotype"/>
          <w:b/>
        </w:rPr>
        <w:t>17129/INFOEM/IP/RR/2022</w:t>
      </w:r>
      <w:r w:rsidRPr="00FB27AF">
        <w:rPr>
          <w:rFonts w:ascii="Palatino Linotype" w:eastAsia="Palatino Linotype" w:hAnsi="Palatino Linotype" w:cs="Palatino Linotype"/>
        </w:rPr>
        <w:t>, por improcedente</w:t>
      </w:r>
      <w:r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rPr>
        <w:t xml:space="preserve">por actualizarse la fracción IV del artículo 192, en relación con </w:t>
      </w:r>
      <w:r w:rsidR="00F27B1A" w:rsidRPr="00FB27AF">
        <w:rPr>
          <w:rFonts w:ascii="Palatino Linotype" w:eastAsia="Palatino Linotype" w:hAnsi="Palatino Linotype" w:cs="Palatino Linotype"/>
        </w:rPr>
        <w:t xml:space="preserve">la fracción </w:t>
      </w:r>
      <w:r w:rsidRPr="00FB27AF">
        <w:rPr>
          <w:rFonts w:ascii="Palatino Linotype" w:eastAsia="Palatino Linotype" w:hAnsi="Palatino Linotype" w:cs="Palatino Linotype"/>
        </w:rPr>
        <w:t>V</w:t>
      </w:r>
      <w:r w:rsidR="00F27B1A" w:rsidRPr="00FB27AF">
        <w:rPr>
          <w:rFonts w:ascii="Palatino Linotype" w:eastAsia="Palatino Linotype" w:hAnsi="Palatino Linotype" w:cs="Palatino Linotype"/>
        </w:rPr>
        <w:t>II</w:t>
      </w:r>
      <w:r w:rsidRPr="00FB27AF">
        <w:rPr>
          <w:rFonts w:ascii="Palatino Linotype" w:eastAsia="Palatino Linotype" w:hAnsi="Palatino Linotype" w:cs="Palatino Linotype"/>
        </w:rPr>
        <w:t xml:space="preserve"> del artículo 191, ambos, de la Ley de Transparencia y Acceso a la </w:t>
      </w:r>
      <w:r w:rsidRPr="00FB27AF">
        <w:rPr>
          <w:rFonts w:ascii="Palatino Linotype" w:eastAsia="Palatino Linotype" w:hAnsi="Palatino Linotype" w:cs="Palatino Linotype"/>
        </w:rPr>
        <w:lastRenderedPageBreak/>
        <w:t xml:space="preserve">Información Pública del Estado de México y Municipios, en términos del </w:t>
      </w:r>
      <w:r w:rsidRPr="00FB27AF">
        <w:rPr>
          <w:rFonts w:ascii="Palatino Linotype" w:eastAsia="Palatino Linotype" w:hAnsi="Palatino Linotype" w:cs="Palatino Linotype"/>
          <w:b/>
        </w:rPr>
        <w:t>Considerando Tercero</w:t>
      </w:r>
      <w:r w:rsidRPr="00FB27AF">
        <w:rPr>
          <w:rFonts w:ascii="Palatino Linotype" w:eastAsia="Palatino Linotype" w:hAnsi="Palatino Linotype" w:cs="Palatino Linotype"/>
        </w:rPr>
        <w:t xml:space="preserve"> de la presente resolución.</w:t>
      </w:r>
    </w:p>
    <w:p w14:paraId="1AA4053E" w14:textId="77777777" w:rsidR="00EF2C23" w:rsidRPr="00FB27AF" w:rsidRDefault="00EF2C23" w:rsidP="00204056">
      <w:pPr>
        <w:spacing w:before="240" w:after="240" w:line="360" w:lineRule="auto"/>
        <w:ind w:right="51"/>
        <w:jc w:val="both"/>
        <w:rPr>
          <w:rFonts w:ascii="Palatino Linotype" w:eastAsia="Palatino Linotype" w:hAnsi="Palatino Linotype" w:cs="Palatino Linotype"/>
        </w:rPr>
      </w:pPr>
      <w:bookmarkStart w:id="8" w:name="_heading=h.kelgs2428oa6" w:colFirst="0" w:colLast="0"/>
      <w:bookmarkEnd w:id="8"/>
      <w:r w:rsidRPr="00FB27AF">
        <w:rPr>
          <w:rFonts w:ascii="Palatino Linotype" w:eastAsia="Palatino Linotype" w:hAnsi="Palatino Linotype" w:cs="Palatino Linotype"/>
          <w:b/>
        </w:rPr>
        <w:t>Segundo. Notifíquese </w:t>
      </w:r>
      <w:r w:rsidRPr="00FB27AF">
        <w:rPr>
          <w:rFonts w:ascii="Palatino Linotype" w:eastAsia="Palatino Linotype" w:hAnsi="Palatino Linotype" w:cs="Palatino Linotype"/>
        </w:rPr>
        <w:t xml:space="preserve">vía SAIMEX la presente resolución al Titular de la Unidad de Transparencia del </w:t>
      </w:r>
      <w:r w:rsidRPr="00FB27AF">
        <w:rPr>
          <w:rFonts w:ascii="Palatino Linotype" w:eastAsia="Palatino Linotype" w:hAnsi="Palatino Linotype" w:cs="Palatino Linotype"/>
          <w:b/>
        </w:rPr>
        <w:t>Sujeto Obligado</w:t>
      </w:r>
      <w:r w:rsidRPr="00FB27AF">
        <w:rPr>
          <w:rFonts w:ascii="Palatino Linotype" w:eastAsia="Palatino Linotype" w:hAnsi="Palatino Linotype" w:cs="Palatino Linotype"/>
        </w:rPr>
        <w:t>, para su conocimiento.</w:t>
      </w:r>
    </w:p>
    <w:p w14:paraId="2EFE9FA1" w14:textId="77777777" w:rsidR="008F0F85" w:rsidRPr="00FB27AF" w:rsidRDefault="00EF2C23" w:rsidP="00B35BC0">
      <w:pPr>
        <w:spacing w:before="240" w:after="240" w:line="360" w:lineRule="auto"/>
        <w:ind w:right="51"/>
        <w:jc w:val="both"/>
        <w:rPr>
          <w:rFonts w:ascii="Palatino Linotype" w:eastAsia="Palatino Linotype" w:hAnsi="Palatino Linotype" w:cs="Palatino Linotype"/>
        </w:rPr>
      </w:pPr>
      <w:r w:rsidRPr="00FB27AF">
        <w:rPr>
          <w:rFonts w:ascii="Palatino Linotype" w:eastAsia="Palatino Linotype" w:hAnsi="Palatino Linotype" w:cs="Palatino Linotype"/>
          <w:b/>
        </w:rPr>
        <w:t>Tercero. Notifíquese </w:t>
      </w:r>
      <w:r w:rsidRPr="00FB27AF">
        <w:rPr>
          <w:rFonts w:ascii="Palatino Linotype" w:eastAsia="Palatino Linotype" w:hAnsi="Palatino Linotype" w:cs="Palatino Linotype"/>
        </w:rPr>
        <w:t>vía SAIMEX</w:t>
      </w:r>
      <w:r w:rsidRPr="00FB27AF">
        <w:rPr>
          <w:rFonts w:ascii="Palatino Linotype" w:eastAsia="Palatino Linotype" w:hAnsi="Palatino Linotype" w:cs="Palatino Linotype"/>
          <w:b/>
        </w:rPr>
        <w:t xml:space="preserve"> </w:t>
      </w:r>
      <w:r w:rsidRPr="00FB27AF">
        <w:rPr>
          <w:rFonts w:ascii="Palatino Linotype" w:eastAsia="Palatino Linotype" w:hAnsi="Palatino Linotype" w:cs="Palatino Linotype"/>
        </w:rPr>
        <w:t>a la parte</w:t>
      </w:r>
      <w:r w:rsidRPr="00FB27AF">
        <w:rPr>
          <w:rFonts w:ascii="Palatino Linotype" w:eastAsia="Palatino Linotype" w:hAnsi="Palatino Linotype" w:cs="Palatino Linotype"/>
          <w:b/>
        </w:rPr>
        <w:t xml:space="preserve"> Recurrente</w:t>
      </w:r>
      <w:r w:rsidRPr="00FB27AF">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r w:rsidR="00B35BC0" w:rsidRPr="00FB27AF">
        <w:rPr>
          <w:rFonts w:ascii="Palatino Linotype" w:eastAsia="Palatino Linotype" w:hAnsi="Palatino Linotype" w:cs="Palatino Linotype"/>
        </w:rPr>
        <w:t xml:space="preserve"> </w:t>
      </w:r>
    </w:p>
    <w:p w14:paraId="6CD0924A" w14:textId="7821BF5A" w:rsidR="00B35BC0" w:rsidRDefault="00B35BC0" w:rsidP="00B35BC0">
      <w:pPr>
        <w:spacing w:before="240" w:after="240" w:line="360" w:lineRule="auto"/>
        <w:ind w:right="51"/>
        <w:jc w:val="both"/>
        <w:rPr>
          <w:rFonts w:ascii="Palatino Linotype" w:eastAsia="Palatino Linotype" w:hAnsi="Palatino Linotype" w:cs="Palatino Linotype"/>
        </w:rPr>
      </w:pPr>
      <w:r w:rsidRPr="00FB27AF">
        <w:rPr>
          <w:rFonts w:ascii="Palatino Linotype" w:eastAsia="Palatino Linotype" w:hAnsi="Palatino Linotype" w:cs="Palatino Linotype"/>
        </w:rPr>
        <w:t>ASÍ LO APROBÓ POR UNANIMIDAD DE VOTOS EL PLENO DEL INSTITUTO DE TRANSPARENCIA, ACCESO A LA INFORMACIÓN PÚBLICA Y PROTECCIÓN DE D</w:t>
      </w:r>
      <w:r w:rsidR="00B7276B" w:rsidRPr="00FB27AF">
        <w:rPr>
          <w:rFonts w:ascii="Palatino Linotype" w:eastAsia="Palatino Linotype" w:hAnsi="Palatino Linotype" w:cs="Palatino Linotype"/>
        </w:rPr>
        <w:t>ATOS PERSONALES DEL ESTADO DE MÉ</w:t>
      </w:r>
      <w:r w:rsidRPr="00FB27AF">
        <w:rPr>
          <w:rFonts w:ascii="Palatino Linotype" w:eastAsia="Palatino Linotype" w:hAnsi="Palatino Linotype" w:cs="Palatino Linotype"/>
        </w:rPr>
        <w:t>XICO Y MUNICIPIOS, CONFORMADO POR LOS COMISIONADOS JOSÉ MARTÍNEZ</w:t>
      </w:r>
      <w:r w:rsidR="00B7276B" w:rsidRPr="00FB27AF">
        <w:rPr>
          <w:rFonts w:ascii="Palatino Linotype" w:eastAsia="Palatino Linotype" w:hAnsi="Palatino Linotype" w:cs="Palatino Linotype"/>
        </w:rPr>
        <w:t xml:space="preserve"> VILCHIS; MARÍA DEL ROSARIO MEJÍ</w:t>
      </w:r>
      <w:r w:rsidRPr="00FB27AF">
        <w:rPr>
          <w:rFonts w:ascii="Palatino Linotype" w:eastAsia="Palatino Linotype" w:hAnsi="Palatino Linotype" w:cs="Palatino Linotype"/>
        </w:rPr>
        <w:t>A AYALA; SHARON C</w:t>
      </w:r>
      <w:r w:rsidR="009C0334" w:rsidRPr="00FB27AF">
        <w:rPr>
          <w:rFonts w:ascii="Palatino Linotype" w:eastAsia="Palatino Linotype" w:hAnsi="Palatino Linotype" w:cs="Palatino Linotype"/>
        </w:rPr>
        <w:t>RISTINA MORALES MARTÍ</w:t>
      </w:r>
      <w:r w:rsidR="008F0F85" w:rsidRPr="00FB27AF">
        <w:rPr>
          <w:rFonts w:ascii="Palatino Linotype" w:eastAsia="Palatino Linotype" w:hAnsi="Palatino Linotype" w:cs="Palatino Linotype"/>
        </w:rPr>
        <w:t>NEZ; LUIS G</w:t>
      </w:r>
      <w:r w:rsidRPr="00FB27AF">
        <w:rPr>
          <w:rFonts w:ascii="Palatino Linotype" w:eastAsia="Palatino Linotype" w:hAnsi="Palatino Linotype" w:cs="Palatino Linotype"/>
        </w:rPr>
        <w:t>USTAVO PARRA NORIEGA Y GUAD</w:t>
      </w:r>
      <w:r w:rsidR="00B7276B" w:rsidRPr="00FB27AF">
        <w:rPr>
          <w:rFonts w:ascii="Palatino Linotype" w:eastAsia="Palatino Linotype" w:hAnsi="Palatino Linotype" w:cs="Palatino Linotype"/>
        </w:rPr>
        <w:t>ALUPE RAMÍREZ PEÑ</w:t>
      </w:r>
      <w:r w:rsidR="008F0F85" w:rsidRPr="00FB27AF">
        <w:rPr>
          <w:rFonts w:ascii="Palatino Linotype" w:eastAsia="Palatino Linotype" w:hAnsi="Palatino Linotype" w:cs="Palatino Linotype"/>
        </w:rPr>
        <w:t>A; EN LA VIGÉSIMA TERCERA SESIÓ</w:t>
      </w:r>
      <w:r w:rsidRPr="00FB27AF">
        <w:rPr>
          <w:rFonts w:ascii="Palatino Linotype" w:eastAsia="Palatino Linotype" w:hAnsi="Palatino Linotype" w:cs="Palatino Linotype"/>
        </w:rPr>
        <w:t>N ORDINARIA CELEBRADA EL VEINTIU</w:t>
      </w:r>
      <w:r w:rsidR="00B7276B" w:rsidRPr="00FB27AF">
        <w:rPr>
          <w:rFonts w:ascii="Palatino Linotype" w:eastAsia="Palatino Linotype" w:hAnsi="Palatino Linotype" w:cs="Palatino Linotype"/>
        </w:rPr>
        <w:t>NO DE JUNIO DE DOS MIL VEINTITRÉ</w:t>
      </w:r>
      <w:r w:rsidRPr="00FB27AF">
        <w:rPr>
          <w:rFonts w:ascii="Palatino Linotype" w:eastAsia="Palatino Linotype" w:hAnsi="Palatino Linotype" w:cs="Palatino Linotype"/>
        </w:rPr>
        <w:t>S, ANTE LA COORDINADORA DE PROYECTOS CATALINA CAMARILLO ROSAS, EN SUPLENCIA DEL SECRETARIO TÉCNICO DEL PLENO ALEXIS TAPIA RAMÍREZ</w:t>
      </w:r>
    </w:p>
    <w:p w14:paraId="517E7C8A" w14:textId="77777777" w:rsidR="000C6F0F" w:rsidRPr="00554A2F" w:rsidRDefault="000C6F0F">
      <w:pPr>
        <w:rPr>
          <w:rFonts w:ascii="Palatino Linotype" w:eastAsia="Palatino Linotype" w:hAnsi="Palatino Linotype" w:cs="Palatino Linotype"/>
        </w:rPr>
      </w:pPr>
    </w:p>
    <w:p w14:paraId="7C7C995D" w14:textId="77777777" w:rsidR="000C6F0F" w:rsidRPr="00554A2F" w:rsidRDefault="000C6F0F">
      <w:pPr>
        <w:rPr>
          <w:rFonts w:ascii="Palatino Linotype" w:eastAsia="Palatino Linotype" w:hAnsi="Palatino Linotype" w:cs="Palatino Linotype"/>
        </w:rPr>
      </w:pPr>
    </w:p>
    <w:p w14:paraId="53147FD1" w14:textId="77777777" w:rsidR="000C6F0F" w:rsidRPr="00554A2F" w:rsidRDefault="000C6F0F">
      <w:pPr>
        <w:rPr>
          <w:rFonts w:ascii="Palatino Linotype" w:eastAsia="Palatino Linotype" w:hAnsi="Palatino Linotype" w:cs="Palatino Linotype"/>
        </w:rPr>
      </w:pPr>
    </w:p>
    <w:p w14:paraId="547858A8" w14:textId="77777777" w:rsidR="000C6F0F" w:rsidRPr="00554A2F" w:rsidRDefault="000C6F0F">
      <w:pPr>
        <w:rPr>
          <w:rFonts w:ascii="Palatino Linotype" w:eastAsia="Palatino Linotype" w:hAnsi="Palatino Linotype" w:cs="Palatino Linotype"/>
        </w:rPr>
      </w:pPr>
    </w:p>
    <w:p w14:paraId="27EDF5CE" w14:textId="77777777" w:rsidR="000C6F0F" w:rsidRPr="00554A2F" w:rsidRDefault="000C6F0F">
      <w:pPr>
        <w:rPr>
          <w:rFonts w:ascii="Palatino Linotype" w:eastAsia="Palatino Linotype" w:hAnsi="Palatino Linotype" w:cs="Palatino Linotype"/>
        </w:rPr>
      </w:pPr>
    </w:p>
    <w:p w14:paraId="6EFBB254" w14:textId="77777777" w:rsidR="000C6F0F" w:rsidRPr="00554A2F" w:rsidRDefault="000C6F0F">
      <w:pPr>
        <w:rPr>
          <w:rFonts w:ascii="Palatino Linotype" w:eastAsia="Palatino Linotype" w:hAnsi="Palatino Linotype" w:cs="Palatino Linotype"/>
        </w:rPr>
      </w:pPr>
    </w:p>
    <w:p w14:paraId="48F54031" w14:textId="77777777" w:rsidR="000C6F0F" w:rsidRPr="00554A2F" w:rsidRDefault="000C6F0F">
      <w:pPr>
        <w:rPr>
          <w:rFonts w:ascii="Palatino Linotype" w:eastAsia="Palatino Linotype" w:hAnsi="Palatino Linotype" w:cs="Palatino Linotype"/>
        </w:rPr>
      </w:pPr>
    </w:p>
    <w:p w14:paraId="03AC856D" w14:textId="77777777" w:rsidR="000C6F0F" w:rsidRPr="00554A2F" w:rsidRDefault="000C6F0F">
      <w:pPr>
        <w:rPr>
          <w:rFonts w:ascii="Palatino Linotype" w:eastAsia="Palatino Linotype" w:hAnsi="Palatino Linotype" w:cs="Palatino Linotype"/>
        </w:rPr>
      </w:pPr>
    </w:p>
    <w:p w14:paraId="0C87501D" w14:textId="77777777" w:rsidR="000C6F0F" w:rsidRPr="00554A2F" w:rsidRDefault="000C6F0F">
      <w:pPr>
        <w:rPr>
          <w:rFonts w:ascii="Palatino Linotype" w:eastAsia="Palatino Linotype" w:hAnsi="Palatino Linotype" w:cs="Palatino Linotype"/>
        </w:rPr>
      </w:pPr>
    </w:p>
    <w:p w14:paraId="3E190DC6" w14:textId="77777777" w:rsidR="000C6F0F" w:rsidRPr="00554A2F" w:rsidRDefault="000C6F0F">
      <w:pPr>
        <w:rPr>
          <w:rFonts w:ascii="Palatino Linotype" w:eastAsia="Palatino Linotype" w:hAnsi="Palatino Linotype" w:cs="Palatino Linotype"/>
        </w:rPr>
      </w:pPr>
    </w:p>
    <w:p w14:paraId="62324955" w14:textId="77777777" w:rsidR="000C6F0F" w:rsidRPr="00554A2F" w:rsidRDefault="000C6F0F">
      <w:pPr>
        <w:rPr>
          <w:rFonts w:ascii="Palatino Linotype" w:eastAsia="Palatino Linotype" w:hAnsi="Palatino Linotype" w:cs="Palatino Linotype"/>
        </w:rPr>
      </w:pPr>
    </w:p>
    <w:p w14:paraId="3E342B01" w14:textId="77777777" w:rsidR="000C6F0F" w:rsidRPr="00554A2F" w:rsidRDefault="000C6F0F">
      <w:pPr>
        <w:spacing w:line="360" w:lineRule="auto"/>
        <w:jc w:val="both"/>
        <w:rPr>
          <w:rFonts w:ascii="Palatino Linotype" w:eastAsia="Palatino Linotype" w:hAnsi="Palatino Linotype" w:cs="Palatino Linotype"/>
        </w:rPr>
      </w:pPr>
      <w:bookmarkStart w:id="9" w:name="_heading=h.3rdcrjn" w:colFirst="0" w:colLast="0"/>
      <w:bookmarkEnd w:id="9"/>
    </w:p>
    <w:p w14:paraId="72629921" w14:textId="77777777" w:rsidR="000C6F0F" w:rsidRPr="00554A2F" w:rsidRDefault="000C6F0F">
      <w:pPr>
        <w:spacing w:line="360" w:lineRule="auto"/>
        <w:jc w:val="both"/>
        <w:rPr>
          <w:rFonts w:ascii="Palatino Linotype" w:eastAsia="Palatino Linotype" w:hAnsi="Palatino Linotype" w:cs="Palatino Linotype"/>
        </w:rPr>
      </w:pPr>
    </w:p>
    <w:p w14:paraId="4B998A0A" w14:textId="77777777" w:rsidR="000C6F0F" w:rsidRPr="00554A2F" w:rsidRDefault="000C6F0F">
      <w:pPr>
        <w:spacing w:line="360" w:lineRule="auto"/>
        <w:jc w:val="both"/>
        <w:rPr>
          <w:rFonts w:ascii="Palatino Linotype" w:eastAsia="Palatino Linotype" w:hAnsi="Palatino Linotype" w:cs="Palatino Linotype"/>
        </w:rPr>
      </w:pPr>
    </w:p>
    <w:p w14:paraId="5C516FA2" w14:textId="77777777" w:rsidR="000C6F0F" w:rsidRPr="00554A2F" w:rsidRDefault="000C6F0F">
      <w:pPr>
        <w:spacing w:line="360" w:lineRule="auto"/>
        <w:jc w:val="both"/>
        <w:rPr>
          <w:rFonts w:ascii="Palatino Linotype" w:eastAsia="Palatino Linotype" w:hAnsi="Palatino Linotype" w:cs="Palatino Linotype"/>
        </w:rPr>
      </w:pPr>
      <w:bookmarkStart w:id="10" w:name="_heading=h.1t3h5sf" w:colFirst="0" w:colLast="0"/>
      <w:bookmarkEnd w:id="10"/>
    </w:p>
    <w:p w14:paraId="3B347710" w14:textId="77777777" w:rsidR="000C6F0F" w:rsidRPr="00554A2F" w:rsidRDefault="000C6F0F">
      <w:pPr>
        <w:spacing w:line="360" w:lineRule="auto"/>
        <w:jc w:val="both"/>
        <w:rPr>
          <w:rFonts w:ascii="Palatino Linotype" w:eastAsia="Palatino Linotype" w:hAnsi="Palatino Linotype" w:cs="Palatino Linotype"/>
        </w:rPr>
      </w:pPr>
    </w:p>
    <w:p w14:paraId="66C87927" w14:textId="77777777" w:rsidR="000C6F0F" w:rsidRPr="00554A2F" w:rsidRDefault="000C6F0F">
      <w:pPr>
        <w:spacing w:line="360" w:lineRule="auto"/>
        <w:jc w:val="both"/>
        <w:rPr>
          <w:rFonts w:ascii="Palatino Linotype" w:eastAsia="Palatino Linotype" w:hAnsi="Palatino Linotype" w:cs="Palatino Linotype"/>
        </w:rPr>
      </w:pPr>
    </w:p>
    <w:p w14:paraId="33DCACED" w14:textId="77777777" w:rsidR="000C6F0F" w:rsidRPr="00554A2F" w:rsidRDefault="000C6F0F">
      <w:pPr>
        <w:spacing w:line="360" w:lineRule="auto"/>
        <w:jc w:val="both"/>
        <w:rPr>
          <w:rFonts w:ascii="Palatino Linotype" w:eastAsia="Palatino Linotype" w:hAnsi="Palatino Linotype" w:cs="Palatino Linotype"/>
        </w:rPr>
      </w:pPr>
    </w:p>
    <w:p w14:paraId="33E2DF2F" w14:textId="77777777" w:rsidR="000C6F0F" w:rsidRPr="00554A2F" w:rsidRDefault="000C6F0F">
      <w:pPr>
        <w:spacing w:line="360" w:lineRule="auto"/>
        <w:jc w:val="both"/>
        <w:rPr>
          <w:rFonts w:ascii="Palatino Linotype" w:eastAsia="Palatino Linotype" w:hAnsi="Palatino Linotype" w:cs="Palatino Linotype"/>
        </w:rPr>
      </w:pPr>
    </w:p>
    <w:p w14:paraId="2198D4CF" w14:textId="77777777" w:rsidR="000C6F0F" w:rsidRPr="00554A2F" w:rsidRDefault="000C6F0F">
      <w:pPr>
        <w:spacing w:line="360" w:lineRule="auto"/>
        <w:jc w:val="both"/>
        <w:rPr>
          <w:rFonts w:ascii="Palatino Linotype" w:eastAsia="Palatino Linotype" w:hAnsi="Palatino Linotype" w:cs="Palatino Linotype"/>
        </w:rPr>
      </w:pPr>
    </w:p>
    <w:p w14:paraId="7F28CEA7" w14:textId="77777777" w:rsidR="000C6F0F" w:rsidRPr="00554A2F" w:rsidRDefault="000C6F0F">
      <w:pPr>
        <w:spacing w:line="360" w:lineRule="auto"/>
        <w:jc w:val="both"/>
        <w:rPr>
          <w:rFonts w:ascii="Palatino Linotype" w:eastAsia="Palatino Linotype" w:hAnsi="Palatino Linotype" w:cs="Palatino Linotype"/>
        </w:rPr>
      </w:pPr>
    </w:p>
    <w:p w14:paraId="5B8CEB7B" w14:textId="77777777" w:rsidR="000C6F0F" w:rsidRPr="00554A2F" w:rsidRDefault="000C6F0F">
      <w:pPr>
        <w:spacing w:line="360" w:lineRule="auto"/>
        <w:jc w:val="both"/>
        <w:rPr>
          <w:rFonts w:ascii="Palatino Linotype" w:eastAsia="Palatino Linotype" w:hAnsi="Palatino Linotype" w:cs="Palatino Linotype"/>
        </w:rPr>
      </w:pPr>
    </w:p>
    <w:p w14:paraId="4832AF9D" w14:textId="77777777" w:rsidR="000C6F0F" w:rsidRPr="00554A2F" w:rsidRDefault="000C6F0F">
      <w:pPr>
        <w:spacing w:line="360" w:lineRule="auto"/>
        <w:jc w:val="both"/>
        <w:rPr>
          <w:rFonts w:ascii="Palatino Linotype" w:eastAsia="Palatino Linotype" w:hAnsi="Palatino Linotype" w:cs="Palatino Linotype"/>
        </w:rPr>
      </w:pPr>
    </w:p>
    <w:p w14:paraId="5B880362" w14:textId="77777777" w:rsidR="000C6F0F" w:rsidRPr="00554A2F" w:rsidRDefault="000C6F0F">
      <w:pPr>
        <w:spacing w:line="360" w:lineRule="auto"/>
        <w:jc w:val="both"/>
        <w:rPr>
          <w:rFonts w:ascii="Palatino Linotype" w:eastAsia="Palatino Linotype" w:hAnsi="Palatino Linotype" w:cs="Palatino Linotype"/>
        </w:rPr>
      </w:pPr>
    </w:p>
    <w:p w14:paraId="0BF6AF48" w14:textId="77777777" w:rsidR="000C6F0F" w:rsidRPr="00554A2F" w:rsidRDefault="000C6F0F">
      <w:pPr>
        <w:spacing w:line="360" w:lineRule="auto"/>
        <w:jc w:val="both"/>
        <w:rPr>
          <w:rFonts w:ascii="Palatino Linotype" w:eastAsia="Palatino Linotype" w:hAnsi="Palatino Linotype" w:cs="Palatino Linotype"/>
        </w:rPr>
      </w:pPr>
    </w:p>
    <w:p w14:paraId="11AF071F" w14:textId="77777777" w:rsidR="000C6F0F" w:rsidRPr="00554A2F" w:rsidRDefault="000C6F0F">
      <w:pPr>
        <w:spacing w:line="360" w:lineRule="auto"/>
        <w:jc w:val="both"/>
        <w:rPr>
          <w:rFonts w:ascii="Palatino Linotype" w:eastAsia="Palatino Linotype" w:hAnsi="Palatino Linotype" w:cs="Palatino Linotype"/>
        </w:rPr>
      </w:pPr>
    </w:p>
    <w:sectPr w:rsidR="000C6F0F" w:rsidRPr="00554A2F">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EBD0" w14:textId="77777777" w:rsidR="00513FA8" w:rsidRDefault="00513FA8">
      <w:r>
        <w:separator/>
      </w:r>
    </w:p>
  </w:endnote>
  <w:endnote w:type="continuationSeparator" w:id="0">
    <w:p w14:paraId="4D32B767" w14:textId="77777777" w:rsidR="00513FA8" w:rsidRDefault="0051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28D7" w14:textId="77777777" w:rsidR="00C63808" w:rsidRDefault="00C6380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85C63">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85C63">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328B68B8" w14:textId="77777777" w:rsidR="00C63808" w:rsidRDefault="00C6380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5941" w14:textId="77777777" w:rsidR="00C63808" w:rsidRDefault="00C6380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85C6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85C63">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37F00B53" w14:textId="77777777" w:rsidR="00C63808" w:rsidRDefault="00C6380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8987" w14:textId="77777777" w:rsidR="00513FA8" w:rsidRDefault="00513FA8">
      <w:r>
        <w:separator/>
      </w:r>
    </w:p>
  </w:footnote>
  <w:footnote w:type="continuationSeparator" w:id="0">
    <w:p w14:paraId="1FEB5B56" w14:textId="77777777" w:rsidR="00513FA8" w:rsidRDefault="00513FA8">
      <w:r>
        <w:continuationSeparator/>
      </w:r>
    </w:p>
  </w:footnote>
  <w:footnote w:id="1">
    <w:p w14:paraId="10E56B66" w14:textId="77777777" w:rsidR="00300C74" w:rsidRPr="007C45FA" w:rsidRDefault="00300C74" w:rsidP="00300C74">
      <w:pPr>
        <w:jc w:val="both"/>
        <w:rPr>
          <w:rFonts w:ascii="Palatino Linotype" w:eastAsia="Palatino Linotype" w:hAnsi="Palatino Linotype" w:cs="Palatino Linotype"/>
          <w:sz w:val="16"/>
          <w:szCs w:val="16"/>
        </w:rPr>
      </w:pPr>
      <w:r w:rsidRPr="007C45FA">
        <w:rPr>
          <w:rFonts w:ascii="Palatino Linotype" w:hAnsi="Palatino Linotype"/>
          <w:sz w:val="16"/>
          <w:szCs w:val="16"/>
          <w:vertAlign w:val="superscript"/>
        </w:rPr>
        <w:footnoteRef/>
      </w:r>
      <w:r w:rsidRPr="007C45FA">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4C55DB01" w14:textId="77777777" w:rsidR="00300C74" w:rsidRPr="007C45FA" w:rsidRDefault="00300C74" w:rsidP="00300C74">
      <w:pPr>
        <w:spacing w:before="240" w:after="240"/>
        <w:jc w:val="both"/>
        <w:rPr>
          <w:rFonts w:ascii="Palatino Linotype" w:eastAsia="Palatino Linotype" w:hAnsi="Palatino Linotype" w:cs="Palatino Linotype"/>
          <w:sz w:val="16"/>
          <w:szCs w:val="16"/>
        </w:rPr>
      </w:pPr>
      <w:r w:rsidRPr="007C45FA">
        <w:rPr>
          <w:rFonts w:ascii="Palatino Linotype" w:hAnsi="Palatino Linotype"/>
          <w:sz w:val="16"/>
          <w:szCs w:val="16"/>
          <w:vertAlign w:val="superscript"/>
        </w:rPr>
        <w:footnoteRef/>
      </w:r>
      <w:r w:rsidRPr="007C45FA">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14BFA2FD" w14:textId="77777777" w:rsidR="00300C74" w:rsidRPr="007C45FA" w:rsidRDefault="00300C74" w:rsidP="00300C74">
      <w:pPr>
        <w:pBdr>
          <w:top w:val="nil"/>
          <w:left w:val="nil"/>
          <w:bottom w:val="nil"/>
          <w:right w:val="nil"/>
          <w:between w:val="nil"/>
        </w:pBdr>
        <w:spacing w:after="120" w:line="198" w:lineRule="auto"/>
        <w:jc w:val="both"/>
        <w:rPr>
          <w:rFonts w:ascii="Palatino Linotype" w:eastAsia="Palatino Linotype" w:hAnsi="Palatino Linotype" w:cs="Palatino Linotype"/>
          <w:color w:val="000000"/>
          <w:sz w:val="16"/>
          <w:szCs w:val="16"/>
        </w:rPr>
      </w:pPr>
      <w:r w:rsidRPr="007C45FA">
        <w:rPr>
          <w:rFonts w:ascii="Palatino Linotype" w:hAnsi="Palatino Linotype"/>
          <w:sz w:val="16"/>
          <w:szCs w:val="16"/>
          <w:vertAlign w:val="superscript"/>
        </w:rPr>
        <w:footnoteRef/>
      </w:r>
      <w:r w:rsidRPr="007C45FA">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 w:id="4">
    <w:p w14:paraId="16DC6D6C" w14:textId="77777777" w:rsidR="00EF2C23" w:rsidRPr="007C45FA" w:rsidRDefault="00EF2C23" w:rsidP="00EF2C2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C45FA">
        <w:rPr>
          <w:rFonts w:ascii="Palatino Linotype" w:hAnsi="Palatino Linotype"/>
          <w:sz w:val="16"/>
          <w:szCs w:val="16"/>
          <w:vertAlign w:val="superscript"/>
        </w:rPr>
        <w:footnoteRef/>
      </w:r>
      <w:r w:rsidRPr="007C45FA">
        <w:rPr>
          <w:rFonts w:ascii="Palatino Linotype" w:eastAsia="Palatino Linotype" w:hAnsi="Palatino Linotype" w:cs="Palatino Linotype"/>
          <w:color w:val="000000"/>
          <w:sz w:val="16"/>
          <w:szCs w:val="16"/>
        </w:rPr>
        <w:t xml:space="preserve"> “DESISTIMIENTO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 w:id="5">
    <w:p w14:paraId="215E93D7" w14:textId="77777777" w:rsidR="00EF2C23" w:rsidRPr="007C45FA" w:rsidRDefault="00EF2C23" w:rsidP="00EF2C2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C45FA">
        <w:rPr>
          <w:rFonts w:ascii="Palatino Linotype" w:hAnsi="Palatino Linotype"/>
          <w:sz w:val="16"/>
          <w:szCs w:val="16"/>
          <w:vertAlign w:val="superscript"/>
        </w:rPr>
        <w:footnoteRef/>
      </w:r>
      <w:r w:rsidRPr="007C45FA">
        <w:rPr>
          <w:rFonts w:ascii="Palatino Linotype" w:eastAsia="Palatino Linotype" w:hAnsi="Palatino Linotype" w:cs="Palatino Linotype"/>
          <w:color w:val="000000"/>
          <w:sz w:val="16"/>
          <w:szCs w:val="16"/>
        </w:rPr>
        <w:t xml:space="preserve"> </w:t>
      </w:r>
      <w:r w:rsidRPr="007C45FA">
        <w:rPr>
          <w:rFonts w:ascii="Palatino Linotype" w:eastAsia="Palatino Linotype" w:hAnsi="Palatino Linotype" w:cs="Palatino Linotype"/>
          <w:b/>
          <w:color w:val="000000"/>
          <w:sz w:val="16"/>
          <w:szCs w:val="16"/>
        </w:rPr>
        <w:t>Cuerpo de tesis:</w:t>
      </w:r>
      <w:r w:rsidRPr="007C45FA">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445A5D25" w14:textId="77777777" w:rsidR="00EF2C23" w:rsidRPr="007C45FA" w:rsidRDefault="00EF2C23" w:rsidP="00EF2C2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7C45FA">
        <w:rPr>
          <w:rFonts w:ascii="Palatino Linotype" w:eastAsia="Palatino Linotype" w:hAnsi="Palatino Linotype" w:cs="Palatino Linotype"/>
          <w:b/>
          <w:color w:val="000000"/>
          <w:sz w:val="16"/>
          <w:szCs w:val="16"/>
        </w:rPr>
        <w:t>Localización</w:t>
      </w:r>
      <w:r w:rsidRPr="007C45FA">
        <w:rPr>
          <w:rFonts w:ascii="Palatino Linotype" w:eastAsia="Palatino Linotype" w:hAnsi="Palatino Linotype" w:cs="Palatino Linotype"/>
          <w:color w:val="000000"/>
          <w:sz w:val="16"/>
          <w:szCs w:val="16"/>
        </w:rPr>
        <w:t>: 2</w:t>
      </w:r>
      <w:r w:rsidRPr="007C45FA">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6FAE" w14:textId="77777777" w:rsidR="00C63808" w:rsidRDefault="00C63808">
    <w:pPr>
      <w:rPr>
        <w:rFonts w:ascii="Cambria" w:eastAsia="Cambria" w:hAnsi="Cambria" w:cs="Cambria"/>
        <w:color w:val="000000"/>
      </w:rPr>
    </w:pPr>
    <w:r>
      <w:rPr>
        <w:noProof/>
      </w:rPr>
      <w:drawing>
        <wp:anchor distT="0" distB="0" distL="0" distR="0" simplePos="0" relativeHeight="251658240" behindDoc="1" locked="0" layoutInCell="1" hidden="0" allowOverlap="1" wp14:anchorId="6F4AF74B" wp14:editId="29FDF1A2">
          <wp:simplePos x="0" y="0"/>
          <wp:positionH relativeFrom="column">
            <wp:posOffset>-1080117</wp:posOffset>
          </wp:positionH>
          <wp:positionV relativeFrom="paragraph">
            <wp:posOffset>-488295</wp:posOffset>
          </wp:positionV>
          <wp:extent cx="7809865" cy="10165715"/>
          <wp:effectExtent l="0" t="0" r="0" b="0"/>
          <wp:wrapNone/>
          <wp:docPr id="1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5"/>
      <w:tblW w:w="5953" w:type="dxa"/>
      <w:tblInd w:w="3261" w:type="dxa"/>
      <w:tblLayout w:type="fixed"/>
      <w:tblLook w:val="0400" w:firstRow="0" w:lastRow="0" w:firstColumn="0" w:lastColumn="0" w:noHBand="0" w:noVBand="1"/>
    </w:tblPr>
    <w:tblGrid>
      <w:gridCol w:w="2489"/>
      <w:gridCol w:w="3464"/>
    </w:tblGrid>
    <w:tr w:rsidR="00C63808" w14:paraId="17E6CAEB" w14:textId="77777777">
      <w:tc>
        <w:tcPr>
          <w:tcW w:w="2489" w:type="dxa"/>
          <w:shd w:val="clear" w:color="auto" w:fill="auto"/>
        </w:tcPr>
        <w:p w14:paraId="1FD42AEC"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7F68DE" w14:textId="77777777" w:rsidR="00C63808" w:rsidRDefault="007E3DD7" w:rsidP="007E3DD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17129</w:t>
          </w:r>
          <w:r w:rsidR="00C63808">
            <w:rPr>
              <w:rFonts w:ascii="Palatino Linotype" w:eastAsia="Palatino Linotype" w:hAnsi="Palatino Linotype" w:cs="Palatino Linotype"/>
              <w:b/>
              <w:sz w:val="22"/>
              <w:szCs w:val="22"/>
            </w:rPr>
            <w:t>/INFOEM/IP/RR/2022</w:t>
          </w:r>
        </w:p>
      </w:tc>
    </w:tr>
    <w:tr w:rsidR="00C63808" w14:paraId="4915196C" w14:textId="77777777">
      <w:trPr>
        <w:trHeight w:val="228"/>
      </w:trPr>
      <w:tc>
        <w:tcPr>
          <w:tcW w:w="2489" w:type="dxa"/>
          <w:shd w:val="clear" w:color="auto" w:fill="auto"/>
          <w:vAlign w:val="center"/>
        </w:tcPr>
        <w:p w14:paraId="0C034AAD"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5549640" w14:textId="77777777" w:rsidR="00C63808" w:rsidRDefault="007E3DD7">
          <w:pPr>
            <w:ind w:left="-45" w:right="176"/>
            <w:jc w:val="both"/>
            <w:rPr>
              <w:rFonts w:ascii="Palatino Linotype" w:eastAsia="Palatino Linotype" w:hAnsi="Palatino Linotype" w:cs="Palatino Linotype"/>
              <w:b/>
              <w:sz w:val="22"/>
              <w:szCs w:val="22"/>
            </w:rPr>
          </w:pPr>
          <w:r w:rsidRPr="007E3DD7">
            <w:rPr>
              <w:rFonts w:ascii="Palatino Linotype" w:eastAsia="Palatino Linotype" w:hAnsi="Palatino Linotype" w:cs="Palatino Linotype"/>
              <w:b/>
              <w:sz w:val="22"/>
              <w:szCs w:val="22"/>
            </w:rPr>
            <w:t>Sistema Municipal Para el Desarrollo Integral de la Familia de Coacalco de Berriozábal</w:t>
          </w:r>
        </w:p>
      </w:tc>
    </w:tr>
    <w:tr w:rsidR="00C63808" w14:paraId="09C1E19E" w14:textId="77777777">
      <w:tc>
        <w:tcPr>
          <w:tcW w:w="2489" w:type="dxa"/>
          <w:shd w:val="clear" w:color="auto" w:fill="auto"/>
          <w:vAlign w:val="center"/>
        </w:tcPr>
        <w:p w14:paraId="497D2DF5" w14:textId="77777777" w:rsidR="00C63808" w:rsidRDefault="00C6380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258F528" w14:textId="77777777" w:rsidR="00C63808" w:rsidRDefault="00C6380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F914F5" w14:textId="77777777" w:rsidR="00C63808" w:rsidRDefault="00C6380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5F38" w14:textId="77777777" w:rsidR="00C63808" w:rsidRDefault="00C6380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E2B9139" wp14:editId="386EE21E">
          <wp:simplePos x="0" y="0"/>
          <wp:positionH relativeFrom="column">
            <wp:posOffset>-1080123</wp:posOffset>
          </wp:positionH>
          <wp:positionV relativeFrom="paragraph">
            <wp:posOffset>-262866</wp:posOffset>
          </wp:positionV>
          <wp:extent cx="7809865" cy="10165715"/>
          <wp:effectExtent l="0" t="0" r="0" b="0"/>
          <wp:wrapNone/>
          <wp:docPr id="1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6"/>
      <w:tblW w:w="5670" w:type="dxa"/>
      <w:tblInd w:w="3261" w:type="dxa"/>
      <w:tblLayout w:type="fixed"/>
      <w:tblLook w:val="0400" w:firstRow="0" w:lastRow="0" w:firstColumn="0" w:lastColumn="0" w:noHBand="0" w:noVBand="1"/>
    </w:tblPr>
    <w:tblGrid>
      <w:gridCol w:w="2551"/>
      <w:gridCol w:w="3119"/>
    </w:tblGrid>
    <w:tr w:rsidR="00C63808" w14:paraId="2DF393A3" w14:textId="77777777">
      <w:tc>
        <w:tcPr>
          <w:tcW w:w="2551" w:type="dxa"/>
          <w:shd w:val="clear" w:color="auto" w:fill="auto"/>
          <w:vAlign w:val="center"/>
        </w:tcPr>
        <w:p w14:paraId="2881B442"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2ED200F" w14:textId="77777777" w:rsidR="00C63808" w:rsidRDefault="00C63808" w:rsidP="007E3DD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w:t>
          </w:r>
          <w:r w:rsidR="007E3DD7">
            <w:rPr>
              <w:rFonts w:ascii="Palatino Linotype" w:eastAsia="Palatino Linotype" w:hAnsi="Palatino Linotype" w:cs="Palatino Linotype"/>
              <w:b/>
              <w:sz w:val="22"/>
              <w:szCs w:val="22"/>
            </w:rPr>
            <w:t>129</w:t>
          </w:r>
          <w:r>
            <w:rPr>
              <w:rFonts w:ascii="Palatino Linotype" w:eastAsia="Palatino Linotype" w:hAnsi="Palatino Linotype" w:cs="Palatino Linotype"/>
              <w:b/>
              <w:sz w:val="22"/>
              <w:szCs w:val="22"/>
            </w:rPr>
            <w:t>/INFOEM/IP/RR/2022</w:t>
          </w:r>
        </w:p>
      </w:tc>
    </w:tr>
    <w:tr w:rsidR="00C63808" w14:paraId="1B643C45" w14:textId="77777777">
      <w:trPr>
        <w:trHeight w:val="130"/>
      </w:trPr>
      <w:tc>
        <w:tcPr>
          <w:tcW w:w="2551" w:type="dxa"/>
          <w:shd w:val="clear" w:color="auto" w:fill="auto"/>
          <w:vAlign w:val="center"/>
        </w:tcPr>
        <w:p w14:paraId="7473AE8A"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4FBCFEC" w14:textId="77777777" w:rsidR="00C63808" w:rsidRDefault="00C63808">
          <w:pPr>
            <w:ind w:left="-45"/>
            <w:jc w:val="both"/>
            <w:rPr>
              <w:rFonts w:ascii="Palatino Linotype" w:eastAsia="Palatino Linotype" w:hAnsi="Palatino Linotype" w:cs="Palatino Linotype"/>
              <w:b/>
              <w:sz w:val="22"/>
              <w:szCs w:val="22"/>
            </w:rPr>
          </w:pPr>
        </w:p>
      </w:tc>
    </w:tr>
    <w:tr w:rsidR="00C63808" w14:paraId="17558B3D" w14:textId="77777777">
      <w:trPr>
        <w:trHeight w:val="228"/>
      </w:trPr>
      <w:tc>
        <w:tcPr>
          <w:tcW w:w="2551" w:type="dxa"/>
          <w:shd w:val="clear" w:color="auto" w:fill="auto"/>
          <w:vAlign w:val="center"/>
        </w:tcPr>
        <w:p w14:paraId="6F68EAFF"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70C20DD" w14:textId="77777777" w:rsidR="00C63808" w:rsidRDefault="007E3DD7">
          <w:pPr>
            <w:ind w:left="-45" w:right="176"/>
            <w:jc w:val="both"/>
            <w:rPr>
              <w:rFonts w:ascii="Palatino Linotype" w:eastAsia="Palatino Linotype" w:hAnsi="Palatino Linotype" w:cs="Palatino Linotype"/>
              <w:b/>
              <w:sz w:val="22"/>
              <w:szCs w:val="22"/>
            </w:rPr>
          </w:pPr>
          <w:r w:rsidRPr="007E3DD7">
            <w:rPr>
              <w:rFonts w:ascii="Palatino Linotype" w:eastAsia="Palatino Linotype" w:hAnsi="Palatino Linotype" w:cs="Palatino Linotype"/>
              <w:b/>
              <w:sz w:val="22"/>
              <w:szCs w:val="22"/>
            </w:rPr>
            <w:t>Sistema Municipal Para el Desarrollo Integral de la Familia de Coacalco de Berriozábal</w:t>
          </w:r>
        </w:p>
      </w:tc>
    </w:tr>
    <w:tr w:rsidR="00C63808" w14:paraId="54CC5159" w14:textId="77777777">
      <w:tc>
        <w:tcPr>
          <w:tcW w:w="2551" w:type="dxa"/>
          <w:shd w:val="clear" w:color="auto" w:fill="auto"/>
          <w:vAlign w:val="center"/>
        </w:tcPr>
        <w:p w14:paraId="47CB6B8A"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1E978CE" w14:textId="77777777" w:rsidR="00C63808" w:rsidRDefault="00C6380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59AD5B" w14:textId="77777777" w:rsidR="00C63808" w:rsidRDefault="00C63808">
    <w:pPr>
      <w:pBdr>
        <w:top w:val="nil"/>
        <w:left w:val="nil"/>
        <w:bottom w:val="nil"/>
        <w:right w:val="nil"/>
        <w:between w:val="nil"/>
      </w:pBdr>
      <w:tabs>
        <w:tab w:val="center" w:pos="4252"/>
        <w:tab w:val="right" w:pos="8504"/>
      </w:tabs>
      <w:rPr>
        <w:rFonts w:ascii="Cambria" w:eastAsia="Cambria" w:hAnsi="Cambria" w:cs="Cambria"/>
        <w:color w:val="000000"/>
      </w:rPr>
    </w:pPr>
  </w:p>
  <w:p w14:paraId="345C56B9" w14:textId="77777777" w:rsidR="00C63808" w:rsidRDefault="00C63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70C0"/>
    <w:multiLevelType w:val="multilevel"/>
    <w:tmpl w:val="91444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AA6914"/>
    <w:multiLevelType w:val="multilevel"/>
    <w:tmpl w:val="C110105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0F"/>
    <w:rsid w:val="000238FD"/>
    <w:rsid w:val="000326FE"/>
    <w:rsid w:val="0003363D"/>
    <w:rsid w:val="00033F7C"/>
    <w:rsid w:val="000369B1"/>
    <w:rsid w:val="00040392"/>
    <w:rsid w:val="00081C6A"/>
    <w:rsid w:val="000B1197"/>
    <w:rsid w:val="000C69DF"/>
    <w:rsid w:val="000C6F0F"/>
    <w:rsid w:val="000D3825"/>
    <w:rsid w:val="000E34D9"/>
    <w:rsid w:val="000F04C3"/>
    <w:rsid w:val="000F2D37"/>
    <w:rsid w:val="00154808"/>
    <w:rsid w:val="001565D7"/>
    <w:rsid w:val="00162064"/>
    <w:rsid w:val="00181694"/>
    <w:rsid w:val="00185A44"/>
    <w:rsid w:val="001D0567"/>
    <w:rsid w:val="001D74C3"/>
    <w:rsid w:val="001E5F77"/>
    <w:rsid w:val="00204056"/>
    <w:rsid w:val="00212CB5"/>
    <w:rsid w:val="00215255"/>
    <w:rsid w:val="00241497"/>
    <w:rsid w:val="0025660E"/>
    <w:rsid w:val="0026414C"/>
    <w:rsid w:val="00280A7F"/>
    <w:rsid w:val="002A22F9"/>
    <w:rsid w:val="002C0787"/>
    <w:rsid w:val="002D1948"/>
    <w:rsid w:val="002E50AF"/>
    <w:rsid w:val="002E6E92"/>
    <w:rsid w:val="002E7A7E"/>
    <w:rsid w:val="002F4EB7"/>
    <w:rsid w:val="00300C74"/>
    <w:rsid w:val="00301207"/>
    <w:rsid w:val="003030C2"/>
    <w:rsid w:val="00312C53"/>
    <w:rsid w:val="00330239"/>
    <w:rsid w:val="00391053"/>
    <w:rsid w:val="003C3F99"/>
    <w:rsid w:val="003C7A38"/>
    <w:rsid w:val="003E01F9"/>
    <w:rsid w:val="003F3836"/>
    <w:rsid w:val="003F629D"/>
    <w:rsid w:val="00433BE7"/>
    <w:rsid w:val="004441C9"/>
    <w:rsid w:val="0048500C"/>
    <w:rsid w:val="004863FB"/>
    <w:rsid w:val="004C6D53"/>
    <w:rsid w:val="004D0775"/>
    <w:rsid w:val="004D7824"/>
    <w:rsid w:val="004E1078"/>
    <w:rsid w:val="00501600"/>
    <w:rsid w:val="00513FA8"/>
    <w:rsid w:val="0053204A"/>
    <w:rsid w:val="00554A2F"/>
    <w:rsid w:val="0056138B"/>
    <w:rsid w:val="00570E25"/>
    <w:rsid w:val="00576874"/>
    <w:rsid w:val="00590DEC"/>
    <w:rsid w:val="00592A5D"/>
    <w:rsid w:val="005A74D0"/>
    <w:rsid w:val="005B22B4"/>
    <w:rsid w:val="005B50E5"/>
    <w:rsid w:val="005C1266"/>
    <w:rsid w:val="005C7429"/>
    <w:rsid w:val="005D3498"/>
    <w:rsid w:val="005E769E"/>
    <w:rsid w:val="006138E9"/>
    <w:rsid w:val="006455B2"/>
    <w:rsid w:val="00654543"/>
    <w:rsid w:val="00662B3D"/>
    <w:rsid w:val="00674909"/>
    <w:rsid w:val="00694E9F"/>
    <w:rsid w:val="006A2350"/>
    <w:rsid w:val="006A2D23"/>
    <w:rsid w:val="006A34F6"/>
    <w:rsid w:val="006A4386"/>
    <w:rsid w:val="006E6042"/>
    <w:rsid w:val="006E7D7E"/>
    <w:rsid w:val="00710417"/>
    <w:rsid w:val="007142BE"/>
    <w:rsid w:val="00715A79"/>
    <w:rsid w:val="00720D12"/>
    <w:rsid w:val="00726459"/>
    <w:rsid w:val="007320DD"/>
    <w:rsid w:val="00785CA4"/>
    <w:rsid w:val="00786E31"/>
    <w:rsid w:val="00787575"/>
    <w:rsid w:val="00791C96"/>
    <w:rsid w:val="007A2447"/>
    <w:rsid w:val="007A553C"/>
    <w:rsid w:val="007A7E73"/>
    <w:rsid w:val="007C40DC"/>
    <w:rsid w:val="007C45FA"/>
    <w:rsid w:val="007E20ED"/>
    <w:rsid w:val="007E2D04"/>
    <w:rsid w:val="007E2DC7"/>
    <w:rsid w:val="007E3DD7"/>
    <w:rsid w:val="007E52CB"/>
    <w:rsid w:val="007F5A0B"/>
    <w:rsid w:val="008170F4"/>
    <w:rsid w:val="00823835"/>
    <w:rsid w:val="0082489D"/>
    <w:rsid w:val="00850B09"/>
    <w:rsid w:val="008560B8"/>
    <w:rsid w:val="0086451F"/>
    <w:rsid w:val="00880328"/>
    <w:rsid w:val="00890FD5"/>
    <w:rsid w:val="00893184"/>
    <w:rsid w:val="00896E0B"/>
    <w:rsid w:val="008B4AEC"/>
    <w:rsid w:val="008D2A2A"/>
    <w:rsid w:val="008D5633"/>
    <w:rsid w:val="008F0F85"/>
    <w:rsid w:val="008F7E7B"/>
    <w:rsid w:val="0090544C"/>
    <w:rsid w:val="00905EE6"/>
    <w:rsid w:val="0091447A"/>
    <w:rsid w:val="00914B98"/>
    <w:rsid w:val="00914FDC"/>
    <w:rsid w:val="00927727"/>
    <w:rsid w:val="00943663"/>
    <w:rsid w:val="00947084"/>
    <w:rsid w:val="00951AAE"/>
    <w:rsid w:val="0097013C"/>
    <w:rsid w:val="00971DA7"/>
    <w:rsid w:val="009754BD"/>
    <w:rsid w:val="00982509"/>
    <w:rsid w:val="009862EB"/>
    <w:rsid w:val="0099566D"/>
    <w:rsid w:val="009C0334"/>
    <w:rsid w:val="009C46FF"/>
    <w:rsid w:val="009E43B2"/>
    <w:rsid w:val="009E72A8"/>
    <w:rsid w:val="009F3FDB"/>
    <w:rsid w:val="00A222BA"/>
    <w:rsid w:val="00A242BA"/>
    <w:rsid w:val="00A3526E"/>
    <w:rsid w:val="00A366BC"/>
    <w:rsid w:val="00A4355F"/>
    <w:rsid w:val="00A72AA8"/>
    <w:rsid w:val="00A74AA4"/>
    <w:rsid w:val="00A84CF4"/>
    <w:rsid w:val="00AA3F7A"/>
    <w:rsid w:val="00AB5F2B"/>
    <w:rsid w:val="00AD51E7"/>
    <w:rsid w:val="00AE2CF8"/>
    <w:rsid w:val="00AF5D65"/>
    <w:rsid w:val="00B11447"/>
    <w:rsid w:val="00B14844"/>
    <w:rsid w:val="00B23FDB"/>
    <w:rsid w:val="00B35BC0"/>
    <w:rsid w:val="00B4037C"/>
    <w:rsid w:val="00B7276B"/>
    <w:rsid w:val="00B742FC"/>
    <w:rsid w:val="00B949B2"/>
    <w:rsid w:val="00BA3636"/>
    <w:rsid w:val="00BB0F28"/>
    <w:rsid w:val="00BD3266"/>
    <w:rsid w:val="00BE16BC"/>
    <w:rsid w:val="00BE71A7"/>
    <w:rsid w:val="00C304AC"/>
    <w:rsid w:val="00C63808"/>
    <w:rsid w:val="00C64C8C"/>
    <w:rsid w:val="00C74A04"/>
    <w:rsid w:val="00C85885"/>
    <w:rsid w:val="00C85C0A"/>
    <w:rsid w:val="00C85C63"/>
    <w:rsid w:val="00C97276"/>
    <w:rsid w:val="00CA3201"/>
    <w:rsid w:val="00CC3BC8"/>
    <w:rsid w:val="00CE41F9"/>
    <w:rsid w:val="00CE4A5F"/>
    <w:rsid w:val="00CE579C"/>
    <w:rsid w:val="00D00EEC"/>
    <w:rsid w:val="00D20B96"/>
    <w:rsid w:val="00D4683F"/>
    <w:rsid w:val="00D61A71"/>
    <w:rsid w:val="00D70B1B"/>
    <w:rsid w:val="00D754FF"/>
    <w:rsid w:val="00DA1077"/>
    <w:rsid w:val="00DB1814"/>
    <w:rsid w:val="00DE26A5"/>
    <w:rsid w:val="00DF074A"/>
    <w:rsid w:val="00E368E5"/>
    <w:rsid w:val="00E504AA"/>
    <w:rsid w:val="00E84390"/>
    <w:rsid w:val="00EA2743"/>
    <w:rsid w:val="00EA61EE"/>
    <w:rsid w:val="00EC2F05"/>
    <w:rsid w:val="00ED3BC6"/>
    <w:rsid w:val="00EE2232"/>
    <w:rsid w:val="00EE5440"/>
    <w:rsid w:val="00EF2412"/>
    <w:rsid w:val="00EF2C23"/>
    <w:rsid w:val="00EF5B73"/>
    <w:rsid w:val="00EF6783"/>
    <w:rsid w:val="00F07D35"/>
    <w:rsid w:val="00F118C5"/>
    <w:rsid w:val="00F127F1"/>
    <w:rsid w:val="00F2550A"/>
    <w:rsid w:val="00F26810"/>
    <w:rsid w:val="00F27B1A"/>
    <w:rsid w:val="00F33FA0"/>
    <w:rsid w:val="00F46506"/>
    <w:rsid w:val="00F5105F"/>
    <w:rsid w:val="00F524DC"/>
    <w:rsid w:val="00F52DA0"/>
    <w:rsid w:val="00F64878"/>
    <w:rsid w:val="00FA51A1"/>
    <w:rsid w:val="00FB27AF"/>
    <w:rsid w:val="00FC12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4C6D1A"/>
  <w15:docId w15:val="{B3BBBAB6-F3E2-4768-8A98-5C112928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47">
    <w:name w:val="47"/>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6">
    <w:name w:val="46"/>
    <w:basedOn w:val="TableNormal10"/>
    <w:tblPr>
      <w:tblStyleRowBandSize w:val="1"/>
      <w:tblStyleColBandSize w:val="1"/>
      <w:tblCellMar>
        <w:left w:w="115" w:type="dxa"/>
        <w:right w:w="115" w:type="dxa"/>
      </w:tblCellMar>
    </w:tblPr>
  </w:style>
  <w:style w:type="table" w:customStyle="1" w:styleId="45">
    <w:name w:val="45"/>
    <w:basedOn w:val="TableNormal10"/>
    <w:tblPr>
      <w:tblStyleRowBandSize w:val="1"/>
      <w:tblStyleColBandSize w:val="1"/>
      <w:tblCellMar>
        <w:left w:w="115" w:type="dxa"/>
        <w:right w:w="115" w:type="dxa"/>
      </w:tblCellMar>
    </w:tblPr>
  </w:style>
  <w:style w:type="table" w:customStyle="1" w:styleId="44">
    <w:name w:val="44"/>
    <w:basedOn w:val="TableNormal1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3">
    <w:name w:val="43"/>
    <w:basedOn w:val="TableNormal11"/>
    <w:tblPr>
      <w:tblStyleRowBandSize w:val="1"/>
      <w:tblStyleColBandSize w:val="1"/>
      <w:tblCellMar>
        <w:left w:w="115" w:type="dxa"/>
        <w:right w:w="115" w:type="dxa"/>
      </w:tblCellMar>
    </w:tblPr>
  </w:style>
  <w:style w:type="table" w:customStyle="1" w:styleId="42">
    <w:name w:val="42"/>
    <w:basedOn w:val="TableNormal11"/>
    <w:tblPr>
      <w:tblStyleRowBandSize w:val="1"/>
      <w:tblStyleColBandSize w:val="1"/>
      <w:tblCellMar>
        <w:left w:w="115" w:type="dxa"/>
        <w:right w:w="115" w:type="dxa"/>
      </w:tblCellMar>
    </w:tblPr>
  </w:style>
  <w:style w:type="table" w:customStyle="1" w:styleId="41">
    <w:name w:val="41"/>
    <w:basedOn w:val="TableNormal1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0">
    <w:name w:val="40"/>
    <w:basedOn w:val="TableNormal12"/>
    <w:tblPr>
      <w:tblStyleRowBandSize w:val="1"/>
      <w:tblStyleColBandSize w:val="1"/>
      <w:tblCellMar>
        <w:left w:w="115" w:type="dxa"/>
        <w:right w:w="115" w:type="dxa"/>
      </w:tblCellMar>
    </w:tblPr>
  </w:style>
  <w:style w:type="table" w:customStyle="1" w:styleId="39">
    <w:name w:val="39"/>
    <w:basedOn w:val="TableNormal1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38">
    <w:name w:val="38"/>
    <w:basedOn w:val="TableNormal1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7">
    <w:name w:val="37"/>
    <w:basedOn w:val="TableNormal13"/>
    <w:tblPr>
      <w:tblStyleRowBandSize w:val="1"/>
      <w:tblStyleColBandSize w:val="1"/>
      <w:tblCellMar>
        <w:left w:w="115" w:type="dxa"/>
        <w:right w:w="115" w:type="dxa"/>
      </w:tblCellMar>
    </w:tblPr>
  </w:style>
  <w:style w:type="table" w:customStyle="1" w:styleId="36">
    <w:name w:val="36"/>
    <w:basedOn w:val="TableNormal1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35">
    <w:name w:val="35"/>
    <w:basedOn w:val="TableNormal14"/>
    <w:tblPr>
      <w:tblStyleRowBandSize w:val="1"/>
      <w:tblStyleColBandSize w:val="1"/>
      <w:tblCellMar>
        <w:left w:w="108" w:type="dxa"/>
        <w:right w:w="108" w:type="dxa"/>
      </w:tblCellMar>
    </w:tblPr>
  </w:style>
  <w:style w:type="table" w:customStyle="1" w:styleId="34">
    <w:name w:val="34"/>
    <w:basedOn w:val="TableNormal14"/>
    <w:tblPr>
      <w:tblStyleRowBandSize w:val="1"/>
      <w:tblStyleColBandSize w:val="1"/>
      <w:tblCellMar>
        <w:left w:w="108" w:type="dxa"/>
        <w:right w:w="108" w:type="dxa"/>
      </w:tblCellMar>
    </w:tblPr>
  </w:style>
  <w:style w:type="table" w:customStyle="1" w:styleId="33">
    <w:name w:val="33"/>
    <w:basedOn w:val="TableNormal14"/>
    <w:tblPr>
      <w:tblStyleRowBandSize w:val="1"/>
      <w:tblStyleColBandSize w:val="1"/>
      <w:tblCellMar>
        <w:left w:w="108" w:type="dxa"/>
        <w:right w:w="108" w:type="dxa"/>
      </w:tblCellMar>
    </w:tblPr>
  </w:style>
  <w:style w:type="table" w:customStyle="1" w:styleId="32">
    <w:name w:val="32"/>
    <w:basedOn w:val="TableNormal14"/>
    <w:tblPr>
      <w:tblStyleRowBandSize w:val="1"/>
      <w:tblStyleColBandSize w:val="1"/>
      <w:tblCellMar>
        <w:left w:w="115" w:type="dxa"/>
        <w:right w:w="115" w:type="dxa"/>
      </w:tblCellMar>
    </w:tblPr>
  </w:style>
  <w:style w:type="table" w:customStyle="1" w:styleId="31">
    <w:name w:val="31"/>
    <w:basedOn w:val="TableNormal14"/>
    <w:tblPr>
      <w:tblStyleRowBandSize w:val="1"/>
      <w:tblStyleColBandSize w:val="1"/>
      <w:tblCellMar>
        <w:left w:w="115" w:type="dxa"/>
        <w:right w:w="115" w:type="dxa"/>
      </w:tblCellMar>
    </w:tblPr>
  </w:style>
  <w:style w:type="table" w:customStyle="1" w:styleId="30">
    <w:name w:val="30"/>
    <w:basedOn w:val="TableNormal15"/>
    <w:tblPr>
      <w:tblStyleRowBandSize w:val="1"/>
      <w:tblStyleColBandSize w:val="1"/>
      <w:tblCellMar>
        <w:left w:w="115" w:type="dxa"/>
        <w:right w:w="115" w:type="dxa"/>
      </w:tblCellMar>
    </w:tblPr>
  </w:style>
  <w:style w:type="table" w:customStyle="1" w:styleId="29">
    <w:name w:val="29"/>
    <w:basedOn w:val="TableNormal15"/>
    <w:tblPr>
      <w:tblStyleRowBandSize w:val="1"/>
      <w:tblStyleColBandSize w:val="1"/>
      <w:tblCellMar>
        <w:left w:w="115" w:type="dxa"/>
        <w:right w:w="115" w:type="dxa"/>
      </w:tblCellMar>
    </w:tblPr>
  </w:style>
  <w:style w:type="table" w:customStyle="1" w:styleId="28">
    <w:name w:val="28"/>
    <w:basedOn w:val="TableNormal16"/>
    <w:tblPr>
      <w:tblStyleRowBandSize w:val="1"/>
      <w:tblStyleColBandSize w:val="1"/>
      <w:tblCellMar>
        <w:left w:w="115" w:type="dxa"/>
        <w:right w:w="115" w:type="dxa"/>
      </w:tblCellMar>
    </w:tblPr>
  </w:style>
  <w:style w:type="table" w:customStyle="1" w:styleId="27">
    <w:name w:val="27"/>
    <w:basedOn w:val="TableNormal16"/>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A78BE"/>
    <w:rPr>
      <w:color w:val="605E5C"/>
      <w:shd w:val="clear" w:color="auto" w:fill="E1DFDD"/>
    </w:rPr>
  </w:style>
  <w:style w:type="table" w:customStyle="1" w:styleId="26">
    <w:name w:val="26"/>
    <w:basedOn w:val="TableNormal17"/>
    <w:tblPr>
      <w:tblStyleRowBandSize w:val="1"/>
      <w:tblStyleColBandSize w:val="1"/>
      <w:tblCellMar>
        <w:left w:w="115" w:type="dxa"/>
        <w:right w:w="115" w:type="dxa"/>
      </w:tblCellMar>
    </w:tblPr>
  </w:style>
  <w:style w:type="table" w:customStyle="1" w:styleId="25">
    <w:name w:val="25"/>
    <w:basedOn w:val="TableNormal17"/>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Z788LZIIIb2P6CJhDZ+hRZKVQ==">CgMxLjAyCGguZ2pkZ3hzMgloLjNkeTZ2a20yCWguMzBqMHpsbDIJaC4yczhleW8xMghoLnR5amN3dDIJaC4zem55c2g3MgloLjJldDkycDAyCWguMTdkcDh2dTIJaC4yNmluMXJnMgloLjM1bmt1bjIyCWguMWtzdjR1djIJaC4xZm9iOXRlMgloLjRkMzRvZzgyCGgubG54Yno5MgloLjNyZGNyam4yCWguMXQzaDVzZjgAciExRENOUlZjVWdXeGdkdlA5RklUU2dvTE5TTHZ3cU9WM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9023</Words>
  <Characters>49630</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Villagomez</cp:lastModifiedBy>
  <cp:revision>2</cp:revision>
  <cp:lastPrinted>2023-06-23T19:56:00Z</cp:lastPrinted>
  <dcterms:created xsi:type="dcterms:W3CDTF">2023-06-30T16:40:00Z</dcterms:created>
  <dcterms:modified xsi:type="dcterms:W3CDTF">2023-06-30T16:40:00Z</dcterms:modified>
</cp:coreProperties>
</file>