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56955D2B" w:rsidR="00A83B4F" w:rsidRPr="003E6456" w:rsidRDefault="0029071C" w:rsidP="004309A2">
      <w:pPr>
        <w:shd w:val="clear" w:color="auto" w:fill="FFFFFF"/>
        <w:spacing w:line="360" w:lineRule="auto"/>
        <w:jc w:val="both"/>
        <w:rPr>
          <w:rFonts w:ascii="Palatino Linotype" w:hAnsi="Palatino Linotype" w:cs="Arial"/>
          <w:color w:val="000000"/>
          <w:lang w:val="es-MX" w:eastAsia="es-MX"/>
        </w:rPr>
      </w:pPr>
      <w:r w:rsidRPr="003E645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7320F" w:rsidRPr="003E6456">
        <w:rPr>
          <w:rFonts w:ascii="Palatino Linotype" w:hAnsi="Palatino Linotype" w:cs="Arial"/>
          <w:color w:val="000000"/>
          <w:lang w:val="es-MX" w:eastAsia="es-MX"/>
        </w:rPr>
        <w:t>nueve</w:t>
      </w:r>
      <w:r w:rsidR="00365F0F" w:rsidRPr="003E6456">
        <w:rPr>
          <w:rFonts w:ascii="Palatino Linotype" w:hAnsi="Palatino Linotype" w:cs="Arial"/>
          <w:color w:val="000000"/>
          <w:lang w:val="es-MX" w:eastAsia="es-MX"/>
        </w:rPr>
        <w:t xml:space="preserve"> de agosto</w:t>
      </w:r>
      <w:r w:rsidR="007237B8" w:rsidRPr="003E6456">
        <w:rPr>
          <w:rFonts w:ascii="Palatino Linotype" w:hAnsi="Palatino Linotype" w:cs="Arial"/>
          <w:color w:val="000000"/>
          <w:lang w:val="es-MX" w:eastAsia="es-MX"/>
        </w:rPr>
        <w:t xml:space="preserve"> dos mil veintitrés</w:t>
      </w:r>
      <w:r w:rsidRPr="003E6456">
        <w:rPr>
          <w:rFonts w:ascii="Palatino Linotype" w:hAnsi="Palatino Linotype" w:cs="Arial"/>
          <w:color w:val="000000"/>
          <w:lang w:val="es-MX" w:eastAsia="es-MX"/>
        </w:rPr>
        <w:t>.</w:t>
      </w:r>
    </w:p>
    <w:p w14:paraId="1B5119D6" w14:textId="77777777" w:rsidR="004309A2" w:rsidRPr="003E6456"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3DD4897F" w:rsidR="009E0E89" w:rsidRPr="003E6456" w:rsidRDefault="0029071C" w:rsidP="00C753C2">
      <w:pPr>
        <w:tabs>
          <w:tab w:val="left" w:pos="1701"/>
        </w:tabs>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b/>
          <w:lang w:val="es-MX" w:eastAsia="en-US"/>
        </w:rPr>
        <w:t>VISTO</w:t>
      </w:r>
      <w:r w:rsidRPr="003E6456">
        <w:rPr>
          <w:rFonts w:ascii="Palatino Linotype" w:eastAsiaTheme="minorHAnsi" w:hAnsi="Palatino Linotype" w:cs="Arial"/>
          <w:lang w:val="es-MX" w:eastAsia="en-US"/>
        </w:rPr>
        <w:t xml:space="preserve"> el expediente electrónico formado con motivo del recurso de revisión número </w:t>
      </w:r>
      <w:r w:rsidR="00DF0080" w:rsidRPr="003E6456">
        <w:rPr>
          <w:rFonts w:ascii="Palatino Linotype" w:eastAsiaTheme="minorHAnsi" w:hAnsi="Palatino Linotype" w:cs="Arial"/>
          <w:b/>
          <w:lang w:val="es-MX" w:eastAsia="en-US"/>
        </w:rPr>
        <w:t>0</w:t>
      </w:r>
      <w:r w:rsidR="00365F0F" w:rsidRPr="003E6456">
        <w:rPr>
          <w:rFonts w:ascii="Palatino Linotype" w:eastAsiaTheme="minorHAnsi" w:hAnsi="Palatino Linotype" w:cs="Arial"/>
          <w:b/>
          <w:lang w:val="es-MX" w:eastAsia="en-US"/>
        </w:rPr>
        <w:t>2810</w:t>
      </w:r>
      <w:r w:rsidRPr="003E6456">
        <w:rPr>
          <w:rFonts w:ascii="Palatino Linotype" w:eastAsiaTheme="minorHAnsi" w:hAnsi="Palatino Linotype" w:cs="Arial"/>
          <w:b/>
          <w:bCs/>
          <w:lang w:val="es-MX" w:eastAsia="es-MX"/>
        </w:rPr>
        <w:t>/INFOEM/IP/RR/202</w:t>
      </w:r>
      <w:r w:rsidR="00DF0080" w:rsidRPr="003E6456">
        <w:rPr>
          <w:rFonts w:ascii="Palatino Linotype" w:eastAsiaTheme="minorHAnsi" w:hAnsi="Palatino Linotype" w:cs="Arial"/>
          <w:b/>
          <w:bCs/>
          <w:lang w:val="es-MX" w:eastAsia="es-MX"/>
        </w:rPr>
        <w:t>3</w:t>
      </w:r>
      <w:r w:rsidRPr="003E6456">
        <w:rPr>
          <w:rFonts w:ascii="Palatino Linotype" w:eastAsiaTheme="minorHAnsi" w:hAnsi="Palatino Linotype" w:cs="Arial"/>
          <w:lang w:val="es-MX" w:eastAsia="en-US"/>
        </w:rPr>
        <w:t xml:space="preserve">, </w:t>
      </w:r>
      <w:r w:rsidR="00266841" w:rsidRPr="003E6456">
        <w:rPr>
          <w:rFonts w:ascii="Palatino Linotype" w:hAnsi="Palatino Linotype" w:cs="Arial"/>
        </w:rPr>
        <w:t xml:space="preserve">interpuesto </w:t>
      </w:r>
      <w:r w:rsidR="001C7F56" w:rsidRPr="003E6456">
        <w:rPr>
          <w:rFonts w:ascii="Palatino Linotype" w:hAnsi="Palatino Linotype" w:cs="Arial"/>
        </w:rPr>
        <w:t xml:space="preserve">el </w:t>
      </w:r>
      <w:r w:rsidR="001C7F56" w:rsidRPr="003E6456">
        <w:rPr>
          <w:rFonts w:ascii="Palatino Linotype" w:hAnsi="Palatino Linotype" w:cs="Arial"/>
          <w:b/>
        </w:rPr>
        <w:t xml:space="preserve">C. </w:t>
      </w:r>
      <w:r w:rsidR="00397DE8" w:rsidRPr="003E6456">
        <w:rPr>
          <w:rFonts w:ascii="Palatino Linotype" w:hAnsi="Palatino Linotype" w:cs="Arial"/>
          <w:b/>
        </w:rPr>
        <w:t>XXXXXXXXXXXXXXXXX</w:t>
      </w:r>
      <w:r w:rsidR="005F1F89" w:rsidRPr="003E6456">
        <w:rPr>
          <w:rFonts w:ascii="Palatino Linotype" w:hAnsi="Palatino Linotype" w:cs="Arial"/>
        </w:rPr>
        <w:t>,</w:t>
      </w:r>
      <w:r w:rsidR="005F1F89" w:rsidRPr="003E6456">
        <w:rPr>
          <w:rFonts w:ascii="Palatino Linotype" w:hAnsi="Palatino Linotype" w:cs="Arial"/>
          <w:b/>
        </w:rPr>
        <w:t xml:space="preserve"> </w:t>
      </w:r>
      <w:r w:rsidR="005F1F89" w:rsidRPr="003E6456">
        <w:rPr>
          <w:rFonts w:ascii="Palatino Linotype" w:hAnsi="Palatino Linotype" w:cs="Arial"/>
        </w:rPr>
        <w:t xml:space="preserve">en lo sucesivo </w:t>
      </w:r>
      <w:r w:rsidR="00266841" w:rsidRPr="003E6456">
        <w:rPr>
          <w:rFonts w:ascii="Palatino Linotype" w:hAnsi="Palatino Linotype" w:cs="Arial"/>
          <w:b/>
        </w:rPr>
        <w:t>El</w:t>
      </w:r>
      <w:r w:rsidR="005F1F89" w:rsidRPr="003E6456">
        <w:rPr>
          <w:rFonts w:ascii="Palatino Linotype" w:hAnsi="Palatino Linotype" w:cs="Arial"/>
          <w:b/>
        </w:rPr>
        <w:t xml:space="preserve"> Recurrente</w:t>
      </w:r>
      <w:r w:rsidRPr="003E6456">
        <w:rPr>
          <w:rFonts w:ascii="Palatino Linotype" w:eastAsiaTheme="minorHAnsi" w:hAnsi="Palatino Linotype" w:cs="Arial"/>
          <w:lang w:val="es-MX" w:eastAsia="en-US"/>
        </w:rPr>
        <w:t>, en contra de la respuesta de</w:t>
      </w:r>
      <w:r w:rsidR="00B20C2B" w:rsidRPr="003E6456">
        <w:rPr>
          <w:rFonts w:ascii="Palatino Linotype" w:eastAsiaTheme="minorHAnsi" w:hAnsi="Palatino Linotype" w:cs="Arial"/>
          <w:lang w:val="es-MX" w:eastAsia="en-US"/>
        </w:rPr>
        <w:t>l</w:t>
      </w:r>
      <w:r w:rsidRPr="003E6456">
        <w:rPr>
          <w:rFonts w:ascii="Palatino Linotype" w:eastAsiaTheme="minorHAnsi" w:hAnsi="Palatino Linotype" w:cs="Arial"/>
          <w:lang w:val="es-MX" w:eastAsia="en-US"/>
        </w:rPr>
        <w:t xml:space="preserve"> </w:t>
      </w:r>
      <w:r w:rsidR="00365F0F" w:rsidRPr="003E6456">
        <w:rPr>
          <w:rFonts w:ascii="Palatino Linotype" w:eastAsiaTheme="minorHAnsi" w:hAnsi="Palatino Linotype" w:cs="Arial"/>
          <w:b/>
          <w:lang w:val="es-MX" w:eastAsia="en-US"/>
        </w:rPr>
        <w:t>Instituto de Seguridad Social del Estado de México y Municipios</w:t>
      </w:r>
      <w:r w:rsidRPr="003E6456">
        <w:rPr>
          <w:rFonts w:ascii="Palatino Linotype" w:eastAsiaTheme="minorHAnsi" w:hAnsi="Palatino Linotype" w:cs="Arial"/>
          <w:lang w:val="es-MX" w:eastAsia="en-US"/>
        </w:rPr>
        <w:t>,</w:t>
      </w:r>
      <w:r w:rsidRPr="003E6456">
        <w:rPr>
          <w:rFonts w:ascii="Palatino Linotype" w:eastAsiaTheme="minorHAnsi" w:hAnsi="Palatino Linotype" w:cs="Arial"/>
          <w:b/>
          <w:lang w:val="es-MX" w:eastAsia="en-US"/>
        </w:rPr>
        <w:t xml:space="preserve"> </w:t>
      </w:r>
      <w:r w:rsidRPr="003E6456">
        <w:rPr>
          <w:rFonts w:ascii="Palatino Linotype" w:eastAsiaTheme="minorHAnsi" w:hAnsi="Palatino Linotype" w:cs="Arial"/>
          <w:lang w:val="es-MX" w:eastAsia="en-US"/>
        </w:rPr>
        <w:t>en lo subsecuente</w:t>
      </w:r>
      <w:r w:rsidRPr="003E6456">
        <w:rPr>
          <w:rFonts w:ascii="Palatino Linotype" w:eastAsiaTheme="minorHAnsi" w:hAnsi="Palatino Linotype" w:cs="Arial"/>
          <w:b/>
          <w:lang w:val="es-MX" w:eastAsia="en-US"/>
        </w:rPr>
        <w:t xml:space="preserve"> El Sujeto Obligado, </w:t>
      </w:r>
      <w:r w:rsidRPr="003E6456">
        <w:rPr>
          <w:rFonts w:ascii="Palatino Linotype" w:eastAsiaTheme="minorHAnsi" w:hAnsi="Palatino Linotype" w:cs="Arial"/>
          <w:lang w:val="es-MX" w:eastAsia="en-US"/>
        </w:rPr>
        <w:t>se procede a dictar la presente resolución.</w:t>
      </w:r>
    </w:p>
    <w:p w14:paraId="18792ADD" w14:textId="77777777" w:rsidR="00C753C2" w:rsidRPr="003E645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3E6456" w:rsidRDefault="0029071C" w:rsidP="00C753C2">
      <w:pPr>
        <w:spacing w:line="360" w:lineRule="auto"/>
        <w:jc w:val="center"/>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A N T E C E D E N T E S</w:t>
      </w:r>
    </w:p>
    <w:p w14:paraId="4AFE5A3C" w14:textId="77777777" w:rsidR="00C753C2" w:rsidRPr="003E6456"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3E6456" w:rsidRDefault="0029071C" w:rsidP="0029071C">
      <w:pPr>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PRIMERO. De la solicitud de información.</w:t>
      </w:r>
    </w:p>
    <w:p w14:paraId="7E2B1AA5" w14:textId="12CB6648" w:rsidR="004309A2" w:rsidRPr="003E6456" w:rsidRDefault="0029071C" w:rsidP="00DF0080">
      <w:pPr>
        <w:spacing w:line="360" w:lineRule="auto"/>
        <w:jc w:val="both"/>
        <w:rPr>
          <w:rFonts w:ascii="Palatino Linotype" w:eastAsiaTheme="minorHAnsi" w:hAnsi="Palatino Linotype" w:cs="Arial"/>
          <w:szCs w:val="22"/>
          <w:lang w:val="es-MX" w:eastAsia="en-US"/>
        </w:rPr>
      </w:pPr>
      <w:r w:rsidRPr="003E6456">
        <w:rPr>
          <w:rFonts w:ascii="Palatino Linotype" w:eastAsiaTheme="minorHAnsi" w:hAnsi="Palatino Linotype" w:cs="Arial"/>
          <w:szCs w:val="22"/>
          <w:lang w:val="es-MX" w:eastAsia="en-US"/>
        </w:rPr>
        <w:t xml:space="preserve">En fecha </w:t>
      </w:r>
      <w:r w:rsidR="005803C9" w:rsidRPr="003E6456">
        <w:rPr>
          <w:rFonts w:ascii="Palatino Linotype" w:eastAsiaTheme="minorHAnsi" w:hAnsi="Palatino Linotype" w:cs="Arial"/>
          <w:szCs w:val="22"/>
          <w:lang w:val="es-MX" w:eastAsia="en-US"/>
        </w:rPr>
        <w:t>ocho de mayo</w:t>
      </w:r>
      <w:r w:rsidR="00DF0080" w:rsidRPr="003E6456">
        <w:rPr>
          <w:rFonts w:ascii="Palatino Linotype" w:eastAsiaTheme="minorHAnsi" w:hAnsi="Palatino Linotype" w:cs="Arial"/>
          <w:szCs w:val="22"/>
          <w:lang w:val="es-MX" w:eastAsia="en-US"/>
        </w:rPr>
        <w:t xml:space="preserve"> de dos mil veintitrés</w:t>
      </w:r>
      <w:r w:rsidRPr="003E6456">
        <w:rPr>
          <w:rFonts w:ascii="Palatino Linotype" w:eastAsiaTheme="minorHAnsi" w:hAnsi="Palatino Linotype" w:cs="Arial"/>
          <w:szCs w:val="22"/>
          <w:lang w:val="es-MX" w:eastAsia="en-US"/>
        </w:rPr>
        <w:t xml:space="preserve">, </w:t>
      </w:r>
      <w:r w:rsidR="00DF0080" w:rsidRPr="003E6456">
        <w:rPr>
          <w:rFonts w:ascii="Palatino Linotype" w:eastAsiaTheme="minorHAnsi" w:hAnsi="Palatino Linotype" w:cs="Arial"/>
          <w:szCs w:val="22"/>
          <w:lang w:val="es-MX" w:eastAsia="en-US"/>
        </w:rPr>
        <w:t>el</w:t>
      </w:r>
      <w:r w:rsidRPr="003E6456">
        <w:rPr>
          <w:rFonts w:ascii="Palatino Linotype" w:eastAsiaTheme="minorHAnsi" w:hAnsi="Palatino Linotype" w:cs="Arial"/>
          <w:szCs w:val="22"/>
          <w:lang w:val="es-MX" w:eastAsia="en-US"/>
        </w:rPr>
        <w:t xml:space="preserve"> </w:t>
      </w:r>
      <w:r w:rsidRPr="003E6456">
        <w:rPr>
          <w:rFonts w:ascii="Palatino Linotype" w:eastAsiaTheme="minorHAnsi" w:hAnsi="Palatino Linotype" w:cs="Arial"/>
          <w:b/>
          <w:szCs w:val="22"/>
          <w:lang w:val="es-MX" w:eastAsia="en-US"/>
        </w:rPr>
        <w:t>Recurrente</w:t>
      </w:r>
      <w:r w:rsidRPr="003E6456">
        <w:rPr>
          <w:rFonts w:ascii="Palatino Linotype" w:eastAsiaTheme="minorHAnsi" w:hAnsi="Palatino Linotype" w:cs="Arial"/>
          <w:szCs w:val="22"/>
          <w:lang w:val="es-MX" w:eastAsia="en-US"/>
        </w:rPr>
        <w:t xml:space="preserve">, presentó a través del Sistema de Acceso a la Información Mexiquense </w:t>
      </w:r>
      <w:r w:rsidRPr="003E6456">
        <w:rPr>
          <w:rFonts w:ascii="Palatino Linotype" w:eastAsiaTheme="minorHAnsi" w:hAnsi="Palatino Linotype" w:cs="Arial"/>
          <w:b/>
          <w:szCs w:val="22"/>
          <w:lang w:val="es-MX" w:eastAsia="en-US"/>
        </w:rPr>
        <w:t>(SAIMEX),</w:t>
      </w:r>
      <w:r w:rsidRPr="003E6456">
        <w:rPr>
          <w:rFonts w:ascii="Palatino Linotype" w:eastAsiaTheme="minorHAnsi" w:hAnsi="Palatino Linotype" w:cs="Arial"/>
          <w:szCs w:val="22"/>
          <w:lang w:val="es-MX" w:eastAsia="en-US"/>
        </w:rPr>
        <w:t xml:space="preserve"> ante el </w:t>
      </w:r>
      <w:r w:rsidRPr="003E6456">
        <w:rPr>
          <w:rFonts w:ascii="Palatino Linotype" w:eastAsiaTheme="minorHAnsi" w:hAnsi="Palatino Linotype" w:cs="Arial"/>
          <w:b/>
          <w:szCs w:val="22"/>
          <w:lang w:val="es-MX" w:eastAsia="en-US"/>
        </w:rPr>
        <w:t>Sujeto Obligado</w:t>
      </w:r>
      <w:r w:rsidRPr="003E6456">
        <w:rPr>
          <w:rFonts w:ascii="Palatino Linotype" w:eastAsiaTheme="minorHAnsi" w:hAnsi="Palatino Linotype" w:cs="Arial"/>
          <w:szCs w:val="22"/>
          <w:lang w:val="es-MX" w:eastAsia="en-US"/>
        </w:rPr>
        <w:t>, la solicitud de acceso a la información pública, a la que se le</w:t>
      </w:r>
      <w:r w:rsidR="00C753C2" w:rsidRPr="003E6456">
        <w:rPr>
          <w:rFonts w:ascii="Palatino Linotype" w:eastAsiaTheme="minorHAnsi" w:hAnsi="Palatino Linotype" w:cs="Arial"/>
          <w:szCs w:val="22"/>
          <w:lang w:val="es-MX" w:eastAsia="en-US"/>
        </w:rPr>
        <w:t xml:space="preserve"> asignó el número de expediente </w:t>
      </w:r>
      <w:r w:rsidR="005803C9" w:rsidRPr="003E6456">
        <w:rPr>
          <w:rFonts w:ascii="Palatino Linotype" w:eastAsiaTheme="minorHAnsi" w:hAnsi="Palatino Linotype" w:cs="Arial"/>
          <w:b/>
          <w:szCs w:val="22"/>
          <w:lang w:val="es-MX" w:eastAsia="en-US"/>
        </w:rPr>
        <w:t>00376/ISSEMYM/IP/2023</w:t>
      </w:r>
      <w:r w:rsidRPr="003E6456">
        <w:rPr>
          <w:rFonts w:ascii="Palatino Linotype" w:eastAsiaTheme="minorHAnsi" w:hAnsi="Palatino Linotype" w:cs="Arial"/>
          <w:szCs w:val="22"/>
          <w:lang w:val="es-MX" w:eastAsia="en-US"/>
        </w:rPr>
        <w:t>, mediante la cual solicitó lo siguiente:</w:t>
      </w:r>
    </w:p>
    <w:p w14:paraId="56AA2819" w14:textId="77777777" w:rsidR="00DF0080" w:rsidRPr="003E6456" w:rsidRDefault="00DF0080" w:rsidP="00DF0080">
      <w:pPr>
        <w:spacing w:line="360" w:lineRule="auto"/>
        <w:jc w:val="both"/>
        <w:rPr>
          <w:rFonts w:ascii="Palatino Linotype" w:eastAsiaTheme="minorHAnsi" w:hAnsi="Palatino Linotype" w:cs="Arial"/>
          <w:szCs w:val="22"/>
          <w:lang w:val="es-MX" w:eastAsia="en-US"/>
        </w:rPr>
      </w:pPr>
    </w:p>
    <w:p w14:paraId="58D1202C" w14:textId="4FDF0FCB" w:rsidR="004309A2" w:rsidRPr="003E6456" w:rsidRDefault="0029071C" w:rsidP="005803C9">
      <w:pPr>
        <w:spacing w:line="360" w:lineRule="auto"/>
        <w:ind w:left="284" w:right="332"/>
        <w:jc w:val="both"/>
        <w:rPr>
          <w:rFonts w:ascii="Palatino Linotype" w:hAnsi="Palatino Linotype"/>
          <w:i/>
          <w:szCs w:val="22"/>
          <w:lang w:val="es-ES_tradnl"/>
        </w:rPr>
      </w:pPr>
      <w:r w:rsidRPr="003E6456">
        <w:rPr>
          <w:rFonts w:ascii="Palatino Linotype" w:hAnsi="Palatino Linotype"/>
          <w:i/>
          <w:szCs w:val="22"/>
          <w:lang w:val="es-MX"/>
        </w:rPr>
        <w:t>“</w:t>
      </w:r>
      <w:r w:rsidR="005803C9" w:rsidRPr="003E6456">
        <w:rPr>
          <w:rFonts w:ascii="Palatino Linotype" w:hAnsi="Palatino Linotype"/>
          <w:i/>
          <w:szCs w:val="22"/>
          <w:lang w:val="es-MX" w:eastAsia="es-MX"/>
        </w:rPr>
        <w:t>solicito el documento que de cuenta del nombre y las percepciones netas de los jubilados o pensionados</w:t>
      </w:r>
      <w:r w:rsidRPr="003E6456">
        <w:rPr>
          <w:rFonts w:ascii="Palatino Linotype" w:hAnsi="Palatino Linotype"/>
          <w:i/>
          <w:szCs w:val="22"/>
          <w:lang w:val="es-MX"/>
        </w:rPr>
        <w:t>”</w:t>
      </w:r>
      <w:r w:rsidRPr="003E6456">
        <w:rPr>
          <w:rFonts w:ascii="Palatino Linotype" w:hAnsi="Palatino Linotype"/>
          <w:i/>
          <w:szCs w:val="22"/>
          <w:lang w:val="es-ES_tradnl"/>
        </w:rPr>
        <w:t xml:space="preserve"> (Sic).</w:t>
      </w:r>
    </w:p>
    <w:p w14:paraId="69CC10B2" w14:textId="77777777" w:rsidR="00DF0080" w:rsidRPr="003E6456" w:rsidRDefault="00DF0080" w:rsidP="00DF0080">
      <w:pPr>
        <w:spacing w:line="276" w:lineRule="auto"/>
        <w:ind w:left="284" w:right="332"/>
        <w:jc w:val="both"/>
        <w:rPr>
          <w:rFonts w:ascii="Palatino Linotype" w:hAnsi="Palatino Linotype"/>
          <w:i/>
          <w:szCs w:val="22"/>
          <w:lang w:val="es-ES_tradnl"/>
        </w:rPr>
      </w:pPr>
    </w:p>
    <w:p w14:paraId="54A97F43" w14:textId="77777777" w:rsidR="00386D38" w:rsidRPr="003E6456"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3E6456">
        <w:rPr>
          <w:rFonts w:ascii="Palatino Linotype" w:hAnsi="Palatino Linotype"/>
          <w:b/>
          <w:lang w:val="es-ES_tradnl"/>
        </w:rPr>
        <w:t>MODALIDAD DE ENTREGA:</w:t>
      </w:r>
      <w:r w:rsidRPr="003E6456">
        <w:rPr>
          <w:rFonts w:ascii="Palatino Linotype" w:hAnsi="Palatino Linotype"/>
          <w:lang w:val="es-ES_tradnl"/>
        </w:rPr>
        <w:t xml:space="preserve"> </w:t>
      </w:r>
      <w:r w:rsidRPr="003E6456">
        <w:rPr>
          <w:rFonts w:ascii="Palatino Linotype" w:eastAsiaTheme="minorHAnsi" w:hAnsi="Palatino Linotype" w:cstheme="minorBidi"/>
          <w:color w:val="000000"/>
          <w:lang w:val="es-MX" w:eastAsia="en-US"/>
        </w:rPr>
        <w:t xml:space="preserve">A través del </w:t>
      </w:r>
      <w:r w:rsidRPr="003E6456">
        <w:rPr>
          <w:rFonts w:ascii="Palatino Linotype" w:eastAsiaTheme="minorHAnsi" w:hAnsi="Palatino Linotype" w:cstheme="minorBidi"/>
          <w:b/>
          <w:color w:val="000000"/>
          <w:lang w:val="es-MX" w:eastAsia="en-US"/>
        </w:rPr>
        <w:t>SAIMEX</w:t>
      </w:r>
      <w:r w:rsidRPr="003E6456">
        <w:rPr>
          <w:rFonts w:ascii="Palatino Linotype" w:eastAsiaTheme="minorHAnsi" w:hAnsi="Palatino Linotype" w:cstheme="minorBidi"/>
          <w:color w:val="000000"/>
          <w:lang w:val="es-MX" w:eastAsia="en-US"/>
        </w:rPr>
        <w:t>.</w:t>
      </w:r>
    </w:p>
    <w:p w14:paraId="1E62A79E" w14:textId="77777777" w:rsidR="005803C9" w:rsidRPr="003E6456" w:rsidRDefault="005803C9"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27AA5EF2" w14:textId="77777777" w:rsidR="005803C9" w:rsidRPr="003E6456" w:rsidRDefault="005803C9"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05841E30" w14:textId="77777777" w:rsidR="0029071C" w:rsidRPr="003E6456" w:rsidRDefault="00CC0B81" w:rsidP="0029071C">
      <w:pPr>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lastRenderedPageBreak/>
        <w:t>SEGUND</w:t>
      </w:r>
      <w:r w:rsidR="0029071C" w:rsidRPr="003E6456">
        <w:rPr>
          <w:rFonts w:ascii="Palatino Linotype" w:eastAsiaTheme="minorHAnsi" w:hAnsi="Palatino Linotype" w:cs="Arial"/>
          <w:b/>
          <w:sz w:val="28"/>
          <w:lang w:val="es-MX" w:eastAsia="en-US"/>
        </w:rPr>
        <w:t xml:space="preserve">O. De la respuesta del Sujeto Obligado. </w:t>
      </w:r>
    </w:p>
    <w:p w14:paraId="3886B9AE" w14:textId="4A78BB20" w:rsidR="0029071C" w:rsidRPr="003E6456" w:rsidRDefault="0029071C" w:rsidP="0029071C">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De las constancias que obran en el sistema SAIMEX, se advierte que en fecha </w:t>
      </w:r>
      <w:r w:rsidR="005803C9" w:rsidRPr="003E6456">
        <w:rPr>
          <w:rFonts w:ascii="Palatino Linotype" w:eastAsiaTheme="minorHAnsi" w:hAnsi="Palatino Linotype" w:cs="Arial"/>
          <w:lang w:val="es-MX" w:eastAsia="en-US"/>
        </w:rPr>
        <w:t>diecinueve de mayo</w:t>
      </w:r>
      <w:r w:rsidR="001762FA" w:rsidRPr="003E6456">
        <w:rPr>
          <w:rFonts w:ascii="Palatino Linotype" w:eastAsiaTheme="minorHAnsi" w:hAnsi="Palatino Linotype" w:cs="Arial"/>
          <w:lang w:val="es-MX" w:eastAsia="en-US"/>
        </w:rPr>
        <w:t xml:space="preserve"> </w:t>
      </w:r>
      <w:r w:rsidR="00DF0080" w:rsidRPr="003E6456">
        <w:rPr>
          <w:rFonts w:ascii="Palatino Linotype" w:eastAsiaTheme="minorHAnsi" w:hAnsi="Palatino Linotype" w:cs="Arial"/>
          <w:lang w:val="es-MX" w:eastAsia="en-US"/>
        </w:rPr>
        <w:t>de dos mil veintitrés</w:t>
      </w:r>
      <w:r w:rsidRPr="003E6456">
        <w:rPr>
          <w:rFonts w:ascii="Palatino Linotype" w:eastAsiaTheme="minorHAnsi" w:hAnsi="Palatino Linotype" w:cs="Arial"/>
          <w:lang w:val="es-MX" w:eastAsia="en-US"/>
        </w:rPr>
        <w:t xml:space="preserve">, </w:t>
      </w:r>
      <w:r w:rsidRPr="003E6456">
        <w:rPr>
          <w:rFonts w:ascii="Palatino Linotype" w:eastAsiaTheme="minorHAnsi" w:hAnsi="Palatino Linotype" w:cs="Arial"/>
          <w:b/>
          <w:lang w:val="es-MX" w:eastAsia="en-US"/>
        </w:rPr>
        <w:t>El Sujeto Obligado</w:t>
      </w:r>
      <w:r w:rsidRPr="003E6456">
        <w:rPr>
          <w:rFonts w:ascii="Palatino Linotype" w:eastAsiaTheme="minorHAnsi" w:hAnsi="Palatino Linotype" w:cs="Arial"/>
          <w:lang w:val="es-MX" w:eastAsia="en-US"/>
        </w:rPr>
        <w:t xml:space="preserve"> emitió la respuesta en los siguientes términos:</w:t>
      </w:r>
    </w:p>
    <w:p w14:paraId="238E226D" w14:textId="77777777" w:rsidR="0029071C" w:rsidRPr="003E6456" w:rsidRDefault="0029071C" w:rsidP="0029071C">
      <w:pPr>
        <w:rPr>
          <w:lang w:val="es-MX"/>
        </w:rPr>
      </w:pPr>
    </w:p>
    <w:p w14:paraId="69F135DB" w14:textId="77777777" w:rsidR="005803C9" w:rsidRPr="003E6456" w:rsidRDefault="0029071C" w:rsidP="005803C9">
      <w:pPr>
        <w:spacing w:line="276" w:lineRule="auto"/>
        <w:ind w:left="567" w:right="567"/>
        <w:jc w:val="both"/>
        <w:rPr>
          <w:rFonts w:ascii="Palatino Linotype" w:hAnsi="Palatino Linotype"/>
          <w:i/>
          <w:sz w:val="22"/>
          <w:szCs w:val="22"/>
          <w:lang w:val="es-MX" w:eastAsia="es-MX"/>
        </w:rPr>
      </w:pPr>
      <w:r w:rsidRPr="003E6456">
        <w:rPr>
          <w:rFonts w:ascii="Palatino Linotype" w:hAnsi="Palatino Linotype"/>
          <w:i/>
          <w:sz w:val="22"/>
          <w:szCs w:val="22"/>
          <w:lang w:val="es-MX" w:eastAsia="es-MX"/>
        </w:rPr>
        <w:t>“</w:t>
      </w:r>
      <w:r w:rsidR="005803C9" w:rsidRPr="003E6456">
        <w:rPr>
          <w:rFonts w:ascii="Palatino Linotype" w:hAnsi="Palatino Linotype"/>
          <w:i/>
          <w:sz w:val="22"/>
          <w:szCs w:val="22"/>
          <w:lang w:val="es-MX" w:eastAsia="es-MX"/>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w:t>
      </w:r>
    </w:p>
    <w:p w14:paraId="112E247F" w14:textId="77777777" w:rsidR="005803C9" w:rsidRPr="003E6456" w:rsidRDefault="005803C9" w:rsidP="005803C9">
      <w:pPr>
        <w:spacing w:line="276" w:lineRule="auto"/>
        <w:ind w:left="567" w:right="567"/>
        <w:jc w:val="both"/>
        <w:rPr>
          <w:rFonts w:ascii="Palatino Linotype" w:hAnsi="Palatino Linotype"/>
          <w:i/>
          <w:sz w:val="22"/>
          <w:szCs w:val="22"/>
          <w:lang w:val="es-MX" w:eastAsia="es-MX"/>
        </w:rPr>
      </w:pPr>
    </w:p>
    <w:p w14:paraId="053A3D31" w14:textId="65ABF6F6" w:rsidR="005803C9" w:rsidRPr="003E6456" w:rsidRDefault="005803C9" w:rsidP="005803C9">
      <w:pPr>
        <w:spacing w:line="276" w:lineRule="auto"/>
        <w:ind w:left="567" w:right="567"/>
        <w:jc w:val="both"/>
        <w:rPr>
          <w:rFonts w:ascii="Palatino Linotype" w:hAnsi="Palatino Linotype"/>
          <w:i/>
          <w:sz w:val="22"/>
          <w:szCs w:val="22"/>
          <w:lang w:val="es-MX" w:eastAsia="es-MX"/>
        </w:rPr>
      </w:pPr>
      <w:r w:rsidRPr="003E6456">
        <w:rPr>
          <w:rFonts w:ascii="Palatino Linotype" w:hAnsi="Palatino Linotype"/>
          <w:i/>
          <w:sz w:val="22"/>
          <w:szCs w:val="22"/>
          <w:lang w:val="es-MX" w:eastAsia="es-MX"/>
        </w:rPr>
        <w:t>Es indispensable que al presentarse lo realice con cubrebocas y pluma o bolígrafo personal, como medidas de seguridad sanitaria.</w:t>
      </w:r>
    </w:p>
    <w:p w14:paraId="66ECD358" w14:textId="77777777" w:rsidR="005803C9" w:rsidRPr="003E6456" w:rsidRDefault="005803C9" w:rsidP="005803C9">
      <w:pPr>
        <w:spacing w:line="276" w:lineRule="auto"/>
        <w:ind w:left="567" w:right="567"/>
        <w:jc w:val="both"/>
        <w:rPr>
          <w:rFonts w:ascii="Palatino Linotype" w:hAnsi="Palatino Linotype"/>
          <w:i/>
          <w:sz w:val="22"/>
          <w:szCs w:val="22"/>
          <w:lang w:val="es-MX" w:eastAsia="es-MX"/>
        </w:rPr>
      </w:pPr>
    </w:p>
    <w:p w14:paraId="264A3182" w14:textId="1D126D03" w:rsidR="005803C9" w:rsidRPr="003E6456" w:rsidRDefault="005803C9" w:rsidP="005803C9">
      <w:pPr>
        <w:spacing w:line="276" w:lineRule="auto"/>
        <w:ind w:left="567" w:right="567"/>
        <w:jc w:val="both"/>
        <w:rPr>
          <w:rFonts w:ascii="Palatino Linotype" w:hAnsi="Palatino Linotype"/>
          <w:i/>
          <w:sz w:val="22"/>
          <w:szCs w:val="22"/>
          <w:lang w:val="es-MX" w:eastAsia="es-MX"/>
        </w:rPr>
      </w:pPr>
      <w:r w:rsidRPr="003E6456">
        <w:rPr>
          <w:rFonts w:ascii="Palatino Linotype" w:hAnsi="Palatino Linotype"/>
          <w:i/>
          <w:sz w:val="22"/>
          <w:szCs w:val="22"/>
          <w:lang w:val="es-MX" w:eastAsia="es-MX"/>
        </w:rPr>
        <w:t>ATENTAMENTE</w:t>
      </w:r>
    </w:p>
    <w:p w14:paraId="02CE162F" w14:textId="0759FE41" w:rsidR="0029071C" w:rsidRPr="003E6456" w:rsidRDefault="005803C9" w:rsidP="005803C9">
      <w:pPr>
        <w:spacing w:line="276" w:lineRule="auto"/>
        <w:ind w:left="567" w:right="567"/>
        <w:jc w:val="both"/>
        <w:rPr>
          <w:rFonts w:ascii="Palatino Linotype" w:hAnsi="Palatino Linotype"/>
          <w:i/>
          <w:sz w:val="22"/>
          <w:szCs w:val="22"/>
          <w:lang w:val="es-MX" w:eastAsia="es-MX"/>
        </w:rPr>
      </w:pPr>
      <w:r w:rsidRPr="003E6456">
        <w:rPr>
          <w:rFonts w:ascii="Palatino Linotype" w:hAnsi="Palatino Linotype"/>
          <w:i/>
          <w:sz w:val="22"/>
          <w:szCs w:val="22"/>
          <w:lang w:val="es-MX" w:eastAsia="es-MX"/>
        </w:rPr>
        <w:t>LIC. EN PLANEACION TERRITORIAL ABRAHAM ISRAEL BADIA VARGAS</w:t>
      </w:r>
      <w:r w:rsidR="00E74701" w:rsidRPr="003E6456">
        <w:rPr>
          <w:rFonts w:ascii="Palatino Linotype" w:hAnsi="Palatino Linotype"/>
          <w:i/>
          <w:sz w:val="22"/>
          <w:szCs w:val="22"/>
          <w:lang w:val="es-MX" w:eastAsia="es-MX"/>
        </w:rPr>
        <w:t>” (Sic).</w:t>
      </w:r>
    </w:p>
    <w:p w14:paraId="3735AC4B" w14:textId="77777777" w:rsidR="00DC1583" w:rsidRPr="003E6456" w:rsidRDefault="00DC1583" w:rsidP="00DC1583">
      <w:pPr>
        <w:ind w:right="567"/>
        <w:jc w:val="both"/>
        <w:rPr>
          <w:rFonts w:ascii="Palatino Linotype" w:hAnsi="Palatino Linotype"/>
          <w:i/>
          <w:sz w:val="14"/>
          <w:szCs w:val="22"/>
          <w:lang w:val="es-MX" w:eastAsia="es-MX"/>
        </w:rPr>
      </w:pPr>
    </w:p>
    <w:p w14:paraId="211F7AF6" w14:textId="77777777" w:rsidR="00B250D7" w:rsidRPr="003E6456" w:rsidRDefault="00B250D7" w:rsidP="00B250D7">
      <w:pPr>
        <w:pStyle w:val="Sinespaciado"/>
        <w:rPr>
          <w:lang w:eastAsia="es-MX"/>
        </w:rPr>
      </w:pPr>
    </w:p>
    <w:p w14:paraId="4FBD054F" w14:textId="4A295380" w:rsidR="004B2314" w:rsidRPr="003E6456" w:rsidRDefault="00CF1DF5" w:rsidP="004309A2">
      <w:pPr>
        <w:spacing w:line="360" w:lineRule="auto"/>
        <w:jc w:val="both"/>
        <w:rPr>
          <w:rFonts w:ascii="Palatino Linotype" w:hAnsi="Palatino Linotype"/>
          <w:i/>
          <w:sz w:val="22"/>
          <w:szCs w:val="22"/>
          <w:lang w:val="es-MX" w:eastAsia="es-MX"/>
        </w:rPr>
      </w:pPr>
      <w:r w:rsidRPr="003E6456">
        <w:rPr>
          <w:rFonts w:ascii="Palatino Linotype" w:eastAsiaTheme="minorHAnsi" w:hAnsi="Palatino Linotype" w:cs="Arial"/>
          <w:lang w:val="es-MX" w:eastAsia="en-US"/>
        </w:rPr>
        <w:t xml:space="preserve">El </w:t>
      </w:r>
      <w:r w:rsidRPr="003E6456">
        <w:rPr>
          <w:rFonts w:ascii="Palatino Linotype" w:eastAsiaTheme="minorHAnsi" w:hAnsi="Palatino Linotype" w:cs="Arial"/>
          <w:b/>
          <w:lang w:val="es-MX" w:eastAsia="en-US"/>
        </w:rPr>
        <w:t>Sujeto Obligado</w:t>
      </w:r>
      <w:r w:rsidRPr="003E6456">
        <w:rPr>
          <w:rFonts w:ascii="Palatino Linotype" w:eastAsiaTheme="minorHAnsi" w:hAnsi="Palatino Linotype" w:cs="Arial"/>
          <w:lang w:val="es-MX" w:eastAsia="en-US"/>
        </w:rPr>
        <w:t xml:space="preserve"> adjuntó</w:t>
      </w:r>
      <w:r w:rsidR="005F1F89" w:rsidRPr="003E6456">
        <w:rPr>
          <w:rFonts w:ascii="Palatino Linotype" w:eastAsiaTheme="minorHAnsi" w:hAnsi="Palatino Linotype" w:cs="Arial"/>
          <w:lang w:val="es-MX" w:eastAsia="en-US"/>
        </w:rPr>
        <w:t xml:space="preserve"> a su respuesta</w:t>
      </w:r>
      <w:r w:rsidR="00DC1583" w:rsidRPr="003E6456">
        <w:rPr>
          <w:rFonts w:ascii="Palatino Linotype" w:eastAsiaTheme="minorHAnsi" w:hAnsi="Palatino Linotype" w:cs="Arial"/>
          <w:lang w:val="es-MX" w:eastAsia="en-US"/>
        </w:rPr>
        <w:t xml:space="preserve">, </w:t>
      </w:r>
      <w:r w:rsidR="005803C9" w:rsidRPr="003E6456">
        <w:rPr>
          <w:rFonts w:ascii="Palatino Linotype" w:eastAsiaTheme="minorHAnsi" w:hAnsi="Palatino Linotype" w:cs="Arial"/>
          <w:lang w:val="es-MX" w:eastAsia="en-US"/>
        </w:rPr>
        <w:t>el</w:t>
      </w:r>
      <w:r w:rsidR="001D2DE0" w:rsidRPr="003E6456">
        <w:rPr>
          <w:rFonts w:ascii="Palatino Linotype" w:eastAsiaTheme="minorHAnsi" w:hAnsi="Palatino Linotype" w:cs="Arial"/>
          <w:lang w:val="es-MX" w:eastAsia="en-US"/>
        </w:rPr>
        <w:t xml:space="preserve"> archivo electrónico denominado</w:t>
      </w:r>
      <w:r w:rsidR="005803C9" w:rsidRPr="003E6456">
        <w:rPr>
          <w:rFonts w:ascii="Palatino Linotype" w:eastAsiaTheme="minorHAnsi" w:hAnsi="Palatino Linotype" w:cs="Arial"/>
          <w:lang w:val="es-MX" w:eastAsia="en-US"/>
        </w:rPr>
        <w:t xml:space="preserve"> </w:t>
      </w:r>
      <w:r w:rsidR="00184176" w:rsidRPr="003E6456">
        <w:rPr>
          <w:rFonts w:ascii="Palatino Linotype" w:eastAsiaTheme="minorHAnsi" w:hAnsi="Palatino Linotype" w:cs="Arial"/>
          <w:i/>
          <w:lang w:val="es-MX" w:eastAsia="en-US"/>
        </w:rPr>
        <w:t>“</w:t>
      </w:r>
      <w:r w:rsidR="005803C9" w:rsidRPr="003E6456">
        <w:rPr>
          <w:rFonts w:ascii="Palatino Linotype" w:eastAsiaTheme="minorHAnsi" w:hAnsi="Palatino Linotype" w:cs="Arial"/>
          <w:i/>
          <w:lang w:val="es-MX" w:eastAsia="en-US"/>
        </w:rPr>
        <w:t>RESPUESTA 376.IP.pdf</w:t>
      </w:r>
      <w:r w:rsidR="00184176" w:rsidRPr="003E6456">
        <w:rPr>
          <w:rFonts w:ascii="Palatino Linotype" w:eastAsiaTheme="minorHAnsi" w:hAnsi="Palatino Linotype" w:cs="Arial"/>
          <w:i/>
          <w:lang w:val="es-MX" w:eastAsia="en-US"/>
        </w:rPr>
        <w:t>”</w:t>
      </w:r>
      <w:r w:rsidR="00DC1583" w:rsidRPr="003E6456">
        <w:rPr>
          <w:rFonts w:ascii="Palatino Linotype" w:eastAsiaTheme="minorHAnsi" w:hAnsi="Palatino Linotype" w:cs="Arial"/>
          <w:i/>
          <w:lang w:val="es-MX" w:eastAsia="en-US"/>
        </w:rPr>
        <w:t>;</w:t>
      </w:r>
      <w:r w:rsidR="00DC1583" w:rsidRPr="003E6456">
        <w:rPr>
          <w:rFonts w:ascii="Palatino Linotype" w:eastAsiaTheme="minorHAnsi" w:hAnsi="Palatino Linotype" w:cs="Arial"/>
          <w:lang w:val="es-MX" w:eastAsia="en-US"/>
        </w:rPr>
        <w:t xml:space="preserve"> cuyo contenido no se inserta por ser del conocim</w:t>
      </w:r>
      <w:r w:rsidR="001D2DE0" w:rsidRPr="003E6456">
        <w:rPr>
          <w:rFonts w:ascii="Palatino Linotype" w:eastAsiaTheme="minorHAnsi" w:hAnsi="Palatino Linotype" w:cs="Arial"/>
          <w:lang w:val="es-MX" w:eastAsia="en-US"/>
        </w:rPr>
        <w:t>iento de las partes, sin embargo, será</w:t>
      </w:r>
      <w:r w:rsidR="00DC1583" w:rsidRPr="003E6456">
        <w:rPr>
          <w:rFonts w:ascii="Palatino Linotype" w:eastAsiaTheme="minorHAnsi" w:hAnsi="Palatino Linotype" w:cs="Arial"/>
          <w:lang w:val="es-MX" w:eastAsia="en-US"/>
        </w:rPr>
        <w:t xml:space="preserve"> motivo de estudio en el Considerado respectivo. </w:t>
      </w:r>
    </w:p>
    <w:p w14:paraId="21818EA7" w14:textId="77777777" w:rsidR="004309A2" w:rsidRPr="003E6456" w:rsidRDefault="004309A2" w:rsidP="004309A2">
      <w:pPr>
        <w:spacing w:line="360" w:lineRule="auto"/>
        <w:jc w:val="both"/>
        <w:rPr>
          <w:rFonts w:ascii="Palatino Linotype" w:hAnsi="Palatino Linotype"/>
          <w:szCs w:val="22"/>
          <w:lang w:val="es-MX" w:eastAsia="es-MX"/>
        </w:rPr>
      </w:pPr>
    </w:p>
    <w:p w14:paraId="024A662D" w14:textId="77777777" w:rsidR="0029071C" w:rsidRPr="003E6456" w:rsidRDefault="00CC0B81" w:rsidP="0029071C">
      <w:pPr>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TERCER</w:t>
      </w:r>
      <w:r w:rsidR="0029071C" w:rsidRPr="003E6456">
        <w:rPr>
          <w:rFonts w:ascii="Palatino Linotype" w:eastAsiaTheme="minorHAnsi" w:hAnsi="Palatino Linotype" w:cs="Arial"/>
          <w:b/>
          <w:sz w:val="28"/>
          <w:lang w:val="es-MX" w:eastAsia="en-US"/>
        </w:rPr>
        <w:t>O. Del recurso de revisión.</w:t>
      </w:r>
    </w:p>
    <w:p w14:paraId="7B3E8717" w14:textId="14B5E117" w:rsidR="00CC0B81" w:rsidRPr="003E6456" w:rsidRDefault="0029071C" w:rsidP="00CC0B81">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Inconforme con la respuesta por parte del </w:t>
      </w:r>
      <w:r w:rsidRPr="003E6456">
        <w:rPr>
          <w:rFonts w:ascii="Palatino Linotype" w:eastAsiaTheme="minorHAnsi" w:hAnsi="Palatino Linotype" w:cs="Arial"/>
          <w:b/>
          <w:lang w:val="es-MX" w:eastAsia="en-US"/>
        </w:rPr>
        <w:t>Sujeto Obligado</w:t>
      </w:r>
      <w:r w:rsidRPr="003E6456">
        <w:rPr>
          <w:rFonts w:ascii="Palatino Linotype" w:eastAsiaTheme="minorHAnsi" w:hAnsi="Palatino Linotype" w:cs="Arial"/>
          <w:lang w:val="es-MX" w:eastAsia="en-US"/>
        </w:rPr>
        <w:t xml:space="preserve">, </w:t>
      </w:r>
      <w:r w:rsidR="00DF0080" w:rsidRPr="003E6456">
        <w:rPr>
          <w:rFonts w:ascii="Palatino Linotype" w:eastAsiaTheme="minorHAnsi" w:hAnsi="Palatino Linotype" w:cs="Arial"/>
          <w:lang w:val="es-MX" w:eastAsia="en-US"/>
        </w:rPr>
        <w:t>el</w:t>
      </w:r>
      <w:r w:rsidRPr="003E6456">
        <w:rPr>
          <w:rFonts w:ascii="Palatino Linotype" w:eastAsiaTheme="minorHAnsi" w:hAnsi="Palatino Linotype" w:cs="Arial"/>
          <w:lang w:val="es-MX" w:eastAsia="en-US"/>
        </w:rPr>
        <w:t xml:space="preserve"> ahora </w:t>
      </w:r>
      <w:r w:rsidRPr="003E6456">
        <w:rPr>
          <w:rFonts w:ascii="Palatino Linotype" w:eastAsiaTheme="minorHAnsi" w:hAnsi="Palatino Linotype" w:cs="Arial"/>
          <w:b/>
          <w:lang w:val="es-MX" w:eastAsia="en-US"/>
        </w:rPr>
        <w:t>Recurrente</w:t>
      </w:r>
      <w:r w:rsidRPr="003E6456">
        <w:rPr>
          <w:rFonts w:ascii="Palatino Linotype" w:eastAsiaTheme="minorHAnsi" w:hAnsi="Palatino Linotype" w:cs="Arial"/>
          <w:lang w:val="es-MX" w:eastAsia="en-US"/>
        </w:rPr>
        <w:t xml:space="preserve"> interpuso el presente recurso de revisión en fecha </w:t>
      </w:r>
      <w:r w:rsidR="005803C9" w:rsidRPr="003E6456">
        <w:rPr>
          <w:rFonts w:ascii="Palatino Linotype" w:eastAsiaTheme="minorHAnsi" w:hAnsi="Palatino Linotype" w:cs="Arial"/>
          <w:lang w:val="es-MX" w:eastAsia="en-US"/>
        </w:rPr>
        <w:t>veintidós de mayo</w:t>
      </w:r>
      <w:r w:rsidR="00DF0080" w:rsidRPr="003E6456">
        <w:rPr>
          <w:rFonts w:ascii="Palatino Linotype" w:eastAsiaTheme="minorHAnsi" w:hAnsi="Palatino Linotype" w:cs="Arial"/>
          <w:lang w:val="es-MX" w:eastAsia="en-US"/>
        </w:rPr>
        <w:t xml:space="preserve"> de dos mil veintitrés</w:t>
      </w:r>
      <w:r w:rsidRPr="003E6456">
        <w:rPr>
          <w:rFonts w:ascii="Palatino Linotype" w:eastAsiaTheme="minorHAnsi" w:hAnsi="Palatino Linotype" w:cs="Arial"/>
          <w:lang w:val="es-MX" w:eastAsia="en-US"/>
        </w:rPr>
        <w:t>, el cual fue registrado</w:t>
      </w:r>
      <w:r w:rsidRPr="003E6456">
        <w:rPr>
          <w:rFonts w:ascii="Palatino Linotype" w:eastAsiaTheme="minorHAnsi" w:hAnsi="Palatino Linotype" w:cs="Arial"/>
          <w:b/>
          <w:lang w:val="es-MX" w:eastAsia="en-US"/>
        </w:rPr>
        <w:t xml:space="preserve"> </w:t>
      </w:r>
      <w:r w:rsidRPr="003E6456">
        <w:rPr>
          <w:rFonts w:ascii="Palatino Linotype" w:eastAsiaTheme="minorHAnsi" w:hAnsi="Palatino Linotype" w:cs="Arial"/>
          <w:lang w:val="es-MX" w:eastAsia="en-US"/>
        </w:rPr>
        <w:t xml:space="preserve">en el sistema electrónico con el expediente número </w:t>
      </w:r>
      <w:r w:rsidR="00DF0080" w:rsidRPr="003E6456">
        <w:rPr>
          <w:rFonts w:ascii="Palatino Linotype" w:eastAsiaTheme="minorHAnsi" w:hAnsi="Palatino Linotype" w:cs="Arial"/>
          <w:b/>
          <w:bCs/>
          <w:lang w:val="es-MX" w:eastAsia="es-MX"/>
        </w:rPr>
        <w:t>0</w:t>
      </w:r>
      <w:r w:rsidR="005803C9" w:rsidRPr="003E6456">
        <w:rPr>
          <w:rFonts w:ascii="Palatino Linotype" w:eastAsiaTheme="minorHAnsi" w:hAnsi="Palatino Linotype" w:cs="Arial"/>
          <w:b/>
          <w:bCs/>
          <w:lang w:val="es-MX" w:eastAsia="es-MX"/>
        </w:rPr>
        <w:t>2810</w:t>
      </w:r>
      <w:r w:rsidR="00B250D7" w:rsidRPr="003E6456">
        <w:rPr>
          <w:rFonts w:ascii="Palatino Linotype" w:eastAsiaTheme="minorHAnsi" w:hAnsi="Palatino Linotype" w:cs="Arial"/>
          <w:b/>
          <w:bCs/>
          <w:lang w:val="es-MX" w:eastAsia="es-MX"/>
        </w:rPr>
        <w:t>/INFOEM/IP/RR/202</w:t>
      </w:r>
      <w:r w:rsidR="00DF0080" w:rsidRPr="003E6456">
        <w:rPr>
          <w:rFonts w:ascii="Palatino Linotype" w:eastAsiaTheme="minorHAnsi" w:hAnsi="Palatino Linotype" w:cs="Arial"/>
          <w:b/>
          <w:bCs/>
          <w:lang w:val="es-MX" w:eastAsia="es-MX"/>
        </w:rPr>
        <w:t>3</w:t>
      </w:r>
      <w:r w:rsidRPr="003E6456">
        <w:rPr>
          <w:rFonts w:ascii="Palatino Linotype" w:eastAsiaTheme="minorHAnsi" w:hAnsi="Palatino Linotype" w:cs="Arial"/>
          <w:lang w:val="es-MX" w:eastAsia="en-US"/>
        </w:rPr>
        <w:t>, en el cual aduce, las siguientes manifestaciones:</w:t>
      </w:r>
    </w:p>
    <w:p w14:paraId="28D166C9" w14:textId="77777777" w:rsidR="00CC0B81" w:rsidRPr="003E6456" w:rsidRDefault="00CC0B81" w:rsidP="00CC0B81">
      <w:pPr>
        <w:spacing w:line="360" w:lineRule="auto"/>
        <w:jc w:val="both"/>
        <w:rPr>
          <w:rFonts w:ascii="Palatino Linotype" w:eastAsiaTheme="minorHAnsi" w:hAnsi="Palatino Linotype" w:cs="Arial"/>
          <w:sz w:val="14"/>
          <w:lang w:val="es-MX" w:eastAsia="en-US"/>
        </w:rPr>
      </w:pPr>
    </w:p>
    <w:p w14:paraId="0460E6F1" w14:textId="76B16F8B" w:rsidR="00CC0B81" w:rsidRPr="003E6456" w:rsidRDefault="0029071C" w:rsidP="001762FA">
      <w:pPr>
        <w:numPr>
          <w:ilvl w:val="0"/>
          <w:numId w:val="1"/>
        </w:numPr>
        <w:spacing w:line="259" w:lineRule="auto"/>
        <w:jc w:val="both"/>
        <w:rPr>
          <w:rFonts w:ascii="Palatino Linotype" w:hAnsi="Palatino Linotype" w:cs="Arial"/>
          <w:b/>
          <w:sz w:val="26"/>
          <w:szCs w:val="26"/>
        </w:rPr>
      </w:pPr>
      <w:r w:rsidRPr="003E6456">
        <w:rPr>
          <w:rFonts w:ascii="Palatino Linotype" w:hAnsi="Palatino Linotype" w:cs="Arial"/>
          <w:b/>
          <w:sz w:val="26"/>
          <w:szCs w:val="26"/>
        </w:rPr>
        <w:t>Acto Impugnado:</w:t>
      </w:r>
      <w:r w:rsidR="004A26CF" w:rsidRPr="003E6456">
        <w:rPr>
          <w:rFonts w:ascii="Palatino Linotype" w:hAnsi="Palatino Linotype" w:cs="Arial"/>
          <w:b/>
          <w:sz w:val="26"/>
          <w:szCs w:val="26"/>
        </w:rPr>
        <w:t xml:space="preserve"> </w:t>
      </w:r>
      <w:r w:rsidRPr="003E6456">
        <w:rPr>
          <w:rFonts w:ascii="Palatino Linotype" w:eastAsiaTheme="minorHAnsi" w:hAnsi="Palatino Linotype" w:cstheme="minorBidi"/>
          <w:i/>
          <w:color w:val="000000"/>
          <w:sz w:val="22"/>
          <w:szCs w:val="22"/>
          <w:lang w:val="es-MX" w:eastAsia="en-US"/>
        </w:rPr>
        <w:t>“</w:t>
      </w:r>
      <w:r w:rsidR="005803C9" w:rsidRPr="003E6456">
        <w:rPr>
          <w:rFonts w:ascii="Palatino Linotype" w:eastAsiaTheme="minorHAnsi" w:hAnsi="Palatino Linotype" w:cstheme="minorBidi"/>
          <w:i/>
          <w:color w:val="000000"/>
          <w:sz w:val="22"/>
          <w:szCs w:val="22"/>
          <w:lang w:val="es-MX" w:eastAsia="en-US"/>
        </w:rPr>
        <w:t>la respuesta</w:t>
      </w:r>
      <w:r w:rsidRPr="003E6456">
        <w:rPr>
          <w:rFonts w:ascii="Palatino Linotype" w:eastAsiaTheme="minorHAnsi" w:hAnsi="Palatino Linotype" w:cstheme="minorBidi"/>
          <w:i/>
          <w:color w:val="000000"/>
          <w:sz w:val="22"/>
          <w:szCs w:val="22"/>
          <w:lang w:val="es-MX" w:eastAsia="en-US"/>
        </w:rPr>
        <w:t>” (Sic).</w:t>
      </w:r>
    </w:p>
    <w:p w14:paraId="14886EB1" w14:textId="77777777" w:rsidR="004309A2" w:rsidRPr="003E6456"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3E6456"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61235DBD" w:rsidR="00E74701" w:rsidRPr="003E6456" w:rsidRDefault="0029071C" w:rsidP="001762FA">
      <w:pPr>
        <w:pStyle w:val="Prrafodelista"/>
        <w:numPr>
          <w:ilvl w:val="0"/>
          <w:numId w:val="1"/>
        </w:numPr>
        <w:jc w:val="both"/>
        <w:rPr>
          <w:rFonts w:ascii="Palatino Linotype" w:hAnsi="Palatino Linotype"/>
          <w:i/>
          <w:sz w:val="26"/>
          <w:szCs w:val="26"/>
          <w:lang w:val="es-MX" w:eastAsia="es-MX"/>
        </w:rPr>
      </w:pPr>
      <w:r w:rsidRPr="003E6456">
        <w:rPr>
          <w:rFonts w:ascii="Palatino Linotype" w:hAnsi="Palatino Linotype" w:cs="Arial"/>
          <w:b/>
          <w:sz w:val="26"/>
          <w:szCs w:val="26"/>
        </w:rPr>
        <w:t>Razones o Motivos de Inconformidad</w:t>
      </w:r>
      <w:r w:rsidRPr="003E6456">
        <w:rPr>
          <w:rFonts w:ascii="Palatino Linotype" w:hAnsi="Palatino Linotype" w:cs="Arial"/>
          <w:sz w:val="26"/>
          <w:szCs w:val="26"/>
        </w:rPr>
        <w:t xml:space="preserve">: </w:t>
      </w:r>
      <w:r w:rsidRPr="003E6456">
        <w:rPr>
          <w:rFonts w:ascii="Palatino Linotype" w:eastAsiaTheme="minorHAnsi" w:hAnsi="Palatino Linotype" w:cs="Arial"/>
          <w:i/>
          <w:sz w:val="22"/>
          <w:szCs w:val="22"/>
          <w:lang w:val="es-MX" w:eastAsia="en-US"/>
        </w:rPr>
        <w:t>“</w:t>
      </w:r>
      <w:r w:rsidR="005803C9" w:rsidRPr="003E6456">
        <w:rPr>
          <w:rFonts w:ascii="Palatino Linotype" w:eastAsiaTheme="minorHAnsi" w:hAnsi="Palatino Linotype" w:cstheme="minorBidi"/>
          <w:i/>
          <w:color w:val="000000"/>
          <w:sz w:val="22"/>
          <w:szCs w:val="22"/>
          <w:lang w:val="es-MX" w:eastAsia="en-US"/>
        </w:rPr>
        <w:t>no entregan lo solicitado vía saimex, a demás le recuerdo a la encargada de transparencia que según el articulo 161 el direccionamiento a ipomex no debe demorar mas de 5 días hábiles, le sugiero se ponga a estudiar</w:t>
      </w:r>
      <w:r w:rsidRPr="003E6456">
        <w:rPr>
          <w:rFonts w:ascii="Palatino Linotype" w:eastAsiaTheme="minorHAnsi" w:hAnsi="Palatino Linotype" w:cstheme="minorBidi"/>
          <w:i/>
          <w:color w:val="000000"/>
          <w:sz w:val="22"/>
          <w:szCs w:val="22"/>
          <w:lang w:val="es-MX" w:eastAsia="en-US"/>
        </w:rPr>
        <w:t>” (Sic)</w:t>
      </w:r>
    </w:p>
    <w:p w14:paraId="1F27091E" w14:textId="77777777" w:rsidR="004309A2" w:rsidRPr="003E6456" w:rsidRDefault="004309A2" w:rsidP="0029071C">
      <w:pPr>
        <w:spacing w:line="360" w:lineRule="auto"/>
        <w:jc w:val="both"/>
        <w:rPr>
          <w:rFonts w:ascii="Palatino Linotype" w:eastAsiaTheme="minorHAnsi" w:hAnsi="Palatino Linotype" w:cs="Arial"/>
          <w:b/>
          <w:lang w:val="es-MX" w:eastAsia="en-US"/>
        </w:rPr>
      </w:pPr>
    </w:p>
    <w:p w14:paraId="37958889" w14:textId="77777777" w:rsidR="0029071C" w:rsidRPr="003E6456" w:rsidRDefault="00CC0B81" w:rsidP="0029071C">
      <w:pPr>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CUAR</w:t>
      </w:r>
      <w:r w:rsidR="00B250D7" w:rsidRPr="003E6456">
        <w:rPr>
          <w:rFonts w:ascii="Palatino Linotype" w:eastAsiaTheme="minorHAnsi" w:hAnsi="Palatino Linotype" w:cs="Arial"/>
          <w:b/>
          <w:sz w:val="28"/>
          <w:lang w:val="es-MX" w:eastAsia="en-US"/>
        </w:rPr>
        <w:t>T</w:t>
      </w:r>
      <w:r w:rsidR="0029071C" w:rsidRPr="003E6456">
        <w:rPr>
          <w:rFonts w:ascii="Palatino Linotype" w:eastAsiaTheme="minorHAnsi" w:hAnsi="Palatino Linotype" w:cs="Arial"/>
          <w:b/>
          <w:sz w:val="28"/>
          <w:lang w:val="es-MX" w:eastAsia="en-US"/>
        </w:rPr>
        <w:t>O. Del turno del recurso de revisión.</w:t>
      </w:r>
    </w:p>
    <w:p w14:paraId="7EA3B1ED" w14:textId="129D3402" w:rsidR="00B250D7" w:rsidRPr="003E6456" w:rsidRDefault="0029071C" w:rsidP="00DC1583">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Medio de impugnación </w:t>
      </w:r>
      <w:r w:rsidR="00E74701" w:rsidRPr="003E6456">
        <w:rPr>
          <w:rFonts w:ascii="Palatino Linotype" w:eastAsiaTheme="minorHAnsi" w:hAnsi="Palatino Linotype" w:cs="Arial"/>
          <w:lang w:val="es-MX" w:eastAsia="en-US"/>
        </w:rPr>
        <w:t>que le fue turnado al</w:t>
      </w:r>
      <w:r w:rsidRPr="003E6456">
        <w:rPr>
          <w:rFonts w:ascii="Palatino Linotype" w:eastAsiaTheme="minorHAnsi" w:hAnsi="Palatino Linotype" w:cs="Arial"/>
          <w:lang w:val="es-MX" w:eastAsia="en-US"/>
        </w:rPr>
        <w:t xml:space="preserve"> </w:t>
      </w:r>
      <w:r w:rsidR="00E74701" w:rsidRPr="003E6456">
        <w:rPr>
          <w:rFonts w:ascii="Palatino Linotype" w:eastAsiaTheme="minorHAnsi" w:hAnsi="Palatino Linotype" w:cs="Arial"/>
          <w:lang w:val="es-MX" w:eastAsia="en-US"/>
        </w:rPr>
        <w:t>Comisionado Presidente</w:t>
      </w:r>
      <w:r w:rsidRPr="003E6456">
        <w:rPr>
          <w:rFonts w:ascii="Palatino Linotype" w:eastAsiaTheme="minorHAnsi" w:hAnsi="Palatino Linotype" w:cs="Arial"/>
          <w:lang w:val="es-MX" w:eastAsia="en-US"/>
        </w:rPr>
        <w:t xml:space="preserve"> </w:t>
      </w:r>
      <w:r w:rsidR="00E74701" w:rsidRPr="003E6456">
        <w:rPr>
          <w:rFonts w:ascii="Palatino Linotype" w:eastAsiaTheme="minorHAnsi" w:hAnsi="Palatino Linotype" w:cs="Arial"/>
          <w:b/>
          <w:lang w:val="es-MX" w:eastAsia="en-US"/>
        </w:rPr>
        <w:t>José Martínez Vilchis</w:t>
      </w:r>
      <w:r w:rsidRPr="003E645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D25E0" w:rsidRPr="003E6456">
        <w:rPr>
          <w:rFonts w:ascii="Palatino Linotype" w:eastAsiaTheme="minorHAnsi" w:hAnsi="Palatino Linotype" w:cs="Arial"/>
          <w:lang w:val="es-MX" w:eastAsia="en-US"/>
        </w:rPr>
        <w:t>veint</w:t>
      </w:r>
      <w:r w:rsidR="005803C9" w:rsidRPr="003E6456">
        <w:rPr>
          <w:rFonts w:ascii="Palatino Linotype" w:eastAsiaTheme="minorHAnsi" w:hAnsi="Palatino Linotype" w:cs="Arial"/>
          <w:lang w:val="es-MX" w:eastAsia="en-US"/>
        </w:rPr>
        <w:t>iséis</w:t>
      </w:r>
      <w:r w:rsidR="00266841" w:rsidRPr="003E6456">
        <w:rPr>
          <w:rFonts w:ascii="Palatino Linotype" w:eastAsiaTheme="minorHAnsi" w:hAnsi="Palatino Linotype" w:cs="Arial"/>
          <w:lang w:val="es-MX" w:eastAsia="en-US"/>
        </w:rPr>
        <w:t xml:space="preserve"> de </w:t>
      </w:r>
      <w:r w:rsidR="005803C9" w:rsidRPr="003E6456">
        <w:rPr>
          <w:rFonts w:ascii="Palatino Linotype" w:eastAsiaTheme="minorHAnsi" w:hAnsi="Palatino Linotype" w:cs="Arial"/>
          <w:lang w:val="es-MX" w:eastAsia="en-US"/>
        </w:rPr>
        <w:t>mayo</w:t>
      </w:r>
      <w:r w:rsidR="00BA27FC" w:rsidRPr="003E6456">
        <w:rPr>
          <w:rFonts w:ascii="Palatino Linotype" w:eastAsiaTheme="minorHAnsi" w:hAnsi="Palatino Linotype" w:cs="Arial"/>
          <w:lang w:val="es-MX" w:eastAsia="en-US"/>
        </w:rPr>
        <w:t xml:space="preserve"> de</w:t>
      </w:r>
      <w:r w:rsidRPr="003E6456">
        <w:rPr>
          <w:rFonts w:ascii="Palatino Linotype" w:eastAsiaTheme="minorHAnsi" w:hAnsi="Palatino Linotype" w:cs="Arial"/>
          <w:lang w:val="es-MX" w:eastAsia="en-US"/>
        </w:rPr>
        <w:t xml:space="preserve"> </w:t>
      </w:r>
      <w:r w:rsidR="00A31156" w:rsidRPr="003E6456">
        <w:rPr>
          <w:rFonts w:ascii="Palatino Linotype" w:eastAsiaTheme="minorHAnsi" w:hAnsi="Palatino Linotype" w:cs="Arial"/>
          <w:lang w:val="es-MX" w:eastAsia="en-US"/>
        </w:rPr>
        <w:t>dos mil veintitrés</w:t>
      </w:r>
      <w:r w:rsidRPr="003E645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3E6456" w:rsidRDefault="00BA27FC" w:rsidP="00DC1583">
      <w:pPr>
        <w:spacing w:line="360" w:lineRule="auto"/>
        <w:jc w:val="both"/>
        <w:rPr>
          <w:rFonts w:ascii="Palatino Linotype" w:eastAsiaTheme="minorHAnsi" w:hAnsi="Palatino Linotype" w:cs="Arial"/>
          <w:lang w:val="es-MX" w:eastAsia="en-US"/>
        </w:rPr>
      </w:pPr>
    </w:p>
    <w:p w14:paraId="08BF4F10" w14:textId="77777777" w:rsidR="0029071C" w:rsidRPr="003E6456" w:rsidRDefault="00CC0B81" w:rsidP="0029071C">
      <w:pPr>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QUIN</w:t>
      </w:r>
      <w:r w:rsidR="00B250D7" w:rsidRPr="003E6456">
        <w:rPr>
          <w:rFonts w:ascii="Palatino Linotype" w:eastAsiaTheme="minorHAnsi" w:hAnsi="Palatino Linotype" w:cs="Arial"/>
          <w:b/>
          <w:sz w:val="28"/>
          <w:lang w:val="es-MX" w:eastAsia="en-US"/>
        </w:rPr>
        <w:t>T</w:t>
      </w:r>
      <w:r w:rsidR="0029071C" w:rsidRPr="003E6456">
        <w:rPr>
          <w:rFonts w:ascii="Palatino Linotype" w:eastAsiaTheme="minorHAnsi" w:hAnsi="Palatino Linotype" w:cs="Arial"/>
          <w:b/>
          <w:sz w:val="28"/>
          <w:lang w:val="es-MX" w:eastAsia="en-US"/>
        </w:rPr>
        <w:t>O. De la etapa de manifestaciones y/o alegatos.</w:t>
      </w:r>
    </w:p>
    <w:p w14:paraId="2E48CB51" w14:textId="261C4ECC" w:rsidR="00574FDC" w:rsidRPr="003E6456" w:rsidRDefault="00CF1DF5" w:rsidP="001762FA">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U</w:t>
      </w:r>
      <w:r w:rsidR="0029071C" w:rsidRPr="003E6456">
        <w:rPr>
          <w:rFonts w:ascii="Palatino Linotype" w:eastAsiaTheme="minorHAnsi" w:hAnsi="Palatino Linotype" w:cs="Arial"/>
          <w:lang w:val="es-MX" w:eastAsia="en-US"/>
        </w:rPr>
        <w:t>na vez transcurrido el término legal referido se destaca que</w:t>
      </w:r>
      <w:r w:rsidR="00267458" w:rsidRPr="003E6456">
        <w:rPr>
          <w:rFonts w:ascii="Palatino Linotype" w:eastAsiaTheme="minorHAnsi" w:hAnsi="Palatino Linotype" w:cs="Arial"/>
          <w:lang w:val="es-MX" w:eastAsia="en-US"/>
        </w:rPr>
        <w:t>,</w:t>
      </w:r>
      <w:r w:rsidR="004309A2" w:rsidRPr="003E6456">
        <w:rPr>
          <w:rFonts w:ascii="Palatino Linotype" w:eastAsiaTheme="minorHAnsi" w:hAnsi="Palatino Linotype" w:cs="Arial"/>
          <w:lang w:val="es-MX" w:eastAsia="en-US"/>
        </w:rPr>
        <w:t xml:space="preserve"> </w:t>
      </w:r>
      <w:r w:rsidR="0029071C" w:rsidRPr="003E6456">
        <w:rPr>
          <w:rFonts w:ascii="Palatino Linotype" w:eastAsiaTheme="minorHAnsi" w:hAnsi="Palatino Linotype" w:cs="Arial"/>
          <w:b/>
          <w:lang w:val="es-MX" w:eastAsia="en-US"/>
        </w:rPr>
        <w:t>El Sujeto Obligado</w:t>
      </w:r>
      <w:r w:rsidR="0029071C" w:rsidRPr="003E6456">
        <w:rPr>
          <w:rFonts w:ascii="Palatino Linotype" w:eastAsiaTheme="minorHAnsi" w:hAnsi="Palatino Linotype" w:cs="Arial"/>
          <w:lang w:val="es-MX" w:eastAsia="en-US"/>
        </w:rPr>
        <w:t xml:space="preserve"> </w:t>
      </w:r>
      <w:r w:rsidR="0033795E" w:rsidRPr="003E6456">
        <w:rPr>
          <w:rFonts w:ascii="Palatino Linotype" w:eastAsiaTheme="minorHAnsi" w:hAnsi="Palatino Linotype" w:cs="Arial"/>
          <w:lang w:val="es-MX" w:eastAsia="en-US"/>
        </w:rPr>
        <w:t>ri</w:t>
      </w:r>
      <w:r w:rsidR="00A31156" w:rsidRPr="003E6456">
        <w:rPr>
          <w:rFonts w:ascii="Palatino Linotype" w:eastAsiaTheme="minorHAnsi" w:hAnsi="Palatino Linotype" w:cs="Arial"/>
          <w:lang w:val="es-MX" w:eastAsia="en-US"/>
        </w:rPr>
        <w:t>ndi</w:t>
      </w:r>
      <w:r w:rsidR="005803C9" w:rsidRPr="003E6456">
        <w:rPr>
          <w:rFonts w:ascii="Palatino Linotype" w:eastAsiaTheme="minorHAnsi" w:hAnsi="Palatino Linotype" w:cs="Arial"/>
          <w:lang w:val="es-MX" w:eastAsia="en-US"/>
        </w:rPr>
        <w:t xml:space="preserve">ó </w:t>
      </w:r>
      <w:r w:rsidR="00267458" w:rsidRPr="003E6456">
        <w:rPr>
          <w:rFonts w:ascii="Palatino Linotype" w:eastAsiaTheme="minorHAnsi" w:hAnsi="Palatino Linotype" w:cs="Arial"/>
          <w:lang w:val="es-MX" w:eastAsia="en-US"/>
        </w:rPr>
        <w:t xml:space="preserve">su </w:t>
      </w:r>
      <w:r w:rsidR="00BA27FC" w:rsidRPr="003E6456">
        <w:rPr>
          <w:rFonts w:ascii="Palatino Linotype" w:eastAsiaTheme="minorHAnsi" w:hAnsi="Palatino Linotype" w:cs="Arial"/>
          <w:lang w:val="es-MX" w:eastAsia="en-US"/>
        </w:rPr>
        <w:t>informe justificado</w:t>
      </w:r>
      <w:r w:rsidR="005803C9" w:rsidRPr="003E6456">
        <w:rPr>
          <w:rFonts w:ascii="Palatino Linotype" w:eastAsiaTheme="minorHAnsi" w:hAnsi="Palatino Linotype" w:cs="Arial"/>
          <w:lang w:val="es-MX" w:eastAsia="en-US"/>
        </w:rPr>
        <w:t xml:space="preserve"> en fecha uno de junio de dos mil </w:t>
      </w:r>
      <w:r w:rsidR="00E90222" w:rsidRPr="003E6456">
        <w:rPr>
          <w:rFonts w:ascii="Palatino Linotype" w:eastAsiaTheme="minorHAnsi" w:hAnsi="Palatino Linotype" w:cs="Arial"/>
          <w:lang w:val="es-MX" w:eastAsia="en-US"/>
        </w:rPr>
        <w:t xml:space="preserve">veintitrés mediante los archivos electrónicos denominados </w:t>
      </w:r>
      <w:r w:rsidR="00E90222" w:rsidRPr="003E6456">
        <w:rPr>
          <w:rFonts w:ascii="Palatino Linotype" w:eastAsiaTheme="minorHAnsi" w:hAnsi="Palatino Linotype" w:cs="Arial"/>
          <w:i/>
          <w:iCs/>
          <w:lang w:val="es-MX" w:eastAsia="en-US"/>
        </w:rPr>
        <w:t>“OFICIO 5454 PENSIONES.pdf”</w:t>
      </w:r>
      <w:r w:rsidR="00E90222" w:rsidRPr="003E6456">
        <w:rPr>
          <w:rFonts w:ascii="Palatino Linotype" w:eastAsiaTheme="minorHAnsi" w:hAnsi="Palatino Linotype" w:cs="Arial"/>
          <w:lang w:val="es-MX" w:eastAsia="en-US"/>
        </w:rPr>
        <w:t xml:space="preserve">, </w:t>
      </w:r>
      <w:r w:rsidR="00E90222" w:rsidRPr="003E6456">
        <w:rPr>
          <w:rFonts w:ascii="Palatino Linotype" w:eastAsiaTheme="minorHAnsi" w:hAnsi="Palatino Linotype" w:cs="Arial"/>
          <w:i/>
          <w:iCs/>
          <w:lang w:val="es-MX" w:eastAsia="en-US"/>
        </w:rPr>
        <w:t>“OFICIO 6000 PENSIONES.pdf”</w:t>
      </w:r>
      <w:r w:rsidR="00E90222" w:rsidRPr="003E6456">
        <w:rPr>
          <w:rFonts w:ascii="Palatino Linotype" w:eastAsiaTheme="minorHAnsi" w:hAnsi="Palatino Linotype" w:cs="Arial"/>
          <w:lang w:val="es-MX" w:eastAsia="en-US"/>
        </w:rPr>
        <w:t xml:space="preserve">, </w:t>
      </w:r>
      <w:r w:rsidR="00E90222" w:rsidRPr="003E6456">
        <w:rPr>
          <w:rFonts w:ascii="Palatino Linotype" w:eastAsiaTheme="minorHAnsi" w:hAnsi="Palatino Linotype" w:cs="Arial"/>
          <w:i/>
          <w:iCs/>
          <w:lang w:val="es-MX" w:eastAsia="en-US"/>
        </w:rPr>
        <w:t>“INFORME JUSTIFICADO 376.IP.pdf”</w:t>
      </w:r>
      <w:r w:rsidR="00E90222" w:rsidRPr="003E6456">
        <w:rPr>
          <w:rFonts w:ascii="Palatino Linotype" w:eastAsiaTheme="minorHAnsi" w:hAnsi="Palatino Linotype" w:cs="Arial"/>
          <w:lang w:val="es-MX" w:eastAsia="en-US"/>
        </w:rPr>
        <w:t xml:space="preserve"> y </w:t>
      </w:r>
      <w:r w:rsidR="00E90222" w:rsidRPr="003E6456">
        <w:rPr>
          <w:rFonts w:ascii="Palatino Linotype" w:eastAsiaTheme="minorHAnsi" w:hAnsi="Palatino Linotype" w:cs="Arial"/>
          <w:i/>
          <w:iCs/>
          <w:lang w:val="es-MX" w:eastAsia="en-US"/>
        </w:rPr>
        <w:t>“OFICIO 802 UT.pdf”</w:t>
      </w:r>
      <w:r w:rsidR="00574FDC" w:rsidRPr="003E6456">
        <w:rPr>
          <w:rFonts w:ascii="Palatino Linotype" w:eastAsiaTheme="minorHAnsi" w:hAnsi="Palatino Linotype" w:cs="Arial"/>
          <w:lang w:val="es-MX" w:eastAsia="en-US"/>
        </w:rPr>
        <w:t>;</w:t>
      </w:r>
      <w:r w:rsidR="00AE78CA" w:rsidRPr="003E6456">
        <w:rPr>
          <w:rFonts w:ascii="Palatino Linotype" w:eastAsiaTheme="minorHAnsi" w:hAnsi="Palatino Linotype" w:cs="Arial"/>
          <w:lang w:val="es-MX" w:eastAsia="en-US"/>
        </w:rPr>
        <w:t xml:space="preserve"> </w:t>
      </w:r>
      <w:r w:rsidR="00E90222" w:rsidRPr="003E6456">
        <w:rPr>
          <w:rFonts w:ascii="Palatino Linotype" w:eastAsiaTheme="minorHAnsi" w:hAnsi="Palatino Linotype" w:cs="Arial"/>
          <w:lang w:val="es-MX" w:eastAsia="en-US"/>
        </w:rPr>
        <w:t xml:space="preserve">mismos que se pusieron al avista del particular mediante el Acuerdo de fecha siete de junio del año en curso; </w:t>
      </w:r>
      <w:r w:rsidR="002D6E4B" w:rsidRPr="003E6456">
        <w:rPr>
          <w:rFonts w:ascii="Palatino Linotype" w:eastAsiaTheme="minorHAnsi" w:hAnsi="Palatino Linotype" w:cs="Arial"/>
          <w:lang w:val="es-MX" w:eastAsia="en-US"/>
        </w:rPr>
        <w:t>asimismo</w:t>
      </w:r>
      <w:r w:rsidR="00267458" w:rsidRPr="003E6456">
        <w:rPr>
          <w:rFonts w:ascii="Palatino Linotype" w:eastAsiaTheme="minorHAnsi" w:hAnsi="Palatino Linotype" w:cs="Arial"/>
          <w:lang w:val="es-MX" w:eastAsia="en-US"/>
        </w:rPr>
        <w:t>,</w:t>
      </w:r>
      <w:r w:rsidR="00B96A17" w:rsidRPr="003E6456">
        <w:rPr>
          <w:rFonts w:ascii="Palatino Linotype" w:eastAsiaTheme="minorHAnsi" w:hAnsi="Palatino Linotype" w:cs="Arial"/>
          <w:lang w:val="es-MX" w:eastAsia="en-US"/>
        </w:rPr>
        <w:t xml:space="preserve"> se aprecia que</w:t>
      </w:r>
      <w:r w:rsidR="002D6E4B" w:rsidRPr="003E6456">
        <w:rPr>
          <w:rFonts w:ascii="Palatino Linotype" w:eastAsiaTheme="minorHAnsi" w:hAnsi="Palatino Linotype" w:cs="Arial"/>
          <w:lang w:val="es-MX" w:eastAsia="en-US"/>
        </w:rPr>
        <w:t xml:space="preserve"> la </w:t>
      </w:r>
      <w:r w:rsidR="0029071C" w:rsidRPr="003E6456">
        <w:rPr>
          <w:rFonts w:ascii="Palatino Linotype" w:eastAsiaTheme="minorHAnsi" w:hAnsi="Palatino Linotype" w:cs="Arial"/>
          <w:lang w:val="es-MX" w:eastAsia="en-US"/>
        </w:rPr>
        <w:t xml:space="preserve">parte </w:t>
      </w:r>
      <w:r w:rsidR="0029071C" w:rsidRPr="003E6456">
        <w:rPr>
          <w:rFonts w:ascii="Palatino Linotype" w:eastAsiaTheme="minorHAnsi" w:hAnsi="Palatino Linotype" w:cs="Arial"/>
          <w:b/>
          <w:lang w:val="es-MX" w:eastAsia="en-US"/>
        </w:rPr>
        <w:t>Recurrente</w:t>
      </w:r>
      <w:r w:rsidR="0029071C" w:rsidRPr="003E6456">
        <w:rPr>
          <w:rFonts w:ascii="Palatino Linotype" w:eastAsiaTheme="minorHAnsi" w:hAnsi="Palatino Linotype" w:cs="Arial"/>
          <w:lang w:val="es-MX" w:eastAsia="en-US"/>
        </w:rPr>
        <w:t xml:space="preserve"> </w:t>
      </w:r>
      <w:r w:rsidR="005803C9" w:rsidRPr="003E6456">
        <w:rPr>
          <w:rFonts w:ascii="Palatino Linotype" w:eastAsiaTheme="minorHAnsi" w:hAnsi="Palatino Linotype" w:cs="Arial"/>
          <w:lang w:val="es-MX" w:eastAsia="en-US"/>
        </w:rPr>
        <w:t xml:space="preserve">no emitió alegatos, </w:t>
      </w:r>
      <w:r w:rsidR="00E90222" w:rsidRPr="003E6456">
        <w:rPr>
          <w:rFonts w:ascii="Palatino Linotype" w:eastAsiaTheme="minorHAnsi" w:hAnsi="Palatino Linotype" w:cs="Arial"/>
          <w:lang w:val="es-MX" w:eastAsia="en-US"/>
        </w:rPr>
        <w:t>pruebas o manifestación alguna</w:t>
      </w:r>
      <w:r w:rsidR="001762FA" w:rsidRPr="003E6456">
        <w:rPr>
          <w:rFonts w:ascii="Palatino Linotype" w:eastAsiaTheme="minorHAnsi" w:hAnsi="Palatino Linotype" w:cs="Arial"/>
          <w:lang w:val="es-MX" w:eastAsia="en-US"/>
        </w:rPr>
        <w:t>,</w:t>
      </w:r>
      <w:r w:rsidR="0029071C" w:rsidRPr="003E6456">
        <w:rPr>
          <w:rFonts w:ascii="Palatino Linotype" w:eastAsiaTheme="minorHAnsi" w:hAnsi="Palatino Linotype" w:cs="Arial"/>
          <w:lang w:val="es-MX" w:eastAsia="en-US"/>
        </w:rPr>
        <w:t xml:space="preserve"> lo anterior de conformidad con la siguiente imagen</w:t>
      </w:r>
      <w:r w:rsidR="00E74701" w:rsidRPr="003E6456">
        <w:rPr>
          <w:rFonts w:ascii="Palatino Linotype" w:eastAsiaTheme="minorHAnsi" w:hAnsi="Palatino Linotype" w:cs="Arial"/>
          <w:lang w:val="es-MX" w:eastAsia="en-US"/>
        </w:rPr>
        <w:t>:</w:t>
      </w:r>
    </w:p>
    <w:p w14:paraId="39ACA63D" w14:textId="58107A2B" w:rsidR="00267458" w:rsidRPr="003E6456" w:rsidRDefault="00267458" w:rsidP="00A26BD8">
      <w:pPr>
        <w:spacing w:line="360" w:lineRule="auto"/>
        <w:jc w:val="both"/>
        <w:rPr>
          <w:rFonts w:ascii="Palatino Linotype" w:eastAsiaTheme="minorHAnsi" w:hAnsi="Palatino Linotype" w:cs="Arial"/>
          <w:noProof/>
          <w:lang w:val="es-MX" w:eastAsia="es-MX"/>
        </w:rPr>
      </w:pPr>
    </w:p>
    <w:p w14:paraId="2F723466" w14:textId="77777777" w:rsidR="0029071C" w:rsidRPr="003E6456"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SEXT</w:t>
      </w:r>
      <w:r w:rsidR="0029071C" w:rsidRPr="003E6456">
        <w:rPr>
          <w:rFonts w:ascii="Palatino Linotype" w:eastAsiaTheme="minorHAnsi" w:hAnsi="Palatino Linotype" w:cs="Arial"/>
          <w:b/>
          <w:sz w:val="28"/>
          <w:lang w:val="es-MX" w:eastAsia="en-US"/>
        </w:rPr>
        <w:t>O. Del cierre de instrucción.</w:t>
      </w:r>
      <w:r w:rsidR="0029071C" w:rsidRPr="003E6456">
        <w:rPr>
          <w:rFonts w:ascii="Palatino Linotype" w:eastAsiaTheme="minorHAnsi" w:hAnsi="Palatino Linotype" w:cs="Arial"/>
          <w:b/>
          <w:sz w:val="28"/>
          <w:lang w:val="es-MX" w:eastAsia="en-US"/>
        </w:rPr>
        <w:tab/>
      </w:r>
    </w:p>
    <w:p w14:paraId="4B50F669" w14:textId="68DD2440" w:rsidR="00CC0B81" w:rsidRPr="003E6456" w:rsidRDefault="0029071C" w:rsidP="0029071C">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Así, una vez transcurrido el término legal, </w:t>
      </w:r>
      <w:r w:rsidR="00DC1583" w:rsidRPr="003E6456">
        <w:rPr>
          <w:rFonts w:ascii="Palatino Linotype" w:eastAsiaTheme="minorHAnsi" w:hAnsi="Palatino Linotype" w:cs="Arial"/>
          <w:lang w:val="es-MX" w:eastAsia="en-US"/>
        </w:rPr>
        <w:t>permitió decretarse</w:t>
      </w:r>
      <w:r w:rsidRPr="003E6456">
        <w:rPr>
          <w:rFonts w:ascii="Palatino Linotype" w:eastAsiaTheme="minorHAnsi" w:hAnsi="Palatino Linotype" w:cs="Arial"/>
          <w:lang w:val="es-MX" w:eastAsia="en-US"/>
        </w:rPr>
        <w:t xml:space="preserve"> el cierre de instrucción en fecha </w:t>
      </w:r>
      <w:r w:rsidR="00E90222" w:rsidRPr="003E6456">
        <w:rPr>
          <w:rFonts w:ascii="Palatino Linotype" w:eastAsiaTheme="minorHAnsi" w:hAnsi="Palatino Linotype" w:cs="Arial"/>
          <w:lang w:val="es-MX" w:eastAsia="en-US"/>
        </w:rPr>
        <w:t>trece de junio</w:t>
      </w:r>
      <w:r w:rsidR="00266841" w:rsidRPr="003E6456">
        <w:rPr>
          <w:rFonts w:ascii="Palatino Linotype" w:eastAsiaTheme="minorHAnsi" w:hAnsi="Palatino Linotype" w:cs="Arial"/>
          <w:lang w:val="es-MX" w:eastAsia="en-US"/>
        </w:rPr>
        <w:t xml:space="preserve"> </w:t>
      </w:r>
      <w:r w:rsidR="00A31156" w:rsidRPr="003E6456">
        <w:rPr>
          <w:rFonts w:ascii="Palatino Linotype" w:eastAsiaTheme="minorHAnsi" w:hAnsi="Palatino Linotype" w:cs="Arial"/>
          <w:lang w:val="es-MX" w:eastAsia="en-US"/>
        </w:rPr>
        <w:t>de dos mil veintitrés</w:t>
      </w:r>
      <w:r w:rsidRPr="003E6456">
        <w:rPr>
          <w:rFonts w:ascii="Palatino Linotype" w:eastAsiaTheme="minorHAnsi" w:hAnsi="Palatino Linotype" w:cs="Arial"/>
          <w:lang w:val="es-MX" w:eastAsia="en-US"/>
        </w:rPr>
        <w:t xml:space="preserve">, en términos del artículo 185, Fracción VI, </w:t>
      </w:r>
      <w:r w:rsidRPr="003E6456">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7C09ED50" w14:textId="77777777" w:rsidR="001762FA" w:rsidRPr="003E6456" w:rsidRDefault="001762FA" w:rsidP="00CC0B81">
      <w:pPr>
        <w:spacing w:line="360" w:lineRule="auto"/>
        <w:rPr>
          <w:rFonts w:ascii="Palatino Linotype" w:eastAsiaTheme="minorHAnsi" w:hAnsi="Palatino Linotype" w:cstheme="minorBidi"/>
          <w:b/>
          <w:szCs w:val="26"/>
          <w:lang w:val="es-MX" w:eastAsia="en-US"/>
        </w:rPr>
      </w:pPr>
    </w:p>
    <w:p w14:paraId="23E207BB" w14:textId="77777777" w:rsidR="00CC0B81" w:rsidRPr="003E6456" w:rsidRDefault="00CC0B81" w:rsidP="00CC0B81">
      <w:pPr>
        <w:spacing w:line="360" w:lineRule="auto"/>
        <w:rPr>
          <w:rFonts w:ascii="Palatino Linotype" w:eastAsiaTheme="minorHAnsi" w:hAnsi="Palatino Linotype" w:cstheme="minorBidi"/>
          <w:b/>
          <w:sz w:val="28"/>
          <w:szCs w:val="26"/>
          <w:lang w:val="es-MX" w:eastAsia="en-US"/>
        </w:rPr>
      </w:pPr>
      <w:r w:rsidRPr="003E6456">
        <w:rPr>
          <w:rFonts w:ascii="Palatino Linotype" w:eastAsiaTheme="minorHAnsi" w:hAnsi="Palatino Linotype" w:cstheme="minorBidi"/>
          <w:b/>
          <w:sz w:val="28"/>
          <w:szCs w:val="26"/>
          <w:lang w:val="es-MX" w:eastAsia="en-US"/>
        </w:rPr>
        <w:t>SÉPTIMO. De la ampliación del término para resolver.</w:t>
      </w:r>
    </w:p>
    <w:p w14:paraId="314F598A" w14:textId="0EE85EA6"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 xml:space="preserve">En fecha </w:t>
      </w:r>
      <w:r w:rsidR="00E90222" w:rsidRPr="003E6456">
        <w:rPr>
          <w:rFonts w:ascii="Palatino Linotype" w:hAnsi="Palatino Linotype"/>
          <w:lang w:val="es-MX"/>
        </w:rPr>
        <w:t>siete de julio</w:t>
      </w:r>
      <w:r w:rsidR="00A31156" w:rsidRPr="003E6456">
        <w:rPr>
          <w:rFonts w:ascii="Palatino Linotype" w:hAnsi="Palatino Linotype"/>
          <w:lang w:val="es-MX"/>
        </w:rPr>
        <w:t xml:space="preserve"> de dos mil veintitrés</w:t>
      </w:r>
      <w:r w:rsidRPr="003E6456">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3E6456" w:rsidRDefault="00CC0B81" w:rsidP="00CC0B81">
      <w:pPr>
        <w:spacing w:line="360" w:lineRule="auto"/>
        <w:jc w:val="both"/>
        <w:rPr>
          <w:rFonts w:ascii="Palatino Linotype" w:hAnsi="Palatino Linotype"/>
          <w:lang w:val="es-MX"/>
        </w:rPr>
      </w:pPr>
    </w:p>
    <w:p w14:paraId="237A6D7C"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 xml:space="preserve">Este organismo garante no pasa por alto justificar, </w:t>
      </w:r>
      <w:r w:rsidRPr="003E6456">
        <w:rPr>
          <w:rFonts w:ascii="Palatino Linotype" w:hAnsi="Palatino Linotype"/>
          <w:bCs/>
          <w:lang w:val="es-MX"/>
        </w:rPr>
        <w:t xml:space="preserve">que el plazo para emitir resolución en el presente asunto </w:t>
      </w:r>
      <w:r w:rsidRPr="003E6456">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3E6456" w:rsidRDefault="00CC0B81" w:rsidP="00CC0B81">
      <w:pPr>
        <w:spacing w:line="360" w:lineRule="auto"/>
        <w:jc w:val="both"/>
        <w:rPr>
          <w:rFonts w:ascii="Palatino Linotype" w:hAnsi="Palatino Linotype"/>
          <w:lang w:val="es-MX"/>
        </w:rPr>
      </w:pPr>
    </w:p>
    <w:p w14:paraId="2D5EA57B"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 xml:space="preserve">Por ello, es menester precisar que si bien se ha excedido el plazo para resolver el presente medio de impugnación, de conformidad con la ley de la materia, </w:t>
      </w:r>
      <w:r w:rsidRPr="003E6456">
        <w:rPr>
          <w:rFonts w:ascii="Palatino Linotype" w:hAnsi="Palatino Linotype"/>
          <w:bCs/>
          <w:lang w:val="es-MX"/>
        </w:rPr>
        <w:t>el plazo para emitir resolución</w:t>
      </w:r>
      <w:r w:rsidRPr="003E6456">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3E6456" w:rsidRDefault="00CC0B81" w:rsidP="00CC0B81">
      <w:pPr>
        <w:spacing w:line="360" w:lineRule="auto"/>
        <w:jc w:val="both"/>
        <w:rPr>
          <w:rFonts w:ascii="Palatino Linotype" w:hAnsi="Palatino Linotype"/>
          <w:lang w:val="es-MX"/>
        </w:rPr>
      </w:pPr>
    </w:p>
    <w:p w14:paraId="2F8EB20F"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1AD56" w14:textId="77777777" w:rsidR="001762FA" w:rsidRPr="003E6456" w:rsidRDefault="001762FA" w:rsidP="00CC0B81">
      <w:pPr>
        <w:spacing w:line="360" w:lineRule="auto"/>
        <w:jc w:val="both"/>
        <w:rPr>
          <w:rFonts w:ascii="Palatino Linotype" w:hAnsi="Palatino Linotype"/>
          <w:lang w:val="es-MX"/>
        </w:rPr>
      </w:pPr>
    </w:p>
    <w:p w14:paraId="28738573"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3E6456" w:rsidRDefault="00CC0B81" w:rsidP="00CC0B81">
      <w:pPr>
        <w:spacing w:line="360" w:lineRule="auto"/>
        <w:jc w:val="both"/>
        <w:rPr>
          <w:rFonts w:ascii="Palatino Linotype" w:hAnsi="Palatino Linotype"/>
          <w:lang w:val="es-MX"/>
        </w:rPr>
      </w:pPr>
    </w:p>
    <w:p w14:paraId="2FFE10A3"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3E6456" w:rsidRDefault="00CC0B81" w:rsidP="00CC0B81">
      <w:pPr>
        <w:spacing w:line="360" w:lineRule="auto"/>
        <w:jc w:val="both"/>
        <w:rPr>
          <w:rFonts w:ascii="Palatino Linotype" w:hAnsi="Palatino Linotype"/>
          <w:lang w:val="es-MX"/>
        </w:rPr>
      </w:pPr>
    </w:p>
    <w:p w14:paraId="2DBC64CC"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b)     Actividad Procesal del interesado: Acciones u omisiones del interesado.</w:t>
      </w:r>
    </w:p>
    <w:p w14:paraId="05446E37"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3E6456" w:rsidRDefault="00CC0B81" w:rsidP="00CC0B81">
      <w:pPr>
        <w:spacing w:line="360" w:lineRule="auto"/>
        <w:jc w:val="both"/>
        <w:rPr>
          <w:rFonts w:ascii="Palatino Linotype" w:hAnsi="Palatino Linotype"/>
          <w:lang w:val="es-MX"/>
        </w:rPr>
      </w:pPr>
    </w:p>
    <w:p w14:paraId="21CB838C"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3E6456">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14:paraId="17824603" w14:textId="77777777" w:rsidR="00CC0B81" w:rsidRPr="003E6456" w:rsidRDefault="00CC0B81" w:rsidP="00CC0B81">
      <w:pPr>
        <w:spacing w:line="360" w:lineRule="auto"/>
        <w:jc w:val="both"/>
        <w:rPr>
          <w:rFonts w:ascii="Palatino Linotype" w:hAnsi="Palatino Linotype"/>
          <w:lang w:val="es-MX"/>
        </w:rPr>
      </w:pPr>
    </w:p>
    <w:p w14:paraId="7BC4A4BF"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 xml:space="preserve">Argumento que encuentra sustento en la jurisprudencia P./J. 32/92 emitida por el Pleno de la Suprema Corte de Justicia de la Nación de rubro </w:t>
      </w:r>
      <w:r w:rsidRPr="003E6456">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3E6456">
        <w:rPr>
          <w:rFonts w:ascii="Palatino Linotype" w:hAnsi="Palatino Linotype"/>
          <w:lang w:val="es-MX"/>
        </w:rPr>
        <w:t>, visible en la Gaceta del Seminario Judicial de la Federación con el registro digital 205635.</w:t>
      </w:r>
    </w:p>
    <w:p w14:paraId="41F1346A" w14:textId="77777777" w:rsidR="00CC0B81" w:rsidRPr="003E6456" w:rsidRDefault="00CC0B81" w:rsidP="00CC0B81">
      <w:pPr>
        <w:spacing w:line="360" w:lineRule="auto"/>
        <w:jc w:val="both"/>
        <w:rPr>
          <w:rFonts w:ascii="Palatino Linotype" w:hAnsi="Palatino Linotype"/>
          <w:lang w:val="es-MX"/>
        </w:rPr>
      </w:pPr>
    </w:p>
    <w:p w14:paraId="5D749841"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3E6456" w:rsidRDefault="00CC0B81" w:rsidP="00CC0B81">
      <w:pPr>
        <w:spacing w:line="360" w:lineRule="auto"/>
        <w:jc w:val="both"/>
        <w:rPr>
          <w:rFonts w:ascii="Palatino Linotype" w:hAnsi="Palatino Linotype"/>
          <w:lang w:val="es-MX"/>
        </w:rPr>
      </w:pPr>
    </w:p>
    <w:p w14:paraId="2A7A7B90"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3E6456" w:rsidRDefault="00CC0B81" w:rsidP="00CC0B81">
      <w:pPr>
        <w:spacing w:line="360" w:lineRule="auto"/>
        <w:jc w:val="both"/>
        <w:rPr>
          <w:rFonts w:ascii="Palatino Linotype" w:hAnsi="Palatino Linotype"/>
          <w:lang w:val="es-MX"/>
        </w:rPr>
      </w:pPr>
    </w:p>
    <w:p w14:paraId="1CD42A82"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b/>
          <w:i/>
          <w:lang w:val="es-MX"/>
        </w:rPr>
        <w:lastRenderedPageBreak/>
        <w:t>“PLAZO RAZONABLE PARA RESOLVER. DIMENSIÓN Y EFECTOS DE ESTE CONCEPTO CUANDO SE ADUCE EXCESIVA CARGA DE TRABAJO.”</w:t>
      </w:r>
      <w:r w:rsidRPr="003E6456">
        <w:rPr>
          <w:rFonts w:ascii="Palatino Linotype" w:hAnsi="Palatino Linotype"/>
          <w:lang w:val="es-MX"/>
        </w:rPr>
        <w:t xml:space="preserve"> consultable en el Seminario Judicial de la Federación y su gaceta, con el registro digital 2002351.</w:t>
      </w:r>
    </w:p>
    <w:p w14:paraId="126F8982" w14:textId="77777777" w:rsidR="00CC0B81" w:rsidRPr="003E6456" w:rsidRDefault="00CC0B81" w:rsidP="00CC0B81">
      <w:pPr>
        <w:spacing w:line="360" w:lineRule="auto"/>
        <w:jc w:val="both"/>
        <w:rPr>
          <w:rFonts w:ascii="Palatino Linotype" w:hAnsi="Palatino Linotype"/>
          <w:lang w:val="es-MX"/>
        </w:rPr>
      </w:pPr>
    </w:p>
    <w:p w14:paraId="5BFAF041" w14:textId="77777777" w:rsidR="00CC0B81" w:rsidRPr="003E6456" w:rsidRDefault="00CC0B81" w:rsidP="00CC0B81">
      <w:pPr>
        <w:spacing w:line="360" w:lineRule="auto"/>
        <w:jc w:val="both"/>
        <w:rPr>
          <w:rFonts w:ascii="Palatino Linotype" w:hAnsi="Palatino Linotype"/>
          <w:lang w:val="es-MX"/>
        </w:rPr>
      </w:pPr>
      <w:r w:rsidRPr="003E6456">
        <w:rPr>
          <w:rFonts w:ascii="Palatino Linotype" w:hAnsi="Palatino Linotype"/>
          <w:b/>
          <w:i/>
          <w:lang w:val="es-MX"/>
        </w:rPr>
        <w:t>“PLAZO RAZONABLE PARA RESOLVER. CONCEPTO Y ELEMENTOS QUE LO INTEGRAN A LA LUZ DEL DERECHO INTERNACIONAL DE LOS DERECHOS HUMANOS.”</w:t>
      </w:r>
      <w:r w:rsidRPr="003E6456">
        <w:rPr>
          <w:rFonts w:ascii="Palatino Linotype" w:hAnsi="Palatino Linotype"/>
          <w:lang w:val="es-MX"/>
        </w:rPr>
        <w:t>, visible en el Seminario Judicial de la Federación y su gaceta, con el registro digital 2002350.</w:t>
      </w:r>
    </w:p>
    <w:p w14:paraId="44DFD803" w14:textId="77777777" w:rsidR="00CC0B81" w:rsidRPr="003E6456" w:rsidRDefault="00CC0B81" w:rsidP="00CC0B81">
      <w:pPr>
        <w:spacing w:line="360" w:lineRule="auto"/>
        <w:jc w:val="both"/>
        <w:rPr>
          <w:rFonts w:ascii="Palatino Linotype" w:hAnsi="Palatino Linotype"/>
          <w:lang w:val="es-MX"/>
        </w:rPr>
      </w:pPr>
    </w:p>
    <w:p w14:paraId="5A6EC23B" w14:textId="77777777" w:rsidR="00B96A17" w:rsidRPr="003E6456" w:rsidRDefault="00CC0B81" w:rsidP="00B96A17">
      <w:pPr>
        <w:spacing w:line="360" w:lineRule="auto"/>
        <w:jc w:val="both"/>
        <w:rPr>
          <w:rFonts w:ascii="Palatino Linotype" w:hAnsi="Palatino Linotype"/>
          <w:lang w:val="es-MX"/>
        </w:rPr>
      </w:pPr>
      <w:r w:rsidRPr="003E6456">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661E34C9" w14:textId="77777777" w:rsidR="00A31156" w:rsidRPr="003E6456" w:rsidRDefault="00A31156" w:rsidP="00B96A17">
      <w:pPr>
        <w:spacing w:line="360" w:lineRule="auto"/>
        <w:jc w:val="both"/>
        <w:rPr>
          <w:rFonts w:ascii="Palatino Linotype" w:hAnsi="Palatino Linotype"/>
          <w:lang w:val="es-MX"/>
        </w:rPr>
      </w:pPr>
    </w:p>
    <w:p w14:paraId="2FDBFDAE" w14:textId="77777777" w:rsidR="00E74701" w:rsidRPr="003E6456" w:rsidRDefault="00E74701" w:rsidP="00D57F74">
      <w:pPr>
        <w:spacing w:line="360" w:lineRule="auto"/>
        <w:jc w:val="center"/>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C O N S I D E R A N</w:t>
      </w:r>
      <w:r w:rsidR="00D57F74" w:rsidRPr="003E6456">
        <w:rPr>
          <w:rFonts w:ascii="Palatino Linotype" w:eastAsiaTheme="minorHAnsi" w:hAnsi="Palatino Linotype" w:cs="Arial"/>
          <w:b/>
          <w:sz w:val="28"/>
          <w:lang w:val="es-MX" w:eastAsia="en-US"/>
        </w:rPr>
        <w:t xml:space="preserve"> D O </w:t>
      </w:r>
    </w:p>
    <w:p w14:paraId="259FBCF3" w14:textId="77777777" w:rsidR="00D57F74" w:rsidRPr="003E6456"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E6456" w:rsidRDefault="0029071C" w:rsidP="0029071C">
      <w:pPr>
        <w:spacing w:line="360" w:lineRule="auto"/>
        <w:jc w:val="both"/>
        <w:rPr>
          <w:rFonts w:ascii="Palatino Linotype" w:eastAsiaTheme="minorHAnsi" w:hAnsi="Palatino Linotype" w:cs="Arial"/>
          <w:sz w:val="28"/>
          <w:lang w:val="es-MX" w:eastAsia="en-US"/>
        </w:rPr>
      </w:pPr>
      <w:r w:rsidRPr="003E6456">
        <w:rPr>
          <w:rFonts w:ascii="Palatino Linotype" w:eastAsiaTheme="minorHAnsi" w:hAnsi="Palatino Linotype" w:cs="Arial"/>
          <w:b/>
          <w:sz w:val="28"/>
          <w:lang w:val="es-MX" w:eastAsia="en-US"/>
        </w:rPr>
        <w:t>PRIMERO. De la competencia</w:t>
      </w:r>
      <w:r w:rsidRPr="003E6456">
        <w:rPr>
          <w:rFonts w:ascii="Palatino Linotype" w:eastAsiaTheme="minorHAnsi" w:hAnsi="Palatino Linotype" w:cs="Arial"/>
          <w:sz w:val="28"/>
          <w:lang w:val="es-MX" w:eastAsia="en-US"/>
        </w:rPr>
        <w:t>.</w:t>
      </w:r>
    </w:p>
    <w:p w14:paraId="07E9A4B6" w14:textId="7F935E78" w:rsidR="00A26BD8" w:rsidRPr="003E6456" w:rsidRDefault="00C8502C" w:rsidP="00CC0B81">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3E6456">
        <w:rPr>
          <w:rFonts w:ascii="Palatino Linotype" w:eastAsiaTheme="minorHAnsi" w:hAnsi="Palatino Linotype" w:cs="Arial"/>
          <w:lang w:val="es-MX" w:eastAsia="en-US"/>
        </w:rPr>
        <w:lastRenderedPageBreak/>
        <w:t>Transparencia, Acceso a la Información Pública y Protección de Datos Personales del Estado de México y Municipios</w:t>
      </w:r>
      <w:r w:rsidR="00A31156" w:rsidRPr="003E6456">
        <w:rPr>
          <w:rFonts w:ascii="Palatino Linotype" w:eastAsiaTheme="minorHAnsi" w:hAnsi="Palatino Linotype" w:cs="Arial"/>
          <w:lang w:val="es-MX" w:eastAsia="en-US"/>
        </w:rPr>
        <w:t>.</w:t>
      </w:r>
    </w:p>
    <w:p w14:paraId="29609E14" w14:textId="77777777" w:rsidR="00266841" w:rsidRPr="003E6456" w:rsidRDefault="00266841" w:rsidP="00CC0B81">
      <w:pPr>
        <w:spacing w:line="360" w:lineRule="auto"/>
        <w:jc w:val="both"/>
        <w:rPr>
          <w:rFonts w:ascii="Palatino Linotype" w:eastAsiaTheme="minorHAnsi" w:hAnsi="Palatino Linotype" w:cs="Arial"/>
          <w:lang w:val="es-MX" w:eastAsia="en-US"/>
        </w:rPr>
      </w:pPr>
    </w:p>
    <w:p w14:paraId="7A9D3570" w14:textId="77777777" w:rsidR="0029071C" w:rsidRPr="003E645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8BAC41" w14:textId="77777777" w:rsidR="001762FA" w:rsidRPr="003E6456" w:rsidRDefault="001762FA"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77777777" w:rsidR="0029071C" w:rsidRPr="003E6456" w:rsidRDefault="001762F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E6456">
        <w:rPr>
          <w:rFonts w:ascii="Palatino Linotype" w:eastAsiaTheme="minorHAnsi" w:hAnsi="Palatino Linotype" w:cs="Arial"/>
          <w:b/>
          <w:sz w:val="28"/>
          <w:lang w:val="es-MX" w:eastAsia="en-US"/>
        </w:rPr>
        <w:t>TERCER</w:t>
      </w:r>
      <w:r w:rsidR="0029071C" w:rsidRPr="003E6456">
        <w:rPr>
          <w:rFonts w:ascii="Palatino Linotype" w:eastAsiaTheme="minorHAnsi" w:hAnsi="Palatino Linotype" w:cs="Arial"/>
          <w:b/>
          <w:sz w:val="28"/>
          <w:lang w:val="es-MX" w:eastAsia="en-US"/>
        </w:rPr>
        <w:t xml:space="preserve">O. Del estudio de las causas de improcedencia. </w:t>
      </w:r>
    </w:p>
    <w:p w14:paraId="0F3573E8" w14:textId="77777777" w:rsidR="00D57F74"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E6456">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3E6456">
        <w:rPr>
          <w:rStyle w:val="Refdenotaalpie"/>
          <w:rFonts w:ascii="Palatino Linotype" w:eastAsiaTheme="minorHAnsi" w:hAnsi="Palatino Linotype" w:cs="Arial"/>
          <w:lang w:val="es-MX" w:eastAsia="en-US"/>
        </w:rPr>
        <w:footnoteReference w:id="1"/>
      </w:r>
      <w:r w:rsidRPr="003E6456">
        <w:rPr>
          <w:rFonts w:ascii="Palatino Linotype" w:eastAsiaTheme="minorHAnsi" w:hAnsi="Palatino Linotype" w:cs="Arial"/>
          <w:lang w:val="es-MX" w:eastAsia="en-US"/>
        </w:rPr>
        <w:t>.</w:t>
      </w:r>
    </w:p>
    <w:p w14:paraId="10AC382B" w14:textId="77777777" w:rsidR="00574FDC" w:rsidRPr="003E6456" w:rsidRDefault="00574FDC"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E6456" w:rsidRDefault="0029071C" w:rsidP="0029071C">
      <w:pPr>
        <w:rPr>
          <w:lang w:val="es-MX"/>
        </w:rPr>
      </w:pPr>
    </w:p>
    <w:p w14:paraId="6A3C738B"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w:t>
      </w:r>
      <w:r w:rsidRPr="003E6456">
        <w:rPr>
          <w:rFonts w:ascii="Palatino Linotype" w:hAnsi="Palatino Linotype" w:cs="Arial"/>
          <w:b/>
          <w:i/>
          <w:sz w:val="22"/>
          <w:szCs w:val="22"/>
        </w:rPr>
        <w:t>Artículo 191.</w:t>
      </w:r>
      <w:r w:rsidRPr="003E6456">
        <w:rPr>
          <w:rFonts w:ascii="Palatino Linotype" w:hAnsi="Palatino Linotype" w:cs="Arial"/>
          <w:i/>
          <w:sz w:val="22"/>
          <w:szCs w:val="22"/>
        </w:rPr>
        <w:t xml:space="preserve"> El recurso será desechado por improcedente cuando:  </w:t>
      </w:r>
    </w:p>
    <w:p w14:paraId="2C29909C"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 xml:space="preserve">III. No actualice alguno de los supuestos previstos en la presente Ley;  </w:t>
      </w:r>
    </w:p>
    <w:p w14:paraId="050BC017"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IV. No se haya desahogado la prevención en los términos establecidos en la presente Ley;</w:t>
      </w:r>
    </w:p>
    <w:p w14:paraId="2ED4EE39"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 xml:space="preserve">V. Se impugne la veracidad de la información proporcionada;  </w:t>
      </w:r>
    </w:p>
    <w:p w14:paraId="39C3DF91"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 xml:space="preserve">VI. Se trate de una consulta, o trámite en específico; y  </w:t>
      </w:r>
    </w:p>
    <w:p w14:paraId="2A6495DE" w14:textId="77777777" w:rsidR="0029071C" w:rsidRPr="003E6456" w:rsidRDefault="0029071C" w:rsidP="0029071C">
      <w:pPr>
        <w:autoSpaceDE w:val="0"/>
        <w:autoSpaceDN w:val="0"/>
        <w:adjustRightInd w:val="0"/>
        <w:ind w:left="708" w:right="850"/>
        <w:jc w:val="both"/>
        <w:rPr>
          <w:rFonts w:ascii="Palatino Linotype" w:hAnsi="Palatino Linotype" w:cs="Arial"/>
          <w:i/>
          <w:sz w:val="22"/>
          <w:szCs w:val="22"/>
        </w:rPr>
      </w:pPr>
      <w:r w:rsidRPr="003E6456">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E6456"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E6456"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E6456" w:rsidRDefault="0029071C" w:rsidP="0029071C">
      <w:pPr>
        <w:autoSpaceDE w:val="0"/>
        <w:autoSpaceDN w:val="0"/>
        <w:adjustRightInd w:val="0"/>
        <w:spacing w:line="360" w:lineRule="auto"/>
        <w:jc w:val="both"/>
        <w:rPr>
          <w:rFonts w:ascii="Palatino Linotype" w:hAnsi="Palatino Linotype" w:cs="Arial"/>
        </w:rPr>
      </w:pPr>
      <w:r w:rsidRPr="003E645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3E6456" w:rsidRDefault="00F712EE" w:rsidP="0029071C">
      <w:pPr>
        <w:autoSpaceDE w:val="0"/>
        <w:autoSpaceDN w:val="0"/>
        <w:adjustRightInd w:val="0"/>
        <w:spacing w:line="360" w:lineRule="auto"/>
        <w:jc w:val="both"/>
        <w:rPr>
          <w:rFonts w:ascii="Palatino Linotype" w:hAnsi="Palatino Linotype" w:cs="Arial"/>
        </w:rPr>
      </w:pPr>
    </w:p>
    <w:p w14:paraId="61D8E0F0" w14:textId="77777777" w:rsidR="0029071C" w:rsidRPr="003E6456" w:rsidRDefault="001762FA" w:rsidP="0029071C">
      <w:pPr>
        <w:autoSpaceDE w:val="0"/>
        <w:autoSpaceDN w:val="0"/>
        <w:adjustRightInd w:val="0"/>
        <w:spacing w:line="360" w:lineRule="auto"/>
        <w:jc w:val="both"/>
        <w:rPr>
          <w:rFonts w:ascii="Palatino Linotype" w:hAnsi="Palatino Linotype" w:cs="Arial"/>
          <w:sz w:val="28"/>
        </w:rPr>
      </w:pPr>
      <w:r w:rsidRPr="003E6456">
        <w:rPr>
          <w:rFonts w:ascii="Palatino Linotype" w:hAnsi="Palatino Linotype" w:cs="Arial"/>
          <w:b/>
          <w:sz w:val="28"/>
        </w:rPr>
        <w:t>CUAR</w:t>
      </w:r>
      <w:r w:rsidR="00266841" w:rsidRPr="003E6456">
        <w:rPr>
          <w:rFonts w:ascii="Palatino Linotype" w:hAnsi="Palatino Linotype" w:cs="Arial"/>
          <w:b/>
          <w:sz w:val="28"/>
        </w:rPr>
        <w:t>T</w:t>
      </w:r>
      <w:r w:rsidR="0029071C" w:rsidRPr="003E6456">
        <w:rPr>
          <w:rFonts w:ascii="Palatino Linotype" w:hAnsi="Palatino Linotype" w:cs="Arial"/>
          <w:b/>
          <w:sz w:val="28"/>
        </w:rPr>
        <w:t>O. Del estudio y resolución del asunto.</w:t>
      </w:r>
      <w:r w:rsidR="0029071C" w:rsidRPr="003E6456">
        <w:rPr>
          <w:rFonts w:ascii="Palatino Linotype" w:hAnsi="Palatino Linotype" w:cs="Arial"/>
          <w:sz w:val="28"/>
        </w:rPr>
        <w:t xml:space="preserve"> </w:t>
      </w:r>
    </w:p>
    <w:p w14:paraId="583A524B" w14:textId="77777777" w:rsidR="0029071C"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E64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3E6456" w:rsidRDefault="0029071C" w:rsidP="0029071C">
      <w:pPr>
        <w:spacing w:line="360" w:lineRule="auto"/>
        <w:ind w:right="141"/>
        <w:jc w:val="both"/>
        <w:rPr>
          <w:rFonts w:ascii="Palatino Linotype" w:eastAsiaTheme="minorHAnsi" w:hAnsi="Palatino Linotype" w:cstheme="minorBidi"/>
          <w:lang w:val="es-MX" w:eastAsia="es-MX"/>
        </w:rPr>
      </w:pPr>
      <w:r w:rsidRPr="003E645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E6456">
        <w:rPr>
          <w:rFonts w:ascii="Palatino Linotype" w:eastAsiaTheme="minorHAnsi" w:hAnsi="Palatino Linotype" w:cstheme="minorBidi"/>
          <w:b/>
          <w:lang w:val="es-MX" w:eastAsia="es-MX"/>
        </w:rPr>
        <w:t xml:space="preserve"> </w:t>
      </w:r>
      <w:r w:rsidRPr="003E6456">
        <w:rPr>
          <w:rFonts w:ascii="Palatino Linotype" w:eastAsiaTheme="minorHAnsi" w:hAnsi="Palatino Linotype" w:cstheme="minorBidi"/>
          <w:lang w:val="es-MX" w:eastAsia="es-MX"/>
        </w:rPr>
        <w:t>parte</w:t>
      </w:r>
      <w:r w:rsidR="001D2DE0" w:rsidRPr="003E6456">
        <w:rPr>
          <w:rFonts w:ascii="Palatino Linotype" w:eastAsiaTheme="minorHAnsi" w:hAnsi="Palatino Linotype" w:cstheme="minorBidi"/>
          <w:b/>
          <w:lang w:val="es-MX" w:eastAsia="es-MX"/>
        </w:rPr>
        <w:t xml:space="preserve"> </w:t>
      </w:r>
      <w:r w:rsidRPr="003E6456">
        <w:rPr>
          <w:rFonts w:ascii="Palatino Linotype" w:eastAsiaTheme="minorHAnsi" w:hAnsi="Palatino Linotype" w:cstheme="minorBidi"/>
          <w:b/>
          <w:lang w:val="es-MX" w:eastAsia="es-MX"/>
        </w:rPr>
        <w:t>Recurrente</w:t>
      </w:r>
      <w:r w:rsidRPr="003E6456">
        <w:rPr>
          <w:rFonts w:ascii="Palatino Linotype" w:eastAsiaTheme="minorHAnsi" w:hAnsi="Palatino Linotype" w:cstheme="minorBidi"/>
          <w:lang w:val="es-MX" w:eastAsia="es-MX"/>
        </w:rPr>
        <w:t xml:space="preserve">, para ello analizaremos lo solicitado </w:t>
      </w:r>
      <w:r w:rsidR="00574FDC" w:rsidRPr="003E6456">
        <w:rPr>
          <w:rFonts w:ascii="Palatino Linotype" w:eastAsiaTheme="minorHAnsi" w:hAnsi="Palatino Linotype" w:cstheme="minorBidi"/>
          <w:lang w:val="es-MX" w:eastAsia="es-MX"/>
        </w:rPr>
        <w:t>y la información proporcionada.</w:t>
      </w:r>
    </w:p>
    <w:p w14:paraId="7ABDC2C3" w14:textId="77777777" w:rsidR="001762FA" w:rsidRPr="003E6456"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3E6456" w:rsidRDefault="0029071C" w:rsidP="00D83603">
      <w:pPr>
        <w:spacing w:line="360" w:lineRule="auto"/>
        <w:ind w:right="141"/>
        <w:jc w:val="both"/>
        <w:rPr>
          <w:rFonts w:ascii="Palatino Linotype" w:eastAsiaTheme="minorHAnsi" w:hAnsi="Palatino Linotype" w:cstheme="minorBidi"/>
          <w:b/>
          <w:szCs w:val="22"/>
          <w:lang w:val="es-MX" w:eastAsia="es-MX"/>
        </w:rPr>
      </w:pPr>
      <w:r w:rsidRPr="003E6456">
        <w:rPr>
          <w:rFonts w:ascii="Palatino Linotype" w:eastAsiaTheme="minorHAnsi" w:hAnsi="Palatino Linotype" w:cstheme="minorBidi"/>
          <w:b/>
          <w:szCs w:val="22"/>
          <w:lang w:val="es-MX" w:eastAsia="es-MX"/>
        </w:rPr>
        <w:lastRenderedPageBreak/>
        <w:t>REQUERIMIENTOS SOLICITADOS:</w:t>
      </w:r>
      <w:r w:rsidR="00A26BD8" w:rsidRPr="003E6456">
        <w:rPr>
          <w:rFonts w:ascii="Palatino Linotype" w:eastAsiaTheme="minorHAnsi" w:hAnsi="Palatino Linotype" w:cstheme="minorBidi"/>
          <w:b/>
          <w:szCs w:val="22"/>
          <w:lang w:val="es-MX" w:eastAsia="es-MX"/>
        </w:rPr>
        <w:t xml:space="preserve"> </w:t>
      </w:r>
    </w:p>
    <w:p w14:paraId="4C0E4541" w14:textId="77777777" w:rsidR="00D83603" w:rsidRPr="003E6456" w:rsidRDefault="00D83603" w:rsidP="00D83603">
      <w:pPr>
        <w:pStyle w:val="Sinespaciado"/>
        <w:rPr>
          <w:rFonts w:eastAsiaTheme="minorHAnsi"/>
          <w:lang w:eastAsia="es-MX"/>
        </w:rPr>
      </w:pPr>
    </w:p>
    <w:p w14:paraId="5C78BE44" w14:textId="1F2D0C72" w:rsidR="00430BAC" w:rsidRPr="003E6456" w:rsidRDefault="00D83603" w:rsidP="00D83603">
      <w:pPr>
        <w:pStyle w:val="Prrafodelista"/>
        <w:numPr>
          <w:ilvl w:val="0"/>
          <w:numId w:val="20"/>
        </w:numPr>
        <w:spacing w:line="360" w:lineRule="auto"/>
        <w:ind w:right="141"/>
        <w:jc w:val="both"/>
        <w:rPr>
          <w:rFonts w:ascii="Palatino Linotype" w:eastAsiaTheme="minorHAnsi" w:hAnsi="Palatino Linotype"/>
          <w:lang w:eastAsia="es-MX"/>
        </w:rPr>
      </w:pPr>
      <w:r w:rsidRPr="003E6456">
        <w:rPr>
          <w:rFonts w:ascii="Palatino Linotype" w:eastAsiaTheme="minorHAnsi" w:hAnsi="Palatino Linotype" w:cstheme="minorBidi"/>
          <w:szCs w:val="22"/>
          <w:lang w:val="es-MX" w:eastAsia="es-MX"/>
        </w:rPr>
        <w:t>El documento que dé cuenta del nombre y las percepciones netas de los jubilados o pensionados</w:t>
      </w:r>
      <w:r w:rsidR="00907F13" w:rsidRPr="003E6456">
        <w:rPr>
          <w:rFonts w:ascii="Palatino Linotype" w:eastAsiaTheme="minorHAnsi" w:hAnsi="Palatino Linotype" w:cstheme="minorBidi"/>
          <w:szCs w:val="22"/>
          <w:lang w:val="es-MX" w:eastAsia="es-MX"/>
        </w:rPr>
        <w:t>.</w:t>
      </w:r>
    </w:p>
    <w:p w14:paraId="1F2810B2" w14:textId="77777777" w:rsidR="00907F13" w:rsidRPr="003E6456" w:rsidRDefault="00907F13" w:rsidP="00EE2FB1">
      <w:pPr>
        <w:spacing w:line="360" w:lineRule="auto"/>
        <w:ind w:right="49"/>
        <w:jc w:val="both"/>
        <w:rPr>
          <w:rFonts w:ascii="Palatino Linotype" w:eastAsiaTheme="minorHAnsi" w:hAnsi="Palatino Linotype" w:cstheme="minorBidi"/>
          <w:lang w:val="es-MX" w:eastAsia="es-MX"/>
        </w:rPr>
      </w:pPr>
    </w:p>
    <w:p w14:paraId="5F1535E8" w14:textId="77777777" w:rsidR="001D5495" w:rsidRPr="003E6456" w:rsidRDefault="0029071C" w:rsidP="00EE2FB1">
      <w:pPr>
        <w:spacing w:line="360" w:lineRule="auto"/>
        <w:ind w:right="49"/>
        <w:jc w:val="both"/>
        <w:rPr>
          <w:rFonts w:ascii="Palatino Linotype" w:hAnsi="Palatino Linotype" w:cs="Arial"/>
        </w:rPr>
      </w:pPr>
      <w:r w:rsidRPr="003E6456">
        <w:rPr>
          <w:rFonts w:ascii="Palatino Linotype" w:eastAsiaTheme="minorHAnsi" w:hAnsi="Palatino Linotype" w:cstheme="minorBidi"/>
          <w:lang w:val="es-MX" w:eastAsia="es-MX"/>
        </w:rPr>
        <w:t xml:space="preserve">Atento a la solicitud de información </w:t>
      </w:r>
      <w:r w:rsidRPr="003E6456">
        <w:rPr>
          <w:rFonts w:ascii="Palatino Linotype" w:eastAsiaTheme="minorHAnsi" w:hAnsi="Palatino Linotype" w:cstheme="minorBidi"/>
          <w:b/>
          <w:lang w:val="es-MX" w:eastAsia="es-MX"/>
        </w:rPr>
        <w:t>El Sujeto Obligado</w:t>
      </w:r>
      <w:r w:rsidRPr="003E6456">
        <w:rPr>
          <w:rFonts w:ascii="Palatino Linotype" w:eastAsiaTheme="minorHAnsi" w:hAnsi="Palatino Linotype" w:cstheme="minorBidi"/>
          <w:lang w:val="es-MX" w:eastAsia="es-MX"/>
        </w:rPr>
        <w:t xml:space="preserve">, emitió su respuesta en donde </w:t>
      </w:r>
      <w:r w:rsidR="001D5495" w:rsidRPr="003E6456">
        <w:rPr>
          <w:rFonts w:ascii="Palatino Linotype" w:hAnsi="Palatino Linotype" w:cs="Arial"/>
        </w:rPr>
        <w:t xml:space="preserve">se </w:t>
      </w:r>
      <w:r w:rsidR="00D57F74" w:rsidRPr="003E6456">
        <w:rPr>
          <w:rFonts w:ascii="Palatino Linotype" w:hAnsi="Palatino Linotype" w:cs="Arial"/>
        </w:rPr>
        <w:t>advierte</w:t>
      </w:r>
      <w:r w:rsidR="001D5495" w:rsidRPr="003E6456">
        <w:rPr>
          <w:rFonts w:ascii="Palatino Linotype" w:hAnsi="Palatino Linotype" w:cs="Arial"/>
        </w:rPr>
        <w:t xml:space="preserve"> </w:t>
      </w:r>
      <w:r w:rsidR="001D2DE0" w:rsidRPr="003E6456">
        <w:rPr>
          <w:rFonts w:ascii="Palatino Linotype" w:hAnsi="Palatino Linotype" w:cs="Arial"/>
        </w:rPr>
        <w:t>lo siguiente</w:t>
      </w:r>
      <w:r w:rsidR="001D5495" w:rsidRPr="003E6456">
        <w:rPr>
          <w:rFonts w:ascii="Palatino Linotype" w:hAnsi="Palatino Linotype" w:cs="Arial"/>
        </w:rPr>
        <w:t>:</w:t>
      </w:r>
    </w:p>
    <w:p w14:paraId="4BC1FCCB" w14:textId="77777777" w:rsidR="00597D71" w:rsidRPr="003E6456"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3E6456"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3E6456" w:rsidRDefault="00597D71" w:rsidP="00597D71">
            <w:pPr>
              <w:ind w:right="49"/>
              <w:jc w:val="center"/>
              <w:rPr>
                <w:rFonts w:ascii="Palatino Linotype" w:eastAsiaTheme="minorHAnsi" w:hAnsi="Palatino Linotype" w:cstheme="minorBidi"/>
                <w:b/>
                <w:lang w:val="es-MX" w:eastAsia="es-MX"/>
              </w:rPr>
            </w:pPr>
            <w:r w:rsidRPr="003E6456">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3E6456" w:rsidRDefault="00597D71" w:rsidP="00597D71">
            <w:pPr>
              <w:ind w:right="49"/>
              <w:jc w:val="center"/>
              <w:rPr>
                <w:rFonts w:ascii="Palatino Linotype" w:eastAsiaTheme="minorHAnsi" w:hAnsi="Palatino Linotype" w:cstheme="minorBidi"/>
                <w:b/>
                <w:lang w:val="es-MX" w:eastAsia="es-MX"/>
              </w:rPr>
            </w:pPr>
            <w:r w:rsidRPr="003E6456">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3E6456" w:rsidRDefault="00597D71" w:rsidP="00597D71">
            <w:pPr>
              <w:ind w:right="49"/>
              <w:jc w:val="center"/>
              <w:rPr>
                <w:rFonts w:ascii="Palatino Linotype" w:eastAsiaTheme="minorHAnsi" w:hAnsi="Palatino Linotype" w:cstheme="minorBidi"/>
                <w:b/>
                <w:lang w:val="es-MX" w:eastAsia="es-MX"/>
              </w:rPr>
            </w:pPr>
            <w:r w:rsidRPr="003E6456">
              <w:rPr>
                <w:rFonts w:ascii="Palatino Linotype" w:eastAsiaTheme="minorHAnsi" w:hAnsi="Palatino Linotype" w:cstheme="minorBidi"/>
                <w:b/>
                <w:lang w:val="es-MX" w:eastAsia="es-MX"/>
              </w:rPr>
              <w:t>Cumplimiento</w:t>
            </w:r>
          </w:p>
        </w:tc>
      </w:tr>
      <w:tr w:rsidR="00140AA7" w:rsidRPr="003E6456" w14:paraId="4F63231D" w14:textId="77777777" w:rsidTr="00140AA7">
        <w:trPr>
          <w:trHeight w:val="483"/>
        </w:trPr>
        <w:tc>
          <w:tcPr>
            <w:tcW w:w="1970" w:type="dxa"/>
            <w:vAlign w:val="center"/>
          </w:tcPr>
          <w:p w14:paraId="13B7CC22" w14:textId="70126ABD" w:rsidR="00C70447" w:rsidRPr="003E6456" w:rsidRDefault="00FA5223" w:rsidP="00FA5223">
            <w:pPr>
              <w:ind w:right="49"/>
              <w:jc w:val="both"/>
              <w:rPr>
                <w:rFonts w:ascii="Palatino Linotype" w:eastAsiaTheme="minorHAnsi" w:hAnsi="Palatino Linotype"/>
                <w:sz w:val="20"/>
                <w:lang w:eastAsia="es-MX"/>
              </w:rPr>
            </w:pPr>
            <w:r w:rsidRPr="003E6456">
              <w:rPr>
                <w:rFonts w:ascii="Palatino Linotype" w:eastAsiaTheme="minorHAnsi" w:hAnsi="Palatino Linotype"/>
                <w:sz w:val="20"/>
                <w:lang w:eastAsia="es-MX"/>
              </w:rPr>
              <w:t>El documento que dé cuenta del nombre y las percepciones netas de los jubilados o pensionados.</w:t>
            </w:r>
          </w:p>
        </w:tc>
        <w:tc>
          <w:tcPr>
            <w:tcW w:w="5103" w:type="dxa"/>
            <w:tcBorders>
              <w:top w:val="double" w:sz="4" w:space="0" w:color="auto"/>
              <w:bottom w:val="double" w:sz="4" w:space="0" w:color="auto"/>
            </w:tcBorders>
            <w:vAlign w:val="center"/>
          </w:tcPr>
          <w:p w14:paraId="22288F98" w14:textId="77777777" w:rsidR="00F43F9A" w:rsidRPr="003E6456" w:rsidRDefault="003B153A" w:rsidP="00E849A6">
            <w:pPr>
              <w:spacing w:line="276" w:lineRule="auto"/>
              <w:jc w:val="both"/>
              <w:rPr>
                <w:rFonts w:ascii="Palatino Linotype" w:eastAsiaTheme="minorHAnsi" w:hAnsi="Palatino Linotype" w:cstheme="minorBidi"/>
                <w:sz w:val="20"/>
                <w:szCs w:val="22"/>
                <w:lang w:val="es-MX" w:eastAsia="es-MX"/>
              </w:rPr>
            </w:pPr>
            <w:r w:rsidRPr="003E6456">
              <w:rPr>
                <w:rFonts w:ascii="Palatino Linotype" w:eastAsiaTheme="minorHAnsi" w:hAnsi="Palatino Linotype" w:cstheme="minorBidi"/>
                <w:sz w:val="20"/>
                <w:szCs w:val="22"/>
                <w:lang w:val="es-MX" w:eastAsia="es-MX"/>
              </w:rPr>
              <w:t>Mediante oficio número 207C 0401210001S-UT-802/2023, firmado por el Titular de la Unidad de Transparencia, informó que de conformidad con el artículo 92 de la Ley de Transparencia y Acceso a la Información Pública del Estado de México y Municipios, en la fracción XLVI “Listado de jubilados y pensionados y el monto que reciben”, se puede consultar dicha información a través del Sistema de Información Pública Mexiquense (IPOMEX), en la siguiente liga electrónica:</w:t>
            </w:r>
          </w:p>
          <w:p w14:paraId="34633FDB" w14:textId="77777777" w:rsidR="003B153A" w:rsidRPr="003E6456" w:rsidRDefault="003B153A" w:rsidP="00E849A6">
            <w:pPr>
              <w:spacing w:line="276" w:lineRule="auto"/>
              <w:jc w:val="both"/>
              <w:rPr>
                <w:rFonts w:ascii="Palatino Linotype" w:eastAsiaTheme="minorHAnsi" w:hAnsi="Palatino Linotype" w:cstheme="minorBidi"/>
                <w:sz w:val="20"/>
                <w:szCs w:val="22"/>
                <w:lang w:val="es-MX" w:eastAsia="es-MX"/>
              </w:rPr>
            </w:pPr>
          </w:p>
          <w:p w14:paraId="56E837C3" w14:textId="50FB3208" w:rsidR="003B153A" w:rsidRPr="003E6456" w:rsidRDefault="003E6456" w:rsidP="00E849A6">
            <w:pPr>
              <w:spacing w:line="276" w:lineRule="auto"/>
              <w:jc w:val="both"/>
              <w:rPr>
                <w:rFonts w:ascii="Palatino Linotype" w:eastAsiaTheme="minorHAnsi" w:hAnsi="Palatino Linotype" w:cstheme="minorBidi"/>
                <w:sz w:val="20"/>
                <w:szCs w:val="22"/>
                <w:lang w:val="es-MX" w:eastAsia="es-MX"/>
              </w:rPr>
            </w:pPr>
            <w:hyperlink r:id="rId8" w:history="1">
              <w:r w:rsidR="00251C5D" w:rsidRPr="003E6456">
                <w:rPr>
                  <w:rStyle w:val="Hipervnculo"/>
                  <w:rFonts w:ascii="Palatino Linotype" w:eastAsiaTheme="minorHAnsi" w:hAnsi="Palatino Linotype" w:cstheme="minorBidi"/>
                  <w:sz w:val="20"/>
                  <w:szCs w:val="22"/>
                  <w:lang w:val="es-MX" w:eastAsia="es-MX"/>
                </w:rPr>
                <w:t>https://ipomex.org.mx/ipo3/lgt/indice/ISSEMYM/art_92_xlvi_b.web</w:t>
              </w:r>
            </w:hyperlink>
            <w:r w:rsidR="00251C5D" w:rsidRPr="003E6456">
              <w:rPr>
                <w:rFonts w:ascii="Palatino Linotype" w:eastAsiaTheme="minorHAnsi" w:hAnsi="Palatino Linotype" w:cstheme="minorBidi"/>
                <w:sz w:val="20"/>
                <w:szCs w:val="22"/>
                <w:lang w:val="es-MX" w:eastAsia="es-MX"/>
              </w:rPr>
              <w:t xml:space="preserve">?  </w:t>
            </w:r>
          </w:p>
        </w:tc>
        <w:tc>
          <w:tcPr>
            <w:tcW w:w="2018" w:type="dxa"/>
            <w:tcBorders>
              <w:top w:val="double" w:sz="4" w:space="0" w:color="auto"/>
              <w:bottom w:val="double" w:sz="4" w:space="0" w:color="auto"/>
            </w:tcBorders>
            <w:vAlign w:val="center"/>
          </w:tcPr>
          <w:p w14:paraId="1705AA4E" w14:textId="5CADA986" w:rsidR="00A320DF" w:rsidRPr="003E6456" w:rsidRDefault="003B153A" w:rsidP="003B153A">
            <w:pPr>
              <w:ind w:right="49"/>
              <w:jc w:val="center"/>
              <w:rPr>
                <w:rFonts w:ascii="Palatino Linotype" w:eastAsiaTheme="minorHAnsi" w:hAnsi="Palatino Linotype" w:cstheme="minorBidi"/>
                <w:b/>
                <w:bCs/>
                <w:iCs/>
                <w:lang w:val="es-MX" w:eastAsia="es-MX"/>
              </w:rPr>
            </w:pPr>
            <w:r w:rsidRPr="003E6456">
              <w:rPr>
                <w:rFonts w:ascii="Palatino Linotype" w:eastAsiaTheme="minorHAnsi" w:hAnsi="Palatino Linotype" w:cstheme="minorBidi"/>
                <w:b/>
                <w:bCs/>
                <w:iCs/>
                <w:lang w:val="es-MX" w:eastAsia="es-MX"/>
              </w:rPr>
              <w:t>Sí</w:t>
            </w:r>
          </w:p>
        </w:tc>
      </w:tr>
    </w:tbl>
    <w:p w14:paraId="115FB400" w14:textId="77777777" w:rsidR="0053343D" w:rsidRPr="003E6456" w:rsidRDefault="0053343D" w:rsidP="00D57AED">
      <w:pPr>
        <w:shd w:val="clear" w:color="auto" w:fill="FFFFFF"/>
        <w:spacing w:line="360" w:lineRule="auto"/>
        <w:jc w:val="both"/>
        <w:rPr>
          <w:rFonts w:ascii="Palatino Linotype" w:hAnsi="Palatino Linotype"/>
          <w:color w:val="222222"/>
        </w:rPr>
      </w:pPr>
    </w:p>
    <w:p w14:paraId="1F89263D" w14:textId="77777777" w:rsidR="00D57AED" w:rsidRPr="003E6456" w:rsidRDefault="00D57AED" w:rsidP="00D57AED">
      <w:pPr>
        <w:shd w:val="clear" w:color="auto" w:fill="FFFFFF"/>
        <w:spacing w:line="360" w:lineRule="auto"/>
        <w:jc w:val="both"/>
        <w:rPr>
          <w:rFonts w:ascii="Palatino Linotype" w:hAnsi="Palatino Linotype"/>
          <w:color w:val="222222"/>
        </w:rPr>
      </w:pPr>
      <w:r w:rsidRPr="003E6456">
        <w:rPr>
          <w:rFonts w:ascii="Palatino Linotype" w:hAnsi="Palatino Linotype"/>
          <w:color w:val="222222"/>
        </w:rPr>
        <w:t>En este sentido, debe dejarse claro que al haber existido un pronunciamiento por parte del </w:t>
      </w:r>
      <w:r w:rsidRPr="003E6456">
        <w:rPr>
          <w:rFonts w:ascii="Palatino Linotype" w:hAnsi="Palatino Linotype"/>
          <w:b/>
          <w:bCs/>
          <w:color w:val="222222"/>
        </w:rPr>
        <w:t>Sujeto Obligado</w:t>
      </w:r>
      <w:r w:rsidRPr="003E6456">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3E6456" w:rsidRDefault="00D57AED" w:rsidP="00D57AED">
      <w:pPr>
        <w:pStyle w:val="Sinespaciado"/>
      </w:pPr>
    </w:p>
    <w:p w14:paraId="12BBC646" w14:textId="77777777" w:rsidR="00D57AED" w:rsidRPr="003E6456" w:rsidRDefault="00D57AED" w:rsidP="00351E9D">
      <w:pPr>
        <w:shd w:val="clear" w:color="auto" w:fill="FFFFFF"/>
        <w:spacing w:line="221" w:lineRule="atLeast"/>
        <w:ind w:left="567" w:right="616"/>
        <w:jc w:val="both"/>
        <w:rPr>
          <w:color w:val="222222"/>
          <w:sz w:val="22"/>
        </w:rPr>
      </w:pPr>
      <w:r w:rsidRPr="003E6456">
        <w:rPr>
          <w:rFonts w:ascii="Palatino Linotype" w:hAnsi="Palatino Linotype"/>
          <w:i/>
          <w:iCs/>
          <w:color w:val="222222"/>
          <w:sz w:val="22"/>
        </w:rPr>
        <w:lastRenderedPageBreak/>
        <w:t>“</w:t>
      </w:r>
      <w:r w:rsidRPr="003E645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3E6456">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B2372F" w14:textId="77777777" w:rsidR="00D57AED" w:rsidRPr="003E6456" w:rsidRDefault="00D57AED" w:rsidP="00E11B18">
      <w:pPr>
        <w:spacing w:line="360" w:lineRule="auto"/>
        <w:ind w:right="141"/>
        <w:jc w:val="both"/>
        <w:rPr>
          <w:rFonts w:ascii="Palatino Linotype" w:eastAsiaTheme="minorHAnsi" w:hAnsi="Palatino Linotype" w:cs="Arial"/>
          <w:bCs/>
          <w:lang w:val="es-MX" w:eastAsia="en-US"/>
        </w:rPr>
      </w:pPr>
    </w:p>
    <w:p w14:paraId="77FBD20C" w14:textId="05D6601B" w:rsidR="00F30C1D" w:rsidRPr="003E6456" w:rsidRDefault="00E11B18" w:rsidP="001C054C">
      <w:pPr>
        <w:spacing w:line="360" w:lineRule="auto"/>
        <w:ind w:right="141"/>
        <w:jc w:val="both"/>
        <w:rPr>
          <w:rFonts w:ascii="Palatino Linotype" w:eastAsiaTheme="minorHAnsi" w:hAnsi="Palatino Linotype" w:cs="Arial"/>
          <w:bCs/>
          <w:i/>
          <w:lang w:val="es-MX" w:eastAsia="en-US"/>
        </w:rPr>
      </w:pPr>
      <w:r w:rsidRPr="003E6456">
        <w:rPr>
          <w:rFonts w:ascii="Palatino Linotype" w:eastAsiaTheme="minorHAnsi" w:hAnsi="Palatino Linotype" w:cs="Arial"/>
          <w:bCs/>
          <w:lang w:val="es-MX" w:eastAsia="en-US"/>
        </w:rPr>
        <w:t xml:space="preserve">Es así que derivado de la respuesta emitida por </w:t>
      </w:r>
      <w:r w:rsidRPr="003E6456">
        <w:rPr>
          <w:rFonts w:ascii="Palatino Linotype" w:eastAsiaTheme="minorHAnsi" w:hAnsi="Palatino Linotype" w:cs="Arial"/>
          <w:b/>
          <w:bCs/>
          <w:lang w:val="es-MX" w:eastAsia="en-US"/>
        </w:rPr>
        <w:t>El Sujeto Obligado</w:t>
      </w:r>
      <w:r w:rsidRPr="003E6456">
        <w:rPr>
          <w:rFonts w:ascii="Palatino Linotype" w:eastAsiaTheme="minorHAnsi" w:hAnsi="Palatino Linotype" w:cs="Arial"/>
          <w:bCs/>
          <w:lang w:val="es-MX" w:eastAsia="en-US"/>
        </w:rPr>
        <w:t xml:space="preserve">, </w:t>
      </w:r>
      <w:r w:rsidRPr="003E6456">
        <w:rPr>
          <w:rFonts w:ascii="Palatino Linotype" w:eastAsiaTheme="minorHAnsi" w:hAnsi="Palatino Linotype" w:cs="Arial"/>
          <w:b/>
          <w:bCs/>
          <w:lang w:val="es-MX" w:eastAsia="en-US"/>
        </w:rPr>
        <w:t>El Recurrente</w:t>
      </w:r>
      <w:r w:rsidRPr="003E6456">
        <w:rPr>
          <w:rFonts w:ascii="Palatino Linotype" w:eastAsiaTheme="minorHAnsi" w:hAnsi="Palatino Linotype" w:cs="Arial"/>
          <w:bCs/>
          <w:lang w:val="es-MX" w:eastAsia="en-US"/>
        </w:rPr>
        <w:t>, interpuso el presente recurso de revisión, señalando sustancialmente como su</w:t>
      </w:r>
      <w:r w:rsidR="006A2694" w:rsidRPr="003E6456">
        <w:rPr>
          <w:rFonts w:ascii="Palatino Linotype" w:eastAsiaTheme="minorHAnsi" w:hAnsi="Palatino Linotype" w:cs="Arial"/>
          <w:bCs/>
          <w:lang w:val="es-MX" w:eastAsia="en-US"/>
        </w:rPr>
        <w:t xml:space="preserve"> Acto Impugnado</w:t>
      </w:r>
      <w:r w:rsidRPr="003E6456">
        <w:rPr>
          <w:rFonts w:ascii="Palatino Linotype" w:eastAsiaTheme="minorHAnsi" w:hAnsi="Palatino Linotype" w:cs="Arial"/>
          <w:bCs/>
          <w:lang w:val="es-MX" w:eastAsia="en-US"/>
        </w:rPr>
        <w:t>, lo siguiente:</w:t>
      </w:r>
      <w:r w:rsidR="00E9680B" w:rsidRPr="003E6456">
        <w:rPr>
          <w:rFonts w:ascii="Palatino Linotype" w:eastAsiaTheme="minorHAnsi" w:hAnsi="Palatino Linotype" w:cs="Arial"/>
          <w:bCs/>
          <w:lang w:val="es-MX" w:eastAsia="en-US"/>
        </w:rPr>
        <w:t xml:space="preserve"> </w:t>
      </w:r>
      <w:r w:rsidRPr="003E6456">
        <w:rPr>
          <w:rFonts w:ascii="Palatino Linotype" w:eastAsiaTheme="minorHAnsi" w:hAnsi="Palatino Linotype" w:cs="Arial"/>
          <w:bCs/>
          <w:i/>
          <w:lang w:val="es-MX" w:eastAsia="en-US"/>
        </w:rPr>
        <w:t>“</w:t>
      </w:r>
      <w:r w:rsidR="00251C5D" w:rsidRPr="003E6456">
        <w:rPr>
          <w:rFonts w:ascii="Palatino Linotype" w:eastAsiaTheme="minorHAnsi" w:hAnsi="Palatino Linotype" w:cs="Arial"/>
          <w:b/>
          <w:bCs/>
          <w:i/>
          <w:u w:val="single"/>
          <w:lang w:val="es-MX" w:eastAsia="en-US"/>
        </w:rPr>
        <w:t>no entregan lo solicitado vía saimex, a demás le recuerdo a la encargada de transparencia que según el articulo 161 el direccionamiento a ipomex no debe demorar mas de 5 días hábiles, le sugiero se ponga a estudiar</w:t>
      </w:r>
      <w:r w:rsidRPr="003E6456">
        <w:rPr>
          <w:rFonts w:ascii="Palatino Linotype" w:eastAsiaTheme="minorHAnsi" w:hAnsi="Palatino Linotype" w:cs="Arial"/>
          <w:bCs/>
          <w:i/>
          <w:lang w:val="es-MX" w:eastAsia="en-US"/>
        </w:rPr>
        <w:t>” (Sic).</w:t>
      </w:r>
    </w:p>
    <w:p w14:paraId="3DF49C93" w14:textId="77777777" w:rsidR="00FC079F" w:rsidRPr="003E6456" w:rsidRDefault="00FC079F" w:rsidP="008A12CF">
      <w:pPr>
        <w:tabs>
          <w:tab w:val="left" w:pos="709"/>
        </w:tabs>
        <w:spacing w:line="360" w:lineRule="auto"/>
        <w:contextualSpacing/>
        <w:jc w:val="both"/>
        <w:rPr>
          <w:rFonts w:ascii="Palatino Linotype" w:eastAsiaTheme="minorHAnsi" w:hAnsi="Palatino Linotype" w:cs="Arial"/>
          <w:bCs/>
          <w:lang w:val="es-MX" w:eastAsia="en-US"/>
        </w:rPr>
      </w:pPr>
    </w:p>
    <w:p w14:paraId="70F335EC" w14:textId="7FFB5D81" w:rsidR="00251C5D" w:rsidRPr="003E6456" w:rsidRDefault="00251C5D" w:rsidP="008A12CF">
      <w:pPr>
        <w:tabs>
          <w:tab w:val="left" w:pos="709"/>
        </w:tabs>
        <w:spacing w:line="360" w:lineRule="auto"/>
        <w:contextualSpacing/>
        <w:jc w:val="both"/>
        <w:rPr>
          <w:rFonts w:ascii="Palatino Linotype" w:eastAsiaTheme="minorHAnsi" w:hAnsi="Palatino Linotype" w:cs="Arial"/>
          <w:bCs/>
          <w:lang w:val="es-MX" w:eastAsia="en-US"/>
        </w:rPr>
      </w:pPr>
      <w:r w:rsidRPr="003E6456">
        <w:rPr>
          <w:rFonts w:ascii="Palatino Linotype" w:eastAsiaTheme="minorHAnsi" w:hAnsi="Palatino Linotype" w:cs="Arial"/>
          <w:bCs/>
          <w:lang w:val="es-MX" w:eastAsia="en-US"/>
        </w:rPr>
        <w:t xml:space="preserve">Por lo anterior, el </w:t>
      </w:r>
      <w:r w:rsidRPr="003E6456">
        <w:rPr>
          <w:rFonts w:ascii="Palatino Linotype" w:eastAsiaTheme="minorHAnsi" w:hAnsi="Palatino Linotype" w:cs="Arial"/>
          <w:b/>
          <w:lang w:val="es-MX" w:eastAsia="en-US"/>
        </w:rPr>
        <w:t>Sujeto Obligado</w:t>
      </w:r>
      <w:r w:rsidRPr="003E6456">
        <w:rPr>
          <w:rFonts w:ascii="Palatino Linotype" w:eastAsiaTheme="minorHAnsi" w:hAnsi="Palatino Linotype" w:cs="Arial"/>
          <w:bCs/>
          <w:lang w:val="es-MX" w:eastAsia="en-US"/>
        </w:rPr>
        <w:t xml:space="preserve"> en la etapa de manifestaciones a través del Titular de la Unidad de Transparencia y del Servidor Público Habilitado del Departamento de Pensiones, ratificaron su respuesta primigenia.</w:t>
      </w:r>
    </w:p>
    <w:p w14:paraId="23ABBAEF" w14:textId="77777777" w:rsidR="00FA5223" w:rsidRPr="003E6456" w:rsidRDefault="00FA5223" w:rsidP="008A12CF">
      <w:pPr>
        <w:tabs>
          <w:tab w:val="left" w:pos="709"/>
        </w:tabs>
        <w:spacing w:line="360" w:lineRule="auto"/>
        <w:contextualSpacing/>
        <w:jc w:val="both"/>
        <w:rPr>
          <w:rFonts w:ascii="Palatino Linotype" w:hAnsi="Palatino Linotype" w:cs="Arial"/>
          <w:lang w:val="es-ES_tradnl"/>
        </w:rPr>
      </w:pPr>
    </w:p>
    <w:p w14:paraId="6C277C3B" w14:textId="77777777" w:rsidR="008A12CF" w:rsidRPr="003E6456" w:rsidRDefault="00E9680B" w:rsidP="008A12CF">
      <w:pPr>
        <w:tabs>
          <w:tab w:val="left" w:pos="709"/>
        </w:tabs>
        <w:spacing w:line="360" w:lineRule="auto"/>
        <w:contextualSpacing/>
        <w:jc w:val="both"/>
        <w:rPr>
          <w:rFonts w:ascii="Palatino Linotype" w:hAnsi="Palatino Linotype" w:cs="Arial"/>
        </w:rPr>
      </w:pPr>
      <w:r w:rsidRPr="003E6456">
        <w:rPr>
          <w:rFonts w:ascii="Palatino Linotype" w:hAnsi="Palatino Linotype" w:cs="Arial"/>
          <w:lang w:val="es-ES_tradnl"/>
        </w:rPr>
        <w:t>Ante ello</w:t>
      </w:r>
      <w:r w:rsidR="008A12CF" w:rsidRPr="003E6456">
        <w:rPr>
          <w:rFonts w:ascii="Palatino Linotype" w:hAnsi="Palatino Linotype" w:cs="Arial"/>
          <w:lang w:val="es-ES_tradnl"/>
        </w:rPr>
        <w:t xml:space="preserve">, es de </w:t>
      </w:r>
      <w:r w:rsidR="008A12CF" w:rsidRPr="003E6456">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3E6456" w:rsidRDefault="00791193" w:rsidP="00791193">
      <w:pPr>
        <w:pStyle w:val="Sinespaciado"/>
      </w:pPr>
    </w:p>
    <w:p w14:paraId="42FB5373"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i/>
          <w:sz w:val="22"/>
        </w:rPr>
        <w:t>“</w:t>
      </w:r>
      <w:r w:rsidRPr="003E6456">
        <w:rPr>
          <w:rFonts w:ascii="Palatino Linotype" w:hAnsi="Palatino Linotype" w:cs="Arial"/>
          <w:b/>
          <w:i/>
          <w:sz w:val="22"/>
        </w:rPr>
        <w:t xml:space="preserve">Artículo 4. </w:t>
      </w:r>
      <w:r w:rsidRPr="003E6456">
        <w:rPr>
          <w:rFonts w:ascii="Palatino Linotype" w:hAnsi="Palatino Linotype" w:cs="Arial"/>
          <w:i/>
          <w:sz w:val="22"/>
        </w:rPr>
        <w:t xml:space="preserve">… </w:t>
      </w:r>
    </w:p>
    <w:p w14:paraId="3EBD2FA7"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3E6456">
        <w:rPr>
          <w:rFonts w:ascii="Palatino Linotype" w:hAnsi="Palatino Linotype" w:cs="Arial"/>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E6456">
        <w:rPr>
          <w:rFonts w:ascii="Palatino Linotype" w:hAnsi="Palatino Linotype" w:cs="Arial"/>
          <w:i/>
          <w:sz w:val="22"/>
        </w:rPr>
        <w:t>evistas por esta Ley.</w:t>
      </w:r>
      <w:r w:rsidRPr="003E6456">
        <w:rPr>
          <w:rFonts w:ascii="Palatino Linotype" w:hAnsi="Palatino Linotype" w:cs="Arial"/>
          <w:i/>
          <w:sz w:val="22"/>
        </w:rPr>
        <w:t>”</w:t>
      </w:r>
    </w:p>
    <w:p w14:paraId="7ADA0171" w14:textId="77777777" w:rsidR="00E9680B" w:rsidRPr="003E6456"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3E6456" w:rsidRDefault="008A12CF" w:rsidP="008A12CF">
      <w:pPr>
        <w:tabs>
          <w:tab w:val="left" w:pos="709"/>
        </w:tabs>
        <w:spacing w:line="360" w:lineRule="auto"/>
        <w:contextualSpacing/>
        <w:jc w:val="both"/>
        <w:rPr>
          <w:rFonts w:ascii="Palatino Linotype" w:hAnsi="Palatino Linotype" w:cs="Arial"/>
          <w:lang w:val="es-ES_tradnl"/>
        </w:rPr>
      </w:pPr>
      <w:r w:rsidRPr="003E645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3E6456"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3E6456" w:rsidRDefault="008A12CF" w:rsidP="008A12CF">
      <w:pPr>
        <w:tabs>
          <w:tab w:val="left" w:pos="709"/>
        </w:tabs>
        <w:spacing w:line="360" w:lineRule="auto"/>
        <w:contextualSpacing/>
        <w:jc w:val="both"/>
        <w:rPr>
          <w:rFonts w:ascii="Palatino Linotype" w:hAnsi="Palatino Linotype" w:cs="Arial"/>
        </w:rPr>
      </w:pPr>
      <w:r w:rsidRPr="003E645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59E477" w14:textId="77777777" w:rsidR="008A12CF" w:rsidRPr="003E6456" w:rsidRDefault="008A12CF" w:rsidP="008A12CF">
      <w:pPr>
        <w:pStyle w:val="Sinespaciado"/>
        <w:rPr>
          <w:sz w:val="16"/>
          <w:lang w:val="es-ES_tradnl"/>
        </w:rPr>
      </w:pPr>
    </w:p>
    <w:p w14:paraId="469E78F4" w14:textId="77777777" w:rsidR="008A12CF" w:rsidRPr="003E6456" w:rsidRDefault="008A12CF" w:rsidP="00E9680B">
      <w:pPr>
        <w:ind w:left="567" w:right="616"/>
        <w:jc w:val="both"/>
        <w:rPr>
          <w:rFonts w:ascii="Palatino Linotype" w:hAnsi="Palatino Linotype" w:cs="Arial"/>
          <w:i/>
          <w:sz w:val="22"/>
        </w:rPr>
      </w:pPr>
      <w:r w:rsidRPr="003E6456">
        <w:rPr>
          <w:rFonts w:ascii="Palatino Linotype" w:hAnsi="Palatino Linotype" w:cs="Arial"/>
          <w:i/>
          <w:sz w:val="22"/>
        </w:rPr>
        <w:t>“</w:t>
      </w:r>
      <w:r w:rsidRPr="003E6456">
        <w:rPr>
          <w:rFonts w:ascii="Palatino Linotype" w:hAnsi="Palatino Linotype" w:cs="Arial"/>
          <w:b/>
          <w:i/>
          <w:sz w:val="22"/>
        </w:rPr>
        <w:t>Artículo 12.</w:t>
      </w:r>
      <w:r w:rsidRPr="003E645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E6456" w:rsidRDefault="008A12CF" w:rsidP="00E9680B">
      <w:pPr>
        <w:ind w:left="567" w:right="616"/>
        <w:jc w:val="both"/>
        <w:rPr>
          <w:rFonts w:ascii="Palatino Linotype" w:hAnsi="Palatino Linotype" w:cs="Arial"/>
          <w:i/>
          <w:sz w:val="22"/>
        </w:rPr>
      </w:pPr>
    </w:p>
    <w:p w14:paraId="4C59E8C4" w14:textId="77777777" w:rsidR="00CC0B81" w:rsidRPr="003E6456" w:rsidRDefault="008A12CF" w:rsidP="00581DC8">
      <w:pPr>
        <w:ind w:left="567" w:right="616"/>
        <w:jc w:val="both"/>
        <w:rPr>
          <w:rFonts w:ascii="Palatino Linotype" w:hAnsi="Palatino Linotype" w:cs="Arial"/>
          <w:i/>
          <w:sz w:val="22"/>
        </w:rPr>
      </w:pPr>
      <w:r w:rsidRPr="003E645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3E6456"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3E6456" w:rsidRDefault="008A12CF" w:rsidP="008A12CF">
      <w:pPr>
        <w:tabs>
          <w:tab w:val="left" w:pos="709"/>
        </w:tabs>
        <w:spacing w:line="360" w:lineRule="auto"/>
        <w:contextualSpacing/>
        <w:jc w:val="both"/>
        <w:rPr>
          <w:rFonts w:ascii="Palatino Linotype" w:hAnsi="Palatino Linotype" w:cs="Arial"/>
        </w:rPr>
      </w:pPr>
      <w:r w:rsidRPr="003E6456">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3E6456">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3E6456"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3E6456" w:rsidRDefault="008A12CF" w:rsidP="008A12CF">
      <w:pPr>
        <w:tabs>
          <w:tab w:val="left" w:pos="709"/>
        </w:tabs>
        <w:spacing w:line="360" w:lineRule="auto"/>
        <w:contextualSpacing/>
        <w:jc w:val="both"/>
        <w:rPr>
          <w:rFonts w:ascii="Palatino Linotype" w:hAnsi="Palatino Linotype" w:cs="Arial"/>
        </w:rPr>
      </w:pPr>
      <w:r w:rsidRPr="003E645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E645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E645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3E6456" w:rsidRDefault="008A12CF" w:rsidP="008A12CF">
      <w:pPr>
        <w:pStyle w:val="Sinespaciado"/>
      </w:pPr>
    </w:p>
    <w:p w14:paraId="7C973409"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i/>
          <w:sz w:val="22"/>
        </w:rPr>
        <w:t>“</w:t>
      </w:r>
      <w:r w:rsidRPr="003E6456">
        <w:rPr>
          <w:rFonts w:ascii="Palatino Linotype" w:hAnsi="Palatino Linotype" w:cs="Arial"/>
          <w:b/>
          <w:i/>
          <w:sz w:val="22"/>
        </w:rPr>
        <w:t xml:space="preserve">Artículo 3. </w:t>
      </w:r>
      <w:r w:rsidRPr="003E6456">
        <w:rPr>
          <w:rFonts w:ascii="Palatino Linotype" w:hAnsi="Palatino Linotype" w:cs="Arial"/>
          <w:i/>
          <w:sz w:val="22"/>
        </w:rPr>
        <w:t>Para los efectos de la presente Ley se entenderá por:</w:t>
      </w:r>
    </w:p>
    <w:p w14:paraId="4FB43049"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i/>
          <w:sz w:val="22"/>
        </w:rPr>
        <w:t>(…)</w:t>
      </w:r>
    </w:p>
    <w:p w14:paraId="4EAD3377"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b/>
          <w:i/>
          <w:sz w:val="22"/>
        </w:rPr>
        <w:t>XI. Documento:</w:t>
      </w:r>
      <w:r w:rsidRPr="003E645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E6456">
        <w:rPr>
          <w:rFonts w:ascii="Palatino Linotype" w:hAnsi="Palatino Linotype" w:cs="Arial"/>
          <w:b/>
          <w:i/>
          <w:sz w:val="22"/>
          <w:u w:val="single"/>
        </w:rPr>
        <w:t>registro que documente el ejercicio de las facultades, funciones y competencias de los sujetos obligados</w:t>
      </w:r>
      <w:r w:rsidRPr="003E6456">
        <w:rPr>
          <w:rFonts w:ascii="Palatino Linotype" w:hAnsi="Palatino Linotype" w:cs="Arial"/>
          <w:i/>
          <w:sz w:val="22"/>
          <w:u w:val="single"/>
        </w:rPr>
        <w:t>,</w:t>
      </w:r>
      <w:r w:rsidRPr="003E6456">
        <w:rPr>
          <w:rFonts w:ascii="Palatino Linotype" w:hAnsi="Palatino Linotype" w:cs="Arial"/>
          <w:i/>
          <w:sz w:val="22"/>
        </w:rPr>
        <w:t xml:space="preserve"> sus servidores públicos e integrantes, </w:t>
      </w:r>
      <w:r w:rsidRPr="003E6456">
        <w:rPr>
          <w:rFonts w:ascii="Palatino Linotype" w:hAnsi="Palatino Linotype" w:cs="Arial"/>
          <w:b/>
          <w:i/>
          <w:sz w:val="22"/>
          <w:u w:val="single"/>
        </w:rPr>
        <w:t>sin importar su fuente o fecha de elaboración.</w:t>
      </w:r>
      <w:r w:rsidRPr="003E6456">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3E6456" w:rsidRDefault="008A12CF" w:rsidP="00351E9D">
      <w:pPr>
        <w:ind w:left="567" w:right="616"/>
        <w:jc w:val="both"/>
        <w:rPr>
          <w:rFonts w:ascii="Palatino Linotype" w:hAnsi="Palatino Linotype" w:cs="Arial"/>
          <w:i/>
          <w:sz w:val="22"/>
        </w:rPr>
      </w:pPr>
      <w:r w:rsidRPr="003E6456">
        <w:rPr>
          <w:rFonts w:ascii="Palatino Linotype" w:hAnsi="Palatino Linotype" w:cs="Arial"/>
          <w:i/>
          <w:sz w:val="22"/>
        </w:rPr>
        <w:t>(…)”</w:t>
      </w:r>
    </w:p>
    <w:p w14:paraId="35433D2B" w14:textId="77777777" w:rsidR="008A12CF" w:rsidRPr="003E6456" w:rsidRDefault="008A12CF" w:rsidP="008A12CF">
      <w:pPr>
        <w:rPr>
          <w:sz w:val="14"/>
        </w:rPr>
      </w:pPr>
    </w:p>
    <w:p w14:paraId="6F8E6CBD" w14:textId="77777777" w:rsidR="008A12CF" w:rsidRPr="003E6456" w:rsidRDefault="008A12CF" w:rsidP="008A12CF"/>
    <w:p w14:paraId="45EE91DC" w14:textId="77777777" w:rsidR="008A12CF" w:rsidRPr="003E6456" w:rsidRDefault="008A12CF" w:rsidP="008A12CF">
      <w:pPr>
        <w:spacing w:before="240" w:after="240" w:line="360" w:lineRule="auto"/>
        <w:ind w:right="49"/>
        <w:contextualSpacing/>
        <w:jc w:val="both"/>
        <w:rPr>
          <w:rFonts w:ascii="Palatino Linotype" w:hAnsi="Palatino Linotype" w:cs="Arial"/>
          <w:lang w:eastAsia="es-MX"/>
        </w:rPr>
      </w:pPr>
      <w:r w:rsidRPr="003E6456">
        <w:rPr>
          <w:rFonts w:ascii="Palatino Linotype" w:hAnsi="Palatino Linotype" w:cs="Arial"/>
        </w:rPr>
        <w:t xml:space="preserve">Además, </w:t>
      </w:r>
      <w:r w:rsidRPr="003E6456">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3E6456">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3E6456"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3E6456" w:rsidRDefault="008A12CF" w:rsidP="008A12CF">
      <w:pPr>
        <w:spacing w:before="240" w:after="240" w:line="360" w:lineRule="auto"/>
        <w:ind w:right="49"/>
        <w:contextualSpacing/>
        <w:jc w:val="both"/>
        <w:rPr>
          <w:rFonts w:ascii="Palatino Linotype" w:eastAsia="MS Mincho" w:hAnsi="Palatino Linotype" w:cs="Tahoma"/>
        </w:rPr>
      </w:pPr>
      <w:r w:rsidRPr="003E6456">
        <w:rPr>
          <w:rFonts w:ascii="Palatino Linotype" w:hAnsi="Palatino Linotype" w:cs="Arial"/>
          <w:lang w:eastAsia="es-MX"/>
        </w:rPr>
        <w:t xml:space="preserve">De la misma forma, </w:t>
      </w:r>
      <w:r w:rsidRPr="003E6456">
        <w:rPr>
          <w:rFonts w:ascii="Palatino Linotype" w:eastAsia="MS Mincho" w:hAnsi="Palatino Linotype"/>
        </w:rPr>
        <w:t>de acuerdo al contenido del artículo 160,</w:t>
      </w:r>
      <w:r w:rsidRPr="003E6456">
        <w:rPr>
          <w:rFonts w:ascii="Palatino Linotype" w:hAnsi="Palatino Linotype" w:cs="Arial"/>
        </w:rPr>
        <w:t xml:space="preserve"> de la Ley </w:t>
      </w:r>
      <w:r w:rsidRPr="003E6456">
        <w:rPr>
          <w:rFonts w:ascii="Palatino Linotype" w:eastAsia="MS Mincho" w:hAnsi="Palatino Linotype" w:cs="Tahoma"/>
        </w:rPr>
        <w:t>General de Transparencia y Acceso a la Información Pública que a la letra dispone:</w:t>
      </w:r>
    </w:p>
    <w:p w14:paraId="21CCA012" w14:textId="77777777" w:rsidR="008A12CF" w:rsidRPr="003E6456" w:rsidRDefault="008A12CF" w:rsidP="008A12CF"/>
    <w:p w14:paraId="422592D4" w14:textId="77777777" w:rsidR="008A12CF" w:rsidRPr="003E6456" w:rsidRDefault="008A12CF" w:rsidP="00351E9D">
      <w:pPr>
        <w:ind w:left="567" w:right="616"/>
        <w:contextualSpacing/>
        <w:jc w:val="both"/>
        <w:rPr>
          <w:rFonts w:ascii="Palatino Linotype" w:hAnsi="Palatino Linotype" w:cs="Arial"/>
          <w:i/>
          <w:sz w:val="22"/>
          <w:lang w:eastAsia="gl-ES"/>
        </w:rPr>
      </w:pPr>
      <w:r w:rsidRPr="003E6456">
        <w:rPr>
          <w:rFonts w:ascii="Palatino Linotype" w:hAnsi="Palatino Linotype" w:cs="Arial"/>
          <w:b/>
          <w:i/>
          <w:sz w:val="22"/>
          <w:lang w:eastAsia="gl-ES"/>
        </w:rPr>
        <w:t>Artículo 160</w:t>
      </w:r>
      <w:r w:rsidRPr="003E645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3E6456" w:rsidRDefault="008A12CF" w:rsidP="00351E9D">
      <w:pPr>
        <w:ind w:right="616"/>
        <w:contextualSpacing/>
        <w:jc w:val="both"/>
        <w:rPr>
          <w:rFonts w:ascii="Palatino Linotype" w:hAnsi="Palatino Linotype" w:cs="Arial"/>
          <w:i/>
          <w:lang w:eastAsia="gl-ES"/>
        </w:rPr>
      </w:pPr>
    </w:p>
    <w:p w14:paraId="34F9B181" w14:textId="77777777" w:rsidR="008A12CF" w:rsidRPr="003E6456" w:rsidRDefault="008A12CF" w:rsidP="00FC1FC5">
      <w:pPr>
        <w:spacing w:line="360" w:lineRule="auto"/>
        <w:jc w:val="both"/>
        <w:rPr>
          <w:rFonts w:ascii="Palatino Linotype" w:hAnsi="Palatino Linotype" w:cs="Arial"/>
          <w:color w:val="222222"/>
          <w:szCs w:val="19"/>
          <w:lang w:eastAsia="es-MX"/>
        </w:rPr>
      </w:pPr>
      <w:r w:rsidRPr="003E6456">
        <w:rPr>
          <w:rFonts w:ascii="Palatino Linotype" w:hAnsi="Palatino Linotype"/>
          <w:color w:val="000000"/>
        </w:rPr>
        <w:t xml:space="preserve">Sirve como apoyo </w:t>
      </w:r>
      <w:r w:rsidRPr="003E645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E6456" w:rsidRDefault="008A12CF" w:rsidP="008A12CF">
      <w:pPr>
        <w:pStyle w:val="Sinespaciado"/>
        <w:rPr>
          <w:lang w:eastAsia="es-MX"/>
        </w:rPr>
      </w:pPr>
    </w:p>
    <w:p w14:paraId="3B377C22" w14:textId="77777777" w:rsidR="008A12CF" w:rsidRPr="003E6456"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E645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E645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E6456" w:rsidRDefault="008A12CF" w:rsidP="008A12CF">
      <w:pPr>
        <w:pStyle w:val="Sinespaciado"/>
      </w:pPr>
    </w:p>
    <w:p w14:paraId="11F242E0" w14:textId="77777777" w:rsidR="008A12CF" w:rsidRPr="003E6456" w:rsidRDefault="008A12CF" w:rsidP="008A12CF">
      <w:pPr>
        <w:pStyle w:val="Sinespaciado"/>
      </w:pPr>
    </w:p>
    <w:p w14:paraId="15FC42C0" w14:textId="77777777" w:rsidR="008A12CF" w:rsidRPr="003E6456" w:rsidRDefault="008A12CF" w:rsidP="008A12CF">
      <w:pPr>
        <w:spacing w:line="360" w:lineRule="auto"/>
        <w:contextualSpacing/>
        <w:jc w:val="both"/>
        <w:rPr>
          <w:rFonts w:ascii="Palatino Linotype" w:hAnsi="Palatino Linotype" w:cs="Arial"/>
        </w:rPr>
      </w:pPr>
      <w:r w:rsidRPr="003E6456">
        <w:rPr>
          <w:rFonts w:ascii="Palatino Linotype" w:hAnsi="Palatino Linotype" w:cs="Arial"/>
          <w:bCs/>
        </w:rPr>
        <w:lastRenderedPageBreak/>
        <w:t xml:space="preserve">Además, </w:t>
      </w:r>
      <w:r w:rsidRPr="003E6456">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09997C25" w14:textId="77777777" w:rsidR="00581DC8" w:rsidRPr="003E6456" w:rsidRDefault="00581DC8" w:rsidP="00581DC8">
      <w:pPr>
        <w:pStyle w:val="Sinespaciado"/>
      </w:pPr>
    </w:p>
    <w:p w14:paraId="603C5A5A" w14:textId="77777777" w:rsidR="00581DC8" w:rsidRPr="003E6456" w:rsidRDefault="00581DC8" w:rsidP="00581DC8">
      <w:pPr>
        <w:ind w:left="567" w:right="616"/>
        <w:contextualSpacing/>
        <w:jc w:val="both"/>
        <w:rPr>
          <w:rFonts w:ascii="Palatino Linotype" w:hAnsi="Palatino Linotype" w:cs="Arial"/>
          <w:i/>
          <w:sz w:val="22"/>
        </w:rPr>
      </w:pPr>
      <w:r w:rsidRPr="003E6456">
        <w:rPr>
          <w:rFonts w:ascii="Palatino Linotype" w:hAnsi="Palatino Linotype" w:cs="Arial"/>
          <w:b/>
          <w:i/>
          <w:sz w:val="22"/>
        </w:rPr>
        <w:t>Artículo 23.</w:t>
      </w:r>
      <w:r w:rsidRPr="003E6456">
        <w:rPr>
          <w:rFonts w:ascii="Palatino Linotype" w:hAnsi="Palatino Linotype" w:cs="Arial"/>
          <w:i/>
          <w:sz w:val="22"/>
        </w:rPr>
        <w:t xml:space="preserve"> Son sujetos obligados a transparentar y permitir el acceso a su información y proteger los datos personales que obren en su poder:</w:t>
      </w:r>
    </w:p>
    <w:p w14:paraId="06631068" w14:textId="77777777" w:rsidR="00A2385C" w:rsidRPr="003E6456" w:rsidRDefault="00A2385C" w:rsidP="00581DC8">
      <w:pPr>
        <w:ind w:left="567" w:right="616"/>
        <w:contextualSpacing/>
        <w:jc w:val="both"/>
        <w:rPr>
          <w:rFonts w:ascii="Palatino Linotype" w:hAnsi="Palatino Linotype" w:cs="Arial"/>
          <w:b/>
          <w:i/>
          <w:sz w:val="22"/>
        </w:rPr>
      </w:pPr>
    </w:p>
    <w:p w14:paraId="217913DD" w14:textId="77777777" w:rsidR="00E9680B" w:rsidRPr="003E6456" w:rsidRDefault="00A2385C" w:rsidP="00581DC8">
      <w:pPr>
        <w:ind w:left="567" w:right="616"/>
        <w:contextualSpacing/>
        <w:jc w:val="both"/>
        <w:rPr>
          <w:rFonts w:ascii="Palatino Linotype" w:hAnsi="Palatino Linotype" w:cs="Arial"/>
          <w:i/>
          <w:sz w:val="22"/>
        </w:rPr>
      </w:pPr>
      <w:r w:rsidRPr="003E6456">
        <w:rPr>
          <w:rFonts w:ascii="Palatino Linotype" w:hAnsi="Palatino Linotype" w:cs="Arial"/>
          <w:b/>
          <w:i/>
          <w:sz w:val="22"/>
        </w:rPr>
        <w:t>I</w:t>
      </w:r>
      <w:r w:rsidR="008A12CF" w:rsidRPr="003E6456">
        <w:rPr>
          <w:rFonts w:ascii="Palatino Linotype" w:hAnsi="Palatino Linotype" w:cs="Arial"/>
          <w:b/>
          <w:i/>
          <w:sz w:val="22"/>
        </w:rPr>
        <w:t xml:space="preserve">.- </w:t>
      </w:r>
      <w:r w:rsidRPr="003E6456">
        <w:rPr>
          <w:rFonts w:ascii="Palatino Linotype" w:hAnsi="Palatino Linotype" w:cs="Arial"/>
          <w:i/>
          <w:sz w:val="22"/>
        </w:rPr>
        <w:t xml:space="preserve">El Poder Ejecutivo del Estado de México, </w:t>
      </w:r>
      <w:r w:rsidRPr="003E6456">
        <w:rPr>
          <w:rFonts w:ascii="Palatino Linotype" w:hAnsi="Palatino Linotype" w:cs="Arial"/>
          <w:b/>
          <w:i/>
          <w:sz w:val="22"/>
          <w:u w:val="single"/>
        </w:rPr>
        <w:t>las dependencias</w:t>
      </w:r>
      <w:r w:rsidRPr="003E6456">
        <w:rPr>
          <w:rFonts w:ascii="Palatino Linotype" w:hAnsi="Palatino Linotype" w:cs="Arial"/>
          <w:i/>
          <w:sz w:val="22"/>
        </w:rPr>
        <w:t xml:space="preserve">, </w:t>
      </w:r>
      <w:r w:rsidRPr="003E6456">
        <w:rPr>
          <w:rFonts w:ascii="Palatino Linotype" w:hAnsi="Palatino Linotype" w:cs="Arial"/>
          <w:b/>
          <w:i/>
          <w:sz w:val="22"/>
          <w:u w:val="single"/>
        </w:rPr>
        <w:t>organismos auxiliares</w:t>
      </w:r>
      <w:r w:rsidRPr="003E6456">
        <w:rPr>
          <w:rFonts w:ascii="Palatino Linotype" w:hAnsi="Palatino Linotype" w:cs="Arial"/>
          <w:i/>
          <w:sz w:val="22"/>
        </w:rPr>
        <w:t>, órganos, entidades, fideicomisos y fondos públicos, así como la Procuraduría General de Justicia</w:t>
      </w:r>
      <w:r w:rsidR="008A12CF" w:rsidRPr="003E6456">
        <w:rPr>
          <w:rFonts w:ascii="Palatino Linotype" w:hAnsi="Palatino Linotype" w:cs="Arial"/>
          <w:i/>
          <w:sz w:val="22"/>
        </w:rPr>
        <w:t>;</w:t>
      </w:r>
    </w:p>
    <w:p w14:paraId="3CFBD3F6" w14:textId="77777777" w:rsidR="00031EFF" w:rsidRPr="003E6456" w:rsidRDefault="00031EFF" w:rsidP="0050130E">
      <w:pPr>
        <w:spacing w:line="360" w:lineRule="auto"/>
        <w:jc w:val="both"/>
        <w:rPr>
          <w:rFonts w:ascii="Palatino Linotype" w:hAnsi="Palatino Linotype" w:cs="Arial"/>
        </w:rPr>
      </w:pPr>
    </w:p>
    <w:p w14:paraId="23FF5392" w14:textId="77777777" w:rsidR="00087797" w:rsidRPr="003E6456" w:rsidRDefault="008A12CF" w:rsidP="00F30C1D">
      <w:pPr>
        <w:spacing w:line="360" w:lineRule="auto"/>
        <w:jc w:val="both"/>
        <w:rPr>
          <w:rFonts w:ascii="Palatino Linotype" w:hAnsi="Palatino Linotype" w:cs="Arial"/>
        </w:rPr>
      </w:pPr>
      <w:r w:rsidRPr="003E6456">
        <w:rPr>
          <w:rFonts w:ascii="Palatino Linotype" w:hAnsi="Palatino Linotype" w:cs="Arial"/>
        </w:rPr>
        <w:t xml:space="preserve">Por lo que, de la respuesta emitida por parte de la  Unidad de Transparencia del </w:t>
      </w:r>
      <w:r w:rsidRPr="003E6456">
        <w:rPr>
          <w:rFonts w:ascii="Palatino Linotype" w:hAnsi="Palatino Linotype" w:cs="Arial"/>
          <w:b/>
        </w:rPr>
        <w:t>Sujeto Obligado</w:t>
      </w:r>
      <w:r w:rsidRPr="003E645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1535BB4B" w14:textId="77777777" w:rsidR="00F30C1D" w:rsidRPr="003E6456" w:rsidRDefault="00F30C1D" w:rsidP="00F30C1D">
      <w:pPr>
        <w:spacing w:line="360" w:lineRule="auto"/>
        <w:jc w:val="both"/>
        <w:rPr>
          <w:rFonts w:ascii="Palatino Linotype" w:hAnsi="Palatino Linotype" w:cs="Arial"/>
        </w:rPr>
      </w:pPr>
    </w:p>
    <w:p w14:paraId="495EE903" w14:textId="77777777" w:rsidR="00FC079F" w:rsidRPr="003E6456" w:rsidRDefault="00F30C1D" w:rsidP="00F30C1D">
      <w:pPr>
        <w:spacing w:line="360" w:lineRule="auto"/>
        <w:jc w:val="both"/>
        <w:rPr>
          <w:rFonts w:ascii="Palatino Linotype" w:eastAsiaTheme="minorHAnsi" w:hAnsi="Palatino Linotype" w:cs="Arial"/>
          <w:szCs w:val="22"/>
          <w:lang w:val="es-MX" w:eastAsia="en-US"/>
        </w:rPr>
      </w:pPr>
      <w:r w:rsidRPr="003E645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E6456">
        <w:rPr>
          <w:rFonts w:ascii="Palatino Linotype" w:eastAsiaTheme="minorHAnsi" w:hAnsi="Palatino Linotype" w:cs="Arial"/>
          <w:b/>
          <w:szCs w:val="22"/>
          <w:lang w:val="es-MX" w:eastAsia="en-US"/>
        </w:rPr>
        <w:t>SAIMEX</w:t>
      </w:r>
      <w:r w:rsidRPr="003E6456">
        <w:rPr>
          <w:rFonts w:ascii="Palatino Linotype" w:eastAsiaTheme="minorHAnsi" w:hAnsi="Palatino Linotype" w:cs="Arial"/>
          <w:szCs w:val="22"/>
          <w:lang w:val="es-MX" w:eastAsia="en-US"/>
        </w:rPr>
        <w:t xml:space="preserve">, a efecto de determinar si con la información remitida por </w:t>
      </w:r>
      <w:r w:rsidRPr="003E6456">
        <w:rPr>
          <w:rFonts w:ascii="Palatino Linotype" w:eastAsiaTheme="minorHAnsi" w:hAnsi="Palatino Linotype" w:cs="Arial"/>
          <w:b/>
          <w:szCs w:val="22"/>
          <w:lang w:val="es-MX" w:eastAsia="en-US"/>
        </w:rPr>
        <w:t>El Sujeto Obligado</w:t>
      </w:r>
      <w:r w:rsidRPr="003E6456">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3E6456" w:rsidRDefault="001D09E1" w:rsidP="00306F04">
      <w:pPr>
        <w:spacing w:line="360" w:lineRule="auto"/>
        <w:jc w:val="both"/>
        <w:rPr>
          <w:rFonts w:ascii="Palatino Linotype" w:eastAsiaTheme="minorHAnsi" w:hAnsi="Palatino Linotype" w:cs="Arial"/>
          <w:szCs w:val="22"/>
          <w:lang w:val="es-MX" w:eastAsia="en-US"/>
        </w:rPr>
      </w:pPr>
    </w:p>
    <w:p w14:paraId="44AB3F49" w14:textId="742344B8" w:rsidR="00A320DF" w:rsidRPr="003E6456" w:rsidRDefault="001D09E1" w:rsidP="002273B6">
      <w:pPr>
        <w:spacing w:line="360" w:lineRule="auto"/>
        <w:ind w:right="-93"/>
        <w:jc w:val="both"/>
        <w:rPr>
          <w:rFonts w:ascii="Palatino Linotype" w:eastAsiaTheme="minorHAnsi" w:hAnsi="Palatino Linotype" w:cs="Arial"/>
          <w:bCs/>
          <w:lang w:val="es-MX" w:eastAsia="en-US"/>
        </w:rPr>
      </w:pPr>
      <w:r w:rsidRPr="003E6456">
        <w:rPr>
          <w:rFonts w:ascii="Palatino Linotype" w:eastAsiaTheme="minorHAnsi" w:hAnsi="Palatino Linotype" w:cs="Arial"/>
          <w:bCs/>
          <w:lang w:val="es-MX" w:eastAsia="en-US"/>
        </w:rPr>
        <w:t xml:space="preserve">Atento a ello, </w:t>
      </w:r>
      <w:r w:rsidR="002273B6" w:rsidRPr="003E6456">
        <w:rPr>
          <w:rFonts w:ascii="Palatino Linotype" w:eastAsiaTheme="minorHAnsi" w:hAnsi="Palatino Linotype" w:cs="Arial"/>
          <w:bCs/>
          <w:lang w:val="es-MX" w:eastAsia="en-US"/>
        </w:rPr>
        <w:t>primeramente,</w:t>
      </w:r>
      <w:r w:rsidRPr="003E6456">
        <w:rPr>
          <w:rFonts w:ascii="Palatino Linotype" w:eastAsiaTheme="minorHAnsi" w:hAnsi="Palatino Linotype" w:cs="Arial"/>
          <w:bCs/>
          <w:lang w:val="es-MX" w:eastAsia="en-US"/>
        </w:rPr>
        <w:t xml:space="preserve"> es importante señalar que </w:t>
      </w:r>
      <w:r w:rsidR="006E6297" w:rsidRPr="003E6456">
        <w:rPr>
          <w:rFonts w:ascii="Palatino Linotype" w:eastAsiaTheme="minorHAnsi" w:hAnsi="Palatino Linotype" w:cs="Arial"/>
          <w:bCs/>
          <w:lang w:val="es-MX" w:eastAsia="en-US"/>
        </w:rPr>
        <w:t>la pretensión del Solicitante es obtener información</w:t>
      </w:r>
      <w:r w:rsidR="00306F04" w:rsidRPr="003E6456">
        <w:rPr>
          <w:rFonts w:ascii="Palatino Linotype" w:eastAsiaTheme="minorHAnsi" w:hAnsi="Palatino Linotype" w:cs="Arial"/>
          <w:bCs/>
          <w:lang w:val="es-MX" w:eastAsia="en-US"/>
        </w:rPr>
        <w:t xml:space="preserve"> </w:t>
      </w:r>
      <w:r w:rsidR="002273B6" w:rsidRPr="003E6456">
        <w:rPr>
          <w:rFonts w:ascii="Palatino Linotype" w:eastAsiaTheme="minorHAnsi" w:hAnsi="Palatino Linotype" w:cs="Arial"/>
          <w:bCs/>
          <w:lang w:val="es-MX" w:eastAsia="en-US"/>
        </w:rPr>
        <w:t>que dé cuenta del nombre y las percepciones netas de los jubilados o pensionados</w:t>
      </w:r>
      <w:r w:rsidR="004454D4" w:rsidRPr="003E6456">
        <w:rPr>
          <w:rFonts w:ascii="Palatino Linotype" w:eastAsiaTheme="minorHAnsi" w:hAnsi="Palatino Linotype" w:cs="Arial"/>
          <w:bCs/>
          <w:lang w:val="es-MX" w:eastAsia="en-US"/>
        </w:rPr>
        <w:t>.</w:t>
      </w:r>
    </w:p>
    <w:p w14:paraId="71D54FA3" w14:textId="77777777" w:rsidR="004454D4" w:rsidRPr="003E6456" w:rsidRDefault="004454D4" w:rsidP="002273B6">
      <w:pPr>
        <w:spacing w:line="360" w:lineRule="auto"/>
        <w:ind w:right="-93"/>
        <w:jc w:val="both"/>
        <w:rPr>
          <w:rFonts w:ascii="Palatino Linotype" w:eastAsiaTheme="minorHAnsi" w:hAnsi="Palatino Linotype" w:cs="Arial"/>
          <w:bCs/>
          <w:lang w:val="es-MX" w:eastAsia="en-US"/>
        </w:rPr>
      </w:pPr>
    </w:p>
    <w:p w14:paraId="79E7B012" w14:textId="0AC16F06" w:rsidR="004454D4" w:rsidRPr="003E6456" w:rsidRDefault="004454D4" w:rsidP="004454D4">
      <w:pPr>
        <w:spacing w:line="360" w:lineRule="auto"/>
        <w:ind w:right="-93"/>
        <w:jc w:val="both"/>
        <w:rPr>
          <w:rFonts w:ascii="Palatino Linotype" w:eastAsiaTheme="minorHAnsi" w:hAnsi="Palatino Linotype" w:cs="Arial"/>
          <w:bCs/>
          <w:lang w:eastAsia="en-US"/>
        </w:rPr>
      </w:pPr>
      <w:r w:rsidRPr="003E6456">
        <w:rPr>
          <w:rFonts w:ascii="Palatino Linotype" w:eastAsiaTheme="minorHAnsi" w:hAnsi="Palatino Linotype" w:cs="Arial"/>
          <w:bCs/>
          <w:lang w:eastAsia="en-US"/>
        </w:rPr>
        <w:lastRenderedPageBreak/>
        <w:t>Ahora bien, los artículos 1°, 2° y 11 de la Ley de Seguridad Social para los Servidores Públicos del Estado de México y Municipios, que establecen que el Instituto de Seguridad Social del Estado de México y Municipios, es un organismo público descentralizado con personalidad jurídica y patrimonio propios encargado de brindar el régimen de seguridad social en favor de los servidores públicos del Estado y Municipios, así como organismos auxiliares y fideicomisos públicos, a través de las siguientes prestaciones:</w:t>
      </w:r>
    </w:p>
    <w:p w14:paraId="485AA49D" w14:textId="77777777" w:rsidR="004454D4" w:rsidRPr="003E6456" w:rsidRDefault="004454D4" w:rsidP="004454D4">
      <w:pPr>
        <w:spacing w:line="360" w:lineRule="auto"/>
        <w:ind w:right="-93"/>
        <w:jc w:val="both"/>
        <w:rPr>
          <w:rFonts w:ascii="Palatino Linotype" w:eastAsiaTheme="minorHAnsi" w:hAnsi="Palatino Linotype" w:cs="Arial"/>
          <w:bCs/>
          <w:lang w:eastAsia="en-US"/>
        </w:rPr>
      </w:pPr>
    </w:p>
    <w:p w14:paraId="586A0176" w14:textId="77777777" w:rsidR="004454D4" w:rsidRPr="003E6456" w:rsidRDefault="004454D4" w:rsidP="004454D4">
      <w:pPr>
        <w:numPr>
          <w:ilvl w:val="0"/>
          <w:numId w:val="21"/>
        </w:numPr>
        <w:spacing w:line="360" w:lineRule="auto"/>
        <w:ind w:right="-93"/>
        <w:jc w:val="both"/>
        <w:rPr>
          <w:rFonts w:ascii="Palatino Linotype" w:eastAsiaTheme="minorHAnsi" w:hAnsi="Palatino Linotype" w:cs="Arial"/>
          <w:bCs/>
          <w:lang w:eastAsia="en-US"/>
        </w:rPr>
      </w:pPr>
      <w:r w:rsidRPr="003E6456">
        <w:rPr>
          <w:rFonts w:ascii="Palatino Linotype" w:eastAsiaTheme="minorHAnsi" w:hAnsi="Palatino Linotype" w:cs="Arial"/>
          <w:bCs/>
          <w:lang w:eastAsia="en-US"/>
        </w:rPr>
        <w:t>Servicios de Salud;</w:t>
      </w:r>
    </w:p>
    <w:p w14:paraId="75C6F151" w14:textId="77777777" w:rsidR="004454D4" w:rsidRPr="003E6456" w:rsidRDefault="004454D4" w:rsidP="004454D4">
      <w:pPr>
        <w:numPr>
          <w:ilvl w:val="0"/>
          <w:numId w:val="21"/>
        </w:numPr>
        <w:spacing w:line="360" w:lineRule="auto"/>
        <w:ind w:right="-93"/>
        <w:jc w:val="both"/>
        <w:rPr>
          <w:rFonts w:ascii="Palatino Linotype" w:eastAsiaTheme="minorHAnsi" w:hAnsi="Palatino Linotype" w:cs="Arial"/>
          <w:bCs/>
          <w:lang w:eastAsia="en-US"/>
        </w:rPr>
      </w:pPr>
      <w:r w:rsidRPr="003E6456">
        <w:rPr>
          <w:rFonts w:ascii="Palatino Linotype" w:eastAsiaTheme="minorHAnsi" w:hAnsi="Palatino Linotype" w:cs="Arial"/>
          <w:bCs/>
          <w:lang w:eastAsia="en-US"/>
        </w:rPr>
        <w:t>Pensiones y Seguro de Fallecimiento (que incluyen las pensiones por jubilación y edad avanzada, entre otras), y</w:t>
      </w:r>
    </w:p>
    <w:p w14:paraId="6C24AE61" w14:textId="77777777" w:rsidR="004454D4" w:rsidRPr="003E6456" w:rsidRDefault="004454D4" w:rsidP="004454D4">
      <w:pPr>
        <w:numPr>
          <w:ilvl w:val="0"/>
          <w:numId w:val="21"/>
        </w:numPr>
        <w:spacing w:line="360" w:lineRule="auto"/>
        <w:ind w:right="-93"/>
        <w:jc w:val="both"/>
        <w:rPr>
          <w:rFonts w:ascii="Palatino Linotype" w:eastAsiaTheme="minorHAnsi" w:hAnsi="Palatino Linotype" w:cs="Arial"/>
          <w:bCs/>
          <w:lang w:eastAsia="en-US"/>
        </w:rPr>
      </w:pPr>
      <w:r w:rsidRPr="003E6456">
        <w:rPr>
          <w:rFonts w:ascii="Palatino Linotype" w:eastAsiaTheme="minorHAnsi" w:hAnsi="Palatino Linotype" w:cs="Arial"/>
          <w:bCs/>
          <w:lang w:eastAsia="en-US"/>
        </w:rPr>
        <w:t>Créditos a corto, mediano y largo plazo.</w:t>
      </w:r>
    </w:p>
    <w:p w14:paraId="5642A61D" w14:textId="77777777" w:rsidR="004454D4" w:rsidRPr="003E6456" w:rsidRDefault="004454D4" w:rsidP="004454D4">
      <w:pPr>
        <w:spacing w:line="360" w:lineRule="auto"/>
        <w:ind w:right="-93"/>
        <w:jc w:val="both"/>
        <w:rPr>
          <w:rFonts w:ascii="Palatino Linotype" w:eastAsiaTheme="minorHAnsi" w:hAnsi="Palatino Linotype" w:cs="Arial"/>
          <w:bCs/>
          <w:lang w:eastAsia="en-US"/>
        </w:rPr>
      </w:pPr>
    </w:p>
    <w:p w14:paraId="55EB8F82" w14:textId="38B3F7B5" w:rsidR="004454D4" w:rsidRPr="003E6456" w:rsidRDefault="004454D4" w:rsidP="004454D4">
      <w:pPr>
        <w:spacing w:line="360" w:lineRule="auto"/>
        <w:ind w:right="-93"/>
        <w:jc w:val="both"/>
        <w:rPr>
          <w:rFonts w:ascii="Palatino Linotype" w:eastAsiaTheme="minorHAnsi" w:hAnsi="Palatino Linotype" w:cs="Arial"/>
          <w:bCs/>
          <w:lang w:eastAsia="en-US"/>
        </w:rPr>
      </w:pPr>
      <w:r w:rsidRPr="003E6456">
        <w:rPr>
          <w:rFonts w:ascii="Palatino Linotype" w:eastAsiaTheme="minorHAnsi" w:hAnsi="Palatino Linotype" w:cs="Arial"/>
          <w:bCs/>
          <w:lang w:eastAsia="en-US"/>
        </w:rPr>
        <w:t xml:space="preserve">Lo anterior se robustece con la página oficial </w:t>
      </w:r>
      <w:r w:rsidRPr="003E6456">
        <w:rPr>
          <w:rStyle w:val="Refdenotaalpie"/>
          <w:rFonts w:ascii="Palatino Linotype" w:eastAsiaTheme="minorHAnsi" w:hAnsi="Palatino Linotype" w:cs="Arial"/>
          <w:bCs/>
          <w:lang w:eastAsia="en-US"/>
        </w:rPr>
        <w:footnoteReference w:id="2"/>
      </w:r>
      <w:r w:rsidRPr="003E6456">
        <w:rPr>
          <w:rFonts w:ascii="Palatino Linotype" w:eastAsiaTheme="minorHAnsi" w:hAnsi="Palatino Linotype" w:cs="Arial"/>
          <w:bCs/>
          <w:lang w:eastAsia="en-US"/>
        </w:rPr>
        <w:t>del Instituto de Seguridad Social del Estado de México y Municipios, que establece que la Misión del Instituto de Seguridad Social del Estado de México y Municipios, es brindar a los derechohabientes las prestaciones previamente referidas, con el objeto de preservar su salud, garantizar el ingreso económico en la etapa de retiro, apoyar a la economía familiar, fortalecer la integración familiar y su bienestar social.</w:t>
      </w:r>
    </w:p>
    <w:p w14:paraId="48ED5A6C" w14:textId="77777777" w:rsidR="004454D4" w:rsidRPr="003E6456" w:rsidRDefault="004454D4" w:rsidP="004454D4">
      <w:pPr>
        <w:spacing w:line="360" w:lineRule="auto"/>
        <w:ind w:right="-93"/>
        <w:jc w:val="both"/>
        <w:rPr>
          <w:rFonts w:ascii="Palatino Linotype" w:eastAsiaTheme="minorHAnsi" w:hAnsi="Palatino Linotype" w:cs="Arial"/>
          <w:bCs/>
          <w:lang w:eastAsia="en-US"/>
        </w:rPr>
      </w:pPr>
    </w:p>
    <w:p w14:paraId="54B2C629" w14:textId="7A5AA628" w:rsidR="004454D4" w:rsidRPr="003E6456" w:rsidRDefault="004454D4" w:rsidP="004454D4">
      <w:pPr>
        <w:spacing w:line="360" w:lineRule="auto"/>
        <w:ind w:right="-93"/>
        <w:jc w:val="both"/>
        <w:rPr>
          <w:rFonts w:ascii="Palatino Linotype" w:eastAsiaTheme="minorHAnsi" w:hAnsi="Palatino Linotype" w:cs="Arial"/>
          <w:bCs/>
          <w:lang w:val="es-MX" w:eastAsia="en-US"/>
        </w:rPr>
      </w:pPr>
      <w:r w:rsidRPr="003E6456">
        <w:rPr>
          <w:rFonts w:ascii="Palatino Linotype" w:eastAsiaTheme="minorHAnsi" w:hAnsi="Palatino Linotype" w:cs="Arial"/>
          <w:bCs/>
          <w:iCs/>
          <w:lang w:eastAsia="en-US"/>
        </w:rPr>
        <w:t>Además, el apartado de Pensiones</w:t>
      </w:r>
      <w:r w:rsidRPr="003E6456">
        <w:rPr>
          <w:rStyle w:val="Refdenotaalpie"/>
          <w:rFonts w:ascii="Palatino Linotype" w:eastAsiaTheme="minorHAnsi" w:hAnsi="Palatino Linotype" w:cs="Arial"/>
          <w:bCs/>
          <w:iCs/>
          <w:lang w:eastAsia="en-US"/>
        </w:rPr>
        <w:footnoteReference w:id="3"/>
      </w:r>
      <w:r w:rsidRPr="003E6456">
        <w:rPr>
          <w:rFonts w:ascii="Palatino Linotype" w:eastAsiaTheme="minorHAnsi" w:hAnsi="Palatino Linotype" w:cs="Arial"/>
          <w:bCs/>
          <w:iCs/>
          <w:lang w:eastAsia="en-US"/>
        </w:rPr>
        <w:t>, de la página oficial del ISSEMyM, precisa que dicha dependencia tiene como objetivo apoyar a los servidores públicos a obtener una pensión que garantizará su vida después del retiro laboral.</w:t>
      </w:r>
    </w:p>
    <w:p w14:paraId="1F0033E1" w14:textId="77777777" w:rsidR="004454D4" w:rsidRPr="003E6456" w:rsidRDefault="004454D4" w:rsidP="004454D4">
      <w:pPr>
        <w:spacing w:line="360" w:lineRule="auto"/>
        <w:ind w:right="-93"/>
        <w:jc w:val="both"/>
        <w:rPr>
          <w:rFonts w:ascii="Palatino Linotype" w:eastAsiaTheme="minorHAnsi" w:hAnsi="Palatino Linotype" w:cs="Arial"/>
          <w:bCs/>
          <w:lang w:val="es-MX" w:eastAsia="en-US"/>
        </w:rPr>
      </w:pPr>
      <w:r w:rsidRPr="003E6456">
        <w:rPr>
          <w:rFonts w:ascii="Palatino Linotype" w:eastAsiaTheme="minorHAnsi" w:hAnsi="Palatino Linotype" w:cs="Arial"/>
          <w:bCs/>
          <w:lang w:val="es-ES_tradnl" w:eastAsia="en-US"/>
        </w:rPr>
        <w:lastRenderedPageBreak/>
        <w:t>En ese contexto, conforme al Manual General de Organización del Instituto de Seguridad Social del Estado de México y Municipios, dicho organismo, se conformará por diversas áreas, entre las cuales se encuentra el Departamento de Pensiones, encargada de realizar las acciones relacionada</w:t>
      </w:r>
      <w:r w:rsidRPr="003E6456">
        <w:rPr>
          <w:rFonts w:ascii="Palatino Linotype" w:eastAsiaTheme="minorHAnsi" w:hAnsi="Palatino Linotype" w:cs="Arial"/>
          <w:bCs/>
          <w:lang w:val="es-MX" w:eastAsia="en-US"/>
        </w:rPr>
        <w:t>s con la determinación de las prestaciones de pensiones, seguro por fallecimiento y estímulo por permanencia en el servicio, otorgadas por el Instituto, derivadas del sistema solidario de reparto.</w:t>
      </w:r>
    </w:p>
    <w:p w14:paraId="59EBB96F" w14:textId="77777777" w:rsidR="00B253F0" w:rsidRPr="003E6456" w:rsidRDefault="00B253F0" w:rsidP="004454D4">
      <w:pPr>
        <w:spacing w:line="360" w:lineRule="auto"/>
        <w:ind w:right="-93"/>
        <w:jc w:val="both"/>
        <w:rPr>
          <w:rFonts w:ascii="Palatino Linotype" w:eastAsiaTheme="minorHAnsi" w:hAnsi="Palatino Linotype" w:cs="Arial"/>
          <w:bCs/>
          <w:lang w:val="es-MX" w:eastAsia="en-US"/>
        </w:rPr>
      </w:pPr>
    </w:p>
    <w:p w14:paraId="69CE7333" w14:textId="018E44DF" w:rsidR="00B253F0" w:rsidRPr="003E6456" w:rsidRDefault="00B253F0" w:rsidP="00B253F0">
      <w:pPr>
        <w:spacing w:line="360" w:lineRule="auto"/>
        <w:contextualSpacing/>
        <w:jc w:val="both"/>
        <w:rPr>
          <w:rFonts w:ascii="Palatino Linotype" w:eastAsiaTheme="minorHAnsi" w:hAnsi="Palatino Linotype" w:cs="Arial"/>
          <w:szCs w:val="22"/>
          <w:lang w:val="es-MX" w:eastAsia="en-US"/>
        </w:rPr>
      </w:pPr>
      <w:r w:rsidRPr="003E6456">
        <w:rPr>
          <w:rFonts w:ascii="Palatino Linotype" w:hAnsi="Palatino Linotype" w:cs="Arial"/>
        </w:rPr>
        <w:t xml:space="preserve">Adicionalmente, es de mencionarse que la información relacionada con el listado de jubilados y pensionados y el monto que reciben, </w:t>
      </w:r>
      <w:r w:rsidRPr="003E6456">
        <w:rPr>
          <w:rFonts w:ascii="Palatino Linotype" w:eastAsiaTheme="minorHAnsi" w:hAnsi="Palatino Linotype" w:cs="Arial"/>
          <w:szCs w:val="22"/>
          <w:lang w:val="es-MX" w:eastAsia="en-US"/>
        </w:rPr>
        <w:t>constituyen obligaciones de transparencia común para el Sujeto Obligado en turno, es decir, el ISSEMYM está constreñido por ley a tener la información actualizada en sus portal de IPOMEX, lo anterior, se estipula en la fracción XLVI, del artículo 92, de la Ley de Transparencia y Acceso a la Información Pública del Estado de México y Municipios, para mayor referencia se inserta a continuación:</w:t>
      </w:r>
    </w:p>
    <w:p w14:paraId="088B4653" w14:textId="77777777" w:rsidR="00B253F0" w:rsidRPr="003E6456" w:rsidRDefault="00B253F0" w:rsidP="00B253F0">
      <w:pPr>
        <w:spacing w:line="360" w:lineRule="auto"/>
        <w:contextualSpacing/>
        <w:jc w:val="both"/>
        <w:rPr>
          <w:rFonts w:ascii="Palatino Linotype" w:hAnsi="Palatino Linotype" w:cs="Arial"/>
        </w:rPr>
      </w:pPr>
    </w:p>
    <w:p w14:paraId="532AFF62" w14:textId="77777777" w:rsidR="00B253F0" w:rsidRPr="003E6456" w:rsidRDefault="00B253F0" w:rsidP="00B253F0">
      <w:pPr>
        <w:ind w:left="851" w:right="901"/>
        <w:jc w:val="both"/>
        <w:rPr>
          <w:rFonts w:ascii="Palatino Linotype" w:hAnsi="Palatino Linotype"/>
          <w:i/>
          <w:sz w:val="22"/>
          <w:szCs w:val="22"/>
        </w:rPr>
      </w:pPr>
      <w:r w:rsidRPr="003E6456">
        <w:rPr>
          <w:rFonts w:ascii="Palatino Linotype" w:eastAsia="MS Mincho" w:hAnsi="Palatino Linotype" w:cs="Bookman Old Style"/>
          <w:i/>
          <w:sz w:val="22"/>
          <w:szCs w:val="22"/>
          <w:lang w:val="es-MX" w:eastAsia="es-MX"/>
        </w:rPr>
        <w:t>“</w:t>
      </w:r>
      <w:r w:rsidRPr="003E6456">
        <w:rPr>
          <w:rFonts w:ascii="Palatino Linotype" w:hAnsi="Palatino Linotype"/>
          <w:b/>
          <w:bCs/>
          <w:i/>
          <w:sz w:val="22"/>
          <w:szCs w:val="22"/>
        </w:rPr>
        <w:t>Artículo 92.</w:t>
      </w:r>
      <w:r w:rsidRPr="003E6456">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1383C3" w14:textId="15A417A0" w:rsidR="00B253F0" w:rsidRPr="003E6456" w:rsidRDefault="00B253F0" w:rsidP="00B253F0">
      <w:pPr>
        <w:ind w:left="851" w:right="901"/>
        <w:jc w:val="both"/>
        <w:rPr>
          <w:rFonts w:ascii="Palatino Linotype" w:eastAsia="MS Mincho" w:hAnsi="Palatino Linotype" w:cs="Bookman Old Style"/>
          <w:i/>
          <w:sz w:val="22"/>
          <w:szCs w:val="22"/>
          <w:lang w:val="es-MX" w:eastAsia="es-MX"/>
        </w:rPr>
      </w:pPr>
      <w:r w:rsidRPr="003E6456">
        <w:rPr>
          <w:rFonts w:ascii="Palatino Linotype" w:eastAsia="MS Mincho" w:hAnsi="Palatino Linotype" w:cs="Bookman Old Style"/>
          <w:i/>
          <w:sz w:val="22"/>
          <w:szCs w:val="22"/>
          <w:lang w:val="es-MX" w:eastAsia="es-MX"/>
        </w:rPr>
        <w:t xml:space="preserve"> (…)</w:t>
      </w:r>
    </w:p>
    <w:p w14:paraId="4B7BA810" w14:textId="33943D86" w:rsidR="00B253F0" w:rsidRPr="003E6456" w:rsidRDefault="00B253F0" w:rsidP="00B253F0">
      <w:pPr>
        <w:ind w:left="851" w:right="901"/>
        <w:jc w:val="both"/>
        <w:rPr>
          <w:rFonts w:ascii="Palatino Linotype" w:eastAsia="MS Mincho" w:hAnsi="Palatino Linotype" w:cs="Bookman Old Style"/>
          <w:i/>
          <w:sz w:val="22"/>
          <w:szCs w:val="22"/>
          <w:lang w:val="es-MX" w:eastAsia="es-MX"/>
        </w:rPr>
      </w:pPr>
      <w:r w:rsidRPr="003E6456">
        <w:rPr>
          <w:rFonts w:ascii="Palatino Linotype" w:eastAsia="MS Mincho" w:hAnsi="Palatino Linotype" w:cs="Bookman Old Style"/>
          <w:b/>
          <w:i/>
          <w:sz w:val="22"/>
          <w:szCs w:val="22"/>
          <w:lang w:val="es-MX" w:eastAsia="es-MX"/>
        </w:rPr>
        <w:t>XLVI. El listado de jubilados y pensionados y el monto que reciben;</w:t>
      </w:r>
    </w:p>
    <w:p w14:paraId="61EB5A75" w14:textId="77777777" w:rsidR="00B253F0" w:rsidRPr="003E6456" w:rsidRDefault="00B253F0" w:rsidP="00B253F0">
      <w:pPr>
        <w:ind w:left="851" w:right="901"/>
        <w:jc w:val="both"/>
        <w:rPr>
          <w:rFonts w:ascii="Palatino Linotype" w:eastAsia="MS Mincho" w:hAnsi="Palatino Linotype" w:cs="Bookman Old Style"/>
          <w:i/>
          <w:sz w:val="22"/>
          <w:szCs w:val="22"/>
          <w:lang w:val="es-MX" w:eastAsia="es-MX"/>
        </w:rPr>
      </w:pPr>
      <w:r w:rsidRPr="003E6456">
        <w:rPr>
          <w:rFonts w:ascii="Palatino Linotype" w:eastAsia="MS Mincho" w:hAnsi="Palatino Linotype" w:cs="Bookman Old Style"/>
          <w:i/>
          <w:sz w:val="22"/>
          <w:szCs w:val="22"/>
          <w:lang w:val="es-MX" w:eastAsia="es-MX"/>
        </w:rPr>
        <w:t>(…)”</w:t>
      </w:r>
    </w:p>
    <w:p w14:paraId="6BB0D679" w14:textId="77777777" w:rsidR="004454D4" w:rsidRPr="003E6456" w:rsidRDefault="004454D4" w:rsidP="004454D4">
      <w:pPr>
        <w:spacing w:line="360" w:lineRule="auto"/>
        <w:ind w:right="-93"/>
        <w:jc w:val="both"/>
        <w:rPr>
          <w:rFonts w:ascii="Palatino Linotype" w:eastAsiaTheme="minorHAnsi" w:hAnsi="Palatino Linotype" w:cs="Arial"/>
          <w:bCs/>
          <w:lang w:val="es-MX" w:eastAsia="en-US"/>
        </w:rPr>
      </w:pPr>
    </w:p>
    <w:p w14:paraId="54448022" w14:textId="1F8D2FEA" w:rsidR="004454D4" w:rsidRPr="003E6456" w:rsidRDefault="004454D4" w:rsidP="004454D4">
      <w:pPr>
        <w:spacing w:line="360" w:lineRule="auto"/>
        <w:ind w:right="-93"/>
        <w:jc w:val="both"/>
        <w:rPr>
          <w:rFonts w:ascii="Palatino Linotype" w:eastAsiaTheme="minorHAnsi" w:hAnsi="Palatino Linotype" w:cstheme="minorBidi"/>
          <w:lang w:val="es-MX" w:eastAsia="es-MX"/>
        </w:rPr>
      </w:pPr>
      <w:r w:rsidRPr="003E6456">
        <w:rPr>
          <w:rFonts w:ascii="Palatino Linotype" w:eastAsiaTheme="minorHAnsi" w:hAnsi="Palatino Linotype" w:cstheme="minorBidi"/>
          <w:lang w:val="es-MX" w:eastAsia="es-MX"/>
        </w:rPr>
        <w:t xml:space="preserve">Así que, retomando la respuesta emitida por parte del </w:t>
      </w:r>
      <w:r w:rsidRPr="003E6456">
        <w:rPr>
          <w:rFonts w:ascii="Palatino Linotype" w:eastAsiaTheme="minorHAnsi" w:hAnsi="Palatino Linotype" w:cstheme="minorBidi"/>
          <w:b/>
          <w:bCs/>
          <w:lang w:val="es-MX" w:eastAsia="es-MX"/>
        </w:rPr>
        <w:t>Sujeto Obligado</w:t>
      </w:r>
      <w:r w:rsidRPr="003E6456">
        <w:rPr>
          <w:rFonts w:ascii="Palatino Linotype" w:eastAsiaTheme="minorHAnsi" w:hAnsi="Palatino Linotype" w:cstheme="minorBidi"/>
          <w:lang w:val="es-MX" w:eastAsia="es-MX"/>
        </w:rPr>
        <w:t xml:space="preserve">, tenemos que, mediante oficio número 207C 0401210001S-UT-802/2023, firmado por el Titular de la Unidad de Transparencia, informó que de conformidad con el artículo 92, de la Ley de Transparencia y Acceso a la Información Pública del Estado de México y Municipios, en </w:t>
      </w:r>
      <w:r w:rsidRPr="003E6456">
        <w:rPr>
          <w:rFonts w:ascii="Palatino Linotype" w:eastAsiaTheme="minorHAnsi" w:hAnsi="Palatino Linotype" w:cstheme="minorBidi"/>
          <w:lang w:val="es-MX" w:eastAsia="es-MX"/>
        </w:rPr>
        <w:lastRenderedPageBreak/>
        <w:t xml:space="preserve">la fracción XLVI </w:t>
      </w:r>
      <w:r w:rsidRPr="003E6456">
        <w:rPr>
          <w:rFonts w:ascii="Palatino Linotype" w:eastAsiaTheme="minorHAnsi" w:hAnsi="Palatino Linotype" w:cstheme="minorBidi"/>
          <w:i/>
          <w:iCs/>
          <w:lang w:val="es-MX" w:eastAsia="es-MX"/>
        </w:rPr>
        <w:t>“Listado de jubilados y pensionados y el monto que reciben”</w:t>
      </w:r>
      <w:r w:rsidRPr="003E6456">
        <w:rPr>
          <w:rFonts w:ascii="Palatino Linotype" w:eastAsiaTheme="minorHAnsi" w:hAnsi="Palatino Linotype" w:cstheme="minorBidi"/>
          <w:lang w:val="es-MX" w:eastAsia="es-MX"/>
        </w:rPr>
        <w:t>, se puede consultar dicha información a través del Sistema de Información Pública Mexiquense (IPOMEX), en la siguiente liga electrónica:</w:t>
      </w:r>
      <w:r w:rsidRPr="003E6456">
        <w:rPr>
          <w:rFonts w:ascii="Palatino Linotype" w:eastAsiaTheme="minorHAnsi" w:hAnsi="Palatino Linotype" w:cs="Arial"/>
          <w:bCs/>
          <w:lang w:val="es-MX" w:eastAsia="en-US"/>
        </w:rPr>
        <w:t xml:space="preserve"> </w:t>
      </w:r>
      <w:hyperlink r:id="rId9" w:history="1">
        <w:r w:rsidRPr="003E6456">
          <w:rPr>
            <w:rStyle w:val="Hipervnculo"/>
            <w:rFonts w:ascii="Palatino Linotype" w:eastAsiaTheme="minorHAnsi" w:hAnsi="Palatino Linotype" w:cstheme="minorBidi"/>
            <w:lang w:val="es-MX" w:eastAsia="es-MX"/>
          </w:rPr>
          <w:t>https://ipomex.org.mx/ipo3/lgt/indice/ISSEMYM/art_92_xlvi_b.web</w:t>
        </w:r>
      </w:hyperlink>
    </w:p>
    <w:p w14:paraId="5165E18D" w14:textId="77777777" w:rsidR="004454D4" w:rsidRPr="003E6456" w:rsidRDefault="004454D4" w:rsidP="004454D4">
      <w:pPr>
        <w:spacing w:line="360" w:lineRule="auto"/>
        <w:ind w:right="-93"/>
        <w:jc w:val="both"/>
        <w:rPr>
          <w:rFonts w:ascii="Palatino Linotype" w:eastAsiaTheme="minorHAnsi" w:hAnsi="Palatino Linotype" w:cstheme="minorBidi"/>
          <w:lang w:val="es-MX" w:eastAsia="es-MX"/>
        </w:rPr>
      </w:pPr>
    </w:p>
    <w:p w14:paraId="7FA49C6A" w14:textId="53657288" w:rsidR="004454D4" w:rsidRPr="003E6456" w:rsidRDefault="004454D4" w:rsidP="004454D4">
      <w:pPr>
        <w:spacing w:line="360" w:lineRule="auto"/>
        <w:ind w:right="-93"/>
        <w:jc w:val="both"/>
        <w:rPr>
          <w:rFonts w:ascii="Palatino Linotype" w:eastAsiaTheme="minorHAnsi" w:hAnsi="Palatino Linotype" w:cs="Arial"/>
          <w:bCs/>
          <w:lang w:val="es-MX" w:eastAsia="en-US"/>
        </w:rPr>
      </w:pPr>
      <w:r w:rsidRPr="003E6456">
        <w:rPr>
          <w:rFonts w:ascii="Palatino Linotype" w:eastAsiaTheme="minorHAnsi" w:hAnsi="Palatino Linotype" w:cs="Arial"/>
          <w:bCs/>
          <w:lang w:val="es-MX" w:eastAsia="en-US"/>
        </w:rPr>
        <w:t xml:space="preserve">Primeramente, al introducir en el navegador de internet, el sitio remitido por parte del </w:t>
      </w:r>
      <w:r w:rsidRPr="003E6456">
        <w:rPr>
          <w:rFonts w:ascii="Palatino Linotype" w:eastAsiaTheme="minorHAnsi" w:hAnsi="Palatino Linotype" w:cs="Arial"/>
          <w:b/>
          <w:lang w:val="es-MX" w:eastAsia="en-US"/>
        </w:rPr>
        <w:t>Sujeto Obligado</w:t>
      </w:r>
      <w:r w:rsidRPr="003E6456">
        <w:rPr>
          <w:rFonts w:ascii="Palatino Linotype" w:eastAsiaTheme="minorHAnsi" w:hAnsi="Palatino Linotype" w:cs="Arial"/>
          <w:bCs/>
          <w:lang w:val="es-MX" w:eastAsia="en-US"/>
        </w:rPr>
        <w:t xml:space="preserve"> se tiene que remite al apartado del </w:t>
      </w:r>
      <w:bookmarkStart w:id="0" w:name="_Hlk141168886"/>
      <w:r w:rsidRPr="003E6456">
        <w:rPr>
          <w:rFonts w:ascii="Palatino Linotype" w:eastAsiaTheme="minorHAnsi" w:hAnsi="Palatino Linotype" w:cs="Arial"/>
          <w:b/>
          <w:i/>
          <w:iCs/>
          <w:lang w:val="es-MX" w:eastAsia="en-US"/>
        </w:rPr>
        <w:t>Listado de jubilados y pensionados y el monto que reciben</w:t>
      </w:r>
      <w:bookmarkEnd w:id="0"/>
      <w:r w:rsidRPr="003E6456">
        <w:rPr>
          <w:rFonts w:ascii="Palatino Linotype" w:eastAsiaTheme="minorHAnsi" w:hAnsi="Palatino Linotype" w:cs="Arial"/>
          <w:bCs/>
          <w:lang w:val="es-MX" w:eastAsia="en-US"/>
        </w:rPr>
        <w:t xml:space="preserve">, publicado en el </w:t>
      </w:r>
      <w:r w:rsidRPr="003E6456">
        <w:rPr>
          <w:rFonts w:ascii="Palatino Linotype" w:eastAsiaTheme="minorHAnsi" w:hAnsi="Palatino Linotype" w:cstheme="minorBidi"/>
          <w:lang w:val="es-MX" w:eastAsia="es-MX"/>
        </w:rPr>
        <w:t>Sistema de Información Pública Mexiquense (IPOMEX)</w:t>
      </w:r>
      <w:r w:rsidRPr="003E6456">
        <w:rPr>
          <w:rFonts w:ascii="Palatino Linotype" w:eastAsiaTheme="minorHAnsi" w:hAnsi="Palatino Linotype" w:cs="Arial"/>
          <w:bCs/>
          <w:lang w:val="es-MX" w:eastAsia="en-US"/>
        </w:rPr>
        <w:t>; por lo que, a manera de ejemplo, se inserta la siguiente captura de pantalla:</w:t>
      </w:r>
    </w:p>
    <w:p w14:paraId="50F3EE96" w14:textId="120D480C" w:rsidR="004454D4" w:rsidRPr="003E6456" w:rsidRDefault="004454D4" w:rsidP="004454D4">
      <w:pPr>
        <w:spacing w:line="360" w:lineRule="auto"/>
        <w:ind w:right="-93"/>
        <w:jc w:val="center"/>
        <w:rPr>
          <w:rFonts w:ascii="Palatino Linotype" w:eastAsiaTheme="minorHAnsi" w:hAnsi="Palatino Linotype" w:cs="Arial"/>
          <w:bCs/>
          <w:lang w:val="es-MX" w:eastAsia="en-US"/>
        </w:rPr>
      </w:pPr>
      <w:r w:rsidRPr="003E6456">
        <w:rPr>
          <w:rFonts w:ascii="Palatino Linotype" w:eastAsiaTheme="minorHAnsi" w:hAnsi="Palatino Linotype" w:cs="Arial"/>
          <w:bCs/>
          <w:noProof/>
          <w:lang w:val="es-MX" w:eastAsia="es-MX"/>
        </w:rPr>
        <w:drawing>
          <wp:inline distT="0" distB="0" distL="0" distR="0" wp14:anchorId="2291BB2B" wp14:editId="2A683B02">
            <wp:extent cx="4925112" cy="3229426"/>
            <wp:effectExtent l="190500" t="190500" r="180340" b="200025"/>
            <wp:docPr id="78392652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26522" name="Imagen 1" descr="Tabla&#10;&#10;Descripción generada automáticamente"/>
                    <pic:cNvPicPr/>
                  </pic:nvPicPr>
                  <pic:blipFill>
                    <a:blip r:embed="rId10"/>
                    <a:stretch>
                      <a:fillRect/>
                    </a:stretch>
                  </pic:blipFill>
                  <pic:spPr>
                    <a:xfrm>
                      <a:off x="0" y="0"/>
                      <a:ext cx="4925112" cy="3229426"/>
                    </a:xfrm>
                    <a:prstGeom prst="rect">
                      <a:avLst/>
                    </a:prstGeom>
                    <a:ln>
                      <a:noFill/>
                    </a:ln>
                    <a:effectLst>
                      <a:outerShdw blurRad="190500" algn="tl" rotWithShape="0">
                        <a:srgbClr val="000000">
                          <a:alpha val="70000"/>
                        </a:srgbClr>
                      </a:outerShdw>
                    </a:effectLst>
                  </pic:spPr>
                </pic:pic>
              </a:graphicData>
            </a:graphic>
          </wp:inline>
        </w:drawing>
      </w:r>
    </w:p>
    <w:p w14:paraId="3472886E" w14:textId="6BA78FFB" w:rsidR="00EC19DC" w:rsidRPr="003E6456" w:rsidRDefault="00EC19DC"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r w:rsidRPr="003E6456">
        <w:rPr>
          <w:rFonts w:ascii="Palatino Linotype" w:hAnsi="Palatino Linotype" w:cs="Bookman Old Style"/>
          <w:bCs/>
          <w:color w:val="000000"/>
        </w:rPr>
        <w:t xml:space="preserve">Asimismo, al abrir en el navegador de internet el sitio expuesto por el </w:t>
      </w:r>
      <w:r w:rsidRPr="003E6456">
        <w:rPr>
          <w:rFonts w:ascii="Palatino Linotype" w:hAnsi="Palatino Linotype" w:cs="Bookman Old Style"/>
          <w:b/>
          <w:bCs/>
          <w:color w:val="000000"/>
        </w:rPr>
        <w:t>Sujeto Obligado</w:t>
      </w:r>
      <w:r w:rsidRPr="003E6456">
        <w:rPr>
          <w:rFonts w:ascii="Palatino Linotype" w:hAnsi="Palatino Linotype" w:cs="Bookman Old Style"/>
          <w:bCs/>
          <w:color w:val="000000"/>
        </w:rPr>
        <w:t xml:space="preserve">, se apertura un determinado sitio del portal, el cual puede evidenciarse los datos del periodo correspondientes del año 2018 al 2023, por lo que al seguir ejecutando los pasos establecidos en la respuesta, nos encontramos un formato que permite vincular </w:t>
      </w:r>
      <w:r w:rsidRPr="003E6456">
        <w:rPr>
          <w:rFonts w:ascii="Palatino Linotype" w:hAnsi="Palatino Linotype" w:cs="Bookman Old Style"/>
          <w:b/>
          <w:bCs/>
          <w:i/>
          <w:color w:val="000000"/>
          <w:u w:val="single"/>
        </w:rPr>
        <w:t xml:space="preserve">Listado </w:t>
      </w:r>
      <w:r w:rsidRPr="003E6456">
        <w:rPr>
          <w:rFonts w:ascii="Palatino Linotype" w:hAnsi="Palatino Linotype" w:cs="Bookman Old Style"/>
          <w:b/>
          <w:bCs/>
          <w:i/>
          <w:color w:val="000000"/>
          <w:u w:val="single"/>
        </w:rPr>
        <w:lastRenderedPageBreak/>
        <w:t>de jubilados y pensionados y el monto que reciben</w:t>
      </w:r>
      <w:r w:rsidRPr="003E6456">
        <w:rPr>
          <w:rFonts w:ascii="Palatino Linotype" w:hAnsi="Palatino Linotype" w:cs="Bookman Old Style"/>
          <w:bCs/>
          <w:color w:val="000000"/>
        </w:rPr>
        <w:t>, con la Ejercicio, de Fecha de Inicio y Término del periodo, Estatus, Tipo de Jubilación o pensión, Nombre completo, Monto de la pensión, Periodicidad del monto y la Fecha de Actualización y Validación de la información publicado en dicho portal, como se muestra en las siguientes capturas de pantalla:</w:t>
      </w:r>
    </w:p>
    <w:p w14:paraId="72EA13E7" w14:textId="77777777" w:rsidR="00EC19DC" w:rsidRPr="003E6456" w:rsidRDefault="00EC19DC"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p>
    <w:p w14:paraId="405D4D91" w14:textId="65286DC0" w:rsidR="00EC19DC" w:rsidRPr="003E6456" w:rsidRDefault="00EC19DC" w:rsidP="00EC19DC">
      <w:pPr>
        <w:pStyle w:val="Prrafodelista"/>
        <w:autoSpaceDE w:val="0"/>
        <w:autoSpaceDN w:val="0"/>
        <w:adjustRightInd w:val="0"/>
        <w:spacing w:line="360" w:lineRule="auto"/>
        <w:ind w:left="0"/>
        <w:jc w:val="center"/>
        <w:rPr>
          <w:rFonts w:ascii="Palatino Linotype" w:hAnsi="Palatino Linotype" w:cs="Bookman Old Style"/>
          <w:bCs/>
          <w:color w:val="000000"/>
        </w:rPr>
      </w:pPr>
      <w:r w:rsidRPr="003E6456">
        <w:rPr>
          <w:rFonts w:ascii="Palatino Linotype" w:hAnsi="Palatino Linotype" w:cs="Bookman Old Style"/>
          <w:bCs/>
          <w:noProof/>
          <w:color w:val="000000"/>
          <w:lang w:val="es-MX" w:eastAsia="es-MX"/>
        </w:rPr>
        <w:drawing>
          <wp:inline distT="0" distB="0" distL="0" distR="0" wp14:anchorId="5B074E77" wp14:editId="6087CA68">
            <wp:extent cx="5353797" cy="4544059"/>
            <wp:effectExtent l="190500" t="190500" r="189865" b="200025"/>
            <wp:docPr id="288754188"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54188" name="Imagen 1" descr="Texto&#10;&#10;Descripción generada automáticamente con confianza media"/>
                    <pic:cNvPicPr/>
                  </pic:nvPicPr>
                  <pic:blipFill>
                    <a:blip r:embed="rId11"/>
                    <a:stretch>
                      <a:fillRect/>
                    </a:stretch>
                  </pic:blipFill>
                  <pic:spPr>
                    <a:xfrm>
                      <a:off x="0" y="0"/>
                      <a:ext cx="5353797" cy="4544059"/>
                    </a:xfrm>
                    <a:prstGeom prst="rect">
                      <a:avLst/>
                    </a:prstGeom>
                    <a:ln>
                      <a:noFill/>
                    </a:ln>
                    <a:effectLst>
                      <a:outerShdw blurRad="190500" algn="tl" rotWithShape="0">
                        <a:srgbClr val="000000">
                          <a:alpha val="70000"/>
                        </a:srgbClr>
                      </a:outerShdw>
                    </a:effectLst>
                  </pic:spPr>
                </pic:pic>
              </a:graphicData>
            </a:graphic>
          </wp:inline>
        </w:drawing>
      </w:r>
    </w:p>
    <w:p w14:paraId="2988D152" w14:textId="77777777" w:rsidR="002273B6" w:rsidRPr="003E6456" w:rsidRDefault="002273B6" w:rsidP="002273B6">
      <w:pPr>
        <w:spacing w:line="360" w:lineRule="auto"/>
        <w:ind w:right="-93"/>
        <w:jc w:val="both"/>
        <w:rPr>
          <w:rFonts w:ascii="Palatino Linotype" w:hAnsi="Palatino Linotype" w:cs="Arial"/>
          <w:lang w:val="es-MX" w:eastAsia="es-MX"/>
        </w:rPr>
      </w:pPr>
    </w:p>
    <w:p w14:paraId="375BD7B9"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val="es-MX" w:eastAsia="en-US"/>
        </w:rPr>
        <w:lastRenderedPageBreak/>
        <w:t xml:space="preserve">Al respecto, los </w:t>
      </w:r>
      <w:r w:rsidRPr="003E6456">
        <w:rPr>
          <w:rFonts w:ascii="Palatino Linotype" w:eastAsiaTheme="minorHAnsi" w:hAnsi="Palatino Linotype" w:cstheme="minorBidi"/>
          <w:szCs w:val="22"/>
          <w:lang w:eastAsia="en-U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96FA9B3"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p>
    <w:p w14:paraId="2BCE1B89" w14:textId="77777777" w:rsidR="00EC19DC" w:rsidRPr="003E6456" w:rsidRDefault="00EC19DC" w:rsidP="00EC19DC">
      <w:pPr>
        <w:ind w:left="567" w:right="616"/>
        <w:contextualSpacing/>
        <w:jc w:val="both"/>
        <w:rPr>
          <w:rFonts w:ascii="Palatino Linotype" w:eastAsiaTheme="minorHAnsi" w:hAnsi="Palatino Linotype" w:cstheme="minorBidi"/>
          <w:i/>
          <w:sz w:val="22"/>
          <w:szCs w:val="22"/>
          <w:lang w:val="es-MX" w:eastAsia="en-US"/>
        </w:rPr>
      </w:pPr>
      <w:r w:rsidRPr="003E6456">
        <w:rPr>
          <w:rFonts w:ascii="Palatino Linotype" w:eastAsiaTheme="minorHAnsi" w:hAnsi="Palatino Linotype" w:cstheme="minorBidi"/>
          <w:b/>
          <w:i/>
          <w:sz w:val="22"/>
          <w:szCs w:val="22"/>
          <w:lang w:val="es-MX" w:eastAsia="en-US"/>
        </w:rPr>
        <w:t>Artículo 11.</w:t>
      </w:r>
      <w:r w:rsidRPr="003E6456">
        <w:rPr>
          <w:rFonts w:ascii="Palatino Linotype" w:eastAsiaTheme="minorHAnsi" w:hAnsi="Palatino Linotype" w:cstheme="minorBidi"/>
          <w:i/>
          <w:sz w:val="22"/>
          <w:szCs w:val="22"/>
          <w:lang w:val="es-MX" w:eastAsia="en-US"/>
        </w:rPr>
        <w:t xml:space="preserve"> En la generación, publicación y</w:t>
      </w:r>
      <w:r w:rsidRPr="003E6456">
        <w:rPr>
          <w:rFonts w:ascii="Palatino Linotype" w:eastAsiaTheme="minorHAnsi" w:hAnsi="Palatino Linotype" w:cstheme="minorBidi"/>
          <w:b/>
          <w:i/>
          <w:sz w:val="22"/>
          <w:szCs w:val="22"/>
          <w:lang w:val="es-MX" w:eastAsia="en-US"/>
        </w:rPr>
        <w:t xml:space="preserve"> </w:t>
      </w:r>
      <w:r w:rsidRPr="003E6456">
        <w:rPr>
          <w:rFonts w:ascii="Palatino Linotype" w:eastAsiaTheme="minorHAnsi" w:hAnsi="Palatino Linotype" w:cstheme="minorBidi"/>
          <w:b/>
          <w:i/>
          <w:sz w:val="22"/>
          <w:szCs w:val="22"/>
          <w:u w:val="single"/>
          <w:lang w:val="es-MX" w:eastAsia="en-US"/>
        </w:rPr>
        <w:t>entrega de información se deberá</w:t>
      </w:r>
      <w:r w:rsidRPr="003E6456">
        <w:rPr>
          <w:rFonts w:ascii="Palatino Linotype" w:eastAsiaTheme="minorHAnsi" w:hAnsi="Palatino Linotype" w:cstheme="minorBidi"/>
          <w:i/>
          <w:sz w:val="22"/>
          <w:szCs w:val="22"/>
          <w:lang w:val="es-MX" w:eastAsia="en-US"/>
        </w:rPr>
        <w:t xml:space="preserve"> </w:t>
      </w:r>
      <w:r w:rsidRPr="003E6456">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3E6456">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1D0312A4" w14:textId="77777777" w:rsidR="00EC19DC" w:rsidRPr="003E6456" w:rsidRDefault="00EC19DC" w:rsidP="00EC19DC">
      <w:pPr>
        <w:ind w:left="567" w:right="616"/>
        <w:contextualSpacing/>
        <w:jc w:val="both"/>
        <w:rPr>
          <w:rFonts w:ascii="Palatino Linotype" w:eastAsiaTheme="minorHAnsi" w:hAnsi="Palatino Linotype" w:cstheme="minorBidi"/>
          <w:b/>
          <w:i/>
          <w:sz w:val="22"/>
          <w:szCs w:val="22"/>
          <w:lang w:val="es-MX" w:eastAsia="en-US"/>
        </w:rPr>
      </w:pPr>
      <w:r w:rsidRPr="003E6456">
        <w:rPr>
          <w:rFonts w:ascii="Palatino Linotype" w:eastAsiaTheme="minorHAnsi" w:hAnsi="Palatino Linotype" w:cstheme="minorBidi"/>
          <w:b/>
          <w:i/>
          <w:sz w:val="22"/>
          <w:szCs w:val="22"/>
          <w:lang w:val="es-MX" w:eastAsia="en-US"/>
        </w:rPr>
        <w:t>[…]</w:t>
      </w:r>
    </w:p>
    <w:p w14:paraId="19EED614" w14:textId="77777777" w:rsidR="00EC19DC" w:rsidRPr="003E6456" w:rsidRDefault="00EC19DC" w:rsidP="00EC19DC">
      <w:pPr>
        <w:ind w:left="567" w:right="616"/>
        <w:contextualSpacing/>
        <w:jc w:val="both"/>
        <w:rPr>
          <w:rFonts w:ascii="Palatino Linotype" w:eastAsiaTheme="minorHAnsi" w:hAnsi="Palatino Linotype" w:cstheme="minorBidi"/>
          <w:b/>
          <w:i/>
          <w:sz w:val="22"/>
          <w:szCs w:val="22"/>
          <w:lang w:val="es-MX" w:eastAsia="en-US"/>
        </w:rPr>
      </w:pPr>
    </w:p>
    <w:p w14:paraId="7A976F17" w14:textId="77777777" w:rsidR="00EC19DC" w:rsidRPr="003E6456" w:rsidRDefault="00EC19DC" w:rsidP="00EC19DC">
      <w:pPr>
        <w:ind w:left="567" w:right="616"/>
        <w:contextualSpacing/>
        <w:jc w:val="both"/>
        <w:rPr>
          <w:rFonts w:ascii="Palatino Linotype" w:eastAsiaTheme="minorHAnsi" w:hAnsi="Palatino Linotype" w:cstheme="minorBidi"/>
          <w:b/>
          <w:i/>
          <w:sz w:val="22"/>
          <w:szCs w:val="22"/>
          <w:u w:val="single"/>
          <w:lang w:val="es-MX" w:eastAsia="en-US"/>
        </w:rPr>
      </w:pPr>
      <w:r w:rsidRPr="003E6456">
        <w:rPr>
          <w:rFonts w:ascii="Palatino Linotype" w:eastAsiaTheme="minorHAnsi" w:hAnsi="Palatino Linotype" w:cstheme="minorBidi"/>
          <w:b/>
          <w:i/>
          <w:sz w:val="22"/>
          <w:szCs w:val="22"/>
          <w:lang w:val="es-MX" w:eastAsia="en-US"/>
        </w:rPr>
        <w:t>Artículo 161.</w:t>
      </w:r>
      <w:r w:rsidRPr="003E6456">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E6456">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3E6456">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1E8DBD8B"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p>
    <w:p w14:paraId="3EAD3E76"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3E6456">
        <w:rPr>
          <w:rFonts w:ascii="Palatino Linotype" w:eastAsiaTheme="minorHAnsi" w:hAnsi="Palatino Linotype" w:cstheme="minorBidi"/>
          <w:b/>
          <w:szCs w:val="22"/>
          <w:u w:val="single"/>
          <w:lang w:eastAsia="en-US"/>
        </w:rPr>
        <w:t>haciéndole saber al solicitante como podrá consultar, reproducir o adquirir la información, en un plazo no mayor a cinco días hábiles</w:t>
      </w:r>
      <w:r w:rsidRPr="003E6456">
        <w:rPr>
          <w:rFonts w:ascii="Palatino Linotype" w:eastAsiaTheme="minorHAnsi" w:hAnsi="Palatino Linotype" w:cstheme="minorBidi"/>
          <w:szCs w:val="22"/>
          <w:lang w:eastAsia="en-US"/>
        </w:rPr>
        <w:t>, comprendiendo:</w:t>
      </w:r>
    </w:p>
    <w:p w14:paraId="1741FADA"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p>
    <w:p w14:paraId="594149B2" w14:textId="77777777" w:rsidR="00EC19DC" w:rsidRPr="003E6456"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lastRenderedPageBreak/>
        <w:t>La fuente</w:t>
      </w:r>
    </w:p>
    <w:p w14:paraId="38B51CF6" w14:textId="77777777" w:rsidR="00EC19DC" w:rsidRPr="003E6456"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El lugar y</w:t>
      </w:r>
    </w:p>
    <w:p w14:paraId="1724E768" w14:textId="77777777" w:rsidR="00EC19DC" w:rsidRPr="003E6456"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 xml:space="preserve">La forma </w:t>
      </w:r>
    </w:p>
    <w:p w14:paraId="7DCE32AE"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p>
    <w:p w14:paraId="6A7B3C5D"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 xml:space="preserve">Asimismo, se establece que la fuente de la información </w:t>
      </w:r>
      <w:r w:rsidRPr="003E6456">
        <w:rPr>
          <w:rFonts w:ascii="Palatino Linotype" w:eastAsiaTheme="minorHAnsi" w:hAnsi="Palatino Linotype" w:cstheme="minorBidi"/>
          <w:b/>
          <w:szCs w:val="22"/>
          <w:lang w:eastAsia="en-US"/>
        </w:rPr>
        <w:t>deberá ser</w:t>
      </w:r>
      <w:r w:rsidRPr="003E6456">
        <w:rPr>
          <w:rFonts w:ascii="Palatino Linotype" w:eastAsiaTheme="minorHAnsi" w:hAnsi="Palatino Linotype" w:cstheme="minorBidi"/>
          <w:szCs w:val="22"/>
          <w:lang w:eastAsia="en-US"/>
        </w:rPr>
        <w:t>:</w:t>
      </w:r>
    </w:p>
    <w:p w14:paraId="14C79F11"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p>
    <w:p w14:paraId="492E1C80" w14:textId="77777777" w:rsidR="00EC19DC" w:rsidRPr="003E6456"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Precisa</w:t>
      </w:r>
    </w:p>
    <w:p w14:paraId="090845BA" w14:textId="77777777" w:rsidR="00EC19DC" w:rsidRPr="003E6456"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Concreta</w:t>
      </w:r>
    </w:p>
    <w:p w14:paraId="1D67A147" w14:textId="77777777" w:rsidR="00EC19DC" w:rsidRPr="003E6456"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Y NO debe implicar que el solicitante realice una búsqueda en toda la información que se encuentre disponible.</w:t>
      </w:r>
    </w:p>
    <w:p w14:paraId="2BA2D6D1"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val="es-MX" w:eastAsia="en-US"/>
        </w:rPr>
      </w:pPr>
    </w:p>
    <w:p w14:paraId="2117E858" w14:textId="77777777" w:rsidR="00EC19DC" w:rsidRPr="003E6456" w:rsidRDefault="00EC19DC" w:rsidP="00EC19DC">
      <w:pPr>
        <w:spacing w:line="360" w:lineRule="auto"/>
        <w:contextualSpacing/>
        <w:jc w:val="both"/>
        <w:rPr>
          <w:rFonts w:ascii="Palatino Linotype" w:eastAsiaTheme="minorHAnsi" w:hAnsi="Palatino Linotype" w:cstheme="minorBidi"/>
          <w:szCs w:val="22"/>
          <w:lang w:eastAsia="en-US"/>
        </w:rPr>
      </w:pPr>
      <w:r w:rsidRPr="003E6456">
        <w:rPr>
          <w:rFonts w:ascii="Palatino Linotype" w:eastAsiaTheme="minorHAnsi" w:hAnsi="Palatino Linotype" w:cstheme="minorBidi"/>
          <w:szCs w:val="22"/>
          <w:lang w:eastAsia="en-U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8C0BF0A" w14:textId="77777777" w:rsidR="00B253F0" w:rsidRPr="003E6456" w:rsidRDefault="00B253F0" w:rsidP="00EC19DC">
      <w:pPr>
        <w:spacing w:line="360" w:lineRule="auto"/>
        <w:contextualSpacing/>
        <w:jc w:val="both"/>
        <w:rPr>
          <w:rFonts w:ascii="Palatino Linotype" w:eastAsiaTheme="minorHAnsi" w:hAnsi="Palatino Linotype" w:cstheme="minorBidi"/>
          <w:szCs w:val="22"/>
          <w:lang w:eastAsia="en-US"/>
        </w:rPr>
      </w:pPr>
    </w:p>
    <w:p w14:paraId="4534EADF" w14:textId="1528A524" w:rsidR="00B253F0" w:rsidRPr="003E6456" w:rsidRDefault="00B253F0" w:rsidP="00B253F0">
      <w:pPr>
        <w:pStyle w:val="Prrafodelista"/>
        <w:autoSpaceDE w:val="0"/>
        <w:autoSpaceDN w:val="0"/>
        <w:adjustRightInd w:val="0"/>
        <w:spacing w:line="360" w:lineRule="auto"/>
        <w:ind w:left="0"/>
        <w:jc w:val="both"/>
        <w:rPr>
          <w:rFonts w:ascii="Palatino Linotype" w:hAnsi="Palatino Linotype" w:cs="Arial"/>
          <w:color w:val="000000" w:themeColor="text1"/>
        </w:rPr>
      </w:pPr>
      <w:r w:rsidRPr="003E6456">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3E6456">
        <w:rPr>
          <w:rFonts w:ascii="Palatino Linotype" w:hAnsi="Palatino Linotype" w:cs="Arial"/>
          <w:b/>
          <w:color w:val="000000" w:themeColor="text1"/>
        </w:rPr>
        <w:t>Sujeto Obligado</w:t>
      </w:r>
      <w:r w:rsidRPr="003E6456">
        <w:rPr>
          <w:rFonts w:ascii="Palatino Linotype" w:hAnsi="Palatino Linotype" w:cs="Arial"/>
          <w:color w:val="000000" w:themeColor="text1"/>
        </w:rPr>
        <w:t xml:space="preserve"> fue de </w:t>
      </w:r>
      <w:r w:rsidRPr="003E6456">
        <w:rPr>
          <w:rFonts w:ascii="Palatino Linotype" w:hAnsi="Palatino Linotype" w:cs="Arial"/>
          <w:b/>
          <w:i/>
          <w:color w:val="000000" w:themeColor="text1"/>
        </w:rPr>
        <w:t>nueve días hábiles</w:t>
      </w:r>
      <w:r w:rsidRPr="003E6456">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3E6456">
        <w:rPr>
          <w:rFonts w:ascii="Palatino Linotype" w:hAnsi="Palatino Linotype" w:cs="Arial"/>
          <w:b/>
          <w:color w:val="000000" w:themeColor="text1"/>
        </w:rPr>
        <w:t>Sujeto Obligado</w:t>
      </w:r>
      <w:r w:rsidRPr="003E6456">
        <w:rPr>
          <w:rFonts w:ascii="Palatino Linotype" w:hAnsi="Palatino Linotype" w:cs="Arial"/>
          <w:color w:val="000000" w:themeColor="text1"/>
        </w:rPr>
        <w:t xml:space="preserve"> </w:t>
      </w:r>
      <w:r w:rsidRPr="003E6456">
        <w:rPr>
          <w:rFonts w:ascii="Palatino Linotype" w:hAnsi="Palatino Linotype" w:cs="Arial"/>
          <w:b/>
          <w:i/>
          <w:color w:val="000000" w:themeColor="text1"/>
          <w:u w:val="single"/>
        </w:rPr>
        <w:t>deberá hacerlo saber al solicitante en un plazo no mayor a cinco días hábiles</w:t>
      </w:r>
      <w:r w:rsidRPr="003E6456">
        <w:rPr>
          <w:rFonts w:ascii="Palatino Linotype" w:hAnsi="Palatino Linotype" w:cs="Arial"/>
          <w:color w:val="000000" w:themeColor="text1"/>
        </w:rPr>
        <w:t xml:space="preserve">; bajo esa premisa, la respuesta del </w:t>
      </w:r>
      <w:r w:rsidRPr="003E6456">
        <w:rPr>
          <w:rFonts w:ascii="Palatino Linotype" w:hAnsi="Palatino Linotype" w:cs="Arial"/>
          <w:b/>
          <w:color w:val="000000" w:themeColor="text1"/>
        </w:rPr>
        <w:t>Sujeto Obligado</w:t>
      </w:r>
      <w:r w:rsidRPr="003E6456">
        <w:rPr>
          <w:rFonts w:ascii="Palatino Linotype" w:hAnsi="Palatino Linotype" w:cs="Arial"/>
          <w:color w:val="000000" w:themeColor="text1"/>
        </w:rPr>
        <w:t xml:space="preserve"> </w:t>
      </w:r>
      <w:r w:rsidRPr="003E6456">
        <w:rPr>
          <w:rFonts w:ascii="Palatino Linotype" w:hAnsi="Palatino Linotype" w:cs="Arial"/>
        </w:rPr>
        <w:t xml:space="preserve">vulneró el referido dispositivo de la Ley de Transparencia, toda vez que no se pronunció dentro de los </w:t>
      </w:r>
      <w:r w:rsidRPr="003E6456">
        <w:rPr>
          <w:rFonts w:ascii="Palatino Linotype" w:hAnsi="Palatino Linotype" w:cs="Arial"/>
          <w:b/>
          <w:u w:val="single"/>
        </w:rPr>
        <w:t>cinco días hábiles posteriores al ingreso de la solicitud</w:t>
      </w:r>
      <w:r w:rsidRPr="003E6456">
        <w:rPr>
          <w:rFonts w:ascii="Palatino Linotype" w:hAnsi="Palatino Linotype" w:cs="Arial"/>
        </w:rPr>
        <w:t xml:space="preserve">, por lo que se le sugiere al </w:t>
      </w:r>
      <w:r w:rsidRPr="003E6456">
        <w:rPr>
          <w:rFonts w:ascii="Palatino Linotype" w:hAnsi="Palatino Linotype" w:cs="Arial"/>
          <w:b/>
        </w:rPr>
        <w:t>Sujeto Obligado</w:t>
      </w:r>
      <w:r w:rsidRPr="003E6456">
        <w:rPr>
          <w:rFonts w:ascii="Palatino Linotype" w:hAnsi="Palatino Linotype" w:cs="Arial"/>
        </w:rPr>
        <w:t xml:space="preserve"> </w:t>
      </w:r>
      <w:r w:rsidRPr="003E6456">
        <w:rPr>
          <w:rFonts w:ascii="Palatino Linotype" w:hAnsi="Palatino Linotype" w:cs="Arial"/>
        </w:rPr>
        <w:lastRenderedPageBreak/>
        <w:t xml:space="preserve">atender las solicitudes de información con la mayor diligencia posible, orientando debidamente al solicitante dentro del plazo legalmente establecido. </w:t>
      </w:r>
    </w:p>
    <w:p w14:paraId="5C673E92" w14:textId="77777777" w:rsidR="007E6F30" w:rsidRPr="003E6456" w:rsidRDefault="007E6F30" w:rsidP="00D01A63">
      <w:pPr>
        <w:pStyle w:val="Sinespaciado"/>
        <w:spacing w:line="360" w:lineRule="auto"/>
        <w:jc w:val="both"/>
        <w:rPr>
          <w:rFonts w:ascii="Palatino Linotype" w:hAnsi="Palatino Linotype"/>
        </w:rPr>
      </w:pPr>
    </w:p>
    <w:p w14:paraId="27D9711A" w14:textId="2D49AB9F" w:rsidR="00FA5223" w:rsidRPr="003E6456" w:rsidRDefault="00B253F0" w:rsidP="00FA5223">
      <w:pPr>
        <w:spacing w:line="360" w:lineRule="auto"/>
        <w:jc w:val="both"/>
        <w:rPr>
          <w:rFonts w:ascii="Palatino Linotype" w:hAnsi="Palatino Linotype"/>
          <w:lang w:eastAsia="es-MX"/>
        </w:rPr>
      </w:pPr>
      <w:r w:rsidRPr="003E6456">
        <w:rPr>
          <w:rFonts w:ascii="Palatino Linotype" w:hAnsi="Palatino Linotype" w:cs="Arial"/>
        </w:rPr>
        <w:t>Finalmente, e</w:t>
      </w:r>
      <w:r w:rsidR="00FA5223" w:rsidRPr="003E6456">
        <w:rPr>
          <w:rFonts w:ascii="Palatino Linotype" w:hAnsi="Palatino Linotype" w:cs="Arial"/>
        </w:rPr>
        <w:t xml:space="preserve">s de precisar que, aunque la solicitud de información y la respuesta estén dirigidas y atendidas por un </w:t>
      </w:r>
      <w:r w:rsidR="00FA5223" w:rsidRPr="003E6456">
        <w:rPr>
          <w:rFonts w:ascii="Palatino Linotype" w:hAnsi="Palatino Linotype" w:cs="Arial"/>
          <w:b/>
        </w:rPr>
        <w:t>Sujeto Obligado</w:t>
      </w:r>
      <w:r w:rsidR="00FA5223" w:rsidRPr="003E6456">
        <w:rPr>
          <w:rFonts w:ascii="Palatino Linotype" w:hAnsi="Palatino Linotype" w:cs="Arial"/>
        </w:rPr>
        <w:t xml:space="preserve">, lo cierto es que también tienen diversas Unidades Administrativas y cada área cuenta con un </w:t>
      </w:r>
      <w:r w:rsidR="00FA5223" w:rsidRPr="003E6456">
        <w:rPr>
          <w:rFonts w:ascii="Palatino Linotype" w:hAnsi="Palatino Linotype" w:cs="Arial"/>
          <w:b/>
        </w:rPr>
        <w:t>Servidor Público Habilitado</w:t>
      </w:r>
      <w:r w:rsidR="00FA5223" w:rsidRPr="003E645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3E6456" w:rsidRDefault="00FA5223" w:rsidP="00FA5223">
      <w:pPr>
        <w:rPr>
          <w:rFonts w:ascii="Palatino Linotype" w:hAnsi="Palatino Linotype"/>
        </w:rPr>
      </w:pPr>
    </w:p>
    <w:p w14:paraId="0C019177"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b/>
          <w:i/>
          <w:sz w:val="22"/>
        </w:rPr>
        <w:t>Artículo 3.</w:t>
      </w:r>
      <w:r w:rsidRPr="003E6456">
        <w:rPr>
          <w:rFonts w:ascii="Palatino Linotype" w:hAnsi="Palatino Linotype" w:cs="Arial"/>
          <w:i/>
          <w:sz w:val="22"/>
        </w:rPr>
        <w:t xml:space="preserve"> Para los efectos de la presente Ley se entenderá por:</w:t>
      </w:r>
    </w:p>
    <w:p w14:paraId="3336357C"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w:t>
      </w:r>
    </w:p>
    <w:p w14:paraId="41AE92D0"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b/>
          <w:i/>
          <w:sz w:val="22"/>
        </w:rPr>
        <w:t xml:space="preserve">XXXIX. Servidor público habilitado: </w:t>
      </w:r>
      <w:r w:rsidRPr="003E6456">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w:t>
      </w:r>
    </w:p>
    <w:p w14:paraId="667BBF86"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b/>
          <w:i/>
          <w:sz w:val="22"/>
        </w:rPr>
        <w:t>Artículo 58.</w:t>
      </w:r>
      <w:r w:rsidRPr="003E6456">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b/>
          <w:i/>
          <w:sz w:val="22"/>
        </w:rPr>
        <w:t>Artículo 59.</w:t>
      </w:r>
      <w:r w:rsidRPr="003E6456">
        <w:rPr>
          <w:rFonts w:ascii="Palatino Linotype" w:hAnsi="Palatino Linotype" w:cs="Arial"/>
          <w:i/>
          <w:sz w:val="22"/>
        </w:rPr>
        <w:t xml:space="preserve"> </w:t>
      </w:r>
      <w:r w:rsidRPr="003E6456">
        <w:rPr>
          <w:rFonts w:ascii="Palatino Linotype" w:hAnsi="Palatino Linotype" w:cs="Arial"/>
          <w:b/>
          <w:i/>
          <w:sz w:val="22"/>
          <w:u w:val="single"/>
        </w:rPr>
        <w:t>Los servidores públicos habilitados</w:t>
      </w:r>
      <w:r w:rsidRPr="003E6456">
        <w:rPr>
          <w:rFonts w:ascii="Palatino Linotype" w:hAnsi="Palatino Linotype" w:cs="Arial"/>
          <w:i/>
          <w:sz w:val="22"/>
        </w:rPr>
        <w:t xml:space="preserve"> tendrán las funciones siguientes:</w:t>
      </w:r>
    </w:p>
    <w:p w14:paraId="32CFD0DA"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 xml:space="preserve">I. </w:t>
      </w:r>
      <w:r w:rsidRPr="003E6456">
        <w:rPr>
          <w:rFonts w:ascii="Palatino Linotype" w:hAnsi="Palatino Linotype" w:cs="Arial"/>
          <w:b/>
          <w:i/>
          <w:sz w:val="22"/>
          <w:u w:val="single"/>
        </w:rPr>
        <w:t>Localizar la información que le solicite la Unidad de Transparencia</w:t>
      </w:r>
      <w:r w:rsidRPr="003E6456">
        <w:rPr>
          <w:rFonts w:ascii="Palatino Linotype" w:hAnsi="Palatino Linotype" w:cs="Arial"/>
          <w:i/>
          <w:sz w:val="22"/>
        </w:rPr>
        <w:t>;</w:t>
      </w:r>
    </w:p>
    <w:p w14:paraId="698C1675"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 xml:space="preserve">II. </w:t>
      </w:r>
      <w:r w:rsidRPr="003E6456">
        <w:rPr>
          <w:rFonts w:ascii="Palatino Linotype" w:hAnsi="Palatino Linotype" w:cs="Arial"/>
          <w:b/>
          <w:i/>
          <w:sz w:val="22"/>
          <w:u w:val="single"/>
        </w:rPr>
        <w:t>Proporcionar la información que obre en los archivos y que le sea solicitada por la Unidad de Transparencia</w:t>
      </w:r>
      <w:r w:rsidRPr="003E6456">
        <w:rPr>
          <w:rFonts w:ascii="Palatino Linotype" w:hAnsi="Palatino Linotype" w:cs="Arial"/>
          <w:i/>
          <w:sz w:val="22"/>
        </w:rPr>
        <w:t>;</w:t>
      </w:r>
    </w:p>
    <w:p w14:paraId="2E4991DD"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III. Apoyar a la Unidad de Transparencia en lo que esta le solicite para el cumplimiento de sus funciones;</w:t>
      </w:r>
    </w:p>
    <w:p w14:paraId="23B8160F"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lastRenderedPageBreak/>
        <w:t>IV. Proporcionar a la Unidad de Transparencia, las modificaciones a la información pública de oficio que obre en su poder;</w:t>
      </w:r>
    </w:p>
    <w:p w14:paraId="07CFA910"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3E6456" w:rsidRDefault="00FA5223" w:rsidP="00FA5223">
      <w:pPr>
        <w:autoSpaceDE w:val="0"/>
        <w:autoSpaceDN w:val="0"/>
        <w:adjustRightInd w:val="0"/>
        <w:ind w:left="567" w:right="708"/>
        <w:jc w:val="both"/>
        <w:rPr>
          <w:rFonts w:ascii="Palatino Linotype" w:hAnsi="Palatino Linotype" w:cs="Arial"/>
          <w:i/>
          <w:sz w:val="22"/>
        </w:rPr>
      </w:pPr>
      <w:r w:rsidRPr="003E6456">
        <w:rPr>
          <w:rFonts w:ascii="Palatino Linotype" w:hAnsi="Palatino Linotype" w:cs="Arial"/>
          <w:i/>
          <w:sz w:val="22"/>
        </w:rPr>
        <w:t>VII. Dar cuenta a la Unidad de Transparencia del vencimiento de los plazos de reserva.</w:t>
      </w:r>
    </w:p>
    <w:p w14:paraId="218F08DA" w14:textId="77777777" w:rsidR="00FA5223" w:rsidRPr="003E6456" w:rsidRDefault="00FA5223" w:rsidP="00FA5223">
      <w:pPr>
        <w:spacing w:line="360" w:lineRule="auto"/>
        <w:jc w:val="both"/>
        <w:rPr>
          <w:rFonts w:ascii="Palatino Linotype" w:hAnsi="Palatino Linotype"/>
          <w:lang w:eastAsia="es-MX"/>
        </w:rPr>
      </w:pPr>
    </w:p>
    <w:p w14:paraId="0753688B" w14:textId="77777777" w:rsidR="00FA5223" w:rsidRPr="003E6456" w:rsidRDefault="00FA5223" w:rsidP="00FA5223">
      <w:pPr>
        <w:spacing w:line="360" w:lineRule="auto"/>
        <w:jc w:val="both"/>
        <w:rPr>
          <w:rFonts w:ascii="Palatino Linotype" w:hAnsi="Palatino Linotype"/>
          <w:lang w:eastAsia="es-MX"/>
        </w:rPr>
      </w:pPr>
      <w:r w:rsidRPr="003E6456">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3E6456" w:rsidRDefault="00FA5223" w:rsidP="00FA5223">
      <w:pPr>
        <w:spacing w:line="360" w:lineRule="auto"/>
        <w:jc w:val="both"/>
        <w:rPr>
          <w:rFonts w:ascii="Palatino Linotype" w:hAnsi="Palatino Linotype"/>
          <w:sz w:val="10"/>
          <w:lang w:eastAsia="es-MX"/>
        </w:rPr>
      </w:pPr>
    </w:p>
    <w:p w14:paraId="5C0AFC80" w14:textId="77777777" w:rsidR="00FA5223" w:rsidRPr="003E6456" w:rsidRDefault="00FA5223" w:rsidP="00FA5223">
      <w:pPr>
        <w:spacing w:line="360" w:lineRule="auto"/>
        <w:jc w:val="both"/>
        <w:rPr>
          <w:rFonts w:ascii="Palatino Linotype" w:hAnsi="Palatino Linotype"/>
          <w:sz w:val="10"/>
          <w:lang w:eastAsia="es-MX"/>
        </w:rPr>
      </w:pPr>
    </w:p>
    <w:p w14:paraId="2C85989D" w14:textId="77777777" w:rsidR="00FA5223" w:rsidRPr="003E6456" w:rsidRDefault="00FA5223" w:rsidP="00FA5223">
      <w:pPr>
        <w:ind w:left="567"/>
        <w:jc w:val="both"/>
        <w:rPr>
          <w:rFonts w:ascii="Palatino Linotype" w:hAnsi="Palatino Linotype"/>
          <w:i/>
          <w:sz w:val="18"/>
          <w:szCs w:val="20"/>
          <w:lang w:eastAsia="es-MX"/>
        </w:rPr>
      </w:pPr>
      <w:r w:rsidRPr="003E6456">
        <w:rPr>
          <w:rFonts w:ascii="Palatino Linotype" w:hAnsi="Palatino Linotype"/>
          <w:i/>
          <w:sz w:val="22"/>
          <w:szCs w:val="20"/>
          <w:lang w:eastAsia="es-MX"/>
        </w:rPr>
        <w:t>“</w:t>
      </w:r>
      <w:r w:rsidRPr="003E6456">
        <w:rPr>
          <w:rFonts w:ascii="Palatino Linotype" w:hAnsi="Palatino Linotype"/>
          <w:b/>
          <w:bCs/>
          <w:i/>
          <w:sz w:val="22"/>
          <w:szCs w:val="20"/>
          <w:lang w:eastAsia="es-MX"/>
        </w:rPr>
        <w:t xml:space="preserve">Artículo 162. </w:t>
      </w:r>
      <w:r w:rsidRPr="003E645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E6456">
        <w:rPr>
          <w:rFonts w:ascii="Palatino Linotype" w:hAnsi="Palatino Linotype"/>
          <w:i/>
          <w:sz w:val="22"/>
          <w:szCs w:val="20"/>
          <w:lang w:eastAsia="es-MX"/>
        </w:rPr>
        <w:t>”</w:t>
      </w:r>
    </w:p>
    <w:p w14:paraId="1C3C77E9" w14:textId="77777777" w:rsidR="00FA5223" w:rsidRPr="003E6456"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3E6456" w:rsidRDefault="00B253F0" w:rsidP="00B253F0">
      <w:pPr>
        <w:spacing w:line="360" w:lineRule="auto"/>
        <w:jc w:val="both"/>
        <w:rPr>
          <w:rFonts w:ascii="Palatino Linotype" w:hAnsi="Palatino Linotype"/>
        </w:rPr>
      </w:pPr>
      <w:r w:rsidRPr="003E6456">
        <w:rPr>
          <w:rFonts w:ascii="Palatino Linotype" w:hAnsi="Palatino Linotype"/>
          <w:lang w:eastAsia="es-MX"/>
        </w:rPr>
        <w:t xml:space="preserve">Bajo ese contexto, se considera que, con el pronunciamiento realizado desde su respuesta primigenia por el </w:t>
      </w:r>
      <w:r w:rsidRPr="003E6456">
        <w:rPr>
          <w:rFonts w:ascii="Palatino Linotype" w:hAnsi="Palatino Linotype"/>
          <w:b/>
          <w:lang w:eastAsia="es-MX"/>
        </w:rPr>
        <w:t>Sujeto Obligado</w:t>
      </w:r>
      <w:r w:rsidRPr="003E6456">
        <w:rPr>
          <w:rFonts w:ascii="Palatino Linotype" w:hAnsi="Palatino Linotype"/>
          <w:lang w:eastAsia="es-MX"/>
        </w:rPr>
        <w:t>, colma en su totalidad con la</w:t>
      </w:r>
      <w:r w:rsidRPr="003E6456">
        <w:rPr>
          <w:rFonts w:ascii="Palatino Linotype" w:hAnsi="Palatino Linotype"/>
        </w:rPr>
        <w:t xml:space="preserve"> información solicitada por el particular.</w:t>
      </w:r>
    </w:p>
    <w:p w14:paraId="410271A0" w14:textId="77777777" w:rsidR="00B253F0" w:rsidRPr="003E6456" w:rsidRDefault="00B253F0" w:rsidP="00FA5223">
      <w:pPr>
        <w:spacing w:line="360" w:lineRule="auto"/>
        <w:jc w:val="both"/>
        <w:rPr>
          <w:rFonts w:ascii="Palatino Linotype" w:hAnsi="Palatino Linotype" w:cs="Arial"/>
        </w:rPr>
      </w:pPr>
    </w:p>
    <w:p w14:paraId="56D0D3F3" w14:textId="4FB3D515" w:rsidR="00FA5223" w:rsidRPr="003E6456" w:rsidRDefault="00FA5223" w:rsidP="00FA5223">
      <w:pPr>
        <w:spacing w:line="360" w:lineRule="auto"/>
        <w:jc w:val="both"/>
        <w:rPr>
          <w:rFonts w:ascii="Palatino Linotype" w:hAnsi="Palatino Linotype" w:cs="Arial"/>
        </w:rPr>
      </w:pPr>
      <w:r w:rsidRPr="003E6456">
        <w:rPr>
          <w:rFonts w:ascii="Palatino Linotype" w:hAnsi="Palatino Linotype" w:cs="Arial"/>
        </w:rPr>
        <w:t xml:space="preserve">Así, en mérito de lo expuesto en líneas anteriores </w:t>
      </w:r>
      <w:r w:rsidRPr="003E6456">
        <w:rPr>
          <w:rFonts w:ascii="Palatino Linotype" w:hAnsi="Palatino Linotype"/>
          <w:noProof/>
          <w:lang w:eastAsia="es-MX"/>
        </w:rPr>
        <w:t xml:space="preserve">resultan </w:t>
      </w:r>
      <w:r w:rsidRPr="003E6456">
        <w:rPr>
          <w:rFonts w:ascii="Palatino Linotype" w:hAnsi="Palatino Linotype"/>
          <w:b/>
          <w:i/>
          <w:noProof/>
          <w:lang w:eastAsia="es-MX"/>
        </w:rPr>
        <w:t>infundadas</w:t>
      </w:r>
      <w:r w:rsidRPr="003E6456">
        <w:rPr>
          <w:rFonts w:ascii="Palatino Linotype" w:hAnsi="Palatino Linotype"/>
          <w:noProof/>
          <w:lang w:eastAsia="es-MX"/>
        </w:rPr>
        <w:t xml:space="preserve"> las razones o motivos de inconformidad que arguye la parte </w:t>
      </w:r>
      <w:r w:rsidRPr="003E6456">
        <w:rPr>
          <w:rFonts w:ascii="Palatino Linotype" w:hAnsi="Palatino Linotype"/>
          <w:b/>
          <w:noProof/>
          <w:lang w:eastAsia="es-MX"/>
        </w:rPr>
        <w:t>Recurrente</w:t>
      </w:r>
      <w:r w:rsidRPr="003E6456">
        <w:rPr>
          <w:rFonts w:ascii="Palatino Linotype" w:hAnsi="Palatino Linotype"/>
          <w:noProof/>
          <w:lang w:eastAsia="es-MX"/>
        </w:rPr>
        <w:t xml:space="preserve">, </w:t>
      </w:r>
      <w:r w:rsidRPr="003E6456">
        <w:rPr>
          <w:rFonts w:ascii="Palatino Linotype" w:hAnsi="Palatino Linotype" w:cs="Arial"/>
        </w:rPr>
        <w:t xml:space="preserve">por ello con fundamento en el artículo 186, fracción II, de la Ley de Transparencia y Acceso a la Información Pública del Estado de México y Municipios, se </w:t>
      </w:r>
      <w:r w:rsidRPr="003E6456">
        <w:rPr>
          <w:rFonts w:ascii="Palatino Linotype" w:hAnsi="Palatino Linotype" w:cs="Arial"/>
          <w:b/>
        </w:rPr>
        <w:t>CONFIRMA</w:t>
      </w:r>
      <w:r w:rsidRPr="003E6456">
        <w:rPr>
          <w:rFonts w:ascii="Palatino Linotype" w:hAnsi="Palatino Linotype" w:cs="Arial"/>
        </w:rPr>
        <w:t xml:space="preserve"> la respuesta a la solicitud de información pública </w:t>
      </w:r>
      <w:r w:rsidRPr="003E6456">
        <w:rPr>
          <w:rFonts w:ascii="Palatino Linotype" w:hAnsi="Palatino Linotype" w:cs="Arial"/>
          <w:b/>
        </w:rPr>
        <w:t>00376/ISSEMYM/IP/2023</w:t>
      </w:r>
      <w:r w:rsidRPr="003E6456">
        <w:rPr>
          <w:rFonts w:ascii="Palatino Linotype" w:hAnsi="Palatino Linotype" w:cs="Arial"/>
        </w:rPr>
        <w:t>,</w:t>
      </w:r>
      <w:r w:rsidRPr="003E6456">
        <w:rPr>
          <w:rFonts w:ascii="Palatino Linotype" w:hAnsi="Palatino Linotype" w:cs="Arial"/>
          <w:b/>
        </w:rPr>
        <w:t xml:space="preserve"> </w:t>
      </w:r>
      <w:r w:rsidRPr="003E6456">
        <w:rPr>
          <w:rFonts w:ascii="Palatino Linotype" w:hAnsi="Palatino Linotype" w:cs="Arial"/>
          <w:bCs/>
        </w:rPr>
        <w:t>que ha sido materia del presente fallo</w:t>
      </w:r>
      <w:r w:rsidRPr="003E6456">
        <w:rPr>
          <w:rFonts w:ascii="Palatino Linotype" w:hAnsi="Palatino Linotype" w:cs="Arial"/>
        </w:rPr>
        <w:t>.</w:t>
      </w:r>
    </w:p>
    <w:p w14:paraId="10415EC3" w14:textId="77777777" w:rsidR="00FA5223" w:rsidRPr="003E6456" w:rsidRDefault="00FA5223" w:rsidP="00FA5223">
      <w:pPr>
        <w:pStyle w:val="Sinespaciado"/>
        <w:spacing w:line="360" w:lineRule="auto"/>
        <w:jc w:val="both"/>
        <w:rPr>
          <w:rFonts w:ascii="Palatino Linotype" w:hAnsi="Palatino Linotype"/>
        </w:rPr>
      </w:pPr>
      <w:r w:rsidRPr="003E6456">
        <w:rPr>
          <w:rFonts w:ascii="Palatino Linotype" w:hAnsi="Palatino Linotype"/>
        </w:rPr>
        <w:lastRenderedPageBreak/>
        <w:t>Por lo antes expuesto y fundado es de resolverse y,</w:t>
      </w:r>
    </w:p>
    <w:p w14:paraId="36DD1337" w14:textId="77777777" w:rsidR="00FA5223" w:rsidRPr="003E6456" w:rsidRDefault="00FA5223" w:rsidP="00FA5223">
      <w:pPr>
        <w:pStyle w:val="Sinespaciado"/>
        <w:spacing w:line="360" w:lineRule="auto"/>
        <w:jc w:val="both"/>
        <w:rPr>
          <w:rFonts w:ascii="Palatino Linotype" w:hAnsi="Palatino Linotype"/>
        </w:rPr>
      </w:pPr>
    </w:p>
    <w:p w14:paraId="5A36FD8B" w14:textId="77777777" w:rsidR="00FA5223" w:rsidRPr="003E6456" w:rsidRDefault="00FA5223" w:rsidP="00FA5223">
      <w:pPr>
        <w:spacing w:line="360" w:lineRule="auto"/>
        <w:jc w:val="center"/>
        <w:rPr>
          <w:rFonts w:ascii="Palatino Linotype" w:hAnsi="Palatino Linotype"/>
          <w:b/>
          <w:sz w:val="28"/>
          <w:lang w:val="pt-BR"/>
        </w:rPr>
      </w:pPr>
      <w:r w:rsidRPr="003E6456">
        <w:rPr>
          <w:rFonts w:ascii="Palatino Linotype" w:hAnsi="Palatino Linotype"/>
          <w:b/>
          <w:sz w:val="28"/>
          <w:lang w:val="pt-BR"/>
        </w:rPr>
        <w:t>S E   R E S U E L V E</w:t>
      </w:r>
    </w:p>
    <w:p w14:paraId="0AA9B22A" w14:textId="77777777" w:rsidR="00FA5223" w:rsidRPr="003E6456" w:rsidRDefault="00FA5223" w:rsidP="00FA5223">
      <w:pPr>
        <w:pStyle w:val="Sinespaciado"/>
        <w:rPr>
          <w:rFonts w:ascii="Palatino Linotype" w:hAnsi="Palatino Linotype"/>
          <w:lang w:val="pt-BR"/>
        </w:rPr>
      </w:pPr>
    </w:p>
    <w:p w14:paraId="2B24A19E" w14:textId="1BAB7519" w:rsidR="00FA5223" w:rsidRPr="003E6456" w:rsidRDefault="00FA5223" w:rsidP="00FA5223">
      <w:pPr>
        <w:tabs>
          <w:tab w:val="left" w:pos="8647"/>
        </w:tabs>
        <w:spacing w:line="360" w:lineRule="auto"/>
        <w:jc w:val="both"/>
        <w:rPr>
          <w:rFonts w:ascii="Palatino Linotype" w:hAnsi="Palatino Linotype" w:cs="Arial"/>
        </w:rPr>
      </w:pPr>
      <w:r w:rsidRPr="003E6456">
        <w:rPr>
          <w:rFonts w:ascii="Palatino Linotype" w:hAnsi="Palatino Linotype" w:cs="Arial"/>
          <w:b/>
          <w:sz w:val="28"/>
        </w:rPr>
        <w:t>PRIMERO</w:t>
      </w:r>
      <w:r w:rsidRPr="003E6456">
        <w:rPr>
          <w:rFonts w:ascii="Palatino Linotype" w:hAnsi="Palatino Linotype" w:cs="Arial"/>
          <w:b/>
        </w:rPr>
        <w:t xml:space="preserve">. </w:t>
      </w:r>
      <w:r w:rsidRPr="003E6456">
        <w:rPr>
          <w:rFonts w:ascii="Palatino Linotype" w:hAnsi="Palatino Linotype" w:cs="Arial"/>
        </w:rPr>
        <w:t xml:space="preserve">Se </w:t>
      </w:r>
      <w:r w:rsidRPr="003E6456">
        <w:rPr>
          <w:rFonts w:ascii="Palatino Linotype" w:hAnsi="Palatino Linotype" w:cs="Arial"/>
          <w:b/>
        </w:rPr>
        <w:t>CONFIRMA</w:t>
      </w:r>
      <w:r w:rsidRPr="003E6456">
        <w:rPr>
          <w:rFonts w:ascii="Palatino Linotype" w:hAnsi="Palatino Linotype" w:cs="Arial"/>
        </w:rPr>
        <w:t xml:space="preserve"> la respuesta del </w:t>
      </w:r>
      <w:r w:rsidRPr="003E6456">
        <w:rPr>
          <w:rFonts w:ascii="Palatino Linotype" w:hAnsi="Palatino Linotype" w:cs="Arial"/>
          <w:b/>
        </w:rPr>
        <w:t xml:space="preserve">Sujeto Obligado </w:t>
      </w:r>
      <w:r w:rsidRPr="003E6456">
        <w:rPr>
          <w:rFonts w:ascii="Palatino Linotype" w:hAnsi="Palatino Linotype" w:cs="Arial"/>
          <w:bCs/>
        </w:rPr>
        <w:t xml:space="preserve">a la solicitud de información </w:t>
      </w:r>
      <w:r w:rsidRPr="003E6456">
        <w:rPr>
          <w:rFonts w:ascii="Palatino Linotype" w:hAnsi="Palatino Linotype" w:cs="Arial"/>
          <w:b/>
        </w:rPr>
        <w:t>00376/ISSEMYM/IP/2023</w:t>
      </w:r>
      <w:r w:rsidRPr="003E6456">
        <w:rPr>
          <w:rFonts w:ascii="Palatino Linotype" w:hAnsi="Palatino Linotype" w:cs="Arial"/>
        </w:rPr>
        <w:t>,</w:t>
      </w:r>
      <w:r w:rsidRPr="003E6456">
        <w:rPr>
          <w:rFonts w:ascii="Palatino Linotype" w:hAnsi="Palatino Linotype" w:cs="Arial"/>
          <w:bCs/>
        </w:rPr>
        <w:t xml:space="preserve"> </w:t>
      </w:r>
      <w:r w:rsidRPr="003E6456">
        <w:rPr>
          <w:rFonts w:ascii="Palatino Linotype" w:hAnsi="Palatino Linotype" w:cs="Arial"/>
          <w:lang w:val="es-ES_tradnl"/>
        </w:rPr>
        <w:t xml:space="preserve">por resultar </w:t>
      </w:r>
      <w:r w:rsidRPr="003E6456">
        <w:rPr>
          <w:rFonts w:ascii="Palatino Linotype" w:hAnsi="Palatino Linotype" w:cs="Arial"/>
        </w:rPr>
        <w:t xml:space="preserve">infundadas las razones o motivos de inconformidad hechos valer por la parte </w:t>
      </w:r>
      <w:r w:rsidRPr="003E6456">
        <w:rPr>
          <w:rFonts w:ascii="Palatino Linotype" w:hAnsi="Palatino Linotype" w:cs="Arial"/>
          <w:b/>
        </w:rPr>
        <w:t>Recurrente</w:t>
      </w:r>
      <w:r w:rsidRPr="003E6456">
        <w:rPr>
          <w:rFonts w:ascii="Palatino Linotype" w:hAnsi="Palatino Linotype" w:cs="Arial"/>
        </w:rPr>
        <w:t xml:space="preserve">, en términos del Considerando </w:t>
      </w:r>
      <w:r w:rsidRPr="003E6456">
        <w:rPr>
          <w:rFonts w:ascii="Palatino Linotype" w:hAnsi="Palatino Linotype" w:cs="Arial"/>
          <w:b/>
        </w:rPr>
        <w:t xml:space="preserve">CUARTO </w:t>
      </w:r>
      <w:r w:rsidRPr="003E6456">
        <w:rPr>
          <w:rFonts w:ascii="Palatino Linotype" w:hAnsi="Palatino Linotype" w:cs="Arial"/>
        </w:rPr>
        <w:t>de esta resolución.</w:t>
      </w:r>
    </w:p>
    <w:p w14:paraId="3758F241" w14:textId="77777777" w:rsidR="00FA5223" w:rsidRPr="003E6456" w:rsidRDefault="00FA5223" w:rsidP="00FA5223">
      <w:pPr>
        <w:tabs>
          <w:tab w:val="left" w:pos="8647"/>
        </w:tabs>
        <w:spacing w:line="360" w:lineRule="auto"/>
        <w:jc w:val="both"/>
        <w:rPr>
          <w:rFonts w:ascii="Palatino Linotype" w:hAnsi="Palatino Linotype" w:cs="Arial"/>
        </w:rPr>
      </w:pPr>
    </w:p>
    <w:p w14:paraId="6A5288DE" w14:textId="77777777" w:rsidR="00FA5223" w:rsidRPr="003E6456" w:rsidRDefault="00FA5223" w:rsidP="00FA5223">
      <w:pPr>
        <w:tabs>
          <w:tab w:val="left" w:pos="8647"/>
        </w:tabs>
        <w:spacing w:line="360" w:lineRule="auto"/>
        <w:jc w:val="both"/>
        <w:rPr>
          <w:rFonts w:ascii="Palatino Linotype" w:hAnsi="Palatino Linotype" w:cs="Arial"/>
        </w:rPr>
      </w:pPr>
      <w:r w:rsidRPr="003E6456">
        <w:rPr>
          <w:rFonts w:ascii="Palatino Linotype" w:hAnsi="Palatino Linotype" w:cs="Arial"/>
          <w:b/>
          <w:sz w:val="28"/>
        </w:rPr>
        <w:t>SEGUNDO</w:t>
      </w:r>
      <w:r w:rsidRPr="003E6456">
        <w:rPr>
          <w:rFonts w:ascii="Palatino Linotype" w:hAnsi="Palatino Linotype" w:cs="Arial"/>
          <w:b/>
        </w:rPr>
        <w:t>.</w:t>
      </w:r>
      <w:r w:rsidRPr="003E6456">
        <w:rPr>
          <w:rFonts w:ascii="Palatino Linotype" w:hAnsi="Palatino Linotype" w:cs="Arial"/>
        </w:rPr>
        <w:t xml:space="preserve"> </w:t>
      </w:r>
      <w:r w:rsidRPr="003E6456">
        <w:rPr>
          <w:rFonts w:ascii="Palatino Linotype" w:hAnsi="Palatino Linotype" w:cs="Arial"/>
          <w:b/>
        </w:rPr>
        <w:t>NOTIFÍQUESE</w:t>
      </w:r>
      <w:r w:rsidRPr="003E6456">
        <w:rPr>
          <w:rFonts w:ascii="Palatino Linotype" w:hAnsi="Palatino Linotype" w:cs="Arial"/>
        </w:rPr>
        <w:t xml:space="preserve"> la presente resolución</w:t>
      </w:r>
      <w:r w:rsidRPr="003E6456">
        <w:rPr>
          <w:rFonts w:ascii="Palatino Linotype" w:hAnsi="Palatino Linotype" w:cs="Arial"/>
          <w:bCs/>
          <w:lang w:eastAsia="es-MX"/>
        </w:rPr>
        <w:t xml:space="preserve"> vía</w:t>
      </w:r>
      <w:r w:rsidRPr="003E6456">
        <w:rPr>
          <w:rFonts w:ascii="Palatino Linotype" w:hAnsi="Palatino Linotype" w:cs="Arial"/>
        </w:rPr>
        <w:t xml:space="preserve"> Sistema de Acceso a la Información Mexiquense </w:t>
      </w:r>
      <w:r w:rsidRPr="003E6456">
        <w:rPr>
          <w:rFonts w:ascii="Palatino Linotype" w:hAnsi="Palatino Linotype" w:cs="Arial"/>
          <w:b/>
        </w:rPr>
        <w:t>(SAIMEX)</w:t>
      </w:r>
      <w:r w:rsidRPr="003E6456">
        <w:rPr>
          <w:rFonts w:ascii="Palatino Linotype" w:hAnsi="Palatino Linotype" w:cs="Arial"/>
        </w:rPr>
        <w:t xml:space="preserve">, al Titular de la Unidad de Transparencia del </w:t>
      </w:r>
      <w:r w:rsidRPr="003E6456">
        <w:rPr>
          <w:rFonts w:ascii="Palatino Linotype" w:hAnsi="Palatino Linotype" w:cs="Arial"/>
          <w:b/>
        </w:rPr>
        <w:t>Sujeto Obligado</w:t>
      </w:r>
      <w:r w:rsidRPr="003E6456">
        <w:rPr>
          <w:rFonts w:ascii="Palatino Linotype" w:hAnsi="Palatino Linotype" w:cs="Arial"/>
        </w:rPr>
        <w:t>.</w:t>
      </w:r>
    </w:p>
    <w:p w14:paraId="7B59A402" w14:textId="77777777" w:rsidR="00FA5223" w:rsidRPr="003E6456" w:rsidRDefault="00FA5223" w:rsidP="00FA5223">
      <w:pPr>
        <w:spacing w:line="360" w:lineRule="auto"/>
        <w:jc w:val="both"/>
        <w:rPr>
          <w:rFonts w:ascii="Palatino Linotype" w:hAnsi="Palatino Linotype" w:cs="Arial"/>
          <w:b/>
        </w:rPr>
      </w:pPr>
    </w:p>
    <w:p w14:paraId="21C9FF01" w14:textId="08F76758" w:rsidR="00115B15" w:rsidRPr="003E6456" w:rsidRDefault="00FA5223" w:rsidP="00D01A63">
      <w:pPr>
        <w:spacing w:line="360" w:lineRule="auto"/>
        <w:jc w:val="both"/>
        <w:rPr>
          <w:rFonts w:ascii="Palatino Linotype" w:hAnsi="Palatino Linotype" w:cs="Arial"/>
        </w:rPr>
      </w:pPr>
      <w:r w:rsidRPr="003E6456">
        <w:rPr>
          <w:rFonts w:ascii="Palatino Linotype" w:hAnsi="Palatino Linotype" w:cs="Arial"/>
          <w:b/>
          <w:sz w:val="28"/>
        </w:rPr>
        <w:t>TERCERO</w:t>
      </w:r>
      <w:r w:rsidRPr="003E6456">
        <w:rPr>
          <w:rFonts w:ascii="Palatino Linotype" w:hAnsi="Palatino Linotype" w:cs="Arial"/>
          <w:b/>
        </w:rPr>
        <w:t>.</w:t>
      </w:r>
      <w:r w:rsidRPr="003E6456">
        <w:rPr>
          <w:rFonts w:ascii="Palatino Linotype" w:hAnsi="Palatino Linotype" w:cs="Arial"/>
        </w:rPr>
        <w:t xml:space="preserve"> </w:t>
      </w:r>
      <w:r w:rsidRPr="003E6456">
        <w:rPr>
          <w:rFonts w:ascii="Palatino Linotype" w:hAnsi="Palatino Linotype" w:cs="Arial"/>
          <w:b/>
        </w:rPr>
        <w:t>NOTIFÍQUESE</w:t>
      </w:r>
      <w:r w:rsidRPr="003E6456">
        <w:rPr>
          <w:rFonts w:ascii="Palatino Linotype" w:hAnsi="Palatino Linotype" w:cs="Arial"/>
        </w:rPr>
        <w:t xml:space="preserve"> a la parte </w:t>
      </w:r>
      <w:r w:rsidRPr="003E6456">
        <w:rPr>
          <w:rFonts w:ascii="Palatino Linotype" w:hAnsi="Palatino Linotype" w:cs="Arial"/>
          <w:b/>
        </w:rPr>
        <w:t xml:space="preserve">Recurrente </w:t>
      </w:r>
      <w:r w:rsidRPr="003E6456">
        <w:rPr>
          <w:rFonts w:ascii="Palatino Linotype" w:hAnsi="Palatino Linotype" w:cs="Arial"/>
        </w:rPr>
        <w:t xml:space="preserve">vía Sistema de Acceso a la Información Mexiquense </w:t>
      </w:r>
      <w:r w:rsidRPr="003E6456">
        <w:rPr>
          <w:rFonts w:ascii="Palatino Linotype" w:hAnsi="Palatino Linotype" w:cs="Arial"/>
          <w:b/>
        </w:rPr>
        <w:t>(SAIMEX)</w:t>
      </w:r>
      <w:r w:rsidRPr="003E6456">
        <w:rPr>
          <w:rFonts w:ascii="Palatino Linotype" w:hAnsi="Palatino Linotype" w:cs="Arial"/>
        </w:rPr>
        <w:t>,</w:t>
      </w:r>
      <w:r w:rsidRPr="003E6456">
        <w:rPr>
          <w:rFonts w:ascii="Palatino Linotype" w:hAnsi="Palatino Linotype" w:cs="Arial"/>
          <w:b/>
        </w:rPr>
        <w:t xml:space="preserve"> </w:t>
      </w:r>
      <w:r w:rsidRPr="003E6456">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3E6456" w:rsidRDefault="00FA5223" w:rsidP="00D01A63">
      <w:pPr>
        <w:spacing w:line="360" w:lineRule="auto"/>
        <w:jc w:val="both"/>
        <w:rPr>
          <w:rFonts w:ascii="Palatino Linotype" w:hAnsi="Palatino Linotype" w:cs="Arial"/>
        </w:rPr>
      </w:pPr>
    </w:p>
    <w:p w14:paraId="5D487E30" w14:textId="6F44251C" w:rsidR="0029071C" w:rsidRPr="003E6456" w:rsidRDefault="0029071C" w:rsidP="00D01A63">
      <w:pPr>
        <w:spacing w:line="360" w:lineRule="auto"/>
        <w:jc w:val="both"/>
        <w:rPr>
          <w:rFonts w:ascii="Palatino Linotype" w:eastAsiaTheme="minorHAnsi" w:hAnsi="Palatino Linotype" w:cs="Arial"/>
          <w:lang w:val="es-MX" w:eastAsia="en-US"/>
        </w:rPr>
      </w:pPr>
      <w:r w:rsidRPr="003E6456">
        <w:rPr>
          <w:rFonts w:ascii="Palatino Linotype" w:eastAsiaTheme="minorHAnsi" w:hAnsi="Palatino Linotype" w:cs="Arial"/>
          <w:lang w:val="es-MX" w:eastAsia="en-US"/>
        </w:rPr>
        <w:t>ASÍ LO RESUELVE, POR UNANIMIDAD DE VOTOS, EL PLENO DEL</w:t>
      </w:r>
      <w:r w:rsidRPr="003E645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E6456">
        <w:rPr>
          <w:rFonts w:ascii="Palatino Linotype" w:eastAsiaTheme="minorHAnsi" w:hAnsi="Palatino Linotype" w:cs="Arial"/>
          <w:lang w:val="es-MX" w:eastAsia="en-US"/>
        </w:rPr>
        <w:t xml:space="preserve">, CONFORMADO POR LOS COMISIONADOS JOSÉ MARTÍNEZ VILCHIS; MARÍA </w:t>
      </w:r>
      <w:r w:rsidRPr="003E6456">
        <w:rPr>
          <w:rFonts w:ascii="Palatino Linotype" w:eastAsiaTheme="minorHAnsi" w:hAnsi="Palatino Linotype" w:cs="Arial"/>
          <w:lang w:val="es-MX" w:eastAsia="en-US"/>
        </w:rPr>
        <w:lastRenderedPageBreak/>
        <w:t>DEL ROSARIO MEJÍA AYALA; SHARON CRISTINA MORALES MARTÍNEZ</w:t>
      </w:r>
      <w:r w:rsidR="00C4326C" w:rsidRPr="003E6456">
        <w:rPr>
          <w:rFonts w:ascii="Palatino Linotype" w:eastAsiaTheme="minorHAnsi" w:hAnsi="Palatino Linotype" w:cs="Arial"/>
          <w:lang w:val="es-MX" w:eastAsia="en-US"/>
        </w:rPr>
        <w:t xml:space="preserve">; </w:t>
      </w:r>
      <w:r w:rsidRPr="003E6456">
        <w:rPr>
          <w:rFonts w:ascii="Palatino Linotype" w:eastAsiaTheme="minorHAnsi" w:hAnsi="Palatino Linotype" w:cs="Arial"/>
          <w:lang w:val="es-MX" w:eastAsia="en-US"/>
        </w:rPr>
        <w:t>LUIS GUSTAVO PARRA NORIEGA</w:t>
      </w:r>
      <w:r w:rsidR="004309A2" w:rsidRPr="003E6456">
        <w:rPr>
          <w:rFonts w:ascii="Palatino Linotype" w:eastAsiaTheme="minorHAnsi" w:hAnsi="Palatino Linotype" w:cs="Arial"/>
          <w:lang w:val="es-MX" w:eastAsia="en-US"/>
        </w:rPr>
        <w:t xml:space="preserve"> </w:t>
      </w:r>
      <w:r w:rsidRPr="003E6456">
        <w:rPr>
          <w:rFonts w:ascii="Palatino Linotype" w:eastAsiaTheme="minorHAnsi" w:hAnsi="Palatino Linotype" w:cs="Arial"/>
          <w:lang w:val="es-MX" w:eastAsia="en-US"/>
        </w:rPr>
        <w:t xml:space="preserve">Y GUADALUPE RAMÍREZ PEÑA; EN LA </w:t>
      </w:r>
      <w:r w:rsidR="00253578" w:rsidRPr="003E6456">
        <w:rPr>
          <w:rFonts w:ascii="Palatino Linotype" w:eastAsiaTheme="minorHAnsi" w:hAnsi="Palatino Linotype" w:cs="Arial"/>
          <w:lang w:val="es-MX" w:eastAsia="en-US"/>
        </w:rPr>
        <w:t>VIGÉSIM</w:t>
      </w:r>
      <w:r w:rsidR="001762FA" w:rsidRPr="003E6456">
        <w:rPr>
          <w:rFonts w:ascii="Palatino Linotype" w:eastAsiaTheme="minorHAnsi" w:hAnsi="Palatino Linotype" w:cs="Arial"/>
          <w:lang w:val="es-MX" w:eastAsia="en-US"/>
        </w:rPr>
        <w:t xml:space="preserve">A </w:t>
      </w:r>
      <w:r w:rsidR="00B7320F" w:rsidRPr="003E6456">
        <w:rPr>
          <w:rFonts w:ascii="Palatino Linotype" w:eastAsiaTheme="minorHAnsi" w:hAnsi="Palatino Linotype" w:cs="Arial"/>
          <w:lang w:val="es-MX" w:eastAsia="en-US"/>
        </w:rPr>
        <w:t>OCTAVA</w:t>
      </w:r>
      <w:r w:rsidR="00C37A05" w:rsidRPr="003E6456">
        <w:rPr>
          <w:rFonts w:ascii="Palatino Linotype" w:eastAsiaTheme="minorHAnsi" w:hAnsi="Palatino Linotype" w:cs="Arial"/>
          <w:lang w:val="es-MX" w:eastAsia="en-US"/>
        </w:rPr>
        <w:t xml:space="preserve"> SESIÓN </w:t>
      </w:r>
      <w:r w:rsidR="00C753C2" w:rsidRPr="003E6456">
        <w:rPr>
          <w:rFonts w:ascii="Palatino Linotype" w:eastAsiaTheme="minorHAnsi" w:hAnsi="Palatino Linotype" w:cs="Arial"/>
          <w:lang w:val="es-MX" w:eastAsia="en-US"/>
        </w:rPr>
        <w:t xml:space="preserve">ORDINARIA CELEBRADA </w:t>
      </w:r>
      <w:r w:rsidR="00C37A05" w:rsidRPr="003E6456">
        <w:rPr>
          <w:rFonts w:ascii="Palatino Linotype" w:eastAsiaTheme="minorHAnsi" w:hAnsi="Palatino Linotype" w:cs="Arial"/>
          <w:lang w:val="es-MX" w:eastAsia="en-US"/>
        </w:rPr>
        <w:t xml:space="preserve">EL </w:t>
      </w:r>
      <w:r w:rsidR="00B7320F" w:rsidRPr="003E6456">
        <w:rPr>
          <w:rFonts w:ascii="Palatino Linotype" w:hAnsi="Palatino Linotype" w:cs="Arial"/>
          <w:color w:val="000000"/>
          <w:lang w:val="es-MX" w:eastAsia="es-MX"/>
        </w:rPr>
        <w:t>NUEVE</w:t>
      </w:r>
      <w:r w:rsidR="00365F0F" w:rsidRPr="003E6456">
        <w:rPr>
          <w:rFonts w:ascii="Palatino Linotype" w:hAnsi="Palatino Linotype" w:cs="Arial"/>
          <w:color w:val="000000"/>
          <w:lang w:val="es-MX" w:eastAsia="es-MX"/>
        </w:rPr>
        <w:t xml:space="preserve"> DE AGOSTO </w:t>
      </w:r>
      <w:r w:rsidRPr="003E6456">
        <w:rPr>
          <w:rFonts w:ascii="Palatino Linotype" w:hAnsi="Palatino Linotype" w:cs="Arial"/>
          <w:color w:val="000000"/>
          <w:lang w:val="es-MX" w:eastAsia="es-MX"/>
        </w:rPr>
        <w:t>DE</w:t>
      </w:r>
      <w:r w:rsidR="004309A2" w:rsidRPr="003E6456">
        <w:rPr>
          <w:rFonts w:ascii="Palatino Linotype" w:eastAsiaTheme="minorHAnsi" w:hAnsi="Palatino Linotype" w:cs="Arial"/>
          <w:lang w:val="es-MX" w:eastAsia="en-US"/>
        </w:rPr>
        <w:t xml:space="preserve"> DOS MIL VEINTITRÉS</w:t>
      </w:r>
      <w:r w:rsidRPr="003E6456">
        <w:rPr>
          <w:rFonts w:ascii="Palatino Linotype" w:eastAsiaTheme="minorHAnsi" w:hAnsi="Palatino Linotype" w:cs="Arial"/>
          <w:lang w:val="es-MX" w:eastAsia="en-US"/>
        </w:rPr>
        <w:t xml:space="preserve">, </w:t>
      </w:r>
      <w:r w:rsidR="00B253F0" w:rsidRPr="003E6456">
        <w:rPr>
          <w:rFonts w:ascii="Palatino Linotype" w:eastAsiaTheme="minorHAnsi" w:hAnsi="Palatino Linotype" w:cs="Arial"/>
          <w:lang w:val="es-MX" w:eastAsia="en-US"/>
        </w:rPr>
        <w:t>ANTE EL SECRETARIO TÉCNICO DEL PLENO, ALEXIS TAPIA RAMÍREZ</w:t>
      </w:r>
      <w:r w:rsidR="00054E04" w:rsidRPr="003E6456">
        <w:rPr>
          <w:rFonts w:ascii="Palatino Linotype" w:eastAsiaTheme="minorHAnsi" w:hAnsi="Palatino Linotype" w:cs="Arial"/>
          <w:lang w:val="es-MX" w:eastAsia="en-US"/>
        </w:rPr>
        <w:t>.</w:t>
      </w:r>
      <w:r w:rsidR="00B253F0" w:rsidRPr="003E6456">
        <w:rPr>
          <w:rFonts w:ascii="Palatino Linotype" w:eastAsiaTheme="minorHAnsi" w:hAnsi="Palatino Linotype" w:cs="Arial"/>
          <w:lang w:val="es-MX" w:eastAsia="en-US"/>
        </w:rPr>
        <w:t>--------------------------------------------------------------------------------------------------- ------------------------------------------------------------------------------------------------------------------------------------------------------------------------------------------------------------------------------------------------------------------------------------------------------------------------------------------------------------------------------------------------------------------------------------------------------------------------------------------------------------------------------------------------------------------------------------------------------------------------------------------------------------------------------------------------------------------------------------------------------------------------------------------------------------------------------------------------------------------------------------------------------------------------------------------------------------------------------------------------------------------------------------------------------------------------------------------------------------------------------------------------------------------------------------------------------------------------------------------------------------------------------------------------------------------------------------------------------------------------------------------------------------------------------------------------------------------------------------------------------------------------------------------------------------------------------------------------------------------------------------------------------------------------------------------------------------------------------------------------------------------------------------------------------------------------------------------------------------------------------------------------------------------------------------------------------------------------------------------------------------------------------------------------------------------------------------------------------------------------------------------------------------------------------------------------------------------------------------------------------</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3E6456">
        <w:rPr>
          <w:rFonts w:ascii="Palatino Linotype" w:eastAsiaTheme="minorHAnsi" w:hAnsi="Palatino Linotype" w:cs="Arial"/>
          <w:sz w:val="14"/>
          <w:lang w:val="es-MX" w:eastAsia="en-US"/>
        </w:rPr>
        <w:t>JMV/CCR/jasm</w:t>
      </w:r>
      <w:bookmarkStart w:id="1" w:name="_GoBack"/>
      <w:bookmarkEnd w:id="1"/>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B1354" w14:textId="77777777" w:rsidR="00BB347A" w:rsidRDefault="00BB347A" w:rsidP="000B5E25">
      <w:r>
        <w:separator/>
      </w:r>
    </w:p>
  </w:endnote>
  <w:endnote w:type="continuationSeparator" w:id="0">
    <w:p w14:paraId="0D5D68C4" w14:textId="77777777" w:rsidR="00BB347A" w:rsidRDefault="00BB347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E6456">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E6456">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E645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E6456">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27BB7" w14:textId="77777777" w:rsidR="00BB347A" w:rsidRDefault="00BB347A" w:rsidP="000B5E25">
      <w:r>
        <w:separator/>
      </w:r>
    </w:p>
  </w:footnote>
  <w:footnote w:type="continuationSeparator" w:id="0">
    <w:p w14:paraId="449C8426" w14:textId="77777777" w:rsidR="00BB347A" w:rsidRDefault="00BB347A"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 w:id="2">
    <w:p w14:paraId="6B32A66E" w14:textId="2EBF6E7D" w:rsidR="004454D4" w:rsidRPr="004454D4" w:rsidRDefault="004454D4">
      <w:pPr>
        <w:pStyle w:val="Textonotapie"/>
        <w:rPr>
          <w:lang w:val="es-MX"/>
        </w:rPr>
      </w:pPr>
      <w:r>
        <w:rPr>
          <w:rStyle w:val="Refdenotaalpie"/>
        </w:rPr>
        <w:footnoteRef/>
      </w:r>
      <w:r>
        <w:t xml:space="preserve"> </w:t>
      </w:r>
      <w:hyperlink r:id="rId3" w:history="1">
        <w:r w:rsidRPr="004454D4">
          <w:rPr>
            <w:rStyle w:val="Hipervnculo"/>
            <w:rFonts w:ascii="Palatino Linotype" w:eastAsiaTheme="minorHAnsi" w:hAnsi="Palatino Linotype" w:cs="Arial"/>
            <w:bCs/>
            <w:lang w:eastAsia="en-US"/>
          </w:rPr>
          <w:t>https://www.issemym.gob.mx/node/22</w:t>
        </w:r>
      </w:hyperlink>
    </w:p>
  </w:footnote>
  <w:footnote w:id="3">
    <w:p w14:paraId="02A54326" w14:textId="136FB9DD" w:rsidR="004454D4" w:rsidRPr="004454D4" w:rsidRDefault="004454D4">
      <w:pPr>
        <w:pStyle w:val="Textonotapie"/>
        <w:rPr>
          <w:lang w:val="es-MX"/>
        </w:rPr>
      </w:pPr>
      <w:r>
        <w:rPr>
          <w:rStyle w:val="Refdenotaalpie"/>
        </w:rPr>
        <w:footnoteRef/>
      </w:r>
      <w:r>
        <w:t xml:space="preserve"> </w:t>
      </w:r>
      <w:hyperlink r:id="rId4" w:history="1">
        <w:r w:rsidRPr="004454D4">
          <w:rPr>
            <w:rStyle w:val="Hipervnculo"/>
            <w:bCs/>
            <w:lang w:val="es-MX"/>
          </w:rPr>
          <w:t>https://www.issemym.gob.mx/tus_tr%C3%A1mites/pensionado_y_pensionista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320DF" w:rsidRDefault="003E645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7D78846A"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65F0F">
            <w:rPr>
              <w:rFonts w:ascii="Palatino Linotype" w:hAnsi="Palatino Linotype"/>
              <w:sz w:val="22"/>
              <w:szCs w:val="22"/>
              <w:lang w:val="es-ES_tradnl"/>
            </w:rPr>
            <w:t>2810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2C3F7F77" w:rsidR="00A320DF" w:rsidRPr="0029071C" w:rsidRDefault="00365F0F" w:rsidP="00B6659F">
          <w:pPr>
            <w:spacing w:line="276" w:lineRule="auto"/>
            <w:jc w:val="right"/>
            <w:rPr>
              <w:rFonts w:ascii="Palatino Linotype" w:hAnsi="Palatino Linotype"/>
              <w:sz w:val="22"/>
              <w:szCs w:val="22"/>
            </w:rPr>
          </w:pPr>
          <w:r w:rsidRPr="00365F0F">
            <w:rPr>
              <w:rFonts w:ascii="Palatino Linotype" w:hAnsi="Palatino Linotype"/>
              <w:sz w:val="22"/>
              <w:szCs w:val="22"/>
            </w:rPr>
            <w:t>Instituto de Seguridad Social del Estado de México y Municipios</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3E645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154A159E"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65F0F">
            <w:rPr>
              <w:rFonts w:ascii="Palatino Linotype" w:hAnsi="Palatino Linotype"/>
              <w:sz w:val="22"/>
              <w:szCs w:val="22"/>
              <w:lang w:val="es-ES_tradnl"/>
            </w:rPr>
            <w:t>2810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55FCE5AA" w:rsidR="00A320DF" w:rsidRPr="006D30E6" w:rsidRDefault="00397DE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9D2C8B9" w:rsidR="00A320DF" w:rsidRPr="0029071C" w:rsidRDefault="00365F0F" w:rsidP="00E57BDB">
          <w:pPr>
            <w:spacing w:line="276" w:lineRule="auto"/>
            <w:jc w:val="right"/>
            <w:rPr>
              <w:rFonts w:ascii="Palatino Linotype" w:hAnsi="Palatino Linotype"/>
              <w:sz w:val="22"/>
              <w:szCs w:val="22"/>
            </w:rPr>
          </w:pPr>
          <w:r w:rsidRPr="00365F0F">
            <w:rPr>
              <w:rFonts w:ascii="Palatino Linotype" w:hAnsi="Palatino Linotype"/>
              <w:sz w:val="22"/>
              <w:szCs w:val="22"/>
            </w:rPr>
            <w:t>Instituto de Seguridad Social del Estado de México y Municipios</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3E645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3B24"/>
      </v:shape>
    </w:pict>
  </w:numPicBullet>
  <w:abstractNum w:abstractNumId="0"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74D42"/>
    <w:multiLevelType w:val="hybridMultilevel"/>
    <w:tmpl w:val="147E6416"/>
    <w:lvl w:ilvl="0" w:tplc="99527CA4">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7"/>
  </w:num>
  <w:num w:numId="3">
    <w:abstractNumId w:val="3"/>
  </w:num>
  <w:num w:numId="4">
    <w:abstractNumId w:val="16"/>
  </w:num>
  <w:num w:numId="5">
    <w:abstractNumId w:val="6"/>
  </w:num>
  <w:num w:numId="6">
    <w:abstractNumId w:val="4"/>
  </w:num>
  <w:num w:numId="7">
    <w:abstractNumId w:val="19"/>
  </w:num>
  <w:num w:numId="8">
    <w:abstractNumId w:val="21"/>
  </w:num>
  <w:num w:numId="9">
    <w:abstractNumId w:val="8"/>
  </w:num>
  <w:num w:numId="10">
    <w:abstractNumId w:val="1"/>
  </w:num>
  <w:num w:numId="11">
    <w:abstractNumId w:val="5"/>
  </w:num>
  <w:num w:numId="12">
    <w:abstractNumId w:val="12"/>
  </w:num>
  <w:num w:numId="13">
    <w:abstractNumId w:val="11"/>
  </w:num>
  <w:num w:numId="14">
    <w:abstractNumId w:val="14"/>
  </w:num>
  <w:num w:numId="15">
    <w:abstractNumId w:val="2"/>
  </w:num>
  <w:num w:numId="16">
    <w:abstractNumId w:val="22"/>
  </w:num>
  <w:num w:numId="17">
    <w:abstractNumId w:val="10"/>
  </w:num>
  <w:num w:numId="18">
    <w:abstractNumId w:val="13"/>
  </w:num>
  <w:num w:numId="19">
    <w:abstractNumId w:val="0"/>
  </w:num>
  <w:num w:numId="20">
    <w:abstractNumId w:val="18"/>
  </w:num>
  <w:num w:numId="21">
    <w:abstractNumId w:val="9"/>
  </w:num>
  <w:num w:numId="22">
    <w:abstractNumId w:val="15"/>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6F04"/>
    <w:rsid w:val="00307006"/>
    <w:rsid w:val="0030701F"/>
    <w:rsid w:val="00314E62"/>
    <w:rsid w:val="00320F38"/>
    <w:rsid w:val="00326B44"/>
    <w:rsid w:val="00330FC3"/>
    <w:rsid w:val="00331E82"/>
    <w:rsid w:val="0033795E"/>
    <w:rsid w:val="00340A06"/>
    <w:rsid w:val="00343F0B"/>
    <w:rsid w:val="003502CA"/>
    <w:rsid w:val="00351E9D"/>
    <w:rsid w:val="003520C5"/>
    <w:rsid w:val="0035559A"/>
    <w:rsid w:val="00360FB7"/>
    <w:rsid w:val="00365F0F"/>
    <w:rsid w:val="00371835"/>
    <w:rsid w:val="003746DE"/>
    <w:rsid w:val="003804E8"/>
    <w:rsid w:val="00380D3E"/>
    <w:rsid w:val="00386D38"/>
    <w:rsid w:val="00396DB6"/>
    <w:rsid w:val="00397DE8"/>
    <w:rsid w:val="003B153A"/>
    <w:rsid w:val="003B1C85"/>
    <w:rsid w:val="003B4CF3"/>
    <w:rsid w:val="003B70B0"/>
    <w:rsid w:val="003C6E1C"/>
    <w:rsid w:val="003D1214"/>
    <w:rsid w:val="003D5C8A"/>
    <w:rsid w:val="003E21A7"/>
    <w:rsid w:val="003E56C9"/>
    <w:rsid w:val="003E6456"/>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D18B6"/>
    <w:rsid w:val="004D5D2F"/>
    <w:rsid w:val="004D6F71"/>
    <w:rsid w:val="004E3A1A"/>
    <w:rsid w:val="004E5628"/>
    <w:rsid w:val="004F5A12"/>
    <w:rsid w:val="00500B82"/>
    <w:rsid w:val="0050130E"/>
    <w:rsid w:val="0050243E"/>
    <w:rsid w:val="00524A8D"/>
    <w:rsid w:val="0053343D"/>
    <w:rsid w:val="0054391A"/>
    <w:rsid w:val="00555C87"/>
    <w:rsid w:val="00563B39"/>
    <w:rsid w:val="0057289F"/>
    <w:rsid w:val="00574FDC"/>
    <w:rsid w:val="005803C9"/>
    <w:rsid w:val="00581DC8"/>
    <w:rsid w:val="0059032F"/>
    <w:rsid w:val="0059614C"/>
    <w:rsid w:val="00597D71"/>
    <w:rsid w:val="005A6216"/>
    <w:rsid w:val="005B0692"/>
    <w:rsid w:val="005B234D"/>
    <w:rsid w:val="005B24A3"/>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A2694"/>
    <w:rsid w:val="006B321A"/>
    <w:rsid w:val="006B418F"/>
    <w:rsid w:val="006C3931"/>
    <w:rsid w:val="006D1713"/>
    <w:rsid w:val="006D30E6"/>
    <w:rsid w:val="006D3A03"/>
    <w:rsid w:val="006E08FA"/>
    <w:rsid w:val="006E6297"/>
    <w:rsid w:val="006F5F93"/>
    <w:rsid w:val="00710FED"/>
    <w:rsid w:val="00716632"/>
    <w:rsid w:val="00717A0C"/>
    <w:rsid w:val="0072075B"/>
    <w:rsid w:val="007237B8"/>
    <w:rsid w:val="0072658E"/>
    <w:rsid w:val="00732345"/>
    <w:rsid w:val="007532C7"/>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A216C"/>
    <w:rsid w:val="00CA4BF9"/>
    <w:rsid w:val="00CB54CA"/>
    <w:rsid w:val="00CC0700"/>
    <w:rsid w:val="00CC0B81"/>
    <w:rsid w:val="00CD024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12EE"/>
    <w:rsid w:val="00F73BB1"/>
    <w:rsid w:val="00F8513C"/>
    <w:rsid w:val="00F90EBA"/>
    <w:rsid w:val="00F97C38"/>
    <w:rsid w:val="00FA0526"/>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ISSEMYM/art_92_xlvi_b.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3/lgt/indice/ISSEMYM/art_92_xlvi_b.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ssemym.gob.mx/node/22"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issemym.gob.mx/tus_tr%C3%A1mites/pensionado_y_pension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49432-0397-4301-88B1-BF29663D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6206</Words>
  <Characters>34139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2023-07-20T17:46:00Z</dcterms:created>
  <dcterms:modified xsi:type="dcterms:W3CDTF">2023-10-17T18:13:00Z</dcterms:modified>
</cp:coreProperties>
</file>