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F4FE" w14:textId="77777777" w:rsidR="008C0D13" w:rsidRPr="00AE73B6" w:rsidRDefault="00EE3C25">
      <w:pPr>
        <w:spacing w:before="240"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quince de marzo de dos mil veintitrés.</w:t>
      </w:r>
    </w:p>
    <w:p w14:paraId="29449994" w14:textId="77777777" w:rsidR="008C0D13" w:rsidRPr="00AE73B6" w:rsidRDefault="008C0D13">
      <w:pPr>
        <w:jc w:val="both"/>
      </w:pPr>
    </w:p>
    <w:p w14:paraId="47C48C6C" w14:textId="29E3518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Visto </w:t>
      </w:r>
      <w:r w:rsidRPr="00AE73B6">
        <w:rPr>
          <w:rFonts w:ascii="Palatino Linotype" w:eastAsia="Palatino Linotype" w:hAnsi="Palatino Linotype" w:cs="Palatino Linotype"/>
          <w:sz w:val="24"/>
          <w:szCs w:val="24"/>
        </w:rPr>
        <w:t xml:space="preserve">el expediente relativo al recurso de revisión </w:t>
      </w:r>
      <w:r w:rsidRPr="00AE73B6">
        <w:rPr>
          <w:rFonts w:ascii="Palatino Linotype" w:eastAsia="Palatino Linotype" w:hAnsi="Palatino Linotype" w:cs="Palatino Linotype"/>
          <w:b/>
          <w:sz w:val="24"/>
          <w:szCs w:val="24"/>
        </w:rPr>
        <w:t>13324/INFOEM/IP/RR/2022</w:t>
      </w:r>
      <w:r w:rsidRPr="00AE73B6">
        <w:rPr>
          <w:rFonts w:ascii="Palatino Linotype" w:eastAsia="Palatino Linotype" w:hAnsi="Palatino Linotype" w:cs="Palatino Linotype"/>
          <w:sz w:val="24"/>
          <w:szCs w:val="24"/>
        </w:rPr>
        <w:t xml:space="preserve">, interpuesto por </w:t>
      </w:r>
      <w:r w:rsidR="003109FF">
        <w:rPr>
          <w:rFonts w:ascii="Palatino Linotype" w:eastAsia="Palatino Linotype" w:hAnsi="Palatino Linotype" w:cs="Palatino Linotype"/>
          <w:b/>
          <w:sz w:val="24"/>
          <w:szCs w:val="24"/>
        </w:rPr>
        <w:t>XXXXXXX XXXXXXXXX XXXXXXX XXXXXXXXX</w:t>
      </w:r>
      <w:r w:rsidRPr="00AE73B6">
        <w:rPr>
          <w:rFonts w:ascii="Palatino Linotype" w:eastAsia="Palatino Linotype" w:hAnsi="Palatino Linotype" w:cs="Palatino Linotype"/>
          <w:sz w:val="24"/>
          <w:szCs w:val="24"/>
        </w:rPr>
        <w:t xml:space="preserve">, a quien en lo sucesivo se le denominara </w:t>
      </w:r>
      <w:r w:rsidRPr="00AE73B6">
        <w:rPr>
          <w:rFonts w:ascii="Palatino Linotype" w:eastAsia="Palatino Linotype" w:hAnsi="Palatino Linotype" w:cs="Palatino Linotype"/>
          <w:b/>
          <w:sz w:val="24"/>
          <w:szCs w:val="24"/>
        </w:rPr>
        <w:t>LA RECURRENTE</w:t>
      </w:r>
      <w:r w:rsidRPr="00AE73B6">
        <w:rPr>
          <w:rFonts w:ascii="Palatino Linotype" w:eastAsia="Palatino Linotype" w:hAnsi="Palatino Linotype" w:cs="Palatino Linotype"/>
          <w:sz w:val="24"/>
          <w:szCs w:val="24"/>
        </w:rPr>
        <w:t xml:space="preserve">, en contra de la respuesta a la solicitud de información con número de folio </w:t>
      </w:r>
      <w:r w:rsidRPr="00AE73B6">
        <w:rPr>
          <w:rFonts w:ascii="Palatino Linotype" w:eastAsia="Palatino Linotype" w:hAnsi="Palatino Linotype" w:cs="Palatino Linotype"/>
          <w:b/>
          <w:sz w:val="24"/>
          <w:szCs w:val="24"/>
        </w:rPr>
        <w:t xml:space="preserve">00248/COACALCO/IP/2022 </w:t>
      </w:r>
      <w:r w:rsidRPr="00AE73B6">
        <w:rPr>
          <w:rFonts w:ascii="Palatino Linotype" w:eastAsia="Palatino Linotype" w:hAnsi="Palatino Linotype" w:cs="Palatino Linotype"/>
          <w:sz w:val="24"/>
          <w:szCs w:val="24"/>
        </w:rPr>
        <w:t xml:space="preserve">por parte del Ayuntamiento de Coacalco de Berriozábal, en lo sucesivo </w:t>
      </w:r>
      <w:r w:rsidRPr="00AE73B6">
        <w:rPr>
          <w:rFonts w:ascii="Palatino Linotype" w:eastAsia="Palatino Linotype" w:hAnsi="Palatino Linotype" w:cs="Palatino Linotype"/>
          <w:b/>
          <w:sz w:val="24"/>
          <w:szCs w:val="24"/>
        </w:rPr>
        <w:t>EL</w:t>
      </w: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se procede a dictar la presente resolución, con base en lo siguiente.</w:t>
      </w:r>
    </w:p>
    <w:p w14:paraId="5A4BD3EA" w14:textId="77777777" w:rsidR="008C0D13" w:rsidRPr="00AE73B6" w:rsidRDefault="008C0D13">
      <w:pPr>
        <w:jc w:val="both"/>
      </w:pPr>
    </w:p>
    <w:p w14:paraId="2A0D9931" w14:textId="77777777" w:rsidR="008C0D13" w:rsidRPr="00AE73B6" w:rsidRDefault="00EE3C25">
      <w:pPr>
        <w:spacing w:after="0" w:line="360" w:lineRule="auto"/>
        <w:jc w:val="center"/>
        <w:rPr>
          <w:rFonts w:ascii="Palatino Linotype" w:eastAsia="Palatino Linotype" w:hAnsi="Palatino Linotype" w:cs="Palatino Linotype"/>
          <w:b/>
          <w:sz w:val="24"/>
          <w:szCs w:val="24"/>
        </w:rPr>
      </w:pPr>
      <w:r w:rsidRPr="00AE73B6">
        <w:rPr>
          <w:rFonts w:ascii="Palatino Linotype" w:eastAsia="Palatino Linotype" w:hAnsi="Palatino Linotype" w:cs="Palatino Linotype"/>
          <w:b/>
          <w:sz w:val="24"/>
          <w:szCs w:val="24"/>
        </w:rPr>
        <w:t>A N T E C E D E N T E S</w:t>
      </w:r>
    </w:p>
    <w:p w14:paraId="66BAB6D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404CE8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1.</w:t>
      </w: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rPr>
        <w:t xml:space="preserve">SOLICITUD DE INFORMACIÓN. </w:t>
      </w:r>
      <w:r w:rsidRPr="00AE73B6">
        <w:rPr>
          <w:rFonts w:ascii="Palatino Linotype" w:eastAsia="Palatino Linotype" w:hAnsi="Palatino Linotype" w:cs="Palatino Linotype"/>
          <w:sz w:val="24"/>
          <w:szCs w:val="24"/>
        </w:rPr>
        <w:t xml:space="preserve">Con fecha treinta de junio de dos mil veintidós, </w:t>
      </w:r>
      <w:r w:rsidRPr="00AE73B6">
        <w:rPr>
          <w:rFonts w:ascii="Palatino Linotype" w:eastAsia="Palatino Linotype" w:hAnsi="Palatino Linotype" w:cs="Palatino Linotype"/>
          <w:b/>
          <w:sz w:val="24"/>
          <w:szCs w:val="24"/>
        </w:rPr>
        <w:t>LA RECURRENTE</w:t>
      </w:r>
      <w:r w:rsidRPr="00AE73B6">
        <w:rPr>
          <w:rFonts w:ascii="Palatino Linotype" w:eastAsia="Palatino Linotype" w:hAnsi="Palatino Linotype" w:cs="Palatino Linotype"/>
          <w:sz w:val="24"/>
          <w:szCs w:val="24"/>
        </w:rPr>
        <w:t>, presentó a través del Sistema de Acceso a la Información Mexiquense (</w:t>
      </w:r>
      <w:r w:rsidRPr="00AE73B6">
        <w:rPr>
          <w:rFonts w:ascii="Palatino Linotype" w:eastAsia="Palatino Linotype" w:hAnsi="Palatino Linotype" w:cs="Palatino Linotype"/>
          <w:b/>
          <w:sz w:val="24"/>
          <w:szCs w:val="24"/>
        </w:rPr>
        <w:t>SAIMEX)</w:t>
      </w:r>
      <w:r w:rsidRPr="00AE73B6">
        <w:rPr>
          <w:rFonts w:ascii="Palatino Linotype" w:eastAsia="Palatino Linotype" w:hAnsi="Palatino Linotype" w:cs="Palatino Linotype"/>
          <w:sz w:val="24"/>
          <w:szCs w:val="24"/>
        </w:rPr>
        <w:t xml:space="preserve"> ante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solicitud de acceso a la información pública, registrada bajo el número de expediente</w:t>
      </w:r>
      <w:r w:rsidRPr="00AE73B6">
        <w:rPr>
          <w:rFonts w:ascii="Verdana" w:eastAsia="Verdana" w:hAnsi="Verdana" w:cs="Verdana"/>
          <w:b/>
        </w:rPr>
        <w:t> </w:t>
      </w:r>
      <w:r w:rsidRPr="00AE73B6">
        <w:rPr>
          <w:rFonts w:ascii="Palatino Linotype" w:eastAsia="Palatino Linotype" w:hAnsi="Palatino Linotype" w:cs="Palatino Linotype"/>
          <w:b/>
          <w:sz w:val="24"/>
          <w:szCs w:val="24"/>
        </w:rPr>
        <w:t>00248/COACALCO/IP/2022</w:t>
      </w:r>
      <w:r w:rsidRPr="00AE73B6">
        <w:rPr>
          <w:rFonts w:ascii="Palatino Linotype" w:eastAsia="Palatino Linotype" w:hAnsi="Palatino Linotype" w:cs="Palatino Linotype"/>
          <w:sz w:val="24"/>
          <w:szCs w:val="24"/>
        </w:rPr>
        <w:t>,</w:t>
      </w:r>
      <w:r w:rsidRPr="00AE73B6">
        <w:rPr>
          <w:rFonts w:ascii="Palatino Linotype" w:eastAsia="Palatino Linotype" w:hAnsi="Palatino Linotype" w:cs="Palatino Linotype"/>
          <w:b/>
          <w:sz w:val="24"/>
          <w:szCs w:val="24"/>
        </w:rPr>
        <w:t xml:space="preserve"> </w:t>
      </w:r>
      <w:r w:rsidRPr="00AE73B6">
        <w:rPr>
          <w:rFonts w:ascii="Palatino Linotype" w:eastAsia="Palatino Linotype" w:hAnsi="Palatino Linotype" w:cs="Palatino Linotype"/>
          <w:sz w:val="24"/>
          <w:szCs w:val="24"/>
        </w:rPr>
        <w:t>mediante el cual solicitó la siguiente información:</w:t>
      </w:r>
    </w:p>
    <w:p w14:paraId="677450B5"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4492204" w14:textId="77777777" w:rsidR="008C0D13" w:rsidRPr="00AE73B6" w:rsidRDefault="00EE3C25">
      <w:pPr>
        <w:ind w:left="566" w:right="629"/>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“1. Se solicita se brinden los protocolos de actuación en materia de género de la Policía de Género y el Instituto Municipal de la Mujer. 2. Se solicita se informe sobre el número de capital humano que labora en actividades sustantivas en la Policía de Género y el </w:t>
      </w:r>
      <w:r w:rsidRPr="00AE73B6">
        <w:rPr>
          <w:rFonts w:ascii="Palatino Linotype" w:eastAsia="Palatino Linotype" w:hAnsi="Palatino Linotype" w:cs="Palatino Linotype"/>
          <w:i/>
        </w:rPr>
        <w:lastRenderedPageBreak/>
        <w:t>Instituto Municipal de la Mujer, así como los perfiles profesionales de cada uno de ellos. 3. Se solicitan las estadísticas registradas en el municipio sobre delitos relacionados con violencia de género en el período del 1 de enero al 15 de junio. 4. Se solicitan los Planes Anuales de Trabajo de la Policía de Género y el Instituto Municipal de la Mujer. 5. Se solicitan los números telefónicos de las jefas y jefes de sector del municipio designados por la Comisaría de Seguridad Pública y Tránsito Municipal” (Sic).</w:t>
      </w:r>
    </w:p>
    <w:p w14:paraId="34AAF3BB" w14:textId="77777777" w:rsidR="008C0D13" w:rsidRPr="00AE73B6" w:rsidRDefault="008C0D13">
      <w:pPr>
        <w:jc w:val="both"/>
      </w:pPr>
    </w:p>
    <w:p w14:paraId="1D552594"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Modalidad de entrega: A través del </w:t>
      </w:r>
      <w:r w:rsidRPr="00AE73B6">
        <w:rPr>
          <w:rFonts w:ascii="Palatino Linotype" w:eastAsia="Palatino Linotype" w:hAnsi="Palatino Linotype" w:cs="Palatino Linotype"/>
          <w:b/>
          <w:sz w:val="24"/>
          <w:szCs w:val="24"/>
        </w:rPr>
        <w:t>SAIMEX</w:t>
      </w:r>
      <w:r w:rsidRPr="00AE73B6">
        <w:rPr>
          <w:rFonts w:ascii="Palatino Linotype" w:eastAsia="Palatino Linotype" w:hAnsi="Palatino Linotype" w:cs="Palatino Linotype"/>
          <w:sz w:val="24"/>
          <w:szCs w:val="24"/>
        </w:rPr>
        <w:t>.</w:t>
      </w:r>
    </w:p>
    <w:p w14:paraId="668F4DAB" w14:textId="77777777" w:rsidR="008C0D13" w:rsidRPr="00AE73B6" w:rsidRDefault="008C0D13">
      <w:pPr>
        <w:jc w:val="both"/>
      </w:pPr>
    </w:p>
    <w:p w14:paraId="22A38E16" w14:textId="77777777" w:rsidR="008C0D13" w:rsidRPr="00AE73B6" w:rsidRDefault="00EE3C25">
      <w:pPr>
        <w:spacing w:after="0" w:line="360" w:lineRule="auto"/>
        <w:jc w:val="both"/>
      </w:pPr>
      <w:r w:rsidRPr="00AE73B6">
        <w:rPr>
          <w:rFonts w:ascii="Palatino Linotype" w:eastAsia="Palatino Linotype" w:hAnsi="Palatino Linotype" w:cs="Palatino Linotype"/>
          <w:b/>
          <w:sz w:val="24"/>
          <w:szCs w:val="24"/>
        </w:rPr>
        <w:t xml:space="preserve">2. RESPUESTA.  </w:t>
      </w:r>
      <w:r w:rsidRPr="00AE73B6">
        <w:rPr>
          <w:rFonts w:ascii="Palatino Linotype" w:eastAsia="Palatino Linotype" w:hAnsi="Palatino Linotype" w:cs="Palatino Linotype"/>
          <w:sz w:val="24"/>
          <w:szCs w:val="24"/>
        </w:rPr>
        <w:t xml:space="preserve">Con fecha cuatro de agosto del dos mil veintidós,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otorgó, a través del SAIMEX, respuesta a la solicitud de acceso a la información de la misma manera:</w:t>
      </w:r>
      <w:r w:rsidRPr="00AE73B6">
        <w:t xml:space="preserve"> </w:t>
      </w:r>
    </w:p>
    <w:p w14:paraId="778EAA38" w14:textId="77777777" w:rsidR="008C0D13" w:rsidRPr="00AE73B6" w:rsidRDefault="008C0D13">
      <w:pPr>
        <w:spacing w:after="0" w:line="360" w:lineRule="auto"/>
        <w:jc w:val="both"/>
      </w:pPr>
    </w:p>
    <w:p w14:paraId="37252A71" w14:textId="77777777" w:rsidR="008C0D13" w:rsidRPr="00AE73B6" w:rsidRDefault="00EE3C25">
      <w:pPr>
        <w:spacing w:after="0" w:line="276"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DA13E2" w14:textId="77777777" w:rsidR="008C0D13" w:rsidRPr="00AE73B6" w:rsidRDefault="00EE3C25">
      <w:pPr>
        <w:spacing w:after="0" w:line="276"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Con fundamento en el </w:t>
      </w:r>
      <w:proofErr w:type="spellStart"/>
      <w:r w:rsidRPr="00AE73B6">
        <w:rPr>
          <w:rFonts w:ascii="Palatino Linotype" w:eastAsia="Palatino Linotype" w:hAnsi="Palatino Linotype" w:cs="Palatino Linotype"/>
          <w:i/>
        </w:rPr>
        <w:t>articulo</w:t>
      </w:r>
      <w:proofErr w:type="spellEnd"/>
      <w:r w:rsidRPr="00AE73B6">
        <w:rPr>
          <w:rFonts w:ascii="Palatino Linotype" w:eastAsia="Palatino Linotype" w:hAnsi="Palatino Linotype" w:cs="Palatino Linotype"/>
          <w:i/>
        </w:rPr>
        <w:t xml:space="preserve"> 53 Fracción II y 163 de la Ley de Transparencia y Acceso a la Información Pública del Estado de México y Municipios, se da respuesta a la presente solicitud con el oficio que emite la Dirección de Administración, Instituto Municipal de la Mujer y Comisaria de Seguridad </w:t>
      </w:r>
      <w:proofErr w:type="spellStart"/>
      <w:r w:rsidRPr="00AE73B6">
        <w:rPr>
          <w:rFonts w:ascii="Palatino Linotype" w:eastAsia="Palatino Linotype" w:hAnsi="Palatino Linotype" w:cs="Palatino Linotype"/>
          <w:i/>
        </w:rPr>
        <w:t>Publica</w:t>
      </w:r>
      <w:proofErr w:type="spellEnd"/>
      <w:r w:rsidRPr="00AE73B6">
        <w:rPr>
          <w:rFonts w:ascii="Palatino Linotype" w:eastAsia="Palatino Linotype" w:hAnsi="Palatino Linotype" w:cs="Palatino Linotype"/>
          <w:i/>
        </w:rPr>
        <w:t xml:space="preserve"> y Tránsito Municipal del cual se anexa copia, así como la respuesta integradora por parte de la Unidad de Transparencia cumpliendo en tiempo y forma con lo solicitado.</w:t>
      </w:r>
    </w:p>
    <w:p w14:paraId="74398EFA" w14:textId="77777777" w:rsidR="008C0D13" w:rsidRPr="00AE73B6" w:rsidRDefault="00EE3C25">
      <w:pPr>
        <w:spacing w:after="0" w:line="276"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ATENTAMENTE</w:t>
      </w:r>
    </w:p>
    <w:p w14:paraId="5F2F10C4" w14:textId="77777777" w:rsidR="008C0D13" w:rsidRPr="00AE73B6" w:rsidRDefault="00EE3C25">
      <w:pPr>
        <w:spacing w:after="0" w:line="276"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LIC. CESAR AUGUSTO MAGDALENO GUERRERO”</w:t>
      </w:r>
    </w:p>
    <w:p w14:paraId="2BA32A76" w14:textId="77777777" w:rsidR="008C0D13" w:rsidRPr="00AE73B6" w:rsidRDefault="008C0D13">
      <w:pPr>
        <w:spacing w:after="0" w:line="276" w:lineRule="auto"/>
        <w:ind w:right="900"/>
        <w:jc w:val="both"/>
        <w:rPr>
          <w:rFonts w:ascii="Palatino Linotype" w:eastAsia="Palatino Linotype" w:hAnsi="Palatino Linotype" w:cs="Palatino Linotype"/>
          <w:i/>
        </w:rPr>
      </w:pPr>
    </w:p>
    <w:p w14:paraId="2DA0C2FD" w14:textId="77777777" w:rsidR="008C0D13" w:rsidRPr="00AE73B6" w:rsidRDefault="00EE3C25">
      <w:pPr>
        <w:spacing w:after="0" w:line="360" w:lineRule="auto"/>
        <w:ind w:right="900"/>
        <w:jc w:val="both"/>
        <w:rPr>
          <w:rFonts w:ascii="Palatino Linotype" w:eastAsia="Palatino Linotype" w:hAnsi="Palatino Linotype" w:cs="Palatino Linotype"/>
        </w:rPr>
      </w:pP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adjuntó a su respuesta los siguientes archivos electrónicos:</w:t>
      </w:r>
    </w:p>
    <w:p w14:paraId="0B6540C0" w14:textId="77777777" w:rsidR="008C0D13" w:rsidRPr="00AE73B6" w:rsidRDefault="00EE3C25">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AE73B6">
        <w:rPr>
          <w:rFonts w:ascii="Palatino Linotype" w:eastAsia="Palatino Linotype" w:hAnsi="Palatino Linotype" w:cs="Palatino Linotype"/>
          <w:b/>
          <w:i/>
          <w:sz w:val="24"/>
          <w:szCs w:val="24"/>
          <w:u w:val="single"/>
        </w:rPr>
        <w:lastRenderedPageBreak/>
        <w:t>“CONTESTACION ADMON 00248_2022.pdf”</w:t>
      </w:r>
      <w:r w:rsidRPr="00AE73B6">
        <w:rPr>
          <w:rFonts w:ascii="Palatino Linotype" w:eastAsia="Palatino Linotype" w:hAnsi="Palatino Linotype" w:cs="Palatino Linotype"/>
          <w:sz w:val="24"/>
          <w:szCs w:val="24"/>
        </w:rPr>
        <w:t>: Oficio DA/1509/2022, signado por la Titular de la Dirección de Administración en donde refiere que en el punto 2 de la solicitud de información, informa que el número de capital humano que labora en el Instituto Municipal de la Mujer son trece servidoras públicas, por lo que corresponde al capital humano de la policía de género, se encuentra reservada de acuerdo al artículo 140 de la Ley de Transparencia y Acceso a la Información Pública del Estado de México y Municipios, por lo que corresponde a los perfiles profesionales, adjunta una liga electrónica del IPOMEX, señalando los pasos que deberá llevar a cabo con el propósito de contar con dicha información.</w:t>
      </w:r>
    </w:p>
    <w:p w14:paraId="4671BB40"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p>
    <w:p w14:paraId="14295441"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“ACTA VIGESIMA SEGUNDA SESION ACUERDO.pdf”</w:t>
      </w:r>
      <w:r w:rsidRPr="00AE73B6">
        <w:rPr>
          <w:rFonts w:ascii="Palatino Linotype" w:eastAsia="Palatino Linotype" w:hAnsi="Palatino Linotype" w:cs="Palatino Linotype"/>
          <w:sz w:val="24"/>
          <w:szCs w:val="24"/>
        </w:rPr>
        <w:t>: Apartado de un acta de clasificación como reservada, la información en donde el Instituto Municipal de la Mujer se encuentra imposibilitado para dar información debido a que el protocolo de actuación en materia de género y por tratarse de atención a mujeres víctimas de violencia, argumentando que al dar esa información podría ocasionar un perjuicio real a la víctima.</w:t>
      </w:r>
    </w:p>
    <w:p w14:paraId="1091F87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p>
    <w:p w14:paraId="4AF59F35"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“CONTESTACION CSPYTM 00248_2022.pdf”</w:t>
      </w:r>
      <w:r w:rsidRPr="00AE73B6">
        <w:rPr>
          <w:rFonts w:ascii="Palatino Linotype" w:eastAsia="Palatino Linotype" w:hAnsi="Palatino Linotype" w:cs="Palatino Linotype"/>
          <w:sz w:val="24"/>
          <w:szCs w:val="24"/>
        </w:rPr>
        <w:t xml:space="preserve">: Oficio CSPYTM/ET/043/2022 de fecha tres de agosto de dos mil veintidós, signado por el Comisario de Seguridad Pública y Tránsito de Coacalco, en donde proporciona la liga electrónica del Protocolo Nacional de Actuación Policial para la atención a la violencia de género contra las mujeres en el ámbito familiar, además refiere que cuenta con catorce elementos capacitados, los cuales tienen el perfil profesional de Licenciados en </w:t>
      </w:r>
      <w:r w:rsidRPr="00AE73B6">
        <w:rPr>
          <w:rFonts w:ascii="Palatino Linotype" w:eastAsia="Palatino Linotype" w:hAnsi="Palatino Linotype" w:cs="Palatino Linotype"/>
          <w:sz w:val="24"/>
          <w:szCs w:val="24"/>
        </w:rPr>
        <w:lastRenderedPageBreak/>
        <w:t xml:space="preserve">Seguridad Pública, Licenciados en Derecho, Licenciados en Psicología y Criminalista. </w:t>
      </w:r>
    </w:p>
    <w:p w14:paraId="4BE99403"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AE0162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Para las estadísticas registradas del uno de enero al treinta y uno de mayo de dos mil veintidós, adjunta una liga electrónica, señala el plan anual de la policía de género, además no omite señalar que no es posible proporcionar los números telefónicos de las jefas y jefes de sector, derivado que sus números son de uso personal, ya que no se le proporcionan equipos celulares, ni chips telefónicos para el desempeño de sus funciones por lo que el número para atender las emergencias es el del Centro de Emergencias de Monitoreo C4, siendo el 55115420169.</w:t>
      </w:r>
    </w:p>
    <w:p w14:paraId="61BF831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B14821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Oficio CSPYTM/SPG/021/2022 de fecha veinte de julio de dos mil veintidós, signado por la subdirectora de Policía de Genero de Seguridad Pública y Tránsito Municipal, en donde menciona lo antes referido, además de los cursos que tomaron los elementos. </w:t>
      </w:r>
    </w:p>
    <w:p w14:paraId="2CCF6E7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CCCC6D5"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“CONTESTACION IMMUJER 00248_2022.pdf”</w:t>
      </w:r>
      <w:r w:rsidRPr="00AE73B6">
        <w:rPr>
          <w:rFonts w:ascii="Palatino Linotype" w:eastAsia="Palatino Linotype" w:hAnsi="Palatino Linotype" w:cs="Palatino Linotype"/>
          <w:sz w:val="24"/>
          <w:szCs w:val="24"/>
        </w:rPr>
        <w:t xml:space="preserve">: Oficio IMM/UTAI/007/2022 de fecha veintiuno de julio de dos mil veintidós, signado por el Titular de la Unidad de Atención a la Mujer, en donde menciona que los protocolos en actuación en atención en materia de género, </w:t>
      </w:r>
      <w:r w:rsidRPr="00AE73B6">
        <w:rPr>
          <w:rFonts w:ascii="Palatino Linotype" w:eastAsia="Palatino Linotype" w:hAnsi="Palatino Linotype" w:cs="Palatino Linotype"/>
          <w:b/>
          <w:sz w:val="24"/>
          <w:szCs w:val="24"/>
          <w:u w:val="single"/>
        </w:rPr>
        <w:t>se está trabajando</w:t>
      </w:r>
      <w:r w:rsidRPr="00AE73B6">
        <w:rPr>
          <w:rFonts w:ascii="Palatino Linotype" w:eastAsia="Palatino Linotype" w:hAnsi="Palatino Linotype" w:cs="Palatino Linotype"/>
          <w:sz w:val="24"/>
          <w:szCs w:val="24"/>
        </w:rPr>
        <w:t xml:space="preserve"> en conjunto con las diversas áreas del Ayuntamiento, por lo que es información reservada, ya que es un procedimiento que se lleva con personas que son víctimas de violencia de género, el número de capital humano, se encuentra publicada en el IPOMEX en el artículo 92 fracción VII, </w:t>
      </w:r>
      <w:r w:rsidRPr="00AE73B6">
        <w:rPr>
          <w:rFonts w:ascii="Palatino Linotype" w:eastAsia="Palatino Linotype" w:hAnsi="Palatino Linotype" w:cs="Palatino Linotype"/>
          <w:sz w:val="24"/>
          <w:szCs w:val="24"/>
        </w:rPr>
        <w:lastRenderedPageBreak/>
        <w:t>las estadísticas sobre delitos relacionados en materia de género, no se encuentran en sus atribuciones, sin embargo dicha información puede localizarla en la página web del Secretariado Ejecutivo Nacional de Seguridad Pública, lo planes de anuales de trabajo de la policía de genero se encuentran en el IPOMEX en el artículo 92 fracción IV y por lo que corresponde a los números de teléfono de los jefes de sector no se encuentran dentro de sus atribuciones.</w:t>
      </w:r>
    </w:p>
    <w:p w14:paraId="46F4B4C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4C89A4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Oficio sin fecha y número en el cual se observa que solicita a consideración del Comité de Transparencia reserva los protocolos en actuación en atención en materia de género.</w:t>
      </w:r>
    </w:p>
    <w:p w14:paraId="0ED44B8D"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1630FF5"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“RESPUESTA AL SOLICITANTE 00248_2022.pdf”</w:t>
      </w:r>
      <w:r w:rsidRPr="00AE73B6">
        <w:rPr>
          <w:rFonts w:ascii="Palatino Linotype" w:eastAsia="Palatino Linotype" w:hAnsi="Palatino Linotype" w:cs="Palatino Linotype"/>
          <w:sz w:val="24"/>
          <w:szCs w:val="24"/>
        </w:rPr>
        <w:t xml:space="preserve">: Oficio PM/UT/CAMG/882/2022 de fecha quince de julio de dos mil veintidós, signado por el Titular de la Unidad de Transparencia y Protección de Datos Personales, mediante el cual refiere los turnos que realizo a los servidores públicos competentes y que hace entrega de la respuesta que otorgaron dichos servidores públicos. </w:t>
      </w:r>
    </w:p>
    <w:p w14:paraId="5067D22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9F67CE3" w14:textId="77777777" w:rsidR="008C0D13" w:rsidRPr="00AE73B6" w:rsidRDefault="00EE3C25">
      <w:pPr>
        <w:spacing w:after="0" w:line="360" w:lineRule="auto"/>
        <w:ind w:right="-234"/>
        <w:jc w:val="both"/>
        <w:rPr>
          <w:rFonts w:ascii="Palatino Linotype" w:eastAsia="Palatino Linotype" w:hAnsi="Palatino Linotype" w:cs="Palatino Linotype"/>
          <w:b/>
          <w:sz w:val="24"/>
          <w:szCs w:val="24"/>
        </w:rPr>
      </w:pPr>
      <w:r w:rsidRPr="00AE73B6">
        <w:rPr>
          <w:rFonts w:ascii="Palatino Linotype" w:eastAsia="Palatino Linotype" w:hAnsi="Palatino Linotype" w:cs="Palatino Linotype"/>
          <w:b/>
          <w:sz w:val="24"/>
          <w:szCs w:val="24"/>
        </w:rPr>
        <w:t xml:space="preserve">3. DEL RECURSO DE REVISIÓN. </w:t>
      </w:r>
      <w:r w:rsidRPr="00AE73B6">
        <w:rPr>
          <w:rFonts w:ascii="Palatino Linotype" w:eastAsia="Palatino Linotype" w:hAnsi="Palatino Linotype" w:cs="Palatino Linotype"/>
          <w:sz w:val="24"/>
          <w:szCs w:val="24"/>
        </w:rPr>
        <w:t>Inconforme con la respuesta del</w:t>
      </w:r>
      <w:r w:rsidRPr="00AE73B6">
        <w:rPr>
          <w:rFonts w:ascii="Palatino Linotype" w:eastAsia="Palatino Linotype" w:hAnsi="Palatino Linotype" w:cs="Palatino Linotype"/>
          <w:b/>
          <w:sz w:val="24"/>
          <w:szCs w:val="24"/>
        </w:rPr>
        <w:t xml:space="preserve"> SUJETO OBLIGADO, </w:t>
      </w:r>
      <w:r w:rsidRPr="00AE73B6">
        <w:rPr>
          <w:rFonts w:ascii="Palatino Linotype" w:eastAsia="Palatino Linotype" w:hAnsi="Palatino Linotype" w:cs="Palatino Linotype"/>
          <w:sz w:val="24"/>
          <w:szCs w:val="24"/>
        </w:rPr>
        <w:t>en fecha quince de agosto de dos mil veintidós</w:t>
      </w:r>
      <w:r w:rsidRPr="00AE73B6">
        <w:rPr>
          <w:rFonts w:ascii="Palatino Linotype" w:eastAsia="Palatino Linotype" w:hAnsi="Palatino Linotype" w:cs="Palatino Linotype"/>
          <w:b/>
          <w:sz w:val="24"/>
          <w:szCs w:val="24"/>
        </w:rPr>
        <w:t xml:space="preserve">, LA RECURRENTE </w:t>
      </w:r>
      <w:r w:rsidRPr="00AE73B6">
        <w:rPr>
          <w:rFonts w:ascii="Palatino Linotype" w:eastAsia="Palatino Linotype" w:hAnsi="Palatino Linotype" w:cs="Palatino Linotype"/>
          <w:sz w:val="24"/>
          <w:szCs w:val="24"/>
        </w:rPr>
        <w:t>interpuso el recurso de revisión, el cual fue registrado</w:t>
      </w:r>
      <w:r w:rsidRPr="00AE73B6">
        <w:rPr>
          <w:rFonts w:ascii="Palatino Linotype" w:eastAsia="Palatino Linotype" w:hAnsi="Palatino Linotype" w:cs="Palatino Linotype"/>
          <w:b/>
          <w:sz w:val="24"/>
          <w:szCs w:val="24"/>
        </w:rPr>
        <w:t xml:space="preserve"> </w:t>
      </w:r>
      <w:r w:rsidRPr="00AE73B6">
        <w:rPr>
          <w:rFonts w:ascii="Palatino Linotype" w:eastAsia="Palatino Linotype" w:hAnsi="Palatino Linotype" w:cs="Palatino Linotype"/>
          <w:sz w:val="24"/>
          <w:szCs w:val="24"/>
        </w:rPr>
        <w:t xml:space="preserve">en el sistema electrónico con el expediente número </w:t>
      </w:r>
      <w:r w:rsidRPr="00AE73B6">
        <w:rPr>
          <w:rFonts w:ascii="Palatino Linotype" w:eastAsia="Palatino Linotype" w:hAnsi="Palatino Linotype" w:cs="Palatino Linotype"/>
          <w:b/>
          <w:sz w:val="24"/>
          <w:szCs w:val="24"/>
        </w:rPr>
        <w:t>13324/INFOEM/IP/RR/2022</w:t>
      </w:r>
      <w:r w:rsidRPr="00AE73B6">
        <w:rPr>
          <w:rFonts w:ascii="Palatino Linotype" w:eastAsia="Palatino Linotype" w:hAnsi="Palatino Linotype" w:cs="Palatino Linotype"/>
          <w:sz w:val="24"/>
          <w:szCs w:val="24"/>
        </w:rPr>
        <w:t>, en el cual manifiesta, lo siguiente:</w:t>
      </w:r>
    </w:p>
    <w:p w14:paraId="4021D76C" w14:textId="77777777" w:rsidR="008C0D13" w:rsidRPr="00AE73B6" w:rsidRDefault="00EE3C25">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E73B6">
        <w:rPr>
          <w:rFonts w:ascii="Palatino Linotype" w:eastAsia="Palatino Linotype" w:hAnsi="Palatino Linotype" w:cs="Palatino Linotype"/>
          <w:b/>
          <w:i/>
          <w:sz w:val="24"/>
          <w:szCs w:val="24"/>
        </w:rPr>
        <w:t>Acto Impugnado:</w:t>
      </w:r>
    </w:p>
    <w:p w14:paraId="6D522498" w14:textId="77777777" w:rsidR="008C0D13" w:rsidRPr="00AE73B6" w:rsidRDefault="00EE3C25">
      <w:pPr>
        <w:tabs>
          <w:tab w:val="left" w:pos="8222"/>
        </w:tabs>
        <w:spacing w:before="240" w:after="240" w:line="276" w:lineRule="auto"/>
        <w:ind w:left="851" w:right="616"/>
        <w:jc w:val="both"/>
        <w:rPr>
          <w:rFonts w:ascii="Palatino Linotype" w:eastAsia="Palatino Linotype" w:hAnsi="Palatino Linotype" w:cs="Palatino Linotype"/>
          <w:i/>
        </w:rPr>
      </w:pPr>
      <w:r w:rsidRPr="00AE73B6">
        <w:rPr>
          <w:rFonts w:ascii="Palatino Linotype" w:eastAsia="Palatino Linotype" w:hAnsi="Palatino Linotype" w:cs="Palatino Linotype"/>
          <w:i/>
        </w:rPr>
        <w:lastRenderedPageBreak/>
        <w:t>“El 30 de junio ingresé una solicitud de información de folio 00248/COACALCO/IP/2022. Donde pido entre otras cosas lo siguiente. 1. Se solicita se brinden los protocolos de actuación en materia de género de la Policía de Género y el Instituto Municipal de la Mujer.” [sic]</w:t>
      </w:r>
    </w:p>
    <w:p w14:paraId="0352DDAC" w14:textId="77777777" w:rsidR="008C0D13" w:rsidRPr="00AE73B6" w:rsidRDefault="00EE3C2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E73B6">
        <w:rPr>
          <w:rFonts w:ascii="Palatino Linotype" w:eastAsia="Palatino Linotype" w:hAnsi="Palatino Linotype" w:cs="Palatino Linotype"/>
          <w:b/>
          <w:i/>
          <w:sz w:val="24"/>
          <w:szCs w:val="24"/>
        </w:rPr>
        <w:t>Razones o Motivos de Inconformidad</w:t>
      </w:r>
      <w:r w:rsidRPr="00AE73B6">
        <w:rPr>
          <w:rFonts w:ascii="Palatino Linotype" w:eastAsia="Palatino Linotype" w:hAnsi="Palatino Linotype" w:cs="Palatino Linotype"/>
          <w:i/>
          <w:sz w:val="24"/>
          <w:szCs w:val="24"/>
        </w:rPr>
        <w:t>:</w:t>
      </w:r>
    </w:p>
    <w:p w14:paraId="1D0ECC1B" w14:textId="77777777" w:rsidR="008C0D13" w:rsidRPr="00AE73B6" w:rsidRDefault="00EE3C25">
      <w:pPr>
        <w:spacing w:before="240" w:after="0" w:line="276" w:lineRule="auto"/>
        <w:ind w:left="851" w:right="616"/>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“El Instituto de la Mujer Responde que a siete meses de iniciar la administración todavía se encuentran unificando sus protocolos de actuación con las diferentes áreas del ayuntamiento. Pero además señalan "se considera que es una información que se debe considerar como reservada toda vez que el procedimiento a realizar es con víctimas de violencia". No </w:t>
      </w:r>
      <w:proofErr w:type="gramStart"/>
      <w:r w:rsidRPr="00AE73B6">
        <w:rPr>
          <w:rFonts w:ascii="Palatino Linotype" w:eastAsia="Palatino Linotype" w:hAnsi="Palatino Linotype" w:cs="Palatino Linotype"/>
          <w:i/>
        </w:rPr>
        <w:t>obstante</w:t>
      </w:r>
      <w:proofErr w:type="gramEnd"/>
      <w:r w:rsidRPr="00AE73B6">
        <w:rPr>
          <w:rFonts w:ascii="Palatino Linotype" w:eastAsia="Palatino Linotype" w:hAnsi="Palatino Linotype" w:cs="Palatino Linotype"/>
          <w:i/>
        </w:rPr>
        <w:t xml:space="preserve"> la Policía de Género sí responde este punto, aunque únicamente comparten el Protocolo Nacional de Actuación Policial para la Atención a la Violencia de Género Contra las Mujeres en el Ámbito Familiar. La respuesta del Instituto Municipal es incongruente con la de la policía de Género porque si los protocolos fueran información reservada, la policía no nos brindaría un protocolo nacional.” [sic]</w:t>
      </w:r>
    </w:p>
    <w:p w14:paraId="5BB8D943"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D73CBA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El particular adjunta al recurso de revisión los archivos electrónicos:</w:t>
      </w:r>
    </w:p>
    <w:p w14:paraId="3E59EB71" w14:textId="77777777" w:rsidR="008C0D13" w:rsidRPr="00AE73B6" w:rsidRDefault="00EE3C25">
      <w:pPr>
        <w:spacing w:after="0" w:line="360" w:lineRule="auto"/>
        <w:jc w:val="both"/>
        <w:rPr>
          <w:rFonts w:ascii="Palatino Linotype" w:eastAsia="Palatino Linotype" w:hAnsi="Palatino Linotype" w:cs="Palatino Linotype"/>
          <w:b/>
          <w:i/>
          <w:sz w:val="24"/>
          <w:szCs w:val="24"/>
          <w:u w:val="single"/>
        </w:rPr>
      </w:pPr>
      <w:r w:rsidRPr="00AE73B6">
        <w:rPr>
          <w:rFonts w:ascii="Palatino Linotype" w:eastAsia="Palatino Linotype" w:hAnsi="Palatino Linotype" w:cs="Palatino Linotype"/>
          <w:b/>
          <w:i/>
          <w:sz w:val="24"/>
          <w:szCs w:val="24"/>
          <w:u w:val="single"/>
        </w:rPr>
        <w:t>CONTESTACION IMMUJER 00248_2022.pdf</w:t>
      </w:r>
    </w:p>
    <w:p w14:paraId="1AAA12FD" w14:textId="77777777" w:rsidR="008C0D13" w:rsidRPr="00AE73B6" w:rsidRDefault="00EE3C25">
      <w:pPr>
        <w:spacing w:after="0" w:line="360" w:lineRule="auto"/>
        <w:jc w:val="both"/>
        <w:rPr>
          <w:rFonts w:ascii="Palatino Linotype" w:eastAsia="Palatino Linotype" w:hAnsi="Palatino Linotype" w:cs="Palatino Linotype"/>
          <w:b/>
          <w:i/>
          <w:sz w:val="24"/>
          <w:szCs w:val="24"/>
          <w:u w:val="single"/>
        </w:rPr>
      </w:pPr>
      <w:r w:rsidRPr="00AE73B6">
        <w:rPr>
          <w:rFonts w:ascii="Palatino Linotype" w:eastAsia="Palatino Linotype" w:hAnsi="Palatino Linotype" w:cs="Palatino Linotype"/>
          <w:b/>
          <w:i/>
          <w:sz w:val="24"/>
          <w:szCs w:val="24"/>
          <w:u w:val="single"/>
        </w:rPr>
        <w:t>CONTESTACION CSPYTM 00248_2022.pdf</w:t>
      </w:r>
    </w:p>
    <w:p w14:paraId="09A72B96" w14:textId="77777777" w:rsidR="008C0D13" w:rsidRPr="00AE73B6" w:rsidRDefault="008C0D13">
      <w:pPr>
        <w:spacing w:after="0" w:line="360" w:lineRule="auto"/>
        <w:jc w:val="both"/>
        <w:rPr>
          <w:rFonts w:ascii="Palatino Linotype" w:eastAsia="Palatino Linotype" w:hAnsi="Palatino Linotype" w:cs="Palatino Linotype"/>
          <w:b/>
          <w:i/>
          <w:sz w:val="24"/>
          <w:szCs w:val="24"/>
          <w:u w:val="single"/>
        </w:rPr>
      </w:pPr>
    </w:p>
    <w:p w14:paraId="6D3FCB6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Los cuales entregó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en su respuesta inicial, por lo cual se considera innecesaria su descripción. </w:t>
      </w:r>
    </w:p>
    <w:p w14:paraId="436ABA7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080E3F6"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4. </w:t>
      </w:r>
      <w:r w:rsidRPr="00AE73B6">
        <w:rPr>
          <w:rFonts w:ascii="Palatino Linotype" w:eastAsia="Palatino Linotype" w:hAnsi="Palatino Linotype" w:cs="Palatino Linotype"/>
          <w:b/>
          <w:sz w:val="24"/>
          <w:szCs w:val="24"/>
        </w:rPr>
        <w:t xml:space="preserve">TURNO. </w:t>
      </w:r>
      <w:r w:rsidRPr="00AE73B6">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AE73B6">
        <w:rPr>
          <w:rFonts w:ascii="Palatino Linotype" w:eastAsia="Palatino Linotype" w:hAnsi="Palatino Linotype" w:cs="Palatino Linotype"/>
          <w:sz w:val="24"/>
          <w:szCs w:val="24"/>
        </w:rPr>
        <w:lastRenderedPageBreak/>
        <w:t xml:space="preserve">Transparencia, Acceso a la Información Pública y Protección de Datos Personales del Estado de México y Municipios, a la Comisionada </w:t>
      </w:r>
      <w:r w:rsidRPr="00AE73B6">
        <w:rPr>
          <w:rFonts w:ascii="Palatino Linotype" w:eastAsia="Palatino Linotype" w:hAnsi="Palatino Linotype" w:cs="Palatino Linotype"/>
          <w:b/>
          <w:sz w:val="24"/>
          <w:szCs w:val="24"/>
        </w:rPr>
        <w:t xml:space="preserve">Guadalupe Ramírez Peña, </w:t>
      </w:r>
      <w:r w:rsidRPr="00AE73B6">
        <w:rPr>
          <w:rFonts w:ascii="Palatino Linotype" w:eastAsia="Palatino Linotype" w:hAnsi="Palatino Linotype" w:cs="Palatino Linotype"/>
          <w:sz w:val="24"/>
          <w:szCs w:val="24"/>
        </w:rPr>
        <w:t xml:space="preserve">a efecto de que analizara sobre su admisión o su </w:t>
      </w:r>
      <w:proofErr w:type="spellStart"/>
      <w:r w:rsidRPr="00AE73B6">
        <w:rPr>
          <w:rFonts w:ascii="Palatino Linotype" w:eastAsia="Palatino Linotype" w:hAnsi="Palatino Linotype" w:cs="Palatino Linotype"/>
          <w:sz w:val="24"/>
          <w:szCs w:val="24"/>
        </w:rPr>
        <w:t>desechamiento</w:t>
      </w:r>
      <w:proofErr w:type="spellEnd"/>
      <w:r w:rsidRPr="00AE73B6">
        <w:rPr>
          <w:rFonts w:ascii="Palatino Linotype" w:eastAsia="Palatino Linotype" w:hAnsi="Palatino Linotype" w:cs="Palatino Linotype"/>
          <w:sz w:val="24"/>
          <w:szCs w:val="24"/>
        </w:rPr>
        <w:t>.</w:t>
      </w:r>
    </w:p>
    <w:p w14:paraId="1BB6480F" w14:textId="77777777" w:rsidR="008C0D13" w:rsidRPr="00AE73B6" w:rsidRDefault="008C0D13"/>
    <w:p w14:paraId="3AF72C4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5. ADMISIÓN DEL RECURSO DE REVISIÓN.</w:t>
      </w:r>
      <w:r w:rsidRPr="00AE73B6">
        <w:rPr>
          <w:rFonts w:ascii="Palatino Linotype" w:eastAsia="Palatino Linotype" w:hAnsi="Palatino Linotype" w:cs="Palatino Linotype"/>
          <w:sz w:val="24"/>
          <w:szCs w:val="24"/>
        </w:rPr>
        <w:t xml:space="preserve"> Con fecha</w:t>
      </w:r>
      <w:r w:rsidRPr="00AE73B6">
        <w:rPr>
          <w:rFonts w:ascii="Palatino Linotype" w:eastAsia="Palatino Linotype" w:hAnsi="Palatino Linotype" w:cs="Palatino Linotype"/>
          <w:b/>
          <w:sz w:val="24"/>
          <w:szCs w:val="24"/>
        </w:rPr>
        <w:t xml:space="preserve"> dieciocho de agosto de dos mil veintidós, </w:t>
      </w:r>
      <w:r w:rsidRPr="00AE73B6">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presentara su informe justificado.</w:t>
      </w:r>
    </w:p>
    <w:p w14:paraId="376BA9C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85CA097"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6. MANIFESTACIONES.</w:t>
      </w:r>
      <w:r w:rsidRPr="00AE73B6">
        <w:rPr>
          <w:rFonts w:ascii="Palatino Linotype" w:eastAsia="Palatino Linotype" w:hAnsi="Palatino Linotype" w:cs="Palatino Linotype"/>
          <w:sz w:val="24"/>
          <w:szCs w:val="24"/>
        </w:rPr>
        <w:t xml:space="preserve"> El treinta y uno de agosto de dos mil veintidós se recibió, a través del Sistema de Acceso a la Información Mexiquense (SAIMEX), el Informe Justificado del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w:t>
      </w:r>
      <w:r w:rsidRPr="00AE73B6">
        <w:rPr>
          <w:rFonts w:ascii="Palatino Linotype" w:eastAsia="Palatino Linotype" w:hAnsi="Palatino Linotype" w:cs="Palatino Linotype"/>
          <w:b/>
          <w:sz w:val="24"/>
          <w:szCs w:val="24"/>
        </w:rPr>
        <w:t xml:space="preserve"> </w:t>
      </w:r>
      <w:r w:rsidRPr="00AE73B6">
        <w:rPr>
          <w:rFonts w:ascii="Palatino Linotype" w:eastAsia="Palatino Linotype" w:hAnsi="Palatino Linotype" w:cs="Palatino Linotype"/>
          <w:sz w:val="24"/>
          <w:szCs w:val="24"/>
        </w:rPr>
        <w:t xml:space="preserve">a través de los siguientes archivos electrónicos: </w:t>
      </w:r>
    </w:p>
    <w:p w14:paraId="54899945"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3DC9D2C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“INFORME JUSTIFICADO RR_13324_2022_0001.pdf”</w:t>
      </w:r>
      <w:r w:rsidRPr="00AE73B6">
        <w:rPr>
          <w:rFonts w:ascii="Palatino Linotype" w:eastAsia="Palatino Linotype" w:hAnsi="Palatino Linotype" w:cs="Palatino Linotype"/>
          <w:sz w:val="24"/>
          <w:szCs w:val="24"/>
        </w:rPr>
        <w:t>: Oficio con fecha veintinueve de agosto de dos mil veintidós, signado por el Titular de la Unidad de Transparencia, mediante el cual, mediante el cual describe las constancias que obran en el SAIMEX y solicitando se resuelva el presente recurso de revisión a su favor.</w:t>
      </w:r>
    </w:p>
    <w:p w14:paraId="02A890B7"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7C45D3A" w14:textId="77777777" w:rsidR="008C0D13" w:rsidRPr="00AE73B6" w:rsidRDefault="00EE3C25">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sidRPr="00AE73B6">
        <w:rPr>
          <w:rFonts w:ascii="Palatino Linotype" w:eastAsia="Palatino Linotype" w:hAnsi="Palatino Linotype" w:cs="Palatino Linotype"/>
          <w:b/>
          <w:i/>
          <w:sz w:val="24"/>
          <w:szCs w:val="24"/>
          <w:u w:val="single"/>
        </w:rPr>
        <w:lastRenderedPageBreak/>
        <w:t>“CONTESTACION IMMUJER RR_13324_2022_0001.pdf”</w:t>
      </w:r>
      <w:r w:rsidRPr="00AE73B6">
        <w:rPr>
          <w:rFonts w:ascii="Palatino Linotype" w:eastAsia="Palatino Linotype" w:hAnsi="Palatino Linotype" w:cs="Palatino Linotype"/>
          <w:sz w:val="24"/>
          <w:szCs w:val="24"/>
        </w:rPr>
        <w:t>: Oficio IMM/BYRL/005/2022 de fecha 22 de agosto de dos mil veintidós, signado por la Titular del Instituto Municipal de la Mujer, mediante el cual ratifica su respuesta inicial, no obstante, refiere que puede consultar el Protocolo para Juzgar con perspectiva de género, para lo cual remite una liga electrónica.</w:t>
      </w:r>
    </w:p>
    <w:p w14:paraId="63393C0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5C0039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“CONTESTACION CSPYTM RR_13324_2022_0001.pdf”</w:t>
      </w:r>
      <w:r w:rsidRPr="00AE73B6">
        <w:rPr>
          <w:rFonts w:ascii="Palatino Linotype" w:eastAsia="Palatino Linotype" w:hAnsi="Palatino Linotype" w:cs="Palatino Linotype"/>
          <w:sz w:val="24"/>
          <w:szCs w:val="24"/>
        </w:rPr>
        <w:t xml:space="preserve">: Oficio CSPYM/ET/048/2022 de fecha diecinueve de agosto de dos mil veintidós, signado por el Comisario de Seguridad Pública y Tránsito, mediante el cual ratifica su respuesta que otorgó al numeral uno que se asignó a los puntos de la solicitud de información. </w:t>
      </w:r>
    </w:p>
    <w:p w14:paraId="5255F8FD"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73DF2E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su parte, la parte </w:t>
      </w:r>
      <w:r w:rsidRPr="00AE73B6">
        <w:rPr>
          <w:rFonts w:ascii="Palatino Linotype" w:eastAsia="Palatino Linotype" w:hAnsi="Palatino Linotype" w:cs="Palatino Linotype"/>
          <w:b/>
          <w:sz w:val="24"/>
          <w:szCs w:val="24"/>
        </w:rPr>
        <w:t xml:space="preserve">RECURRENTE </w:t>
      </w:r>
      <w:r w:rsidRPr="00AE73B6">
        <w:rPr>
          <w:rFonts w:ascii="Palatino Linotype" w:eastAsia="Palatino Linotype" w:hAnsi="Palatino Linotype" w:cs="Palatino Linotype"/>
          <w:sz w:val="24"/>
          <w:szCs w:val="24"/>
        </w:rPr>
        <w:t>en fecha diecinueve de agosto de dos mil veintidós, rindió sus manifestaciones, en los siguientes archivos electrónicos:</w:t>
      </w:r>
    </w:p>
    <w:p w14:paraId="2E9C5E7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FE0A6D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sz w:val="24"/>
          <w:szCs w:val="24"/>
          <w:u w:val="single"/>
        </w:rPr>
        <w:t>“Recurso de Revisión 13324INFOEMIPRR2022.docx”</w:t>
      </w:r>
      <w:r w:rsidRPr="00AE73B6">
        <w:rPr>
          <w:rFonts w:ascii="Palatino Linotype" w:eastAsia="Palatino Linotype" w:hAnsi="Palatino Linotype" w:cs="Palatino Linotype"/>
          <w:sz w:val="24"/>
          <w:szCs w:val="24"/>
        </w:rPr>
        <w:t xml:space="preserve">: En donde refiere </w:t>
      </w:r>
      <w:proofErr w:type="gramStart"/>
      <w:r w:rsidRPr="00AE73B6">
        <w:rPr>
          <w:rFonts w:ascii="Palatino Linotype" w:eastAsia="Palatino Linotype" w:hAnsi="Palatino Linotype" w:cs="Palatino Linotype"/>
          <w:sz w:val="24"/>
          <w:szCs w:val="24"/>
        </w:rPr>
        <w:t>que</w:t>
      </w:r>
      <w:proofErr w:type="gramEnd"/>
      <w:r w:rsidRPr="00AE73B6">
        <w:rPr>
          <w:rFonts w:ascii="Palatino Linotype" w:eastAsia="Palatino Linotype" w:hAnsi="Palatino Linotype" w:cs="Palatino Linotype"/>
          <w:sz w:val="24"/>
          <w:szCs w:val="24"/>
        </w:rPr>
        <w:t xml:space="preserve"> debido a una serie de fallas técnicas en su dispositivo, no pudo ingresar la totalidad de sus inconformidades. </w:t>
      </w:r>
    </w:p>
    <w:p w14:paraId="286D550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562EB79"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Es por ello que, en esta etapa para presentar alegatos, pruebas o manifestaciones, es mi deseo ingresar las diversas inconformidades que tengo respecto a lo que respondió el H. Ayuntamiento de Coacalco de Berriozábal.</w:t>
      </w:r>
    </w:p>
    <w:p w14:paraId="3EF027D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E356DB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 xml:space="preserve">1. Se solicita se brinden los protocolos de actuación en materia de género de la Policía de Género y el Instituto Municipal de la Mujer. </w:t>
      </w:r>
    </w:p>
    <w:p w14:paraId="02BF2D6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B3D57B3"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La respuesta del Instituto Municipal de la Mujer señala que aún, a ocho meses de iniciar la administración actual, aún siguen trabajando en la elaboración de los protocolos correspondientes. Pero además indica que considera que es una información que debería ser reservada. Es decir, el instituto NO tiene protocolos, pero si los tuviera no considera que deban ser transparentados. </w:t>
      </w:r>
    </w:p>
    <w:p w14:paraId="7B5A705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794327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Además, la Dirección de Seguridad Pública y Tránsito, sí comparte un protocolo, el Protocolo Nacional de Actuación Policial para la Atención a la Violencia de Género Contra las Mujeres en el Ámbito Familiar. </w:t>
      </w:r>
    </w:p>
    <w:p w14:paraId="6B61B58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E7D1CB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ese sentido, hay una incongruencia entre la respuesta del Instituto Municipal de la Mujer y la de la Dirección de Seguridad Pública y Tránsito, donde por un lado consideran que los protocolos deben ser reservados </w:t>
      </w:r>
      <w:proofErr w:type="gramStart"/>
      <w:r w:rsidRPr="00AE73B6">
        <w:rPr>
          <w:rFonts w:ascii="Palatino Linotype" w:eastAsia="Palatino Linotype" w:hAnsi="Palatino Linotype" w:cs="Palatino Linotype"/>
          <w:sz w:val="24"/>
          <w:szCs w:val="24"/>
        </w:rPr>
        <w:t>y</w:t>
      </w:r>
      <w:proofErr w:type="gramEnd"/>
      <w:r w:rsidRPr="00AE73B6">
        <w:rPr>
          <w:rFonts w:ascii="Palatino Linotype" w:eastAsia="Palatino Linotype" w:hAnsi="Palatino Linotype" w:cs="Palatino Linotype"/>
          <w:sz w:val="24"/>
          <w:szCs w:val="24"/>
        </w:rPr>
        <w:t xml:space="preserve"> por otro lado, comparten un protocolo nacional. </w:t>
      </w:r>
    </w:p>
    <w:p w14:paraId="40C43057"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17F3D7E" w14:textId="77777777" w:rsidR="008C0D13" w:rsidRPr="00AE73B6" w:rsidRDefault="00EE3C25">
      <w:pPr>
        <w:spacing w:after="0" w:line="360" w:lineRule="auto"/>
        <w:jc w:val="both"/>
        <w:rPr>
          <w:rFonts w:ascii="Palatino Linotype" w:eastAsia="Palatino Linotype" w:hAnsi="Palatino Linotype" w:cs="Palatino Linotype"/>
          <w:sz w:val="24"/>
          <w:szCs w:val="24"/>
        </w:rPr>
      </w:pPr>
      <w:proofErr w:type="gramStart"/>
      <w:r w:rsidRPr="00AE73B6">
        <w:rPr>
          <w:rFonts w:ascii="Palatino Linotype" w:eastAsia="Palatino Linotype" w:hAnsi="Palatino Linotype" w:cs="Palatino Linotype"/>
          <w:sz w:val="24"/>
          <w:szCs w:val="24"/>
        </w:rPr>
        <w:t>Pero</w:t>
      </w:r>
      <w:proofErr w:type="gramEnd"/>
      <w:r w:rsidRPr="00AE73B6">
        <w:rPr>
          <w:rFonts w:ascii="Palatino Linotype" w:eastAsia="Palatino Linotype" w:hAnsi="Palatino Linotype" w:cs="Palatino Linotype"/>
          <w:sz w:val="24"/>
          <w:szCs w:val="24"/>
        </w:rPr>
        <w:t xml:space="preserve"> además, si la dirección de seguridad sólo comparte un protocolo relacionado a la violencia familiar, ¿Es el único protocolo con el que se conducen? ¿No hay protocolos sobre otro tipo de violencias hacia mujeres? </w:t>
      </w:r>
    </w:p>
    <w:p w14:paraId="4966D3F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8DF096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Y con relación al Instituto de la Mujer, quisiera saber cuánto tiempo tienen de plazo para contar con protocolos de actuación. La administración ya lleva 8 meses y siguen elaborándolos.</w:t>
      </w:r>
    </w:p>
    <w:p w14:paraId="6F79216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503CDA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2. Se solicita se informe sobre el número de capital humano que labora en actividades sustantivas en la Policía de Género y el Instituto Municipal de la Mujer, así como los perfiles profesionales de cada uno de ellos. </w:t>
      </w:r>
    </w:p>
    <w:p w14:paraId="4DF55A1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88EA0D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El Instituto de la Mujer refiere que la información se encuentra en la página de consulta de Información Pública de Oficio Mexiquense (IPOMEX), en el artículo 92 la fracción VII. Sin </w:t>
      </w:r>
      <w:proofErr w:type="gramStart"/>
      <w:r w:rsidRPr="00AE73B6">
        <w:rPr>
          <w:rFonts w:ascii="Palatino Linotype" w:eastAsia="Palatino Linotype" w:hAnsi="Palatino Linotype" w:cs="Palatino Linotype"/>
          <w:sz w:val="24"/>
          <w:szCs w:val="24"/>
        </w:rPr>
        <w:t>embargo</w:t>
      </w:r>
      <w:proofErr w:type="gramEnd"/>
      <w:r w:rsidRPr="00AE73B6">
        <w:rPr>
          <w:rFonts w:ascii="Palatino Linotype" w:eastAsia="Palatino Linotype" w:hAnsi="Palatino Linotype" w:cs="Palatino Linotype"/>
          <w:sz w:val="24"/>
          <w:szCs w:val="24"/>
        </w:rPr>
        <w:t xml:space="preserve"> en la página que refieren, si bien transparentan el número de plazas adscritas al instituto, no señalan los perfiles profesionales de quienes ahí laboran.</w:t>
      </w:r>
    </w:p>
    <w:p w14:paraId="72BE1D11"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26E0CC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La Dirección de Seguridad Pública y Tránsito señala que la Subdirección de Policía de Género cuenta con 14 elementos y cuentan con los siguientes perfiles profesionales: licenciatura en Seguridad Pública, Derecho, Piscología y Criminalista. Sin embargo, no señalan el portal de transparencia donde dicha información se pueda corroborar. En la página de consulta del IPOMEX, en su artículo 92 fracción II, aparece la Dirección de Seguridad Pública y Tránsito, pero no viene desglosado por subdirección, y al igual que la información del Instituto Municipal de la Mujer, no aparecen los perfiles profesionales.</w:t>
      </w:r>
    </w:p>
    <w:p w14:paraId="52EC6AC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2C9619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 xml:space="preserve">4. Se solicitan los Planes Anuales de Trabajo de la Policía de Género y el Instituto Municipal de la Mujer. </w:t>
      </w:r>
    </w:p>
    <w:p w14:paraId="12B27E2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49F82C0"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El Instituto Municipal de la Mujer informa que dicha información se encuentra en el siguiente link: https://www.dropbox.com/s/t1rf5318hs7wjdk/ficha-pbrm-01d22%20Sistema.pdf?dl=0 sin embargo, este es el Manual para la </w:t>
      </w:r>
      <w:proofErr w:type="spellStart"/>
      <w:r w:rsidRPr="00AE73B6">
        <w:rPr>
          <w:rFonts w:ascii="Palatino Linotype" w:eastAsia="Palatino Linotype" w:hAnsi="Palatino Linotype" w:cs="Palatino Linotype"/>
          <w:sz w:val="24"/>
          <w:szCs w:val="24"/>
        </w:rPr>
        <w:t>Planeacion</w:t>
      </w:r>
      <w:proofErr w:type="spellEnd"/>
      <w:r w:rsidRPr="00AE73B6">
        <w:rPr>
          <w:rFonts w:ascii="Palatino Linotype" w:eastAsia="Palatino Linotype" w:hAnsi="Palatino Linotype" w:cs="Palatino Linotype"/>
          <w:sz w:val="24"/>
          <w:szCs w:val="24"/>
        </w:rPr>
        <w:t xml:space="preserve">, Programación y Presupuestación Municipal del Ejercicio Anual 2022, no es un Plan Anual de Trabajo. En ese sentido, solicito se presente el plan y en caso de no contar con él, que se asiente, que el Instituto Municipal de la Mujer trabaja sin planeación. </w:t>
      </w:r>
    </w:p>
    <w:p w14:paraId="5667E9F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Por otro lado, la Dirección de Seguridad Pública y Tránsito contesta escuetamente, en el mismo oficio sobre su planeación, mi pregunta es ¿Hay un documento que pueda revisar donde se confirme lo que responden en el escrito?</w:t>
      </w:r>
    </w:p>
    <w:p w14:paraId="6B88CB3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Asimismo, la parte hace entrega de los archivos electrónicos </w:t>
      </w:r>
      <w:r w:rsidRPr="00AE73B6">
        <w:rPr>
          <w:rFonts w:ascii="Palatino Linotype" w:eastAsia="Palatino Linotype" w:hAnsi="Palatino Linotype" w:cs="Palatino Linotype"/>
          <w:b/>
          <w:i/>
          <w:sz w:val="24"/>
          <w:szCs w:val="24"/>
          <w:u w:val="single"/>
        </w:rPr>
        <w:t>“CONTESTACION ADMON 00248_2022.pdf”</w:t>
      </w:r>
      <w:r w:rsidRPr="00AE73B6">
        <w:rPr>
          <w:rFonts w:ascii="Palatino Linotype" w:eastAsia="Palatino Linotype" w:hAnsi="Palatino Linotype" w:cs="Palatino Linotype"/>
          <w:sz w:val="24"/>
          <w:szCs w:val="24"/>
        </w:rPr>
        <w:t>, “</w:t>
      </w:r>
      <w:r w:rsidRPr="00AE73B6">
        <w:rPr>
          <w:rFonts w:ascii="Palatino Linotype" w:eastAsia="Palatino Linotype" w:hAnsi="Palatino Linotype" w:cs="Palatino Linotype"/>
          <w:b/>
          <w:i/>
          <w:sz w:val="24"/>
          <w:szCs w:val="24"/>
          <w:u w:val="single"/>
        </w:rPr>
        <w:t>CONTESTACION CSPYTM 00248_2022.pdf”</w:t>
      </w:r>
      <w:r w:rsidRPr="00AE73B6">
        <w:rPr>
          <w:rFonts w:ascii="Palatino Linotype" w:eastAsia="Palatino Linotype" w:hAnsi="Palatino Linotype" w:cs="Palatino Linotype"/>
          <w:sz w:val="24"/>
          <w:szCs w:val="24"/>
        </w:rPr>
        <w:t xml:space="preserve"> y </w:t>
      </w:r>
      <w:r w:rsidRPr="00AE73B6">
        <w:rPr>
          <w:rFonts w:ascii="Palatino Linotype" w:eastAsia="Palatino Linotype" w:hAnsi="Palatino Linotype" w:cs="Palatino Linotype"/>
          <w:b/>
          <w:i/>
          <w:sz w:val="24"/>
          <w:szCs w:val="24"/>
          <w:u w:val="single"/>
        </w:rPr>
        <w:t>“CONTESTACION IMMUJER 00248_2022.pdf”</w:t>
      </w:r>
      <w:r w:rsidRPr="00AE73B6">
        <w:rPr>
          <w:rFonts w:ascii="Palatino Linotype" w:eastAsia="Palatino Linotype" w:hAnsi="Palatino Linotype" w:cs="Palatino Linotype"/>
          <w:sz w:val="24"/>
          <w:szCs w:val="24"/>
        </w:rPr>
        <w:t xml:space="preserve">, siendo los archivos electrónicos que entregó </w:t>
      </w:r>
      <w:r w:rsidRPr="00AE73B6">
        <w:rPr>
          <w:rFonts w:ascii="Palatino Linotype" w:eastAsia="Palatino Linotype" w:hAnsi="Palatino Linotype" w:cs="Palatino Linotype"/>
          <w:b/>
          <w:sz w:val="24"/>
          <w:szCs w:val="24"/>
        </w:rPr>
        <w:t xml:space="preserve">EL SUJETO OBLIGADO </w:t>
      </w:r>
      <w:r w:rsidRPr="00AE73B6">
        <w:rPr>
          <w:rFonts w:ascii="Palatino Linotype" w:eastAsia="Palatino Linotype" w:hAnsi="Palatino Linotype" w:cs="Palatino Linotype"/>
          <w:sz w:val="24"/>
          <w:szCs w:val="24"/>
        </w:rPr>
        <w:t xml:space="preserve">en su respuesta inicial, motivo por el </w:t>
      </w:r>
      <w:proofErr w:type="gramStart"/>
      <w:r w:rsidRPr="00AE73B6">
        <w:rPr>
          <w:rFonts w:ascii="Palatino Linotype" w:eastAsia="Palatino Linotype" w:hAnsi="Palatino Linotype" w:cs="Palatino Linotype"/>
          <w:sz w:val="24"/>
          <w:szCs w:val="24"/>
        </w:rPr>
        <w:t>que  se</w:t>
      </w:r>
      <w:proofErr w:type="gramEnd"/>
      <w:r w:rsidRPr="00AE73B6">
        <w:rPr>
          <w:rFonts w:ascii="Palatino Linotype" w:eastAsia="Palatino Linotype" w:hAnsi="Palatino Linotype" w:cs="Palatino Linotype"/>
          <w:sz w:val="24"/>
          <w:szCs w:val="24"/>
        </w:rPr>
        <w:t xml:space="preserve"> considera innecesaria su descripción. </w:t>
      </w:r>
    </w:p>
    <w:p w14:paraId="79E8757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5F00FF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7. AMPLIACIÓN DEL TÉRMINO PARA RESOLVER</w:t>
      </w:r>
      <w:r w:rsidRPr="00AE73B6">
        <w:rPr>
          <w:rFonts w:ascii="Palatino Linotype" w:eastAsia="Palatino Linotype" w:hAnsi="Palatino Linotype" w:cs="Palatino Linotype"/>
          <w:sz w:val="24"/>
          <w:szCs w:val="24"/>
        </w:rPr>
        <w:t>.</w:t>
      </w:r>
      <w:r w:rsidRPr="00AE73B6">
        <w:rPr>
          <w:rFonts w:ascii="Palatino Linotype" w:eastAsia="Palatino Linotype" w:hAnsi="Palatino Linotype" w:cs="Palatino Linotype"/>
        </w:rPr>
        <w:t xml:space="preserve"> </w:t>
      </w:r>
      <w:r w:rsidRPr="00AE73B6">
        <w:rPr>
          <w:rFonts w:ascii="Palatino Linotype" w:eastAsia="Palatino Linotype" w:hAnsi="Palatino Linotype" w:cs="Palatino Linotype"/>
          <w:sz w:val="24"/>
          <w:szCs w:val="24"/>
        </w:rPr>
        <w:t xml:space="preserve">En fecha treinta y uno de enero de dos mil veintitrés, se amplió el término para resolver el recurso de revisión en términos del artículo 181 párrafo tercero de la Ley de Transparencia y Acceso a la Información Pública del Estado de México y Municipios. </w:t>
      </w:r>
    </w:p>
    <w:p w14:paraId="45A0F1D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A6B662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53BC3B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0CFDE2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ello, es menester precisar </w:t>
      </w:r>
      <w:proofErr w:type="gramStart"/>
      <w:r w:rsidRPr="00AE73B6">
        <w:rPr>
          <w:rFonts w:ascii="Palatino Linotype" w:eastAsia="Palatino Linotype" w:hAnsi="Palatino Linotype" w:cs="Palatino Linotype"/>
          <w:sz w:val="24"/>
          <w:szCs w:val="24"/>
        </w:rPr>
        <w:t>que</w:t>
      </w:r>
      <w:proofErr w:type="gramEnd"/>
      <w:r w:rsidRPr="00AE73B6">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18A717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7306A6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6FC34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5A3089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AE73B6">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3A8CFFC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E3DC30C" w14:textId="77777777" w:rsidR="008C0D13" w:rsidRPr="00AE73B6" w:rsidRDefault="00EE3C25">
      <w:pPr>
        <w:spacing w:after="0" w:line="360" w:lineRule="auto"/>
        <w:jc w:val="both"/>
        <w:rPr>
          <w:rFonts w:ascii="Palatino Linotype" w:eastAsia="Palatino Linotype" w:hAnsi="Palatino Linotype" w:cs="Palatino Linotype"/>
          <w:strike/>
          <w:sz w:val="24"/>
          <w:szCs w:val="24"/>
        </w:rPr>
      </w:pPr>
      <w:r w:rsidRPr="00AE73B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27074F5"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F43AD6D" w14:textId="77777777" w:rsidR="008C0D13" w:rsidRPr="00AE73B6" w:rsidRDefault="00EE3C25">
      <w:pPr>
        <w:numPr>
          <w:ilvl w:val="0"/>
          <w:numId w:val="2"/>
        </w:num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26100F3" w14:textId="77777777" w:rsidR="008C0D13" w:rsidRPr="00AE73B6" w:rsidRDefault="008C0D13">
      <w:pPr>
        <w:spacing w:after="0" w:line="360" w:lineRule="auto"/>
        <w:ind w:left="927"/>
        <w:jc w:val="both"/>
        <w:rPr>
          <w:rFonts w:ascii="Palatino Linotype" w:eastAsia="Palatino Linotype" w:hAnsi="Palatino Linotype" w:cs="Palatino Linotype"/>
          <w:sz w:val="24"/>
          <w:szCs w:val="24"/>
        </w:rPr>
      </w:pPr>
    </w:p>
    <w:p w14:paraId="5E6E0F4A" w14:textId="77777777" w:rsidR="008C0D13" w:rsidRPr="00AE73B6" w:rsidRDefault="00EE3C25">
      <w:pPr>
        <w:numPr>
          <w:ilvl w:val="0"/>
          <w:numId w:val="2"/>
        </w:num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Actividad Procesal del interesado. Acciones u omisiones del interesado.</w:t>
      </w:r>
    </w:p>
    <w:p w14:paraId="3F4D7FB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B2AA884" w14:textId="77777777" w:rsidR="008C0D13" w:rsidRPr="00AE73B6" w:rsidRDefault="00EE3C25">
      <w:pPr>
        <w:numPr>
          <w:ilvl w:val="0"/>
          <w:numId w:val="2"/>
        </w:num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E8F9988" w14:textId="77777777" w:rsidR="008C0D13" w:rsidRPr="00AE73B6" w:rsidRDefault="00EE3C25">
      <w:pPr>
        <w:spacing w:after="0" w:line="360" w:lineRule="auto"/>
        <w:ind w:left="567"/>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601DE7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0C0F9F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AE73B6">
        <w:rPr>
          <w:rFonts w:ascii="Palatino Linotype" w:eastAsia="Palatino Linotype" w:hAnsi="Palatino Linotype" w:cs="Palatino Linotype"/>
          <w:sz w:val="24"/>
          <w:szCs w:val="24"/>
        </w:rPr>
        <w:lastRenderedPageBreak/>
        <w:t>relación con la actuación del funcionario, como ha acontecido en el caso que nos ocupa.</w:t>
      </w:r>
    </w:p>
    <w:p w14:paraId="46432891"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9780B5C" w14:textId="77777777" w:rsidR="008C0D13" w:rsidRPr="00AE73B6" w:rsidRDefault="00EE3C25">
      <w:pPr>
        <w:spacing w:after="0" w:line="360" w:lineRule="auto"/>
        <w:jc w:val="both"/>
        <w:rPr>
          <w:rFonts w:ascii="Palatino Linotype" w:eastAsia="Palatino Linotype" w:hAnsi="Palatino Linotype" w:cs="Palatino Linotype"/>
          <w:b/>
          <w:sz w:val="24"/>
          <w:szCs w:val="24"/>
        </w:rPr>
      </w:pPr>
      <w:r w:rsidRPr="00AE73B6">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E73B6">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E73B6">
        <w:rPr>
          <w:rFonts w:ascii="Palatino Linotype" w:eastAsia="Palatino Linotype" w:hAnsi="Palatino Linotype" w:cs="Palatino Linotype"/>
          <w:sz w:val="24"/>
          <w:szCs w:val="24"/>
        </w:rPr>
        <w:t>, visible en la Gaceta del Seminario Judicial de la Federación con el registro digital 205635.</w:t>
      </w:r>
    </w:p>
    <w:p w14:paraId="2D58833E"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7AFAB8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552BBE"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37C0AF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48BD71A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6BD2DC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i/>
          <w:sz w:val="24"/>
          <w:szCs w:val="24"/>
        </w:rPr>
        <w:t>“PLAZO RAZONABLE PARA RESOLVER. DIMENSIÓN Y EFECTOS DE ESTE CONCEPTO CUANDO SE ADUCE EXCESIVA CARGA DE TRABAJO.”</w:t>
      </w:r>
      <w:r w:rsidRPr="00AE73B6">
        <w:rPr>
          <w:rFonts w:ascii="Palatino Linotype" w:eastAsia="Palatino Linotype" w:hAnsi="Palatino Linotype" w:cs="Palatino Linotype"/>
          <w:sz w:val="24"/>
          <w:szCs w:val="24"/>
        </w:rPr>
        <w:t xml:space="preserve"> consultable en el Seminario Judicial de la Federación y su gaceta, con el registro digital 2002351.</w:t>
      </w:r>
    </w:p>
    <w:p w14:paraId="429190D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56E83B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E73B6">
        <w:rPr>
          <w:rFonts w:ascii="Palatino Linotype" w:eastAsia="Palatino Linotype" w:hAnsi="Palatino Linotype" w:cs="Palatino Linotype"/>
          <w:sz w:val="24"/>
          <w:szCs w:val="24"/>
        </w:rPr>
        <w:t>, visible en el Seminario Judicial de la Federación y su gaceta, con el registro digital 2002350.</w:t>
      </w:r>
    </w:p>
    <w:p w14:paraId="5BC0B842"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B69AA93"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FC180C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D760EA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8. CIERRE DE INSTRUCCIÓN. </w:t>
      </w:r>
      <w:r w:rsidRPr="00AE73B6">
        <w:rPr>
          <w:rFonts w:ascii="Palatino Linotype" w:eastAsia="Palatino Linotype" w:hAnsi="Palatino Linotype" w:cs="Palatino Linotype"/>
          <w:sz w:val="24"/>
          <w:szCs w:val="24"/>
        </w:rPr>
        <w:t>El trece de febrero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51E38F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37D7E5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0653C3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6C46EBD" w14:textId="77777777" w:rsidR="008C0D13" w:rsidRPr="00AE73B6" w:rsidRDefault="00EE3C25">
      <w:pPr>
        <w:widowControl w:val="0"/>
        <w:spacing w:after="0" w:line="360" w:lineRule="auto"/>
        <w:jc w:val="center"/>
        <w:rPr>
          <w:rFonts w:ascii="Palatino Linotype" w:eastAsia="Palatino Linotype" w:hAnsi="Palatino Linotype" w:cs="Palatino Linotype"/>
          <w:b/>
          <w:sz w:val="24"/>
          <w:szCs w:val="24"/>
        </w:rPr>
      </w:pPr>
      <w:r w:rsidRPr="00AE73B6">
        <w:rPr>
          <w:rFonts w:ascii="Palatino Linotype" w:eastAsia="Palatino Linotype" w:hAnsi="Palatino Linotype" w:cs="Palatino Linotype"/>
          <w:b/>
          <w:sz w:val="24"/>
          <w:szCs w:val="24"/>
        </w:rPr>
        <w:t>C O N S I D E R A N D O S</w:t>
      </w:r>
    </w:p>
    <w:p w14:paraId="08D91132" w14:textId="77777777" w:rsidR="008C0D13" w:rsidRPr="00AE73B6" w:rsidRDefault="008C0D13">
      <w:pPr>
        <w:spacing w:after="0" w:line="360" w:lineRule="auto"/>
        <w:jc w:val="both"/>
        <w:rPr>
          <w:rFonts w:ascii="Palatino Linotype" w:eastAsia="Palatino Linotype" w:hAnsi="Palatino Linotype" w:cs="Palatino Linotype"/>
          <w:b/>
          <w:sz w:val="24"/>
          <w:szCs w:val="24"/>
        </w:rPr>
      </w:pPr>
    </w:p>
    <w:p w14:paraId="0A75580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PRIMERO. COMPETENCIA.</w:t>
      </w:r>
      <w:r w:rsidRPr="00AE73B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2BF96A1"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B028944" w14:textId="77777777" w:rsidR="008C0D13" w:rsidRPr="00AE73B6" w:rsidRDefault="00EE3C25">
      <w:pPr>
        <w:spacing w:after="0" w:line="360" w:lineRule="auto"/>
        <w:ind w:right="-234"/>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SEGUNDO. OPORTUNIDAD Y PROCEDIBILIDAD DEL RECURSO DE REVISIÓN.  </w:t>
      </w:r>
      <w:r w:rsidRPr="00AE73B6">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sidRPr="00AE73B6">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4B58A2F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270861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AE73B6">
        <w:rPr>
          <w:rFonts w:ascii="Palatino Linotype" w:eastAsia="Palatino Linotype" w:hAnsi="Palatino Linotype" w:cs="Palatino Linotype"/>
          <w:b/>
          <w:sz w:val="24"/>
          <w:szCs w:val="24"/>
        </w:rPr>
        <w:t xml:space="preserve"> EL SUJETO OBLIGADO </w:t>
      </w:r>
      <w:r w:rsidRPr="00AE73B6">
        <w:rPr>
          <w:rFonts w:ascii="Palatino Linotype" w:eastAsia="Palatino Linotype" w:hAnsi="Palatino Linotype" w:cs="Palatino Linotype"/>
          <w:sz w:val="24"/>
          <w:szCs w:val="24"/>
        </w:rPr>
        <w:t xml:space="preserve">emitió la respuesta, toda vez que esta fue pronunciada el día cuatro de agosto del año dos mil veintidós, mientras que </w:t>
      </w:r>
      <w:r w:rsidRPr="00AE73B6">
        <w:rPr>
          <w:rFonts w:ascii="Palatino Linotype" w:eastAsia="Palatino Linotype" w:hAnsi="Palatino Linotype" w:cs="Palatino Linotype"/>
          <w:b/>
          <w:sz w:val="24"/>
          <w:szCs w:val="24"/>
        </w:rPr>
        <w:t>LA RECURRENTE</w:t>
      </w:r>
      <w:r w:rsidRPr="00AE73B6">
        <w:rPr>
          <w:rFonts w:ascii="Palatino Linotype" w:eastAsia="Palatino Linotype" w:hAnsi="Palatino Linotype" w:cs="Palatino Linotype"/>
          <w:sz w:val="24"/>
          <w:szCs w:val="24"/>
        </w:rPr>
        <w:t xml:space="preserve"> interpuso el recurso de revisión en fecha quince de agosto de dos mil veintidós, esto es al séptimo día hábil de haber recibido la respuesta.</w:t>
      </w:r>
    </w:p>
    <w:p w14:paraId="51D60311"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A4078A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6621BA0"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CCAAB5B" w14:textId="77777777" w:rsidR="008C0D13" w:rsidRPr="00AE73B6" w:rsidRDefault="00EE3C25">
      <w:pPr>
        <w:spacing w:after="0" w:line="360" w:lineRule="auto"/>
        <w:jc w:val="both"/>
        <w:rPr>
          <w:rFonts w:ascii="Palatino Linotype" w:eastAsia="Palatino Linotype" w:hAnsi="Palatino Linotype" w:cs="Palatino Linotype"/>
          <w:b/>
          <w:sz w:val="24"/>
          <w:szCs w:val="24"/>
        </w:rPr>
      </w:pPr>
      <w:r w:rsidRPr="00AE73B6">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E73B6">
        <w:rPr>
          <w:rFonts w:ascii="Palatino Linotype" w:eastAsia="Palatino Linotype" w:hAnsi="Palatino Linotype" w:cs="Palatino Linotype"/>
          <w:b/>
          <w:sz w:val="24"/>
          <w:szCs w:val="24"/>
        </w:rPr>
        <w:t xml:space="preserve">EL SAIMEX.  </w:t>
      </w:r>
    </w:p>
    <w:p w14:paraId="361CA0E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3562FB7" w14:textId="77777777" w:rsidR="008C0D13" w:rsidRPr="00AE73B6" w:rsidRDefault="00EE3C25">
      <w:pPr>
        <w:spacing w:after="0" w:line="360" w:lineRule="auto"/>
        <w:ind w:right="-147"/>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AE73B6">
        <w:rPr>
          <w:rFonts w:ascii="Palatino Linotype" w:eastAsia="Palatino Linotype" w:hAnsi="Palatino Linotype" w:cs="Palatino Linotype"/>
          <w:b/>
          <w:sz w:val="24"/>
          <w:szCs w:val="24"/>
        </w:rPr>
        <w:t>LA RECURRENTE</w:t>
      </w:r>
      <w:r w:rsidRPr="00AE73B6">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1C7138E1" w14:textId="77777777" w:rsidR="008C0D13" w:rsidRPr="00AE73B6" w:rsidRDefault="008C0D13">
      <w:pPr>
        <w:spacing w:after="0" w:line="360" w:lineRule="auto"/>
        <w:ind w:right="-147"/>
        <w:jc w:val="both"/>
        <w:rPr>
          <w:rFonts w:ascii="Palatino Linotype" w:eastAsia="Palatino Linotype" w:hAnsi="Palatino Linotype" w:cs="Palatino Linotype"/>
        </w:rPr>
      </w:pPr>
    </w:p>
    <w:p w14:paraId="3E9FC876" w14:textId="77777777" w:rsidR="008C0D13" w:rsidRPr="00AE73B6" w:rsidRDefault="00EE3C25">
      <w:pPr>
        <w:spacing w:after="0"/>
        <w:ind w:left="992" w:right="1043"/>
        <w:jc w:val="both"/>
        <w:rPr>
          <w:rFonts w:ascii="Palatino Linotype" w:eastAsia="Palatino Linotype" w:hAnsi="Palatino Linotype" w:cs="Palatino Linotype"/>
          <w:i/>
        </w:rPr>
      </w:pPr>
      <w:r w:rsidRPr="00AE73B6">
        <w:rPr>
          <w:rFonts w:ascii="Palatino Linotype" w:eastAsia="Palatino Linotype" w:hAnsi="Palatino Linotype" w:cs="Palatino Linotype"/>
          <w:b/>
          <w:i/>
        </w:rPr>
        <w:t>“Artículo 179</w:t>
      </w:r>
      <w:r w:rsidRPr="00AE73B6">
        <w:rPr>
          <w:rFonts w:ascii="Palatino Linotype" w:eastAsia="Palatino Linotype" w:hAnsi="Palatino Linotype" w:cs="Palatino Linotype"/>
          <w:i/>
        </w:rPr>
        <w:t xml:space="preserve">. </w:t>
      </w:r>
      <w:r w:rsidRPr="00AE73B6">
        <w:rPr>
          <w:rFonts w:ascii="Palatino Linotype" w:eastAsia="Palatino Linotype" w:hAnsi="Palatino Linotype" w:cs="Palatino Linotype"/>
          <w:b/>
          <w:i/>
        </w:rPr>
        <w:t>El recurso de revisión</w:t>
      </w:r>
      <w:r w:rsidRPr="00AE73B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E73B6">
        <w:rPr>
          <w:rFonts w:ascii="Palatino Linotype" w:eastAsia="Palatino Linotype" w:hAnsi="Palatino Linotype" w:cs="Palatino Linotype"/>
          <w:b/>
          <w:i/>
        </w:rPr>
        <w:t>, y procederá en contra de las siguientes causas</w:t>
      </w:r>
      <w:r w:rsidRPr="00AE73B6">
        <w:rPr>
          <w:rFonts w:ascii="Palatino Linotype" w:eastAsia="Palatino Linotype" w:hAnsi="Palatino Linotype" w:cs="Palatino Linotype"/>
          <w:i/>
        </w:rPr>
        <w:t>:</w:t>
      </w:r>
    </w:p>
    <w:p w14:paraId="12DA1D9A" w14:textId="77777777" w:rsidR="008C0D13" w:rsidRPr="00AE73B6" w:rsidRDefault="00EE3C25">
      <w:pPr>
        <w:spacing w:after="0"/>
        <w:ind w:left="992" w:right="1043"/>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54AE6267" w14:textId="77777777" w:rsidR="008C0D13" w:rsidRPr="00AE73B6" w:rsidRDefault="00EE3C25">
      <w:pPr>
        <w:spacing w:after="0"/>
        <w:ind w:left="992" w:right="1043"/>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V. La entrega de información incompleta;” </w:t>
      </w:r>
    </w:p>
    <w:p w14:paraId="4101F1DE"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2A8B36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TERCERO. MATERIA DE LA REVISIÓN. </w:t>
      </w:r>
      <w:r w:rsidRPr="00AE73B6">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otorgada por 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es adecuada y suficiente para satisfacer el derecho de acceso a la información pública de la parte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o en su defecto, en caso de ser procedente, ordenar la entrega de información oportuna.</w:t>
      </w:r>
    </w:p>
    <w:p w14:paraId="1CF85E60"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F49536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CUARTO. ESTUDIO Y RESOLUCIÓN DEL ASUNTO.  </w:t>
      </w:r>
      <w:r w:rsidRPr="00AE73B6">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AE73B6">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3B12898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133403C" w14:textId="77777777" w:rsidR="008C0D13" w:rsidRPr="00AE73B6" w:rsidRDefault="00EE3C25">
      <w:pPr>
        <w:tabs>
          <w:tab w:val="left" w:pos="709"/>
        </w:tabs>
        <w:spacing w:line="276" w:lineRule="auto"/>
        <w:ind w:left="851" w:right="850"/>
        <w:jc w:val="both"/>
        <w:rPr>
          <w:rFonts w:ascii="Palatino Linotype" w:eastAsia="Palatino Linotype" w:hAnsi="Palatino Linotype" w:cs="Palatino Linotype"/>
          <w:i/>
        </w:rPr>
      </w:pPr>
      <w:r w:rsidRPr="00AE73B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E73B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634141D" w14:textId="77777777" w:rsidR="008C0D13" w:rsidRPr="00AE73B6" w:rsidRDefault="00EE3C25">
      <w:pPr>
        <w:tabs>
          <w:tab w:val="left" w:pos="709"/>
        </w:tabs>
        <w:spacing w:line="276" w:lineRule="auto"/>
        <w:ind w:left="851" w:right="850"/>
        <w:jc w:val="both"/>
        <w:rPr>
          <w:rFonts w:ascii="Palatino Linotype" w:eastAsia="Palatino Linotype" w:hAnsi="Palatino Linotype" w:cs="Palatino Linotype"/>
          <w:b/>
          <w:i/>
        </w:rPr>
      </w:pPr>
      <w:r w:rsidRPr="00AE73B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6F47FF8" w14:textId="77777777" w:rsidR="008C0D13" w:rsidRPr="00AE73B6" w:rsidRDefault="00EE3C25">
      <w:pPr>
        <w:tabs>
          <w:tab w:val="left" w:pos="709"/>
        </w:tabs>
        <w:spacing w:line="276" w:lineRule="auto"/>
        <w:ind w:left="851" w:right="850"/>
        <w:jc w:val="both"/>
        <w:rPr>
          <w:rFonts w:ascii="Palatino Linotype" w:eastAsia="Palatino Linotype" w:hAnsi="Palatino Linotype" w:cs="Palatino Linotype"/>
          <w:i/>
        </w:rPr>
      </w:pPr>
      <w:r w:rsidRPr="00AE73B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E73B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CDE01FE" w14:textId="77777777" w:rsidR="008C0D13" w:rsidRPr="00AE73B6" w:rsidRDefault="00EE3C25">
      <w:pPr>
        <w:tabs>
          <w:tab w:val="left" w:pos="709"/>
        </w:tabs>
        <w:ind w:left="851" w:right="850"/>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1BFF5042" w14:textId="77777777" w:rsidR="008C0D13" w:rsidRPr="00AE73B6" w:rsidRDefault="00EE3C25">
      <w:pPr>
        <w:ind w:left="851" w:right="901"/>
        <w:jc w:val="both"/>
        <w:rPr>
          <w:rFonts w:ascii="Palatino Linotype" w:eastAsia="Palatino Linotype" w:hAnsi="Palatino Linotype" w:cs="Palatino Linotype"/>
          <w:i/>
        </w:rPr>
      </w:pPr>
      <w:r w:rsidRPr="00AE73B6">
        <w:rPr>
          <w:rFonts w:ascii="Palatino Linotype" w:eastAsia="Palatino Linotype" w:hAnsi="Palatino Linotype" w:cs="Palatino Linotype"/>
          <w:b/>
          <w:i/>
        </w:rPr>
        <w:t>“Artículo 6o.</w:t>
      </w:r>
    </w:p>
    <w:p w14:paraId="2CB6A581" w14:textId="77777777" w:rsidR="008C0D13" w:rsidRPr="00AE73B6" w:rsidRDefault="00EE3C25">
      <w:pPr>
        <w:ind w:left="851" w:right="901"/>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75F8222C" w14:textId="77777777" w:rsidR="008C0D13" w:rsidRPr="00AE73B6" w:rsidRDefault="00EE3C25">
      <w:pPr>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A. Para el ejercicio del derecho de acceso a la información, la Federación y </w:t>
      </w:r>
      <w:r w:rsidRPr="00AE73B6">
        <w:rPr>
          <w:rFonts w:ascii="Palatino Linotype" w:eastAsia="Palatino Linotype" w:hAnsi="Palatino Linotype" w:cs="Palatino Linotype"/>
          <w:b/>
          <w:i/>
          <w:u w:val="single"/>
        </w:rPr>
        <w:t>las entidades federativas</w:t>
      </w:r>
      <w:r w:rsidRPr="00AE73B6">
        <w:rPr>
          <w:rFonts w:ascii="Palatino Linotype" w:eastAsia="Palatino Linotype" w:hAnsi="Palatino Linotype" w:cs="Palatino Linotype"/>
          <w:b/>
          <w:i/>
        </w:rPr>
        <w:t>,</w:t>
      </w:r>
      <w:r w:rsidRPr="00AE73B6">
        <w:rPr>
          <w:rFonts w:ascii="Palatino Linotype" w:eastAsia="Palatino Linotype" w:hAnsi="Palatino Linotype" w:cs="Palatino Linotype"/>
          <w:i/>
        </w:rPr>
        <w:t xml:space="preserve"> en el ámbito de sus respectivas competencias, se regirán por los siguientes principios y bases:</w:t>
      </w:r>
    </w:p>
    <w:p w14:paraId="4B43E9CB" w14:textId="77777777" w:rsidR="008C0D13" w:rsidRPr="00AE73B6" w:rsidRDefault="00EE3C25">
      <w:pPr>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i/>
        </w:rPr>
        <w:t> </w:t>
      </w:r>
    </w:p>
    <w:p w14:paraId="076CFBAC" w14:textId="77777777" w:rsidR="008C0D13" w:rsidRPr="00AE73B6" w:rsidRDefault="00EE3C25">
      <w:pPr>
        <w:spacing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I. </w:t>
      </w:r>
      <w:r w:rsidRPr="00AE73B6">
        <w:rPr>
          <w:rFonts w:ascii="Palatino Linotype" w:eastAsia="Palatino Linotype" w:hAnsi="Palatino Linotype" w:cs="Palatino Linotype"/>
          <w:b/>
          <w:i/>
          <w:u w:val="single"/>
        </w:rPr>
        <w:t>Toda la información en posesión de cualquier autoridad, entidad, órgano y organismo de los Poderes</w:t>
      </w:r>
      <w:r w:rsidRPr="00AE73B6">
        <w:rPr>
          <w:rFonts w:ascii="Palatino Linotype" w:eastAsia="Palatino Linotype" w:hAnsi="Palatino Linotype" w:cs="Palatino Linotype"/>
          <w:i/>
        </w:rPr>
        <w:t xml:space="preserve"> Ejecutivo, Legislativo </w:t>
      </w:r>
      <w:r w:rsidRPr="00AE73B6">
        <w:rPr>
          <w:rFonts w:ascii="Palatino Linotype" w:eastAsia="Palatino Linotype" w:hAnsi="Palatino Linotype" w:cs="Palatino Linotype"/>
          <w:b/>
          <w:i/>
          <w:u w:val="single"/>
        </w:rPr>
        <w:t>y Judicial</w:t>
      </w:r>
      <w:r w:rsidRPr="00AE73B6">
        <w:rPr>
          <w:rFonts w:ascii="Palatino Linotype" w:eastAsia="Palatino Linotype" w:hAnsi="Palatino Linotype" w:cs="Palatino Linotype"/>
          <w:i/>
        </w:rPr>
        <w:t xml:space="preserve">, órganos </w:t>
      </w:r>
      <w:r w:rsidRPr="00AE73B6">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AE73B6">
        <w:rPr>
          <w:rFonts w:ascii="Palatino Linotype" w:eastAsia="Palatino Linotype" w:hAnsi="Palatino Linotype" w:cs="Palatino Linotype"/>
          <w:b/>
          <w:i/>
        </w:rPr>
        <w:t>es pública y sólo podrá ser reservada temporalmente por razones de interés público y seguridad nacional,</w:t>
      </w:r>
      <w:r w:rsidRPr="00AE73B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FFB0AD" w14:textId="77777777" w:rsidR="008C0D13" w:rsidRPr="00AE73B6" w:rsidRDefault="00EE3C25">
      <w:pPr>
        <w:ind w:left="851" w:right="851"/>
        <w:jc w:val="both"/>
        <w:rPr>
          <w:rFonts w:ascii="Palatino Linotype" w:eastAsia="Palatino Linotype" w:hAnsi="Palatino Linotype" w:cs="Palatino Linotype"/>
          <w:b/>
          <w:i/>
        </w:rPr>
      </w:pPr>
      <w:r w:rsidRPr="00AE73B6">
        <w:rPr>
          <w:rFonts w:ascii="Palatino Linotype" w:eastAsia="Palatino Linotype" w:hAnsi="Palatino Linotype" w:cs="Palatino Linotype"/>
          <w:i/>
        </w:rPr>
        <w:t> </w:t>
      </w:r>
      <w:r w:rsidRPr="00AE73B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E29C9B8" w14:textId="77777777" w:rsidR="008C0D13" w:rsidRPr="00AE73B6" w:rsidRDefault="00EE3C25">
      <w:pPr>
        <w:spacing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i/>
        </w:rPr>
        <w:t> </w:t>
      </w:r>
      <w:r w:rsidRPr="00AE73B6">
        <w:rPr>
          <w:rFonts w:ascii="Palatino Linotype" w:eastAsia="Palatino Linotype" w:hAnsi="Palatino Linotype" w:cs="Palatino Linotype"/>
          <w:b/>
          <w:i/>
        </w:rPr>
        <w:t xml:space="preserve">III. </w:t>
      </w:r>
      <w:r w:rsidRPr="00AE73B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E73B6">
        <w:rPr>
          <w:rFonts w:ascii="Palatino Linotype" w:eastAsia="Palatino Linotype" w:hAnsi="Palatino Linotype" w:cs="Palatino Linotype"/>
          <w:i/>
        </w:rPr>
        <w:t xml:space="preserve"> a sus datos personales o a la rectificación de éstos.</w:t>
      </w:r>
    </w:p>
    <w:p w14:paraId="642C6ED5" w14:textId="77777777" w:rsidR="008C0D13" w:rsidRPr="00AE73B6" w:rsidRDefault="00EE3C25">
      <w:pPr>
        <w:spacing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i/>
        </w:rPr>
        <w:t> </w:t>
      </w:r>
      <w:r w:rsidRPr="00AE73B6">
        <w:rPr>
          <w:rFonts w:ascii="Palatino Linotype" w:eastAsia="Palatino Linotype" w:hAnsi="Palatino Linotype" w:cs="Palatino Linotype"/>
          <w:b/>
          <w:i/>
        </w:rPr>
        <w:t xml:space="preserve">IV. </w:t>
      </w:r>
      <w:r w:rsidRPr="00AE73B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7A4DD2A" w14:textId="77777777" w:rsidR="008C0D13" w:rsidRPr="00AE73B6" w:rsidRDefault="00EE3C25">
      <w:pPr>
        <w:spacing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V. </w:t>
      </w:r>
      <w:r w:rsidRPr="00AE73B6">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C54A6F" w14:textId="77777777" w:rsidR="008C0D13" w:rsidRPr="00AE73B6" w:rsidRDefault="00EE3C25">
      <w:pPr>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VI. </w:t>
      </w:r>
      <w:r w:rsidRPr="00AE73B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DC5444F" w14:textId="77777777" w:rsidR="008C0D13" w:rsidRPr="00AE73B6" w:rsidRDefault="00EE3C25">
      <w:pPr>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VII. </w:t>
      </w:r>
      <w:r w:rsidRPr="00AE73B6">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3DA8F8C" w14:textId="77777777" w:rsidR="008C0D13" w:rsidRPr="00AE73B6" w:rsidRDefault="008C0D13">
      <w:pPr>
        <w:ind w:right="851"/>
        <w:jc w:val="both"/>
        <w:rPr>
          <w:rFonts w:ascii="Palatino Linotype" w:eastAsia="Palatino Linotype" w:hAnsi="Palatino Linotype" w:cs="Palatino Linotype"/>
          <w:i/>
        </w:rPr>
      </w:pPr>
    </w:p>
    <w:p w14:paraId="32C1C9A6" w14:textId="77777777" w:rsidR="008C0D13" w:rsidRPr="00AE73B6" w:rsidRDefault="00EE3C25">
      <w:pPr>
        <w:tabs>
          <w:tab w:val="left" w:pos="709"/>
        </w:tabs>
        <w:spacing w:before="160"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F61AC56"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11D4092"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primer lugar, es conveniente analizar si la respuesta del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431F5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C173C94" w14:textId="77777777" w:rsidR="008C0D13" w:rsidRPr="00AE73B6" w:rsidRDefault="00EE3C25">
      <w:pPr>
        <w:spacing w:after="0" w:line="276" w:lineRule="auto"/>
        <w:ind w:left="709" w:right="760"/>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Artículo 4.</w:t>
      </w:r>
      <w:r w:rsidRPr="00AE73B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7BD508" w14:textId="77777777" w:rsidR="008C0D13" w:rsidRPr="00AE73B6" w:rsidRDefault="00EE3C25">
      <w:pPr>
        <w:spacing w:line="276" w:lineRule="auto"/>
        <w:ind w:left="709" w:right="760"/>
        <w:jc w:val="both"/>
        <w:rPr>
          <w:rFonts w:ascii="Palatino Linotype" w:eastAsia="Palatino Linotype" w:hAnsi="Palatino Linotype" w:cs="Palatino Linotype"/>
          <w:i/>
        </w:rPr>
      </w:pPr>
      <w:r w:rsidRPr="00AE73B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E73B6">
        <w:rPr>
          <w:rFonts w:ascii="Palatino Linotype" w:eastAsia="Palatino Linotype" w:hAnsi="Palatino Linotype" w:cs="Palatino Linotype"/>
          <w:i/>
        </w:rPr>
        <w:t xml:space="preserve">, en los términos y condiciones que se establezcan en los tratados internacionales de los que el Estado mexicano sea parte, </w:t>
      </w:r>
      <w:r w:rsidRPr="00AE73B6">
        <w:rPr>
          <w:rFonts w:ascii="Palatino Linotype" w:eastAsia="Palatino Linotype" w:hAnsi="Palatino Linotype" w:cs="Palatino Linotype"/>
          <w:i/>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A85086" w14:textId="77777777" w:rsidR="008C0D13" w:rsidRPr="00AE73B6" w:rsidRDefault="00EE3C25">
      <w:pPr>
        <w:spacing w:after="0" w:line="276" w:lineRule="auto"/>
        <w:ind w:left="709" w:right="760"/>
        <w:jc w:val="both"/>
        <w:rPr>
          <w:rFonts w:ascii="Palatino Linotype" w:eastAsia="Palatino Linotype" w:hAnsi="Palatino Linotype" w:cs="Palatino Linotype"/>
          <w:i/>
        </w:rPr>
      </w:pPr>
      <w:r w:rsidRPr="00AE73B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AE73B6">
        <w:rPr>
          <w:rFonts w:ascii="Palatino Linotype" w:eastAsia="Palatino Linotype" w:hAnsi="Palatino Linotype" w:cs="Palatino Linotype"/>
          <w:i/>
        </w:rPr>
        <w:t>.”(</w:t>
      </w:r>
      <w:proofErr w:type="gramEnd"/>
      <w:r w:rsidRPr="00AE73B6">
        <w:rPr>
          <w:rFonts w:ascii="Palatino Linotype" w:eastAsia="Palatino Linotype" w:hAnsi="Palatino Linotype" w:cs="Palatino Linotype"/>
          <w:i/>
        </w:rPr>
        <w:t>Sic)</w:t>
      </w:r>
    </w:p>
    <w:p w14:paraId="7B25FC7E" w14:textId="77777777" w:rsidR="008C0D13" w:rsidRPr="00AE73B6" w:rsidRDefault="008C0D13">
      <w:pPr>
        <w:spacing w:after="0" w:line="360" w:lineRule="auto"/>
        <w:ind w:left="709" w:right="760"/>
        <w:jc w:val="both"/>
        <w:rPr>
          <w:rFonts w:ascii="Palatino Linotype" w:eastAsia="Palatino Linotype" w:hAnsi="Palatino Linotype" w:cs="Palatino Linotype"/>
          <w:i/>
        </w:rPr>
      </w:pPr>
    </w:p>
    <w:p w14:paraId="7B54697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05F6953"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75886AC" w14:textId="77777777" w:rsidR="008C0D13" w:rsidRPr="00AE73B6" w:rsidRDefault="00EE3C25">
      <w:pPr>
        <w:spacing w:line="276" w:lineRule="auto"/>
        <w:ind w:left="567" w:right="758"/>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Artículo 12.-</w:t>
      </w:r>
      <w:r w:rsidRPr="00AE73B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A332F27" w14:textId="77777777" w:rsidR="008C0D13" w:rsidRPr="00AE73B6" w:rsidRDefault="00EE3C25">
      <w:pPr>
        <w:spacing w:after="0" w:line="276" w:lineRule="auto"/>
        <w:ind w:left="567" w:right="758"/>
        <w:jc w:val="both"/>
        <w:rPr>
          <w:rFonts w:ascii="Palatino Linotype" w:eastAsia="Palatino Linotype" w:hAnsi="Palatino Linotype" w:cs="Palatino Linotype"/>
          <w:b/>
          <w:i/>
        </w:rPr>
      </w:pPr>
      <w:r w:rsidRPr="00AE73B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E73B6">
        <w:rPr>
          <w:rFonts w:ascii="Palatino Linotype" w:eastAsia="Palatino Linotype" w:hAnsi="Palatino Linotype" w:cs="Palatino Linotype"/>
          <w:i/>
        </w:rPr>
        <w:t xml:space="preserve">. </w:t>
      </w:r>
      <w:r w:rsidRPr="00AE73B6">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8A4CD9F" w14:textId="77777777" w:rsidR="008C0D13" w:rsidRPr="00AE73B6" w:rsidRDefault="008C0D13">
      <w:pPr>
        <w:spacing w:after="0" w:line="360" w:lineRule="auto"/>
        <w:ind w:left="567" w:right="758"/>
        <w:jc w:val="both"/>
        <w:rPr>
          <w:rFonts w:ascii="Palatino Linotype" w:eastAsia="Palatino Linotype" w:hAnsi="Palatino Linotype" w:cs="Palatino Linotype"/>
          <w:i/>
        </w:rPr>
      </w:pPr>
    </w:p>
    <w:p w14:paraId="4571408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4C546D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F3CABF5"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59DB2C5"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5DDFDE1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70583733" w14:textId="77777777" w:rsidR="008C0D13" w:rsidRPr="00AE73B6" w:rsidRDefault="008C0D13">
      <w:pPr>
        <w:spacing w:after="0" w:line="360" w:lineRule="auto"/>
        <w:jc w:val="both"/>
        <w:rPr>
          <w:rFonts w:ascii="Palatino Linotype" w:eastAsia="Palatino Linotype" w:hAnsi="Palatino Linotype" w:cs="Palatino Linotype"/>
        </w:rPr>
      </w:pPr>
    </w:p>
    <w:p w14:paraId="034AA2BB" w14:textId="77777777" w:rsidR="008C0D13" w:rsidRPr="00AE73B6" w:rsidRDefault="00EE3C25">
      <w:pPr>
        <w:spacing w:after="0"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“Artículo 18.</w:t>
      </w:r>
      <w:r w:rsidRPr="00AE73B6">
        <w:rPr>
          <w:rFonts w:ascii="Palatino Linotype" w:eastAsia="Palatino Linotype" w:hAnsi="Palatino Linotype" w:cs="Palatino Linotype"/>
          <w:i/>
        </w:rPr>
        <w:t xml:space="preserve"> </w:t>
      </w:r>
      <w:r w:rsidRPr="00AE73B6">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E73B6">
        <w:rPr>
          <w:rFonts w:ascii="Palatino Linotype" w:eastAsia="Palatino Linotype" w:hAnsi="Palatino Linotype" w:cs="Palatino Linotype"/>
          <w:i/>
        </w:rPr>
        <w:t xml:space="preserve"> y reutilización de la información que generen.</w:t>
      </w:r>
    </w:p>
    <w:p w14:paraId="61519581" w14:textId="77777777" w:rsidR="008C0D13" w:rsidRPr="00AE73B6" w:rsidRDefault="00EE3C25">
      <w:pPr>
        <w:spacing w:after="0"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Artículo 19. </w:t>
      </w:r>
      <w:r w:rsidRPr="00AE73B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E73B6">
        <w:rPr>
          <w:rFonts w:ascii="Palatino Linotype" w:eastAsia="Palatino Linotype" w:hAnsi="Palatino Linotype" w:cs="Palatino Linotype"/>
          <w:i/>
        </w:rPr>
        <w:t>.</w:t>
      </w:r>
    </w:p>
    <w:p w14:paraId="11E17133" w14:textId="77777777" w:rsidR="008C0D13" w:rsidRPr="00AE73B6" w:rsidRDefault="008C0D13">
      <w:pPr>
        <w:spacing w:after="0" w:line="276" w:lineRule="auto"/>
        <w:ind w:left="851" w:right="851"/>
        <w:jc w:val="both"/>
        <w:rPr>
          <w:rFonts w:ascii="Palatino Linotype" w:eastAsia="Palatino Linotype" w:hAnsi="Palatino Linotype" w:cs="Palatino Linotype"/>
          <w:i/>
        </w:rPr>
      </w:pPr>
    </w:p>
    <w:p w14:paraId="10C07B43" w14:textId="77777777" w:rsidR="008C0D13" w:rsidRPr="00AE73B6" w:rsidRDefault="00EE3C25">
      <w:pPr>
        <w:spacing w:after="0"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34562A0" w14:textId="77777777" w:rsidR="008C0D13" w:rsidRPr="00AE73B6" w:rsidRDefault="00EE3C25">
      <w:pPr>
        <w:spacing w:after="0" w:line="276" w:lineRule="auto"/>
        <w:ind w:left="851" w:right="851"/>
        <w:jc w:val="both"/>
        <w:rPr>
          <w:rFonts w:ascii="Palatino Linotype" w:eastAsia="Palatino Linotype" w:hAnsi="Palatino Linotype" w:cs="Palatino Linotype"/>
          <w:i/>
        </w:rPr>
      </w:pPr>
      <w:r w:rsidRPr="00AE73B6">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7E5712F" w14:textId="77777777" w:rsidR="008C0D13" w:rsidRPr="00AE73B6" w:rsidRDefault="008C0D13">
      <w:pPr>
        <w:spacing w:after="0" w:line="360" w:lineRule="auto"/>
        <w:ind w:left="851" w:right="851"/>
        <w:jc w:val="both"/>
        <w:rPr>
          <w:rFonts w:ascii="Palatino Linotype" w:eastAsia="Palatino Linotype" w:hAnsi="Palatino Linotype" w:cs="Palatino Linotype"/>
          <w:i/>
        </w:rPr>
      </w:pPr>
    </w:p>
    <w:p w14:paraId="183408D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F44081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FF7D226"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AE73B6">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3145A33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79363A6"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 xml:space="preserve">Artículo 3. </w:t>
      </w:r>
      <w:r w:rsidRPr="00AE73B6">
        <w:rPr>
          <w:rFonts w:ascii="Palatino Linotype" w:eastAsia="Palatino Linotype" w:hAnsi="Palatino Linotype" w:cs="Palatino Linotype"/>
          <w:i/>
        </w:rPr>
        <w:t>Para los efectos de la presente Ley se entenderá por:</w:t>
      </w:r>
    </w:p>
    <w:p w14:paraId="4C62BC02"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02D3775D" w14:textId="77777777" w:rsidR="008C0D13" w:rsidRPr="00AE73B6" w:rsidRDefault="00EE3C25">
      <w:pPr>
        <w:spacing w:after="0"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b/>
          <w:i/>
        </w:rPr>
        <w:t>XI. Documento:</w:t>
      </w:r>
      <w:r w:rsidRPr="00AE73B6">
        <w:rPr>
          <w:rFonts w:ascii="Palatino Linotype" w:eastAsia="Palatino Linotype" w:hAnsi="Palatino Linotype" w:cs="Palatino Linotype"/>
          <w:i/>
        </w:rPr>
        <w:t xml:space="preserve"> Los expedientes, reportes, estudios, actas</w:t>
      </w:r>
      <w:r w:rsidRPr="00AE73B6">
        <w:rPr>
          <w:rFonts w:ascii="Palatino Linotype" w:eastAsia="Palatino Linotype" w:hAnsi="Palatino Linotype" w:cs="Palatino Linotype"/>
          <w:b/>
          <w:i/>
        </w:rPr>
        <w:t>,</w:t>
      </w:r>
      <w:r w:rsidRPr="00AE73B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596EE13" w14:textId="77777777" w:rsidR="008C0D13" w:rsidRPr="00AE73B6" w:rsidRDefault="008C0D13">
      <w:pPr>
        <w:spacing w:after="0" w:line="360" w:lineRule="auto"/>
        <w:ind w:left="851" w:right="899"/>
        <w:jc w:val="both"/>
        <w:rPr>
          <w:rFonts w:ascii="Palatino Linotype" w:eastAsia="Palatino Linotype" w:hAnsi="Palatino Linotype" w:cs="Palatino Linotype"/>
          <w:i/>
        </w:rPr>
      </w:pPr>
    </w:p>
    <w:p w14:paraId="0A3806B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66E46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0552201" w14:textId="77777777" w:rsidR="008C0D13" w:rsidRPr="00AE73B6" w:rsidRDefault="00EE3C25">
      <w:pPr>
        <w:spacing w:line="276" w:lineRule="auto"/>
        <w:ind w:left="851" w:right="899"/>
        <w:jc w:val="both"/>
        <w:rPr>
          <w:rFonts w:ascii="Palatino Linotype" w:eastAsia="Palatino Linotype" w:hAnsi="Palatino Linotype" w:cs="Palatino Linotype"/>
          <w:b/>
          <w:i/>
        </w:rPr>
      </w:pPr>
      <w:r w:rsidRPr="00AE73B6">
        <w:rPr>
          <w:rFonts w:ascii="Palatino Linotype" w:eastAsia="Palatino Linotype" w:hAnsi="Palatino Linotype" w:cs="Palatino Linotype"/>
          <w:b/>
        </w:rPr>
        <w:t>“</w:t>
      </w:r>
      <w:r w:rsidRPr="00AE73B6">
        <w:rPr>
          <w:rFonts w:ascii="Palatino Linotype" w:eastAsia="Palatino Linotype" w:hAnsi="Palatino Linotype" w:cs="Palatino Linotype"/>
          <w:b/>
          <w:i/>
        </w:rPr>
        <w:t>CRITERIO 0002-11</w:t>
      </w:r>
    </w:p>
    <w:p w14:paraId="3D066A76"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E73B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AE73B6">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3A2F1280"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En </w:t>
      </w:r>
      <w:proofErr w:type="gramStart"/>
      <w:r w:rsidRPr="00AE73B6">
        <w:rPr>
          <w:rFonts w:ascii="Palatino Linotype" w:eastAsia="Palatino Linotype" w:hAnsi="Palatino Linotype" w:cs="Palatino Linotype"/>
          <w:i/>
        </w:rPr>
        <w:t>consecuencia</w:t>
      </w:r>
      <w:proofErr w:type="gramEnd"/>
      <w:r w:rsidRPr="00AE73B6">
        <w:rPr>
          <w:rFonts w:ascii="Palatino Linotype" w:eastAsia="Palatino Linotype" w:hAnsi="Palatino Linotype" w:cs="Palatino Linotype"/>
          <w:i/>
        </w:rPr>
        <w:t xml:space="preserve"> el acceso a la información se refiere a que se cumplan cualquiera de los siguientes tres supuestos:</w:t>
      </w:r>
    </w:p>
    <w:p w14:paraId="3AE585FA"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1) Que se trate de información registrada en cualquier soporte documental, </w:t>
      </w:r>
      <w:proofErr w:type="gramStart"/>
      <w:r w:rsidRPr="00AE73B6">
        <w:rPr>
          <w:rFonts w:ascii="Palatino Linotype" w:eastAsia="Palatino Linotype" w:hAnsi="Palatino Linotype" w:cs="Palatino Linotype"/>
          <w:i/>
        </w:rPr>
        <w:t>que</w:t>
      </w:r>
      <w:proofErr w:type="gramEnd"/>
      <w:r w:rsidRPr="00AE73B6">
        <w:rPr>
          <w:rFonts w:ascii="Palatino Linotype" w:eastAsia="Palatino Linotype" w:hAnsi="Palatino Linotype" w:cs="Palatino Linotype"/>
          <w:i/>
        </w:rPr>
        <w:t xml:space="preserve"> en ejercicio de las atribuciones conferidas, sea generada por los Sujetos Obligados;</w:t>
      </w:r>
    </w:p>
    <w:p w14:paraId="12519A9F" w14:textId="77777777" w:rsidR="008C0D13" w:rsidRPr="00AE73B6" w:rsidRDefault="00EE3C25">
      <w:pPr>
        <w:spacing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2) Que se trate de información registrada en cualquier soporte documental, </w:t>
      </w:r>
      <w:proofErr w:type="gramStart"/>
      <w:r w:rsidRPr="00AE73B6">
        <w:rPr>
          <w:rFonts w:ascii="Palatino Linotype" w:eastAsia="Palatino Linotype" w:hAnsi="Palatino Linotype" w:cs="Palatino Linotype"/>
          <w:i/>
        </w:rPr>
        <w:t>que</w:t>
      </w:r>
      <w:proofErr w:type="gramEnd"/>
      <w:r w:rsidRPr="00AE73B6">
        <w:rPr>
          <w:rFonts w:ascii="Palatino Linotype" w:eastAsia="Palatino Linotype" w:hAnsi="Palatino Linotype" w:cs="Palatino Linotype"/>
          <w:i/>
        </w:rPr>
        <w:t xml:space="preserve"> en ejercicio de las atribuciones conferidas, sea administrada por los Sujetos Obligados, y</w:t>
      </w:r>
    </w:p>
    <w:p w14:paraId="5FA56E39" w14:textId="77777777" w:rsidR="008C0D13" w:rsidRPr="00AE73B6" w:rsidRDefault="00EE3C25">
      <w:pPr>
        <w:spacing w:after="0" w:line="276"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3) Que se trate de información registrada en cualquier soporte documental, </w:t>
      </w:r>
      <w:proofErr w:type="gramStart"/>
      <w:r w:rsidRPr="00AE73B6">
        <w:rPr>
          <w:rFonts w:ascii="Palatino Linotype" w:eastAsia="Palatino Linotype" w:hAnsi="Palatino Linotype" w:cs="Palatino Linotype"/>
          <w:i/>
        </w:rPr>
        <w:t>que</w:t>
      </w:r>
      <w:proofErr w:type="gramEnd"/>
      <w:r w:rsidRPr="00AE73B6">
        <w:rPr>
          <w:rFonts w:ascii="Palatino Linotype" w:eastAsia="Palatino Linotype" w:hAnsi="Palatino Linotype" w:cs="Palatino Linotype"/>
          <w:i/>
        </w:rPr>
        <w:t xml:space="preserve"> en ejercicio de las atribuciones conferidas, se encuentre en posesión de los Sujetos Obligados.” </w:t>
      </w:r>
    </w:p>
    <w:p w14:paraId="68825DD7" w14:textId="77777777" w:rsidR="008C0D13" w:rsidRPr="00AE73B6" w:rsidRDefault="00EE3C25">
      <w:pPr>
        <w:tabs>
          <w:tab w:val="left" w:pos="3510"/>
        </w:tabs>
        <w:spacing w:after="0" w:line="360" w:lineRule="auto"/>
        <w:ind w:left="851" w:right="899"/>
        <w:jc w:val="both"/>
        <w:rPr>
          <w:rFonts w:ascii="Palatino Linotype" w:eastAsia="Palatino Linotype" w:hAnsi="Palatino Linotype" w:cs="Palatino Linotype"/>
          <w:i/>
        </w:rPr>
      </w:pPr>
      <w:r w:rsidRPr="00AE73B6">
        <w:rPr>
          <w:rFonts w:ascii="Palatino Linotype" w:eastAsia="Palatino Linotype" w:hAnsi="Palatino Linotype" w:cs="Palatino Linotype"/>
          <w:i/>
        </w:rPr>
        <w:tab/>
      </w:r>
    </w:p>
    <w:p w14:paraId="6C56F8D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De ahí que 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E73B6">
        <w:rPr>
          <w:rFonts w:ascii="Palatino Linotype" w:eastAsia="Palatino Linotype" w:hAnsi="Palatino Linotype" w:cs="Palatino Linotype"/>
          <w:sz w:val="24"/>
          <w:szCs w:val="24"/>
          <w:vertAlign w:val="superscript"/>
        </w:rPr>
        <w:footnoteReference w:id="1"/>
      </w:r>
      <w:r w:rsidRPr="00AE73B6">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AE73B6">
        <w:rPr>
          <w:rFonts w:ascii="Palatino Linotype" w:eastAsia="Palatino Linotype" w:hAnsi="Palatino Linotype" w:cs="Palatino Linotype"/>
          <w:sz w:val="24"/>
          <w:szCs w:val="24"/>
        </w:rPr>
        <w:lastRenderedPageBreak/>
        <w:t>actividades que llevan a cabo los Sujetos Obligados</w:t>
      </w:r>
      <w:r w:rsidRPr="00AE73B6">
        <w:rPr>
          <w:rFonts w:ascii="Palatino Linotype" w:eastAsia="Palatino Linotype" w:hAnsi="Palatino Linotype" w:cs="Palatino Linotype"/>
          <w:sz w:val="24"/>
          <w:szCs w:val="24"/>
          <w:vertAlign w:val="superscript"/>
        </w:rPr>
        <w:footnoteReference w:id="2"/>
      </w:r>
      <w:r w:rsidRPr="00AE73B6">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F9533F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9F8295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xml:space="preserve"> requirió al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le proporcione, lo siguiente:</w:t>
      </w:r>
    </w:p>
    <w:p w14:paraId="4056731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F8A8263"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bookmarkStart w:id="2" w:name="_heading=h.1fob9te" w:colFirst="0" w:colLast="0"/>
      <w:bookmarkEnd w:id="2"/>
      <w:r w:rsidRPr="00AE73B6">
        <w:rPr>
          <w:rFonts w:ascii="Palatino Linotype" w:eastAsia="Palatino Linotype" w:hAnsi="Palatino Linotype" w:cs="Palatino Linotype"/>
          <w:sz w:val="24"/>
          <w:szCs w:val="24"/>
        </w:rPr>
        <w:t xml:space="preserve">Los protocolos de actuación en materia de género de la Policía de Género y el Instituto Municipal de la Mujer. </w:t>
      </w:r>
    </w:p>
    <w:p w14:paraId="0FB8F6EB"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El número de capital humano que labora en actividades sustantivas en la Policía de Género y el Instituto Municipal de la Mujer, así como los perfiles profesionales de cada uno de ellos. </w:t>
      </w:r>
    </w:p>
    <w:p w14:paraId="45E55EE0"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Estadísticas registradas en el municipio sobre delitos relacionados con violencia de género en el período del 1 de enero al 15 de junio. </w:t>
      </w:r>
    </w:p>
    <w:p w14:paraId="0B75987C"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Los Planes Anuales de Trabajo de la Policía de Género y el Instituto Municipal de la Mujer. </w:t>
      </w:r>
    </w:p>
    <w:p w14:paraId="3967901C" w14:textId="77777777" w:rsidR="008C0D13" w:rsidRPr="00AE73B6" w:rsidRDefault="00EE3C2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Los números telefónicos de las jefas y jefes de sector del municipio designados por la Comisaría de Seguridad Pública y Tránsito Municipal</w:t>
      </w:r>
    </w:p>
    <w:p w14:paraId="55104B73" w14:textId="77777777" w:rsidR="008C0D13" w:rsidRPr="00AE73B6" w:rsidRDefault="00EE3C25">
      <w:pP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El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 xml:space="preserve">da respuesta a la solicitud en los siguientes términos: </w:t>
      </w:r>
    </w:p>
    <w:p w14:paraId="6D2B6D57" w14:textId="77777777" w:rsidR="008C0D13" w:rsidRPr="00AE73B6" w:rsidRDefault="008C0D13">
      <w:pPr>
        <w:tabs>
          <w:tab w:val="left" w:pos="2100"/>
        </w:tabs>
        <w:spacing w:line="360" w:lineRule="auto"/>
        <w:jc w:val="both"/>
        <w:rPr>
          <w:rFonts w:ascii="Palatino Linotype" w:eastAsia="Palatino Linotype" w:hAnsi="Palatino Linotype" w:cs="Palatino Linotype"/>
          <w:sz w:val="24"/>
          <w:szCs w:val="24"/>
        </w:rPr>
      </w:pPr>
    </w:p>
    <w:p w14:paraId="360E9865"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rPr>
        <w:t>Dirección de Administración</w:t>
      </w:r>
      <w:r w:rsidRPr="00AE73B6">
        <w:rPr>
          <w:rFonts w:ascii="Palatino Linotype" w:eastAsia="Palatino Linotype" w:hAnsi="Palatino Linotype" w:cs="Palatino Linotype"/>
          <w:sz w:val="24"/>
          <w:szCs w:val="24"/>
        </w:rPr>
        <w:t xml:space="preserve"> </w:t>
      </w:r>
    </w:p>
    <w:p w14:paraId="68F922D8"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Menciona que el número de capital humano que labora en el Instituto Municipal de la Mujer son trece servidoras públicas, asimismo señaló lo que corresponde al capital humano de la policía de género, se encuentra reservada de acuerdo al artículo 140 de la Ley de Transparencia y Acceso a la Información Pública del Estado de México y Municipios</w:t>
      </w:r>
    </w:p>
    <w:p w14:paraId="38BAB59A"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Por lo que corresponde a los perfiles profesionales, adjunta una liga electrónica del IPOMEX, señalando los pasos que deberá llevar a cabo con el propósito de contar con dicha información</w:t>
      </w:r>
    </w:p>
    <w:p w14:paraId="6DD59575"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Remite un apartado de un acta en donde el Instituto Municipal de la Mujer clasifica como reservada los protocolos de actuación en materia de género refiriendo que se encuentra imposibilitado para dar dicha información debido a que el protocolo podría ocasionar un perjuicio real a la víctima por tratarse de atención a mujeres víctimas de violencia.</w:t>
      </w:r>
    </w:p>
    <w:p w14:paraId="35D39268" w14:textId="77777777" w:rsidR="008C0D13" w:rsidRPr="00AE73B6" w:rsidRDefault="008C0D13">
      <w:pPr>
        <w:pBdr>
          <w:top w:val="nil"/>
          <w:left w:val="nil"/>
          <w:bottom w:val="nil"/>
          <w:right w:val="nil"/>
          <w:between w:val="nil"/>
        </w:pBdr>
        <w:tabs>
          <w:tab w:val="left" w:pos="2100"/>
        </w:tabs>
        <w:spacing w:after="0" w:line="360" w:lineRule="auto"/>
        <w:ind w:left="720"/>
        <w:jc w:val="both"/>
        <w:rPr>
          <w:rFonts w:ascii="Palatino Linotype" w:eastAsia="Palatino Linotype" w:hAnsi="Palatino Linotype" w:cs="Palatino Linotype"/>
          <w:sz w:val="24"/>
          <w:szCs w:val="24"/>
        </w:rPr>
      </w:pPr>
    </w:p>
    <w:p w14:paraId="10A45EA6"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 Comisario de Seguridad Pública y Tránsito de Coacalco</w:t>
      </w:r>
    </w:p>
    <w:p w14:paraId="0CCFC8FF"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1A5E8514"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Proporciona una la liga electrónica en el que se observa el Protocolo Nacional de Actuación Policial para la atención a la violencia de género contra las mujeres en el ámbito familiar. </w:t>
      </w:r>
    </w:p>
    <w:p w14:paraId="37240AB6"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7CBBB5AA"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 xml:space="preserve">Refiere que cuenta con catorce elementos capacitados, los cuales tienen el perfil profesional de Licenciados en Seguridad Pública, Licenciados en Derecho, Licenciados en Psicología y Criminalista. </w:t>
      </w:r>
    </w:p>
    <w:p w14:paraId="48353AE3"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3D20E152"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Respecto a las estadísticas registradas del uno de enero al treinta y uno de mayo de dos mil veintidós, adjunta una liga electrónica.</w:t>
      </w:r>
    </w:p>
    <w:p w14:paraId="3170CBE0"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4F4A15FC"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Menciona el plan anual de la policía de género.</w:t>
      </w:r>
    </w:p>
    <w:p w14:paraId="683A3491"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Señala que no es posible proporcionar los números telefónicos de las jefas y jefes de sector, derivado que sus números son de uso personal, ya que no se le proporcionan equipos celulares, ni chips telefónicos para el desempeño de sus funciones, sin embargo, proporciona el número telefónico del Centro de Emergencias de Monitoreo C4 para atender las emergencias, siendo el 55115420169. </w:t>
      </w:r>
    </w:p>
    <w:p w14:paraId="1BFF9E95"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38736FEE"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u w:val="single"/>
        </w:rPr>
        <w:t xml:space="preserve"> Unidad de Atención a la Mujer</w:t>
      </w:r>
    </w:p>
    <w:p w14:paraId="3F99C0F9"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088CDD30"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Menciona que los protocolos en actuación en atención en materia de género, se está trabajando en conjunto con las diversas áreas del Ayuntamiento, por lo que es información reservada, ya que es un procedimiento que se lleva con personas que son víctimas de violencia de género. Asimismo, adjunta un oficio sin fecha y número en el cual se observa que solicita a consideración del Comité de Transparencia reserva los protocolos en actuación en atención en materia de género.</w:t>
      </w:r>
    </w:p>
    <w:p w14:paraId="1F0E2DEA"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7E043BAD"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Respecto al número de capital humano, refiere que se encuentra publicado en el IPOMEX en el artículo 92 fracción VII</w:t>
      </w:r>
    </w:p>
    <w:p w14:paraId="03725B9B"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5530F13F"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que hace a las estadísticas sobre delitos relacionados en materia de género, señala que no se encuentran en sus atribuciones, sin </w:t>
      </w:r>
      <w:proofErr w:type="gramStart"/>
      <w:r w:rsidRPr="00AE73B6">
        <w:rPr>
          <w:rFonts w:ascii="Palatino Linotype" w:eastAsia="Palatino Linotype" w:hAnsi="Palatino Linotype" w:cs="Palatino Linotype"/>
          <w:sz w:val="24"/>
          <w:szCs w:val="24"/>
        </w:rPr>
        <w:t>embargo</w:t>
      </w:r>
      <w:proofErr w:type="gramEnd"/>
      <w:r w:rsidRPr="00AE73B6">
        <w:rPr>
          <w:rFonts w:ascii="Palatino Linotype" w:eastAsia="Palatino Linotype" w:hAnsi="Palatino Linotype" w:cs="Palatino Linotype"/>
          <w:sz w:val="24"/>
          <w:szCs w:val="24"/>
        </w:rPr>
        <w:t xml:space="preserve"> dicha información puede localizarla en la página web del Secretariado Ejecutivo Nacional de Seguridad Pública.</w:t>
      </w:r>
    </w:p>
    <w:p w14:paraId="51A3D09B"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 cuanto a los planes de anuales de trabajo de la policía de genero indica que estos se encuentran en el IPOMEX en el artículo 92 fracción IV</w:t>
      </w:r>
    </w:p>
    <w:p w14:paraId="1486B888" w14:textId="77777777" w:rsidR="008C0D13" w:rsidRPr="00AE73B6" w:rsidRDefault="008C0D13">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0F61F44E"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que corresponde a los números de teléfono de los jefes de sector manifiesta que no se encuentran dentro de sus atribuciones. </w:t>
      </w:r>
    </w:p>
    <w:p w14:paraId="3BE5FEF9" w14:textId="77777777" w:rsidR="008C0D13" w:rsidRPr="00AE73B6" w:rsidRDefault="008C0D13">
      <w:pPr>
        <w:pBdr>
          <w:top w:val="nil"/>
          <w:left w:val="nil"/>
          <w:bottom w:val="nil"/>
          <w:right w:val="nil"/>
          <w:between w:val="nil"/>
        </w:pBdr>
        <w:ind w:left="720"/>
        <w:rPr>
          <w:rFonts w:ascii="Palatino Linotype" w:eastAsia="Palatino Linotype" w:hAnsi="Palatino Linotype" w:cs="Palatino Linotype"/>
          <w:sz w:val="24"/>
          <w:szCs w:val="24"/>
        </w:rPr>
      </w:pPr>
    </w:p>
    <w:p w14:paraId="01735780" w14:textId="77777777" w:rsidR="008C0D13" w:rsidRPr="00AE73B6" w:rsidRDefault="00EE3C25">
      <w:pPr>
        <w:spacing w:after="0" w:line="360" w:lineRule="auto"/>
        <w:jc w:val="both"/>
        <w:rPr>
          <w:rFonts w:ascii="Palatino Linotype" w:eastAsia="Palatino Linotype" w:hAnsi="Palatino Linotype" w:cs="Palatino Linotype"/>
          <w:sz w:val="24"/>
          <w:szCs w:val="24"/>
        </w:rPr>
      </w:pPr>
      <w:bookmarkStart w:id="3" w:name="_heading=h.3znysh7" w:colFirst="0" w:colLast="0"/>
      <w:bookmarkEnd w:id="3"/>
      <w:r w:rsidRPr="00AE73B6">
        <w:rPr>
          <w:rFonts w:ascii="Palatino Linotype" w:eastAsia="Palatino Linotype" w:hAnsi="Palatino Linotype" w:cs="Palatino Linotype"/>
          <w:sz w:val="24"/>
          <w:szCs w:val="24"/>
        </w:rPr>
        <w:t>Conocida la respuesta por la</w:t>
      </w:r>
      <w:r w:rsidRPr="00AE73B6">
        <w:rPr>
          <w:rFonts w:ascii="Palatino Linotype" w:eastAsia="Palatino Linotype" w:hAnsi="Palatino Linotype" w:cs="Palatino Linotype"/>
          <w:sz w:val="40"/>
          <w:szCs w:val="40"/>
        </w:rPr>
        <w:t xml:space="preserve"> </w:t>
      </w:r>
      <w:r w:rsidRPr="00AE73B6">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la reserva de la información de los protocolos de actuación en materia de género del Instituto Municipal de la Mujer, no obstante, a ello, en la etapa de manifestaciones, robustece los agravios a la respuesta inicial en los cuales menciona que: </w:t>
      </w:r>
    </w:p>
    <w:p w14:paraId="40F07017"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308EABC"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Desea conocer si el protocolo remitido por la Dirección de Seguridad Pública y Tránsito es el único con el que se conducen. </w:t>
      </w:r>
    </w:p>
    <w:p w14:paraId="6822256E"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Que cual es el tiempo o plazo que tiene el Instituto de la Mujer para contar con protocolos de actuación.</w:t>
      </w:r>
    </w:p>
    <w:p w14:paraId="0102E5D3"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Que respecto a los perfiles del personal del Instituto de la Mujer no se localiza en la página referida. </w:t>
      </w:r>
    </w:p>
    <w:p w14:paraId="6737829A" w14:textId="77777777" w:rsidR="008C0D13" w:rsidRPr="00AE73B6" w:rsidRDefault="00EE3C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Que si bien la Dirección de Seguridad Pública y Tránsito señala que la Subdirección de Policía de Género cuenta con 14 elementos y también indica su perfil profesional, no señalan el portal de transparencia donde dicha información se pueda corroborar. </w:t>
      </w:r>
    </w:p>
    <w:p w14:paraId="579A3B91" w14:textId="77777777" w:rsidR="008C0D13" w:rsidRPr="00AE73B6" w:rsidRDefault="00EE3C2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Que respecto a los Planes Anuales el Instituto Municipal de la Mujer, entrega el Manual para la Planeación, Programación y Presupuestarían Municipal del Ejercicio Anual 2022, no es un Plan Anual de Trabajo. En ese sentido, solicito se presente el plan y en caso de no contar con él, que se asiente, que el Instituto Municipal de la Mujer trabaja sin planeación y la Dirección de Seguridad Pública y Tránsito contesta escuetamente, en el mismo oficio sobre su planeación por lo que requiere un documento que pueda revisar donde se confirme lo que responden en el escrito. </w:t>
      </w:r>
    </w:p>
    <w:p w14:paraId="52EC0503" w14:textId="77777777" w:rsidR="008C0D13" w:rsidRPr="00AE73B6" w:rsidRDefault="008C0D13">
      <w:pPr>
        <w:tabs>
          <w:tab w:val="left" w:pos="2100"/>
        </w:tabs>
        <w:spacing w:after="0" w:line="360" w:lineRule="auto"/>
        <w:jc w:val="both"/>
        <w:rPr>
          <w:rFonts w:ascii="Arial" w:eastAsia="Arial" w:hAnsi="Arial" w:cs="Arial"/>
          <w:sz w:val="24"/>
          <w:szCs w:val="24"/>
        </w:rPr>
      </w:pPr>
    </w:p>
    <w:p w14:paraId="43892E0A" w14:textId="77777777" w:rsidR="008C0D13" w:rsidRPr="00AE73B6" w:rsidRDefault="00EE3C25">
      <w:pPr>
        <w:tabs>
          <w:tab w:val="left" w:pos="2100"/>
        </w:tabs>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Cabe precisar </w:t>
      </w:r>
      <w:proofErr w:type="gramStart"/>
      <w:r w:rsidRPr="00AE73B6">
        <w:rPr>
          <w:rFonts w:ascii="Palatino Linotype" w:eastAsia="Palatino Linotype" w:hAnsi="Palatino Linotype" w:cs="Palatino Linotype"/>
          <w:sz w:val="24"/>
          <w:szCs w:val="24"/>
        </w:rPr>
        <w:t>que</w:t>
      </w:r>
      <w:proofErr w:type="gramEnd"/>
      <w:r w:rsidRPr="00AE73B6">
        <w:rPr>
          <w:rFonts w:ascii="Palatino Linotype" w:eastAsia="Palatino Linotype" w:hAnsi="Palatino Linotype" w:cs="Palatino Linotype"/>
          <w:sz w:val="24"/>
          <w:szCs w:val="24"/>
        </w:rPr>
        <w:t xml:space="preserve"> una vez notificado el recurso de revisión al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remitió su informe justificado: </w:t>
      </w:r>
    </w:p>
    <w:p w14:paraId="00B80955" w14:textId="77777777" w:rsidR="008C0D13" w:rsidRPr="00AE73B6" w:rsidRDefault="00EE3C25">
      <w:pPr>
        <w:numPr>
          <w:ilvl w:val="0"/>
          <w:numId w:val="3"/>
        </w:numPr>
        <w:pBdr>
          <w:top w:val="nil"/>
          <w:left w:val="nil"/>
          <w:bottom w:val="nil"/>
          <w:right w:val="nil"/>
          <w:between w:val="nil"/>
        </w:pBdr>
        <w:tabs>
          <w:tab w:val="left" w:pos="2100"/>
        </w:tabs>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Instituto Municipal de la Mujer</w:t>
      </w:r>
      <w:r w:rsidRPr="00AE73B6">
        <w:rPr>
          <w:rFonts w:ascii="Palatino Linotype" w:eastAsia="Palatino Linotype" w:hAnsi="Palatino Linotype" w:cs="Palatino Linotype"/>
          <w:sz w:val="24"/>
          <w:szCs w:val="24"/>
        </w:rPr>
        <w:t xml:space="preserve">. Ratifica su respuesta inicial, no obstante, refiere que puede consultar el Protocolo para Juzgar con perspectiva de género, señalando para tal efecto una liga electrónica. </w:t>
      </w:r>
    </w:p>
    <w:p w14:paraId="2F4AB13C" w14:textId="77777777" w:rsidR="008C0D13" w:rsidRPr="00AE73B6" w:rsidRDefault="00EE3C25">
      <w:pPr>
        <w:numPr>
          <w:ilvl w:val="0"/>
          <w:numId w:val="3"/>
        </w:numPr>
        <w:pBdr>
          <w:top w:val="nil"/>
          <w:left w:val="nil"/>
          <w:bottom w:val="nil"/>
          <w:right w:val="nil"/>
          <w:between w:val="nil"/>
        </w:pBdr>
        <w:tabs>
          <w:tab w:val="left" w:pos="2100"/>
        </w:tabs>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lastRenderedPageBreak/>
        <w:t>Comisario de Seguridad Pública y Tránsito</w:t>
      </w:r>
      <w:r w:rsidRPr="00AE73B6">
        <w:rPr>
          <w:rFonts w:ascii="Palatino Linotype" w:eastAsia="Palatino Linotype" w:hAnsi="Palatino Linotype" w:cs="Palatino Linotype"/>
          <w:sz w:val="24"/>
          <w:szCs w:val="24"/>
        </w:rPr>
        <w:t xml:space="preserve">. Ratifica la respuesta que otorgó al protocolo de actuación en materia de género, no obstante, precisa que el protocolo que envía es con el que se rige el actuar de la dependencia. </w:t>
      </w:r>
    </w:p>
    <w:p w14:paraId="5F7E1CD8" w14:textId="77777777" w:rsidR="008C0D13" w:rsidRPr="00AE73B6" w:rsidRDefault="008C0D13">
      <w:pPr>
        <w:tabs>
          <w:tab w:val="left" w:pos="2100"/>
        </w:tabs>
        <w:spacing w:after="0" w:line="360" w:lineRule="auto"/>
        <w:jc w:val="both"/>
        <w:rPr>
          <w:rFonts w:ascii="Palatino Linotype" w:eastAsia="Palatino Linotype" w:hAnsi="Palatino Linotype" w:cs="Palatino Linotype"/>
          <w:sz w:val="24"/>
          <w:szCs w:val="24"/>
        </w:rPr>
      </w:pPr>
    </w:p>
    <w:p w14:paraId="04256BD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que respecta a los motivos de inconformidad, se advierte que, la parte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xml:space="preserve">, sólo se inconforma, por la clasificación del protocolo de actuación en materia de género del  Instituto Municipal de la Mujer, así como de la falta de precisión respecto a la totalidad de los protocolos de la Dirección de Seguridad Pública, el perfil profesional del capital humano del Instituto Municipal de la Mujer y de los Planes Anuales de Trabajo de la Policía de Género y el Instituto Municipal de la Mujer, por lo que la parte de la respuesta que no fue impugnada debe declararse consentida por la hoy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en razón de que no se realizaron manifestaciones de inconformidad relativo al número de capital humano que labora en la Policía de Género y el Instituto Municipal de la Mujer, de las estadísticas registradas en el municipio sobre delitos relacionados con violencia de género y de los números telefónicos de las jefas y jefes de sector del municipio designados por la Comisaría de Seguridad Pública y Tránsito Municipal por lo que no pueden producirse efectos jurídicos tendentes a revocar, confirmar o modificar el acto reclamado ya que se infiere un consentimiento de la</w:t>
      </w:r>
      <w:r w:rsidRPr="00AE73B6">
        <w:rPr>
          <w:rFonts w:ascii="Palatino Linotype" w:eastAsia="Palatino Linotype" w:hAnsi="Palatino Linotype" w:cs="Palatino Linotype"/>
          <w:b/>
          <w:sz w:val="24"/>
          <w:szCs w:val="24"/>
        </w:rPr>
        <w:t xml:space="preserve"> </w:t>
      </w:r>
      <w:r w:rsidRPr="00AE73B6">
        <w:rPr>
          <w:rFonts w:ascii="Palatino Linotype" w:eastAsia="Palatino Linotype" w:hAnsi="Palatino Linotype" w:cs="Palatino Linotype"/>
          <w:sz w:val="24"/>
          <w:szCs w:val="24"/>
        </w:rPr>
        <w:t>parte</w:t>
      </w:r>
      <w:r w:rsidRPr="00AE73B6">
        <w:rPr>
          <w:rFonts w:ascii="Palatino Linotype" w:eastAsia="Palatino Linotype" w:hAnsi="Palatino Linotype" w:cs="Palatino Linotype"/>
          <w:b/>
          <w:sz w:val="24"/>
          <w:szCs w:val="24"/>
        </w:rPr>
        <w:t xml:space="preserve"> RECURRENTE</w:t>
      </w:r>
      <w:r w:rsidRPr="00AE73B6">
        <w:rPr>
          <w:rFonts w:ascii="Palatino Linotype" w:eastAsia="Palatino Linotype" w:hAnsi="Palatino Linotype" w:cs="Palatino Linotype"/>
          <w:sz w:val="24"/>
          <w:szCs w:val="24"/>
        </w:rPr>
        <w:t xml:space="preserve"> ante la falta de impugnación eficaz. </w:t>
      </w:r>
    </w:p>
    <w:p w14:paraId="2AA6DF57" w14:textId="77777777" w:rsidR="008C0D13" w:rsidRPr="00AE73B6" w:rsidRDefault="008C0D13">
      <w:pPr>
        <w:tabs>
          <w:tab w:val="left" w:pos="2100"/>
        </w:tabs>
        <w:spacing w:after="0" w:line="360" w:lineRule="auto"/>
        <w:jc w:val="both"/>
        <w:rPr>
          <w:rFonts w:ascii="Palatino Linotype" w:eastAsia="Palatino Linotype" w:hAnsi="Palatino Linotype" w:cs="Palatino Linotype"/>
          <w:sz w:val="24"/>
          <w:szCs w:val="24"/>
        </w:rPr>
      </w:pPr>
    </w:p>
    <w:p w14:paraId="5ED2C3F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Sirve de sustento a lo anterior, por analogía, la tesis jurisprudencial número VI.3o.C. J/60, publicada en el Semanario Judicial de la Federación y su Gaceta bajo el número de registro 176,608 que a la letra dice:</w:t>
      </w:r>
    </w:p>
    <w:p w14:paraId="56B53093"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01560AE" w14:textId="77777777" w:rsidR="008C0D13" w:rsidRPr="00AE73B6" w:rsidRDefault="00EE3C25">
      <w:pPr>
        <w:shd w:val="clear" w:color="auto" w:fill="FFFFFF"/>
        <w:spacing w:after="120" w:line="276" w:lineRule="auto"/>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ACTOS CONSENTIDOS. SON LOS QUE NO SE IMPUGNAN MEDIANTE EL RECURSO IDÓNEO</w:t>
      </w:r>
      <w:r w:rsidRPr="00AE73B6">
        <w:rPr>
          <w:rFonts w:ascii="Palatino Linotype" w:eastAsia="Palatino Linotype" w:hAnsi="Palatino Linotype" w:cs="Palatino Linotype"/>
          <w:i/>
        </w:rPr>
        <w:t xml:space="preserve">. Debe reputarse como consentido el acto que no se impugnó por el medio establecido por la ley, </w:t>
      </w:r>
      <w:proofErr w:type="gramStart"/>
      <w:r w:rsidRPr="00AE73B6">
        <w:rPr>
          <w:rFonts w:ascii="Palatino Linotype" w:eastAsia="Palatino Linotype" w:hAnsi="Palatino Linotype" w:cs="Palatino Linotype"/>
          <w:i/>
        </w:rPr>
        <w:t>ya que</w:t>
      </w:r>
      <w:proofErr w:type="gramEnd"/>
      <w:r w:rsidRPr="00AE73B6">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2AAE8E" w14:textId="77777777" w:rsidR="008C0D13" w:rsidRPr="00AE73B6" w:rsidRDefault="008C0D13">
      <w:pPr>
        <w:shd w:val="clear" w:color="auto" w:fill="FFFFFF"/>
        <w:spacing w:before="120" w:after="120" w:line="276" w:lineRule="auto"/>
        <w:ind w:left="851" w:right="902"/>
        <w:jc w:val="both"/>
        <w:rPr>
          <w:rFonts w:ascii="Palatino Linotype" w:eastAsia="Palatino Linotype" w:hAnsi="Palatino Linotype" w:cs="Palatino Linotype"/>
          <w:i/>
        </w:rPr>
      </w:pPr>
    </w:p>
    <w:p w14:paraId="33775208" w14:textId="77777777" w:rsidR="008C0D13" w:rsidRPr="00AE73B6" w:rsidRDefault="00EE3C25">
      <w:pPr>
        <w:spacing w:before="120"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Lo anterior es así, debido a que, cuando la parte </w:t>
      </w:r>
      <w:r w:rsidRPr="00AE73B6">
        <w:rPr>
          <w:rFonts w:ascii="Palatino Linotype" w:eastAsia="Palatino Linotype" w:hAnsi="Palatino Linotype" w:cs="Palatino Linotype"/>
          <w:b/>
          <w:sz w:val="24"/>
          <w:szCs w:val="24"/>
        </w:rPr>
        <w:t xml:space="preserve">RECURRENTE </w:t>
      </w:r>
      <w:r w:rsidRPr="00AE73B6">
        <w:rPr>
          <w:rFonts w:ascii="Palatino Linotype" w:eastAsia="Palatino Linotype" w:hAnsi="Palatino Linotype" w:cs="Palatino Linotype"/>
          <w:sz w:val="24"/>
          <w:szCs w:val="24"/>
        </w:rPr>
        <w:t xml:space="preserve">impugnó la respuesta del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parte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xml:space="preserve"> está conforme con la información al no contravenir la misma.</w:t>
      </w:r>
    </w:p>
    <w:p w14:paraId="0392D939" w14:textId="77777777" w:rsidR="008C0D13" w:rsidRPr="00AE73B6" w:rsidRDefault="008C0D13">
      <w:pPr>
        <w:spacing w:after="0" w:line="360" w:lineRule="auto"/>
      </w:pPr>
    </w:p>
    <w:p w14:paraId="33A40ACB"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373ED23B" w14:textId="77777777" w:rsidR="008C0D13" w:rsidRPr="00AE73B6" w:rsidRDefault="008C0D13">
      <w:pPr>
        <w:spacing w:after="0" w:line="360" w:lineRule="auto"/>
        <w:ind w:right="49"/>
        <w:jc w:val="both"/>
        <w:rPr>
          <w:rFonts w:ascii="Palatino Linotype" w:eastAsia="Palatino Linotype" w:hAnsi="Palatino Linotype" w:cs="Palatino Linotype"/>
          <w:sz w:val="18"/>
          <w:szCs w:val="18"/>
        </w:rPr>
      </w:pPr>
    </w:p>
    <w:p w14:paraId="0013FC07" w14:textId="77777777" w:rsidR="008C0D13" w:rsidRPr="00AE73B6" w:rsidRDefault="00EE3C25">
      <w:pPr>
        <w:spacing w:after="0" w:line="240" w:lineRule="auto"/>
        <w:ind w:left="1080" w:right="918"/>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i/>
        </w:rPr>
        <w:t xml:space="preserve">“REVISIÓN EN AMPARO. LOS RESOLUTIVOS NO COMBATIDOS DEBEN DECLARARSE FIRMES. </w:t>
      </w:r>
      <w:r w:rsidRPr="00AE73B6">
        <w:rPr>
          <w:rFonts w:ascii="Palatino Linotype" w:eastAsia="Palatino Linotype" w:hAnsi="Palatino Linotype" w:cs="Palatino Linotype"/>
          <w:i/>
        </w:rPr>
        <w:t xml:space="preserve">Cuando algún resolutivo de la sentencia impugnada afecta a la </w:t>
      </w:r>
      <w:r w:rsidRPr="00AE73B6">
        <w:rPr>
          <w:rFonts w:ascii="Palatino Linotype" w:eastAsia="Palatino Linotype" w:hAnsi="Palatino Linotype" w:cs="Palatino Linotype"/>
          <w:b/>
          <w:i/>
        </w:rPr>
        <w:t>RECURRENTE</w:t>
      </w:r>
      <w:r w:rsidRPr="00AE73B6">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w:t>
      </w:r>
      <w:r w:rsidRPr="00AE73B6">
        <w:rPr>
          <w:rFonts w:ascii="Palatino Linotype" w:eastAsia="Palatino Linotype" w:hAnsi="Palatino Linotype" w:cs="Palatino Linotype"/>
          <w:i/>
        </w:rPr>
        <w:lastRenderedPageBreak/>
        <w:t xml:space="preserve">comprende a todos los resolutivos que afectan a la </w:t>
      </w:r>
      <w:r w:rsidRPr="00AE73B6">
        <w:rPr>
          <w:rFonts w:ascii="Palatino Linotype" w:eastAsia="Palatino Linotype" w:hAnsi="Palatino Linotype" w:cs="Palatino Linotype"/>
          <w:b/>
          <w:i/>
        </w:rPr>
        <w:t>RECURRENTE</w:t>
      </w:r>
      <w:r w:rsidRPr="00AE73B6">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19B83CD0" w14:textId="77777777" w:rsidR="008C0D13" w:rsidRPr="00AE73B6" w:rsidRDefault="008C0D13">
      <w:pPr>
        <w:tabs>
          <w:tab w:val="left" w:pos="2100"/>
        </w:tabs>
        <w:spacing w:line="360" w:lineRule="auto"/>
        <w:jc w:val="both"/>
        <w:rPr>
          <w:rFonts w:ascii="Palatino Linotype" w:eastAsia="Palatino Linotype" w:hAnsi="Palatino Linotype" w:cs="Palatino Linotype"/>
          <w:sz w:val="24"/>
          <w:szCs w:val="24"/>
        </w:rPr>
      </w:pPr>
    </w:p>
    <w:p w14:paraId="4C01A7BE" w14:textId="77777777" w:rsidR="008C0D13" w:rsidRPr="00AE73B6" w:rsidRDefault="00EE3C25">
      <w:pPr>
        <w:tabs>
          <w:tab w:val="left" w:pos="2100"/>
        </w:tabs>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768D03A6" w14:textId="77777777" w:rsidR="008C0D13" w:rsidRPr="00AE73B6" w:rsidRDefault="008C0D13">
      <w:pPr>
        <w:rPr>
          <w:rFonts w:ascii="Palatino Linotype" w:eastAsia="Palatino Linotype" w:hAnsi="Palatino Linotype" w:cs="Palatino Linotype"/>
          <w:b/>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48"/>
        <w:gridCol w:w="1748"/>
        <w:gridCol w:w="1748"/>
        <w:gridCol w:w="1746"/>
      </w:tblGrid>
      <w:tr w:rsidR="00AE73B6" w:rsidRPr="00AE73B6" w14:paraId="2E8F48FD" w14:textId="77777777">
        <w:tc>
          <w:tcPr>
            <w:tcW w:w="1838" w:type="dxa"/>
            <w:shd w:val="clear" w:color="auto" w:fill="BFBFBF"/>
          </w:tcPr>
          <w:p w14:paraId="1AD1E6F3"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Información requerida.</w:t>
            </w:r>
          </w:p>
        </w:tc>
        <w:tc>
          <w:tcPr>
            <w:tcW w:w="1748" w:type="dxa"/>
            <w:shd w:val="clear" w:color="auto" w:fill="BFBFBF"/>
          </w:tcPr>
          <w:p w14:paraId="0195C4A2"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Respuesta</w:t>
            </w:r>
          </w:p>
        </w:tc>
        <w:tc>
          <w:tcPr>
            <w:tcW w:w="1748" w:type="dxa"/>
            <w:shd w:val="clear" w:color="auto" w:fill="BFBFBF"/>
          </w:tcPr>
          <w:p w14:paraId="69A531D9"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Inconformidad</w:t>
            </w:r>
          </w:p>
        </w:tc>
        <w:tc>
          <w:tcPr>
            <w:tcW w:w="1748" w:type="dxa"/>
            <w:shd w:val="clear" w:color="auto" w:fill="BFBFBF"/>
          </w:tcPr>
          <w:p w14:paraId="0176381D" w14:textId="77777777" w:rsidR="008C0D13" w:rsidRPr="00AE73B6" w:rsidRDefault="00EE3C25">
            <w:pPr>
              <w:spacing w:before="240" w:after="240"/>
              <w:ind w:firstLine="114"/>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Informe justificado.</w:t>
            </w:r>
          </w:p>
        </w:tc>
        <w:tc>
          <w:tcPr>
            <w:tcW w:w="1746" w:type="dxa"/>
            <w:shd w:val="clear" w:color="auto" w:fill="BFBFBF"/>
          </w:tcPr>
          <w:p w14:paraId="2F536D27" w14:textId="77777777" w:rsidR="008C0D13" w:rsidRPr="00AE73B6" w:rsidRDefault="00EE3C25">
            <w:pPr>
              <w:spacing w:before="240" w:after="240"/>
              <w:ind w:firstLine="114"/>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 xml:space="preserve">Colma </w:t>
            </w:r>
          </w:p>
        </w:tc>
      </w:tr>
      <w:tr w:rsidR="00AE73B6" w:rsidRPr="00AE73B6" w14:paraId="2924D602" w14:textId="77777777">
        <w:tc>
          <w:tcPr>
            <w:tcW w:w="1838" w:type="dxa"/>
          </w:tcPr>
          <w:p w14:paraId="49EFCC64"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Protocolos de actuación en materia de género de la Policía de Género</w:t>
            </w:r>
          </w:p>
          <w:p w14:paraId="0F80FC8C" w14:textId="77777777" w:rsidR="008C0D13" w:rsidRPr="00AE73B6" w:rsidRDefault="008C0D13">
            <w:pPr>
              <w:spacing w:before="240" w:after="240"/>
              <w:jc w:val="both"/>
              <w:rPr>
                <w:rFonts w:ascii="Palatino Linotype" w:eastAsia="Palatino Linotype" w:hAnsi="Palatino Linotype" w:cs="Palatino Linotype"/>
                <w:sz w:val="18"/>
                <w:szCs w:val="18"/>
              </w:rPr>
            </w:pPr>
          </w:p>
          <w:p w14:paraId="62654B58" w14:textId="77777777" w:rsidR="008C0D13" w:rsidRPr="00AE73B6" w:rsidRDefault="008C0D13">
            <w:pPr>
              <w:spacing w:before="240" w:after="240"/>
              <w:jc w:val="both"/>
              <w:rPr>
                <w:rFonts w:ascii="Palatino Linotype" w:eastAsia="Palatino Linotype" w:hAnsi="Palatino Linotype" w:cs="Palatino Linotype"/>
                <w:sz w:val="18"/>
                <w:szCs w:val="18"/>
              </w:rPr>
            </w:pPr>
          </w:p>
          <w:p w14:paraId="6308498E"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 xml:space="preserve"> </w:t>
            </w:r>
          </w:p>
        </w:tc>
        <w:tc>
          <w:tcPr>
            <w:tcW w:w="1748" w:type="dxa"/>
            <w:vAlign w:val="center"/>
          </w:tcPr>
          <w:p w14:paraId="4FFABD94"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 xml:space="preserve">- El Comisario de Seguridad Pública y Tránsito proporciona la liga electrónica del Protocolo Nacional de Actuación Policial para la atención a la violencia de género contra las mujeres en el ámbito familiar. </w:t>
            </w:r>
          </w:p>
          <w:p w14:paraId="6147AD4E" w14:textId="77777777" w:rsidR="008C0D13" w:rsidRPr="00AE73B6" w:rsidRDefault="008C0D13">
            <w:pPr>
              <w:spacing w:before="240" w:after="240"/>
              <w:jc w:val="both"/>
              <w:rPr>
                <w:rFonts w:ascii="Palatino Linotype" w:eastAsia="Palatino Linotype" w:hAnsi="Palatino Linotype" w:cs="Palatino Linotype"/>
                <w:sz w:val="18"/>
                <w:szCs w:val="18"/>
              </w:rPr>
            </w:pPr>
          </w:p>
        </w:tc>
        <w:tc>
          <w:tcPr>
            <w:tcW w:w="1748" w:type="dxa"/>
            <w:vAlign w:val="center"/>
          </w:tcPr>
          <w:p w14:paraId="15D081AC"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t>Conocer si es el único con el que cuentan.</w:t>
            </w:r>
          </w:p>
        </w:tc>
        <w:tc>
          <w:tcPr>
            <w:tcW w:w="1748" w:type="dxa"/>
          </w:tcPr>
          <w:p w14:paraId="7B0B7261"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t>El Comisario de Seguridad Pública y Tránsito, de igual forma ratifica su respuesta, no obstante, precisa que el protocolo que envía es con el que se rige el actuar de la dependencia.</w:t>
            </w:r>
          </w:p>
        </w:tc>
        <w:tc>
          <w:tcPr>
            <w:tcW w:w="1746" w:type="dxa"/>
          </w:tcPr>
          <w:p w14:paraId="012FFDB6"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t>Sí, al mencionar que el protocolo que remite en su respuesta es con el que se rige el actuar de la Comisaria de Seguridad Pública.</w:t>
            </w:r>
          </w:p>
        </w:tc>
      </w:tr>
      <w:tr w:rsidR="008C0D13" w:rsidRPr="00AE73B6" w14:paraId="3553B248" w14:textId="77777777">
        <w:tc>
          <w:tcPr>
            <w:tcW w:w="1838" w:type="dxa"/>
          </w:tcPr>
          <w:p w14:paraId="0532C89F"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 xml:space="preserve">Protocolo de actuación del Instituto Municipal </w:t>
            </w:r>
            <w:r w:rsidRPr="00AE73B6">
              <w:rPr>
                <w:rFonts w:ascii="Palatino Linotype" w:eastAsia="Palatino Linotype" w:hAnsi="Palatino Linotype" w:cs="Palatino Linotype"/>
                <w:sz w:val="18"/>
                <w:szCs w:val="18"/>
              </w:rPr>
              <w:lastRenderedPageBreak/>
              <w:t>de la Mujer, en materia de género</w:t>
            </w:r>
          </w:p>
        </w:tc>
        <w:tc>
          <w:tcPr>
            <w:tcW w:w="1748" w:type="dxa"/>
            <w:vAlign w:val="center"/>
          </w:tcPr>
          <w:p w14:paraId="08473C17" w14:textId="77777777" w:rsidR="008C0D13" w:rsidRPr="00AE73B6" w:rsidRDefault="00EE3C25">
            <w:pPr>
              <w:spacing w:before="240" w:after="240"/>
              <w:jc w:val="both"/>
              <w:rPr>
                <w:rFonts w:ascii="Palatino Linotype" w:eastAsia="Palatino Linotype" w:hAnsi="Palatino Linotype" w:cs="Palatino Linotype"/>
                <w:sz w:val="18"/>
                <w:szCs w:val="18"/>
              </w:rPr>
            </w:pPr>
            <w:bookmarkStart w:id="4" w:name="_heading=h.2et92p0" w:colFirst="0" w:colLast="0"/>
            <w:bookmarkEnd w:id="4"/>
            <w:r w:rsidRPr="00AE73B6">
              <w:rPr>
                <w:rFonts w:ascii="Palatino Linotype" w:eastAsia="Palatino Linotype" w:hAnsi="Palatino Linotype" w:cs="Palatino Linotype"/>
                <w:sz w:val="18"/>
                <w:szCs w:val="18"/>
              </w:rPr>
              <w:lastRenderedPageBreak/>
              <w:t xml:space="preserve">El Titular de la Unidad de Atención a la Mujer, en donde menciona que los </w:t>
            </w:r>
            <w:r w:rsidRPr="00AE73B6">
              <w:rPr>
                <w:rFonts w:ascii="Palatino Linotype" w:eastAsia="Palatino Linotype" w:hAnsi="Palatino Linotype" w:cs="Palatino Linotype"/>
                <w:sz w:val="18"/>
                <w:szCs w:val="18"/>
              </w:rPr>
              <w:lastRenderedPageBreak/>
              <w:t>protocolos en actuación en atención en materia de género, se está trabajando en conjunto con las diversas áreas del Ayuntamiento, por lo que es información reservada, ya que es un procedimiento que se lleva con personas que son víctimas de violencia de género.</w:t>
            </w:r>
          </w:p>
        </w:tc>
        <w:tc>
          <w:tcPr>
            <w:tcW w:w="1748" w:type="dxa"/>
            <w:vAlign w:val="center"/>
          </w:tcPr>
          <w:p w14:paraId="2FD902A7"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lastRenderedPageBreak/>
              <w:t xml:space="preserve">Por la reserva de la información de los protocolos de actuación en </w:t>
            </w:r>
            <w:r w:rsidRPr="00AE73B6">
              <w:rPr>
                <w:rFonts w:ascii="Palatino Linotype" w:eastAsia="Palatino Linotype" w:hAnsi="Palatino Linotype" w:cs="Palatino Linotype"/>
                <w:sz w:val="20"/>
                <w:szCs w:val="20"/>
              </w:rPr>
              <w:lastRenderedPageBreak/>
              <w:t xml:space="preserve">materia de género del Instituto Municipal de la Mujer, además menciona que la Dirección de Seguridad Pública y Tránsito, comparte el Protocolo Nacional de Actuación Policial para la Atención a la Violencia de Género Contra las Mujeres en el Ámbito Familiar, por lo que hay una incongruencia entre la respuesta del Instituto Municipal de la Mujer y la de la Dirección de Seguridad Pública y Tránsito, donde por un lado consideran que los protocolos deben ser reservados y por otro lado, </w:t>
            </w:r>
            <w:r w:rsidRPr="00AE73B6">
              <w:rPr>
                <w:rFonts w:ascii="Palatino Linotype" w:eastAsia="Palatino Linotype" w:hAnsi="Palatino Linotype" w:cs="Palatino Linotype"/>
                <w:sz w:val="20"/>
                <w:szCs w:val="20"/>
              </w:rPr>
              <w:lastRenderedPageBreak/>
              <w:t xml:space="preserve">comparten un protocolo nacional. </w:t>
            </w:r>
          </w:p>
        </w:tc>
        <w:tc>
          <w:tcPr>
            <w:tcW w:w="1748" w:type="dxa"/>
          </w:tcPr>
          <w:p w14:paraId="33479D05"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lastRenderedPageBreak/>
              <w:t xml:space="preserve">La Titular del Instituto Municipal de la Mujer, ratifica su </w:t>
            </w:r>
            <w:r w:rsidRPr="00AE73B6">
              <w:rPr>
                <w:rFonts w:ascii="Palatino Linotype" w:eastAsia="Palatino Linotype" w:hAnsi="Palatino Linotype" w:cs="Palatino Linotype"/>
                <w:sz w:val="20"/>
                <w:szCs w:val="20"/>
              </w:rPr>
              <w:lastRenderedPageBreak/>
              <w:t xml:space="preserve">respuesta inicial, no obstante, refiere que puede consultar el Protocolo para Juzgar con perspectiva de género, adjuntando para tal efecto una liga electrónica. </w:t>
            </w:r>
          </w:p>
        </w:tc>
        <w:tc>
          <w:tcPr>
            <w:tcW w:w="1746" w:type="dxa"/>
          </w:tcPr>
          <w:p w14:paraId="5D5F8A91"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lastRenderedPageBreak/>
              <w:t>No</w:t>
            </w:r>
          </w:p>
        </w:tc>
      </w:tr>
    </w:tbl>
    <w:p w14:paraId="66EB4EF8" w14:textId="77777777" w:rsidR="008C0D13" w:rsidRPr="00AE73B6" w:rsidRDefault="008C0D13">
      <w:pPr>
        <w:spacing w:after="0" w:line="360" w:lineRule="auto"/>
        <w:jc w:val="both"/>
        <w:rPr>
          <w:rFonts w:ascii="Palatino Linotype" w:eastAsia="Palatino Linotype" w:hAnsi="Palatino Linotype" w:cs="Palatino Linotype"/>
          <w:strike/>
          <w:sz w:val="24"/>
          <w:szCs w:val="24"/>
        </w:rPr>
      </w:pPr>
    </w:p>
    <w:p w14:paraId="6C415FA0" w14:textId="77777777" w:rsidR="008C0D13" w:rsidRPr="00AE73B6" w:rsidRDefault="00EE3C25">
      <w:pPr>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Por lo que corresponde a los protocolos de actuación en materia de género del Instituto Municipal de la Mujer, como ya se refirió con anterioridad, reserva dicha información, pero mediante informe justificado menciona que como se encuentra reservada dicha información podrá consultar el Protocolo para Juzgar con perspectiva de género, adjuntando para tal efecto la siguiente liga electrónica, en la cual se observa lo siguiente:</w:t>
      </w:r>
    </w:p>
    <w:p w14:paraId="22FE6DAB" w14:textId="77777777" w:rsidR="008C0D13" w:rsidRPr="00AE73B6" w:rsidRDefault="00EE3C25">
      <w:pPr>
        <w:spacing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1/Protocolo%20para%20 jugar%20con%20 perspectiva%20de%20 g%C3%A9nero%20%28191120%29.pdf </w:t>
      </w:r>
    </w:p>
    <w:p w14:paraId="15C20C5F" w14:textId="77777777" w:rsidR="008C0D13" w:rsidRPr="00AE73B6" w:rsidRDefault="00EE3C25">
      <w:pPr>
        <w:spacing w:line="360" w:lineRule="auto"/>
        <w:jc w:val="both"/>
        <w:rPr>
          <w:rFonts w:ascii="Palatino Linotype" w:eastAsia="Palatino Linotype" w:hAnsi="Palatino Linotype" w:cs="Palatino Linotype"/>
          <w:strike/>
          <w:sz w:val="24"/>
          <w:szCs w:val="24"/>
        </w:rPr>
      </w:pPr>
      <w:r w:rsidRPr="00AE73B6">
        <w:rPr>
          <w:strike/>
          <w:noProof/>
        </w:rPr>
        <w:lastRenderedPageBreak/>
        <w:drawing>
          <wp:inline distT="0" distB="0" distL="0" distR="0" wp14:anchorId="31906721" wp14:editId="0BD13615">
            <wp:extent cx="5610786" cy="5154625"/>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0523" t="22028" r="47725" b="9775"/>
                    <a:stretch>
                      <a:fillRect/>
                    </a:stretch>
                  </pic:blipFill>
                  <pic:spPr>
                    <a:xfrm>
                      <a:off x="0" y="0"/>
                      <a:ext cx="5610786" cy="5154625"/>
                    </a:xfrm>
                    <a:prstGeom prst="rect">
                      <a:avLst/>
                    </a:prstGeom>
                    <a:ln/>
                  </pic:spPr>
                </pic:pic>
              </a:graphicData>
            </a:graphic>
          </wp:inline>
        </w:drawing>
      </w:r>
    </w:p>
    <w:p w14:paraId="5061446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De acuerdo a lo anterior, se observan diversos vínculos electrónicos que dirigen al Protocolo para Juzgar con Perspectiva de Género. </w:t>
      </w:r>
    </w:p>
    <w:p w14:paraId="3E8AA7A5"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84E388F" w14:textId="77777777" w:rsidR="008C0D13" w:rsidRPr="00AE73B6" w:rsidRDefault="00EE3C25">
      <w:pPr>
        <w:spacing w:after="0" w:line="360" w:lineRule="auto"/>
        <w:ind w:right="14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tanto, el análisis en el presente asunto consiste en determinar si la restricción realizada por el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 xml:space="preserve">en el que menciona que se clasifica como reservada el Protocolo de actuación en materia de género del Instituto Municipal </w:t>
      </w:r>
      <w:r w:rsidRPr="00AE73B6">
        <w:rPr>
          <w:rFonts w:ascii="Palatino Linotype" w:eastAsia="Palatino Linotype" w:hAnsi="Palatino Linotype" w:cs="Palatino Linotype"/>
          <w:sz w:val="24"/>
          <w:szCs w:val="24"/>
        </w:rPr>
        <w:lastRenderedPageBreak/>
        <w:t xml:space="preserve">de la Mujer, en materia de género, cumple con los elementos formales y materiales establecidos en la Ley en la materia. </w:t>
      </w:r>
    </w:p>
    <w:p w14:paraId="1BDCBB11" w14:textId="77777777" w:rsidR="008C0D13" w:rsidRPr="00AE73B6" w:rsidRDefault="008C0D13">
      <w:pPr>
        <w:spacing w:after="0" w:line="360" w:lineRule="auto"/>
        <w:ind w:right="141"/>
        <w:jc w:val="both"/>
        <w:rPr>
          <w:rFonts w:ascii="Palatino Linotype" w:eastAsia="Palatino Linotype" w:hAnsi="Palatino Linotype" w:cs="Palatino Linotype"/>
          <w:sz w:val="24"/>
          <w:szCs w:val="24"/>
        </w:rPr>
      </w:pPr>
    </w:p>
    <w:p w14:paraId="7E012AFA" w14:textId="77777777" w:rsidR="008C0D13" w:rsidRPr="00AE73B6" w:rsidRDefault="00EE3C25">
      <w:pPr>
        <w:spacing w:after="0" w:line="360" w:lineRule="auto"/>
        <w:ind w:right="14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este sentido, si bien es cierto el derecho de acceso a la información pública se satisface en aquellos casos en que se entregue el soporte documental en que conste la información requerida, también lo es que este derecho puede ser restringido cuando se trate de información que por su naturaleza deba clasificarse como reservada; y en este supuesto los artículos 128 segundo párrafo y 103 segundo párrafo de las leyes estatal y general respectivamente, señalan que se deben expresar las razones, motivos o circunstancias especiales que llevan al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 xml:space="preserve">a concluir que el caso corresponde con la norma; asimismo, estas disposiciones precisan que, además de señalar las razones, motivos o circunstancias, se deberá aplicar la prueba de daño, en la que se precisen las razones objetivas por la que la apertura de la información genera una afectación. </w:t>
      </w:r>
    </w:p>
    <w:p w14:paraId="0DDAB4AE" w14:textId="77777777" w:rsidR="008C0D13" w:rsidRPr="00AE73B6" w:rsidRDefault="008C0D13">
      <w:pPr>
        <w:spacing w:after="0" w:line="360" w:lineRule="auto"/>
        <w:jc w:val="both"/>
        <w:rPr>
          <w:rFonts w:ascii="Palatino Linotype" w:eastAsia="Palatino Linotype" w:hAnsi="Palatino Linotype" w:cs="Palatino Linotype"/>
          <w:strike/>
          <w:sz w:val="24"/>
          <w:szCs w:val="24"/>
        </w:rPr>
      </w:pPr>
    </w:p>
    <w:p w14:paraId="1A52346E" w14:textId="77777777" w:rsidR="008C0D13" w:rsidRPr="00AE73B6" w:rsidRDefault="00EE3C25">
      <w:pPr>
        <w:spacing w:after="0" w:line="360" w:lineRule="auto"/>
        <w:jc w:val="both"/>
        <w:rPr>
          <w:rFonts w:ascii="Palatino Linotype" w:eastAsia="Palatino Linotype" w:hAnsi="Palatino Linotype" w:cs="Palatino Linotype"/>
          <w:sz w:val="24"/>
          <w:szCs w:val="24"/>
        </w:rPr>
      </w:pPr>
      <w:bookmarkStart w:id="5" w:name="_heading=h.tyjcwt" w:colFirst="0" w:colLast="0"/>
      <w:bookmarkEnd w:id="5"/>
      <w:r w:rsidRPr="00AE73B6">
        <w:rPr>
          <w:rFonts w:ascii="Palatino Linotype" w:eastAsia="Palatino Linotype" w:hAnsi="Palatino Linotype" w:cs="Palatino Linotype"/>
          <w:sz w:val="24"/>
          <w:szCs w:val="24"/>
        </w:rPr>
        <w:t xml:space="preserve">En el asunto que ahora se analiza, el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señaló que, proporcionar el Protocolo de Actuación en Materia de Genero del Instituto Municipal de la Mujer, ya que es un procedimiento que se lleva con personas que son víctimas de violencia de género.</w:t>
      </w:r>
    </w:p>
    <w:p w14:paraId="5EB222CC" w14:textId="77777777" w:rsidR="008C0D13" w:rsidRPr="00AE73B6" w:rsidRDefault="008C0D13">
      <w:pPr>
        <w:spacing w:after="0" w:line="360" w:lineRule="auto"/>
        <w:jc w:val="both"/>
        <w:rPr>
          <w:rFonts w:ascii="Palatino Linotype" w:eastAsia="Palatino Linotype" w:hAnsi="Palatino Linotype" w:cs="Palatino Linotype"/>
          <w:strike/>
          <w:sz w:val="24"/>
          <w:szCs w:val="24"/>
        </w:rPr>
      </w:pPr>
    </w:p>
    <w:p w14:paraId="72EDC6D8" w14:textId="77777777" w:rsidR="008C0D13" w:rsidRPr="00AE73B6" w:rsidRDefault="00EE3C25">
      <w:pPr>
        <w:spacing w:after="0" w:line="360" w:lineRule="auto"/>
        <w:jc w:val="both"/>
        <w:rPr>
          <w:rFonts w:ascii="Palatino Linotype" w:eastAsia="Palatino Linotype" w:hAnsi="Palatino Linotype" w:cs="Palatino Linotype"/>
          <w:b/>
          <w:sz w:val="24"/>
          <w:szCs w:val="24"/>
          <w:u w:val="single"/>
        </w:rPr>
      </w:pPr>
      <w:r w:rsidRPr="00AE73B6">
        <w:rPr>
          <w:rFonts w:ascii="Palatino Linotype" w:eastAsia="Palatino Linotype" w:hAnsi="Palatino Linotype" w:cs="Palatino Linotype"/>
          <w:sz w:val="24"/>
          <w:szCs w:val="24"/>
        </w:rPr>
        <w:t xml:space="preserve">En este sentido, el Pleno de este Instituto, determina que </w:t>
      </w:r>
      <w:r w:rsidRPr="00AE73B6">
        <w:rPr>
          <w:rFonts w:ascii="Palatino Linotype" w:eastAsia="Palatino Linotype" w:hAnsi="Palatino Linotype" w:cs="Palatino Linotype"/>
          <w:b/>
          <w:sz w:val="24"/>
          <w:szCs w:val="24"/>
          <w:u w:val="single"/>
        </w:rPr>
        <w:t xml:space="preserve">no existe una disposición jurídica </w:t>
      </w:r>
      <w:proofErr w:type="gramStart"/>
      <w:r w:rsidRPr="00AE73B6">
        <w:rPr>
          <w:rFonts w:ascii="Palatino Linotype" w:eastAsia="Palatino Linotype" w:hAnsi="Palatino Linotype" w:cs="Palatino Linotype"/>
          <w:b/>
          <w:sz w:val="24"/>
          <w:szCs w:val="24"/>
          <w:u w:val="single"/>
        </w:rPr>
        <w:t>que</w:t>
      </w:r>
      <w:proofErr w:type="gramEnd"/>
      <w:r w:rsidRPr="00AE73B6">
        <w:rPr>
          <w:rFonts w:ascii="Palatino Linotype" w:eastAsia="Palatino Linotype" w:hAnsi="Palatino Linotype" w:cs="Palatino Linotype"/>
          <w:b/>
          <w:sz w:val="24"/>
          <w:szCs w:val="24"/>
          <w:u w:val="single"/>
        </w:rPr>
        <w:t xml:space="preserve"> de forma expresa, establezca que el Protocolo de Actuación en </w:t>
      </w:r>
      <w:r w:rsidRPr="00AE73B6">
        <w:rPr>
          <w:rFonts w:ascii="Palatino Linotype" w:eastAsia="Palatino Linotype" w:hAnsi="Palatino Linotype" w:cs="Palatino Linotype"/>
          <w:b/>
          <w:sz w:val="24"/>
          <w:szCs w:val="24"/>
          <w:u w:val="single"/>
        </w:rPr>
        <w:lastRenderedPageBreak/>
        <w:t xml:space="preserve">Materia de Genero del Instituto Municipal de la Mujer deba clasificarse como información reservada. </w:t>
      </w:r>
    </w:p>
    <w:p w14:paraId="26F24B66" w14:textId="77777777" w:rsidR="008C0D13" w:rsidRPr="00AE73B6" w:rsidRDefault="00EE3C25">
      <w:pPr>
        <w:spacing w:after="36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otro lado, además de fundar y motivar, se debe identificar con claridad los datos contenidos en las documentales por los cuales procede la clasificación de la información y es el presente punto de la solicitud, </w:t>
      </w:r>
      <w:r w:rsidRPr="00AE73B6">
        <w:rPr>
          <w:rFonts w:ascii="Palatino Linotype" w:eastAsia="Palatino Linotype" w:hAnsi="Palatino Linotype" w:cs="Palatino Linotype"/>
          <w:b/>
          <w:sz w:val="24"/>
          <w:szCs w:val="24"/>
        </w:rPr>
        <w:t>EL</w:t>
      </w: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 xml:space="preserve">clasificó la información solicitada como reservada, sin precisar las características de los datos contenidos en el documento, que permitieran motivar la restricción al derecho de acceso a la información pública del particular. </w:t>
      </w:r>
    </w:p>
    <w:p w14:paraId="38435681" w14:textId="77777777" w:rsidR="008C0D13" w:rsidRPr="00AE73B6" w:rsidRDefault="00EE3C25">
      <w:pPr>
        <w:spacing w:before="360"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tanto, la respuesta que otorgo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no incluye los elementos objetivos que permiten determinar que la difusión de la información solicitada causa un daño presente, probable y específico a los intereses jurídicos tutelados en los supuestos de excepción previstos en la Ley (elementos de la </w:t>
      </w:r>
      <w:r w:rsidRPr="00AE73B6">
        <w:rPr>
          <w:rFonts w:ascii="Palatino Linotype" w:eastAsia="Palatino Linotype" w:hAnsi="Palatino Linotype" w:cs="Palatino Linotype"/>
          <w:i/>
          <w:sz w:val="24"/>
          <w:szCs w:val="24"/>
        </w:rPr>
        <w:t>prueba de daño</w:t>
      </w:r>
      <w:r w:rsidRPr="00AE73B6">
        <w:rPr>
          <w:rFonts w:ascii="Palatino Linotype" w:eastAsia="Palatino Linotype" w:hAnsi="Palatino Linotype" w:cs="Palatino Linotype"/>
          <w:sz w:val="24"/>
          <w:szCs w:val="24"/>
        </w:rPr>
        <w:t xml:space="preserve">). </w:t>
      </w:r>
    </w:p>
    <w:p w14:paraId="0A5A7386" w14:textId="77777777" w:rsidR="008C0D13" w:rsidRPr="00AE73B6" w:rsidRDefault="008C0D13">
      <w:pPr>
        <w:spacing w:after="0" w:line="360" w:lineRule="auto"/>
        <w:jc w:val="both"/>
        <w:rPr>
          <w:rFonts w:ascii="Palatino Linotype" w:eastAsia="Palatino Linotype" w:hAnsi="Palatino Linotype" w:cs="Palatino Linotype"/>
          <w:sz w:val="28"/>
          <w:szCs w:val="28"/>
        </w:rPr>
      </w:pPr>
    </w:p>
    <w:p w14:paraId="4B0E9B4B" w14:textId="77777777" w:rsidR="008C0D13" w:rsidRPr="00AE73B6" w:rsidRDefault="00EE3C25">
      <w:pPr>
        <w:spacing w:after="0" w:line="360" w:lineRule="auto"/>
        <w:ind w:right="-93"/>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el entendido que dichos extremos legales tienen el siguiente alcance: por </w:t>
      </w:r>
      <w:r w:rsidRPr="00AE73B6">
        <w:rPr>
          <w:rFonts w:ascii="Palatino Linotype" w:eastAsia="Palatino Linotype" w:hAnsi="Palatino Linotype" w:cs="Palatino Linotype"/>
          <w:b/>
          <w:sz w:val="24"/>
          <w:szCs w:val="24"/>
        </w:rPr>
        <w:t>daño presente</w:t>
      </w:r>
      <w:r w:rsidRPr="00AE73B6">
        <w:rPr>
          <w:rFonts w:ascii="Palatino Linotype" w:eastAsia="Palatino Linotype" w:hAnsi="Palatino Linotype" w:cs="Palatino Linotype"/>
          <w:sz w:val="24"/>
          <w:szCs w:val="24"/>
        </w:rPr>
        <w:t xml:space="preserve">: se entiende que de publicarse la información, a la fecha en que se realiza el análisis correspondiente, se generará la afectación respectiva a cualquiera de los valores o bienes jurídicos tutelados en los casos de excepción previstos en el artículo 20 de la Ley de Transparencia y Acceso a la Información Pública del Estado de México y Municipios; por </w:t>
      </w:r>
      <w:r w:rsidRPr="00AE73B6">
        <w:rPr>
          <w:rFonts w:ascii="Palatino Linotype" w:eastAsia="Palatino Linotype" w:hAnsi="Palatino Linotype" w:cs="Palatino Linotype"/>
          <w:b/>
          <w:sz w:val="24"/>
          <w:szCs w:val="24"/>
        </w:rPr>
        <w:t>daño probable</w:t>
      </w:r>
      <w:r w:rsidRPr="00AE73B6">
        <w:rPr>
          <w:rFonts w:ascii="Palatino Linotype" w:eastAsia="Palatino Linotype" w:hAnsi="Palatino Linotype" w:cs="Palatino Linotype"/>
          <w:sz w:val="24"/>
          <w:szCs w:val="24"/>
        </w:rPr>
        <w:t xml:space="preserve">: obedece que la difusión de la información contenida en la misma podría causar un perjuicio mayor al interés público de conocer la información; y, por </w:t>
      </w:r>
      <w:r w:rsidRPr="00AE73B6">
        <w:rPr>
          <w:rFonts w:ascii="Palatino Linotype" w:eastAsia="Palatino Linotype" w:hAnsi="Palatino Linotype" w:cs="Palatino Linotype"/>
          <w:b/>
          <w:sz w:val="24"/>
          <w:szCs w:val="24"/>
        </w:rPr>
        <w:t>daño específico:</w:t>
      </w:r>
      <w:r w:rsidRPr="00AE73B6">
        <w:rPr>
          <w:rFonts w:ascii="Palatino Linotype" w:eastAsia="Palatino Linotype" w:hAnsi="Palatino Linotype" w:cs="Palatino Linotype"/>
          <w:sz w:val="24"/>
          <w:szCs w:val="24"/>
        </w:rPr>
        <w:t xml:space="preserve"> se refiere a que inmediatamente después de </w:t>
      </w:r>
      <w:r w:rsidRPr="00AE73B6">
        <w:rPr>
          <w:rFonts w:ascii="Palatino Linotype" w:eastAsia="Palatino Linotype" w:hAnsi="Palatino Linotype" w:cs="Palatino Linotype"/>
          <w:sz w:val="24"/>
          <w:szCs w:val="24"/>
        </w:rPr>
        <w:lastRenderedPageBreak/>
        <w:t>la publicación de la información es inminente la materialización o afectación a los intereses jurídicos tutelados en los supuestos de excepción.</w:t>
      </w:r>
    </w:p>
    <w:p w14:paraId="0A686E42" w14:textId="77777777" w:rsidR="008C0D13" w:rsidRPr="00AE73B6" w:rsidRDefault="00EE3C25">
      <w:pPr>
        <w:spacing w:after="0" w:line="360" w:lineRule="auto"/>
        <w:ind w:right="-93"/>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Por lo tanto, es necesario precisar que en caso de publicarse la información solicitada, no puede causarse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de darse a conocer la información se causaría el daño (tiempo de reserva).</w:t>
      </w:r>
    </w:p>
    <w:p w14:paraId="635A7D91" w14:textId="77777777" w:rsidR="008C0D13" w:rsidRPr="00AE73B6" w:rsidRDefault="008C0D13">
      <w:pPr>
        <w:spacing w:after="0" w:line="360" w:lineRule="auto"/>
        <w:ind w:right="-93"/>
        <w:jc w:val="both"/>
        <w:rPr>
          <w:rFonts w:ascii="Palatino Linotype" w:eastAsia="Palatino Linotype" w:hAnsi="Palatino Linotype" w:cs="Palatino Linotype"/>
          <w:sz w:val="24"/>
          <w:szCs w:val="24"/>
        </w:rPr>
      </w:pPr>
    </w:p>
    <w:p w14:paraId="2190083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Bajo ese contexto, es claro que la respuesta presentada por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no se encuentra fundamentación, que señale expresamente la clasificación de los protocolos de actuación en materia de género, aunado a que con la motivación no se precisan los elementos, características o datos que pudieran obrar en el documento solicitado y que por tal circunstancia, el daño que causaría su divulgación sería mayor al interés público de conocer que las actuaciones de los servidores públicos en materia de género, se realizaron de acuerdo a lo establecido en el documento requerido por el particular. </w:t>
      </w:r>
    </w:p>
    <w:p w14:paraId="2D989022" w14:textId="77777777" w:rsidR="008C0D13" w:rsidRPr="00AE73B6" w:rsidRDefault="008C0D13">
      <w:pPr>
        <w:spacing w:after="0" w:line="360" w:lineRule="auto"/>
        <w:jc w:val="both"/>
        <w:rPr>
          <w:rFonts w:ascii="Palatino Linotype" w:eastAsia="Palatino Linotype" w:hAnsi="Palatino Linotype" w:cs="Palatino Linotype"/>
          <w:strike/>
          <w:sz w:val="28"/>
          <w:szCs w:val="28"/>
        </w:rPr>
      </w:pPr>
    </w:p>
    <w:p w14:paraId="50DE33E1"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Ahora bien, es importante señalar que un protocolo de investigación describe los objetivos, diseño, metodología y consideraciones tomadas en cuenta para la implementación y organización de una investigación; asimismo incluye el diseño de los procedimientos a ser utilizados para la observación, análisis e interpretación de los resultados. Además de las condiciones básicas para llevar a cabo la investigación </w:t>
      </w:r>
      <w:r w:rsidRPr="00AE73B6">
        <w:rPr>
          <w:rFonts w:ascii="Palatino Linotype" w:eastAsia="Palatino Linotype" w:hAnsi="Palatino Linotype" w:cs="Palatino Linotype"/>
          <w:sz w:val="24"/>
          <w:szCs w:val="24"/>
        </w:rPr>
        <w:lastRenderedPageBreak/>
        <w:t>descrita, un protocolo proporciona los antecedentes y motivos por los cuales tal investigación está siendo llevada a cabo y define los parámetros bajo los cuales se medirán sus resultados. Los protocolos de investigación suelen ser utilizados en el campo de las ciencias naturales, tales como la física, química, biología o la medicina, aunque también pueden ser utilizados en otros ámbitos experimentales y en las ciencias sociales.</w:t>
      </w:r>
    </w:p>
    <w:p w14:paraId="77791C2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C3AB13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Asimismo, lo concreto es que, un protocolo es un reglamento o una serie de instrucciones que se fijan por tradición o por convenio; por lo </w:t>
      </w:r>
      <w:proofErr w:type="gramStart"/>
      <w:r w:rsidRPr="00AE73B6">
        <w:rPr>
          <w:rFonts w:ascii="Palatino Linotype" w:eastAsia="Palatino Linotype" w:hAnsi="Palatino Linotype" w:cs="Palatino Linotype"/>
          <w:sz w:val="24"/>
          <w:szCs w:val="24"/>
        </w:rPr>
        <w:t>que</w:t>
      </w:r>
      <w:proofErr w:type="gramEnd"/>
      <w:r w:rsidRPr="00AE73B6">
        <w:rPr>
          <w:rFonts w:ascii="Palatino Linotype" w:eastAsia="Palatino Linotype" w:hAnsi="Palatino Linotype" w:cs="Palatino Linotype"/>
          <w:sz w:val="24"/>
          <w:szCs w:val="24"/>
        </w:rPr>
        <w:t xml:space="preserve"> partiendo de este significado, un protocolo puede ser un documento o una normativa que establece como se debe actuar en ciertos procedimientos. De este modo, recopila conductas, acciones y técnicas que se consideran adecuadas ante ciertas situaciones. </w:t>
      </w:r>
    </w:p>
    <w:p w14:paraId="72ADF7F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70F200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 términos generales, los protocolos contienen una serie de normas o reglas de conducta estandarizadas, de carácter obligatorio, a las que los destinatarios de tales disposiciones deben sujetar su actuación.</w:t>
      </w:r>
    </w:p>
    <w:p w14:paraId="3A4D00F7"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72ADBB2" w14:textId="77777777" w:rsidR="008C0D13" w:rsidRPr="00AE73B6" w:rsidRDefault="00EE3C25">
      <w:pPr>
        <w:spacing w:after="0" w:line="360" w:lineRule="auto"/>
        <w:jc w:val="both"/>
        <w:rPr>
          <w:rFonts w:ascii="Palatino Linotype" w:eastAsia="Palatino Linotype" w:hAnsi="Palatino Linotype" w:cs="Palatino Linotype"/>
          <w:sz w:val="28"/>
          <w:szCs w:val="28"/>
        </w:rPr>
      </w:pPr>
      <w:r w:rsidRPr="00AE73B6">
        <w:rPr>
          <w:rFonts w:ascii="Palatino Linotype" w:eastAsia="Palatino Linotype" w:hAnsi="Palatino Linotype" w:cs="Palatino Linotype"/>
          <w:sz w:val="24"/>
          <w:szCs w:val="24"/>
        </w:rPr>
        <w:t xml:space="preserve">Particularmente, los protocolos establecen criterios, mecanismos, procedimientos, estrategias o buenas prácticas que se deben realizar en forma estandarizada por parte de los servidores públicos del Instituto Municipal de la Mujer encargados de las funciones en materia de género, en el ejercicio de las atribuciones que el orden jurídico les asigna de manera expresa, atendiendo al principio de legalidad que rige la materia. </w:t>
      </w:r>
    </w:p>
    <w:p w14:paraId="023B1EF3" w14:textId="77777777" w:rsidR="008C0D13" w:rsidRPr="00AE73B6" w:rsidRDefault="008C0D13">
      <w:pPr>
        <w:spacing w:line="360" w:lineRule="auto"/>
        <w:jc w:val="both"/>
        <w:rPr>
          <w:rFonts w:ascii="Palatino Linotype" w:eastAsia="Palatino Linotype" w:hAnsi="Palatino Linotype" w:cs="Palatino Linotype"/>
          <w:sz w:val="24"/>
          <w:szCs w:val="24"/>
        </w:rPr>
      </w:pPr>
    </w:p>
    <w:p w14:paraId="311EF73E" w14:textId="77777777" w:rsidR="008C0D13" w:rsidRPr="00AE73B6" w:rsidRDefault="00EE3C25">
      <w:pPr>
        <w:pBdr>
          <w:top w:val="nil"/>
          <w:left w:val="nil"/>
          <w:bottom w:val="nil"/>
          <w:right w:val="nil"/>
          <w:between w:val="nil"/>
        </w:pBdr>
        <w:spacing w:before="360" w:after="360" w:line="360" w:lineRule="auto"/>
        <w:jc w:val="both"/>
        <w:rPr>
          <w:rFonts w:ascii="Palatino Linotype" w:eastAsia="Palatino Linotype" w:hAnsi="Palatino Linotype" w:cs="Palatino Linotype"/>
          <w:i/>
          <w:sz w:val="24"/>
          <w:szCs w:val="24"/>
        </w:rPr>
      </w:pPr>
      <w:bookmarkStart w:id="6" w:name="_heading=h.3dy6vkm" w:colFirst="0" w:colLast="0"/>
      <w:bookmarkEnd w:id="6"/>
      <w:r w:rsidRPr="00AE73B6">
        <w:rPr>
          <w:rFonts w:ascii="Palatino Linotype" w:eastAsia="Palatino Linotype" w:hAnsi="Palatino Linotype" w:cs="Palatino Linotype"/>
          <w:sz w:val="24"/>
          <w:szCs w:val="24"/>
        </w:rPr>
        <w:t xml:space="preserve">Correlativo a lo anterior, es de señalar que </w:t>
      </w:r>
      <w:r w:rsidRPr="00AE73B6">
        <w:rPr>
          <w:rFonts w:ascii="Palatino Linotype" w:eastAsia="Palatino Linotype" w:hAnsi="Palatino Linotype" w:cs="Palatino Linotype"/>
          <w:b/>
          <w:sz w:val="24"/>
          <w:szCs w:val="24"/>
        </w:rPr>
        <w:t xml:space="preserve">EL SUJETO OBLIGADO </w:t>
      </w:r>
      <w:r w:rsidRPr="00AE73B6">
        <w:rPr>
          <w:rFonts w:ascii="Palatino Linotype" w:eastAsia="Palatino Linotype" w:hAnsi="Palatino Linotype" w:cs="Palatino Linotype"/>
          <w:sz w:val="24"/>
          <w:szCs w:val="24"/>
        </w:rPr>
        <w:t xml:space="preserve">en su respuesta refiere que: </w:t>
      </w:r>
      <w:r w:rsidRPr="00AE73B6">
        <w:rPr>
          <w:rFonts w:ascii="Palatino Linotype" w:eastAsia="Palatino Linotype" w:hAnsi="Palatino Linotype" w:cs="Palatino Linotype"/>
          <w:i/>
          <w:sz w:val="24"/>
          <w:szCs w:val="24"/>
        </w:rPr>
        <w:t>“…es un procedimiento que se lleva con personas que son víctimas de violencia de género.”</w:t>
      </w:r>
      <w:r w:rsidRPr="00AE73B6">
        <w:rPr>
          <w:rFonts w:ascii="Palatino Linotype" w:eastAsia="Palatino Linotype" w:hAnsi="Palatino Linotype" w:cs="Palatino Linotype"/>
          <w:sz w:val="24"/>
          <w:szCs w:val="24"/>
        </w:rPr>
        <w:t>.</w:t>
      </w:r>
    </w:p>
    <w:p w14:paraId="0BFFCA63" w14:textId="77777777" w:rsidR="008C0D13" w:rsidRPr="00AE73B6" w:rsidRDefault="00EE3C25">
      <w:pPr>
        <w:spacing w:before="360"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consiguiente, se determina que los protocolos permiten homologar la actuación del personal del Instituto Municipal de la Mujer para alcanzar la efectividad en materia de género, por lo que, en atención a las consideraciones señaladas el Pleno de este Instituto estima que el interés público de conocer el Protocolo de Actuación en Materia de Genero del Instituto Municipal de la Mujer radica en permitir a la ciudadanía verificar que la actuación con personas que son víctimas de violencia de género, los servidores públicos participantes observaron los procedimientos, estrategias y buenas prácticas, establecidas en el multicitado Protocolo. </w:t>
      </w:r>
    </w:p>
    <w:p w14:paraId="6F03FFA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7743CC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este entendido, derivado de los preceptos normativos citados y las consideraciones señaladas, se concluye que al no observase la lógica adoptada por </w:t>
      </w:r>
      <w:r w:rsidRPr="00AE73B6">
        <w:rPr>
          <w:rFonts w:ascii="Palatino Linotype" w:eastAsia="Palatino Linotype" w:hAnsi="Palatino Linotype" w:cs="Palatino Linotype"/>
          <w:b/>
          <w:sz w:val="24"/>
          <w:szCs w:val="24"/>
        </w:rPr>
        <w:t>EL</w:t>
      </w: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rPr>
        <w:t xml:space="preserve">SUJETO OBLIGADO </w:t>
      </w:r>
      <w:r w:rsidRPr="00AE73B6">
        <w:rPr>
          <w:rFonts w:ascii="Palatino Linotype" w:eastAsia="Palatino Linotype" w:hAnsi="Palatino Linotype" w:cs="Palatino Linotype"/>
          <w:sz w:val="24"/>
          <w:szCs w:val="24"/>
        </w:rPr>
        <w:t xml:space="preserve">al clasificar el protocolo, sin que se precise la naturaleza de la información que se pretende clasificar, constituye una afectación al derecho de acceso a la información pública del particular. </w:t>
      </w:r>
    </w:p>
    <w:p w14:paraId="114D841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5D0B38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consecuencia, este Órgano Garante determina que las razones o motivos de inconformidad vertidos por </w:t>
      </w:r>
      <w:r w:rsidRPr="00AE73B6">
        <w:rPr>
          <w:rFonts w:ascii="Palatino Linotype" w:eastAsia="Palatino Linotype" w:hAnsi="Palatino Linotype" w:cs="Palatino Linotype"/>
          <w:b/>
          <w:sz w:val="24"/>
          <w:szCs w:val="24"/>
        </w:rPr>
        <w:t>EL RECURRENTE</w:t>
      </w:r>
      <w:r w:rsidRPr="00AE73B6">
        <w:rPr>
          <w:rFonts w:ascii="Palatino Linotype" w:eastAsia="Palatino Linotype" w:hAnsi="Palatino Linotype" w:cs="Palatino Linotype"/>
          <w:sz w:val="24"/>
          <w:szCs w:val="24"/>
        </w:rPr>
        <w:t xml:space="preserve"> referente al Protocolo de Actuación en Materia de Genero, resultan fundadas, motivo por el que se ordena que entregue, </w:t>
      </w:r>
      <w:r w:rsidRPr="00AE73B6">
        <w:rPr>
          <w:rFonts w:ascii="Palatino Linotype" w:eastAsia="Palatino Linotype" w:hAnsi="Palatino Linotype" w:cs="Palatino Linotype"/>
          <w:sz w:val="24"/>
          <w:szCs w:val="24"/>
        </w:rPr>
        <w:lastRenderedPageBreak/>
        <w:t>de ser procedente, en versión pública, el Protocolo de Actuación en Materia de Genero del Instituto Municipal de la Mujer, vigente al treinta de junio de dos mil veintidós, sin embargo, no puede pasar desapercibido para este organismo garante que la Titular de la Unidad de Atención a la Mujer, menciona que los protocolos en actuación en atención en materia de género, se está trabajando en conjunto con las diversas áreas del Ayuntamiento,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12852295" w14:textId="77777777" w:rsidR="008C0D13" w:rsidRPr="00AE73B6" w:rsidRDefault="00EE3C25">
      <w:pPr>
        <w:spacing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Artículo 19</w:t>
      </w:r>
      <w:r w:rsidRPr="00AE73B6">
        <w:rPr>
          <w:rFonts w:ascii="Palatino Linotype" w:eastAsia="Palatino Linotype" w:hAnsi="Palatino Linotype" w:cs="Palatino Linotype"/>
          <w:i/>
        </w:rPr>
        <w:t>…</w:t>
      </w:r>
    </w:p>
    <w:p w14:paraId="188C795C"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0187FFC" w14:textId="77777777" w:rsidR="008C0D13" w:rsidRPr="00AE73B6" w:rsidRDefault="008C0D13">
      <w:pPr>
        <w:shd w:val="clear" w:color="auto" w:fill="FFFFFF"/>
        <w:spacing w:line="360" w:lineRule="auto"/>
        <w:jc w:val="both"/>
        <w:rPr>
          <w:rFonts w:ascii="Palatino Linotype" w:eastAsia="Palatino Linotype" w:hAnsi="Palatino Linotype" w:cs="Palatino Linotype"/>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48"/>
        <w:gridCol w:w="1748"/>
        <w:gridCol w:w="1748"/>
        <w:gridCol w:w="1746"/>
      </w:tblGrid>
      <w:tr w:rsidR="00AE73B6" w:rsidRPr="00AE73B6" w14:paraId="427C24BF" w14:textId="77777777">
        <w:tc>
          <w:tcPr>
            <w:tcW w:w="1838" w:type="dxa"/>
            <w:shd w:val="clear" w:color="auto" w:fill="BFBFBF"/>
          </w:tcPr>
          <w:p w14:paraId="26F2BDEA"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Información requerida.</w:t>
            </w:r>
          </w:p>
        </w:tc>
        <w:tc>
          <w:tcPr>
            <w:tcW w:w="1748" w:type="dxa"/>
            <w:shd w:val="clear" w:color="auto" w:fill="BFBFBF"/>
          </w:tcPr>
          <w:p w14:paraId="496C8BE7"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Respuesta</w:t>
            </w:r>
          </w:p>
        </w:tc>
        <w:tc>
          <w:tcPr>
            <w:tcW w:w="1748" w:type="dxa"/>
            <w:shd w:val="clear" w:color="auto" w:fill="BFBFBF"/>
          </w:tcPr>
          <w:p w14:paraId="64400B36"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Motivos de inconformidad</w:t>
            </w:r>
          </w:p>
        </w:tc>
        <w:tc>
          <w:tcPr>
            <w:tcW w:w="1748" w:type="dxa"/>
            <w:shd w:val="clear" w:color="auto" w:fill="BFBFBF"/>
          </w:tcPr>
          <w:p w14:paraId="07FAFED9"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Informe Justificado</w:t>
            </w:r>
          </w:p>
        </w:tc>
        <w:tc>
          <w:tcPr>
            <w:tcW w:w="1746" w:type="dxa"/>
            <w:shd w:val="clear" w:color="auto" w:fill="BFBFBF"/>
          </w:tcPr>
          <w:p w14:paraId="430F7158"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 xml:space="preserve">Colma </w:t>
            </w:r>
          </w:p>
        </w:tc>
      </w:tr>
      <w:tr w:rsidR="008C0D13" w:rsidRPr="00AE73B6" w14:paraId="371AEF10" w14:textId="77777777">
        <w:tc>
          <w:tcPr>
            <w:tcW w:w="1838" w:type="dxa"/>
          </w:tcPr>
          <w:p w14:paraId="2F9A7CD1"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El perfil profesional del capital humano del Instituto Municipal de la Mujer</w:t>
            </w:r>
          </w:p>
        </w:tc>
        <w:tc>
          <w:tcPr>
            <w:tcW w:w="1748" w:type="dxa"/>
            <w:vAlign w:val="center"/>
          </w:tcPr>
          <w:p w14:paraId="54B33810"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 xml:space="preserve">La información se encuentra en la página de consulta de Información Pública de Oficio Mexiquense (IPOMEX), en el </w:t>
            </w:r>
            <w:r w:rsidRPr="00AE73B6">
              <w:rPr>
                <w:rFonts w:ascii="Palatino Linotype" w:eastAsia="Palatino Linotype" w:hAnsi="Palatino Linotype" w:cs="Palatino Linotype"/>
                <w:sz w:val="18"/>
                <w:szCs w:val="18"/>
              </w:rPr>
              <w:lastRenderedPageBreak/>
              <w:t>artículo 92 la fracción VII.</w:t>
            </w:r>
          </w:p>
        </w:tc>
        <w:tc>
          <w:tcPr>
            <w:tcW w:w="1748" w:type="dxa"/>
            <w:vAlign w:val="center"/>
          </w:tcPr>
          <w:p w14:paraId="7A7AAB5B"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18"/>
                <w:szCs w:val="18"/>
              </w:rPr>
              <w:lastRenderedPageBreak/>
              <w:t xml:space="preserve">Si bien transparentan el número de plazas adscritas al instituto, no señalan los perfiles profesionales de </w:t>
            </w:r>
            <w:r w:rsidRPr="00AE73B6">
              <w:rPr>
                <w:rFonts w:ascii="Palatino Linotype" w:eastAsia="Palatino Linotype" w:hAnsi="Palatino Linotype" w:cs="Palatino Linotype"/>
                <w:sz w:val="18"/>
                <w:szCs w:val="18"/>
              </w:rPr>
              <w:lastRenderedPageBreak/>
              <w:t>quienes ahí laboran.</w:t>
            </w:r>
          </w:p>
        </w:tc>
        <w:tc>
          <w:tcPr>
            <w:tcW w:w="1748" w:type="dxa"/>
          </w:tcPr>
          <w:p w14:paraId="4F0CB154"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lastRenderedPageBreak/>
              <w:t>No emite.</w:t>
            </w:r>
          </w:p>
        </w:tc>
        <w:tc>
          <w:tcPr>
            <w:tcW w:w="1746" w:type="dxa"/>
          </w:tcPr>
          <w:p w14:paraId="34FBB351"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t>No</w:t>
            </w:r>
          </w:p>
        </w:tc>
      </w:tr>
    </w:tbl>
    <w:p w14:paraId="1F51FAFA"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27160B35"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este tenor, toda vez que hubo un pronunciamiento por parte del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la parte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xml:space="preserve">. </w:t>
      </w:r>
    </w:p>
    <w:p w14:paraId="13B8C78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2CC10C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 tal contexto, en primer lugar, debemos traer a colación el artículo 161</w:t>
      </w:r>
      <w:r w:rsidRPr="00AE73B6">
        <w:rPr>
          <w:rFonts w:ascii="Palatino Linotype" w:eastAsia="Palatino Linotype" w:hAnsi="Palatino Linotype" w:cs="Palatino Linotype"/>
          <w:sz w:val="24"/>
          <w:szCs w:val="24"/>
          <w:vertAlign w:val="superscript"/>
        </w:rPr>
        <w:footnoteReference w:id="3"/>
      </w:r>
      <w:r w:rsidRPr="00AE73B6">
        <w:rPr>
          <w:rFonts w:ascii="Palatino Linotype" w:eastAsia="Palatino Linotype" w:hAnsi="Palatino Linotype" w:cs="Palatino Linotype"/>
          <w:sz w:val="24"/>
          <w:szCs w:val="24"/>
        </w:rPr>
        <w:t xml:space="preserve"> de la Ley de Transparencia y Acceso a la Información Pública del Estado de México y Municipios</w:t>
      </w:r>
      <w:r w:rsidRPr="00AE73B6">
        <w:rPr>
          <w:rFonts w:ascii="Palatino Linotype" w:eastAsia="Palatino Linotype" w:hAnsi="Palatino Linotype" w:cs="Palatino Linotype"/>
          <w:i/>
          <w:sz w:val="24"/>
          <w:szCs w:val="24"/>
        </w:rPr>
        <w:t xml:space="preserve">, </w:t>
      </w:r>
      <w:r w:rsidRPr="00AE73B6">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9ACE16F"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851472C" w14:textId="77777777" w:rsidR="008C0D13" w:rsidRPr="00AE73B6" w:rsidRDefault="00EE3C25">
      <w:pPr>
        <w:spacing w:after="0" w:line="360" w:lineRule="auto"/>
        <w:ind w:left="284"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 La fuente</w:t>
      </w:r>
    </w:p>
    <w:p w14:paraId="412459BF" w14:textId="77777777" w:rsidR="008C0D13" w:rsidRPr="00AE73B6" w:rsidRDefault="00EE3C25">
      <w:pPr>
        <w:spacing w:after="0" w:line="360" w:lineRule="auto"/>
        <w:ind w:left="284"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b) El lugar y</w:t>
      </w:r>
    </w:p>
    <w:p w14:paraId="2A93CA68" w14:textId="77777777" w:rsidR="008C0D13" w:rsidRPr="00AE73B6" w:rsidRDefault="00EE3C25">
      <w:pPr>
        <w:spacing w:after="0" w:line="360" w:lineRule="auto"/>
        <w:ind w:left="284"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c) La forma</w:t>
      </w:r>
    </w:p>
    <w:p w14:paraId="02C8BF58" w14:textId="77777777" w:rsidR="008C0D13" w:rsidRPr="00AE73B6" w:rsidRDefault="008C0D13">
      <w:pPr>
        <w:spacing w:after="0" w:line="360" w:lineRule="auto"/>
        <w:ind w:left="284" w:right="49"/>
        <w:jc w:val="both"/>
        <w:rPr>
          <w:rFonts w:ascii="Palatino Linotype" w:eastAsia="Palatino Linotype" w:hAnsi="Palatino Linotype" w:cs="Palatino Linotype"/>
          <w:sz w:val="24"/>
          <w:szCs w:val="24"/>
        </w:rPr>
      </w:pPr>
    </w:p>
    <w:p w14:paraId="6A6131FD" w14:textId="77777777" w:rsidR="008C0D13" w:rsidRPr="00AE73B6" w:rsidRDefault="00EE3C25">
      <w:pPr>
        <w:spacing w:after="0" w:line="360" w:lineRule="auto"/>
        <w:ind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Asimismo, se establece que la fuente de la información deberá ser:</w:t>
      </w:r>
    </w:p>
    <w:p w14:paraId="2DC79865" w14:textId="77777777" w:rsidR="008C0D13" w:rsidRPr="00AE73B6" w:rsidRDefault="00EE3C25">
      <w:pPr>
        <w:spacing w:after="0" w:line="360" w:lineRule="auto"/>
        <w:ind w:left="284"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 Precisa</w:t>
      </w:r>
    </w:p>
    <w:p w14:paraId="5D2E313B" w14:textId="77777777" w:rsidR="008C0D13" w:rsidRPr="00AE73B6" w:rsidRDefault="00EE3C25">
      <w:pPr>
        <w:spacing w:after="0" w:line="360" w:lineRule="auto"/>
        <w:ind w:left="284"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b) Concreta</w:t>
      </w:r>
    </w:p>
    <w:p w14:paraId="50239CC5" w14:textId="77777777" w:rsidR="008C0D13" w:rsidRPr="00AE73B6" w:rsidRDefault="00EE3C25">
      <w:pPr>
        <w:spacing w:after="0" w:line="360" w:lineRule="auto"/>
        <w:ind w:left="284"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c) Y no debe implicar que el solicitante realice una búsqueda en toda la información que se encuentre disponible.</w:t>
      </w:r>
    </w:p>
    <w:p w14:paraId="01420078" w14:textId="77777777" w:rsidR="008C0D13" w:rsidRPr="00AE73B6" w:rsidRDefault="008C0D13">
      <w:pPr>
        <w:spacing w:after="0" w:line="360" w:lineRule="auto"/>
        <w:ind w:right="51"/>
        <w:jc w:val="both"/>
        <w:rPr>
          <w:rFonts w:ascii="Palatino Linotype" w:eastAsia="Palatino Linotype" w:hAnsi="Palatino Linotype" w:cs="Palatino Linotype"/>
          <w:sz w:val="24"/>
          <w:szCs w:val="24"/>
        </w:rPr>
      </w:pPr>
    </w:p>
    <w:p w14:paraId="5C18B955" w14:textId="77777777" w:rsidR="008C0D13" w:rsidRPr="00AE73B6" w:rsidRDefault="00EE3C25">
      <w:pPr>
        <w:spacing w:after="0" w:line="360" w:lineRule="auto"/>
        <w:ind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Imperativos legales que establecen el procedimiento que debe seguir 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para que pueda tomarse como válida su orientación sobre la forma en que puede consultar la información requerida, por lo que este Instituto realizo una búsqueda en la página electrónica IPOMEX en el artículo 92 fracción VII del Ayuntamiento de Coacalco de Berriozábal, en donde se obtuvo lo siguiente:</w:t>
      </w:r>
    </w:p>
    <w:p w14:paraId="3B8AE57F" w14:textId="77777777" w:rsidR="008C0D13" w:rsidRPr="00AE73B6" w:rsidRDefault="00EE3C25">
      <w:pPr>
        <w:spacing w:line="360" w:lineRule="auto"/>
        <w:ind w:right="49"/>
        <w:jc w:val="both"/>
        <w:rPr>
          <w:rFonts w:ascii="Palatino Linotype" w:eastAsia="Palatino Linotype" w:hAnsi="Palatino Linotype" w:cs="Palatino Linotype"/>
          <w:sz w:val="24"/>
          <w:szCs w:val="24"/>
        </w:rPr>
      </w:pPr>
      <w:r w:rsidRPr="00AE73B6">
        <w:rPr>
          <w:noProof/>
        </w:rPr>
        <w:lastRenderedPageBreak/>
        <w:drawing>
          <wp:inline distT="0" distB="0" distL="0" distR="0" wp14:anchorId="741475FA" wp14:editId="4FFEFA6B">
            <wp:extent cx="5723436" cy="4131487"/>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9871" t="21122" r="44501" b="45987"/>
                    <a:stretch>
                      <a:fillRect/>
                    </a:stretch>
                  </pic:blipFill>
                  <pic:spPr>
                    <a:xfrm>
                      <a:off x="0" y="0"/>
                      <a:ext cx="5723436" cy="4131487"/>
                    </a:xfrm>
                    <a:prstGeom prst="rect">
                      <a:avLst/>
                    </a:prstGeom>
                    <a:ln/>
                  </pic:spPr>
                </pic:pic>
              </a:graphicData>
            </a:graphic>
          </wp:inline>
        </w:drawing>
      </w:r>
    </w:p>
    <w:p w14:paraId="5A93027D" w14:textId="77777777" w:rsidR="008C0D13" w:rsidRPr="00AE73B6" w:rsidRDefault="00EE3C2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ese sentido, la información que proporcionó 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implica que el Solicitante tenga que realizar una búsqueda en todos los registros para poder localizar la información solicitada en el caso que ahí se encuentre, por lo que, se precisa que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no observó lo que dispone el artículo 161 de la Ley en la materia. </w:t>
      </w:r>
    </w:p>
    <w:p w14:paraId="54D36EF1" w14:textId="77777777" w:rsidR="008C0D13" w:rsidRPr="00AE73B6" w:rsidRDefault="008C0D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E540537" w14:textId="77777777" w:rsidR="008C0D13" w:rsidRPr="00AE73B6" w:rsidRDefault="00EE3C25">
      <w:pPr>
        <w:spacing w:after="0" w:line="360" w:lineRule="auto"/>
        <w:jc w:val="both"/>
        <w:rPr>
          <w:rFonts w:ascii="Palatino Linotype" w:eastAsia="Palatino Linotype" w:hAnsi="Palatino Linotype" w:cs="Palatino Linotype"/>
          <w:b/>
          <w:sz w:val="24"/>
          <w:szCs w:val="24"/>
          <w:u w:val="single"/>
        </w:rPr>
      </w:pPr>
      <w:r w:rsidRPr="00AE73B6">
        <w:rPr>
          <w:rFonts w:ascii="Palatino Linotype" w:eastAsia="Palatino Linotype" w:hAnsi="Palatino Linotype" w:cs="Palatino Linotype"/>
          <w:sz w:val="24"/>
          <w:szCs w:val="24"/>
        </w:rPr>
        <w:t xml:space="preserve">Aclarado lo anterior, el </w:t>
      </w:r>
      <w:proofErr w:type="spellStart"/>
      <w:r w:rsidRPr="00AE73B6">
        <w:rPr>
          <w:rFonts w:ascii="Palatino Linotype" w:eastAsia="Palatino Linotype" w:hAnsi="Palatino Linotype" w:cs="Palatino Linotype"/>
          <w:i/>
          <w:sz w:val="24"/>
          <w:szCs w:val="24"/>
        </w:rPr>
        <w:t>curriculum</w:t>
      </w:r>
      <w:proofErr w:type="spellEnd"/>
      <w:r w:rsidRPr="00AE73B6">
        <w:rPr>
          <w:rFonts w:ascii="Palatino Linotype" w:eastAsia="Palatino Linotype" w:hAnsi="Palatino Linotype" w:cs="Palatino Linotype"/>
          <w:i/>
          <w:sz w:val="24"/>
          <w:szCs w:val="24"/>
        </w:rPr>
        <w:t xml:space="preserve"> vitae</w:t>
      </w:r>
      <w:r w:rsidRPr="00AE73B6">
        <w:rPr>
          <w:rFonts w:ascii="Palatino Linotype" w:eastAsia="Palatino Linotype" w:hAnsi="Palatino Linotype" w:cs="Palatino Linotype"/>
          <w:sz w:val="24"/>
          <w:szCs w:val="24"/>
        </w:rPr>
        <w:t>, es el documento que podría colmar de manera enunciativa más no limitativa, ya que las personas elaboran con los datos de identificación, contacto</w:t>
      </w:r>
      <w:r w:rsidRPr="00AE73B6">
        <w:rPr>
          <w:rFonts w:ascii="Palatino Linotype" w:eastAsia="Palatino Linotype" w:hAnsi="Palatino Linotype" w:cs="Palatino Linotype"/>
          <w:b/>
          <w:sz w:val="24"/>
          <w:szCs w:val="24"/>
          <w:u w:val="single"/>
        </w:rPr>
        <w:t>, preparación académica</w:t>
      </w:r>
      <w:r w:rsidRPr="00AE73B6">
        <w:rPr>
          <w:rFonts w:ascii="Palatino Linotype" w:eastAsia="Palatino Linotype" w:hAnsi="Palatino Linotype" w:cs="Palatino Linotype"/>
          <w:sz w:val="24"/>
          <w:szCs w:val="24"/>
        </w:rPr>
        <w:t xml:space="preserve"> y</w:t>
      </w:r>
      <w:r w:rsidRPr="00AE73B6">
        <w:rPr>
          <w:rFonts w:ascii="Palatino Linotype" w:eastAsia="Palatino Linotype" w:hAnsi="Palatino Linotype" w:cs="Palatino Linotype"/>
          <w:b/>
          <w:sz w:val="24"/>
          <w:szCs w:val="24"/>
          <w:u w:val="single"/>
        </w:rPr>
        <w:t xml:space="preserve"> experiencia profesion</w:t>
      </w:r>
      <w:r w:rsidRPr="00AE73B6">
        <w:rPr>
          <w:rFonts w:ascii="Palatino Linotype" w:eastAsia="Palatino Linotype" w:hAnsi="Palatino Linotype" w:cs="Palatino Linotype"/>
          <w:b/>
          <w:sz w:val="24"/>
          <w:szCs w:val="24"/>
        </w:rPr>
        <w:t>al,</w:t>
      </w:r>
      <w:r w:rsidRPr="00AE73B6">
        <w:rPr>
          <w:rFonts w:ascii="Palatino Linotype" w:eastAsia="Palatino Linotype" w:hAnsi="Palatino Linotype" w:cs="Palatino Linotype"/>
          <w:sz w:val="24"/>
          <w:szCs w:val="24"/>
        </w:rPr>
        <w:t xml:space="preserve"> para </w:t>
      </w:r>
      <w:r w:rsidRPr="00AE73B6">
        <w:rPr>
          <w:rFonts w:ascii="Palatino Linotype" w:eastAsia="Palatino Linotype" w:hAnsi="Palatino Linotype" w:cs="Palatino Linotype"/>
          <w:sz w:val="24"/>
          <w:szCs w:val="24"/>
        </w:rPr>
        <w:lastRenderedPageBreak/>
        <w:t xml:space="preserve">presentarse ante un posible empleador. En este sentido, por lo que hace al </w:t>
      </w:r>
      <w:proofErr w:type="spellStart"/>
      <w:r w:rsidRPr="00AE73B6">
        <w:rPr>
          <w:rFonts w:ascii="Palatino Linotype" w:eastAsia="Palatino Linotype" w:hAnsi="Palatino Linotype" w:cs="Palatino Linotype"/>
          <w:i/>
          <w:sz w:val="24"/>
          <w:szCs w:val="24"/>
        </w:rPr>
        <w:t>curriculum</w:t>
      </w:r>
      <w:proofErr w:type="spellEnd"/>
      <w:r w:rsidRPr="00AE73B6">
        <w:rPr>
          <w:rFonts w:ascii="Palatino Linotype" w:eastAsia="Palatino Linotype" w:hAnsi="Palatino Linotype" w:cs="Palatino Linotype"/>
          <w:i/>
          <w:sz w:val="24"/>
          <w:szCs w:val="24"/>
        </w:rPr>
        <w:t xml:space="preserve"> vitae</w:t>
      </w:r>
      <w:r w:rsidRPr="00AE73B6">
        <w:rPr>
          <w:rFonts w:ascii="Palatino Linotype" w:eastAsia="Palatino Linotype" w:hAnsi="Palatino Linotype" w:cs="Palatino Linotype"/>
          <w:sz w:val="24"/>
          <w:szCs w:val="24"/>
        </w:rPr>
        <w:t xml:space="preserve">, </w:t>
      </w:r>
      <w:r w:rsidRPr="00AE73B6">
        <w:rPr>
          <w:rFonts w:ascii="Palatino Linotype" w:eastAsia="Palatino Linotype" w:hAnsi="Palatino Linotype" w:cs="Palatino Linotype"/>
          <w:b/>
          <w:sz w:val="24"/>
          <w:szCs w:val="24"/>
          <w:u w:val="single"/>
        </w:rPr>
        <w:t>permite identificar el nivel y tipo de preparación de su titular y en su caso su perfil profesional o laboral.</w:t>
      </w:r>
    </w:p>
    <w:p w14:paraId="0858FDE1"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9104D9E" w14:textId="77777777" w:rsidR="008C0D13" w:rsidRPr="00AE73B6" w:rsidRDefault="00EE3C25">
      <w:pPr>
        <w:spacing w:after="0" w:line="360" w:lineRule="auto"/>
        <w:jc w:val="both"/>
        <w:rPr>
          <w:rFonts w:ascii="Palatino Linotype" w:eastAsia="Palatino Linotype" w:hAnsi="Palatino Linotype" w:cs="Palatino Linotype"/>
          <w:b/>
          <w:sz w:val="24"/>
          <w:szCs w:val="24"/>
          <w:u w:val="single"/>
        </w:rPr>
      </w:pPr>
      <w:r w:rsidRPr="00AE73B6">
        <w:rPr>
          <w:rFonts w:ascii="Palatino Linotype" w:eastAsia="Palatino Linotype" w:hAnsi="Palatino Linotype" w:cs="Palatino Linotype"/>
          <w:sz w:val="24"/>
          <w:szCs w:val="24"/>
        </w:rPr>
        <w:t xml:space="preserve">El </w:t>
      </w:r>
      <w:proofErr w:type="spellStart"/>
      <w:r w:rsidRPr="00AE73B6">
        <w:rPr>
          <w:rFonts w:ascii="Palatino Linotype" w:eastAsia="Palatino Linotype" w:hAnsi="Palatino Linotype" w:cs="Palatino Linotype"/>
          <w:i/>
          <w:sz w:val="24"/>
          <w:szCs w:val="24"/>
        </w:rPr>
        <w:t>curriculum</w:t>
      </w:r>
      <w:proofErr w:type="spellEnd"/>
      <w:r w:rsidRPr="00AE73B6">
        <w:rPr>
          <w:rFonts w:ascii="Palatino Linotype" w:eastAsia="Palatino Linotype" w:hAnsi="Palatino Linotype" w:cs="Palatino Linotype"/>
          <w:i/>
          <w:sz w:val="24"/>
          <w:szCs w:val="24"/>
        </w:rPr>
        <w:t xml:space="preserve"> vitae</w:t>
      </w:r>
      <w:r w:rsidRPr="00AE73B6">
        <w:rPr>
          <w:rFonts w:ascii="Palatino Linotype" w:eastAsia="Palatino Linotype" w:hAnsi="Palatino Linotype" w:cs="Palatino Linotype"/>
          <w:sz w:val="24"/>
          <w:szCs w:val="24"/>
        </w:rPr>
        <w:t xml:space="preserve">, proporciona información valiosa sobre la experiencia académica </w:t>
      </w:r>
      <w:r w:rsidRPr="00AE73B6">
        <w:rPr>
          <w:rFonts w:ascii="Palatino Linotype" w:eastAsia="Palatino Linotype" w:hAnsi="Palatino Linotype" w:cs="Palatino Linotype"/>
          <w:b/>
          <w:sz w:val="24"/>
          <w:szCs w:val="24"/>
          <w:u w:val="single"/>
        </w:rPr>
        <w:t>y profesional</w:t>
      </w:r>
      <w:r w:rsidRPr="00AE73B6">
        <w:rPr>
          <w:rFonts w:ascii="Palatino Linotype" w:eastAsia="Palatino Linotype" w:hAnsi="Palatino Linotype" w:cs="Palatino Linotype"/>
          <w:sz w:val="24"/>
          <w:szCs w:val="24"/>
        </w:rPr>
        <w:t xml:space="preserve"> de quienes ocupan cargos en la administración pública, permite conocer con toda certeza y de manera indudable si las personas que se desempeñan como servidores públicos </w:t>
      </w:r>
      <w:r w:rsidRPr="00AE73B6">
        <w:rPr>
          <w:rFonts w:ascii="Palatino Linotype" w:eastAsia="Palatino Linotype" w:hAnsi="Palatino Linotype" w:cs="Palatino Linotype"/>
          <w:b/>
          <w:sz w:val="24"/>
          <w:szCs w:val="24"/>
          <w:u w:val="single"/>
        </w:rPr>
        <w:t xml:space="preserve">tienen el perfil idóneo para desarrollar las actividades y atribuciones que se deriven de su encargo. </w:t>
      </w:r>
    </w:p>
    <w:p w14:paraId="617E9F08" w14:textId="77777777" w:rsidR="008C0D13" w:rsidRPr="00AE73B6" w:rsidRDefault="008C0D13">
      <w:pPr>
        <w:spacing w:after="0" w:line="360" w:lineRule="auto"/>
        <w:jc w:val="both"/>
        <w:rPr>
          <w:rFonts w:ascii="Palatino Linotype" w:eastAsia="Palatino Linotype" w:hAnsi="Palatino Linotype" w:cs="Palatino Linotype"/>
        </w:rPr>
      </w:pPr>
    </w:p>
    <w:p w14:paraId="51A7E0A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El </w:t>
      </w:r>
      <w:proofErr w:type="spellStart"/>
      <w:r w:rsidRPr="00AE73B6">
        <w:rPr>
          <w:rFonts w:ascii="Palatino Linotype" w:eastAsia="Palatino Linotype" w:hAnsi="Palatino Linotype" w:cs="Palatino Linotype"/>
          <w:i/>
          <w:sz w:val="24"/>
          <w:szCs w:val="24"/>
        </w:rPr>
        <w:t>curriculum</w:t>
      </w:r>
      <w:proofErr w:type="spellEnd"/>
      <w:r w:rsidRPr="00AE73B6">
        <w:rPr>
          <w:rFonts w:ascii="Palatino Linotype" w:eastAsia="Palatino Linotype" w:hAnsi="Palatino Linotype" w:cs="Palatino Linotype"/>
          <w:i/>
          <w:sz w:val="24"/>
          <w:szCs w:val="24"/>
        </w:rPr>
        <w:t xml:space="preserve"> vitae</w:t>
      </w:r>
      <w:r w:rsidRPr="00AE73B6">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306346D5" w14:textId="77777777" w:rsidR="008C0D13" w:rsidRPr="00AE73B6" w:rsidRDefault="008C0D13">
      <w:pPr>
        <w:spacing w:after="0" w:line="360" w:lineRule="auto"/>
        <w:jc w:val="both"/>
        <w:rPr>
          <w:rFonts w:ascii="Palatino Linotype" w:eastAsia="Palatino Linotype" w:hAnsi="Palatino Linotype" w:cs="Palatino Linotype"/>
        </w:rPr>
      </w:pPr>
    </w:p>
    <w:p w14:paraId="6BA12820"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14:paraId="208D502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6848E42C"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14:paraId="4F665D6D" w14:textId="77777777" w:rsidR="008C0D13" w:rsidRPr="00AE73B6" w:rsidRDefault="00EE3C25">
      <w:pPr>
        <w:spacing w:after="0" w:line="360" w:lineRule="auto"/>
        <w:jc w:val="center"/>
        <w:rPr>
          <w:rFonts w:ascii="Palatino Linotype" w:eastAsia="Palatino Linotype" w:hAnsi="Palatino Linotype" w:cs="Palatino Linotype"/>
        </w:rPr>
      </w:pPr>
      <w:r w:rsidRPr="00AE73B6">
        <w:rPr>
          <w:rFonts w:ascii="Palatino Linotype" w:eastAsia="Palatino Linotype" w:hAnsi="Palatino Linotype" w:cs="Palatino Linotype"/>
          <w:noProof/>
        </w:rPr>
        <w:drawing>
          <wp:inline distT="0" distB="0" distL="0" distR="0" wp14:anchorId="03D9CBCB" wp14:editId="556BD3F5">
            <wp:extent cx="4229100" cy="1457325"/>
            <wp:effectExtent l="0" t="0" r="0" b="0"/>
            <wp:docPr id="101" name="image2.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Tabla&#10;&#10;Descripción generada automáticamente"/>
                    <pic:cNvPicPr preferRelativeResize="0"/>
                  </pic:nvPicPr>
                  <pic:blipFill>
                    <a:blip r:embed="rId10"/>
                    <a:srcRect t="24638"/>
                    <a:stretch>
                      <a:fillRect/>
                    </a:stretch>
                  </pic:blipFill>
                  <pic:spPr>
                    <a:xfrm>
                      <a:off x="0" y="0"/>
                      <a:ext cx="4229100" cy="1457325"/>
                    </a:xfrm>
                    <a:prstGeom prst="rect">
                      <a:avLst/>
                    </a:prstGeom>
                    <a:ln/>
                  </pic:spPr>
                </pic:pic>
              </a:graphicData>
            </a:graphic>
          </wp:inline>
        </w:drawing>
      </w:r>
      <w:r w:rsidRPr="00AE73B6">
        <w:rPr>
          <w:noProof/>
        </w:rPr>
        <mc:AlternateContent>
          <mc:Choice Requires="wpg">
            <w:drawing>
              <wp:anchor distT="0" distB="0" distL="114300" distR="114300" simplePos="0" relativeHeight="251658240" behindDoc="0" locked="0" layoutInCell="1" hidden="0" allowOverlap="1" wp14:anchorId="24AF3419" wp14:editId="706E719B">
                <wp:simplePos x="0" y="0"/>
                <wp:positionH relativeFrom="column">
                  <wp:posOffset>762000</wp:posOffset>
                </wp:positionH>
                <wp:positionV relativeFrom="paragraph">
                  <wp:posOffset>495300</wp:posOffset>
                </wp:positionV>
                <wp:extent cx="4254500" cy="908685"/>
                <wp:effectExtent l="0" t="0" r="0" b="0"/>
                <wp:wrapNone/>
                <wp:docPr id="98" name="Rectángulo 98"/>
                <wp:cNvGraphicFramePr/>
                <a:graphic xmlns:a="http://schemas.openxmlformats.org/drawingml/2006/main">
                  <a:graphicData uri="http://schemas.microsoft.com/office/word/2010/wordprocessingShape">
                    <wps:wsp>
                      <wps:cNvSpPr/>
                      <wps:spPr>
                        <a:xfrm>
                          <a:off x="4183950" y="3538383"/>
                          <a:ext cx="2324100" cy="483235"/>
                        </a:xfrm>
                        <a:prstGeom prst="rect">
                          <a:avLst/>
                        </a:prstGeom>
                        <a:noFill/>
                        <a:ln w="28575" cap="flat" cmpd="sng">
                          <a:solidFill>
                            <a:srgbClr val="000000"/>
                          </a:solidFill>
                          <a:prstDash val="solid"/>
                          <a:miter lim="800000"/>
                          <a:headEnd type="none" w="sm" len="sm"/>
                          <a:tailEnd type="none" w="sm" len="sm"/>
                        </a:ln>
                      </wps:spPr>
                      <wps:txbx>
                        <w:txbxContent>
                          <w:p w14:paraId="2FC4AB81" w14:textId="77777777" w:rsidR="008C0D13" w:rsidRDefault="008C0D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762000</wp:posOffset>
                </wp:positionH>
                <wp:positionV relativeFrom="paragraph">
                  <wp:posOffset>495300</wp:posOffset>
                </wp:positionV>
                <wp:extent cx="4254500" cy="908685"/>
                <wp:effectExtent b="0" l="0" r="0" t="0"/>
                <wp:wrapNone/>
                <wp:docPr id="9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254500" cy="908685"/>
                        </a:xfrm>
                        <a:prstGeom prst="rect"/>
                        <a:ln/>
                      </pic:spPr>
                    </pic:pic>
                  </a:graphicData>
                </a:graphic>
              </wp:anchor>
            </w:drawing>
          </mc:Fallback>
        </mc:AlternateContent>
      </w:r>
    </w:p>
    <w:p w14:paraId="251AF897" w14:textId="77777777" w:rsidR="008C0D13" w:rsidRPr="00AE73B6" w:rsidRDefault="008C0D13">
      <w:pPr>
        <w:spacing w:after="0" w:line="360" w:lineRule="auto"/>
        <w:jc w:val="center"/>
        <w:rPr>
          <w:rFonts w:ascii="Palatino Linotype" w:eastAsia="Palatino Linotype" w:hAnsi="Palatino Linotype" w:cs="Palatino Linotype"/>
        </w:rPr>
      </w:pPr>
    </w:p>
    <w:p w14:paraId="16BF721B"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En ese contexto, según Islas, Jorge (2016), en la “Ley General de Transparencia y Acceso a la Información Pública Comentada” (p. 244), refirió que el </w:t>
      </w:r>
      <w:proofErr w:type="spellStart"/>
      <w:r w:rsidRPr="00AE73B6">
        <w:rPr>
          <w:rFonts w:ascii="Palatino Linotype" w:eastAsia="Palatino Linotype" w:hAnsi="Palatino Linotype" w:cs="Palatino Linotype"/>
          <w:b/>
          <w:i/>
          <w:sz w:val="24"/>
          <w:szCs w:val="24"/>
        </w:rPr>
        <w:t>curriculum</w:t>
      </w:r>
      <w:proofErr w:type="spellEnd"/>
      <w:r w:rsidRPr="00AE73B6">
        <w:rPr>
          <w:rFonts w:ascii="Palatino Linotype" w:eastAsia="Palatino Linotype" w:hAnsi="Palatino Linotype" w:cs="Palatino Linotype"/>
          <w:b/>
          <w:i/>
          <w:sz w:val="24"/>
          <w:szCs w:val="24"/>
        </w:rPr>
        <w:t xml:space="preserve"> vitae</w:t>
      </w:r>
      <w:r w:rsidRPr="00AE73B6">
        <w:rPr>
          <w:rFonts w:ascii="Palatino Linotype" w:eastAsia="Palatino Linotype" w:hAnsi="Palatino Linotype" w:cs="Palatino Linotype"/>
          <w:b/>
          <w:sz w:val="24"/>
          <w:szCs w:val="24"/>
        </w:rPr>
        <w:t xml:space="preserve"> </w:t>
      </w:r>
      <w:r w:rsidRPr="00AE73B6">
        <w:rPr>
          <w:rFonts w:ascii="Palatino Linotype" w:eastAsia="Palatino Linotype" w:hAnsi="Palatino Linotype" w:cs="Palatino Linotype"/>
          <w:sz w:val="24"/>
          <w:szCs w:val="24"/>
        </w:rPr>
        <w:t>d</w:t>
      </w:r>
      <w:r w:rsidRPr="00AE73B6">
        <w:rPr>
          <w:rFonts w:ascii="Palatino Linotype" w:eastAsia="Palatino Linotype" w:hAnsi="Palatino Linotype" w:cs="Palatino Linotype"/>
          <w:b/>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p>
    <w:p w14:paraId="4989209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CB43632" w14:textId="77777777" w:rsidR="008C0D13" w:rsidRPr="00AE73B6" w:rsidRDefault="00EE3C25">
      <w:pPr>
        <w:spacing w:after="0" w:line="360" w:lineRule="auto"/>
        <w:ind w:right="-93"/>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 xml:space="preserve">Se robustece lo anterior, con el </w:t>
      </w:r>
      <w:r w:rsidRPr="00AE73B6">
        <w:rPr>
          <w:rFonts w:ascii="Palatino Linotype" w:eastAsia="Palatino Linotype" w:hAnsi="Palatino Linotype" w:cs="Palatino Linotype"/>
          <w:b/>
          <w:sz w:val="24"/>
          <w:szCs w:val="24"/>
        </w:rPr>
        <w:t>Criterio 03/09</w:t>
      </w:r>
      <w:r w:rsidRPr="00AE73B6">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14:paraId="188FE0E0" w14:textId="77777777" w:rsidR="008C0D13" w:rsidRPr="00AE73B6" w:rsidRDefault="008C0D13">
      <w:pPr>
        <w:spacing w:after="0" w:line="276" w:lineRule="auto"/>
        <w:ind w:right="-93"/>
        <w:jc w:val="both"/>
        <w:rPr>
          <w:rFonts w:ascii="Palatino Linotype" w:eastAsia="Palatino Linotype" w:hAnsi="Palatino Linotype" w:cs="Palatino Linotype"/>
        </w:rPr>
      </w:pPr>
    </w:p>
    <w:p w14:paraId="62B2BA81" w14:textId="77777777" w:rsidR="008C0D13" w:rsidRPr="00AE73B6" w:rsidRDefault="00EE3C25">
      <w:pPr>
        <w:spacing w:after="0" w:line="276" w:lineRule="auto"/>
        <w:ind w:left="567" w:right="567"/>
        <w:jc w:val="both"/>
        <w:rPr>
          <w:rFonts w:ascii="Palatino Linotype" w:eastAsia="Palatino Linotype" w:hAnsi="Palatino Linotype" w:cs="Palatino Linotype"/>
          <w:i/>
        </w:rPr>
      </w:pPr>
      <w:r w:rsidRPr="00AE73B6">
        <w:rPr>
          <w:rFonts w:ascii="Palatino Linotype" w:eastAsia="Palatino Linotype" w:hAnsi="Palatino Linotype" w:cs="Palatino Linotype"/>
          <w:b/>
          <w:i/>
        </w:rPr>
        <w:t>“</w:t>
      </w:r>
      <w:proofErr w:type="spellStart"/>
      <w:r w:rsidRPr="00AE73B6">
        <w:rPr>
          <w:rFonts w:ascii="Palatino Linotype" w:eastAsia="Palatino Linotype" w:hAnsi="Palatino Linotype" w:cs="Palatino Linotype"/>
          <w:b/>
          <w:i/>
        </w:rPr>
        <w:t>Curriculum</w:t>
      </w:r>
      <w:proofErr w:type="spellEnd"/>
      <w:r w:rsidRPr="00AE73B6">
        <w:rPr>
          <w:rFonts w:ascii="Palatino Linotype" w:eastAsia="Palatino Linotype" w:hAnsi="Palatino Linotype" w:cs="Palatino Linotype"/>
          <w:b/>
          <w:i/>
        </w:rPr>
        <w:t xml:space="preserve"> Vitae de servidores públicos. Es obligación de los sujetos obligados otorgar acceso a versiones públicas de los mismos ante una solicitud de acceso.</w:t>
      </w:r>
      <w:r w:rsidRPr="00AE73B6">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AE73B6">
        <w:rPr>
          <w:rFonts w:ascii="Palatino Linotype" w:eastAsia="Palatino Linotype" w:hAnsi="Palatino Linotype" w:cs="Palatino Linotype"/>
          <w:i/>
        </w:rPr>
        <w:t>curriculum</w:t>
      </w:r>
      <w:proofErr w:type="spellEnd"/>
      <w:r w:rsidRPr="00AE73B6">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E73B6">
        <w:rPr>
          <w:rFonts w:ascii="Palatino Linotype" w:eastAsia="Palatino Linotype" w:hAnsi="Palatino Linotype" w:cs="Palatino Linotype"/>
          <w:i/>
        </w:rPr>
        <w:t>curriculum</w:t>
      </w:r>
      <w:proofErr w:type="spellEnd"/>
      <w:r w:rsidRPr="00AE73B6">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E73B6">
        <w:rPr>
          <w:rFonts w:ascii="Palatino Linotype" w:eastAsia="Palatino Linotype" w:hAnsi="Palatino Linotype" w:cs="Palatino Linotype"/>
          <w:i/>
        </w:rPr>
        <w:t>curriculum</w:t>
      </w:r>
      <w:proofErr w:type="spellEnd"/>
      <w:r w:rsidRPr="00AE73B6">
        <w:rPr>
          <w:rFonts w:ascii="Palatino Linotype" w:eastAsia="Palatino Linotype" w:hAnsi="Palatino Linotype" w:cs="Palatino Linotype"/>
          <w:i/>
        </w:rPr>
        <w:t xml:space="preserve"> vitae de un servidor público susceptibles de hacerse del conocimiento público, ante una solicitud de acceso, </w:t>
      </w:r>
      <w:r w:rsidRPr="00AE73B6">
        <w:rPr>
          <w:rFonts w:ascii="Palatino Linotype" w:eastAsia="Palatino Linotype" w:hAnsi="Palatino Linotype" w:cs="Palatino Linotype"/>
          <w:b/>
          <w:i/>
          <w:u w:val="single"/>
        </w:rPr>
        <w:t>se encuentran los relativos a su trayectoria académic</w:t>
      </w:r>
      <w:r w:rsidRPr="00AE73B6">
        <w:rPr>
          <w:rFonts w:ascii="Palatino Linotype" w:eastAsia="Palatino Linotype" w:hAnsi="Palatino Linotype" w:cs="Palatino Linotype"/>
          <w:i/>
        </w:rPr>
        <w:t>a, profesional, laboral, así como todos aquellos que acrediten su capacidad, habilidades o pericia para ocupar el cargo público.”</w:t>
      </w:r>
    </w:p>
    <w:p w14:paraId="7DA9CB7D"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AE73B6">
        <w:rPr>
          <w:rFonts w:ascii="Palatino Linotype" w:eastAsia="Palatino Linotype" w:hAnsi="Palatino Linotype" w:cs="Palatino Linotype"/>
          <w:i/>
          <w:sz w:val="24"/>
          <w:szCs w:val="24"/>
        </w:rPr>
        <w:t>curriculum</w:t>
      </w:r>
      <w:proofErr w:type="spellEnd"/>
      <w:r w:rsidRPr="00AE73B6">
        <w:rPr>
          <w:rFonts w:ascii="Palatino Linotype" w:eastAsia="Palatino Linotype" w:hAnsi="Palatino Linotype" w:cs="Palatino Linotype"/>
          <w:i/>
          <w:sz w:val="24"/>
          <w:szCs w:val="24"/>
        </w:rPr>
        <w:t xml:space="preserve"> vitae, </w:t>
      </w:r>
      <w:r w:rsidRPr="00AE73B6">
        <w:rPr>
          <w:rFonts w:ascii="Palatino Linotype" w:eastAsia="Palatino Linotype" w:hAnsi="Palatino Linotype" w:cs="Palatino Linotype"/>
          <w:sz w:val="24"/>
          <w:szCs w:val="24"/>
        </w:rPr>
        <w:t xml:space="preserve">tales como, la trayectoria académica, profesional, laboral, así como todos aquellos que acrediten su capacidad, habilidades pericia para ocupar el puesto público. Lo anterior, para </w:t>
      </w:r>
      <w:r w:rsidRPr="00AE73B6">
        <w:rPr>
          <w:rFonts w:ascii="Palatino Linotype" w:eastAsia="Palatino Linotype" w:hAnsi="Palatino Linotype" w:cs="Palatino Linotype"/>
          <w:sz w:val="24"/>
          <w:szCs w:val="24"/>
        </w:rPr>
        <w:lastRenderedPageBreak/>
        <w:t xml:space="preserve">favorecer la rendición de cuentas, pues la publicidad de lo anterior tiene como fin verificar el correcto desempeño de los sujetos obligados. </w:t>
      </w:r>
    </w:p>
    <w:p w14:paraId="75F07870"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5494E9C" w14:textId="77777777" w:rsidR="008C0D13" w:rsidRPr="00AE73B6" w:rsidRDefault="00EE3C25">
      <w:pPr>
        <w:spacing w:after="0" w:line="360" w:lineRule="auto"/>
        <w:jc w:val="both"/>
        <w:rPr>
          <w:rFonts w:ascii="Palatino Linotype" w:eastAsia="Palatino Linotype" w:hAnsi="Palatino Linotype" w:cs="Palatino Linotype"/>
          <w:b/>
          <w:sz w:val="24"/>
          <w:szCs w:val="24"/>
        </w:rPr>
      </w:pPr>
      <w:r w:rsidRPr="00AE73B6">
        <w:rPr>
          <w:rFonts w:ascii="Palatino Linotype" w:eastAsia="Palatino Linotype" w:hAnsi="Palatino Linotype" w:cs="Palatino Linotype"/>
          <w:sz w:val="24"/>
          <w:szCs w:val="24"/>
        </w:rPr>
        <w:t xml:space="preserve">Conforme a ello, lo procedente, es ordenar la entrega del documento de ser el caso en versión pública, en términos del considerando quinto del presente fallo, en el que conste el perfil profesional del personal adscrito al Instituto Municipal de la Mujer del </w:t>
      </w:r>
      <w:r w:rsidRPr="00AE73B6">
        <w:rPr>
          <w:rFonts w:ascii="Palatino Linotype" w:eastAsia="Palatino Linotype" w:hAnsi="Palatino Linotype" w:cs="Palatino Linotype"/>
          <w:b/>
          <w:sz w:val="24"/>
          <w:szCs w:val="24"/>
        </w:rPr>
        <w:t>SUJETO OBLIGADO.</w:t>
      </w:r>
    </w:p>
    <w:p w14:paraId="08597C22" w14:textId="77777777" w:rsidR="008C0D13" w:rsidRPr="00AE73B6" w:rsidRDefault="008C0D13">
      <w:pPr>
        <w:spacing w:line="360" w:lineRule="auto"/>
        <w:ind w:right="49"/>
        <w:jc w:val="both"/>
        <w:rPr>
          <w:rFonts w:ascii="Palatino Linotype" w:eastAsia="Palatino Linotype" w:hAnsi="Palatino Linotype" w:cs="Palatino Linotype"/>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48"/>
        <w:gridCol w:w="1748"/>
        <w:gridCol w:w="1748"/>
        <w:gridCol w:w="1746"/>
      </w:tblGrid>
      <w:tr w:rsidR="00AE73B6" w:rsidRPr="00AE73B6" w14:paraId="774BBB3A" w14:textId="77777777">
        <w:tc>
          <w:tcPr>
            <w:tcW w:w="1838" w:type="dxa"/>
            <w:shd w:val="clear" w:color="auto" w:fill="BFBFBF"/>
          </w:tcPr>
          <w:p w14:paraId="6BFBE670"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Información requerida.</w:t>
            </w:r>
          </w:p>
        </w:tc>
        <w:tc>
          <w:tcPr>
            <w:tcW w:w="1748" w:type="dxa"/>
            <w:shd w:val="clear" w:color="auto" w:fill="BFBFBF"/>
          </w:tcPr>
          <w:p w14:paraId="39C43878"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Respuesta</w:t>
            </w:r>
          </w:p>
        </w:tc>
        <w:tc>
          <w:tcPr>
            <w:tcW w:w="1748" w:type="dxa"/>
            <w:shd w:val="clear" w:color="auto" w:fill="BFBFBF"/>
          </w:tcPr>
          <w:p w14:paraId="37B72F15"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Motivos de inconformidad</w:t>
            </w:r>
          </w:p>
        </w:tc>
        <w:tc>
          <w:tcPr>
            <w:tcW w:w="1748" w:type="dxa"/>
            <w:shd w:val="clear" w:color="auto" w:fill="BFBFBF"/>
          </w:tcPr>
          <w:p w14:paraId="09960A28"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Informe Justificado</w:t>
            </w:r>
          </w:p>
        </w:tc>
        <w:tc>
          <w:tcPr>
            <w:tcW w:w="1746" w:type="dxa"/>
            <w:shd w:val="clear" w:color="auto" w:fill="BFBFBF"/>
          </w:tcPr>
          <w:p w14:paraId="5C10459F" w14:textId="77777777" w:rsidR="008C0D13" w:rsidRPr="00AE73B6" w:rsidRDefault="00EE3C25">
            <w:pPr>
              <w:spacing w:before="240" w:after="240"/>
              <w:ind w:firstLine="114"/>
              <w:jc w:val="center"/>
              <w:rPr>
                <w:rFonts w:ascii="Palatino Linotype" w:eastAsia="Palatino Linotype" w:hAnsi="Palatino Linotype" w:cs="Palatino Linotype"/>
                <w:b/>
                <w:i/>
                <w:sz w:val="18"/>
                <w:szCs w:val="18"/>
              </w:rPr>
            </w:pPr>
            <w:r w:rsidRPr="00AE73B6">
              <w:rPr>
                <w:rFonts w:ascii="Palatino Linotype" w:eastAsia="Palatino Linotype" w:hAnsi="Palatino Linotype" w:cs="Palatino Linotype"/>
                <w:b/>
                <w:i/>
                <w:sz w:val="18"/>
                <w:szCs w:val="18"/>
              </w:rPr>
              <w:t xml:space="preserve">Colma </w:t>
            </w:r>
          </w:p>
        </w:tc>
      </w:tr>
      <w:tr w:rsidR="008C0D13" w:rsidRPr="00AE73B6" w14:paraId="79C9EE86" w14:textId="77777777">
        <w:tc>
          <w:tcPr>
            <w:tcW w:w="1838" w:type="dxa"/>
          </w:tcPr>
          <w:p w14:paraId="2F5A9170"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Los Planes Anuales de Trabajo de la Policía de Género y el Instituto Municipal de la Mujer.</w:t>
            </w:r>
          </w:p>
        </w:tc>
        <w:tc>
          <w:tcPr>
            <w:tcW w:w="1748" w:type="dxa"/>
            <w:vAlign w:val="center"/>
          </w:tcPr>
          <w:p w14:paraId="408A48C9"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El Comisario de Seguridad Pública, menciona que en consiste el plan anual de la policía de género.</w:t>
            </w:r>
          </w:p>
          <w:p w14:paraId="14170B5B"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El Instituto Municipal de la Mujer menciona que los planes anuales de trabajo se encuentran en el IPOMEX en el artículo 92 fracción IV</w:t>
            </w:r>
          </w:p>
        </w:tc>
        <w:tc>
          <w:tcPr>
            <w:tcW w:w="1748" w:type="dxa"/>
            <w:vAlign w:val="center"/>
          </w:tcPr>
          <w:p w14:paraId="531B6EB6" w14:textId="77777777" w:rsidR="008C0D13" w:rsidRPr="00AE73B6" w:rsidRDefault="00EE3C25">
            <w:pPr>
              <w:spacing w:before="240" w:after="240"/>
              <w:jc w:val="both"/>
              <w:rPr>
                <w:rFonts w:ascii="Palatino Linotype" w:eastAsia="Palatino Linotype" w:hAnsi="Palatino Linotype" w:cs="Palatino Linotype"/>
                <w:sz w:val="18"/>
                <w:szCs w:val="18"/>
              </w:rPr>
            </w:pPr>
            <w:bookmarkStart w:id="7" w:name="_heading=h.1t3h5sf" w:colFirst="0" w:colLast="0"/>
            <w:bookmarkEnd w:id="7"/>
            <w:r w:rsidRPr="00AE73B6">
              <w:rPr>
                <w:rFonts w:ascii="Palatino Linotype" w:eastAsia="Palatino Linotype" w:hAnsi="Palatino Linotype" w:cs="Palatino Linotype"/>
                <w:sz w:val="18"/>
                <w:szCs w:val="18"/>
              </w:rPr>
              <w:t>La Dirección de Seguridad Pública y Tránsito contesta escuetamente, en el mismo oficio sobre su planeación, mi pregunta es ¿Hay un documento que pueda revisar donde se confirme lo que responden en el escrito?</w:t>
            </w:r>
          </w:p>
          <w:p w14:paraId="5E730EFD" w14:textId="77777777" w:rsidR="008C0D13" w:rsidRPr="00AE73B6" w:rsidRDefault="00EE3C25">
            <w:pPr>
              <w:spacing w:before="240" w:after="240"/>
              <w:jc w:val="both"/>
              <w:rPr>
                <w:rFonts w:ascii="Palatino Linotype" w:eastAsia="Palatino Linotype" w:hAnsi="Palatino Linotype" w:cs="Palatino Linotype"/>
                <w:sz w:val="18"/>
                <w:szCs w:val="18"/>
              </w:rPr>
            </w:pPr>
            <w:r w:rsidRPr="00AE73B6">
              <w:rPr>
                <w:rFonts w:ascii="Palatino Linotype" w:eastAsia="Palatino Linotype" w:hAnsi="Palatino Linotype" w:cs="Palatino Linotype"/>
                <w:sz w:val="18"/>
                <w:szCs w:val="18"/>
              </w:rPr>
              <w:t xml:space="preserve">El Instituto Municipal de la mujer entrega el Manual para la Planeación, Programación y Presupuestación Municipal del Ejercicio Anual </w:t>
            </w:r>
            <w:r w:rsidRPr="00AE73B6">
              <w:rPr>
                <w:rFonts w:ascii="Palatino Linotype" w:eastAsia="Palatino Linotype" w:hAnsi="Palatino Linotype" w:cs="Palatino Linotype"/>
                <w:sz w:val="18"/>
                <w:szCs w:val="18"/>
              </w:rPr>
              <w:lastRenderedPageBreak/>
              <w:t>2022, no es un Plan Anual de Trabajo</w:t>
            </w:r>
          </w:p>
        </w:tc>
        <w:tc>
          <w:tcPr>
            <w:tcW w:w="1748" w:type="dxa"/>
          </w:tcPr>
          <w:p w14:paraId="7F12D5B3"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lastRenderedPageBreak/>
              <w:t>No emite.</w:t>
            </w:r>
          </w:p>
        </w:tc>
        <w:tc>
          <w:tcPr>
            <w:tcW w:w="1746" w:type="dxa"/>
          </w:tcPr>
          <w:p w14:paraId="109D3369" w14:textId="77777777" w:rsidR="008C0D13" w:rsidRPr="00AE73B6" w:rsidRDefault="00EE3C25">
            <w:pPr>
              <w:spacing w:before="240" w:after="240"/>
              <w:jc w:val="both"/>
              <w:rPr>
                <w:rFonts w:ascii="Palatino Linotype" w:eastAsia="Palatino Linotype" w:hAnsi="Palatino Linotype" w:cs="Palatino Linotype"/>
                <w:sz w:val="20"/>
                <w:szCs w:val="20"/>
              </w:rPr>
            </w:pPr>
            <w:r w:rsidRPr="00AE73B6">
              <w:rPr>
                <w:rFonts w:ascii="Palatino Linotype" w:eastAsia="Palatino Linotype" w:hAnsi="Palatino Linotype" w:cs="Palatino Linotype"/>
                <w:sz w:val="20"/>
                <w:szCs w:val="20"/>
              </w:rPr>
              <w:t>Parcialmente.</w:t>
            </w:r>
          </w:p>
        </w:tc>
      </w:tr>
    </w:tbl>
    <w:p w14:paraId="52D09166"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2666E6AC"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Cabe reiterar que el Instituto Municipal de la Mujer menciona que los planes anuales de trabajo se encuentran en el IPOMEX en el artículo 92 fracción IV, en donde la parte </w:t>
      </w:r>
      <w:r w:rsidRPr="00AE73B6">
        <w:rPr>
          <w:rFonts w:ascii="Palatino Linotype" w:eastAsia="Palatino Linotype" w:hAnsi="Palatino Linotype" w:cs="Palatino Linotype"/>
          <w:b/>
          <w:sz w:val="24"/>
          <w:szCs w:val="24"/>
        </w:rPr>
        <w:t xml:space="preserve">RECURRENTE </w:t>
      </w:r>
      <w:r w:rsidRPr="00AE73B6">
        <w:rPr>
          <w:rFonts w:ascii="Palatino Linotype" w:eastAsia="Palatino Linotype" w:hAnsi="Palatino Linotype" w:cs="Palatino Linotype"/>
          <w:sz w:val="24"/>
          <w:szCs w:val="24"/>
        </w:rPr>
        <w:t xml:space="preserve">localizo la siguiente liga electrónica en donde se observa </w:t>
      </w:r>
      <w:r w:rsidRPr="00AE73B6">
        <w:rPr>
          <w:rFonts w:ascii="Palatino Linotype" w:eastAsia="Palatino Linotype" w:hAnsi="Palatino Linotype" w:cs="Palatino Linotype"/>
          <w:b/>
          <w:sz w:val="24"/>
          <w:szCs w:val="24"/>
        </w:rPr>
        <w:t>el</w:t>
      </w:r>
      <w:r w:rsidRPr="00AE73B6">
        <w:rPr>
          <w:rFonts w:ascii="Palatino Linotype" w:eastAsia="Palatino Linotype" w:hAnsi="Palatino Linotype" w:cs="Palatino Linotype"/>
          <w:sz w:val="24"/>
          <w:szCs w:val="24"/>
        </w:rPr>
        <w:t xml:space="preserve"> Manual para la Planeación, Programación y Presupuestarían Municipal del Ejercicio Anual 2022:</w:t>
      </w:r>
    </w:p>
    <w:p w14:paraId="54AC2E8C"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p>
    <w:p w14:paraId="6C82976F" w14:textId="77777777" w:rsidR="008C0D13" w:rsidRPr="00AE73B6" w:rsidRDefault="001C532D">
      <w:pPr>
        <w:spacing w:after="0" w:line="360" w:lineRule="auto"/>
        <w:ind w:right="49"/>
        <w:jc w:val="both"/>
        <w:rPr>
          <w:rFonts w:ascii="Arial" w:eastAsia="Arial" w:hAnsi="Arial" w:cs="Arial"/>
          <w:sz w:val="24"/>
          <w:szCs w:val="24"/>
          <w:u w:val="single"/>
        </w:rPr>
      </w:pPr>
      <w:hyperlink r:id="rId12">
        <w:r w:rsidR="00EE3C25" w:rsidRPr="00AE73B6">
          <w:rPr>
            <w:rFonts w:ascii="Arial" w:eastAsia="Arial" w:hAnsi="Arial" w:cs="Arial"/>
            <w:sz w:val="24"/>
            <w:szCs w:val="24"/>
            <w:u w:val="single"/>
          </w:rPr>
          <w:t>https://www.dropbox.com/s/t1rf5318hs7wjdk/ficha-pbrm-01d22%20Sistema.pdf?dl=0</w:t>
        </w:r>
      </w:hyperlink>
      <w:r w:rsidR="00EE3C25" w:rsidRPr="00AE73B6">
        <w:rPr>
          <w:rFonts w:ascii="Arial" w:eastAsia="Arial" w:hAnsi="Arial" w:cs="Arial"/>
          <w:sz w:val="24"/>
          <w:szCs w:val="24"/>
          <w:u w:val="single"/>
        </w:rPr>
        <w:t xml:space="preserve"> </w:t>
      </w:r>
    </w:p>
    <w:p w14:paraId="68F870B6"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noProof/>
        </w:rPr>
        <w:lastRenderedPageBreak/>
        <w:drawing>
          <wp:inline distT="0" distB="0" distL="0" distR="0" wp14:anchorId="58092EEF" wp14:editId="735A68C1">
            <wp:extent cx="5691388" cy="4433988"/>
            <wp:effectExtent l="0" t="0" r="0" b="0"/>
            <wp:docPr id="1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0027" t="13579" r="21588" b="5551"/>
                    <a:stretch>
                      <a:fillRect/>
                    </a:stretch>
                  </pic:blipFill>
                  <pic:spPr>
                    <a:xfrm>
                      <a:off x="0" y="0"/>
                      <a:ext cx="5691388" cy="4433988"/>
                    </a:xfrm>
                    <a:prstGeom prst="rect">
                      <a:avLst/>
                    </a:prstGeom>
                    <a:ln/>
                  </pic:spPr>
                </pic:pic>
              </a:graphicData>
            </a:graphic>
          </wp:inline>
        </w:drawing>
      </w:r>
    </w:p>
    <w:p w14:paraId="1E08EBD5"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574C0B91"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No </w:t>
      </w:r>
      <w:proofErr w:type="gramStart"/>
      <w:r w:rsidRPr="00AE73B6">
        <w:rPr>
          <w:rFonts w:ascii="Palatino Linotype" w:eastAsia="Palatino Linotype" w:hAnsi="Palatino Linotype" w:cs="Palatino Linotype"/>
          <w:sz w:val="24"/>
          <w:szCs w:val="24"/>
        </w:rPr>
        <w:t>obstante</w:t>
      </w:r>
      <w:proofErr w:type="gramEnd"/>
      <w:r w:rsidRPr="00AE73B6">
        <w:rPr>
          <w:rFonts w:ascii="Palatino Linotype" w:eastAsia="Palatino Linotype" w:hAnsi="Palatino Linotype" w:cs="Palatino Linotype"/>
          <w:sz w:val="24"/>
          <w:szCs w:val="24"/>
        </w:rPr>
        <w:t xml:space="preserve"> a ello, se observan diversos formatos PbRM-01d, que guardan relación con el Instituto Municipal de la Mujer, por lo cual se adjunta un formato a manera de ejemplo:</w:t>
      </w:r>
    </w:p>
    <w:p w14:paraId="1B649491"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noProof/>
        </w:rPr>
        <w:lastRenderedPageBreak/>
        <w:drawing>
          <wp:inline distT="0" distB="0" distL="0" distR="0" wp14:anchorId="6E719D76" wp14:editId="17B2A0B2">
            <wp:extent cx="5446227" cy="4319813"/>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3271" t="18105" r="24304" b="7966"/>
                    <a:stretch>
                      <a:fillRect/>
                    </a:stretch>
                  </pic:blipFill>
                  <pic:spPr>
                    <a:xfrm>
                      <a:off x="0" y="0"/>
                      <a:ext cx="5446227" cy="4319813"/>
                    </a:xfrm>
                    <a:prstGeom prst="rect">
                      <a:avLst/>
                    </a:prstGeom>
                    <a:ln/>
                  </pic:spPr>
                </pic:pic>
              </a:graphicData>
            </a:graphic>
          </wp:inline>
        </w:drawing>
      </w:r>
    </w:p>
    <w:p w14:paraId="7CA43ED0"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440A9DFC"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665BA017"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Al respecto resulta oportuno citar que respecto al formato PbRM-01d el siguiente manual establece lo siguiente:</w:t>
      </w:r>
    </w:p>
    <w:p w14:paraId="64198080"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416388CA" w14:textId="77777777" w:rsidR="008C0D13" w:rsidRPr="00AE73B6" w:rsidRDefault="00EE3C25">
      <w:pPr>
        <w:spacing w:after="0" w:line="360" w:lineRule="auto"/>
        <w:ind w:left="851" w:right="900"/>
        <w:jc w:val="both"/>
        <w:rPr>
          <w:rFonts w:ascii="Palatino Linotype" w:eastAsia="Palatino Linotype" w:hAnsi="Palatino Linotype" w:cs="Palatino Linotype"/>
          <w:b/>
          <w:i/>
        </w:rPr>
      </w:pPr>
      <w:r w:rsidRPr="00AE73B6">
        <w:rPr>
          <w:rFonts w:ascii="Palatino Linotype" w:eastAsia="Palatino Linotype" w:hAnsi="Palatino Linotype" w:cs="Palatino Linotype"/>
          <w:b/>
          <w:i/>
        </w:rPr>
        <w:t>MANUAL PARA LA PLANEACIÓN, PROGRAMACIÓN Y PRESUPUESTO DE EGRESOS MUNICIPAL PARA EL EJERCICIO FISCAL 2022.</w:t>
      </w:r>
    </w:p>
    <w:p w14:paraId="22838281" w14:textId="77777777" w:rsidR="008C0D13" w:rsidRPr="00AE73B6" w:rsidRDefault="008C0D13">
      <w:pPr>
        <w:spacing w:after="0" w:line="360" w:lineRule="auto"/>
        <w:ind w:left="851" w:right="900"/>
        <w:jc w:val="both"/>
        <w:rPr>
          <w:rFonts w:ascii="Palatino Linotype" w:eastAsia="Palatino Linotype" w:hAnsi="Palatino Linotype" w:cs="Palatino Linotype"/>
          <w:i/>
        </w:rPr>
      </w:pPr>
    </w:p>
    <w:p w14:paraId="2A324F87" w14:textId="77777777" w:rsidR="008C0D13" w:rsidRPr="00AE73B6" w:rsidRDefault="00EE3C25">
      <w:pPr>
        <w:spacing w:after="0" w:line="360"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lastRenderedPageBreak/>
        <w:t>El formato PbRM-01d “Ficha técnica de diseño de indicadores estratégicos o de gestión 2022”,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w:t>
      </w:r>
    </w:p>
    <w:p w14:paraId="6721BE84" w14:textId="77777777" w:rsidR="008C0D13" w:rsidRPr="00AE73B6" w:rsidRDefault="00EE3C25">
      <w:pPr>
        <w:spacing w:after="0" w:line="360"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1496AAF1" w14:textId="77777777" w:rsidR="008C0D13" w:rsidRPr="00AE73B6" w:rsidRDefault="008C0D13">
      <w:pPr>
        <w:spacing w:after="0" w:line="360" w:lineRule="auto"/>
        <w:ind w:left="851" w:right="900"/>
        <w:jc w:val="both"/>
        <w:rPr>
          <w:rFonts w:ascii="Palatino Linotype" w:eastAsia="Palatino Linotype" w:hAnsi="Palatino Linotype" w:cs="Palatino Linotype"/>
          <w:i/>
        </w:rPr>
      </w:pPr>
    </w:p>
    <w:p w14:paraId="7328A2FC" w14:textId="77777777" w:rsidR="008C0D13" w:rsidRPr="00AE73B6" w:rsidRDefault="00EE3C25">
      <w:pPr>
        <w:spacing w:after="0" w:line="360" w:lineRule="auto"/>
        <w:ind w:left="851" w:right="900"/>
        <w:jc w:val="both"/>
        <w:rPr>
          <w:rFonts w:ascii="Palatino Linotype" w:eastAsia="Palatino Linotype" w:hAnsi="Palatino Linotype" w:cs="Palatino Linotype"/>
          <w:i/>
        </w:rPr>
      </w:pPr>
      <w:r w:rsidRPr="00AE73B6">
        <w:rPr>
          <w:rFonts w:ascii="Palatino Linotype" w:eastAsia="Palatino Linotype" w:hAnsi="Palatino Linotype" w:cs="Palatino Linotype"/>
          <w:i/>
        </w:rPr>
        <w:t>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14:paraId="790189AA"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noProof/>
        </w:rPr>
        <w:drawing>
          <wp:inline distT="0" distB="0" distL="0" distR="0" wp14:anchorId="3ACB84A3" wp14:editId="2CAC2EFE">
            <wp:extent cx="5556773" cy="897893"/>
            <wp:effectExtent l="0" t="0" r="0" b="0"/>
            <wp:docPr id="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29870" t="45865" r="14460" b="38141"/>
                    <a:stretch>
                      <a:fillRect/>
                    </a:stretch>
                  </pic:blipFill>
                  <pic:spPr>
                    <a:xfrm>
                      <a:off x="0" y="0"/>
                      <a:ext cx="5556773" cy="897893"/>
                    </a:xfrm>
                    <a:prstGeom prst="rect">
                      <a:avLst/>
                    </a:prstGeom>
                    <a:ln/>
                  </pic:spPr>
                </pic:pic>
              </a:graphicData>
            </a:graphic>
          </wp:inline>
        </w:drawing>
      </w:r>
    </w:p>
    <w:p w14:paraId="4B0B432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Que de acuerdo a lo anterior el formato PbRM-01d finalidad el registro de los indicadores de gestión mismos que deberán estar vinculados directamente a las metas programadas a efecto de medir el nivel de cumplimiento de objetivos y metas que comprende el Programa Anual, siendo el documento que colmó este punto de la solicitud. </w:t>
      </w:r>
    </w:p>
    <w:p w14:paraId="0A1C2DE0"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618A3C4"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que corresponde al Plan de la Comisaria de Seguridad Pública,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responde que el plan de la policía de genero consiste en el operativo rosa en donde se realizan seis operativos a la semana en las diferentes estaciones del </w:t>
      </w:r>
      <w:r w:rsidRPr="00AE73B6">
        <w:rPr>
          <w:rFonts w:ascii="Palatino Linotype" w:eastAsia="Palatino Linotype" w:hAnsi="Palatino Linotype" w:cs="Palatino Linotype"/>
          <w:sz w:val="24"/>
          <w:szCs w:val="24"/>
        </w:rPr>
        <w:lastRenderedPageBreak/>
        <w:t xml:space="preserve">Mexibús, capacitación al personal de policial de género en temas relacionados a los protocolos de actuación en violencia de género, recorridos diarios en el Municipio para prevenir la violencia de género, actuación de policía de genero atendiendo los llamados de emergencia, así como la difusión de los diversos servicios que se brindan y la jornada médico asistencial a cargo del DIF, todos los viernes a todas las personas vulnerables. </w:t>
      </w:r>
    </w:p>
    <w:p w14:paraId="2A4F9BA7"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B131C7A" w14:textId="77777777" w:rsidR="008C0D13" w:rsidRPr="00AE73B6" w:rsidRDefault="00EE3C25">
      <w:pPr>
        <w:spacing w:after="0" w:line="360" w:lineRule="auto"/>
        <w:ind w:right="-93"/>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Así mismo el Particular al rendir sus manifestaciones refiere</w:t>
      </w:r>
      <w:r w:rsidRPr="00AE73B6">
        <w:rPr>
          <w:rFonts w:ascii="Palatino Linotype" w:eastAsia="Palatino Linotype" w:hAnsi="Palatino Linotype" w:cs="Palatino Linotype"/>
          <w:i/>
          <w:sz w:val="24"/>
          <w:szCs w:val="24"/>
        </w:rPr>
        <w:t xml:space="preserve"> (…) contesta escuetamente, (Sic)</w:t>
      </w:r>
      <w:r w:rsidRPr="00AE73B6">
        <w:rPr>
          <w:rFonts w:ascii="Palatino Linotype" w:eastAsia="Palatino Linotype" w:hAnsi="Palatino Linotype" w:cs="Palatino Linotype"/>
          <w:sz w:val="24"/>
          <w:szCs w:val="24"/>
        </w:rPr>
        <w:t xml:space="preserve">, respecto de estas manifestaciones es necesario precisar que se trata de aseveraciones personales del ahora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que no encuadra en el derecho de acceso a la información pública, por lo que, dichas manifestaciones son de índole subjetivas y se constituyen como opiniones meramente personales, que no pueden ser atendidas conforme a la materia de transparencia o acceso a la información pública, pues ya que se tratan de afirmaciones personales del Particular,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14:paraId="373840BF" w14:textId="77777777" w:rsidR="008C0D13" w:rsidRPr="00AE73B6" w:rsidRDefault="008C0D13">
      <w:pPr>
        <w:spacing w:after="0" w:line="360" w:lineRule="auto"/>
        <w:ind w:right="-93"/>
        <w:jc w:val="both"/>
        <w:rPr>
          <w:rFonts w:ascii="Palatino Linotype" w:eastAsia="Palatino Linotype" w:hAnsi="Palatino Linotype" w:cs="Palatino Linotype"/>
          <w:sz w:val="24"/>
          <w:szCs w:val="24"/>
        </w:rPr>
      </w:pPr>
    </w:p>
    <w:p w14:paraId="0418C3B8"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QUINTO. VERSIÓN PÚBLICA. </w:t>
      </w:r>
      <w:r w:rsidRPr="00AE73B6">
        <w:rPr>
          <w:rFonts w:ascii="Palatino Linotype" w:eastAsia="Palatino Linotype" w:hAnsi="Palatino Linotype" w:cs="Palatino Linotype"/>
          <w:sz w:val="24"/>
          <w:szCs w:val="24"/>
        </w:rPr>
        <w:t xml:space="preserve">Finalmente, debe señalarse que de ser el caso en que los documentos que vayan a ser entregados por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para dar </w:t>
      </w:r>
      <w:r w:rsidRPr="00AE73B6">
        <w:rPr>
          <w:rFonts w:ascii="Palatino Linotype" w:eastAsia="Palatino Linotype" w:hAnsi="Palatino Linotype" w:cs="Palatino Linotype"/>
          <w:sz w:val="24"/>
          <w:szCs w:val="24"/>
        </w:rPr>
        <w:lastRenderedPageBreak/>
        <w:t xml:space="preserve">cumplimiento a la presente resolución, contengan datos que deban ser clasificados como es el caso del Protocolo de Actuación en Materia de Genero del Instituto Municipal de la Mujer, </w:t>
      </w:r>
      <w:r w:rsidRPr="00AE73B6">
        <w:rPr>
          <w:rFonts w:ascii="Palatino Linotype" w:eastAsia="Palatino Linotype" w:hAnsi="Palatino Linotype" w:cs="Palatino Linotype"/>
          <w:b/>
          <w:sz w:val="24"/>
          <w:szCs w:val="24"/>
        </w:rPr>
        <w:t>EL SUJETO OBLIGADO</w:t>
      </w:r>
      <w:r w:rsidRPr="00AE73B6">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51925A3"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70C5B61A"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BE8061E"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F3FA4B6" w14:textId="77777777" w:rsidR="008C0D13" w:rsidRPr="00AE73B6" w:rsidRDefault="00EE3C25">
      <w:pPr>
        <w:spacing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r w:rsidRPr="00AE73B6">
        <w:rPr>
          <w:rFonts w:ascii="Palatino Linotype" w:eastAsia="Palatino Linotype" w:hAnsi="Palatino Linotype" w:cs="Palatino Linotype"/>
          <w:b/>
          <w:i/>
        </w:rPr>
        <w:t>Artículo 3</w:t>
      </w:r>
      <w:r w:rsidRPr="00AE73B6">
        <w:rPr>
          <w:rFonts w:ascii="Palatino Linotype" w:eastAsia="Palatino Linotype" w:hAnsi="Palatino Linotype" w:cs="Palatino Linotype"/>
          <w:i/>
        </w:rPr>
        <w:t>. Para los efectos de la presente Ley se entenderá por:</w:t>
      </w:r>
    </w:p>
    <w:p w14:paraId="079E9EAE"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6B3A3467"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IX. Datos personales</w:t>
      </w:r>
      <w:r w:rsidRPr="00AE73B6">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2F9404A"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XX. Información clasificada</w:t>
      </w:r>
      <w:r w:rsidRPr="00AE73B6">
        <w:rPr>
          <w:rFonts w:ascii="Palatino Linotype" w:eastAsia="Palatino Linotype" w:hAnsi="Palatino Linotype" w:cs="Palatino Linotype"/>
          <w:i/>
        </w:rPr>
        <w:t>: Aquella considerada por la presente Ley como reservada o confidencial;</w:t>
      </w:r>
    </w:p>
    <w:p w14:paraId="1F242DE0"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 xml:space="preserve">XXI. Información confidencial: </w:t>
      </w:r>
      <w:r w:rsidRPr="00AE73B6">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00BFCB"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XLV. Versión pública:</w:t>
      </w:r>
      <w:r w:rsidRPr="00AE73B6">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19CAAB49"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0F19CF83"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lastRenderedPageBreak/>
        <w:t>Artículo 91.</w:t>
      </w:r>
      <w:r w:rsidRPr="00AE73B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C3A8CB5"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Artículo 132.</w:t>
      </w:r>
      <w:r w:rsidRPr="00AE73B6">
        <w:rPr>
          <w:rFonts w:ascii="Palatino Linotype" w:eastAsia="Palatino Linotype" w:hAnsi="Palatino Linotype" w:cs="Palatino Linotype"/>
          <w:i/>
        </w:rPr>
        <w:t xml:space="preserve"> La clasificación de la información se llevará a cabo en el momento en que:</w:t>
      </w:r>
    </w:p>
    <w:p w14:paraId="1D34FDD5"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w:t>
      </w:r>
      <w:r w:rsidRPr="00AE73B6">
        <w:rPr>
          <w:rFonts w:ascii="Palatino Linotype" w:eastAsia="Palatino Linotype" w:hAnsi="Palatino Linotype" w:cs="Palatino Linotype"/>
          <w:i/>
        </w:rPr>
        <w:t>. Se reciba una solicitud de acceso a la información;</w:t>
      </w:r>
    </w:p>
    <w:p w14:paraId="14FA9472"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w:t>
      </w:r>
      <w:r w:rsidRPr="00AE73B6">
        <w:rPr>
          <w:rFonts w:ascii="Palatino Linotype" w:eastAsia="Palatino Linotype" w:hAnsi="Palatino Linotype" w:cs="Palatino Linotype"/>
          <w:i/>
        </w:rPr>
        <w:t xml:space="preserve"> Se determine mediante resolución de autoridad competente; o</w:t>
      </w:r>
    </w:p>
    <w:p w14:paraId="6C1D9880"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III.</w:t>
      </w:r>
      <w:r w:rsidRPr="00AE73B6">
        <w:rPr>
          <w:rFonts w:ascii="Palatino Linotype" w:eastAsia="Palatino Linotype" w:hAnsi="Palatino Linotype" w:cs="Palatino Linotype"/>
          <w:i/>
        </w:rPr>
        <w:t xml:space="preserve"> Se generen versiones públicas para dar cumplimiento a las obligaciones de transparencia previstas en esta Ley.</w:t>
      </w:r>
    </w:p>
    <w:p w14:paraId="46706474"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w:t>
      </w:r>
    </w:p>
    <w:p w14:paraId="60CA9D04"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Artículo 143</w:t>
      </w:r>
      <w:r w:rsidRPr="00AE73B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7F68B5A"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w:t>
      </w:r>
      <w:r w:rsidRPr="00AE73B6">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84CE0ED"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w:t>
      </w:r>
      <w:r w:rsidRPr="00AE73B6">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85DA6C9"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III.</w:t>
      </w:r>
      <w:r w:rsidRPr="00AE73B6">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BD439D3"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7BB0E1A"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E18A2A2" w14:textId="77777777" w:rsidR="008C0D13" w:rsidRPr="00AE73B6" w:rsidRDefault="008C0D13">
      <w:pPr>
        <w:spacing w:before="120" w:after="120"/>
        <w:ind w:left="851" w:right="902"/>
        <w:jc w:val="both"/>
        <w:rPr>
          <w:rFonts w:ascii="Palatino Linotype" w:eastAsia="Palatino Linotype" w:hAnsi="Palatino Linotype" w:cs="Palatino Linotype"/>
          <w:i/>
        </w:rPr>
      </w:pPr>
    </w:p>
    <w:p w14:paraId="0223FA9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w:t>
      </w:r>
      <w:r w:rsidRPr="00AE73B6">
        <w:rPr>
          <w:rFonts w:ascii="Palatino Linotype" w:eastAsia="Palatino Linotype" w:hAnsi="Palatino Linotype" w:cs="Palatino Linotype"/>
          <w:sz w:val="24"/>
          <w:szCs w:val="24"/>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524A1A"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24F1A4F6"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5522FDB"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1D02D122" w14:textId="77777777" w:rsidR="008C0D13" w:rsidRPr="00AE73B6" w:rsidRDefault="00EE3C25">
      <w:pPr>
        <w:spacing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“Quincuagésimo sexto</w:t>
      </w:r>
      <w:r w:rsidRPr="00AE73B6">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01DC066"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Quincuagésimo séptimo</w:t>
      </w:r>
      <w:r w:rsidRPr="00AE73B6">
        <w:rPr>
          <w:rFonts w:ascii="Palatino Linotype" w:eastAsia="Palatino Linotype" w:hAnsi="Palatino Linotype" w:cs="Palatino Linotype"/>
          <w:i/>
        </w:rPr>
        <w:t xml:space="preserve">. Se considera, en principio, como información pública y no podrá omitirse de las versiones públicas la siguiente: </w:t>
      </w:r>
    </w:p>
    <w:p w14:paraId="606AC1A0"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w:t>
      </w:r>
      <w:r w:rsidRPr="00AE73B6">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A92F648"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w:t>
      </w:r>
      <w:r w:rsidRPr="00AE73B6">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2FF1C38" w14:textId="77777777" w:rsidR="008C0D13" w:rsidRPr="00AE73B6" w:rsidRDefault="00EE3C25">
      <w:pPr>
        <w:spacing w:before="120" w:after="120"/>
        <w:ind w:left="1134"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t>III.</w:t>
      </w:r>
      <w:r w:rsidRPr="00AE73B6">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FEA781F" w14:textId="77777777" w:rsidR="008C0D13" w:rsidRPr="00AE73B6" w:rsidRDefault="00EE3C25">
      <w:pPr>
        <w:spacing w:before="120" w:after="120"/>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AE73B6">
        <w:rPr>
          <w:rFonts w:ascii="Palatino Linotype" w:eastAsia="Palatino Linotype" w:hAnsi="Palatino Linotype" w:cs="Palatino Linotype"/>
          <w:i/>
        </w:rPr>
        <w:t>internaciones suscritos</w:t>
      </w:r>
      <w:proofErr w:type="gramEnd"/>
      <w:r w:rsidRPr="00AE73B6">
        <w:rPr>
          <w:rFonts w:ascii="Palatino Linotype" w:eastAsia="Palatino Linotype" w:hAnsi="Palatino Linotype" w:cs="Palatino Linotype"/>
          <w:i/>
        </w:rPr>
        <w:t xml:space="preserve"> por el Estado mexicano. </w:t>
      </w:r>
    </w:p>
    <w:p w14:paraId="210F06C5" w14:textId="77777777" w:rsidR="008C0D13" w:rsidRPr="00AE73B6" w:rsidRDefault="00EE3C25">
      <w:pPr>
        <w:spacing w:after="0" w:line="360" w:lineRule="auto"/>
        <w:ind w:left="851" w:right="902"/>
        <w:jc w:val="both"/>
        <w:rPr>
          <w:rFonts w:ascii="Palatino Linotype" w:eastAsia="Palatino Linotype" w:hAnsi="Palatino Linotype" w:cs="Palatino Linotype"/>
          <w:i/>
        </w:rPr>
      </w:pPr>
      <w:r w:rsidRPr="00AE73B6">
        <w:rPr>
          <w:rFonts w:ascii="Palatino Linotype" w:eastAsia="Palatino Linotype" w:hAnsi="Palatino Linotype" w:cs="Palatino Linotype"/>
          <w:b/>
          <w:i/>
        </w:rPr>
        <w:lastRenderedPageBreak/>
        <w:t>Quincuagésimo octavo</w:t>
      </w:r>
      <w:r w:rsidRPr="00AE73B6">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8836E4F"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52BB620"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8F6B2E8" w14:textId="77777777" w:rsidR="008C0D13" w:rsidRPr="00AE73B6" w:rsidRDefault="00EE3C25">
      <w:pPr>
        <w:spacing w:after="24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2"/>
        <w:tblW w:w="8835" w:type="dxa"/>
        <w:tblInd w:w="0" w:type="dxa"/>
        <w:tblLayout w:type="fixed"/>
        <w:tblLook w:val="0400" w:firstRow="0" w:lastRow="0" w:firstColumn="0" w:lastColumn="0" w:noHBand="0" w:noVBand="1"/>
      </w:tblPr>
      <w:tblGrid>
        <w:gridCol w:w="993"/>
        <w:gridCol w:w="3424"/>
        <w:gridCol w:w="969"/>
        <w:gridCol w:w="3449"/>
      </w:tblGrid>
      <w:tr w:rsidR="00AE73B6" w:rsidRPr="00AE73B6" w14:paraId="11E7C81E" w14:textId="77777777">
        <w:tc>
          <w:tcPr>
            <w:tcW w:w="4417" w:type="dxa"/>
            <w:gridSpan w:val="2"/>
          </w:tcPr>
          <w:p w14:paraId="6B3A3A7B" w14:textId="77777777" w:rsidR="008C0D13" w:rsidRPr="00AE73B6" w:rsidRDefault="00EE3C25">
            <w:pPr>
              <w:jc w:val="center"/>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Parcial</w:t>
            </w:r>
          </w:p>
        </w:tc>
        <w:tc>
          <w:tcPr>
            <w:tcW w:w="4418" w:type="dxa"/>
            <w:gridSpan w:val="2"/>
          </w:tcPr>
          <w:p w14:paraId="33E27679" w14:textId="77777777" w:rsidR="008C0D13" w:rsidRPr="00AE73B6" w:rsidRDefault="00EE3C25">
            <w:pPr>
              <w:jc w:val="center"/>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Total</w:t>
            </w:r>
          </w:p>
        </w:tc>
      </w:tr>
      <w:tr w:rsidR="00AE73B6" w:rsidRPr="00AE73B6" w14:paraId="4B54B8F2" w14:textId="77777777">
        <w:tc>
          <w:tcPr>
            <w:tcW w:w="993" w:type="dxa"/>
          </w:tcPr>
          <w:p w14:paraId="03F4D74E" w14:textId="77777777" w:rsidR="008C0D13" w:rsidRPr="00AE73B6" w:rsidRDefault="00EE3C25">
            <w:pPr>
              <w:jc w:val="center"/>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Concepto</w:t>
            </w:r>
          </w:p>
        </w:tc>
        <w:tc>
          <w:tcPr>
            <w:tcW w:w="3424" w:type="dxa"/>
          </w:tcPr>
          <w:p w14:paraId="62F48BD9" w14:textId="77777777" w:rsidR="008C0D13" w:rsidRPr="00AE73B6" w:rsidRDefault="00EE3C25">
            <w:pPr>
              <w:jc w:val="center"/>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Dónde</w:t>
            </w:r>
          </w:p>
        </w:tc>
        <w:tc>
          <w:tcPr>
            <w:tcW w:w="969" w:type="dxa"/>
          </w:tcPr>
          <w:p w14:paraId="5AA5ECBB" w14:textId="77777777" w:rsidR="008C0D13" w:rsidRPr="00AE73B6" w:rsidRDefault="00EE3C25">
            <w:pPr>
              <w:jc w:val="center"/>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Concepto</w:t>
            </w:r>
          </w:p>
        </w:tc>
        <w:tc>
          <w:tcPr>
            <w:tcW w:w="3449" w:type="dxa"/>
          </w:tcPr>
          <w:p w14:paraId="2A77A72A" w14:textId="77777777" w:rsidR="008C0D13" w:rsidRPr="00AE73B6" w:rsidRDefault="00EE3C25">
            <w:pPr>
              <w:jc w:val="center"/>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Dónde</w:t>
            </w:r>
          </w:p>
        </w:tc>
      </w:tr>
      <w:tr w:rsidR="00AE73B6" w:rsidRPr="00AE73B6" w14:paraId="3DB7954A" w14:textId="77777777">
        <w:tc>
          <w:tcPr>
            <w:tcW w:w="8835" w:type="dxa"/>
            <w:gridSpan w:val="4"/>
          </w:tcPr>
          <w:p w14:paraId="0C47E8B8" w14:textId="77777777" w:rsidR="008C0D13" w:rsidRPr="00AE73B6" w:rsidRDefault="00EE3C25">
            <w:pPr>
              <w:jc w:val="center"/>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Sello oficial o logotipo del sujeto obligado</w:t>
            </w:r>
          </w:p>
        </w:tc>
      </w:tr>
      <w:tr w:rsidR="00AE73B6" w:rsidRPr="00AE73B6" w14:paraId="27B13D38" w14:textId="77777777">
        <w:tc>
          <w:tcPr>
            <w:tcW w:w="993" w:type="dxa"/>
          </w:tcPr>
          <w:p w14:paraId="46E7056F"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Fecha de clasificación</w:t>
            </w:r>
          </w:p>
        </w:tc>
        <w:tc>
          <w:tcPr>
            <w:tcW w:w="3424" w:type="dxa"/>
          </w:tcPr>
          <w:p w14:paraId="27C84D17"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4A42360F"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Fecha de clasificación</w:t>
            </w:r>
          </w:p>
        </w:tc>
        <w:tc>
          <w:tcPr>
            <w:tcW w:w="3449" w:type="dxa"/>
          </w:tcPr>
          <w:p w14:paraId="6920BAF5"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E73B6" w:rsidRPr="00AE73B6" w14:paraId="455BD60A" w14:textId="77777777">
        <w:tc>
          <w:tcPr>
            <w:tcW w:w="993" w:type="dxa"/>
          </w:tcPr>
          <w:p w14:paraId="55865C9E"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Área</w:t>
            </w:r>
          </w:p>
        </w:tc>
        <w:tc>
          <w:tcPr>
            <w:tcW w:w="3424" w:type="dxa"/>
          </w:tcPr>
          <w:p w14:paraId="1E9BF9FC"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área del cual es titular quien clasifica.</w:t>
            </w:r>
          </w:p>
        </w:tc>
        <w:tc>
          <w:tcPr>
            <w:tcW w:w="969" w:type="dxa"/>
          </w:tcPr>
          <w:p w14:paraId="60D1F131"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Área</w:t>
            </w:r>
          </w:p>
        </w:tc>
        <w:tc>
          <w:tcPr>
            <w:tcW w:w="3449" w:type="dxa"/>
          </w:tcPr>
          <w:p w14:paraId="711ECAED"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área de la cual es el titular quien clasifica.</w:t>
            </w:r>
          </w:p>
        </w:tc>
      </w:tr>
      <w:tr w:rsidR="00AE73B6" w:rsidRPr="00AE73B6" w14:paraId="3109620F" w14:textId="77777777">
        <w:tc>
          <w:tcPr>
            <w:tcW w:w="993" w:type="dxa"/>
          </w:tcPr>
          <w:p w14:paraId="6F2F25DB"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Información reservada</w:t>
            </w:r>
          </w:p>
        </w:tc>
        <w:tc>
          <w:tcPr>
            <w:tcW w:w="3424" w:type="dxa"/>
          </w:tcPr>
          <w:p w14:paraId="7ECC35CB"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7B38BB08"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Reservado</w:t>
            </w:r>
          </w:p>
        </w:tc>
        <w:tc>
          <w:tcPr>
            <w:tcW w:w="3449" w:type="dxa"/>
          </w:tcPr>
          <w:p w14:paraId="4A6C1FB6"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Leyenda de información RESERVADA.</w:t>
            </w:r>
          </w:p>
        </w:tc>
      </w:tr>
      <w:tr w:rsidR="00AE73B6" w:rsidRPr="00AE73B6" w14:paraId="3A735AF2" w14:textId="77777777">
        <w:tc>
          <w:tcPr>
            <w:tcW w:w="993" w:type="dxa"/>
          </w:tcPr>
          <w:p w14:paraId="5003A43A"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lastRenderedPageBreak/>
              <w:t>Fundamento legal</w:t>
            </w:r>
          </w:p>
        </w:tc>
        <w:tc>
          <w:tcPr>
            <w:tcW w:w="3424" w:type="dxa"/>
          </w:tcPr>
          <w:p w14:paraId="36C0298D"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0506CFF5"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Periodo de reserva</w:t>
            </w:r>
          </w:p>
        </w:tc>
        <w:tc>
          <w:tcPr>
            <w:tcW w:w="3449" w:type="dxa"/>
          </w:tcPr>
          <w:p w14:paraId="71649349"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E73B6" w:rsidRPr="00AE73B6" w14:paraId="5A4CA6B7" w14:textId="77777777">
        <w:tc>
          <w:tcPr>
            <w:tcW w:w="993" w:type="dxa"/>
          </w:tcPr>
          <w:p w14:paraId="7674C077"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Ampliación del periodo de reserva</w:t>
            </w:r>
          </w:p>
        </w:tc>
        <w:tc>
          <w:tcPr>
            <w:tcW w:w="3424" w:type="dxa"/>
          </w:tcPr>
          <w:p w14:paraId="78088B2A"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7ACFC6DC"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Fundamento legal</w:t>
            </w:r>
          </w:p>
        </w:tc>
        <w:tc>
          <w:tcPr>
            <w:tcW w:w="3449" w:type="dxa"/>
          </w:tcPr>
          <w:p w14:paraId="100CE8D3"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E73B6" w:rsidRPr="00AE73B6" w14:paraId="5E00C9D6" w14:textId="77777777">
        <w:tc>
          <w:tcPr>
            <w:tcW w:w="993" w:type="dxa"/>
          </w:tcPr>
          <w:p w14:paraId="49A49FEF"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Confidencial</w:t>
            </w:r>
          </w:p>
        </w:tc>
        <w:tc>
          <w:tcPr>
            <w:tcW w:w="3424" w:type="dxa"/>
          </w:tcPr>
          <w:p w14:paraId="4B986B6A"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315DA850"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Ampliación del periodo de reserva</w:t>
            </w:r>
          </w:p>
        </w:tc>
        <w:tc>
          <w:tcPr>
            <w:tcW w:w="3449" w:type="dxa"/>
          </w:tcPr>
          <w:p w14:paraId="710EC0A1"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E73B6" w:rsidRPr="00AE73B6" w14:paraId="7DE7F89A" w14:textId="77777777">
        <w:tc>
          <w:tcPr>
            <w:tcW w:w="993" w:type="dxa"/>
          </w:tcPr>
          <w:p w14:paraId="5F4BFF91"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Fundamento legal</w:t>
            </w:r>
          </w:p>
        </w:tc>
        <w:tc>
          <w:tcPr>
            <w:tcW w:w="3424" w:type="dxa"/>
          </w:tcPr>
          <w:p w14:paraId="01983BF1"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48402CFF"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Confidencial</w:t>
            </w:r>
          </w:p>
        </w:tc>
        <w:tc>
          <w:tcPr>
            <w:tcW w:w="3449" w:type="dxa"/>
          </w:tcPr>
          <w:p w14:paraId="610AFF10"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Leyenda de información CONFIDENCIAL.</w:t>
            </w:r>
          </w:p>
        </w:tc>
      </w:tr>
      <w:tr w:rsidR="00AE73B6" w:rsidRPr="00AE73B6" w14:paraId="0C5A1125" w14:textId="77777777">
        <w:tc>
          <w:tcPr>
            <w:tcW w:w="993" w:type="dxa"/>
          </w:tcPr>
          <w:p w14:paraId="47392C72"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del titular del área</w:t>
            </w:r>
          </w:p>
        </w:tc>
        <w:tc>
          <w:tcPr>
            <w:tcW w:w="3424" w:type="dxa"/>
          </w:tcPr>
          <w:p w14:paraId="776AFF08"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autógrafa de quien clasifica.</w:t>
            </w:r>
          </w:p>
        </w:tc>
        <w:tc>
          <w:tcPr>
            <w:tcW w:w="969" w:type="dxa"/>
          </w:tcPr>
          <w:p w14:paraId="5EC6CC24"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Fundamento legal</w:t>
            </w:r>
          </w:p>
        </w:tc>
        <w:tc>
          <w:tcPr>
            <w:tcW w:w="3449" w:type="dxa"/>
          </w:tcPr>
          <w:p w14:paraId="0B927333"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E73B6" w:rsidRPr="00AE73B6" w14:paraId="7D570B3C" w14:textId="77777777">
        <w:tc>
          <w:tcPr>
            <w:tcW w:w="993" w:type="dxa"/>
          </w:tcPr>
          <w:p w14:paraId="765072F5"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Fecha de desclasificación</w:t>
            </w:r>
          </w:p>
        </w:tc>
        <w:tc>
          <w:tcPr>
            <w:tcW w:w="3424" w:type="dxa"/>
          </w:tcPr>
          <w:p w14:paraId="07571BE4"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anotará la fecha en que se desclasifica el documento.</w:t>
            </w:r>
          </w:p>
        </w:tc>
        <w:tc>
          <w:tcPr>
            <w:tcW w:w="969" w:type="dxa"/>
          </w:tcPr>
          <w:p w14:paraId="33D5A91C"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Rúbrica del titular del área</w:t>
            </w:r>
          </w:p>
        </w:tc>
        <w:tc>
          <w:tcPr>
            <w:tcW w:w="3449" w:type="dxa"/>
          </w:tcPr>
          <w:p w14:paraId="26C56240"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autógrafa de quien clasifica.</w:t>
            </w:r>
          </w:p>
        </w:tc>
      </w:tr>
      <w:tr w:rsidR="00AE73B6" w:rsidRPr="00AE73B6" w14:paraId="4484A31C" w14:textId="77777777">
        <w:tc>
          <w:tcPr>
            <w:tcW w:w="993" w:type="dxa"/>
          </w:tcPr>
          <w:p w14:paraId="0F5702C6"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y cargo del servidor público</w:t>
            </w:r>
          </w:p>
        </w:tc>
        <w:tc>
          <w:tcPr>
            <w:tcW w:w="3424" w:type="dxa"/>
          </w:tcPr>
          <w:p w14:paraId="181210B7"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autógrafa de quien desclasifica.</w:t>
            </w:r>
          </w:p>
        </w:tc>
        <w:tc>
          <w:tcPr>
            <w:tcW w:w="969" w:type="dxa"/>
          </w:tcPr>
          <w:p w14:paraId="08180B75"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Fecha de desclasificación</w:t>
            </w:r>
          </w:p>
        </w:tc>
        <w:tc>
          <w:tcPr>
            <w:tcW w:w="3449" w:type="dxa"/>
          </w:tcPr>
          <w:p w14:paraId="1D7C4C37"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Se anotará la fecha en que se desclasifica.</w:t>
            </w:r>
          </w:p>
        </w:tc>
      </w:tr>
      <w:tr w:rsidR="00AE73B6" w:rsidRPr="00AE73B6" w14:paraId="39EC5E48" w14:textId="77777777">
        <w:tc>
          <w:tcPr>
            <w:tcW w:w="993" w:type="dxa"/>
          </w:tcPr>
          <w:p w14:paraId="2F724DCD" w14:textId="77777777" w:rsidR="008C0D13" w:rsidRPr="00AE73B6" w:rsidRDefault="008C0D13">
            <w:pPr>
              <w:jc w:val="both"/>
              <w:rPr>
                <w:rFonts w:ascii="Palatino Linotype" w:eastAsia="Palatino Linotype" w:hAnsi="Palatino Linotype" w:cs="Palatino Linotype"/>
                <w:sz w:val="12"/>
                <w:szCs w:val="12"/>
              </w:rPr>
            </w:pPr>
          </w:p>
        </w:tc>
        <w:tc>
          <w:tcPr>
            <w:tcW w:w="3424" w:type="dxa"/>
          </w:tcPr>
          <w:p w14:paraId="4F1F8923" w14:textId="77777777" w:rsidR="008C0D13" w:rsidRPr="00AE73B6" w:rsidRDefault="008C0D13">
            <w:pPr>
              <w:jc w:val="both"/>
              <w:rPr>
                <w:rFonts w:ascii="Palatino Linotype" w:eastAsia="Palatino Linotype" w:hAnsi="Palatino Linotype" w:cs="Palatino Linotype"/>
                <w:sz w:val="12"/>
                <w:szCs w:val="12"/>
              </w:rPr>
            </w:pPr>
          </w:p>
        </w:tc>
        <w:tc>
          <w:tcPr>
            <w:tcW w:w="969" w:type="dxa"/>
          </w:tcPr>
          <w:p w14:paraId="07DCF17D"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Partes o secciones reservadas o confidenciales</w:t>
            </w:r>
          </w:p>
        </w:tc>
        <w:tc>
          <w:tcPr>
            <w:tcW w:w="3449" w:type="dxa"/>
          </w:tcPr>
          <w:p w14:paraId="4228FFDB"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 xml:space="preserve">En caso que una vez desclasificado el expediente, </w:t>
            </w:r>
            <w:proofErr w:type="spellStart"/>
            <w:r w:rsidRPr="00AE73B6">
              <w:rPr>
                <w:rFonts w:ascii="Palatino Linotype" w:eastAsia="Palatino Linotype" w:hAnsi="Palatino Linotype" w:cs="Palatino Linotype"/>
                <w:sz w:val="12"/>
                <w:szCs w:val="12"/>
              </w:rPr>
              <w:t>subsistanpartes</w:t>
            </w:r>
            <w:proofErr w:type="spellEnd"/>
            <w:r w:rsidRPr="00AE73B6">
              <w:rPr>
                <w:rFonts w:ascii="Palatino Linotype" w:eastAsia="Palatino Linotype" w:hAnsi="Palatino Linotype" w:cs="Palatino Linotype"/>
                <w:sz w:val="12"/>
                <w:szCs w:val="12"/>
              </w:rPr>
              <w:t xml:space="preserve"> o secciones del mismo reservadas o confidenciales, se señalará este hecho.</w:t>
            </w:r>
          </w:p>
        </w:tc>
      </w:tr>
      <w:tr w:rsidR="00AE73B6" w:rsidRPr="00AE73B6" w14:paraId="2AB6D99A" w14:textId="77777777">
        <w:tc>
          <w:tcPr>
            <w:tcW w:w="993" w:type="dxa"/>
          </w:tcPr>
          <w:p w14:paraId="3BE9D54F" w14:textId="77777777" w:rsidR="008C0D13" w:rsidRPr="00AE73B6" w:rsidRDefault="008C0D13">
            <w:pPr>
              <w:jc w:val="both"/>
              <w:rPr>
                <w:rFonts w:ascii="Palatino Linotype" w:eastAsia="Palatino Linotype" w:hAnsi="Palatino Linotype" w:cs="Palatino Linotype"/>
                <w:sz w:val="12"/>
                <w:szCs w:val="12"/>
              </w:rPr>
            </w:pPr>
          </w:p>
        </w:tc>
        <w:tc>
          <w:tcPr>
            <w:tcW w:w="3424" w:type="dxa"/>
          </w:tcPr>
          <w:p w14:paraId="14A919C9" w14:textId="77777777" w:rsidR="008C0D13" w:rsidRPr="00AE73B6" w:rsidRDefault="008C0D13">
            <w:pPr>
              <w:jc w:val="both"/>
              <w:rPr>
                <w:rFonts w:ascii="Palatino Linotype" w:eastAsia="Palatino Linotype" w:hAnsi="Palatino Linotype" w:cs="Palatino Linotype"/>
                <w:sz w:val="12"/>
                <w:szCs w:val="12"/>
              </w:rPr>
            </w:pPr>
          </w:p>
        </w:tc>
        <w:tc>
          <w:tcPr>
            <w:tcW w:w="969" w:type="dxa"/>
          </w:tcPr>
          <w:p w14:paraId="364EDE94" w14:textId="77777777" w:rsidR="008C0D13" w:rsidRPr="00AE73B6" w:rsidRDefault="00EE3C25">
            <w:pPr>
              <w:jc w:val="both"/>
              <w:rPr>
                <w:rFonts w:ascii="Palatino Linotype" w:eastAsia="Palatino Linotype" w:hAnsi="Palatino Linotype" w:cs="Palatino Linotype"/>
                <w:b/>
                <w:sz w:val="12"/>
                <w:szCs w:val="12"/>
              </w:rPr>
            </w:pPr>
            <w:r w:rsidRPr="00AE73B6">
              <w:rPr>
                <w:rFonts w:ascii="Palatino Linotype" w:eastAsia="Palatino Linotype" w:hAnsi="Palatino Linotype" w:cs="Palatino Linotype"/>
                <w:b/>
                <w:sz w:val="12"/>
                <w:szCs w:val="12"/>
              </w:rPr>
              <w:t>Rúbrica y cargo del servidor público</w:t>
            </w:r>
          </w:p>
        </w:tc>
        <w:tc>
          <w:tcPr>
            <w:tcW w:w="3449" w:type="dxa"/>
          </w:tcPr>
          <w:p w14:paraId="0ABDB434" w14:textId="77777777" w:rsidR="008C0D13" w:rsidRPr="00AE73B6" w:rsidRDefault="00EE3C25">
            <w:pPr>
              <w:jc w:val="both"/>
              <w:rPr>
                <w:rFonts w:ascii="Palatino Linotype" w:eastAsia="Palatino Linotype" w:hAnsi="Palatino Linotype" w:cs="Palatino Linotype"/>
                <w:sz w:val="12"/>
                <w:szCs w:val="12"/>
              </w:rPr>
            </w:pPr>
            <w:r w:rsidRPr="00AE73B6">
              <w:rPr>
                <w:rFonts w:ascii="Palatino Linotype" w:eastAsia="Palatino Linotype" w:hAnsi="Palatino Linotype" w:cs="Palatino Linotype"/>
                <w:sz w:val="12"/>
                <w:szCs w:val="12"/>
              </w:rPr>
              <w:t>Rúbrica autógrafa de quien desclasifica.</w:t>
            </w:r>
          </w:p>
        </w:tc>
      </w:tr>
    </w:tbl>
    <w:p w14:paraId="43C6B0F4"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87F4979"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06326FB7"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Así, con fundamento en lo prescrito en los</w:t>
      </w:r>
      <w:r w:rsidRPr="00AE73B6">
        <w:rPr>
          <w:rFonts w:ascii="Times New Roman" w:eastAsia="Times New Roman" w:hAnsi="Times New Roman" w:cs="Times New Roman"/>
          <w:sz w:val="24"/>
          <w:szCs w:val="24"/>
        </w:rPr>
        <w:t xml:space="preserve"> </w:t>
      </w:r>
      <w:r w:rsidRPr="00AE73B6">
        <w:rPr>
          <w:rFonts w:ascii="Palatino Linotype" w:eastAsia="Palatino Linotype" w:hAnsi="Palatino Linotype" w:cs="Palatino Linotype"/>
          <w:sz w:val="24"/>
          <w:szCs w:val="24"/>
        </w:rPr>
        <w:t xml:space="preserve">artículos 5 párrafos trigésimo, trigésimo primero y trigésimo segundo fracciones IV y V de la Constitución Política del Estado </w:t>
      </w:r>
      <w:r w:rsidRPr="00AE73B6">
        <w:rPr>
          <w:rFonts w:ascii="Palatino Linotype" w:eastAsia="Palatino Linotype" w:hAnsi="Palatino Linotype" w:cs="Palatino Linotype"/>
          <w:sz w:val="24"/>
          <w:szCs w:val="24"/>
        </w:rPr>
        <w:lastRenderedPageBreak/>
        <w:t>Libre y Soberano de México; 2, fracción II; 29, 36 fracciones I y II; 176, 178, 181, 185, fracción I, 186 y 188 de la Ley de Transparencia y Acceso a la Información Pública del Estado de México y Municipios, este Pleno:</w:t>
      </w:r>
    </w:p>
    <w:p w14:paraId="57F48144"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5A0FF9F9" w14:textId="77777777" w:rsidR="008C0D13" w:rsidRPr="00AE73B6" w:rsidRDefault="00EE3C25">
      <w:pPr>
        <w:spacing w:after="0" w:line="360" w:lineRule="auto"/>
        <w:ind w:left="-142" w:right="51"/>
        <w:jc w:val="center"/>
        <w:rPr>
          <w:rFonts w:ascii="Palatino Linotype" w:eastAsia="Palatino Linotype" w:hAnsi="Palatino Linotype" w:cs="Palatino Linotype"/>
          <w:b/>
          <w:sz w:val="28"/>
          <w:szCs w:val="28"/>
        </w:rPr>
      </w:pPr>
      <w:r w:rsidRPr="00AE73B6">
        <w:rPr>
          <w:rFonts w:ascii="Palatino Linotype" w:eastAsia="Palatino Linotype" w:hAnsi="Palatino Linotype" w:cs="Palatino Linotype"/>
          <w:b/>
          <w:sz w:val="28"/>
          <w:szCs w:val="28"/>
        </w:rPr>
        <w:t>R E S U E L V E:</w:t>
      </w:r>
    </w:p>
    <w:p w14:paraId="31F5B15B" w14:textId="77777777" w:rsidR="008C0D13" w:rsidRPr="00AE73B6" w:rsidRDefault="008C0D13">
      <w:pPr>
        <w:spacing w:after="0" w:line="360" w:lineRule="auto"/>
        <w:ind w:left="-142" w:right="51"/>
        <w:jc w:val="center"/>
        <w:rPr>
          <w:rFonts w:ascii="Palatino Linotype" w:eastAsia="Palatino Linotype" w:hAnsi="Palatino Linotype" w:cs="Palatino Linotype"/>
          <w:b/>
          <w:sz w:val="24"/>
          <w:szCs w:val="24"/>
        </w:rPr>
      </w:pPr>
    </w:p>
    <w:p w14:paraId="39A1B91D" w14:textId="77777777" w:rsidR="008C0D13" w:rsidRPr="00AE73B6" w:rsidRDefault="00EE3C25">
      <w:pPr>
        <w:spacing w:after="0" w:line="360" w:lineRule="auto"/>
        <w:ind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PRIMERO.</w:t>
      </w:r>
      <w:r w:rsidRPr="00AE73B6">
        <w:rPr>
          <w:rFonts w:ascii="Palatino Linotype" w:eastAsia="Palatino Linotype" w:hAnsi="Palatino Linotype" w:cs="Palatino Linotype"/>
          <w:sz w:val="24"/>
          <w:szCs w:val="24"/>
        </w:rPr>
        <w:t xml:space="preserve"> Resultan fundados los motivos de inconformidad hechos valer por </w:t>
      </w:r>
      <w:r w:rsidRPr="00AE73B6">
        <w:rPr>
          <w:rFonts w:ascii="Palatino Linotype" w:eastAsia="Palatino Linotype" w:hAnsi="Palatino Linotype" w:cs="Palatino Linotype"/>
          <w:b/>
          <w:sz w:val="24"/>
          <w:szCs w:val="24"/>
        </w:rPr>
        <w:t>EL RECURRENTE</w:t>
      </w:r>
      <w:r w:rsidRPr="00AE73B6">
        <w:rPr>
          <w:rFonts w:ascii="Palatino Linotype" w:eastAsia="Palatino Linotype" w:hAnsi="Palatino Linotype" w:cs="Palatino Linotype"/>
          <w:sz w:val="24"/>
          <w:szCs w:val="24"/>
        </w:rPr>
        <w:t xml:space="preserve"> en el recurso de revisión </w:t>
      </w:r>
      <w:r w:rsidRPr="00AE73B6">
        <w:rPr>
          <w:rFonts w:ascii="Palatino Linotype" w:eastAsia="Palatino Linotype" w:hAnsi="Palatino Linotype" w:cs="Palatino Linotype"/>
          <w:b/>
          <w:sz w:val="24"/>
          <w:szCs w:val="24"/>
        </w:rPr>
        <w:t>13324/INFOEM/IP/RR/2022</w:t>
      </w:r>
      <w:r w:rsidRPr="00AE73B6">
        <w:rPr>
          <w:rFonts w:ascii="Palatino Linotype" w:eastAsia="Palatino Linotype" w:hAnsi="Palatino Linotype" w:cs="Palatino Linotype"/>
          <w:sz w:val="24"/>
          <w:szCs w:val="24"/>
        </w:rPr>
        <w:t>, en términos del considerando cuarto.</w:t>
      </w:r>
    </w:p>
    <w:p w14:paraId="0C476B33"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2AE838F4" w14:textId="77777777" w:rsidR="008C0D13" w:rsidRPr="00AE73B6" w:rsidRDefault="00EE3C25">
      <w:pPr>
        <w:spacing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 xml:space="preserve">SEGUNDO. </w:t>
      </w:r>
      <w:r w:rsidRPr="00AE73B6">
        <w:rPr>
          <w:rFonts w:ascii="Palatino Linotype" w:eastAsia="Palatino Linotype" w:hAnsi="Palatino Linotype" w:cs="Palatino Linotype"/>
          <w:sz w:val="24"/>
          <w:szCs w:val="24"/>
        </w:rPr>
        <w:t xml:space="preserve">Se </w:t>
      </w:r>
      <w:r w:rsidRPr="00AE73B6">
        <w:rPr>
          <w:rFonts w:ascii="Palatino Linotype" w:eastAsia="Palatino Linotype" w:hAnsi="Palatino Linotype" w:cs="Palatino Linotype"/>
          <w:b/>
          <w:sz w:val="24"/>
          <w:szCs w:val="24"/>
        </w:rPr>
        <w:t>MODIFICA</w:t>
      </w:r>
      <w:r w:rsidRPr="00AE73B6">
        <w:rPr>
          <w:rFonts w:ascii="Palatino Linotype" w:eastAsia="Palatino Linotype" w:hAnsi="Palatino Linotype" w:cs="Palatino Linotype"/>
          <w:sz w:val="24"/>
          <w:szCs w:val="24"/>
        </w:rPr>
        <w:t xml:space="preserve"> la respuesta del </w:t>
      </w:r>
      <w:r w:rsidRPr="00AE73B6">
        <w:rPr>
          <w:rFonts w:ascii="Palatino Linotype" w:eastAsia="Palatino Linotype" w:hAnsi="Palatino Linotype" w:cs="Palatino Linotype"/>
          <w:b/>
          <w:sz w:val="24"/>
          <w:szCs w:val="24"/>
        </w:rPr>
        <w:t>SUJETO OBLIGADO</w:t>
      </w:r>
      <w:r w:rsidRPr="00AE73B6">
        <w:rPr>
          <w:rFonts w:ascii="Palatino Linotype" w:eastAsia="Palatino Linotype" w:hAnsi="Palatino Linotype" w:cs="Palatino Linotype"/>
          <w:sz w:val="24"/>
          <w:szCs w:val="24"/>
        </w:rPr>
        <w:t xml:space="preserve">, se </w:t>
      </w:r>
      <w:r w:rsidRPr="00AE73B6">
        <w:rPr>
          <w:rFonts w:ascii="Palatino Linotype" w:eastAsia="Palatino Linotype" w:hAnsi="Palatino Linotype" w:cs="Palatino Linotype"/>
          <w:b/>
          <w:sz w:val="24"/>
          <w:szCs w:val="24"/>
        </w:rPr>
        <w:t>ORDENA</w:t>
      </w:r>
      <w:r w:rsidRPr="00AE73B6">
        <w:rPr>
          <w:rFonts w:ascii="Palatino Linotype" w:eastAsia="Palatino Linotype" w:hAnsi="Palatino Linotype" w:cs="Palatino Linotype"/>
          <w:sz w:val="24"/>
          <w:szCs w:val="24"/>
        </w:rPr>
        <w:t xml:space="preserve"> que, en términos del Considerando Cuarto y Quinto, vía SAIMEX, de ser procedente en versión pública el documento en el que conste, la siguiente información: </w:t>
      </w:r>
    </w:p>
    <w:p w14:paraId="29DDAFAD" w14:textId="77777777" w:rsidR="008C0D13" w:rsidRPr="00AE73B6" w:rsidRDefault="00EE3C25">
      <w:pPr>
        <w:spacing w:before="160"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a)</w:t>
      </w:r>
      <w:r w:rsidRPr="00AE73B6">
        <w:t xml:space="preserve"> </w:t>
      </w:r>
      <w:r w:rsidRPr="00AE73B6">
        <w:rPr>
          <w:rFonts w:ascii="Palatino Linotype" w:eastAsia="Palatino Linotype" w:hAnsi="Palatino Linotype" w:cs="Palatino Linotype"/>
          <w:sz w:val="24"/>
          <w:szCs w:val="24"/>
        </w:rPr>
        <w:t>Protocolo de actuación en materia de género del Instituto Municipal de la Mujer, vigente al treinta de junio de dos mil veintidós.</w:t>
      </w:r>
    </w:p>
    <w:p w14:paraId="38A93AD1" w14:textId="77777777" w:rsidR="008C0D13" w:rsidRPr="00AE73B6" w:rsidRDefault="00EE3C25">
      <w:pPr>
        <w:spacing w:before="160"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b) Perfil Profesional de los servidores públicos adscritos al Instituto Municipal de la Mujer al treinta de junio de dos mil veintidós.</w:t>
      </w:r>
    </w:p>
    <w:p w14:paraId="4F423BE4" w14:textId="77777777" w:rsidR="008C0D13" w:rsidRPr="00AE73B6" w:rsidRDefault="00EE3C25">
      <w:pPr>
        <w:spacing w:before="240" w:after="0" w:line="360" w:lineRule="auto"/>
        <w:jc w:val="both"/>
        <w:rPr>
          <w:rFonts w:ascii="Palatino Linotype" w:eastAsia="Palatino Linotype" w:hAnsi="Palatino Linotype" w:cs="Palatino Linotype"/>
          <w:i/>
          <w:sz w:val="20"/>
          <w:szCs w:val="20"/>
        </w:rPr>
      </w:pPr>
      <w:r w:rsidRPr="00AE73B6">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B007D1C" w14:textId="77777777" w:rsidR="008C0D13" w:rsidRPr="00AE73B6" w:rsidRDefault="008C0D13">
      <w:pPr>
        <w:spacing w:before="240" w:after="0" w:line="360" w:lineRule="auto"/>
        <w:jc w:val="both"/>
        <w:rPr>
          <w:rFonts w:ascii="Palatino Linotype" w:eastAsia="Palatino Linotype" w:hAnsi="Palatino Linotype" w:cs="Palatino Linotype"/>
          <w:i/>
          <w:sz w:val="20"/>
          <w:szCs w:val="20"/>
        </w:rPr>
      </w:pPr>
    </w:p>
    <w:p w14:paraId="1CCC6880" w14:textId="77777777" w:rsidR="008C0D13" w:rsidRPr="00AE73B6" w:rsidRDefault="00EE3C25">
      <w:pPr>
        <w:spacing w:after="0" w:line="360" w:lineRule="auto"/>
        <w:jc w:val="both"/>
        <w:rPr>
          <w:rFonts w:ascii="Palatino Linotype" w:eastAsia="Palatino Linotype" w:hAnsi="Palatino Linotype" w:cs="Palatino Linotype"/>
          <w:i/>
          <w:sz w:val="20"/>
          <w:szCs w:val="20"/>
        </w:rPr>
      </w:pPr>
      <w:r w:rsidRPr="00AE73B6">
        <w:rPr>
          <w:rFonts w:ascii="Palatino Linotype" w:eastAsia="Palatino Linotype" w:hAnsi="Palatino Linotype" w:cs="Palatino Linotype"/>
          <w:i/>
          <w:sz w:val="20"/>
          <w:szCs w:val="20"/>
        </w:rPr>
        <w:lastRenderedPageBreak/>
        <w:t>En el supuesto que la información ordenada relativa a en el punto b) no obre en los archivos del Sujeto Obligado por no haberse generado, bastará con que así lo haga del conocimiento de la parte Recurrente, de manera fundada y motivada, para tener por colmado el requerimiento de información.</w:t>
      </w:r>
    </w:p>
    <w:p w14:paraId="68D1BB5B" w14:textId="77777777" w:rsidR="008C0D13" w:rsidRPr="00AE73B6" w:rsidRDefault="008C0D13">
      <w:pPr>
        <w:spacing w:after="0" w:line="360" w:lineRule="auto"/>
        <w:ind w:right="51"/>
        <w:jc w:val="both"/>
        <w:rPr>
          <w:rFonts w:ascii="Palatino Linotype" w:eastAsia="Palatino Linotype" w:hAnsi="Palatino Linotype" w:cs="Palatino Linotype"/>
          <w:sz w:val="24"/>
          <w:szCs w:val="24"/>
        </w:rPr>
      </w:pPr>
    </w:p>
    <w:p w14:paraId="510D8F7D" w14:textId="77777777" w:rsidR="008C0D13" w:rsidRPr="00AE73B6" w:rsidRDefault="00EE3C25">
      <w:pPr>
        <w:spacing w:after="0" w:line="360" w:lineRule="auto"/>
        <w:ind w:right="51"/>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TERCERO.</w:t>
      </w:r>
      <w:r w:rsidRPr="00AE73B6">
        <w:rPr>
          <w:rFonts w:ascii="Palatino Linotype" w:eastAsia="Palatino Linotype" w:hAnsi="Palatino Linotype" w:cs="Palatino Linotype"/>
          <w:sz w:val="24"/>
          <w:szCs w:val="24"/>
        </w:rPr>
        <w:t> </w:t>
      </w:r>
      <w:r w:rsidRPr="00AE73B6">
        <w:rPr>
          <w:rFonts w:ascii="Palatino Linotype" w:eastAsia="Palatino Linotype" w:hAnsi="Palatino Linotype" w:cs="Palatino Linotype"/>
          <w:b/>
          <w:sz w:val="24"/>
          <w:szCs w:val="24"/>
        </w:rPr>
        <w:t xml:space="preserve">NOTIFÍQUESE vía SAIMEX </w:t>
      </w:r>
      <w:r w:rsidRPr="00AE73B6">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0468ACD"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7D478C85"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CUARTO.</w:t>
      </w:r>
      <w:r w:rsidRPr="00AE73B6">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E6D768"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7EE28BD1" w14:textId="77777777" w:rsidR="008C0D13" w:rsidRPr="00AE73B6" w:rsidRDefault="00EE3C25">
      <w:pPr>
        <w:spacing w:after="0" w:line="360" w:lineRule="auto"/>
        <w:ind w:right="49"/>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b/>
          <w:sz w:val="24"/>
          <w:szCs w:val="24"/>
        </w:rPr>
        <w:t>QUINTO. NOTIFÍQUESE vía SAIMEX</w:t>
      </w:r>
      <w:r w:rsidRPr="00AE73B6">
        <w:rPr>
          <w:rFonts w:ascii="Palatino Linotype" w:eastAsia="Palatino Linotype" w:hAnsi="Palatino Linotype" w:cs="Palatino Linotype"/>
          <w:sz w:val="24"/>
          <w:szCs w:val="24"/>
        </w:rPr>
        <w:t xml:space="preserve"> al </w:t>
      </w:r>
      <w:r w:rsidRPr="00AE73B6">
        <w:rPr>
          <w:rFonts w:ascii="Palatino Linotype" w:eastAsia="Palatino Linotype" w:hAnsi="Palatino Linotype" w:cs="Palatino Linotype"/>
          <w:b/>
          <w:sz w:val="24"/>
          <w:szCs w:val="24"/>
        </w:rPr>
        <w:t>RECURRENTE</w:t>
      </w:r>
      <w:r w:rsidRPr="00AE73B6">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41AC55D"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2212651E"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DE MARZO DE DOS MIL VEINTITRÉS, ANTE EL SECRETARIO TÉCNICO DEL PLENO ALEXIS TAPIA RAMÍREZ.</w:t>
      </w:r>
    </w:p>
    <w:p w14:paraId="36BDEBB1" w14:textId="77777777" w:rsidR="008C0D13" w:rsidRPr="00AE73B6" w:rsidRDefault="00EE3C25">
      <w:pPr>
        <w:spacing w:after="0" w:line="360" w:lineRule="auto"/>
        <w:jc w:val="both"/>
        <w:rPr>
          <w:rFonts w:ascii="Palatino Linotype" w:eastAsia="Palatino Linotype" w:hAnsi="Palatino Linotype" w:cs="Palatino Linotype"/>
          <w:sz w:val="24"/>
          <w:szCs w:val="24"/>
        </w:rPr>
      </w:pPr>
      <w:r w:rsidRPr="00AE73B6">
        <w:rPr>
          <w:rFonts w:ascii="Palatino Linotype" w:eastAsia="Palatino Linotype" w:hAnsi="Palatino Linotype" w:cs="Palatino Linotype"/>
          <w:sz w:val="24"/>
          <w:szCs w:val="24"/>
        </w:rPr>
        <w:t xml:space="preserve"> </w:t>
      </w:r>
    </w:p>
    <w:p w14:paraId="2F07BD31" w14:textId="77777777" w:rsidR="008C0D13" w:rsidRPr="00AE73B6" w:rsidRDefault="008C0D13">
      <w:pPr>
        <w:spacing w:line="360" w:lineRule="auto"/>
        <w:jc w:val="both"/>
        <w:rPr>
          <w:rFonts w:ascii="Palatino Linotype" w:eastAsia="Palatino Linotype" w:hAnsi="Palatino Linotype" w:cs="Palatino Linotype"/>
          <w:sz w:val="24"/>
          <w:szCs w:val="24"/>
        </w:rPr>
      </w:pPr>
    </w:p>
    <w:p w14:paraId="56F1DD1D" w14:textId="77777777" w:rsidR="008C0D13" w:rsidRPr="00AE73B6" w:rsidRDefault="008C0D13">
      <w:pPr>
        <w:spacing w:after="0" w:line="360" w:lineRule="auto"/>
        <w:ind w:right="49"/>
        <w:jc w:val="both"/>
        <w:rPr>
          <w:rFonts w:ascii="Palatino Linotype" w:eastAsia="Palatino Linotype" w:hAnsi="Palatino Linotype" w:cs="Palatino Linotype"/>
          <w:sz w:val="24"/>
          <w:szCs w:val="24"/>
        </w:rPr>
      </w:pPr>
    </w:p>
    <w:p w14:paraId="17BC72FC"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3393F208" w14:textId="77777777" w:rsidR="008C0D13" w:rsidRPr="00AE73B6" w:rsidRDefault="008C0D13">
      <w:pPr>
        <w:spacing w:after="0" w:line="360" w:lineRule="auto"/>
        <w:jc w:val="both"/>
        <w:rPr>
          <w:rFonts w:ascii="Palatino Linotype" w:eastAsia="Palatino Linotype" w:hAnsi="Palatino Linotype" w:cs="Palatino Linotype"/>
          <w:sz w:val="24"/>
          <w:szCs w:val="24"/>
        </w:rPr>
      </w:pPr>
    </w:p>
    <w:p w14:paraId="4DB8F77E" w14:textId="77777777" w:rsidR="008C0D13" w:rsidRPr="00AE73B6" w:rsidRDefault="008C0D13">
      <w:pPr>
        <w:tabs>
          <w:tab w:val="left" w:pos="2100"/>
        </w:tabs>
      </w:pPr>
    </w:p>
    <w:p w14:paraId="4BFB8DC4" w14:textId="77777777" w:rsidR="005B37B7" w:rsidRPr="00AE73B6" w:rsidRDefault="005B37B7">
      <w:pPr>
        <w:tabs>
          <w:tab w:val="left" w:pos="2100"/>
        </w:tabs>
      </w:pPr>
    </w:p>
    <w:p w14:paraId="0C7A6EC0" w14:textId="77777777" w:rsidR="005B37B7" w:rsidRPr="00AE73B6" w:rsidRDefault="005B37B7">
      <w:pPr>
        <w:tabs>
          <w:tab w:val="left" w:pos="2100"/>
        </w:tabs>
      </w:pPr>
    </w:p>
    <w:p w14:paraId="4FF7675C" w14:textId="77777777" w:rsidR="005B37B7" w:rsidRPr="00AE73B6" w:rsidRDefault="005B37B7">
      <w:pPr>
        <w:tabs>
          <w:tab w:val="left" w:pos="2100"/>
        </w:tabs>
      </w:pPr>
    </w:p>
    <w:p w14:paraId="61450352" w14:textId="77777777" w:rsidR="005B37B7" w:rsidRPr="00AE73B6" w:rsidRDefault="005B37B7">
      <w:pPr>
        <w:tabs>
          <w:tab w:val="left" w:pos="2100"/>
        </w:tabs>
      </w:pPr>
    </w:p>
    <w:p w14:paraId="2F9D44E5" w14:textId="77777777" w:rsidR="005B37B7" w:rsidRPr="00AE73B6" w:rsidRDefault="005B37B7">
      <w:pPr>
        <w:tabs>
          <w:tab w:val="left" w:pos="2100"/>
        </w:tabs>
      </w:pPr>
    </w:p>
    <w:p w14:paraId="3F68D271" w14:textId="77777777" w:rsidR="005B37B7" w:rsidRPr="00AE73B6" w:rsidRDefault="005B37B7">
      <w:pPr>
        <w:tabs>
          <w:tab w:val="left" w:pos="2100"/>
        </w:tabs>
      </w:pPr>
    </w:p>
    <w:p w14:paraId="335E1D4E" w14:textId="77777777" w:rsidR="005B37B7" w:rsidRPr="00AE73B6" w:rsidRDefault="005B37B7">
      <w:pPr>
        <w:tabs>
          <w:tab w:val="left" w:pos="2100"/>
        </w:tabs>
      </w:pPr>
    </w:p>
    <w:p w14:paraId="3C971486" w14:textId="77777777" w:rsidR="005B37B7" w:rsidRPr="00AE73B6" w:rsidRDefault="005B37B7">
      <w:pPr>
        <w:tabs>
          <w:tab w:val="left" w:pos="2100"/>
        </w:tabs>
      </w:pPr>
    </w:p>
    <w:p w14:paraId="0AFB34B2" w14:textId="77777777" w:rsidR="005B37B7" w:rsidRPr="00AE73B6" w:rsidRDefault="005B37B7">
      <w:pPr>
        <w:tabs>
          <w:tab w:val="left" w:pos="2100"/>
        </w:tabs>
      </w:pPr>
    </w:p>
    <w:p w14:paraId="6221463C" w14:textId="77777777" w:rsidR="005B37B7" w:rsidRPr="00AE73B6" w:rsidRDefault="005B37B7">
      <w:pPr>
        <w:tabs>
          <w:tab w:val="left" w:pos="2100"/>
        </w:tabs>
      </w:pPr>
    </w:p>
    <w:sectPr w:rsidR="005B37B7" w:rsidRPr="00AE73B6">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D507" w14:textId="77777777" w:rsidR="008B5599" w:rsidRDefault="008B5599">
      <w:pPr>
        <w:spacing w:after="0" w:line="240" w:lineRule="auto"/>
      </w:pPr>
      <w:r>
        <w:separator/>
      </w:r>
    </w:p>
  </w:endnote>
  <w:endnote w:type="continuationSeparator" w:id="0">
    <w:p w14:paraId="3A7176CE" w14:textId="77777777" w:rsidR="008B5599" w:rsidRDefault="008B5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3491" w14:textId="77777777" w:rsidR="008C0D13" w:rsidRDefault="00EE3C25">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41EDF">
      <w:rPr>
        <w:rFonts w:ascii="Arial" w:eastAsia="Arial" w:hAnsi="Arial" w:cs="Arial"/>
        <w:b/>
        <w:noProof/>
        <w:color w:val="000000"/>
        <w:sz w:val="20"/>
        <w:szCs w:val="20"/>
      </w:rPr>
      <w:t>64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41EDF">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2DB77632" w14:textId="77777777" w:rsidR="008C0D13" w:rsidRDefault="008C0D1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1C8C" w14:textId="77777777" w:rsidR="008C0D13" w:rsidRDefault="00EE3C25">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41ED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41EDF">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2E7FDA30" w14:textId="77777777" w:rsidR="008C0D13" w:rsidRDefault="008C0D1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38E94" w14:textId="77777777" w:rsidR="008B5599" w:rsidRDefault="008B5599">
      <w:pPr>
        <w:spacing w:after="0" w:line="240" w:lineRule="auto"/>
      </w:pPr>
      <w:r>
        <w:separator/>
      </w:r>
    </w:p>
  </w:footnote>
  <w:footnote w:type="continuationSeparator" w:id="0">
    <w:p w14:paraId="0538E23B" w14:textId="77777777" w:rsidR="008B5599" w:rsidRDefault="008B5599">
      <w:pPr>
        <w:spacing w:after="0" w:line="240" w:lineRule="auto"/>
      </w:pPr>
      <w:r>
        <w:continuationSeparator/>
      </w:r>
    </w:p>
  </w:footnote>
  <w:footnote w:id="1">
    <w:p w14:paraId="703CF802" w14:textId="77777777" w:rsidR="008C0D13" w:rsidRDefault="00EE3C2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E034C5A" w14:textId="77777777" w:rsidR="008C0D13" w:rsidRDefault="00EE3C2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F94FAA1" w14:textId="77777777" w:rsidR="008C0D13" w:rsidRDefault="00EE3C2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322D" w14:textId="77777777" w:rsidR="008C0D13" w:rsidRDefault="008C0D13">
    <w:pPr>
      <w:widowControl w:val="0"/>
      <w:pBdr>
        <w:top w:val="nil"/>
        <w:left w:val="nil"/>
        <w:bottom w:val="nil"/>
        <w:right w:val="nil"/>
        <w:between w:val="nil"/>
      </w:pBdr>
      <w:spacing w:after="0" w:line="276" w:lineRule="auto"/>
      <w:rPr>
        <w:color w:val="000000"/>
      </w:rPr>
    </w:pPr>
  </w:p>
  <w:tbl>
    <w:tblPr>
      <w:tblStyle w:val="a4"/>
      <w:tblW w:w="10273" w:type="dxa"/>
      <w:tblInd w:w="-1281" w:type="dxa"/>
      <w:tblLayout w:type="fixed"/>
      <w:tblLook w:val="0400" w:firstRow="0" w:lastRow="0" w:firstColumn="0" w:lastColumn="0" w:noHBand="0" w:noVBand="1"/>
    </w:tblPr>
    <w:tblGrid>
      <w:gridCol w:w="5716"/>
      <w:gridCol w:w="4557"/>
    </w:tblGrid>
    <w:tr w:rsidR="008C0D13" w14:paraId="3E693A75" w14:textId="77777777">
      <w:trPr>
        <w:trHeight w:val="246"/>
      </w:trPr>
      <w:tc>
        <w:tcPr>
          <w:tcW w:w="5716" w:type="dxa"/>
        </w:tcPr>
        <w:p w14:paraId="1CFBAAF6" w14:textId="77777777" w:rsidR="008C0D13" w:rsidRDefault="00EE3C2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DDA6532" w14:textId="77777777" w:rsidR="008C0D13" w:rsidRDefault="00EE3C2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13324/INFOEM/IP/RR/2022.</w:t>
          </w:r>
        </w:p>
      </w:tc>
    </w:tr>
    <w:tr w:rsidR="008C0D13" w14:paraId="041B6057" w14:textId="77777777">
      <w:trPr>
        <w:trHeight w:val="212"/>
      </w:trPr>
      <w:tc>
        <w:tcPr>
          <w:tcW w:w="5716" w:type="dxa"/>
        </w:tcPr>
        <w:p w14:paraId="65F467C1" w14:textId="77777777" w:rsidR="008C0D13" w:rsidRDefault="00EE3C2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r>
            <w:rPr>
              <w:noProof/>
            </w:rPr>
            <w:drawing>
              <wp:anchor distT="0" distB="0" distL="0" distR="0" simplePos="0" relativeHeight="251658240" behindDoc="1" locked="0" layoutInCell="1" hidden="0" allowOverlap="1" wp14:anchorId="19424B23" wp14:editId="1F494845">
                <wp:simplePos x="0" y="0"/>
                <wp:positionH relativeFrom="column">
                  <wp:posOffset>81915</wp:posOffset>
                </wp:positionH>
                <wp:positionV relativeFrom="paragraph">
                  <wp:posOffset>-622933</wp:posOffset>
                </wp:positionV>
                <wp:extent cx="7753350" cy="9942731"/>
                <wp:effectExtent l="0" t="0" r="0" b="0"/>
                <wp:wrapNone/>
                <wp:docPr id="99" name="image5.jp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Forma, Flech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557" w:type="dxa"/>
        </w:tcPr>
        <w:p w14:paraId="6C3D3B5D" w14:textId="77777777" w:rsidR="008C0D13" w:rsidRDefault="008C0D13">
          <w:pPr>
            <w:spacing w:after="120"/>
            <w:ind w:left="-252" w:firstLine="567"/>
            <w:jc w:val="right"/>
            <w:rPr>
              <w:rFonts w:ascii="Palatino Linotype" w:eastAsia="Palatino Linotype" w:hAnsi="Palatino Linotype" w:cs="Palatino Linotype"/>
            </w:rPr>
          </w:pPr>
        </w:p>
      </w:tc>
    </w:tr>
    <w:tr w:rsidR="008C0D13" w14:paraId="1D16CC16" w14:textId="77777777">
      <w:trPr>
        <w:trHeight w:val="264"/>
      </w:trPr>
      <w:tc>
        <w:tcPr>
          <w:tcW w:w="5716" w:type="dxa"/>
        </w:tcPr>
        <w:p w14:paraId="294B9F55" w14:textId="77777777" w:rsidR="008C0D13" w:rsidRDefault="00EE3C2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552C3C6C" w14:textId="77777777" w:rsidR="008C0D13" w:rsidRDefault="00EE3C25">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Coacalco de Berriozábal</w:t>
          </w:r>
        </w:p>
      </w:tc>
    </w:tr>
    <w:tr w:rsidR="008C0D13" w14:paraId="34F9A4A4" w14:textId="77777777">
      <w:trPr>
        <w:trHeight w:val="373"/>
      </w:trPr>
      <w:tc>
        <w:tcPr>
          <w:tcW w:w="5716" w:type="dxa"/>
        </w:tcPr>
        <w:p w14:paraId="0EA01B19" w14:textId="77777777" w:rsidR="008C0D13" w:rsidRDefault="00EE3C2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F3C3CEA" w14:textId="77777777" w:rsidR="008C0D13" w:rsidRDefault="00EE3C2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82DF3EE" w14:textId="77777777" w:rsidR="008C0D13" w:rsidRDefault="008C0D1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CDE7" w14:textId="03887CED" w:rsidR="008C0D13" w:rsidRDefault="008C0D1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3"/>
      <w:tblW w:w="10273" w:type="dxa"/>
      <w:tblInd w:w="-1281" w:type="dxa"/>
      <w:tblLayout w:type="fixed"/>
      <w:tblLook w:val="0400" w:firstRow="0" w:lastRow="0" w:firstColumn="0" w:lastColumn="0" w:noHBand="0" w:noVBand="1"/>
    </w:tblPr>
    <w:tblGrid>
      <w:gridCol w:w="5716"/>
      <w:gridCol w:w="4557"/>
    </w:tblGrid>
    <w:tr w:rsidR="008C0D13" w14:paraId="729A30E3" w14:textId="77777777">
      <w:trPr>
        <w:trHeight w:val="246"/>
      </w:trPr>
      <w:tc>
        <w:tcPr>
          <w:tcW w:w="5716" w:type="dxa"/>
        </w:tcPr>
        <w:p w14:paraId="2F78000B" w14:textId="77777777" w:rsidR="008C0D13" w:rsidRDefault="00EE3C2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29A679C5" w14:textId="77777777" w:rsidR="008C0D13" w:rsidRDefault="00EE3C2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13324/INFOEM/IP/RR/2022.</w:t>
          </w:r>
        </w:p>
      </w:tc>
    </w:tr>
    <w:tr w:rsidR="008C0D13" w14:paraId="7B8DA184" w14:textId="77777777">
      <w:trPr>
        <w:trHeight w:val="212"/>
      </w:trPr>
      <w:tc>
        <w:tcPr>
          <w:tcW w:w="5716" w:type="dxa"/>
        </w:tcPr>
        <w:p w14:paraId="205268C1" w14:textId="77777777" w:rsidR="008C0D13" w:rsidRDefault="00EE3C2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r>
            <w:rPr>
              <w:noProof/>
            </w:rPr>
            <w:drawing>
              <wp:anchor distT="0" distB="0" distL="0" distR="0" simplePos="0" relativeHeight="251659264" behindDoc="1" locked="0" layoutInCell="1" hidden="0" allowOverlap="1" wp14:anchorId="59664EA4" wp14:editId="44E3BFAC">
                <wp:simplePos x="0" y="0"/>
                <wp:positionH relativeFrom="column">
                  <wp:posOffset>81915</wp:posOffset>
                </wp:positionH>
                <wp:positionV relativeFrom="paragraph">
                  <wp:posOffset>-622933</wp:posOffset>
                </wp:positionV>
                <wp:extent cx="7753350" cy="9942731"/>
                <wp:effectExtent l="0" t="0" r="0" b="0"/>
                <wp:wrapNone/>
                <wp:docPr id="106" name="image5.jp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Forma, Flech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557" w:type="dxa"/>
        </w:tcPr>
        <w:p w14:paraId="14898A5C" w14:textId="37AE0E8E" w:rsidR="008C0D13" w:rsidRDefault="003109F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 XXXXXXXXX XXXXXXX XXXXXXXXX</w:t>
          </w:r>
        </w:p>
      </w:tc>
    </w:tr>
    <w:tr w:rsidR="008C0D13" w14:paraId="1718DD10" w14:textId="77777777">
      <w:trPr>
        <w:trHeight w:val="264"/>
      </w:trPr>
      <w:tc>
        <w:tcPr>
          <w:tcW w:w="5716" w:type="dxa"/>
        </w:tcPr>
        <w:p w14:paraId="037A4AB4" w14:textId="77777777" w:rsidR="008C0D13" w:rsidRDefault="00EE3C2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059097B6" w14:textId="77777777" w:rsidR="008C0D13" w:rsidRDefault="00EE3C25">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Coacalco de Berriozábal</w:t>
          </w:r>
        </w:p>
      </w:tc>
    </w:tr>
    <w:tr w:rsidR="008C0D13" w14:paraId="7DB7897A" w14:textId="77777777">
      <w:trPr>
        <w:trHeight w:val="373"/>
      </w:trPr>
      <w:tc>
        <w:tcPr>
          <w:tcW w:w="5716" w:type="dxa"/>
        </w:tcPr>
        <w:p w14:paraId="2FE56E47" w14:textId="77777777" w:rsidR="008C0D13" w:rsidRDefault="00EE3C2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0FC46DDE" w14:textId="77777777" w:rsidR="008C0D13" w:rsidRDefault="00EE3C2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522177E" w14:textId="77777777" w:rsidR="008C0D13" w:rsidRDefault="008C0D1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838C5"/>
    <w:multiLevelType w:val="multilevel"/>
    <w:tmpl w:val="5734E4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A41A77"/>
    <w:multiLevelType w:val="multilevel"/>
    <w:tmpl w:val="F8B62A0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E436078"/>
    <w:multiLevelType w:val="multilevel"/>
    <w:tmpl w:val="45FE8A9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454446"/>
    <w:multiLevelType w:val="multilevel"/>
    <w:tmpl w:val="EF64671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D13"/>
    <w:rsid w:val="001C532D"/>
    <w:rsid w:val="003109FF"/>
    <w:rsid w:val="005B37B7"/>
    <w:rsid w:val="00841EDF"/>
    <w:rsid w:val="008B5599"/>
    <w:rsid w:val="008C0D13"/>
    <w:rsid w:val="00AE73B6"/>
    <w:rsid w:val="00BE3D7F"/>
    <w:rsid w:val="00EE3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25B38"/>
  <w15:docId w15:val="{72FEA5F1-1E21-4133-BD2D-4311EE0F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30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808CF"/>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808CF"/>
  </w:style>
  <w:style w:type="paragraph" w:styleId="Piedepgina">
    <w:name w:val="footer"/>
    <w:basedOn w:val="Normal"/>
    <w:link w:val="PiedepginaCar"/>
    <w:uiPriority w:val="99"/>
    <w:unhideWhenUsed/>
    <w:rsid w:val="007808CF"/>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808C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3880"/>
    <w:pPr>
      <w:ind w:left="720"/>
      <w:contextualSpacing/>
    </w:pPr>
  </w:style>
  <w:style w:type="paragraph" w:styleId="Listaconvietas3">
    <w:name w:val="List Bullet 3"/>
    <w:basedOn w:val="Normal"/>
    <w:uiPriority w:val="99"/>
    <w:unhideWhenUsed/>
    <w:rsid w:val="0045064B"/>
    <w:pPr>
      <w:numPr>
        <w:numId w:val="4"/>
      </w:numPr>
      <w:spacing w:after="0" w:line="240" w:lineRule="auto"/>
      <w:contextualSpacing/>
    </w:pPr>
    <w:rPr>
      <w:rFonts w:ascii="Times New Roman" w:eastAsia="Times New Roman" w:hAnsi="Times New Roman" w:cs="Times New Roman"/>
      <w:sz w:val="24"/>
      <w:szCs w:val="24"/>
      <w:lang w:val="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C4A71"/>
    <w:rPr>
      <w:rFonts w:ascii="Calibri" w:eastAsia="Calibri" w:hAnsi="Calibri" w:cs="Calibri"/>
      <w:lang w:eastAsia="es-MX"/>
    </w:rPr>
  </w:style>
  <w:style w:type="character" w:styleId="Hipervnculo">
    <w:name w:val="Hyperlink"/>
    <w:basedOn w:val="Fuentedeprrafopredeter"/>
    <w:uiPriority w:val="99"/>
    <w:unhideWhenUsed/>
    <w:rsid w:val="008D7750"/>
    <w:rPr>
      <w:color w:val="0563C1" w:themeColor="hyperlink"/>
      <w:u w:val="single"/>
    </w:rPr>
  </w:style>
  <w:style w:type="character" w:styleId="Hipervnculovisitado">
    <w:name w:val="FollowedHyperlink"/>
    <w:basedOn w:val="Fuentedeprrafopredeter"/>
    <w:uiPriority w:val="99"/>
    <w:semiHidden/>
    <w:unhideWhenUsed/>
    <w:rsid w:val="008D7750"/>
    <w:rPr>
      <w:color w:val="954F72" w:themeColor="followedHyperlink"/>
      <w:u w:val="single"/>
    </w:rPr>
  </w:style>
  <w:style w:type="paragraph" w:styleId="Sinespaciado">
    <w:name w:val="No Spacing"/>
    <w:aliases w:val="Francesa,INAI"/>
    <w:link w:val="SinespaciadoCar"/>
    <w:uiPriority w:val="1"/>
    <w:qFormat/>
    <w:rsid w:val="0046089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6089C"/>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opbox.com/s/t1rf5318hs7wjdk/ficha-pbrm-01d22%20Sistema.pdf?dl=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SaMDkSiv3OMWrBqN072LipA8NA==">AMUW2mVVelTFi+i3xPKY3hKP/Pxtm0HD/TesBaqiXc+V9MwSmGrHSDzlF7hdg5X4Ozt/aqk/V18DpQsiNs+gVhpEdIBamg/kyXkB8s1Pwipw8UaQ62QHaB7Fmvn3E+V5d/6ESqbAezPAevLfcQ11rT1yzgjgdgiFASztcLjhzmOniTro8eCDjS1e6S047q90QYXV+EZ5zPahcuCCM5cmeL3sJFbtHrkUgFdzD/C9FfCnQrlG/d/0wfs=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13035</Words>
  <Characters>71696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MARICELA VILLAGOMEZ</cp:lastModifiedBy>
  <cp:revision>2</cp:revision>
  <cp:lastPrinted>2023-03-17T16:08:00Z</cp:lastPrinted>
  <dcterms:created xsi:type="dcterms:W3CDTF">2023-03-27T19:58:00Z</dcterms:created>
  <dcterms:modified xsi:type="dcterms:W3CDTF">2023-03-27T19:58:00Z</dcterms:modified>
</cp:coreProperties>
</file>