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C9F44"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de junio del dos mil veintitrés. </w:t>
      </w:r>
    </w:p>
    <w:p w14:paraId="38C69BCA" w14:textId="4A358FDB"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Visto</w:t>
      </w:r>
      <w:r w:rsidRPr="00640A50">
        <w:rPr>
          <w:rFonts w:ascii="Palatino Linotype" w:eastAsia="Palatino Linotype" w:hAnsi="Palatino Linotype" w:cs="Palatino Linotype"/>
        </w:rPr>
        <w:t xml:space="preserve"> el expediente relativo al recurso de revisión </w:t>
      </w:r>
      <w:r w:rsidRPr="00640A50">
        <w:rPr>
          <w:rFonts w:ascii="Palatino Linotype" w:eastAsia="Palatino Linotype" w:hAnsi="Palatino Linotype" w:cs="Palatino Linotype"/>
          <w:b/>
        </w:rPr>
        <w:t>17394/INFOEM/IP/RR/2022</w:t>
      </w:r>
      <w:r w:rsidRPr="00640A50">
        <w:rPr>
          <w:rFonts w:ascii="Palatino Linotype" w:eastAsia="Palatino Linotype" w:hAnsi="Palatino Linotype" w:cs="Palatino Linotype"/>
        </w:rPr>
        <w:t xml:space="preserve">, interpuesto por </w:t>
      </w:r>
      <w:r w:rsidR="00E30874">
        <w:rPr>
          <w:rFonts w:ascii="Palatino Linotype" w:eastAsia="Palatino Linotype" w:hAnsi="Palatino Linotype" w:cs="Palatino Linotype"/>
          <w:b/>
        </w:rPr>
        <w:t>XXXXX XXXX XXXXXX</w:t>
      </w:r>
      <w:r w:rsidRPr="00640A50">
        <w:rPr>
          <w:rFonts w:ascii="Palatino Linotype" w:eastAsia="Palatino Linotype" w:hAnsi="Palatino Linotype" w:cs="Palatino Linotype"/>
          <w:b/>
        </w:rPr>
        <w:t>,</w:t>
      </w:r>
      <w:r w:rsidRPr="00640A50">
        <w:rPr>
          <w:rFonts w:ascii="Palatino Linotype" w:eastAsia="Palatino Linotype" w:hAnsi="Palatino Linotype" w:cs="Palatino Linotype"/>
        </w:rPr>
        <w:t xml:space="preserve"> al cual en lo sucesivo se le denominara </w:t>
      </w:r>
      <w:r w:rsidRPr="00640A50">
        <w:rPr>
          <w:rFonts w:ascii="Palatino Linotype" w:eastAsia="Palatino Linotype" w:hAnsi="Palatino Linotype" w:cs="Palatino Linotype"/>
          <w:b/>
        </w:rPr>
        <w:t>la parte RECURRENTE</w:t>
      </w:r>
      <w:r w:rsidRPr="00640A50">
        <w:rPr>
          <w:rFonts w:ascii="Palatino Linotype" w:eastAsia="Palatino Linotype" w:hAnsi="Palatino Linotype" w:cs="Palatino Linotype"/>
        </w:rPr>
        <w:t xml:space="preserve">, en contra de la respuesta a su solicitud de información con número de folio </w:t>
      </w:r>
      <w:r w:rsidRPr="00640A50">
        <w:rPr>
          <w:rFonts w:ascii="Palatino Linotype" w:eastAsia="Palatino Linotype" w:hAnsi="Palatino Linotype" w:cs="Palatino Linotype"/>
          <w:b/>
        </w:rPr>
        <w:t>01095/CUAUTIZC/IP/2022,</w:t>
      </w:r>
      <w:r w:rsidRPr="00640A50">
        <w:rPr>
          <w:rFonts w:ascii="Palatino Linotype" w:eastAsia="Palatino Linotype" w:hAnsi="Palatino Linotype" w:cs="Palatino Linotype"/>
        </w:rPr>
        <w:t xml:space="preserve"> por parte del </w:t>
      </w:r>
      <w:r w:rsidRPr="00640A50">
        <w:rPr>
          <w:rFonts w:ascii="Palatino Linotype" w:eastAsia="Palatino Linotype" w:hAnsi="Palatino Linotype" w:cs="Palatino Linotype"/>
          <w:b/>
        </w:rPr>
        <w:t>Ayuntamiento de Cuautitlán Izcalli</w:t>
      </w:r>
      <w:r w:rsidRPr="00640A50">
        <w:rPr>
          <w:rFonts w:ascii="Verdana" w:eastAsia="Verdana" w:hAnsi="Verdana" w:cs="Verdana"/>
          <w:b/>
          <w:sz w:val="14"/>
          <w:szCs w:val="14"/>
        </w:rPr>
        <w:t xml:space="preserve"> </w:t>
      </w:r>
      <w:r w:rsidRPr="00640A50">
        <w:rPr>
          <w:rFonts w:ascii="Palatino Linotype" w:eastAsia="Palatino Linotype" w:hAnsi="Palatino Linotype" w:cs="Palatino Linotype"/>
        </w:rPr>
        <w:t xml:space="preserve">en lo sucesivo el </w:t>
      </w:r>
      <w:r w:rsidRPr="00640A50">
        <w:rPr>
          <w:rFonts w:ascii="Palatino Linotype" w:eastAsia="Palatino Linotype" w:hAnsi="Palatino Linotype" w:cs="Palatino Linotype"/>
          <w:b/>
        </w:rPr>
        <w:t xml:space="preserve">SUJETO OBLIGADO; </w:t>
      </w:r>
      <w:r w:rsidRPr="00640A50">
        <w:rPr>
          <w:rFonts w:ascii="Palatino Linotype" w:eastAsia="Palatino Linotype" w:hAnsi="Palatino Linotype" w:cs="Palatino Linotype"/>
        </w:rPr>
        <w:t>se procede a dictar la presente resolución, con base en los siguientes:</w:t>
      </w:r>
    </w:p>
    <w:p w14:paraId="3653750B" w14:textId="77777777" w:rsidR="001C2F7F" w:rsidRPr="00640A50" w:rsidRDefault="00640A50">
      <w:pPr>
        <w:numPr>
          <w:ilvl w:val="0"/>
          <w:numId w:val="10"/>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640A50">
        <w:rPr>
          <w:rFonts w:ascii="Palatino Linotype" w:eastAsia="Palatino Linotype" w:hAnsi="Palatino Linotype" w:cs="Palatino Linotype"/>
          <w:b/>
          <w:sz w:val="22"/>
          <w:szCs w:val="22"/>
        </w:rPr>
        <w:t>A N T E C E D E N T E S:</w:t>
      </w:r>
    </w:p>
    <w:p w14:paraId="3ABDE69C"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1. Solicitud de acceso a la información. </w:t>
      </w:r>
      <w:r w:rsidRPr="00640A50">
        <w:rPr>
          <w:rFonts w:ascii="Palatino Linotype" w:eastAsia="Palatino Linotype" w:hAnsi="Palatino Linotype" w:cs="Palatino Linotype"/>
        </w:rPr>
        <w:t>Con fecha veinticuatro</w:t>
      </w:r>
      <w:r w:rsidRPr="00640A50">
        <w:rPr>
          <w:rFonts w:ascii="Palatino Linotype" w:eastAsia="Palatino Linotype" w:hAnsi="Palatino Linotype" w:cs="Palatino Linotype"/>
          <w:sz w:val="36"/>
          <w:szCs w:val="36"/>
        </w:rPr>
        <w:t xml:space="preserve"> </w:t>
      </w:r>
      <w:r w:rsidRPr="00640A50">
        <w:rPr>
          <w:rFonts w:ascii="Palatino Linotype" w:eastAsia="Palatino Linotype" w:hAnsi="Palatino Linotype" w:cs="Palatino Linotype"/>
        </w:rPr>
        <w:t xml:space="preserve">de noviembre del dos mil veintidós, la parte </w:t>
      </w:r>
      <w:r w:rsidRPr="00640A50">
        <w:rPr>
          <w:rFonts w:ascii="Palatino Linotype" w:eastAsia="Palatino Linotype" w:hAnsi="Palatino Linotype" w:cs="Palatino Linotype"/>
          <w:b/>
        </w:rPr>
        <w:t xml:space="preserve">RECURRENTE </w:t>
      </w:r>
      <w:r w:rsidRPr="00640A50">
        <w:rPr>
          <w:rFonts w:ascii="Palatino Linotype" w:eastAsia="Palatino Linotype" w:hAnsi="Palatino Linotype" w:cs="Palatino Linotype"/>
        </w:rPr>
        <w:t xml:space="preserve">presentó a través del Sistema de Acceso a la Información Mexiquense, en lo subsecuente el </w:t>
      </w:r>
      <w:r w:rsidRPr="00640A50">
        <w:rPr>
          <w:rFonts w:ascii="Palatino Linotype" w:eastAsia="Palatino Linotype" w:hAnsi="Palatino Linotype" w:cs="Palatino Linotype"/>
          <w:b/>
        </w:rPr>
        <w:t>SAIMEX</w:t>
      </w:r>
      <w:r w:rsidRPr="00640A50">
        <w:rPr>
          <w:rFonts w:ascii="Palatino Linotype" w:eastAsia="Palatino Linotype" w:hAnsi="Palatino Linotype" w:cs="Palatino Linotype"/>
        </w:rPr>
        <w:t xml:space="preserve">, ante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la solicitud de acceso a la información pública, a la que se le asignó el número</w:t>
      </w:r>
      <w:r w:rsidRPr="00640A50">
        <w:rPr>
          <w:rFonts w:ascii="Palatino Linotype" w:eastAsia="Palatino Linotype" w:hAnsi="Palatino Linotype" w:cs="Palatino Linotype"/>
          <w:b/>
        </w:rPr>
        <w:t xml:space="preserve"> 01095/CUAUTIZC/IP/2022, </w:t>
      </w:r>
      <w:r w:rsidRPr="00640A50">
        <w:rPr>
          <w:rFonts w:ascii="Palatino Linotype" w:eastAsia="Palatino Linotype" w:hAnsi="Palatino Linotype" w:cs="Palatino Linotype"/>
        </w:rPr>
        <w:t xml:space="preserve">mediante la cual requirió la información siguiente: </w:t>
      </w:r>
    </w:p>
    <w:p w14:paraId="2244D0AE" w14:textId="77777777" w:rsidR="001C2F7F" w:rsidRPr="00640A50" w:rsidRDefault="00640A50">
      <w:pPr>
        <w:spacing w:before="240" w:after="240"/>
        <w:ind w:left="851" w:right="90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“ACTA DE LA SEPTUAGÉSIMA SESIÓN DEL AYUNTAMIENTO DE CUAUTITLÁN IZCALLI, CON CARACTER DE EXTRAORDINARIA DE TIPO PÚBLICA, CELEBRADA DURANTE EL DÍA DIECIOCHO DE DICIEMBRE DEL AÑO DOS MIL QUINCE, DICTAMEN QUE EMITE LAS COMISIONES EDILICIAS UNIDAS DE HACIENDA, OBRAS PÚBLICAS Y DESARROLLO URBANO Y DE LIMITES TERRITORIALES DEL DIECIOCHO DE DICIEMBRE DEL AÑO DOS MIL QUINCE Y ANEXO PLAN PARCIAL DE INTEGRACIÓN TERRITORIAL SANTA BARBARA </w:t>
      </w:r>
      <w:r w:rsidRPr="00640A50">
        <w:rPr>
          <w:rFonts w:ascii="Palatino Linotype" w:eastAsia="Palatino Linotype" w:hAnsi="Palatino Linotype" w:cs="Palatino Linotype"/>
          <w:i/>
          <w:sz w:val="22"/>
          <w:szCs w:val="22"/>
        </w:rPr>
        <w:lastRenderedPageBreak/>
        <w:t>NORTE DEL MUNICIPIO DE CUAUTITLÁN IZCALLI, ESTADO DE MÉXICO Y LA MODIFICACIÓN DEL PLAN MUNICIPAL DE DESARROLLO URBANO DE CUAUTITLÁN IZCALLI, ESTADO DE MÉXICO” (Sic)</w:t>
      </w:r>
    </w:p>
    <w:p w14:paraId="45066D2A"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Modalidad elegida para la entrega de la información: </w:t>
      </w:r>
      <w:r w:rsidRPr="00640A50">
        <w:rPr>
          <w:rFonts w:ascii="Palatino Linotype" w:eastAsia="Palatino Linotype" w:hAnsi="Palatino Linotype" w:cs="Palatino Linotype"/>
        </w:rPr>
        <w:t>a través de SAIMEX.</w:t>
      </w:r>
    </w:p>
    <w:p w14:paraId="2296C8D0"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2. Respuesta. </w:t>
      </w:r>
      <w:r w:rsidRPr="00640A50">
        <w:rPr>
          <w:rFonts w:ascii="Palatino Linotype" w:eastAsia="Palatino Linotype" w:hAnsi="Palatino Linotype" w:cs="Palatino Linotype"/>
        </w:rPr>
        <w:t xml:space="preserve">Con fecha quince de diciembre del dos mil veintidós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envió su respuesta a la solicitud de acceso a la información a través del SAIMEX, la cual versa como sigue:</w:t>
      </w:r>
    </w:p>
    <w:p w14:paraId="0DA2A443" w14:textId="77777777" w:rsidR="001C2F7F" w:rsidRPr="00640A50" w:rsidRDefault="00640A50">
      <w:pPr>
        <w:spacing w:before="240"/>
        <w:ind w:left="851" w:right="90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338469DE" w14:textId="77777777" w:rsidR="001C2F7F" w:rsidRPr="00640A50" w:rsidRDefault="00640A50">
      <w:pPr>
        <w:ind w:left="851" w:right="90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los oficios de respuesta que a su solicitud le entregan LAS SIGUIENTES UNIDADES ADMINISTRATIVAS QUE INTEGRAN ESTE SUJETO OBLIGADO: </w:t>
      </w:r>
      <w:r w:rsidRPr="00640A50">
        <w:rPr>
          <w:rFonts w:ascii="Palatino Linotype" w:eastAsia="Palatino Linotype" w:hAnsi="Palatino Linotype" w:cs="Palatino Linotype"/>
          <w:b/>
          <w:i/>
          <w:sz w:val="22"/>
          <w:szCs w:val="22"/>
        </w:rPr>
        <w:t>(1) SECRETARÍA DEL AYUNTAMIENTO Y (2) DIRECCIÓN JURÍDICA</w:t>
      </w:r>
      <w:r w:rsidRPr="00640A50">
        <w:rPr>
          <w:rFonts w:ascii="Palatino Linotype" w:eastAsia="Palatino Linotype" w:hAnsi="Palatino Linotype" w:cs="Palatino Linotype"/>
          <w:i/>
          <w:sz w:val="22"/>
          <w:szCs w:val="22"/>
        </w:rPr>
        <w:t>: 1.- “En atención a la solicitud ingresada vía Sistema de Acceso a la Información Mexiquense (SAIMEX), y turnada a esta Secretaría del Ayuntamiento bajo el folio 01095/CUAUTIZC/IP/2022, la que a la letra señala; “ACTA DE LA SEPTUAGÉSIMA SESIÓN DEL AYUNTAMIENTO DE CUAUTITLÁN IZCALLI, CON CARACTER DE EXTRAORDINARIA DE TIPO PÚBLICA, CELEBRADA DURANTE EL DÍA DIECIOCHO DE DICIEMBRE DEL AÑO DOS MIL QUINCE, DICTAMEN QUE EMITE LAS COMISIONES EDILICIAS UNIDAS DE HACIENDA, OBRAS PÚBLICAS Y DESARROLLO URBANO Y DE LIMITES TERRITORIALES DEL DIECIOCHO DE DICIEMBRE DEL AÑO DOS MIL QUINCE Y ANEXO PLAN PARCIAL DE INTEGRACIÓN TERRITORIAL SANTA BARBARA NORTE DEL MUNICIPIO DE CUAUTITLÁN IZCALLI, ESTADO DE MÉXICO Y LA MODIFICACIÓN DEL PLAN MUNICIPAL DE DESARROLLO URBANO DE CUAUTITLÁN IZCALLI, ESTADO DE MÉXICO” SIC</w:t>
      </w:r>
      <w:r w:rsidRPr="00640A50">
        <w:rPr>
          <w:rFonts w:ascii="Palatino Linotype" w:eastAsia="Palatino Linotype" w:hAnsi="Palatino Linotype" w:cs="Palatino Linotype"/>
          <w:b/>
          <w:i/>
          <w:sz w:val="22"/>
          <w:szCs w:val="22"/>
        </w:rPr>
        <w:t xml:space="preserve">; al respecto y después de una exhaustiva búsqueda en las </w:t>
      </w:r>
      <w:r w:rsidRPr="00640A50">
        <w:rPr>
          <w:rFonts w:ascii="Palatino Linotype" w:eastAsia="Palatino Linotype" w:hAnsi="Palatino Linotype" w:cs="Palatino Linotype"/>
          <w:b/>
          <w:i/>
          <w:sz w:val="22"/>
          <w:szCs w:val="22"/>
        </w:rPr>
        <w:lastRenderedPageBreak/>
        <w:t>actas y apéndices, de las sesiones ordinaria y Extraordinarias de Cabildo que obran en el Archivo Municipal, me permito hacer de su conocimiento que no se encontró lo solicitado.</w:t>
      </w:r>
      <w:r w:rsidRPr="00640A50">
        <w:rPr>
          <w:rFonts w:ascii="Palatino Linotype" w:eastAsia="Palatino Linotype" w:hAnsi="Palatino Linotype" w:cs="Palatino Linotype"/>
          <w:i/>
          <w:sz w:val="22"/>
          <w:szCs w:val="22"/>
        </w:rPr>
        <w:t>” SIC 2.- “Me permito realizar la contestación, en los términos siguientes: Esta Dirección Jurídica no es competente para proporcionar la información que se solicita, toda vez que dicha información no obra en los expedientes o archivos de la Dirección Jurídica, y que tampoco son parte las facultades conferidas a la Dirección Jurídica, de conformidad con el artículo 50 del Reglamento de Organización Interna de la Administración Pública del Municipio de Cuautitlán Izcalli, Estado De México. (2022-2024).”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79DE4715" w14:textId="77777777" w:rsidR="001C2F7F" w:rsidRPr="00640A50" w:rsidRDefault="00640A50">
      <w:pPr>
        <w:ind w:left="851" w:right="90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ATENTAMENTE</w:t>
      </w:r>
    </w:p>
    <w:p w14:paraId="5F59DDDF" w14:textId="77777777" w:rsidR="001C2F7F" w:rsidRPr="00640A50" w:rsidRDefault="00640A50">
      <w:pPr>
        <w:ind w:left="851" w:right="90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MTRA. MARÍA ISABEL CISNEROS MÁRQUEZ” (Sic)</w:t>
      </w:r>
    </w:p>
    <w:p w14:paraId="15A1ADEC" w14:textId="77777777" w:rsidR="001C2F7F" w:rsidRPr="00640A50" w:rsidRDefault="001C2F7F">
      <w:pPr>
        <w:ind w:left="851" w:right="902"/>
        <w:jc w:val="both"/>
        <w:rPr>
          <w:rFonts w:ascii="Palatino Linotype" w:eastAsia="Palatino Linotype" w:hAnsi="Palatino Linotype" w:cs="Palatino Linotype"/>
          <w:i/>
          <w:sz w:val="22"/>
          <w:szCs w:val="22"/>
        </w:rPr>
      </w:pPr>
    </w:p>
    <w:p w14:paraId="7699FE83"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adjuntó a su respuesta los archivos electrónicos siguientes: </w:t>
      </w:r>
    </w:p>
    <w:p w14:paraId="0CC5E83F" w14:textId="77777777" w:rsidR="001C2F7F" w:rsidRPr="00640A50" w:rsidRDefault="001C2F7F">
      <w:pPr>
        <w:spacing w:line="360" w:lineRule="auto"/>
        <w:ind w:right="51"/>
        <w:jc w:val="both"/>
        <w:rPr>
          <w:rFonts w:ascii="Palatino Linotype" w:eastAsia="Palatino Linotype" w:hAnsi="Palatino Linotype" w:cs="Palatino Linotype"/>
        </w:rPr>
      </w:pPr>
    </w:p>
    <w:p w14:paraId="1F6B67B8"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w:t>
      </w:r>
      <w:hyperlink r:id="rId8">
        <w:r w:rsidRPr="00640A50">
          <w:rPr>
            <w:rFonts w:ascii="Palatino Linotype" w:eastAsia="Palatino Linotype" w:hAnsi="Palatino Linotype" w:cs="Palatino Linotype"/>
          </w:rPr>
          <w:t>1095.pdf</w:t>
        </w:r>
      </w:hyperlink>
      <w:r w:rsidRPr="00640A50">
        <w:rPr>
          <w:rFonts w:ascii="Palatino Linotype" w:eastAsia="Palatino Linotype" w:hAnsi="Palatino Linotype" w:cs="Palatino Linotype"/>
        </w:rPr>
        <w:t xml:space="preserve">”, por medio del cual la Titular del Departamento de Normatividad y Convenios, informó a la Coordinadora de Transparencia, ambos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que por instrucciones del </w:t>
      </w:r>
      <w:proofErr w:type="gramStart"/>
      <w:r w:rsidRPr="00640A50">
        <w:rPr>
          <w:rFonts w:ascii="Palatino Linotype" w:eastAsia="Palatino Linotype" w:hAnsi="Palatino Linotype" w:cs="Palatino Linotype"/>
        </w:rPr>
        <w:t>Secretario</w:t>
      </w:r>
      <w:proofErr w:type="gramEnd"/>
      <w:r w:rsidRPr="00640A50">
        <w:rPr>
          <w:rFonts w:ascii="Palatino Linotype" w:eastAsia="Palatino Linotype" w:hAnsi="Palatino Linotype" w:cs="Palatino Linotype"/>
        </w:rPr>
        <w:t xml:space="preserve"> del Ayuntamiento, después de una exhaustiva búsqueda en las actas y apéndices, de las sesiones ordinarias y extraordinarias de cabildo que obra en el archivo municipal, no se encontró lo solicitado.   </w:t>
      </w:r>
    </w:p>
    <w:p w14:paraId="7676C579" w14:textId="77777777" w:rsidR="001C2F7F" w:rsidRPr="00640A50" w:rsidRDefault="001C2F7F">
      <w:pPr>
        <w:spacing w:line="360" w:lineRule="auto"/>
        <w:ind w:right="51"/>
        <w:jc w:val="both"/>
        <w:rPr>
          <w:rFonts w:ascii="Palatino Linotype" w:eastAsia="Palatino Linotype" w:hAnsi="Palatino Linotype" w:cs="Palatino Linotype"/>
        </w:rPr>
      </w:pPr>
    </w:p>
    <w:p w14:paraId="4582A5AC"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w:t>
      </w:r>
      <w:hyperlink r:id="rId9">
        <w:r w:rsidRPr="00640A50">
          <w:rPr>
            <w:rFonts w:ascii="Palatino Linotype" w:eastAsia="Palatino Linotype" w:hAnsi="Palatino Linotype" w:cs="Palatino Linotype"/>
          </w:rPr>
          <w:t>CONTESTACION SAIMEX 1095.pdf</w:t>
        </w:r>
      </w:hyperlink>
      <w:r w:rsidRPr="00640A50">
        <w:rPr>
          <w:rFonts w:ascii="Palatino Linotype" w:eastAsia="Palatino Linotype" w:hAnsi="Palatino Linotype" w:cs="Palatino Linotype"/>
        </w:rPr>
        <w:t xml:space="preserve">”, por medio del cual la Directora Jurídica, informó a la Coordinadora de Transparencia, ambos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que no es la competente para proporcionar la información toda vez que la información </w:t>
      </w:r>
      <w:r w:rsidRPr="00640A50">
        <w:rPr>
          <w:rFonts w:ascii="Palatino Linotype" w:eastAsia="Palatino Linotype" w:hAnsi="Palatino Linotype" w:cs="Palatino Linotype"/>
        </w:rPr>
        <w:lastRenderedPageBreak/>
        <w:t xml:space="preserve">no obra en los archivos de dicha dirección y tampoco son parte de las facultades conferidas, por lo que se encuentra imposibilitada para entregar la información solicitada y  que no le es posible generar el acuerdo de inexistencia. </w:t>
      </w:r>
    </w:p>
    <w:p w14:paraId="401A94EC" w14:textId="77777777" w:rsidR="001C2F7F" w:rsidRPr="00640A50" w:rsidRDefault="001C2F7F">
      <w:pPr>
        <w:spacing w:line="360" w:lineRule="auto"/>
        <w:ind w:right="49"/>
        <w:jc w:val="both"/>
        <w:rPr>
          <w:rFonts w:ascii="Palatino Linotype" w:eastAsia="Palatino Linotype" w:hAnsi="Palatino Linotype" w:cs="Palatino Linotype"/>
          <w:b/>
        </w:rPr>
      </w:pPr>
    </w:p>
    <w:p w14:paraId="56CFE89E"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3. Interposición del recurso de revisión. </w:t>
      </w:r>
      <w:r w:rsidRPr="00640A50">
        <w:rPr>
          <w:rFonts w:ascii="Palatino Linotype" w:eastAsia="Palatino Linotype" w:hAnsi="Palatino Linotype" w:cs="Palatino Linotype"/>
        </w:rPr>
        <w:t xml:space="preserve">Inconforme con la respuesta del </w:t>
      </w:r>
      <w:r w:rsidRPr="00640A50">
        <w:rPr>
          <w:rFonts w:ascii="Palatino Linotype" w:eastAsia="Palatino Linotype" w:hAnsi="Palatino Linotype" w:cs="Palatino Linotype"/>
          <w:b/>
        </w:rPr>
        <w:t>SUJETO OBLIGADO el ahora RECURRENTE</w:t>
      </w:r>
      <w:r w:rsidRPr="00640A50">
        <w:rPr>
          <w:rFonts w:ascii="Palatino Linotype" w:eastAsia="Palatino Linotype" w:hAnsi="Palatino Linotype" w:cs="Palatino Linotype"/>
        </w:rPr>
        <w:t xml:space="preserve"> interpuso recurso de revisión a través del SAIMEX, en fecha dieciséis de diciembre de dos mil veintidós, a través del cual expresó lo siguiente:</w:t>
      </w:r>
    </w:p>
    <w:p w14:paraId="011BC8CC" w14:textId="77777777" w:rsidR="001C2F7F" w:rsidRPr="00640A50" w:rsidRDefault="001C2F7F">
      <w:pPr>
        <w:spacing w:line="360" w:lineRule="auto"/>
        <w:ind w:right="49"/>
        <w:jc w:val="both"/>
        <w:rPr>
          <w:rFonts w:ascii="Palatino Linotype" w:eastAsia="Palatino Linotype" w:hAnsi="Palatino Linotype" w:cs="Palatino Linotype"/>
        </w:rPr>
      </w:pPr>
    </w:p>
    <w:p w14:paraId="21F2F3F5" w14:textId="77777777" w:rsidR="001C2F7F" w:rsidRPr="00640A50" w:rsidRDefault="00640A50">
      <w:pPr>
        <w:spacing w:line="360" w:lineRule="auto"/>
        <w:rPr>
          <w:rFonts w:ascii="Palatino Linotype" w:eastAsia="Palatino Linotype" w:hAnsi="Palatino Linotype" w:cs="Palatino Linotype"/>
          <w:b/>
        </w:rPr>
      </w:pPr>
      <w:r w:rsidRPr="00640A50">
        <w:rPr>
          <w:rFonts w:ascii="Palatino Linotype" w:eastAsia="Palatino Linotype" w:hAnsi="Palatino Linotype" w:cs="Palatino Linotype"/>
          <w:b/>
        </w:rPr>
        <w:t>a) Acto impugnado.</w:t>
      </w:r>
    </w:p>
    <w:p w14:paraId="0085BA2D" w14:textId="77777777" w:rsidR="001C2F7F" w:rsidRPr="00640A50" w:rsidRDefault="00640A50">
      <w:pPr>
        <w:spacing w:after="240"/>
        <w:ind w:left="851" w:right="90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“OFICIO SA/ST/NyC032/2022, DE FECHA 05 DE DICIEMBRE DEL AÑO 2022, SUSCRITO POR LA C. DOROTEA TABARES SARABIA, JEFA DEL DEPARTAMENTO DE NORMATIVIDAD Y CONVENIO, POR INSTRUCCIONES DEL LIC. MIGUEL ANGEL GUTIERREZ PILLONI, TITULAR DE LA SECRETARÍA DEL AYUNTAMIENTO DE CUAUTITLÁN IZCALLI, ESTADO DE MÉXICO.” (Sic)</w:t>
      </w:r>
    </w:p>
    <w:p w14:paraId="254409DB" w14:textId="77777777" w:rsidR="001C2F7F" w:rsidRPr="00640A50" w:rsidRDefault="00640A50">
      <w:pPr>
        <w:spacing w:line="360" w:lineRule="auto"/>
        <w:jc w:val="both"/>
        <w:rPr>
          <w:rFonts w:ascii="Palatino Linotype" w:eastAsia="Palatino Linotype" w:hAnsi="Palatino Linotype" w:cs="Palatino Linotype"/>
          <w:b/>
        </w:rPr>
      </w:pPr>
      <w:r w:rsidRPr="00640A50">
        <w:rPr>
          <w:rFonts w:ascii="Palatino Linotype" w:eastAsia="Palatino Linotype" w:hAnsi="Palatino Linotype" w:cs="Palatino Linotype"/>
          <w:b/>
        </w:rPr>
        <w:t>b) Motivos de inconformidad.</w:t>
      </w:r>
    </w:p>
    <w:p w14:paraId="3E3AECEA" w14:textId="77777777" w:rsidR="001C2F7F" w:rsidRPr="00640A50" w:rsidRDefault="001C2F7F">
      <w:pPr>
        <w:spacing w:after="240"/>
        <w:ind w:left="851" w:right="900"/>
        <w:jc w:val="both"/>
        <w:rPr>
          <w:rFonts w:ascii="Palatino Linotype" w:eastAsia="Palatino Linotype" w:hAnsi="Palatino Linotype" w:cs="Palatino Linotype"/>
          <w:i/>
          <w:sz w:val="22"/>
          <w:szCs w:val="22"/>
        </w:rPr>
      </w:pPr>
    </w:p>
    <w:p w14:paraId="759FAC3D" w14:textId="77777777" w:rsidR="001C2F7F" w:rsidRPr="00640A50" w:rsidRDefault="00640A50">
      <w:pPr>
        <w:spacing w:after="240"/>
        <w:ind w:left="851" w:right="90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“VIOLENTA EL DERECHO HUMANO DE ACCESO A LA INFORMACIÓN AL AFIRMAR LA AUTORIDAD , EN EL OFICIO QUE SE IMPUGNA, TEXTUALMENTE QUE: "... </w:t>
      </w:r>
      <w:r w:rsidRPr="00640A50">
        <w:rPr>
          <w:rFonts w:ascii="Palatino Linotype" w:eastAsia="Palatino Linotype" w:hAnsi="Palatino Linotype" w:cs="Palatino Linotype"/>
          <w:b/>
          <w:i/>
          <w:sz w:val="22"/>
          <w:szCs w:val="22"/>
        </w:rPr>
        <w:t>DESPUÉS DE UNA EXHAUSTIVA BÚSQUEDA EN LAS ACTAS Y APÉNDICES, DE LAS SESIONES ORDINARIAS Y EXTRAORDINARIAS DE CABILDO QUE OBRAN EN EL ARCHIVO MUNICIPAL, ME PERMITO HACER DEL CONOCIMIENTO QUE NO SE ENCONTRO LO SOLICITADO</w:t>
      </w:r>
      <w:r w:rsidRPr="00640A50">
        <w:rPr>
          <w:rFonts w:ascii="Palatino Linotype" w:eastAsia="Palatino Linotype" w:hAnsi="Palatino Linotype" w:cs="Palatino Linotype"/>
          <w:i/>
          <w:sz w:val="22"/>
          <w:szCs w:val="22"/>
        </w:rPr>
        <w:t xml:space="preserve">", LO ANTERIOR SE CONSIDERA ASÍ </w:t>
      </w:r>
      <w:r w:rsidRPr="00640A50">
        <w:rPr>
          <w:rFonts w:ascii="Palatino Linotype" w:eastAsia="Palatino Linotype" w:hAnsi="Palatino Linotype" w:cs="Palatino Linotype"/>
          <w:b/>
          <w:i/>
          <w:sz w:val="22"/>
          <w:szCs w:val="22"/>
        </w:rPr>
        <w:t xml:space="preserve">DERIVADO DE QUE EN LA GACETA MUNICIPAL NÚMERO 171, DEL AÑO 2015 DE FECHA 15 DE DICIEMBRE DEL AÑO 2015, EL AYUNTAMIENTO DE CUAUTITLÁN IZCALLI PUBLICO CON EL NÚMERO DOS ROMANO (II) DE SU APENDICE LO SIGUIENTE: </w:t>
      </w: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i/>
          <w:sz w:val="22"/>
          <w:szCs w:val="22"/>
          <w:u w:val="single"/>
        </w:rPr>
        <w:t xml:space="preserve">PLAN PARCIAL DE INTEGRACIÓN </w:t>
      </w:r>
      <w:r w:rsidRPr="00640A50">
        <w:rPr>
          <w:rFonts w:ascii="Palatino Linotype" w:eastAsia="Palatino Linotype" w:hAnsi="Palatino Linotype" w:cs="Palatino Linotype"/>
          <w:i/>
          <w:sz w:val="22"/>
          <w:szCs w:val="22"/>
          <w:u w:val="single"/>
        </w:rPr>
        <w:lastRenderedPageBreak/>
        <w:t>TERRITORIAL SANTA BÁRBARA NORTE, DEL MUNICIPIO DE CUAUTITLÁN IZCALLI, ESTADO DE MÉXICO; Y LA MODIFICACIÓN DEL PLAN MUNICIPAL DE DESARROLLO URBANO DE CUAUTITLÁN IZCALLI, MÉXICO</w:t>
      </w:r>
      <w:r w:rsidRPr="00640A50">
        <w:rPr>
          <w:rFonts w:ascii="Palatino Linotype" w:eastAsia="Palatino Linotype" w:hAnsi="Palatino Linotype" w:cs="Palatino Linotype"/>
          <w:i/>
          <w:sz w:val="22"/>
          <w:szCs w:val="22"/>
        </w:rPr>
        <w:t xml:space="preserve">; RESULTANTE, DE CONFORMIDAD CON EL DICTAMEN QUE EMITEN LAS COMISIONES EDILICIAS UNIDAS DE HACIENDA, DE OBRAS PÚBLICAS Y DESARROLLO URBANO; Y DE LIMITES TERRITORIALES." PUDIENDO OBSERVARSE EN LA PÁGINA 15 DE LA CITADA GACETA LO SIGUIENTE: "DURANTE EL DESAHOGO DEL PUNTO CINCO DE LA SEPTUAGÉSIMA SESIÓN DEL AYUNTAMIENTO, CON CARACTER DE EXTRAORDINARIA, DE TIPO PÚBLICA, CELEBRADA DURANTE EL DÍA DIECIOCHO DE DICIEMBRE DE DOS MIL QUINCE, EL AYUNTAMIENTO TUVO BIEN APROBAR LO SIGUIENTE:" Y PUBLICA EL DICTAMEN DE LAS COMISIONES EDILICIAS UNIDAS; </w:t>
      </w:r>
      <w:r w:rsidRPr="00640A50">
        <w:rPr>
          <w:rFonts w:ascii="Palatino Linotype" w:eastAsia="Palatino Linotype" w:hAnsi="Palatino Linotype" w:cs="Palatino Linotype"/>
          <w:b/>
          <w:i/>
          <w:sz w:val="22"/>
          <w:szCs w:val="22"/>
        </w:rPr>
        <w:t>SIN EMBARGO OMITE PUBLICAR EL CONTENIDO DE LA MODIFICACIÓN DEL PLKAN MUNICIPAL DE DESARROLLO URBANO DE CUAUTITLÁN IZCALLI</w:t>
      </w:r>
      <w:r w:rsidRPr="00640A50">
        <w:rPr>
          <w:rFonts w:ascii="Palatino Linotype" w:eastAsia="Palatino Linotype" w:hAnsi="Palatino Linotype" w:cs="Palatino Linotype"/>
          <w:i/>
          <w:sz w:val="22"/>
          <w:szCs w:val="22"/>
        </w:rPr>
        <w:t xml:space="preserve">, </w:t>
      </w:r>
      <w:r w:rsidRPr="00640A50">
        <w:rPr>
          <w:rFonts w:ascii="Palatino Linotype" w:eastAsia="Palatino Linotype" w:hAnsi="Palatino Linotype" w:cs="Palatino Linotype"/>
          <w:b/>
          <w:i/>
          <w:sz w:val="22"/>
          <w:szCs w:val="22"/>
        </w:rPr>
        <w:t>ESTADO DE MÉXICO</w:t>
      </w:r>
      <w:r w:rsidRPr="00640A50">
        <w:rPr>
          <w:rFonts w:ascii="Palatino Linotype" w:eastAsia="Palatino Linotype" w:hAnsi="Palatino Linotype" w:cs="Palatino Linotype"/>
          <w:i/>
          <w:sz w:val="22"/>
          <w:szCs w:val="22"/>
        </w:rPr>
        <w:t xml:space="preserve">, VIOLENTANDO LO DISPUESTO POR EL ARTÍCULO 165 DE LA LEY ORGÁNICA MUNICIPAL DEL ESTADO DE MÉXICO, TODA VEZ QUE LOS PLAES DE DESARROLLO URBANO TIENE UNA DOBLE CONNOTACIÓN, POR UNA PARTE ESTABLECER NORMAS TÉCNICAS Y POR OTRA ESTABLECER NORMATIVIDAD REGLAMENTARIA DEL USO DEL SUELO Y DEMÁS NORMAS EN MATERIA DE DESARROLLO URBANO, POR ELLO SE DEBIÓ PROMULGAR Y PUBLICAR EL CONTENIDO DE LA MODIFICACIÓN DEL PLAN DE DESARROLLO URBANO DE CUAUTITLÁN IZCALLI DE MANERA INTEGRA, PARA DAR OBLIGATORIEDAD E INICIO DE VIGENCIA A DICHA DISPOSICIÓN NORMATIVA. AHORA BIEN, LA RESPUESTA VIOLENTA EL DERECHO HUMANO DE ACCESO A LA INFORMACIÓN PÚBLICA MÁS AÚN TRATÁNDOSE DE UNA DISPOSICIÓN NORMATIVA. CONTRARIO A LO SEÑALADO POR LA SERVIDORA PÚBLICA </w:t>
      </w:r>
      <w:r w:rsidRPr="00640A50">
        <w:rPr>
          <w:rFonts w:ascii="Palatino Linotype" w:eastAsia="Palatino Linotype" w:hAnsi="Palatino Linotype" w:cs="Palatino Linotype"/>
          <w:b/>
          <w:i/>
          <w:sz w:val="22"/>
          <w:szCs w:val="22"/>
        </w:rPr>
        <w:t>LA INFORMACIÓN SI EXISTE Y LA MISMA SE ESTÁ NEGANDO POR HABER OMITIDO SU PUBLICACIÓN INTEGRA EN LA GACETA MUNICIPAL</w:t>
      </w:r>
      <w:r w:rsidRPr="00640A50">
        <w:rPr>
          <w:rFonts w:ascii="Palatino Linotype" w:eastAsia="Palatino Linotype" w:hAnsi="Palatino Linotype" w:cs="Palatino Linotype"/>
          <w:i/>
          <w:sz w:val="22"/>
          <w:szCs w:val="22"/>
        </w:rPr>
        <w:t xml:space="preserve">, CON ELLO INCURRE EN RESPONSABILIDAD ADMINISTRATIVA, RESERVÁNDOME EL DERECHO DE DENUNCIAR SU CONDUCTA ANTE LA AUTORIDAD INVESTIGADORA DE LA CONTRALORÍA MUNICIPAL POR LA VIOLACIÓN FLAGRANTE AL DERECHO HUMANO DE ACCESO A LA INFORMACIÓN PÚBLICA, EN CONTRAVENCIÓN A LO QUE DISPONE </w:t>
      </w:r>
      <w:r w:rsidRPr="00640A50">
        <w:rPr>
          <w:rFonts w:ascii="Palatino Linotype" w:eastAsia="Palatino Linotype" w:hAnsi="Palatino Linotype" w:cs="Palatino Linotype"/>
          <w:i/>
          <w:sz w:val="22"/>
          <w:szCs w:val="22"/>
        </w:rPr>
        <w:lastRenderedPageBreak/>
        <w:t>EL ARTÍCULO 1 DE LA CONSTITUCIÓN FEDERAL Y 5 DE LA CONSTITUCIÓN LOCAL.” (Sic)</w:t>
      </w:r>
    </w:p>
    <w:p w14:paraId="099F9B32" w14:textId="77777777" w:rsidR="001C2F7F" w:rsidRPr="00640A50" w:rsidRDefault="00640A50">
      <w:pPr>
        <w:spacing w:before="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El particular adjunto a su acuse del recurso de revisión el siguiente archivo electrónico:</w:t>
      </w:r>
    </w:p>
    <w:p w14:paraId="4B118A88" w14:textId="77777777" w:rsidR="001C2F7F" w:rsidRPr="00640A50" w:rsidRDefault="00640A50">
      <w:pPr>
        <w:spacing w:before="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w:t>
      </w:r>
      <w:hyperlink r:id="rId10">
        <w:r w:rsidRPr="00640A50">
          <w:rPr>
            <w:rFonts w:ascii="Palatino Linotype" w:eastAsia="Palatino Linotype" w:hAnsi="Palatino Linotype" w:cs="Palatino Linotype"/>
          </w:rPr>
          <w:t>GACETA 2015.pdf</w:t>
        </w:r>
      </w:hyperlink>
      <w:r w:rsidRPr="00640A50">
        <w:rPr>
          <w:rFonts w:ascii="Palatino Linotype" w:eastAsia="Palatino Linotype" w:hAnsi="Palatino Linotype" w:cs="Palatino Linotype"/>
        </w:rPr>
        <w:t>”, el cual contiene la gaceta municipal del Ayuntamiento de Constitucional de Cuautitlán Izcalli 2013-2015, número 171 de fecha 21 de diciembre del año 2015, la cual será motivo de análisis en el apartado de estudio correspondiente.</w:t>
      </w:r>
    </w:p>
    <w:p w14:paraId="7AFC542D" w14:textId="77777777" w:rsidR="001C2F7F" w:rsidRPr="00640A50" w:rsidRDefault="00640A50">
      <w:pPr>
        <w:spacing w:before="240" w:line="360" w:lineRule="auto"/>
        <w:jc w:val="both"/>
        <w:rPr>
          <w:rFonts w:ascii="Palatino Linotype" w:eastAsia="Palatino Linotype" w:hAnsi="Palatino Linotype" w:cs="Palatino Linotype"/>
          <w:b/>
        </w:rPr>
      </w:pPr>
      <w:r w:rsidRPr="00640A50">
        <w:rPr>
          <w:rFonts w:ascii="Palatino Linotype" w:eastAsia="Palatino Linotype" w:hAnsi="Palatino Linotype" w:cs="Palatino Linotype"/>
          <w:b/>
        </w:rPr>
        <w:t xml:space="preserve">4. Turno. </w:t>
      </w:r>
      <w:r w:rsidRPr="00640A5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640A50">
        <w:rPr>
          <w:rFonts w:ascii="Palatino Linotype" w:eastAsia="Palatino Linotype" w:hAnsi="Palatino Linotype" w:cs="Palatino Linotype"/>
          <w:b/>
        </w:rPr>
        <w:t xml:space="preserve">17394/INFOEM/IP/RR/2022, </w:t>
      </w:r>
      <w:r w:rsidRPr="00640A50">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640A50">
        <w:rPr>
          <w:rFonts w:ascii="Palatino Linotype" w:eastAsia="Palatino Linotype" w:hAnsi="Palatino Linotype" w:cs="Palatino Linotype"/>
          <w:b/>
        </w:rPr>
        <w:t>Guadalupe Ramírez Peña</w:t>
      </w:r>
      <w:r w:rsidRPr="00640A50">
        <w:rPr>
          <w:rFonts w:ascii="Palatino Linotype" w:eastAsia="Palatino Linotype" w:hAnsi="Palatino Linotype" w:cs="Palatino Linotype"/>
        </w:rPr>
        <w:t>, para su análisis, estudio, elaboración del proyecto y presentación ante el Pleno de este Instituto.</w:t>
      </w:r>
    </w:p>
    <w:p w14:paraId="3D363B35" w14:textId="77777777" w:rsidR="001C2F7F" w:rsidRPr="00640A50" w:rsidRDefault="001C2F7F">
      <w:pPr>
        <w:spacing w:line="360" w:lineRule="auto"/>
        <w:jc w:val="both"/>
        <w:rPr>
          <w:rFonts w:ascii="Palatino Linotype" w:eastAsia="Palatino Linotype" w:hAnsi="Palatino Linotype" w:cs="Palatino Linotype"/>
        </w:rPr>
      </w:pPr>
    </w:p>
    <w:p w14:paraId="648A39A4" w14:textId="77777777" w:rsidR="001C2F7F" w:rsidRPr="00640A50" w:rsidRDefault="00640A50">
      <w:pPr>
        <w:spacing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5. Admisión del recurso de revisión: </w:t>
      </w:r>
      <w:r w:rsidRPr="00640A50">
        <w:rPr>
          <w:rFonts w:ascii="Palatino Linotype" w:eastAsia="Palatino Linotype" w:hAnsi="Palatino Linotype" w:cs="Palatino Linotype"/>
        </w:rPr>
        <w:t xml:space="preserve">En fecha veintiuno de diciembre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presentara su informe justificado. </w:t>
      </w:r>
    </w:p>
    <w:p w14:paraId="25D23D2B" w14:textId="77777777" w:rsidR="001C2F7F" w:rsidRPr="00640A50" w:rsidRDefault="00640A5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640A50">
        <w:rPr>
          <w:rFonts w:ascii="Palatino Linotype" w:eastAsia="Palatino Linotype" w:hAnsi="Palatino Linotype" w:cs="Palatino Linotype"/>
          <w:b/>
        </w:rPr>
        <w:t>6. Manifestaciones</w:t>
      </w:r>
      <w:r w:rsidRPr="00640A50">
        <w:rPr>
          <w:rFonts w:ascii="Palatino Linotype" w:eastAsia="Palatino Linotype" w:hAnsi="Palatino Linotype" w:cs="Palatino Linotype"/>
        </w:rPr>
        <w:t xml:space="preserve">: De las constancias que integran el expediente en que se actúa se advierte que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fue omisa en presentar sus alegatos o </w:t>
      </w:r>
      <w:r w:rsidRPr="00640A50">
        <w:rPr>
          <w:rFonts w:ascii="Palatino Linotype" w:eastAsia="Palatino Linotype" w:hAnsi="Palatino Linotype" w:cs="Palatino Linotype"/>
        </w:rPr>
        <w:lastRenderedPageBreak/>
        <w:t>manifestación alguna.</w:t>
      </w:r>
    </w:p>
    <w:p w14:paraId="0D816661"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Por su parte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en fecha doce de enero del año dos mil veintitrés, remitió su informe justificado mediante el siguiente archivo electrónico:</w:t>
      </w:r>
    </w:p>
    <w:p w14:paraId="38413CDA" w14:textId="77777777" w:rsidR="001C2F7F" w:rsidRPr="00640A50" w:rsidRDefault="001C2F7F">
      <w:pPr>
        <w:spacing w:line="360" w:lineRule="auto"/>
        <w:jc w:val="both"/>
        <w:rPr>
          <w:rFonts w:ascii="Palatino Linotype" w:eastAsia="Palatino Linotype" w:hAnsi="Palatino Linotype" w:cs="Palatino Linotype"/>
        </w:rPr>
      </w:pPr>
    </w:p>
    <w:p w14:paraId="39C85814"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w:t>
      </w:r>
      <w:hyperlink r:id="rId11">
        <w:r w:rsidRPr="00640A50">
          <w:rPr>
            <w:rFonts w:ascii="Palatino Linotype" w:eastAsia="Palatino Linotype" w:hAnsi="Palatino Linotype" w:cs="Palatino Linotype"/>
          </w:rPr>
          <w:t>INFORME JUSTIFICADO - 17394.pdf</w:t>
        </w:r>
      </w:hyperlink>
      <w:r w:rsidRPr="00640A50">
        <w:rPr>
          <w:rFonts w:ascii="Palatino Linotype" w:eastAsia="Palatino Linotype" w:hAnsi="Palatino Linotype" w:cs="Palatino Linotype"/>
        </w:rPr>
        <w:t xml:space="preserve">”, por medio del cual la Coordinación de Transparencia, requirió su informe justificado al </w:t>
      </w:r>
      <w:proofErr w:type="gramStart"/>
      <w:r w:rsidRPr="00640A50">
        <w:rPr>
          <w:rFonts w:ascii="Palatino Linotype" w:eastAsia="Palatino Linotype" w:hAnsi="Palatino Linotype" w:cs="Palatino Linotype"/>
        </w:rPr>
        <w:t>Secretario</w:t>
      </w:r>
      <w:proofErr w:type="gramEnd"/>
      <w:r w:rsidRPr="00640A50">
        <w:rPr>
          <w:rFonts w:ascii="Palatino Linotype" w:eastAsia="Palatino Linotype" w:hAnsi="Palatino Linotype" w:cs="Palatino Linotype"/>
        </w:rPr>
        <w:t xml:space="preserve"> del Ayuntamiento, informe justificado mediante el cual el Departamento de Normatividad y Convenios perteneciente a la Secretaría del Ayuntamiento, señaló que son improcedentes sus motivos de inconformidad, conforme a lo siguiente:</w:t>
      </w:r>
    </w:p>
    <w:p w14:paraId="55E7CBC9" w14:textId="77777777" w:rsidR="001C2F7F" w:rsidRPr="00640A50" w:rsidRDefault="001C2F7F">
      <w:pPr>
        <w:spacing w:line="360" w:lineRule="auto"/>
        <w:jc w:val="both"/>
      </w:pPr>
    </w:p>
    <w:p w14:paraId="3881B3AA" w14:textId="77777777" w:rsidR="001C2F7F" w:rsidRPr="00640A50" w:rsidRDefault="00640A50">
      <w:pPr>
        <w:spacing w:line="360" w:lineRule="auto"/>
        <w:jc w:val="both"/>
        <w:rPr>
          <w:rFonts w:ascii="Palatino Linotype" w:eastAsia="Palatino Linotype" w:hAnsi="Palatino Linotype" w:cs="Palatino Linotype"/>
        </w:rPr>
      </w:pPr>
      <w:r w:rsidRPr="00640A50">
        <w:rPr>
          <w:noProof/>
          <w:lang w:val="es-MX" w:eastAsia="es-MX"/>
        </w:rPr>
        <w:drawing>
          <wp:inline distT="0" distB="0" distL="0" distR="0" wp14:anchorId="3B8A29CB" wp14:editId="3E72318E">
            <wp:extent cx="5470547" cy="1521472"/>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36467" t="35708" r="24009" b="41050"/>
                    <a:stretch>
                      <a:fillRect/>
                    </a:stretch>
                  </pic:blipFill>
                  <pic:spPr>
                    <a:xfrm>
                      <a:off x="0" y="0"/>
                      <a:ext cx="5470547" cy="1521472"/>
                    </a:xfrm>
                    <a:prstGeom prst="rect">
                      <a:avLst/>
                    </a:prstGeom>
                    <a:ln/>
                  </pic:spPr>
                </pic:pic>
              </a:graphicData>
            </a:graphic>
          </wp:inline>
        </w:drawing>
      </w:r>
    </w:p>
    <w:p w14:paraId="62D64BD6" w14:textId="77777777" w:rsidR="001C2F7F" w:rsidRPr="00640A50" w:rsidRDefault="00640A50">
      <w:pPr>
        <w:spacing w:line="360" w:lineRule="auto"/>
        <w:jc w:val="both"/>
      </w:pPr>
      <w:r w:rsidRPr="00640A50">
        <w:rPr>
          <w:noProof/>
          <w:lang w:val="es-MX" w:eastAsia="es-MX"/>
        </w:rPr>
        <w:drawing>
          <wp:inline distT="0" distB="0" distL="0" distR="0" wp14:anchorId="3DE3E223" wp14:editId="6A67327A">
            <wp:extent cx="5469822" cy="2530240"/>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1955" t="14913" r="28606" b="52233"/>
                    <a:stretch>
                      <a:fillRect/>
                    </a:stretch>
                  </pic:blipFill>
                  <pic:spPr>
                    <a:xfrm>
                      <a:off x="0" y="0"/>
                      <a:ext cx="5469822" cy="2530240"/>
                    </a:xfrm>
                    <a:prstGeom prst="rect">
                      <a:avLst/>
                    </a:prstGeom>
                    <a:ln/>
                  </pic:spPr>
                </pic:pic>
              </a:graphicData>
            </a:graphic>
          </wp:inline>
        </w:drawing>
      </w:r>
    </w:p>
    <w:p w14:paraId="52282ABB" w14:textId="77777777" w:rsidR="001C2F7F" w:rsidRPr="00640A50" w:rsidRDefault="00640A50">
      <w:pPr>
        <w:widowControl w:val="0"/>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lastRenderedPageBreak/>
        <w:t>7.- Ampliación del plazo.</w:t>
      </w:r>
      <w:r w:rsidRPr="00640A50">
        <w:rPr>
          <w:rFonts w:ascii="Palatino Linotype" w:eastAsia="Palatino Linotype" w:hAnsi="Palatino Linotype" w:cs="Palatino Linotype"/>
        </w:rPr>
        <w:t xml:space="preserve"> En fecha dieciséis de mayo del año dos mil veintitrés, con fundamento en el artículo 181, párrafo tercero de la Ley de Transparencia y Acceso a la Información Pública del Estado de México y Municipios, se acordó la ampliación del plazo para su resolución.</w:t>
      </w:r>
    </w:p>
    <w:p w14:paraId="69FC278A" w14:textId="77777777" w:rsidR="001C2F7F" w:rsidRPr="00640A50" w:rsidRDefault="001C2F7F">
      <w:pPr>
        <w:widowControl w:val="0"/>
        <w:spacing w:line="360" w:lineRule="auto"/>
        <w:jc w:val="both"/>
        <w:rPr>
          <w:rFonts w:ascii="Palatino Linotype" w:eastAsia="Palatino Linotype" w:hAnsi="Palatino Linotype" w:cs="Palatino Linotype"/>
        </w:rPr>
      </w:pPr>
    </w:p>
    <w:p w14:paraId="0985D0A6" w14:textId="77777777" w:rsidR="001C2F7F" w:rsidRPr="00640A50" w:rsidRDefault="00640A50">
      <w:pPr>
        <w:widowControl w:val="0"/>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6DA218EA" w14:textId="77777777" w:rsidR="001C2F7F" w:rsidRPr="00640A50" w:rsidRDefault="001C2F7F">
      <w:pPr>
        <w:spacing w:line="360" w:lineRule="auto"/>
        <w:jc w:val="both"/>
        <w:rPr>
          <w:rFonts w:ascii="Palatino Linotype" w:eastAsia="Palatino Linotype" w:hAnsi="Palatino Linotype" w:cs="Palatino Linotype"/>
        </w:rPr>
      </w:pPr>
    </w:p>
    <w:p w14:paraId="7EA2B414"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2E352D6" w14:textId="77777777" w:rsidR="001C2F7F" w:rsidRPr="00640A50" w:rsidRDefault="001C2F7F">
      <w:pPr>
        <w:spacing w:line="360" w:lineRule="auto"/>
        <w:jc w:val="both"/>
        <w:rPr>
          <w:rFonts w:ascii="Palatino Linotype" w:eastAsia="Palatino Linotype" w:hAnsi="Palatino Linotype" w:cs="Palatino Linotype"/>
        </w:rPr>
      </w:pPr>
    </w:p>
    <w:p w14:paraId="25EDA10E"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484A3D"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54C9D1" w14:textId="77777777" w:rsidR="001C2F7F" w:rsidRPr="00640A50" w:rsidRDefault="001C2F7F">
      <w:pPr>
        <w:spacing w:line="360" w:lineRule="auto"/>
        <w:jc w:val="both"/>
        <w:rPr>
          <w:rFonts w:ascii="Palatino Linotype" w:eastAsia="Palatino Linotype" w:hAnsi="Palatino Linotype" w:cs="Palatino Linotype"/>
        </w:rPr>
      </w:pPr>
    </w:p>
    <w:p w14:paraId="67CF57F3" w14:textId="77777777" w:rsidR="001C2F7F" w:rsidRPr="00640A50" w:rsidRDefault="00640A50">
      <w:pPr>
        <w:spacing w:line="360" w:lineRule="auto"/>
        <w:jc w:val="both"/>
        <w:rPr>
          <w:rFonts w:ascii="Palatino Linotype" w:eastAsia="Palatino Linotype" w:hAnsi="Palatino Linotype" w:cs="Palatino Linotype"/>
          <w:strike/>
        </w:rPr>
      </w:pPr>
      <w:r w:rsidRPr="00640A5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86DFD64" w14:textId="77777777" w:rsidR="001C2F7F" w:rsidRPr="00640A50" w:rsidRDefault="001C2F7F">
      <w:pPr>
        <w:spacing w:line="360" w:lineRule="auto"/>
        <w:jc w:val="both"/>
        <w:rPr>
          <w:rFonts w:ascii="Palatino Linotype" w:eastAsia="Palatino Linotype" w:hAnsi="Palatino Linotype" w:cs="Palatino Linotype"/>
        </w:rPr>
      </w:pPr>
    </w:p>
    <w:p w14:paraId="4E9E9F52" w14:textId="77777777" w:rsidR="001C2F7F" w:rsidRPr="00640A50" w:rsidRDefault="00640A50">
      <w:pPr>
        <w:numPr>
          <w:ilvl w:val="0"/>
          <w:numId w:val="9"/>
        </w:num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652FD42" w14:textId="77777777" w:rsidR="001C2F7F" w:rsidRPr="00640A50" w:rsidRDefault="001C2F7F">
      <w:pPr>
        <w:spacing w:line="360" w:lineRule="auto"/>
        <w:ind w:left="927"/>
        <w:jc w:val="both"/>
        <w:rPr>
          <w:rFonts w:ascii="Palatino Linotype" w:eastAsia="Palatino Linotype" w:hAnsi="Palatino Linotype" w:cs="Palatino Linotype"/>
        </w:rPr>
      </w:pPr>
    </w:p>
    <w:p w14:paraId="28CA991B" w14:textId="77777777" w:rsidR="001C2F7F" w:rsidRPr="00640A50" w:rsidRDefault="00640A50">
      <w:pPr>
        <w:numPr>
          <w:ilvl w:val="0"/>
          <w:numId w:val="9"/>
        </w:num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Actividad Procesal del interesado. Acciones u omisiones del interesado.</w:t>
      </w:r>
    </w:p>
    <w:p w14:paraId="7F606943" w14:textId="77777777" w:rsidR="001C2F7F" w:rsidRPr="00640A50" w:rsidRDefault="001C2F7F">
      <w:pPr>
        <w:spacing w:line="360" w:lineRule="auto"/>
        <w:jc w:val="both"/>
        <w:rPr>
          <w:rFonts w:ascii="Palatino Linotype" w:eastAsia="Palatino Linotype" w:hAnsi="Palatino Linotype" w:cs="Palatino Linotype"/>
        </w:rPr>
      </w:pPr>
    </w:p>
    <w:p w14:paraId="30B321FB" w14:textId="77777777" w:rsidR="001C2F7F" w:rsidRPr="00640A50" w:rsidRDefault="00640A50">
      <w:pPr>
        <w:numPr>
          <w:ilvl w:val="0"/>
          <w:numId w:val="9"/>
        </w:num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Conducta de la Autoridad: Las Acciones u omisiones realizadas en el procedimiento. Así como si la autoridad actuó con la debida diligencia.</w:t>
      </w:r>
    </w:p>
    <w:p w14:paraId="632B70B9" w14:textId="77777777" w:rsidR="001C2F7F" w:rsidRPr="00640A50" w:rsidRDefault="001C2F7F">
      <w:pPr>
        <w:spacing w:line="360" w:lineRule="auto"/>
        <w:ind w:left="708"/>
        <w:rPr>
          <w:rFonts w:ascii="Palatino Linotype" w:eastAsia="Palatino Linotype" w:hAnsi="Palatino Linotype" w:cs="Palatino Linotype"/>
        </w:rPr>
      </w:pPr>
    </w:p>
    <w:p w14:paraId="1490618B" w14:textId="77777777" w:rsidR="001C2F7F" w:rsidRPr="00640A50" w:rsidRDefault="00640A50">
      <w:pPr>
        <w:spacing w:line="360" w:lineRule="auto"/>
        <w:ind w:left="567"/>
        <w:jc w:val="both"/>
        <w:rPr>
          <w:rFonts w:ascii="Palatino Linotype" w:eastAsia="Palatino Linotype" w:hAnsi="Palatino Linotype" w:cs="Palatino Linotype"/>
        </w:rPr>
      </w:pPr>
      <w:r w:rsidRPr="00640A50">
        <w:rPr>
          <w:rFonts w:ascii="Palatino Linotype" w:eastAsia="Palatino Linotype" w:hAnsi="Palatino Linotype" w:cs="Palatino Linotype"/>
        </w:rPr>
        <w:t>d) La afectación generada en la situación jurídica de la persona involucrada en el proceso: Violación a sus derechos humanos.</w:t>
      </w:r>
    </w:p>
    <w:p w14:paraId="01FAE066" w14:textId="77777777" w:rsidR="001C2F7F" w:rsidRPr="00640A50" w:rsidRDefault="001C2F7F">
      <w:pPr>
        <w:spacing w:line="360" w:lineRule="auto"/>
        <w:jc w:val="both"/>
        <w:rPr>
          <w:rFonts w:ascii="Palatino Linotype" w:eastAsia="Palatino Linotype" w:hAnsi="Palatino Linotype" w:cs="Palatino Linotype"/>
        </w:rPr>
      </w:pPr>
    </w:p>
    <w:p w14:paraId="107F66CD"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40A50">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02976D5E" w14:textId="77777777" w:rsidR="001C2F7F" w:rsidRPr="00640A50" w:rsidRDefault="001C2F7F">
      <w:pPr>
        <w:spacing w:line="360" w:lineRule="auto"/>
        <w:jc w:val="both"/>
        <w:rPr>
          <w:rFonts w:ascii="Palatino Linotype" w:eastAsia="Palatino Linotype" w:hAnsi="Palatino Linotype" w:cs="Palatino Linotype"/>
        </w:rPr>
      </w:pPr>
    </w:p>
    <w:p w14:paraId="064B5DAF" w14:textId="77777777" w:rsidR="001C2F7F" w:rsidRPr="00640A50" w:rsidRDefault="00640A50">
      <w:pPr>
        <w:spacing w:line="360" w:lineRule="auto"/>
        <w:jc w:val="both"/>
        <w:rPr>
          <w:rFonts w:ascii="Palatino Linotype" w:eastAsia="Palatino Linotype" w:hAnsi="Palatino Linotype" w:cs="Palatino Linotype"/>
          <w:b/>
        </w:rPr>
      </w:pPr>
      <w:r w:rsidRPr="00640A5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40A5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40A50">
        <w:rPr>
          <w:rFonts w:ascii="Palatino Linotype" w:eastAsia="Palatino Linotype" w:hAnsi="Palatino Linotype" w:cs="Palatino Linotype"/>
        </w:rPr>
        <w:t>, visible en la Gaceta del Seminario Judicial de la Federación con el registro digital 205635.</w:t>
      </w:r>
    </w:p>
    <w:p w14:paraId="1455AE56" w14:textId="77777777" w:rsidR="001C2F7F" w:rsidRPr="00640A50" w:rsidRDefault="001C2F7F">
      <w:pPr>
        <w:spacing w:line="360" w:lineRule="auto"/>
        <w:jc w:val="both"/>
        <w:rPr>
          <w:rFonts w:ascii="Palatino Linotype" w:eastAsia="Palatino Linotype" w:hAnsi="Palatino Linotype" w:cs="Palatino Linotype"/>
        </w:rPr>
      </w:pPr>
    </w:p>
    <w:p w14:paraId="360DE6B6"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5897AA" w14:textId="77777777" w:rsidR="001C2F7F" w:rsidRPr="00640A50" w:rsidRDefault="001C2F7F">
      <w:pPr>
        <w:spacing w:line="360" w:lineRule="auto"/>
        <w:jc w:val="both"/>
        <w:rPr>
          <w:rFonts w:ascii="Palatino Linotype" w:eastAsia="Palatino Linotype" w:hAnsi="Palatino Linotype" w:cs="Palatino Linotype"/>
        </w:rPr>
      </w:pPr>
    </w:p>
    <w:p w14:paraId="37BF381D"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DD884D4" w14:textId="77777777" w:rsidR="001C2F7F" w:rsidRPr="00640A50" w:rsidRDefault="001C2F7F">
      <w:pPr>
        <w:spacing w:line="360" w:lineRule="auto"/>
        <w:jc w:val="both"/>
        <w:rPr>
          <w:rFonts w:ascii="Palatino Linotype" w:eastAsia="Palatino Linotype" w:hAnsi="Palatino Linotype" w:cs="Palatino Linotype"/>
        </w:rPr>
      </w:pPr>
    </w:p>
    <w:p w14:paraId="366CA01E"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 </w:t>
      </w:r>
      <w:r w:rsidRPr="00640A50">
        <w:rPr>
          <w:rFonts w:ascii="Palatino Linotype" w:eastAsia="Palatino Linotype" w:hAnsi="Palatino Linotype" w:cs="Palatino Linotype"/>
          <w:i/>
        </w:rPr>
        <w:t>“PLAZO RAZONABLE PARA RESOLVER. DIMENSIÓN Y EFECTOS DE ESTE CONCEPTO CUANDO SE ADUCE EXCESIVA CARGA DE TRABAJO.”</w:t>
      </w:r>
      <w:r w:rsidRPr="00640A50">
        <w:rPr>
          <w:rFonts w:ascii="Palatino Linotype" w:eastAsia="Palatino Linotype" w:hAnsi="Palatino Linotype" w:cs="Palatino Linotype"/>
        </w:rPr>
        <w:t xml:space="preserve"> consultable en el Seminario Judicial de la Federación y su gaceta, con el registro digital 2002351.</w:t>
      </w:r>
    </w:p>
    <w:p w14:paraId="00477658" w14:textId="77777777" w:rsidR="001C2F7F" w:rsidRPr="00640A50" w:rsidRDefault="001C2F7F">
      <w:pPr>
        <w:spacing w:line="360" w:lineRule="auto"/>
        <w:jc w:val="both"/>
        <w:rPr>
          <w:rFonts w:ascii="Palatino Linotype" w:eastAsia="Palatino Linotype" w:hAnsi="Palatino Linotype" w:cs="Palatino Linotype"/>
          <w:b/>
        </w:rPr>
      </w:pPr>
    </w:p>
    <w:p w14:paraId="5093C078"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i/>
        </w:rPr>
        <w:t>“PLAZO RAZONABLE PARA RESOLVER. CONCEPTO Y ELEMENTOS QUE LO INTEGRAN A LA LUZ DEL DERECHO INTERNACIONAL DE LOS DERECHOS HUMANOS.”</w:t>
      </w:r>
      <w:r w:rsidRPr="00640A50">
        <w:rPr>
          <w:rFonts w:ascii="Palatino Linotype" w:eastAsia="Palatino Linotype" w:hAnsi="Palatino Linotype" w:cs="Palatino Linotype"/>
        </w:rPr>
        <w:t>, visible en el Seminario Judicial de la Federación y su gaceta, con el registro digital 2002350.</w:t>
      </w:r>
    </w:p>
    <w:p w14:paraId="4F4BA5C5" w14:textId="77777777" w:rsidR="001C2F7F" w:rsidRPr="00640A50" w:rsidRDefault="001C2F7F">
      <w:pPr>
        <w:spacing w:line="360" w:lineRule="auto"/>
        <w:jc w:val="both"/>
        <w:rPr>
          <w:rFonts w:ascii="Palatino Linotype" w:eastAsia="Palatino Linotype" w:hAnsi="Palatino Linotype" w:cs="Palatino Linotype"/>
        </w:rPr>
      </w:pPr>
    </w:p>
    <w:p w14:paraId="24234731"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86EE75B" w14:textId="77777777" w:rsidR="001C2F7F" w:rsidRPr="00640A50" w:rsidRDefault="001C2F7F">
      <w:pPr>
        <w:spacing w:line="360" w:lineRule="auto"/>
        <w:jc w:val="both"/>
        <w:rPr>
          <w:rFonts w:ascii="Palatino Linotype" w:eastAsia="Palatino Linotype" w:hAnsi="Palatino Linotype" w:cs="Palatino Linotype"/>
          <w:b/>
        </w:rPr>
      </w:pPr>
    </w:p>
    <w:p w14:paraId="51AE95FA"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8.- Cierre de instrucción. </w:t>
      </w:r>
      <w:r w:rsidRPr="00640A50">
        <w:rPr>
          <w:rFonts w:ascii="Palatino Linotype" w:eastAsia="Palatino Linotype" w:hAnsi="Palatino Linotype" w:cs="Palatino Linotype"/>
        </w:rPr>
        <w:t>El veintitrés de mayo de dos mil veintitrés la Comisionada ponente determinó el cierre de instrucción en términos de la fracción VI del artículo 185 de la Ley de Transparencia y Acceso a la Información Pública del Estado de México y Municipios.</w:t>
      </w:r>
    </w:p>
    <w:p w14:paraId="31BC84D8" w14:textId="77777777" w:rsidR="001C2F7F" w:rsidRPr="00640A50" w:rsidRDefault="001C2F7F">
      <w:pPr>
        <w:spacing w:line="360" w:lineRule="auto"/>
        <w:jc w:val="both"/>
        <w:rPr>
          <w:rFonts w:ascii="Palatino Linotype" w:eastAsia="Palatino Linotype" w:hAnsi="Palatino Linotype" w:cs="Palatino Linotype"/>
        </w:rPr>
      </w:pPr>
    </w:p>
    <w:p w14:paraId="284110F6" w14:textId="77777777" w:rsidR="001C2F7F" w:rsidRPr="00640A50" w:rsidRDefault="00640A50">
      <w:pPr>
        <w:spacing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63347393" w14:textId="77777777" w:rsidR="001C2F7F" w:rsidRPr="00640A50" w:rsidRDefault="00640A50">
      <w:pPr>
        <w:numPr>
          <w:ilvl w:val="0"/>
          <w:numId w:val="10"/>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640A50">
        <w:rPr>
          <w:rFonts w:ascii="Palatino Linotype" w:eastAsia="Palatino Linotype" w:hAnsi="Palatino Linotype" w:cs="Palatino Linotype"/>
          <w:b/>
          <w:sz w:val="22"/>
          <w:szCs w:val="22"/>
        </w:rPr>
        <w:t>C O N S I D E R A N D O:</w:t>
      </w:r>
    </w:p>
    <w:p w14:paraId="6E42AFCE"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Primero. Competencia. </w:t>
      </w:r>
      <w:r w:rsidRPr="00640A5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F5F7723"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Segundo. Oportunidad y Procedibilidad del Recurso de Revisión</w:t>
      </w:r>
      <w:r w:rsidRPr="00640A50">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emitió su respuesta a la solicitud planteada por el </w:t>
      </w:r>
      <w:r w:rsidRPr="00640A50">
        <w:rPr>
          <w:rFonts w:ascii="Palatino Linotype" w:eastAsia="Palatino Linotype" w:hAnsi="Palatino Linotype" w:cs="Palatino Linotype"/>
        </w:rPr>
        <w:lastRenderedPageBreak/>
        <w:t xml:space="preserve">solicitante en fecha quince de diciembre del año dos mil veintidós y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presentó su recurso de revisión el dieciséis de diciembre del mismo año; esto es, al primer día hábil siguiente de aquel en que tuvo conocimiento de la respuesta; evidenciándose que la interposición del recurso se encuentra dentro de los márgenes temporales previstos en el citado precepto legal.</w:t>
      </w:r>
    </w:p>
    <w:p w14:paraId="5C6A3296"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1237929"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III de la ley de la materia, que a la letra dice:</w:t>
      </w:r>
    </w:p>
    <w:p w14:paraId="78EBFD79" w14:textId="77777777" w:rsidR="001C2F7F" w:rsidRPr="00640A50" w:rsidRDefault="00640A50">
      <w:pPr>
        <w:ind w:left="1276" w:right="175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 xml:space="preserve">Artículo 179. </w:t>
      </w:r>
      <w:r w:rsidRPr="00640A5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640A50">
        <w:rPr>
          <w:rFonts w:ascii="Palatino Linotype" w:eastAsia="Palatino Linotype" w:hAnsi="Palatino Linotype" w:cs="Palatino Linotype"/>
          <w:i/>
        </w:rPr>
        <w:t>causas</w:t>
      </w:r>
      <w:r w:rsidRPr="00640A50">
        <w:rPr>
          <w:rFonts w:ascii="Palatino Linotype" w:eastAsia="Palatino Linotype" w:hAnsi="Palatino Linotype" w:cs="Palatino Linotype"/>
          <w:i/>
          <w:sz w:val="22"/>
          <w:szCs w:val="22"/>
        </w:rPr>
        <w:t>:</w:t>
      </w:r>
    </w:p>
    <w:p w14:paraId="1067F43C" w14:textId="77777777" w:rsidR="001C2F7F" w:rsidRPr="00640A50" w:rsidRDefault="00640A50">
      <w:pPr>
        <w:ind w:left="1276" w:right="175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7F115D36" w14:textId="77777777" w:rsidR="001C2F7F" w:rsidRPr="00640A50" w:rsidRDefault="00640A50">
      <w:pPr>
        <w:ind w:left="1276" w:right="175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I. La negativa de la información solicitada</w:t>
      </w:r>
    </w:p>
    <w:p w14:paraId="5831E264" w14:textId="77777777" w:rsidR="001C2F7F" w:rsidRPr="00640A50" w:rsidRDefault="00640A50">
      <w:pPr>
        <w:ind w:left="1276" w:right="175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0CC70740" w14:textId="77777777" w:rsidR="001C2F7F" w:rsidRPr="00640A50" w:rsidRDefault="00640A50">
      <w:pPr>
        <w:ind w:left="1276" w:right="175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III. La declaración de inexistencia de la información…” (Sic)</w:t>
      </w:r>
    </w:p>
    <w:p w14:paraId="4A6DCB76" w14:textId="77777777" w:rsidR="001C2F7F" w:rsidRPr="00640A50" w:rsidRDefault="001C2F7F">
      <w:pPr>
        <w:ind w:left="1276" w:right="1752"/>
        <w:jc w:val="both"/>
        <w:rPr>
          <w:rFonts w:ascii="Palatino Linotype" w:eastAsia="Palatino Linotype" w:hAnsi="Palatino Linotype" w:cs="Palatino Linotype"/>
          <w:i/>
          <w:sz w:val="22"/>
          <w:szCs w:val="22"/>
        </w:rPr>
      </w:pPr>
    </w:p>
    <w:p w14:paraId="712343F5" w14:textId="77777777" w:rsidR="001C2F7F" w:rsidRPr="00640A50" w:rsidRDefault="00640A50">
      <w:pPr>
        <w:spacing w:before="280" w:after="28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Tercero. Materia de Revisión</w:t>
      </w:r>
      <w:r w:rsidRPr="00640A50">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640A50">
        <w:rPr>
          <w:rFonts w:ascii="Palatino Linotype" w:eastAsia="Palatino Linotype" w:hAnsi="Palatino Linotype" w:cs="Palatino Linotype"/>
          <w:b/>
        </w:rPr>
        <w:t xml:space="preserve">verificar si la respuesta otorgada por el SUJETO OBLIGADO es adecuada y </w:t>
      </w:r>
      <w:r w:rsidRPr="00640A50">
        <w:rPr>
          <w:rFonts w:ascii="Palatino Linotype" w:eastAsia="Palatino Linotype" w:hAnsi="Palatino Linotype" w:cs="Palatino Linotype"/>
          <w:b/>
        </w:rPr>
        <w:lastRenderedPageBreak/>
        <w:t xml:space="preserve">suficiente para satisfacer el derecho de acceso a la información pública </w:t>
      </w:r>
      <w:r w:rsidRPr="00640A50">
        <w:rPr>
          <w:rFonts w:ascii="Palatino Linotype" w:eastAsia="Palatino Linotype" w:hAnsi="Palatino Linotype" w:cs="Palatino Linotype"/>
        </w:rPr>
        <w:t xml:space="preserve">de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o en su defecto, en caso de ser procedente, ordenar la entrega de información.</w:t>
      </w:r>
    </w:p>
    <w:p w14:paraId="70F302E4"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Cuarto. Estudio de fondo del asunto. </w:t>
      </w:r>
      <w:r w:rsidRPr="00640A50">
        <w:rPr>
          <w:rFonts w:ascii="Palatino Linotype" w:eastAsia="Palatino Linotype" w:hAnsi="Palatino Linotype" w:cs="Palatino Linotype"/>
        </w:rPr>
        <w:t xml:space="preserve">Es conveniente analizar si la respuesta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C2CC74" w14:textId="77777777" w:rsidR="001C2F7F" w:rsidRPr="00640A50" w:rsidRDefault="00640A50">
      <w:pPr>
        <w:spacing w:before="240"/>
        <w:ind w:left="709" w:right="76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Artículo 4</w:t>
      </w:r>
      <w:r w:rsidRPr="00640A5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2A6013" w14:textId="77777777" w:rsidR="001C2F7F" w:rsidRPr="00640A50" w:rsidRDefault="00640A50">
      <w:pPr>
        <w:ind w:left="709" w:right="76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40A5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DB47BE4" w14:textId="77777777" w:rsidR="001C2F7F" w:rsidRPr="00640A50" w:rsidRDefault="00640A50">
      <w:pPr>
        <w:ind w:left="709" w:right="76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00019C25" w14:textId="77777777" w:rsidR="001C2F7F" w:rsidRPr="00640A50" w:rsidRDefault="001C2F7F">
      <w:pPr>
        <w:spacing w:line="360" w:lineRule="auto"/>
        <w:jc w:val="both"/>
        <w:rPr>
          <w:rFonts w:ascii="Palatino Linotype" w:eastAsia="Palatino Linotype" w:hAnsi="Palatino Linotype" w:cs="Palatino Linotype"/>
        </w:rPr>
      </w:pPr>
    </w:p>
    <w:p w14:paraId="58CFE166"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A06FB78" w14:textId="77777777" w:rsidR="001C2F7F" w:rsidRPr="00640A50" w:rsidRDefault="001C2F7F">
      <w:pPr>
        <w:spacing w:line="360" w:lineRule="auto"/>
        <w:jc w:val="both"/>
        <w:rPr>
          <w:rFonts w:ascii="Palatino Linotype" w:eastAsia="Palatino Linotype" w:hAnsi="Palatino Linotype" w:cs="Palatino Linotype"/>
        </w:rPr>
      </w:pPr>
    </w:p>
    <w:p w14:paraId="38EA0422" w14:textId="77777777" w:rsidR="001C2F7F" w:rsidRPr="00640A50" w:rsidRDefault="00640A50">
      <w:pPr>
        <w:ind w:left="567" w:right="758"/>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12.-</w:t>
      </w:r>
      <w:r w:rsidRPr="00640A5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AD6884" w14:textId="77777777" w:rsidR="001C2F7F" w:rsidRPr="00640A50" w:rsidRDefault="001C2F7F">
      <w:pPr>
        <w:ind w:left="567" w:right="758"/>
        <w:jc w:val="both"/>
        <w:rPr>
          <w:rFonts w:ascii="Palatino Linotype" w:eastAsia="Palatino Linotype" w:hAnsi="Palatino Linotype" w:cs="Palatino Linotype"/>
          <w:i/>
          <w:sz w:val="22"/>
          <w:szCs w:val="22"/>
        </w:rPr>
      </w:pPr>
    </w:p>
    <w:p w14:paraId="0B8F5378" w14:textId="77777777" w:rsidR="001C2F7F" w:rsidRPr="00640A50" w:rsidRDefault="00640A50">
      <w:pPr>
        <w:ind w:left="567" w:right="758"/>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40A50">
        <w:rPr>
          <w:rFonts w:ascii="Palatino Linotype" w:eastAsia="Palatino Linotype" w:hAnsi="Palatino Linotype" w:cs="Palatino Linotype"/>
          <w:i/>
          <w:sz w:val="22"/>
          <w:szCs w:val="22"/>
        </w:rPr>
        <w:t xml:space="preserve">. </w:t>
      </w:r>
      <w:r w:rsidRPr="00640A5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481C8F6" w14:textId="77777777" w:rsidR="001C2F7F" w:rsidRPr="00640A50" w:rsidRDefault="001C2F7F">
      <w:pPr>
        <w:spacing w:line="360" w:lineRule="auto"/>
        <w:ind w:right="-93"/>
        <w:jc w:val="both"/>
        <w:rPr>
          <w:rFonts w:ascii="Palatino Linotype" w:eastAsia="Palatino Linotype" w:hAnsi="Palatino Linotype" w:cs="Palatino Linotype"/>
        </w:rPr>
      </w:pPr>
    </w:p>
    <w:p w14:paraId="520738D8" w14:textId="77777777" w:rsidR="001C2F7F" w:rsidRPr="00640A50" w:rsidRDefault="00640A50">
      <w:pPr>
        <w:spacing w:line="360" w:lineRule="auto"/>
        <w:ind w:right="-93"/>
        <w:jc w:val="both"/>
        <w:rPr>
          <w:rFonts w:ascii="Palatino Linotype" w:eastAsia="Palatino Linotype" w:hAnsi="Palatino Linotype" w:cs="Palatino Linotype"/>
        </w:rPr>
      </w:pPr>
      <w:r w:rsidRPr="00640A5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A1C8823" w14:textId="77777777" w:rsidR="001C2F7F" w:rsidRPr="00640A50" w:rsidRDefault="001C2F7F">
      <w:pPr>
        <w:spacing w:line="360" w:lineRule="auto"/>
        <w:ind w:right="-93"/>
        <w:jc w:val="both"/>
        <w:rPr>
          <w:rFonts w:ascii="Palatino Linotype" w:eastAsia="Palatino Linotype" w:hAnsi="Palatino Linotype" w:cs="Palatino Linotype"/>
        </w:rPr>
      </w:pPr>
    </w:p>
    <w:p w14:paraId="339FA678" w14:textId="77777777" w:rsidR="001C2F7F" w:rsidRPr="00640A50" w:rsidRDefault="00640A50">
      <w:pPr>
        <w:spacing w:line="360" w:lineRule="auto"/>
        <w:jc w:val="both"/>
        <w:rPr>
          <w:rFonts w:ascii="Palatino Linotype" w:eastAsia="Palatino Linotype" w:hAnsi="Palatino Linotype" w:cs="Palatino Linotype"/>
          <w:b/>
        </w:rPr>
      </w:pPr>
      <w:r w:rsidRPr="00640A50">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640A50">
        <w:rPr>
          <w:rFonts w:ascii="Palatino Linotype" w:eastAsia="Palatino Linotype" w:hAnsi="Palatino Linotype" w:cs="Palatino Linotype"/>
          <w:b/>
        </w:rPr>
        <w:t xml:space="preserve"> </w:t>
      </w:r>
    </w:p>
    <w:p w14:paraId="0EC217E6" w14:textId="77777777" w:rsidR="001C2F7F" w:rsidRPr="00640A50" w:rsidRDefault="001C2F7F">
      <w:pPr>
        <w:ind w:left="851" w:right="850"/>
        <w:jc w:val="both"/>
        <w:rPr>
          <w:rFonts w:ascii="Palatino Linotype" w:eastAsia="Palatino Linotype" w:hAnsi="Palatino Linotype" w:cs="Palatino Linotype"/>
        </w:rPr>
      </w:pPr>
    </w:p>
    <w:p w14:paraId="471B7EEA" w14:textId="77777777" w:rsidR="001C2F7F" w:rsidRPr="00640A50" w:rsidRDefault="00640A50">
      <w:pPr>
        <w:ind w:left="851" w:right="90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No existe obligación de elaborar documentos ad hoc para atender las solicitudes de acceso a la información.</w:t>
      </w:r>
      <w:r w:rsidRPr="00640A5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4E09EDE" w14:textId="77777777" w:rsidR="001C2F7F" w:rsidRPr="00640A50" w:rsidRDefault="00640A50">
      <w:pPr>
        <w:ind w:left="851" w:right="90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Resoluciones: </w:t>
      </w:r>
    </w:p>
    <w:p w14:paraId="383B658B" w14:textId="77777777" w:rsidR="001C2F7F" w:rsidRPr="00640A50" w:rsidRDefault="00640A50">
      <w:pPr>
        <w:ind w:left="851" w:right="901"/>
        <w:jc w:val="both"/>
        <w:rPr>
          <w:rFonts w:ascii="Palatino Linotype" w:eastAsia="Palatino Linotype" w:hAnsi="Palatino Linotype" w:cs="Palatino Linotype"/>
          <w:i/>
          <w:sz w:val="22"/>
          <w:szCs w:val="22"/>
        </w:rPr>
      </w:pPr>
      <w:r w:rsidRPr="00640A50">
        <w:rPr>
          <w:rFonts w:ascii="Noto Sans Symbols" w:eastAsia="Noto Sans Symbols" w:hAnsi="Noto Sans Symbols" w:cs="Noto Sans Symbols"/>
          <w:i/>
          <w:sz w:val="22"/>
          <w:szCs w:val="22"/>
        </w:rPr>
        <w:t>∙</w:t>
      </w:r>
      <w:r w:rsidRPr="00640A50">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9B3567E" w14:textId="77777777" w:rsidR="001C2F7F" w:rsidRPr="00640A50" w:rsidRDefault="00640A50">
      <w:pPr>
        <w:ind w:left="851" w:right="901"/>
        <w:jc w:val="both"/>
        <w:rPr>
          <w:rFonts w:ascii="Palatino Linotype" w:eastAsia="Palatino Linotype" w:hAnsi="Palatino Linotype" w:cs="Palatino Linotype"/>
          <w:i/>
          <w:sz w:val="22"/>
          <w:szCs w:val="22"/>
        </w:rPr>
      </w:pPr>
      <w:r w:rsidRPr="00640A50">
        <w:rPr>
          <w:rFonts w:ascii="Noto Sans Symbols" w:eastAsia="Noto Sans Symbols" w:hAnsi="Noto Sans Symbols" w:cs="Noto Sans Symbols"/>
          <w:i/>
          <w:sz w:val="22"/>
          <w:szCs w:val="22"/>
        </w:rPr>
        <w:t>∙</w:t>
      </w:r>
      <w:r w:rsidRPr="00640A50">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00A072C" w14:textId="77777777" w:rsidR="001C2F7F" w:rsidRPr="00640A50" w:rsidRDefault="00640A50">
      <w:pPr>
        <w:ind w:left="851" w:right="901"/>
        <w:jc w:val="both"/>
        <w:rPr>
          <w:rFonts w:ascii="Palatino Linotype" w:eastAsia="Palatino Linotype" w:hAnsi="Palatino Linotype" w:cs="Palatino Linotype"/>
          <w:i/>
          <w:sz w:val="22"/>
          <w:szCs w:val="22"/>
        </w:rPr>
      </w:pPr>
      <w:r w:rsidRPr="00640A50">
        <w:rPr>
          <w:rFonts w:ascii="Noto Sans Symbols" w:eastAsia="Noto Sans Symbols" w:hAnsi="Noto Sans Symbols" w:cs="Noto Sans Symbols"/>
          <w:i/>
          <w:sz w:val="22"/>
          <w:szCs w:val="22"/>
        </w:rPr>
        <w:t>∙</w:t>
      </w:r>
      <w:r w:rsidRPr="00640A50">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2BC2164D" w14:textId="77777777" w:rsidR="001C2F7F" w:rsidRPr="00640A50" w:rsidRDefault="001C2F7F">
      <w:pPr>
        <w:spacing w:line="360" w:lineRule="auto"/>
        <w:ind w:right="-93"/>
        <w:jc w:val="both"/>
        <w:rPr>
          <w:rFonts w:ascii="Palatino Linotype" w:eastAsia="Palatino Linotype" w:hAnsi="Palatino Linotype" w:cs="Palatino Linotype"/>
        </w:rPr>
      </w:pPr>
    </w:p>
    <w:p w14:paraId="4FDE505A"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EBD785F" w14:textId="77777777" w:rsidR="001C2F7F" w:rsidRPr="00640A50" w:rsidRDefault="001C2F7F">
      <w:pPr>
        <w:spacing w:line="360" w:lineRule="auto"/>
        <w:jc w:val="both"/>
        <w:rPr>
          <w:rFonts w:ascii="Palatino Linotype" w:eastAsia="Palatino Linotype" w:hAnsi="Palatino Linotype" w:cs="Palatino Linotype"/>
        </w:rPr>
      </w:pPr>
    </w:p>
    <w:p w14:paraId="65BF88A9"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FEAA56A" w14:textId="77777777" w:rsidR="001C2F7F" w:rsidRPr="00640A50" w:rsidRDefault="001C2F7F">
      <w:pPr>
        <w:spacing w:line="360" w:lineRule="auto"/>
        <w:ind w:right="49"/>
        <w:jc w:val="both"/>
        <w:rPr>
          <w:rFonts w:ascii="Palatino Linotype" w:eastAsia="Palatino Linotype" w:hAnsi="Palatino Linotype" w:cs="Palatino Linotype"/>
        </w:rPr>
      </w:pPr>
    </w:p>
    <w:p w14:paraId="67D8D488"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45E5D85" w14:textId="77777777" w:rsidR="001C2F7F" w:rsidRPr="00640A50" w:rsidRDefault="001C2F7F">
      <w:pPr>
        <w:ind w:left="851" w:right="899"/>
        <w:jc w:val="both"/>
        <w:rPr>
          <w:rFonts w:ascii="Palatino Linotype" w:eastAsia="Palatino Linotype" w:hAnsi="Palatino Linotype" w:cs="Palatino Linotype"/>
          <w:i/>
          <w:sz w:val="22"/>
          <w:szCs w:val="22"/>
        </w:rPr>
      </w:pPr>
    </w:p>
    <w:p w14:paraId="33367150" w14:textId="77777777" w:rsidR="001C2F7F" w:rsidRPr="00640A50" w:rsidRDefault="00640A50">
      <w:pPr>
        <w:ind w:left="851" w:right="89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 xml:space="preserve">Artículo 3. </w:t>
      </w:r>
      <w:r w:rsidRPr="00640A50">
        <w:rPr>
          <w:rFonts w:ascii="Palatino Linotype" w:eastAsia="Palatino Linotype" w:hAnsi="Palatino Linotype" w:cs="Palatino Linotype"/>
          <w:i/>
          <w:sz w:val="22"/>
          <w:szCs w:val="22"/>
        </w:rPr>
        <w:t>Para los efectos de la presente Ley se entenderá por:</w:t>
      </w:r>
    </w:p>
    <w:p w14:paraId="4AA5D42B" w14:textId="77777777" w:rsidR="001C2F7F" w:rsidRPr="00640A50" w:rsidRDefault="00640A50">
      <w:pPr>
        <w:ind w:left="851" w:right="89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56C941BF" w14:textId="77777777" w:rsidR="001C2F7F" w:rsidRPr="00640A50" w:rsidRDefault="00640A50">
      <w:pPr>
        <w:ind w:left="851" w:right="89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XI. Documento:</w:t>
      </w:r>
      <w:r w:rsidRPr="00640A50">
        <w:rPr>
          <w:rFonts w:ascii="Palatino Linotype" w:eastAsia="Palatino Linotype" w:hAnsi="Palatino Linotype" w:cs="Palatino Linotype"/>
          <w:i/>
          <w:sz w:val="22"/>
          <w:szCs w:val="22"/>
        </w:rPr>
        <w:t xml:space="preserve"> Los expedientes, reportes, estudios, actas</w:t>
      </w:r>
      <w:r w:rsidRPr="00640A50">
        <w:rPr>
          <w:rFonts w:ascii="Palatino Linotype" w:eastAsia="Palatino Linotype" w:hAnsi="Palatino Linotype" w:cs="Palatino Linotype"/>
          <w:b/>
          <w:i/>
          <w:sz w:val="22"/>
          <w:szCs w:val="22"/>
        </w:rPr>
        <w:t>,</w:t>
      </w:r>
      <w:r w:rsidRPr="00640A5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1EC2B36" w14:textId="77777777" w:rsidR="001C2F7F" w:rsidRPr="00640A50" w:rsidRDefault="001C2F7F">
      <w:pPr>
        <w:ind w:left="851" w:right="899"/>
        <w:jc w:val="both"/>
        <w:rPr>
          <w:rFonts w:ascii="Palatino Linotype" w:eastAsia="Palatino Linotype" w:hAnsi="Palatino Linotype" w:cs="Palatino Linotype"/>
          <w:sz w:val="22"/>
          <w:szCs w:val="22"/>
        </w:rPr>
      </w:pPr>
    </w:p>
    <w:p w14:paraId="5C425C88"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8E4A3CC" w14:textId="77777777" w:rsidR="001C2F7F" w:rsidRPr="00640A50" w:rsidRDefault="001C2F7F">
      <w:pPr>
        <w:ind w:left="851" w:right="899"/>
        <w:jc w:val="both"/>
        <w:rPr>
          <w:rFonts w:ascii="Palatino Linotype" w:eastAsia="Palatino Linotype" w:hAnsi="Palatino Linotype" w:cs="Palatino Linotype"/>
        </w:rPr>
      </w:pPr>
    </w:p>
    <w:p w14:paraId="766CCA82" w14:textId="77777777" w:rsidR="001C2F7F" w:rsidRPr="00640A50" w:rsidRDefault="00640A50">
      <w:pPr>
        <w:ind w:left="851" w:right="899"/>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sz w:val="22"/>
          <w:szCs w:val="22"/>
        </w:rPr>
        <w:t>“</w:t>
      </w:r>
      <w:r w:rsidRPr="00640A50">
        <w:rPr>
          <w:rFonts w:ascii="Palatino Linotype" w:eastAsia="Palatino Linotype" w:hAnsi="Palatino Linotype" w:cs="Palatino Linotype"/>
          <w:b/>
          <w:i/>
          <w:sz w:val="22"/>
          <w:szCs w:val="22"/>
        </w:rPr>
        <w:t>CRITERIO 0002-11</w:t>
      </w:r>
    </w:p>
    <w:p w14:paraId="46A1D1BD" w14:textId="77777777" w:rsidR="001C2F7F" w:rsidRPr="00640A50" w:rsidRDefault="00640A50">
      <w:pPr>
        <w:ind w:left="851" w:right="89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40A5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F82AE2" w14:textId="77777777" w:rsidR="001C2F7F" w:rsidRPr="00640A50" w:rsidRDefault="00640A50">
      <w:pPr>
        <w:ind w:left="851" w:right="89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En </w:t>
      </w:r>
      <w:proofErr w:type="gramStart"/>
      <w:r w:rsidRPr="00640A50">
        <w:rPr>
          <w:rFonts w:ascii="Palatino Linotype" w:eastAsia="Palatino Linotype" w:hAnsi="Palatino Linotype" w:cs="Palatino Linotype"/>
          <w:i/>
          <w:sz w:val="22"/>
          <w:szCs w:val="22"/>
        </w:rPr>
        <w:t>consecuencia</w:t>
      </w:r>
      <w:proofErr w:type="gramEnd"/>
      <w:r w:rsidRPr="00640A5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391F72A" w14:textId="77777777" w:rsidR="001C2F7F" w:rsidRPr="00640A50" w:rsidRDefault="00640A50">
      <w:pPr>
        <w:ind w:left="851" w:right="89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40A50">
        <w:rPr>
          <w:rFonts w:ascii="Palatino Linotype" w:eastAsia="Palatino Linotype" w:hAnsi="Palatino Linotype" w:cs="Palatino Linotype"/>
          <w:i/>
          <w:sz w:val="22"/>
          <w:szCs w:val="22"/>
        </w:rPr>
        <w:t>que</w:t>
      </w:r>
      <w:proofErr w:type="gramEnd"/>
      <w:r w:rsidRPr="00640A50">
        <w:rPr>
          <w:rFonts w:ascii="Palatino Linotype" w:eastAsia="Palatino Linotype" w:hAnsi="Palatino Linotype" w:cs="Palatino Linotype"/>
          <w:i/>
          <w:sz w:val="22"/>
          <w:szCs w:val="22"/>
        </w:rPr>
        <w:t xml:space="preserve"> en ejercicio de las atribuciones conferidas, sea generada por los Sujetos Obligados;</w:t>
      </w:r>
    </w:p>
    <w:p w14:paraId="41C40902" w14:textId="77777777" w:rsidR="001C2F7F" w:rsidRPr="00640A50" w:rsidRDefault="00640A50">
      <w:pPr>
        <w:ind w:left="851" w:right="899"/>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40A50">
        <w:rPr>
          <w:rFonts w:ascii="Palatino Linotype" w:eastAsia="Palatino Linotype" w:hAnsi="Palatino Linotype" w:cs="Palatino Linotype"/>
          <w:b/>
          <w:i/>
          <w:sz w:val="22"/>
          <w:szCs w:val="22"/>
        </w:rPr>
        <w:t>que</w:t>
      </w:r>
      <w:proofErr w:type="gramEnd"/>
      <w:r w:rsidRPr="00640A50">
        <w:rPr>
          <w:rFonts w:ascii="Palatino Linotype" w:eastAsia="Palatino Linotype" w:hAnsi="Palatino Linotype" w:cs="Palatino Linotype"/>
          <w:b/>
          <w:i/>
          <w:sz w:val="22"/>
          <w:szCs w:val="22"/>
        </w:rPr>
        <w:t xml:space="preserve"> en ejercicio de las atribuciones conferidas, sea administrada por los Sujetos Obligados, y</w:t>
      </w:r>
    </w:p>
    <w:p w14:paraId="189A6A38" w14:textId="77777777" w:rsidR="001C2F7F" w:rsidRPr="00640A50" w:rsidRDefault="00640A50">
      <w:pPr>
        <w:ind w:left="851" w:right="899"/>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640A50">
        <w:rPr>
          <w:rFonts w:ascii="Palatino Linotype" w:eastAsia="Palatino Linotype" w:hAnsi="Palatino Linotype" w:cs="Palatino Linotype"/>
          <w:b/>
          <w:i/>
          <w:sz w:val="22"/>
          <w:szCs w:val="22"/>
        </w:rPr>
        <w:t>que</w:t>
      </w:r>
      <w:proofErr w:type="gramEnd"/>
      <w:r w:rsidRPr="00640A50">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6E9ADAC" w14:textId="77777777" w:rsidR="001C2F7F" w:rsidRPr="00640A50" w:rsidRDefault="001C2F7F">
      <w:pPr>
        <w:ind w:right="899"/>
        <w:jc w:val="both"/>
        <w:rPr>
          <w:rFonts w:ascii="Palatino Linotype" w:eastAsia="Palatino Linotype" w:hAnsi="Palatino Linotype" w:cs="Palatino Linotype"/>
          <w:b/>
          <w:i/>
          <w:sz w:val="22"/>
          <w:szCs w:val="22"/>
        </w:rPr>
      </w:pPr>
    </w:p>
    <w:p w14:paraId="7DB89CB0"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w:t>
      </w:r>
      <w:r w:rsidRPr="00640A50">
        <w:rPr>
          <w:rFonts w:ascii="Palatino Linotype" w:eastAsia="Palatino Linotype" w:hAnsi="Palatino Linotype" w:cs="Palatino Linotype"/>
          <w:b/>
        </w:rPr>
        <w:t xml:space="preserve"> Cuautitlán Izcalli</w:t>
      </w:r>
      <w:r w:rsidRPr="00640A50">
        <w:rPr>
          <w:rFonts w:ascii="Palatino Linotype" w:eastAsia="Palatino Linotype" w:hAnsi="Palatino Linotype" w:cs="Palatino Linotype"/>
        </w:rPr>
        <w:t>, lo siguiente:</w:t>
      </w:r>
      <w:r w:rsidRPr="00640A50">
        <w:rPr>
          <w:rFonts w:ascii="Palatino Linotype" w:eastAsia="Palatino Linotype" w:hAnsi="Palatino Linotype" w:cs="Palatino Linotype"/>
          <w:b/>
        </w:rPr>
        <w:t xml:space="preserve"> </w:t>
      </w:r>
    </w:p>
    <w:p w14:paraId="2E5FF9DC" w14:textId="77777777" w:rsidR="001C2F7F" w:rsidRPr="00640A50" w:rsidRDefault="00640A50">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lastRenderedPageBreak/>
        <w:t>Acta de la septuagésima sesión del Ayuntamiento de Cuautitlán Izcalli, con carácter de extraordinaria de tipo pública, celebrada durante el día dieciocho de diciembre del año dos mil quince.</w:t>
      </w:r>
    </w:p>
    <w:p w14:paraId="33013262" w14:textId="77777777" w:rsidR="001C2F7F" w:rsidRPr="00640A50" w:rsidRDefault="00640A50">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Dictamen que emite las comisiones edilicias unidas de hacienda, obras públicas y desarrollo urbano y de límites territoriales del dieciocho de diciembre del año dos mil quince.</w:t>
      </w:r>
    </w:p>
    <w:p w14:paraId="4FF69BB0" w14:textId="77777777" w:rsidR="001C2F7F" w:rsidRPr="00640A50" w:rsidRDefault="00640A50">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Plan parcial de integración territorial Santa Bárbara norte del municipio de Cuautitlán Izcalli, Estado de México.</w:t>
      </w:r>
    </w:p>
    <w:p w14:paraId="42BF90B8" w14:textId="77777777" w:rsidR="001C2F7F" w:rsidRPr="00640A50" w:rsidRDefault="00640A50">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La modificación del Plan Municipal de Desarrollo Urbano de Cuautitlán Izcalli, Estado de México.</w:t>
      </w:r>
    </w:p>
    <w:p w14:paraId="4A1FBE42"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Por su parte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emitió su respuesta, a través del Departamento de Normatividad y Convenios perteneciente a la Secretaría del Ayuntamiento, el cual informó que por instrucciones del </w:t>
      </w:r>
      <w:proofErr w:type="gramStart"/>
      <w:r w:rsidRPr="00640A50">
        <w:rPr>
          <w:rFonts w:ascii="Palatino Linotype" w:eastAsia="Palatino Linotype" w:hAnsi="Palatino Linotype" w:cs="Palatino Linotype"/>
        </w:rPr>
        <w:t>Secretario</w:t>
      </w:r>
      <w:proofErr w:type="gramEnd"/>
      <w:r w:rsidRPr="00640A50">
        <w:rPr>
          <w:rFonts w:ascii="Palatino Linotype" w:eastAsia="Palatino Linotype" w:hAnsi="Palatino Linotype" w:cs="Palatino Linotype"/>
        </w:rPr>
        <w:t xml:space="preserve"> del Ayuntamiento, después de una exhaustiva búsqueda en las actas y apéndices, de las sesiones ordinarias y extraordinarias de cabildo que obra en el archivo municipal, no se encontró lo solicitado.   </w:t>
      </w:r>
    </w:p>
    <w:p w14:paraId="3ED2B488" w14:textId="77777777" w:rsidR="001C2F7F" w:rsidRPr="00640A50" w:rsidRDefault="001C2F7F">
      <w:pPr>
        <w:spacing w:line="360" w:lineRule="auto"/>
        <w:ind w:right="49"/>
        <w:jc w:val="both"/>
        <w:rPr>
          <w:rFonts w:ascii="Palatino Linotype" w:eastAsia="Palatino Linotype" w:hAnsi="Palatino Linotype" w:cs="Palatino Linotype"/>
        </w:rPr>
      </w:pPr>
    </w:p>
    <w:p w14:paraId="346494FB"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La Dirección Jurídica, informó que no es la competente para proporcionar la información, toda vez que la información no obra en los archivos de dicha dirección y tampoco son parte de las facultades conferidas, por lo que se encuentra imposibilitada para entregar la información solicitada </w:t>
      </w:r>
      <w:proofErr w:type="gramStart"/>
      <w:r w:rsidRPr="00640A50">
        <w:rPr>
          <w:rFonts w:ascii="Palatino Linotype" w:eastAsia="Palatino Linotype" w:hAnsi="Palatino Linotype" w:cs="Palatino Linotype"/>
        </w:rPr>
        <w:t>y  que</w:t>
      </w:r>
      <w:proofErr w:type="gramEnd"/>
      <w:r w:rsidRPr="00640A50">
        <w:rPr>
          <w:rFonts w:ascii="Palatino Linotype" w:eastAsia="Palatino Linotype" w:hAnsi="Palatino Linotype" w:cs="Palatino Linotype"/>
        </w:rPr>
        <w:t xml:space="preserve"> no le es posible generar el acuerdo de inexistencia. </w:t>
      </w:r>
    </w:p>
    <w:p w14:paraId="11B43748"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 xml:space="preserve">Inconforme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con la respuesta, interpuso el Recurso de Revisión, en lo medular por la negativa de la información solicitada y la inexistencia de la información. </w:t>
      </w:r>
    </w:p>
    <w:p w14:paraId="49B96D51" w14:textId="77777777" w:rsidR="001C2F7F" w:rsidRPr="00640A50" w:rsidRDefault="00640A5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Una vez notificado el recurso de revisión al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este rindió su informe justificado a través del Departamento de Normatividad y Convenios perteneciente a la Secretaría del Ayuntamiento, el cual además de reiterar que no se encontró lo solicitado, contestó los demás motivos de inconformidad en el sentido de que la gaceta no corresponde a la fecha que indica y que en el periodo 2015, no estaba la publicación de las gacetas municipales.  </w:t>
      </w:r>
    </w:p>
    <w:p w14:paraId="69A3A40D" w14:textId="77777777" w:rsidR="001C2F7F" w:rsidRPr="00640A50" w:rsidRDefault="001C2F7F">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5D96894"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Con base en lo precedente, se determina que la información proporcionada por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por ello, los motivos de inconformidad acontecen fundados para revocar la respuesta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en razón de las consideraciones de derecho que a continuación se exponen:</w:t>
      </w:r>
    </w:p>
    <w:p w14:paraId="408DD826" w14:textId="77777777" w:rsidR="001C2F7F" w:rsidRPr="00640A50" w:rsidRDefault="001C2F7F">
      <w:pPr>
        <w:spacing w:line="360" w:lineRule="auto"/>
        <w:jc w:val="both"/>
        <w:rPr>
          <w:rFonts w:ascii="Palatino Linotype" w:eastAsia="Palatino Linotype" w:hAnsi="Palatino Linotype" w:cs="Palatino Linotype"/>
        </w:rPr>
      </w:pPr>
    </w:p>
    <w:p w14:paraId="1CA9F03D"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Antes del estudio de fondo, se debe resaltar de los motivos de inconformidad de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se advierte que está conforme con la información proporcionada en respuesta, correspondiente al:</w:t>
      </w:r>
    </w:p>
    <w:p w14:paraId="3E72241C" w14:textId="77777777" w:rsidR="001C2F7F" w:rsidRPr="00640A50" w:rsidRDefault="00640A50">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lastRenderedPageBreak/>
        <w:t>Acta de la septuagésima sesión del Ayuntamiento de Cuautitlán Izcalli, con carácter de extraordinaria de tipo pública, celebrada durante el día dieciocho de diciembre del año dos mil quince.</w:t>
      </w:r>
    </w:p>
    <w:p w14:paraId="3BE018BE" w14:textId="77777777" w:rsidR="001C2F7F" w:rsidRPr="00640A50" w:rsidRDefault="00640A50">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Dictamen que emiten las comisiones edilicias unidas de hacienda, obras públicas y desarrollo urbano y de límites territoriales del dieciocho de diciembre del año dos mil quince.</w:t>
      </w:r>
    </w:p>
    <w:p w14:paraId="1F22114F"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No así en relación a la documentación siguiente:</w:t>
      </w:r>
    </w:p>
    <w:p w14:paraId="78FEC6D5" w14:textId="77777777" w:rsidR="001C2F7F" w:rsidRPr="00640A50" w:rsidRDefault="00640A5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Plan parcial de integración territorial Santa Bárbara norte del municipio de Cuautitlán Izcalli, Estado de México.</w:t>
      </w:r>
    </w:p>
    <w:p w14:paraId="611ECFFD" w14:textId="77777777" w:rsidR="001C2F7F" w:rsidRPr="00640A50" w:rsidRDefault="00640A5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La modificación del Plan Municipal de Desarrollo Urbano de Cuautitlán Izcalli, Estado de México.</w:t>
      </w:r>
    </w:p>
    <w:p w14:paraId="761E0B6D"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9A951BA" w14:textId="77777777" w:rsidR="001C2F7F" w:rsidRPr="00640A50" w:rsidRDefault="00640A50">
      <w:pPr>
        <w:spacing w:before="240" w:after="240"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sz w:val="22"/>
          <w:szCs w:val="22"/>
        </w:rPr>
        <w:t>“</w:t>
      </w:r>
      <w:r w:rsidRPr="00640A50">
        <w:rPr>
          <w:rFonts w:ascii="Palatino Linotype" w:eastAsia="Palatino Linotype" w:hAnsi="Palatino Linotype" w:cs="Palatino Linotype"/>
          <w:b/>
          <w:i/>
          <w:sz w:val="22"/>
          <w:szCs w:val="22"/>
        </w:rPr>
        <w:t>REVISIÓN EN AMPARO. LOS RESOLUTIVOS NO COMBATIDOS DEBEN DECLARARSE FIRMES</w:t>
      </w:r>
      <w:r w:rsidRPr="00640A50">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w:t>
      </w:r>
      <w:r w:rsidRPr="00640A50">
        <w:rPr>
          <w:rFonts w:ascii="Palatino Linotype" w:eastAsia="Palatino Linotype" w:hAnsi="Palatino Linotype" w:cs="Palatino Linotype"/>
          <w:i/>
          <w:sz w:val="22"/>
          <w:szCs w:val="22"/>
        </w:rPr>
        <w:lastRenderedPageBreak/>
        <w:t>y dicha declaración de firmeza debe reflejarse en la parte considerativa y en los resolutivos debe confirmarse la sentencia recurrida en la parte correspondiente</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6FB13398"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7C154520"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5709E704" w14:textId="77777777" w:rsidR="001C2F7F" w:rsidRPr="00640A50" w:rsidRDefault="00640A50">
      <w:pPr>
        <w:spacing w:before="240" w:after="240"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ACTOS CONSENTIDOS. SON LOS QUE NO SE IMPUGNAN MEDIANTE EL RECURSO IDÓNEO</w:t>
      </w:r>
      <w:r w:rsidRPr="00640A50">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31F0712D"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Precisado lo anterior, respecto de las actas de cabildo, estas se encuentran reguladas por el artículo 27, 28 y 30 de la Ley Orgánica Municipal del Estado de México, que señala:</w:t>
      </w:r>
    </w:p>
    <w:p w14:paraId="70329453" w14:textId="77777777" w:rsidR="001C2F7F" w:rsidRPr="00640A50" w:rsidRDefault="00640A50">
      <w:pPr>
        <w:tabs>
          <w:tab w:val="left" w:pos="900"/>
        </w:tabs>
        <w:spacing w:line="360" w:lineRule="auto"/>
        <w:ind w:right="-93"/>
        <w:jc w:val="both"/>
        <w:rPr>
          <w:rFonts w:ascii="Palatino Linotype" w:eastAsia="Palatino Linotype" w:hAnsi="Palatino Linotype" w:cs="Palatino Linotype"/>
        </w:rPr>
      </w:pPr>
      <w:r w:rsidRPr="00640A50">
        <w:rPr>
          <w:rFonts w:ascii="Palatino Linotype" w:eastAsia="Palatino Linotype" w:hAnsi="Palatino Linotype" w:cs="Palatino Linotype"/>
        </w:rPr>
        <w:tab/>
      </w:r>
    </w:p>
    <w:p w14:paraId="5F713135"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“Artículo 27.- Los ayuntamientos como órganos deliberantes, deberán resolver colegiadamente los asuntos de su competencia. </w:t>
      </w:r>
    </w:p>
    <w:p w14:paraId="14799E3D"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Para lo cual los Ayuntamientos deberán expedir o reformar, en su caso, en la tercera sesión que celebren, el Reglamento de Cabildo, debiendo publicarse en la Gaceta Municipal.</w:t>
      </w:r>
    </w:p>
    <w:p w14:paraId="18B857CA"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28.- Los ayuntamientos sesionarán</w:t>
      </w:r>
      <w:r w:rsidRPr="00640A50">
        <w:rPr>
          <w:rFonts w:ascii="Palatino Linotype" w:eastAsia="Palatino Linotype" w:hAnsi="Palatino Linotype" w:cs="Palatino Linotype"/>
          <w:i/>
          <w:sz w:val="22"/>
          <w:szCs w:val="22"/>
        </w:rPr>
        <w:t xml:space="preserve"> cuando menos una vez cada ocho días en sesión ordinaria o </w:t>
      </w:r>
      <w:r w:rsidRPr="00640A50">
        <w:rPr>
          <w:rFonts w:ascii="Palatino Linotype" w:eastAsia="Palatino Linotype" w:hAnsi="Palatino Linotype" w:cs="Palatino Linotype"/>
          <w:b/>
          <w:i/>
          <w:sz w:val="22"/>
          <w:szCs w:val="22"/>
        </w:rPr>
        <w:t xml:space="preserve">cuantas veces sea necesario en asuntos de urgente resolución </w:t>
      </w:r>
      <w:r w:rsidRPr="00640A50">
        <w:rPr>
          <w:rFonts w:ascii="Palatino Linotype" w:eastAsia="Palatino Linotype" w:hAnsi="Palatino Linotype" w:cs="Palatino Linotype"/>
          <w:b/>
          <w:i/>
          <w:sz w:val="22"/>
          <w:szCs w:val="22"/>
        </w:rPr>
        <w:lastRenderedPageBreak/>
        <w:t>por medio de sesiones extraordinaria</w:t>
      </w:r>
      <w:r w:rsidRPr="00640A50">
        <w:rPr>
          <w:rFonts w:ascii="Palatino Linotype" w:eastAsia="Palatino Linotype" w:hAnsi="Palatino Linotype" w:cs="Palatino Linotype"/>
          <w:i/>
          <w:sz w:val="22"/>
          <w:szCs w:val="22"/>
        </w:rPr>
        <w:t>s, a petición de la mayoría de sus miembros y podrán declararse en sesión permanente cuando la importancia del asunto lo requiera. 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730C9AC0"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Las sesiones de los ayuntamientos se celebrarán en la sala de cabildos; y cuando la solemnidad del caso lo requiera, en el recinto previamente declarado oficial para tal objeto. </w:t>
      </w:r>
    </w:p>
    <w:p w14:paraId="4599A4B2"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32501EB3"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Los ayuntamientos sesionarán en cabildo abierto cuando menos bimestralmente, y de manera anual, durante el mes de agosto, se realizarán cabildos juveniles. </w:t>
      </w:r>
    </w:p>
    <w:p w14:paraId="46B6914B"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El cabildo abierto son las sesiones que celebra el Ayuntamiento, en las que las personas habitantes involucradas participan directamente con derecho a voz, pero sin voto, a fin de discutir asuntos de interés y con competencia sobre el mismo. </w:t>
      </w:r>
    </w:p>
    <w:p w14:paraId="64F0C309"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 </w:t>
      </w:r>
    </w:p>
    <w:p w14:paraId="0377137B"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En este tipo de sesiones el Ayuntamiento escuchará las opiniones de los participantes quedando asentadas en las actas de las Sesiones, y podrán considerarlas al dictaminar sus resoluciones. </w:t>
      </w:r>
    </w:p>
    <w:p w14:paraId="0A32F5AE"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En el caso de los cabildos juveniles, la persona Titular de la Secretaría del Ayuntamiento remitirá, en un plazo de 15 días hábiles, una copia de dicha acta de sesión de cabildo al Instituto Mexiquense de la Juventud. </w:t>
      </w:r>
    </w:p>
    <w:p w14:paraId="6007DD31"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El Ayuntamiento deberá emitir una convocatoria pública quince días naturales previos a la celebración del Cabildo abierto o juvenil para que las personas habitantes del municipio que tengan interés se registren como participantes ante la </w:t>
      </w:r>
      <w:r w:rsidRPr="00640A50">
        <w:rPr>
          <w:rFonts w:ascii="Palatino Linotype" w:eastAsia="Palatino Linotype" w:hAnsi="Palatino Linotype" w:cs="Palatino Linotype"/>
          <w:i/>
          <w:sz w:val="22"/>
          <w:szCs w:val="22"/>
          <w:u w:val="single"/>
        </w:rPr>
        <w:t>Secretaría del Ayuntamiento</w:t>
      </w:r>
      <w:r w:rsidRPr="00640A50">
        <w:rPr>
          <w:rFonts w:ascii="Palatino Linotype" w:eastAsia="Palatino Linotype" w:hAnsi="Palatino Linotype" w:cs="Palatino Linotype"/>
          <w:i/>
          <w:sz w:val="22"/>
          <w:szCs w:val="22"/>
        </w:rPr>
        <w:t xml:space="preserve">. </w:t>
      </w:r>
    </w:p>
    <w:p w14:paraId="28BD777F"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lastRenderedPageBreak/>
        <w:t xml:space="preserve">Para la celebración de las sesiones se deberá contar con un orden del día que contenga como mínimo: </w:t>
      </w:r>
    </w:p>
    <w:p w14:paraId="079DFCAF"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a) Lista de Asistencia y en su caso declaración del quórum legal;</w:t>
      </w:r>
    </w:p>
    <w:p w14:paraId="52F38C3B"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b) Lectura, discusión y en su caso aprobación del acta de la sesión anterior; </w:t>
      </w:r>
    </w:p>
    <w:p w14:paraId="64579849"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c) Aprobación del orden del día; </w:t>
      </w:r>
    </w:p>
    <w:p w14:paraId="0F7A1518"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d) Presentación de asuntos y turno </w:t>
      </w:r>
    </w:p>
    <w:p w14:paraId="5987F4C3"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 Comisiones; </w:t>
      </w:r>
    </w:p>
    <w:p w14:paraId="4FC5BBC6"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e) Lectura, discusión y en su caso, aprobación de los acuerdos, y </w:t>
      </w:r>
    </w:p>
    <w:p w14:paraId="6FC17A16"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f) Asuntos generales. </w:t>
      </w:r>
    </w:p>
    <w:p w14:paraId="6C75920E"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Cuando asista público a las sesiones observará respeto y compostura, cuidando quien las presida que por ningún motivo tome parte en las deliberaciones del ayuntamiento, ni exprese manifestaciones que alteren el orden en el recinto. Quien presida la sesión hará preservar el orden público, pudiendo ordenar al infractor abandonar el salón o en caso de reincidencia remitirlo a la autoridad competente para la sanción procedente.</w:t>
      </w:r>
    </w:p>
    <w:p w14:paraId="75710ADC"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0CBA89CB"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Artículo 30. </w:t>
      </w:r>
      <w:r w:rsidRPr="00640A50">
        <w:rPr>
          <w:rFonts w:ascii="Palatino Linotype" w:eastAsia="Palatino Linotype" w:hAnsi="Palatino Linotype" w:cs="Palatino Linotype"/>
          <w:b/>
          <w:i/>
          <w:sz w:val="22"/>
          <w:szCs w:val="22"/>
        </w:rPr>
        <w:t xml:space="preserve">Las sesiones del ayuntamiento serán presididas por el presidente municipal </w:t>
      </w:r>
      <w:r w:rsidRPr="00640A50">
        <w:rPr>
          <w:rFonts w:ascii="Palatino Linotype" w:eastAsia="Palatino Linotype" w:hAnsi="Palatino Linotype" w:cs="Palatino Linotype"/>
          <w:i/>
          <w:sz w:val="22"/>
          <w:szCs w:val="22"/>
        </w:rPr>
        <w:t xml:space="preserve">o por quien lo sustituya legalmente; </w:t>
      </w:r>
      <w:r w:rsidRPr="00640A50">
        <w:rPr>
          <w:rFonts w:ascii="Palatino Linotype" w:eastAsia="Palatino Linotype" w:hAnsi="Palatino Linotype" w:cs="Palatino Linotype"/>
          <w:b/>
          <w:i/>
          <w:sz w:val="22"/>
          <w:szCs w:val="22"/>
        </w:rPr>
        <w:t>constarán en un libro que deberá contener las actas en las cuales deberán asentarse los extractos de los acuerdos y asuntos tratados y el resultado de la votación</w:t>
      </w:r>
      <w:r w:rsidRPr="00640A50">
        <w:rPr>
          <w:rFonts w:ascii="Palatino Linotype" w:eastAsia="Palatino Linotype" w:hAnsi="Palatino Linotype" w:cs="Palatino Linotype"/>
          <w:i/>
          <w:sz w:val="22"/>
          <w:szCs w:val="22"/>
        </w:rPr>
        <w:t xml:space="preserve">. </w:t>
      </w:r>
    </w:p>
    <w:p w14:paraId="6B44EB90"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u w:val="single"/>
        </w:rPr>
        <w:t>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w:t>
      </w:r>
      <w:r w:rsidRPr="00640A50">
        <w:rPr>
          <w:rFonts w:ascii="Palatino Linotype" w:eastAsia="Palatino Linotype" w:hAnsi="Palatino Linotype" w:cs="Palatino Linotype"/>
          <w:i/>
          <w:sz w:val="22"/>
          <w:szCs w:val="22"/>
        </w:rPr>
        <w:t xml:space="preserve">. </w:t>
      </w:r>
    </w:p>
    <w:p w14:paraId="4E0DE3B4"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640A50">
        <w:rPr>
          <w:rFonts w:ascii="Palatino Linotype" w:eastAsia="Palatino Linotype" w:hAnsi="Palatino Linotype" w:cs="Palatino Linotype"/>
          <w:i/>
          <w:sz w:val="22"/>
          <w:szCs w:val="22"/>
        </w:rPr>
        <w:t>tendrá</w:t>
      </w:r>
      <w:proofErr w:type="gramEnd"/>
      <w:r w:rsidRPr="00640A50">
        <w:rPr>
          <w:rFonts w:ascii="Palatino Linotype" w:eastAsia="Palatino Linotype" w:hAnsi="Palatino Linotype" w:cs="Palatino Linotype"/>
          <w:i/>
          <w:sz w:val="22"/>
          <w:szCs w:val="22"/>
        </w:rPr>
        <w:t xml:space="preserve">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(Sic)</w:t>
      </w:r>
    </w:p>
    <w:p w14:paraId="05E55BEB" w14:textId="77777777" w:rsidR="001C2F7F" w:rsidRPr="00640A50" w:rsidRDefault="001C2F7F">
      <w:pPr>
        <w:spacing w:line="360" w:lineRule="auto"/>
        <w:ind w:right="49"/>
        <w:jc w:val="both"/>
        <w:rPr>
          <w:rFonts w:ascii="Palatino Linotype" w:eastAsia="Palatino Linotype" w:hAnsi="Palatino Linotype" w:cs="Palatino Linotype"/>
        </w:rPr>
      </w:pPr>
    </w:p>
    <w:p w14:paraId="4B03EC96"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De los anteriores preceptos legales, se destaca que los Ayuntamientos que conforman el Estado de México, entre ellos el Ayuntamiento de Cuautitlán Izcalli, deben celebrar sesión de cabildo cuantas veces sea necesario en asuntos de urgente resolución por medio de sesiones extraordinarias, para resolver asuntos de su competencia.</w:t>
      </w:r>
    </w:p>
    <w:p w14:paraId="70980264" w14:textId="77777777" w:rsidR="001C2F7F" w:rsidRPr="00640A50" w:rsidRDefault="001C2F7F">
      <w:pPr>
        <w:spacing w:line="360" w:lineRule="auto"/>
        <w:ind w:right="49"/>
        <w:jc w:val="both"/>
        <w:rPr>
          <w:rFonts w:ascii="Palatino Linotype" w:eastAsia="Palatino Linotype" w:hAnsi="Palatino Linotype" w:cs="Palatino Linotype"/>
        </w:rPr>
      </w:pPr>
    </w:p>
    <w:p w14:paraId="12A0B69C"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rPr>
        <w:t>También se indica, que las sesiones de cabildo serán presididas por el Presidente Municipal, las cuales deberán constar en el libro de sesiones de cabildo en donde se anotarán los extractos de los acuerdos, asuntos tratados y el resultado de la votación; sin embargo, cuando se trate de  reglamentos y de otros normas de carácter general que sean de observancia municipal, estos deberán constar de manera íntegra en el libro de actas de cabildo, debiéndose difundir en la Gaceta Municipal y en los estrados de la Secretaría del Ayuntamiento, luego entonces, siendo que el Plan de Desarrollo Municipal del Ayuntamiento Cuautitlán y los programas que de este se deriven, así como sus modificaciones, son de observancia general  en términos de lo señalado por el artículo 122 de la Ley Orgánica antes referida, que señala:</w:t>
      </w:r>
    </w:p>
    <w:p w14:paraId="3A8A30F3" w14:textId="77777777" w:rsidR="001C2F7F" w:rsidRPr="00640A50" w:rsidRDefault="001C2F7F">
      <w:pPr>
        <w:spacing w:line="360" w:lineRule="auto"/>
        <w:ind w:right="49"/>
        <w:jc w:val="both"/>
        <w:rPr>
          <w:rFonts w:ascii="Palatino Linotype" w:eastAsia="Palatino Linotype" w:hAnsi="Palatino Linotype" w:cs="Palatino Linotype"/>
        </w:rPr>
      </w:pPr>
    </w:p>
    <w:p w14:paraId="6284AF8B"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“Artículo 121.- Los ayuntamientos publicarán su Plan de Desarrollo Municipal a través de la Gaceta Municipal y de los estrados de los Ayuntamientos durante el primer año de gestión y lo difundirán en forma extensa.</w:t>
      </w:r>
    </w:p>
    <w:p w14:paraId="174F5C76"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Artículo 122.- </w:t>
      </w:r>
      <w:r w:rsidRPr="00640A50">
        <w:rPr>
          <w:rFonts w:ascii="Palatino Linotype" w:eastAsia="Palatino Linotype" w:hAnsi="Palatino Linotype" w:cs="Palatino Linotype"/>
          <w:b/>
          <w:i/>
          <w:sz w:val="22"/>
          <w:szCs w:val="22"/>
        </w:rPr>
        <w:t xml:space="preserve">El Plan de Desarrollo </w:t>
      </w:r>
      <w:r w:rsidRPr="00640A50">
        <w:rPr>
          <w:rFonts w:ascii="Palatino Linotype" w:eastAsia="Palatino Linotype" w:hAnsi="Palatino Linotype" w:cs="Palatino Linotype"/>
          <w:b/>
          <w:i/>
          <w:sz w:val="22"/>
          <w:szCs w:val="22"/>
          <w:u w:val="single"/>
        </w:rPr>
        <w:t>y los programas que de éste se deriven</w:t>
      </w:r>
      <w:r w:rsidRPr="00640A50">
        <w:rPr>
          <w:rFonts w:ascii="Palatino Linotype" w:eastAsia="Palatino Linotype" w:hAnsi="Palatino Linotype" w:cs="Palatino Linotype"/>
          <w:b/>
          <w:i/>
          <w:sz w:val="22"/>
          <w:szCs w:val="22"/>
        </w:rPr>
        <w:t>, serán obligatorios para las dependencias de la administración pública municipal, y en general para las entidades públicas de carácter municipal</w:t>
      </w:r>
      <w:r w:rsidRPr="00640A50">
        <w:rPr>
          <w:rFonts w:ascii="Palatino Linotype" w:eastAsia="Palatino Linotype" w:hAnsi="Palatino Linotype" w:cs="Palatino Linotype"/>
          <w:i/>
          <w:sz w:val="22"/>
          <w:szCs w:val="22"/>
        </w:rPr>
        <w:t xml:space="preserve">. </w:t>
      </w:r>
    </w:p>
    <w:p w14:paraId="5A9AE319" w14:textId="77777777" w:rsidR="001C2F7F" w:rsidRPr="00640A50" w:rsidRDefault="00640A50">
      <w:pPr>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u w:val="single"/>
        </w:rPr>
        <w:t>Los planes y programas podrán ser modificados</w:t>
      </w:r>
      <w:r w:rsidRPr="00640A50">
        <w:rPr>
          <w:rFonts w:ascii="Palatino Linotype" w:eastAsia="Palatino Linotype" w:hAnsi="Palatino Linotype" w:cs="Palatino Linotype"/>
          <w:b/>
          <w:i/>
          <w:sz w:val="22"/>
          <w:szCs w:val="22"/>
        </w:rPr>
        <w:t xml:space="preserve"> o suspendidos siguiendo el mismo procedimiento que para su elaboración, aprobación y publicación, </w:t>
      </w:r>
      <w:r w:rsidRPr="00640A50">
        <w:rPr>
          <w:rFonts w:ascii="Palatino Linotype" w:eastAsia="Palatino Linotype" w:hAnsi="Palatino Linotype" w:cs="Palatino Linotype"/>
          <w:b/>
          <w:i/>
          <w:sz w:val="22"/>
          <w:szCs w:val="22"/>
        </w:rPr>
        <w:lastRenderedPageBreak/>
        <w:t>cuando lo demande el interés social o lo requieran las circunstancias de tipo técnico o económico</w:t>
      </w:r>
      <w:r w:rsidRPr="00640A50">
        <w:rPr>
          <w:rFonts w:ascii="Palatino Linotype" w:eastAsia="Palatino Linotype" w:hAnsi="Palatino Linotype" w:cs="Palatino Linotype"/>
          <w:i/>
          <w:sz w:val="22"/>
          <w:szCs w:val="22"/>
        </w:rPr>
        <w:t>” (Sic)</w:t>
      </w:r>
    </w:p>
    <w:p w14:paraId="030713D2" w14:textId="77777777" w:rsidR="001C2F7F" w:rsidRPr="00640A50" w:rsidRDefault="001C2F7F">
      <w:pPr>
        <w:spacing w:line="360" w:lineRule="auto"/>
        <w:ind w:right="49"/>
        <w:jc w:val="both"/>
        <w:rPr>
          <w:rFonts w:ascii="Palatino Linotype" w:eastAsia="Palatino Linotype" w:hAnsi="Palatino Linotype" w:cs="Palatino Linotype"/>
        </w:rPr>
      </w:pPr>
    </w:p>
    <w:p w14:paraId="41901BAE"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En ese sentido, se acredita que el plan parcial de integración territorial Santa Bárbara norte del Municipio de Cuautitlán Izcalli, Estado de México y la modificación del Plan Municipal de Desarrollo Urbano de Cuautitlán Izcalli, Estado de México, debe constar dentro de la sesión de cabildo en donde se aprobó.</w:t>
      </w:r>
    </w:p>
    <w:p w14:paraId="5082CB7D" w14:textId="77777777" w:rsidR="001C2F7F" w:rsidRPr="00640A50" w:rsidRDefault="001C2F7F">
      <w:pPr>
        <w:pBdr>
          <w:top w:val="nil"/>
          <w:left w:val="nil"/>
          <w:bottom w:val="nil"/>
          <w:right w:val="nil"/>
          <w:between w:val="nil"/>
        </w:pBdr>
        <w:spacing w:line="360" w:lineRule="auto"/>
        <w:jc w:val="both"/>
        <w:rPr>
          <w:rFonts w:ascii="Palatino Linotype" w:eastAsia="Palatino Linotype" w:hAnsi="Palatino Linotype" w:cs="Palatino Linotype"/>
        </w:rPr>
      </w:pPr>
    </w:p>
    <w:p w14:paraId="44C54CC2"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En ese sentido, de una revisión a la gaceta municipal, proporcionada por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se advierte en su página 15, lo siguiente:</w:t>
      </w:r>
    </w:p>
    <w:p w14:paraId="601E79DA" w14:textId="77777777" w:rsidR="001C2F7F" w:rsidRPr="00640A50" w:rsidRDefault="001C2F7F">
      <w:pPr>
        <w:pBdr>
          <w:top w:val="nil"/>
          <w:left w:val="nil"/>
          <w:bottom w:val="nil"/>
          <w:right w:val="nil"/>
          <w:between w:val="nil"/>
        </w:pBdr>
        <w:spacing w:line="360" w:lineRule="auto"/>
        <w:jc w:val="both"/>
      </w:pPr>
    </w:p>
    <w:p w14:paraId="0C359610"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noProof/>
          <w:lang w:val="es-MX" w:eastAsia="es-MX"/>
        </w:rPr>
        <w:drawing>
          <wp:inline distT="0" distB="0" distL="0" distR="0" wp14:anchorId="14086364" wp14:editId="20D9AA7A">
            <wp:extent cx="5537772" cy="2755277"/>
            <wp:effectExtent l="0" t="0" r="0" b="0"/>
            <wp:docPr id="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1225" t="23805" r="16663" b="25263"/>
                    <a:stretch>
                      <a:fillRect/>
                    </a:stretch>
                  </pic:blipFill>
                  <pic:spPr>
                    <a:xfrm>
                      <a:off x="0" y="0"/>
                      <a:ext cx="5537772" cy="2755277"/>
                    </a:xfrm>
                    <a:prstGeom prst="rect">
                      <a:avLst/>
                    </a:prstGeom>
                    <a:ln/>
                  </pic:spPr>
                </pic:pic>
              </a:graphicData>
            </a:graphic>
          </wp:inline>
        </w:drawing>
      </w:r>
      <w:r w:rsidRPr="00640A50">
        <w:rPr>
          <w:noProof/>
          <w:lang w:val="es-MX" w:eastAsia="es-MX"/>
        </w:rPr>
        <mc:AlternateContent>
          <mc:Choice Requires="wpg">
            <w:drawing>
              <wp:anchor distT="0" distB="0" distL="114300" distR="114300" simplePos="0" relativeHeight="251658240" behindDoc="0" locked="0" layoutInCell="1" hidden="0" allowOverlap="1" wp14:anchorId="596DD82B" wp14:editId="660ADF42">
                <wp:simplePos x="0" y="0"/>
                <wp:positionH relativeFrom="column">
                  <wp:posOffset>-25399</wp:posOffset>
                </wp:positionH>
                <wp:positionV relativeFrom="paragraph">
                  <wp:posOffset>825500</wp:posOffset>
                </wp:positionV>
                <wp:extent cx="5676586" cy="638332"/>
                <wp:effectExtent l="0" t="0" r="0" b="0"/>
                <wp:wrapNone/>
                <wp:docPr id="81" name="Rectángulo 81"/>
                <wp:cNvGraphicFramePr/>
                <a:graphic xmlns:a="http://schemas.openxmlformats.org/drawingml/2006/main">
                  <a:graphicData uri="http://schemas.microsoft.com/office/word/2010/wordprocessingShape">
                    <wps:wsp>
                      <wps:cNvSpPr/>
                      <wps:spPr>
                        <a:xfrm>
                          <a:off x="2523582" y="3476709"/>
                          <a:ext cx="5644836" cy="606582"/>
                        </a:xfrm>
                        <a:prstGeom prst="rect">
                          <a:avLst/>
                        </a:prstGeom>
                        <a:noFill/>
                        <a:ln w="31750" cap="flat" cmpd="sng">
                          <a:solidFill>
                            <a:srgbClr val="FF0000"/>
                          </a:solidFill>
                          <a:prstDash val="solid"/>
                          <a:miter lim="800000"/>
                          <a:headEnd type="none" w="sm" len="sm"/>
                          <a:tailEnd type="none" w="sm" len="sm"/>
                        </a:ln>
                      </wps:spPr>
                      <wps:txbx>
                        <w:txbxContent>
                          <w:p w14:paraId="46014297" w14:textId="77777777" w:rsidR="001C2F7F" w:rsidRDefault="001C2F7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825500</wp:posOffset>
                </wp:positionV>
                <wp:extent cx="5676586" cy="638332"/>
                <wp:effectExtent b="0" l="0" r="0" t="0"/>
                <wp:wrapNone/>
                <wp:docPr id="81"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676586" cy="638332"/>
                        </a:xfrm>
                        <a:prstGeom prst="rect"/>
                        <a:ln/>
                      </pic:spPr>
                    </pic:pic>
                  </a:graphicData>
                </a:graphic>
              </wp:anchor>
            </w:drawing>
          </mc:Fallback>
        </mc:AlternateContent>
      </w:r>
    </w:p>
    <w:p w14:paraId="7ECA8C92" w14:textId="77777777" w:rsidR="001C2F7F" w:rsidRPr="00640A50" w:rsidRDefault="001C2F7F">
      <w:pPr>
        <w:pBdr>
          <w:top w:val="nil"/>
          <w:left w:val="nil"/>
          <w:bottom w:val="nil"/>
          <w:right w:val="nil"/>
          <w:between w:val="nil"/>
        </w:pBdr>
        <w:spacing w:line="360" w:lineRule="auto"/>
        <w:jc w:val="both"/>
        <w:rPr>
          <w:rFonts w:ascii="Palatino Linotype" w:eastAsia="Palatino Linotype" w:hAnsi="Palatino Linotype" w:cs="Palatino Linotype"/>
        </w:rPr>
      </w:pPr>
    </w:p>
    <w:p w14:paraId="3B7FB60D"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En donde consta la existencia de la Septuagésima Sesión extraordinaria del Ayuntamiento de Cuautitlán Izcalli, de fecha dieciocho de diciembre del dos mil quince, lo que contradice la respuesta realizada por Departamento de Normatividad </w:t>
      </w:r>
      <w:r w:rsidRPr="00640A50">
        <w:rPr>
          <w:rFonts w:ascii="Palatino Linotype" w:eastAsia="Palatino Linotype" w:hAnsi="Palatino Linotype" w:cs="Palatino Linotype"/>
        </w:rPr>
        <w:lastRenderedPageBreak/>
        <w:t>y Convenios perteneciente a la Secretaría del Ayuntamiento, luego entonces su respuesta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2D77D1B0" w14:textId="77777777" w:rsidR="001C2F7F" w:rsidRPr="00640A50" w:rsidRDefault="00640A50">
      <w:pPr>
        <w:spacing w:before="80" w:after="240"/>
        <w:ind w:left="567" w:right="900"/>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 xml:space="preserve">“Congruencia y exhaustividad. Sus alcances para garantizar el derecho de acceso a la información. </w:t>
      </w:r>
      <w:r w:rsidRPr="00640A50">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40A50">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640A50">
        <w:rPr>
          <w:rFonts w:ascii="Palatino Linotype" w:eastAsia="Palatino Linotype" w:hAnsi="Palatino Linotype" w:cs="Palatino Linotype"/>
          <w:i/>
          <w:sz w:val="22"/>
          <w:szCs w:val="22"/>
        </w:rPr>
        <w:t xml:space="preserve">; mientras que </w:t>
      </w:r>
      <w:r w:rsidRPr="00640A50">
        <w:rPr>
          <w:rFonts w:ascii="Palatino Linotype" w:eastAsia="Palatino Linotype" w:hAnsi="Palatino Linotype" w:cs="Palatino Linotype"/>
          <w:b/>
          <w:i/>
          <w:sz w:val="22"/>
          <w:szCs w:val="22"/>
        </w:rPr>
        <w:t>la exhaustividad significa que dicha respuesta se refiera expresamente a cada uno de los puntos solicitados</w:t>
      </w:r>
      <w:r w:rsidRPr="00640A50">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68B412EB"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Regresando con el acta de referencia, en donde se aprobó el plan parcial de integración territorial Santa Bárbara norte, del Municipio de Cuautitlán Izcalli, Estado de México; y la modificación del Plan Municipal de Desarrollo Urbano de Cuautitlán Izcalli, Estado de México, como se observa a continuación:</w:t>
      </w:r>
    </w:p>
    <w:p w14:paraId="5F46B43C"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noProof/>
          <w:lang w:val="es-MX" w:eastAsia="es-MX"/>
        </w:rPr>
        <w:lastRenderedPageBreak/>
        <w:drawing>
          <wp:inline distT="0" distB="0" distL="0" distR="0" wp14:anchorId="4A23C78F" wp14:editId="59AB97F5">
            <wp:extent cx="5549965" cy="2354154"/>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37436" t="18212" r="20538" b="29422"/>
                    <a:stretch>
                      <a:fillRect/>
                    </a:stretch>
                  </pic:blipFill>
                  <pic:spPr>
                    <a:xfrm>
                      <a:off x="0" y="0"/>
                      <a:ext cx="5549965" cy="2354154"/>
                    </a:xfrm>
                    <a:prstGeom prst="rect">
                      <a:avLst/>
                    </a:prstGeom>
                    <a:ln/>
                  </pic:spPr>
                </pic:pic>
              </a:graphicData>
            </a:graphic>
          </wp:inline>
        </w:drawing>
      </w:r>
    </w:p>
    <w:p w14:paraId="367D4D18"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Asimismo, se denota en dicha acta, que la propuesta para la integración territorial de Santa Bárbara Norte de Cuautitlán Izcalli al Plan Municipal de Desarrollo Urbano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y por ende su modificación, fue realizada por la Dirección de Desarrollo Urbano y Medio Ambiente, que también debe tener la información solicitada el particular, como se observa a continuación:</w:t>
      </w:r>
    </w:p>
    <w:p w14:paraId="00036FC2" w14:textId="77777777" w:rsidR="001C2F7F" w:rsidRPr="00640A50" w:rsidRDefault="001C2F7F">
      <w:pPr>
        <w:pBdr>
          <w:top w:val="nil"/>
          <w:left w:val="nil"/>
          <w:bottom w:val="nil"/>
          <w:right w:val="nil"/>
          <w:between w:val="nil"/>
        </w:pBdr>
        <w:spacing w:line="360" w:lineRule="auto"/>
        <w:jc w:val="both"/>
      </w:pPr>
    </w:p>
    <w:p w14:paraId="1EE31762"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r w:rsidRPr="00640A50">
        <w:rPr>
          <w:noProof/>
          <w:lang w:val="es-MX" w:eastAsia="es-MX"/>
        </w:rPr>
        <w:lastRenderedPageBreak/>
        <w:drawing>
          <wp:inline distT="0" distB="0" distL="0" distR="0" wp14:anchorId="26F17822" wp14:editId="189A79EF">
            <wp:extent cx="5554045" cy="3246533"/>
            <wp:effectExtent l="0" t="0" r="0" b="0"/>
            <wp:docPr id="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38238" t="18498" r="23366" b="12636"/>
                    <a:stretch>
                      <a:fillRect/>
                    </a:stretch>
                  </pic:blipFill>
                  <pic:spPr>
                    <a:xfrm>
                      <a:off x="0" y="0"/>
                      <a:ext cx="5554045" cy="3246533"/>
                    </a:xfrm>
                    <a:prstGeom prst="rect">
                      <a:avLst/>
                    </a:prstGeom>
                    <a:ln/>
                  </pic:spPr>
                </pic:pic>
              </a:graphicData>
            </a:graphic>
          </wp:inline>
        </w:drawing>
      </w:r>
    </w:p>
    <w:p w14:paraId="0904BD09" w14:textId="77777777" w:rsidR="001C2F7F" w:rsidRPr="00640A50" w:rsidRDefault="001C2F7F">
      <w:pPr>
        <w:pBdr>
          <w:top w:val="nil"/>
          <w:left w:val="nil"/>
          <w:bottom w:val="nil"/>
          <w:right w:val="nil"/>
          <w:between w:val="nil"/>
        </w:pBdr>
        <w:spacing w:line="360" w:lineRule="auto"/>
        <w:jc w:val="both"/>
        <w:rPr>
          <w:rFonts w:ascii="Palatino Linotype" w:eastAsia="Palatino Linotype" w:hAnsi="Palatino Linotype" w:cs="Palatino Linotype"/>
        </w:rPr>
      </w:pPr>
    </w:p>
    <w:p w14:paraId="15D4A693"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No se omite comentar, que los anexos de las actas de cabildo, es acertado puntualizar que estos son parte íntegra del documento principal por así instaurarlo los criterios 20/10 y 17/17 emitidos por el Instituto Nacional de Transparencia, Acceso a la Información y Protección de Datos Personales, se establece que los anexos del contrato en cuestión son considerados parte íntegra de éste, los cuales señalan lo siguiente:</w:t>
      </w:r>
    </w:p>
    <w:p w14:paraId="1A071C40"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Criterio 20/10:</w:t>
      </w:r>
    </w:p>
    <w:p w14:paraId="1DD37FFB"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Los anexos son parte integral del documento principal. Cuando un documento gubernamental contiene anexos éstos se consideran parte del documento, ya que a </w:t>
      </w:r>
      <w:proofErr w:type="gramStart"/>
      <w:r w:rsidRPr="00640A50">
        <w:rPr>
          <w:rFonts w:ascii="Palatino Linotype" w:eastAsia="Palatino Linotype" w:hAnsi="Palatino Linotype" w:cs="Palatino Linotype"/>
          <w:i/>
          <w:sz w:val="22"/>
          <w:szCs w:val="22"/>
        </w:rPr>
        <w:t>partir  de</w:t>
      </w:r>
      <w:proofErr w:type="gramEnd"/>
      <w:r w:rsidRPr="00640A50">
        <w:rPr>
          <w:rFonts w:ascii="Palatino Linotype" w:eastAsia="Palatino Linotype" w:hAnsi="Palatino Linotype" w:cs="Palatino Linotype"/>
          <w:i/>
          <w:sz w:val="22"/>
          <w:szCs w:val="22"/>
        </w:rPr>
        <w:t xml:space="preserv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55E18F45"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lastRenderedPageBreak/>
        <w:t>Expedientes:</w:t>
      </w:r>
    </w:p>
    <w:p w14:paraId="49422C69"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2896/08       Centro de Investigaciones Biológicas del Noroeste, S.C. – Alonso</w:t>
      </w:r>
    </w:p>
    <w:p w14:paraId="0AAE8E51"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Gómez-Robledo Verduzco</w:t>
      </w:r>
    </w:p>
    <w:p w14:paraId="6596688E"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3176/08       Fondo Nacional de Fomento al Turismo – Alonso Gómez-Robledo</w:t>
      </w:r>
    </w:p>
    <w:p w14:paraId="5635F317"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Verduzco</w:t>
      </w:r>
    </w:p>
    <w:p w14:paraId="6EBB9B95"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5957/08       Instituto Mexicano de Tecnología del Agua - Juan Pablo Guerrero</w:t>
      </w:r>
    </w:p>
    <w:p w14:paraId="2E4CA85A"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Amparán</w:t>
      </w:r>
    </w:p>
    <w:p w14:paraId="4DE35D09"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2494/09        Comisión Federal de Electricidad – Juan Pablo Guerrero Amparán</w:t>
      </w:r>
    </w:p>
    <w:p w14:paraId="26750208"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0315/10        Secretaría de Agricultura, Ganadería, Desarrollo Rural, Pesca y</w:t>
      </w:r>
    </w:p>
    <w:p w14:paraId="71DBA5A0"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Alimentación – Ángel Trinidad Zaldívar</w:t>
      </w:r>
    </w:p>
    <w:p w14:paraId="126DD839" w14:textId="77777777" w:rsidR="001C2F7F" w:rsidRPr="00640A50" w:rsidRDefault="001C2F7F">
      <w:pPr>
        <w:ind w:left="567" w:right="51"/>
        <w:jc w:val="both"/>
        <w:rPr>
          <w:rFonts w:ascii="Palatino Linotype" w:eastAsia="Palatino Linotype" w:hAnsi="Palatino Linotype" w:cs="Palatino Linotype"/>
          <w:i/>
          <w:sz w:val="22"/>
          <w:szCs w:val="22"/>
        </w:rPr>
      </w:pPr>
    </w:p>
    <w:p w14:paraId="1B0CC82B" w14:textId="77777777" w:rsidR="001C2F7F" w:rsidRPr="00640A50" w:rsidRDefault="00640A50">
      <w:pPr>
        <w:ind w:left="567" w:right="51"/>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Criterio 17/17:</w:t>
      </w:r>
    </w:p>
    <w:p w14:paraId="5467DBB5"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2F649089"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Resoluciones:</w:t>
      </w:r>
    </w:p>
    <w:p w14:paraId="4009B32F"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RRA 0483/17. Universidad Nacional Autónoma de México. 22 de febrero de 2017. Por unanimidad. Comisionado Ponente Joel Salas Suárez.</w:t>
      </w:r>
    </w:p>
    <w:p w14:paraId="4F2BDCA1"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RRA 4503/16. Secretaría de Hacienda y Crédito Público. 01 de marzo de 2017. Por unanimidad. Comisionada Ponente Areli Cano Guadiana. </w:t>
      </w:r>
    </w:p>
    <w:p w14:paraId="60BBDC0F" w14:textId="77777777" w:rsidR="001C2F7F" w:rsidRPr="00640A50" w:rsidRDefault="00640A50">
      <w:pPr>
        <w:ind w:left="567" w:right="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RRA 1639/17. Instituto Mexicano del Seguro Social. 19 de abril de 2017. Por unanimidad. Comisionado Ponente Francisco Javier Acuña Llamas” (Sic)</w:t>
      </w:r>
    </w:p>
    <w:p w14:paraId="21F627E8" w14:textId="77777777" w:rsidR="001C2F7F" w:rsidRPr="00640A50" w:rsidRDefault="001C2F7F">
      <w:pPr>
        <w:spacing w:line="360" w:lineRule="auto"/>
        <w:jc w:val="both"/>
        <w:rPr>
          <w:rFonts w:ascii="Palatino Linotype" w:eastAsia="Palatino Linotype" w:hAnsi="Palatino Linotype" w:cs="Palatino Linotype"/>
        </w:rPr>
      </w:pPr>
    </w:p>
    <w:p w14:paraId="7B65BDCE" w14:textId="77777777" w:rsidR="001C2F7F" w:rsidRPr="00640A50" w:rsidRDefault="00640A50">
      <w:pPr>
        <w:pBdr>
          <w:top w:val="nil"/>
          <w:left w:val="nil"/>
          <w:bottom w:val="nil"/>
          <w:right w:val="nil"/>
          <w:between w:val="nil"/>
        </w:pBdr>
        <w:spacing w:line="360" w:lineRule="auto"/>
        <w:jc w:val="both"/>
        <w:rPr>
          <w:rFonts w:ascii="Palatino Linotype" w:eastAsia="Palatino Linotype" w:hAnsi="Palatino Linotype" w:cs="Palatino Linotype"/>
        </w:rPr>
      </w:pPr>
      <w:bookmarkStart w:id="2" w:name="_heading=h.1fob9te" w:colFirst="0" w:colLast="0"/>
      <w:bookmarkEnd w:id="2"/>
      <w:r w:rsidRPr="00640A50">
        <w:rPr>
          <w:rFonts w:ascii="Palatino Linotype" w:eastAsia="Palatino Linotype" w:hAnsi="Palatino Linotype" w:cs="Palatino Linotype"/>
        </w:rPr>
        <w:t xml:space="preserve">Precisado lo anterior, regresando con la respuesta, si bien es cierto que el área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que se pronunció fue la Secretaría del Ayuntamiento, que en términos de lo señalado por el artículo 91 de la Ley Orgánica Municipal del Estado de México, es la competente para conocer de la información solicitada, como se señala enseguida:</w:t>
      </w:r>
    </w:p>
    <w:p w14:paraId="092F6F77" w14:textId="77777777" w:rsidR="001C2F7F" w:rsidRPr="00640A50" w:rsidRDefault="001C2F7F">
      <w:pPr>
        <w:ind w:left="851" w:right="851"/>
        <w:jc w:val="both"/>
        <w:rPr>
          <w:rFonts w:ascii="Palatino Linotype" w:eastAsia="Palatino Linotype" w:hAnsi="Palatino Linotype" w:cs="Palatino Linotype"/>
          <w:i/>
          <w:sz w:val="22"/>
          <w:szCs w:val="22"/>
        </w:rPr>
      </w:pPr>
    </w:p>
    <w:p w14:paraId="7BD3E3CC"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“Artículo 91.- La Secretaría del Ayuntamiento estará a cargo de un </w:t>
      </w:r>
      <w:proofErr w:type="gramStart"/>
      <w:r w:rsidRPr="00640A50">
        <w:rPr>
          <w:rFonts w:ascii="Palatino Linotype" w:eastAsia="Palatino Linotype" w:hAnsi="Palatino Linotype" w:cs="Palatino Linotype"/>
          <w:i/>
          <w:sz w:val="22"/>
          <w:szCs w:val="22"/>
        </w:rPr>
        <w:t>Secretario</w:t>
      </w:r>
      <w:proofErr w:type="gramEnd"/>
      <w:r w:rsidRPr="00640A50">
        <w:rPr>
          <w:rFonts w:ascii="Palatino Linotype" w:eastAsia="Palatino Linotype" w:hAnsi="Palatino Linotype" w:cs="Palatino Linotype"/>
          <w:i/>
          <w:sz w:val="22"/>
          <w:szCs w:val="22"/>
        </w:rPr>
        <w:t xml:space="preserve">, el que, sin ser miembro del mismo, deberá ser nombrado por el propio Ayuntamiento a propuesta del Presidente Municipal como lo marca el artículo 31 de la presente </w:t>
      </w:r>
      <w:r w:rsidRPr="00640A50">
        <w:rPr>
          <w:rFonts w:ascii="Palatino Linotype" w:eastAsia="Palatino Linotype" w:hAnsi="Palatino Linotype" w:cs="Palatino Linotype"/>
          <w:i/>
          <w:sz w:val="22"/>
          <w:szCs w:val="22"/>
        </w:rPr>
        <w:lastRenderedPageBreak/>
        <w:t>ley. Sus faltas temporales serán cubiertas por quien designe el Ayuntamiento y sus atribuciones son las siguientes:</w:t>
      </w:r>
    </w:p>
    <w:p w14:paraId="0AD6F276" w14:textId="77777777" w:rsidR="001C2F7F" w:rsidRPr="00640A50" w:rsidRDefault="00640A50">
      <w:pPr>
        <w:ind w:left="851" w:right="851"/>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I. Asistir a las sesiones del ayuntamiento y levantar las actas correspondientes;</w:t>
      </w:r>
    </w:p>
    <w:p w14:paraId="73205B53"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II. Emitir los citatorios para la celebración de las sesiones de cabildo, convocadas legalmente; </w:t>
      </w:r>
    </w:p>
    <w:p w14:paraId="3B5C83C7"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III. Dar cuenta en la primera sesión de cada mes, del número y contenido de los expedientes pasados a comisión, con mención de los que hayan sido resueltos y de los pendientes; </w:t>
      </w:r>
    </w:p>
    <w:p w14:paraId="6738303F"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IV. Llevar y conservar los libros de actas de cabildo, obteniendo las firmas de los asistentes a las sesiones</w:t>
      </w:r>
      <w:r w:rsidRPr="00640A50">
        <w:rPr>
          <w:rFonts w:ascii="Palatino Linotype" w:eastAsia="Palatino Linotype" w:hAnsi="Palatino Linotype" w:cs="Palatino Linotype"/>
          <w:i/>
          <w:sz w:val="22"/>
          <w:szCs w:val="22"/>
        </w:rPr>
        <w:t xml:space="preserve">; </w:t>
      </w:r>
    </w:p>
    <w:p w14:paraId="719FE19C" w14:textId="77777777" w:rsidR="001C2F7F" w:rsidRPr="00640A50" w:rsidRDefault="00640A50">
      <w:pPr>
        <w:ind w:left="851" w:right="851"/>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 xml:space="preserve">V. Validar con su firma, los documentos oficiales emanados del ayuntamiento o de cualquiera de sus miembros; </w:t>
      </w:r>
    </w:p>
    <w:p w14:paraId="1D9F2020"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VI. Tener a su cargo el archivo general del ayuntamiento</w:t>
      </w:r>
      <w:r w:rsidRPr="00640A50">
        <w:rPr>
          <w:rFonts w:ascii="Palatino Linotype" w:eastAsia="Palatino Linotype" w:hAnsi="Palatino Linotype" w:cs="Palatino Linotype"/>
          <w:i/>
          <w:sz w:val="22"/>
          <w:szCs w:val="22"/>
        </w:rPr>
        <w:t xml:space="preserve">; </w:t>
      </w:r>
    </w:p>
    <w:p w14:paraId="7CA0283D"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VII. Controlar y distribuir la correspondencia oficial del ayuntamiento, dando cuenta diaria al presidente municipal para acordar su trámite; </w:t>
      </w:r>
    </w:p>
    <w:p w14:paraId="2734AA57"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VIII. Publicar los reglamentos, circulares y demás disposiciones municipales de observancia general</w:t>
      </w:r>
      <w:r w:rsidRPr="00640A50">
        <w:rPr>
          <w:rFonts w:ascii="Palatino Linotype" w:eastAsia="Palatino Linotype" w:hAnsi="Palatino Linotype" w:cs="Palatino Linotype"/>
          <w:i/>
          <w:sz w:val="22"/>
          <w:szCs w:val="22"/>
        </w:rPr>
        <w:t xml:space="preserve">; </w:t>
      </w:r>
    </w:p>
    <w:p w14:paraId="2A77A0F3"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IX. Compilar leyes, decretos, reglamentos, periódicos oficiales del estado, circulares y órdenes relativas a los distintos sectores de la administración pública municipal</w:t>
      </w:r>
      <w:r w:rsidRPr="00640A50">
        <w:rPr>
          <w:rFonts w:ascii="Palatino Linotype" w:eastAsia="Palatino Linotype" w:hAnsi="Palatino Linotype" w:cs="Palatino Linotype"/>
          <w:i/>
          <w:sz w:val="22"/>
          <w:szCs w:val="22"/>
        </w:rPr>
        <w:t xml:space="preserve">; </w:t>
      </w:r>
    </w:p>
    <w:p w14:paraId="4A665FD8"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X. Expedir las constancias de vecindad, de identidad o de última residencia que soliciten los habitantes del municipio, en un plazo no mayor de 24 horas, así como las certificaciones y demás documentos públicos que legalmente procedan, o los que acuerde el ayuntamiento; X</w:t>
      </w:r>
    </w:p>
    <w:p w14:paraId="5477CBF1"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12D7BAAA"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XII. Integrar un sistema de información que contenga datos de los aspectos socio-económicos básicos del municipio; </w:t>
      </w:r>
    </w:p>
    <w:p w14:paraId="7920C4A0" w14:textId="77777777" w:rsidR="001C2F7F" w:rsidRPr="00640A50" w:rsidRDefault="00640A50">
      <w:pPr>
        <w:ind w:left="851" w:right="851"/>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 xml:space="preserve">XIII. Ser responsable de la publicación de la Gaceta Municipal, así como de las publicaciones en los estrados de los Ayuntamientos; y </w:t>
      </w:r>
    </w:p>
    <w:p w14:paraId="79242927"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lastRenderedPageBreak/>
        <w:t>XIV. Las demás que le confieran esta Ley y disposiciones aplicables</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7B4BC742" w14:textId="77777777" w:rsidR="001C2F7F" w:rsidRPr="00640A50" w:rsidRDefault="001C2F7F">
      <w:pPr>
        <w:spacing w:line="360" w:lineRule="auto"/>
        <w:jc w:val="both"/>
        <w:rPr>
          <w:rFonts w:ascii="Palatino Linotype" w:eastAsia="Palatino Linotype" w:hAnsi="Palatino Linotype" w:cs="Palatino Linotype"/>
        </w:rPr>
      </w:pPr>
    </w:p>
    <w:p w14:paraId="25282630"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Lo cierto es, que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omitió seguir el procedimiento establecido por el artículo 162 de la Ley de Transparencia y Acceso a la Información Pública del Estado de México y Municipios, ya que, no se puede perder de vista que para otorgar respuesta a la solicitud inicial,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104DD8FB" w14:textId="77777777" w:rsidR="001C2F7F" w:rsidRPr="00640A50" w:rsidRDefault="00640A50">
      <w:pPr>
        <w:spacing w:before="240" w:after="240"/>
        <w:ind w:left="709" w:right="902"/>
        <w:jc w:val="both"/>
        <w:rPr>
          <w:rFonts w:ascii="Palatino Linotype" w:eastAsia="Palatino Linotype" w:hAnsi="Palatino Linotype" w:cs="Palatino Linotype"/>
          <w:i/>
          <w:sz w:val="20"/>
          <w:szCs w:val="20"/>
        </w:rPr>
      </w:pPr>
      <w:r w:rsidRPr="00640A50">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1589CAFC" w14:textId="77777777" w:rsidR="001C2F7F" w:rsidRPr="00640A50" w:rsidRDefault="00640A50">
      <w:pPr>
        <w:shd w:val="clear" w:color="auto" w:fill="FFFFFF"/>
        <w:spacing w:before="240" w:after="240" w:line="360" w:lineRule="auto"/>
        <w:jc w:val="both"/>
      </w:pPr>
      <w:r w:rsidRPr="00640A50">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623CE90E" w14:textId="77777777" w:rsidR="001C2F7F" w:rsidRPr="00640A50" w:rsidRDefault="00640A50">
      <w:pPr>
        <w:shd w:val="clear" w:color="auto" w:fill="FFFFFF"/>
        <w:spacing w:after="240" w:line="276" w:lineRule="auto"/>
        <w:ind w:left="993" w:right="1041"/>
        <w:jc w:val="both"/>
      </w:pPr>
      <w:r w:rsidRPr="00640A50">
        <w:rPr>
          <w:rFonts w:ascii="Palatino Linotype" w:eastAsia="Palatino Linotype" w:hAnsi="Palatino Linotype" w:cs="Palatino Linotype"/>
          <w:b/>
          <w:i/>
          <w:sz w:val="22"/>
          <w:szCs w:val="22"/>
        </w:rPr>
        <w:t>“Artículo 162.</w:t>
      </w:r>
      <w:r w:rsidRPr="00640A50">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5C5B12D" w14:textId="77777777" w:rsidR="001C2F7F" w:rsidRPr="00640A50" w:rsidRDefault="00640A50">
      <w:pPr>
        <w:shd w:val="clear" w:color="auto" w:fill="FFFFFF"/>
        <w:spacing w:line="360" w:lineRule="auto"/>
        <w:jc w:val="both"/>
      </w:pPr>
      <w:r w:rsidRPr="00640A50">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w:t>
      </w:r>
      <w:r w:rsidRPr="00640A50">
        <w:rPr>
          <w:rFonts w:ascii="Palatino Linotype" w:eastAsia="Palatino Linotype" w:hAnsi="Palatino Linotype" w:cs="Palatino Linotype"/>
        </w:rPr>
        <w:lastRenderedPageBreak/>
        <w:t>de simplicidad, rapidez, gratuidad del procedimiento, auxilio y orientación a los particulares con el fin de otorgar la protección más amplia de éste derecho</w:t>
      </w:r>
      <w:r w:rsidRPr="00640A50">
        <w:rPr>
          <w:rFonts w:ascii="Palatino Linotype" w:eastAsia="Palatino Linotype" w:hAnsi="Palatino Linotype" w:cs="Palatino Linotype"/>
          <w:vertAlign w:val="superscript"/>
        </w:rPr>
        <w:footnoteReference w:id="1"/>
      </w:r>
      <w:r w:rsidRPr="00640A50">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1C2AE530" w14:textId="77777777" w:rsidR="001C2F7F" w:rsidRPr="00640A50" w:rsidRDefault="001C2F7F">
      <w:pPr>
        <w:shd w:val="clear" w:color="auto" w:fill="FFFFFF"/>
        <w:ind w:left="993" w:right="1041"/>
        <w:jc w:val="both"/>
        <w:rPr>
          <w:rFonts w:ascii="Palatino Linotype" w:eastAsia="Palatino Linotype" w:hAnsi="Palatino Linotype" w:cs="Palatino Linotype"/>
          <w:b/>
          <w:i/>
          <w:sz w:val="22"/>
          <w:szCs w:val="22"/>
        </w:rPr>
      </w:pPr>
    </w:p>
    <w:p w14:paraId="34A7341C" w14:textId="77777777" w:rsidR="001C2F7F" w:rsidRPr="00640A50" w:rsidRDefault="00640A50">
      <w:pPr>
        <w:shd w:val="clear" w:color="auto" w:fill="FFFFFF"/>
        <w:ind w:left="993" w:right="1041"/>
        <w:jc w:val="both"/>
      </w:pPr>
      <w:r w:rsidRPr="00640A50">
        <w:rPr>
          <w:rFonts w:ascii="Palatino Linotype" w:eastAsia="Palatino Linotype" w:hAnsi="Palatino Linotype" w:cs="Palatino Linotype"/>
          <w:b/>
          <w:i/>
          <w:sz w:val="22"/>
          <w:szCs w:val="22"/>
        </w:rPr>
        <w:t>“Artículo 160. </w:t>
      </w:r>
      <w:r w:rsidRPr="00640A50">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D86EF91" w14:textId="77777777" w:rsidR="001C2F7F" w:rsidRPr="00640A50" w:rsidRDefault="00640A50">
      <w:pPr>
        <w:shd w:val="clear" w:color="auto" w:fill="FFFFFF"/>
        <w:ind w:left="993" w:right="1041"/>
        <w:jc w:val="both"/>
      </w:pPr>
      <w:r w:rsidRPr="00640A50">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0CA1358B" w14:textId="77777777" w:rsidR="001C2F7F" w:rsidRPr="00640A50" w:rsidRDefault="00640A50">
      <w:pPr>
        <w:shd w:val="clear" w:color="auto" w:fill="FFFFFF"/>
        <w:ind w:left="993" w:right="1041"/>
        <w:jc w:val="both"/>
      </w:pPr>
      <w:r w:rsidRPr="00640A50">
        <w:rPr>
          <w:rFonts w:ascii="Palatino Linotype" w:eastAsia="Palatino Linotype" w:hAnsi="Palatino Linotype" w:cs="Palatino Linotype"/>
          <w:b/>
          <w:i/>
          <w:sz w:val="22"/>
          <w:szCs w:val="22"/>
        </w:rPr>
        <w:t>Artículo 163.</w:t>
      </w:r>
      <w:r w:rsidRPr="00640A50">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F8FBAE3" w14:textId="77777777" w:rsidR="001C2F7F" w:rsidRPr="00640A50" w:rsidRDefault="00640A50">
      <w:pPr>
        <w:shd w:val="clear" w:color="auto" w:fill="FFFFFF"/>
        <w:ind w:left="993" w:right="1041"/>
        <w:jc w:val="both"/>
      </w:pPr>
      <w:r w:rsidRPr="00640A50">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8016271" w14:textId="77777777" w:rsidR="001C2F7F" w:rsidRPr="00640A50" w:rsidRDefault="00640A50">
      <w:pPr>
        <w:shd w:val="clear" w:color="auto" w:fill="FFFFFF"/>
        <w:ind w:left="993" w:right="1041"/>
        <w:jc w:val="both"/>
      </w:pPr>
      <w:r w:rsidRPr="00640A50">
        <w:rPr>
          <w:rFonts w:ascii="Palatino Linotype" w:eastAsia="Palatino Linotype" w:hAnsi="Palatino Linotype" w:cs="Palatino Linotype"/>
          <w:b/>
          <w:i/>
          <w:sz w:val="22"/>
          <w:szCs w:val="22"/>
        </w:rPr>
        <w:lastRenderedPageBreak/>
        <w:t>Artículo 165.</w:t>
      </w:r>
      <w:r w:rsidRPr="00640A50">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182A69F0" w14:textId="77777777" w:rsidR="001C2F7F" w:rsidRPr="00640A50" w:rsidRDefault="00640A50">
      <w:pPr>
        <w:shd w:val="clear" w:color="auto" w:fill="FFFFFF"/>
        <w:ind w:left="993" w:right="1041"/>
        <w:jc w:val="both"/>
      </w:pPr>
      <w:r w:rsidRPr="00640A50">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2E2ECA58" w14:textId="77777777" w:rsidR="001C2F7F" w:rsidRPr="00640A50" w:rsidRDefault="00640A50">
      <w:pPr>
        <w:shd w:val="clear" w:color="auto" w:fill="FFFFFF"/>
        <w:spacing w:after="240"/>
        <w:ind w:left="993" w:right="1041"/>
        <w:jc w:val="both"/>
      </w:pPr>
      <w:r w:rsidRPr="00640A50">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5415679C" w14:textId="77777777" w:rsidR="001C2F7F" w:rsidRPr="00640A50" w:rsidRDefault="00640A50">
      <w:pPr>
        <w:shd w:val="clear" w:color="auto" w:fill="FFFFFF"/>
        <w:spacing w:before="240" w:after="240" w:line="360" w:lineRule="auto"/>
        <w:jc w:val="both"/>
      </w:pPr>
      <w:r w:rsidRPr="00640A50">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640A50">
        <w:rPr>
          <w:rFonts w:ascii="Palatino Linotype" w:eastAsia="Palatino Linotype" w:hAnsi="Palatino Linotype" w:cs="Palatino Linotype"/>
          <w:vertAlign w:val="superscript"/>
        </w:rPr>
        <w:footnoteReference w:id="2"/>
      </w:r>
      <w:r w:rsidRPr="00640A50">
        <w:rPr>
          <w:rFonts w:ascii="Palatino Linotype" w:eastAsia="Palatino Linotype" w:hAnsi="Palatino Linotype" w:cs="Palatino Linotype"/>
        </w:rPr>
        <w:t xml:space="preserve">, situación que no se advierte en el presente caso, toda vez que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434BD1D"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En mérito de lo anterior, se colige que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la Dirección de Desarrollo Urbano y Medio Ambiente del Ayuntamiento de Cuautitlán Izcalli, en términos de lo señalado por el </w:t>
      </w:r>
      <w:proofErr w:type="gramStart"/>
      <w:r w:rsidRPr="00640A50">
        <w:rPr>
          <w:rFonts w:ascii="Palatino Linotype" w:eastAsia="Palatino Linotype" w:hAnsi="Palatino Linotype" w:cs="Palatino Linotype"/>
        </w:rPr>
        <w:t>artículo  144</w:t>
      </w:r>
      <w:proofErr w:type="gramEnd"/>
      <w:r w:rsidRPr="00640A50">
        <w:rPr>
          <w:rFonts w:ascii="Palatino Linotype" w:eastAsia="Palatino Linotype" w:hAnsi="Palatino Linotype" w:cs="Palatino Linotype"/>
        </w:rPr>
        <w:t xml:space="preserve"> </w:t>
      </w:r>
      <w:r w:rsidRPr="00640A50">
        <w:rPr>
          <w:rFonts w:ascii="Palatino Linotype" w:eastAsia="Palatino Linotype" w:hAnsi="Palatino Linotype" w:cs="Palatino Linotype"/>
        </w:rPr>
        <w:lastRenderedPageBreak/>
        <w:t>y 146 del Bando Municipal del Ayuntamiento de Cuautitlán Izcalli para el año 2015, que señalan:</w:t>
      </w:r>
    </w:p>
    <w:p w14:paraId="0647DB87"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noProof/>
          <w:lang w:val="es-MX" w:eastAsia="es-MX"/>
        </w:rPr>
        <w:drawing>
          <wp:inline distT="0" distB="0" distL="0" distR="0" wp14:anchorId="79448788" wp14:editId="55107812">
            <wp:extent cx="5497378" cy="917000"/>
            <wp:effectExtent l="0" t="0" r="0" b="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39617" t="26817" r="22466" b="57686"/>
                    <a:stretch>
                      <a:fillRect/>
                    </a:stretch>
                  </pic:blipFill>
                  <pic:spPr>
                    <a:xfrm>
                      <a:off x="0" y="0"/>
                      <a:ext cx="5497378" cy="917000"/>
                    </a:xfrm>
                    <a:prstGeom prst="rect">
                      <a:avLst/>
                    </a:prstGeom>
                    <a:ln/>
                  </pic:spPr>
                </pic:pic>
              </a:graphicData>
            </a:graphic>
          </wp:inline>
        </w:drawing>
      </w:r>
    </w:p>
    <w:p w14:paraId="0DBD834B" w14:textId="77777777" w:rsidR="001C2F7F" w:rsidRPr="00640A50" w:rsidRDefault="00640A50">
      <w:pPr>
        <w:spacing w:line="360" w:lineRule="auto"/>
        <w:ind w:right="51"/>
        <w:jc w:val="both"/>
      </w:pPr>
      <w:r w:rsidRPr="00640A50">
        <w:rPr>
          <w:noProof/>
          <w:lang w:val="es-MX" w:eastAsia="es-MX"/>
        </w:rPr>
        <w:drawing>
          <wp:inline distT="0" distB="0" distL="0" distR="0" wp14:anchorId="73DB3A8E" wp14:editId="3C6248A1">
            <wp:extent cx="5504473" cy="763580"/>
            <wp:effectExtent l="0" t="0" r="0" 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39934" t="22945" r="22478" b="68160"/>
                    <a:stretch>
                      <a:fillRect/>
                    </a:stretch>
                  </pic:blipFill>
                  <pic:spPr>
                    <a:xfrm>
                      <a:off x="0" y="0"/>
                      <a:ext cx="5504473" cy="763580"/>
                    </a:xfrm>
                    <a:prstGeom prst="rect">
                      <a:avLst/>
                    </a:prstGeom>
                    <a:ln/>
                  </pic:spPr>
                </pic:pic>
              </a:graphicData>
            </a:graphic>
          </wp:inline>
        </w:drawing>
      </w:r>
    </w:p>
    <w:p w14:paraId="3A627F08"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noProof/>
          <w:lang w:val="es-MX" w:eastAsia="es-MX"/>
        </w:rPr>
        <w:drawing>
          <wp:inline distT="0" distB="0" distL="0" distR="0" wp14:anchorId="218929D3" wp14:editId="26163542">
            <wp:extent cx="5452214" cy="840275"/>
            <wp:effectExtent l="0" t="0" r="0" b="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37530" t="72707" r="25106" b="12215"/>
                    <a:stretch>
                      <a:fillRect/>
                    </a:stretch>
                  </pic:blipFill>
                  <pic:spPr>
                    <a:xfrm>
                      <a:off x="0" y="0"/>
                      <a:ext cx="5452214" cy="840275"/>
                    </a:xfrm>
                    <a:prstGeom prst="rect">
                      <a:avLst/>
                    </a:prstGeom>
                    <a:ln/>
                  </pic:spPr>
                </pic:pic>
              </a:graphicData>
            </a:graphic>
          </wp:inline>
        </w:drawing>
      </w:r>
    </w:p>
    <w:p w14:paraId="6FB024E1"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Lo que se robustece con lo señalado por el artículo 4 del Reglamento Interior de la Dirección de Desarrollo Urbano y Medio Ambiente, aplicable en el año 2015, que señala:</w:t>
      </w:r>
    </w:p>
    <w:p w14:paraId="5383B6CF"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“Artículo 4. Para efectos de este reglamento, al Titular de la Dirección de Desarrollo Urbano y Medio Ambiente, se le denominará el </w:t>
      </w:r>
      <w:proofErr w:type="gramStart"/>
      <w:r w:rsidRPr="00640A50">
        <w:rPr>
          <w:rFonts w:ascii="Palatino Linotype" w:eastAsia="Palatino Linotype" w:hAnsi="Palatino Linotype" w:cs="Palatino Linotype"/>
          <w:i/>
          <w:sz w:val="22"/>
          <w:szCs w:val="22"/>
        </w:rPr>
        <w:t>Director</w:t>
      </w:r>
      <w:proofErr w:type="gramEnd"/>
      <w:r w:rsidRPr="00640A50">
        <w:rPr>
          <w:rFonts w:ascii="Palatino Linotype" w:eastAsia="Palatino Linotype" w:hAnsi="Palatino Linotype" w:cs="Palatino Linotype"/>
          <w:i/>
          <w:sz w:val="22"/>
          <w:szCs w:val="22"/>
        </w:rPr>
        <w:t xml:space="preserve"> (a) y tendrá las siguientes atribuciones: </w:t>
      </w:r>
    </w:p>
    <w:p w14:paraId="7F0912C4"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 Ejercer las atribuciones que correspondan al Municipio en materia de ordenamiento territorial de los Asentamientos Humanos, del Desarrollo Urbano y del Control de las Construcciones en general; </w:t>
      </w:r>
    </w:p>
    <w:p w14:paraId="1A21D4CE"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II. Reconocer el aprovechamiento del uso de suelo conforme lo marque el Plan Municipal de Desarrollo Urbano en la zona, en los predios que no lo tengan reconocido, debiendo ser compatible con los predios colindantes</w:t>
      </w:r>
      <w:r w:rsidRPr="00640A50">
        <w:rPr>
          <w:rFonts w:ascii="Palatino Linotype" w:eastAsia="Palatino Linotype" w:hAnsi="Palatino Linotype" w:cs="Palatino Linotype"/>
          <w:i/>
          <w:sz w:val="22"/>
          <w:szCs w:val="22"/>
        </w:rPr>
        <w:t xml:space="preserve">; </w:t>
      </w:r>
      <w:r w:rsidRPr="00640A50">
        <w:rPr>
          <w:rFonts w:ascii="Palatino Linotype" w:eastAsia="Palatino Linotype" w:hAnsi="Palatino Linotype" w:cs="Palatino Linotype"/>
          <w:b/>
          <w:i/>
          <w:sz w:val="22"/>
          <w:szCs w:val="22"/>
          <w:u w:val="single"/>
        </w:rPr>
        <w:t xml:space="preserve">III. Diseñar, Formular y proponer al </w:t>
      </w:r>
      <w:proofErr w:type="gramStart"/>
      <w:r w:rsidRPr="00640A50">
        <w:rPr>
          <w:rFonts w:ascii="Palatino Linotype" w:eastAsia="Palatino Linotype" w:hAnsi="Palatino Linotype" w:cs="Palatino Linotype"/>
          <w:b/>
          <w:i/>
          <w:sz w:val="22"/>
          <w:szCs w:val="22"/>
          <w:u w:val="single"/>
        </w:rPr>
        <w:t>Presidente</w:t>
      </w:r>
      <w:proofErr w:type="gramEnd"/>
      <w:r w:rsidRPr="00640A50">
        <w:rPr>
          <w:rFonts w:ascii="Palatino Linotype" w:eastAsia="Palatino Linotype" w:hAnsi="Palatino Linotype" w:cs="Palatino Linotype"/>
          <w:b/>
          <w:i/>
          <w:sz w:val="22"/>
          <w:szCs w:val="22"/>
          <w:u w:val="single"/>
        </w:rPr>
        <w:t xml:space="preserve"> Municipal para la autorización del Ayuntamiento el Plan Municipal de Desarrollo Urbano y el plan parcial que dé el deriven, así como sus actualizaciones</w:t>
      </w:r>
      <w:r w:rsidRPr="00640A50">
        <w:rPr>
          <w:rFonts w:ascii="Palatino Linotype" w:eastAsia="Palatino Linotype" w:hAnsi="Palatino Linotype" w:cs="Palatino Linotype"/>
          <w:i/>
          <w:sz w:val="22"/>
          <w:szCs w:val="22"/>
        </w:rPr>
        <w:t xml:space="preserve">; </w:t>
      </w:r>
    </w:p>
    <w:p w14:paraId="1EED9005"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u w:val="single"/>
        </w:rPr>
        <w:t>IV. Participar en la elaboración o modificación del respectivo Plan Regional de Desarrollo Urbano o de los parciales que de éste deriven</w:t>
      </w:r>
      <w:r w:rsidRPr="00640A50">
        <w:rPr>
          <w:rFonts w:ascii="Palatino Linotype" w:eastAsia="Palatino Linotype" w:hAnsi="Palatino Linotype" w:cs="Palatino Linotype"/>
          <w:i/>
          <w:sz w:val="22"/>
          <w:szCs w:val="22"/>
        </w:rPr>
        <w:t xml:space="preserve">; </w:t>
      </w:r>
    </w:p>
    <w:p w14:paraId="1ABAD79A"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lastRenderedPageBreak/>
        <w:t xml:space="preserve">V. Dar a conocer el Plan Municipal de Desarrollo Urbano, así como los trámites para obtener las autorizaciones y licencias de su competencia; </w:t>
      </w:r>
    </w:p>
    <w:p w14:paraId="0CEDE2E0"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VI. Emitir dictámenes, factibilidades y opiniones técnicas del ámbito de su competencia; </w:t>
      </w:r>
    </w:p>
    <w:p w14:paraId="1D255A22"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VII. Resolver los procedimientos administrativos en el ámbito de su competencia, ordenando y ejecutando medidas de seguridad y aplicando sanciones e infracciones; </w:t>
      </w:r>
    </w:p>
    <w:p w14:paraId="3CFF8B04"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VIII. Expedir licencias, permisos, autorizaciones, cédulas y constancias en materia de desarrollo urbano y construcciones dentro del ámbito Municipal; </w:t>
      </w:r>
    </w:p>
    <w:p w14:paraId="3284E8ED"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IX. Resolver, los procedimientos para constituir el régimen de condominio, en términos de las disposiciones legales aplicables; </w:t>
      </w:r>
    </w:p>
    <w:p w14:paraId="2FE8A916"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 Proponer al </w:t>
      </w:r>
      <w:proofErr w:type="gramStart"/>
      <w:r w:rsidRPr="00640A50">
        <w:rPr>
          <w:rFonts w:ascii="Palatino Linotype" w:eastAsia="Palatino Linotype" w:hAnsi="Palatino Linotype" w:cs="Palatino Linotype"/>
          <w:i/>
          <w:sz w:val="22"/>
          <w:szCs w:val="22"/>
        </w:rPr>
        <w:t>Presidente</w:t>
      </w:r>
      <w:proofErr w:type="gramEnd"/>
      <w:r w:rsidRPr="00640A50">
        <w:rPr>
          <w:rFonts w:ascii="Palatino Linotype" w:eastAsia="Palatino Linotype" w:hAnsi="Palatino Linotype" w:cs="Palatino Linotype"/>
          <w:i/>
          <w:sz w:val="22"/>
          <w:szCs w:val="22"/>
        </w:rPr>
        <w:t xml:space="preserve"> Municipal la implementación de programas de regularización de número oficial; </w:t>
      </w:r>
    </w:p>
    <w:p w14:paraId="0BAB746E"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XI. Proponer al </w:t>
      </w:r>
      <w:proofErr w:type="gramStart"/>
      <w:r w:rsidRPr="00640A50">
        <w:rPr>
          <w:rFonts w:ascii="Palatino Linotype" w:eastAsia="Palatino Linotype" w:hAnsi="Palatino Linotype" w:cs="Palatino Linotype"/>
          <w:i/>
          <w:sz w:val="22"/>
          <w:szCs w:val="22"/>
        </w:rPr>
        <w:t>Presidente</w:t>
      </w:r>
      <w:proofErr w:type="gramEnd"/>
      <w:r w:rsidRPr="00640A50">
        <w:rPr>
          <w:rFonts w:ascii="Palatino Linotype" w:eastAsia="Palatino Linotype" w:hAnsi="Palatino Linotype" w:cs="Palatino Linotype"/>
          <w:i/>
          <w:sz w:val="22"/>
          <w:szCs w:val="22"/>
        </w:rPr>
        <w:t xml:space="preserve"> Municipal la implementación de programas de regularización de construcciones; </w:t>
      </w:r>
    </w:p>
    <w:p w14:paraId="4B9E65B8"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XII. Proponer al </w:t>
      </w:r>
      <w:proofErr w:type="gramStart"/>
      <w:r w:rsidRPr="00640A50">
        <w:rPr>
          <w:rFonts w:ascii="Palatino Linotype" w:eastAsia="Palatino Linotype" w:hAnsi="Palatino Linotype" w:cs="Palatino Linotype"/>
          <w:i/>
          <w:sz w:val="22"/>
          <w:szCs w:val="22"/>
        </w:rPr>
        <w:t>Presidente</w:t>
      </w:r>
      <w:proofErr w:type="gramEnd"/>
      <w:r w:rsidRPr="00640A50">
        <w:rPr>
          <w:rFonts w:ascii="Palatino Linotype" w:eastAsia="Palatino Linotype" w:hAnsi="Palatino Linotype" w:cs="Palatino Linotype"/>
          <w:i/>
          <w:sz w:val="22"/>
          <w:szCs w:val="22"/>
        </w:rPr>
        <w:t xml:space="preserve"> Municipal la implementación de programas de mejoramiento y protección de la imagen urbana y el entorno; </w:t>
      </w:r>
    </w:p>
    <w:p w14:paraId="16B121CF"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XIII. Proponer al </w:t>
      </w:r>
      <w:proofErr w:type="gramStart"/>
      <w:r w:rsidRPr="00640A50">
        <w:rPr>
          <w:rFonts w:ascii="Palatino Linotype" w:eastAsia="Palatino Linotype" w:hAnsi="Palatino Linotype" w:cs="Palatino Linotype"/>
          <w:i/>
          <w:sz w:val="22"/>
          <w:szCs w:val="22"/>
        </w:rPr>
        <w:t>Presidente</w:t>
      </w:r>
      <w:proofErr w:type="gramEnd"/>
      <w:r w:rsidRPr="00640A50">
        <w:rPr>
          <w:rFonts w:ascii="Palatino Linotype" w:eastAsia="Palatino Linotype" w:hAnsi="Palatino Linotype" w:cs="Palatino Linotype"/>
          <w:i/>
          <w:sz w:val="22"/>
          <w:szCs w:val="22"/>
        </w:rPr>
        <w:t xml:space="preserve"> Municipal, las medidas que considere adecuadas para controlar el crecimiento de los asentamientos humanos irregulares y para lograr la recuperación de los predios, cuando se trate de bienes municipales y áreas de donación; </w:t>
      </w:r>
    </w:p>
    <w:p w14:paraId="246AAD23"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XIV. Expedir permisos y autorizaciones para el uso y ocupación de la vía y espacios públicos para la instalación, mantenimiento, retiro de ductos o líneas para la conducción de energía eléctrica, telefonía común o inalámbrica, telecomunicaciones, gasoductos, oleoductos, televisión por cable y demás fluidos; así como para la ejecución de obras o instalaciones de redes subterráneas o aéreas en la vía pública; </w:t>
      </w:r>
    </w:p>
    <w:p w14:paraId="2B80CE44"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XV. Expedir permisos y licencias de obra para la instalación de anuncios publicitarios que requieran de elementos estructurales; </w:t>
      </w:r>
    </w:p>
    <w:p w14:paraId="0775C32D"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XVI. Expedir la licencia para la construcción e instalación de estaciones repetidoras y antenas para telecomunicaciones; </w:t>
      </w:r>
    </w:p>
    <w:p w14:paraId="4BCD38DD"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XVII. Resolver los procedimientos para el otorgamiento, modificación o extinción de permisos o autorizaciones para la instalación, modificación o retiro de anuncios; XVIII. Proponer al Ayuntamiento la creación de reservas territoriales y ecológicas; </w:t>
      </w:r>
    </w:p>
    <w:p w14:paraId="1B0B53E0"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XIX. Expedir la Licencia Única Ambiental Municipal, así como el registro como generador de residuos no peligrosos y la licencia de funcionamiento de emisiones a la atmósfera de todas las fuentes fijas que emitan emisiones fugitivas al ambiente, </w:t>
      </w:r>
      <w:r w:rsidRPr="00640A50">
        <w:rPr>
          <w:rFonts w:ascii="Palatino Linotype" w:eastAsia="Palatino Linotype" w:hAnsi="Palatino Linotype" w:cs="Palatino Linotype"/>
          <w:i/>
          <w:sz w:val="22"/>
          <w:szCs w:val="22"/>
        </w:rPr>
        <w:lastRenderedPageBreak/>
        <w:t xml:space="preserve">provenientes de las actividades propias para la obtención de un producto, bien o servicio; </w:t>
      </w:r>
    </w:p>
    <w:p w14:paraId="1C9D66D5"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XX. Proponer al </w:t>
      </w:r>
      <w:proofErr w:type="gramStart"/>
      <w:r w:rsidRPr="00640A50">
        <w:rPr>
          <w:rFonts w:ascii="Palatino Linotype" w:eastAsia="Palatino Linotype" w:hAnsi="Palatino Linotype" w:cs="Palatino Linotype"/>
          <w:i/>
          <w:sz w:val="22"/>
          <w:szCs w:val="22"/>
        </w:rPr>
        <w:t>Presidente</w:t>
      </w:r>
      <w:proofErr w:type="gramEnd"/>
      <w:r w:rsidRPr="00640A50">
        <w:rPr>
          <w:rFonts w:ascii="Palatino Linotype" w:eastAsia="Palatino Linotype" w:hAnsi="Palatino Linotype" w:cs="Palatino Linotype"/>
          <w:i/>
          <w:sz w:val="22"/>
          <w:szCs w:val="22"/>
        </w:rPr>
        <w:t xml:space="preserve"> Municipal, para la aprobación del Ayuntamiento, en su caso, el Programa Municipal de Protección Ambiental; </w:t>
      </w:r>
    </w:p>
    <w:p w14:paraId="5D7EC488"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XXI. Proponer al </w:t>
      </w:r>
      <w:proofErr w:type="gramStart"/>
      <w:r w:rsidRPr="00640A50">
        <w:rPr>
          <w:rFonts w:ascii="Palatino Linotype" w:eastAsia="Palatino Linotype" w:hAnsi="Palatino Linotype" w:cs="Palatino Linotype"/>
          <w:i/>
          <w:sz w:val="22"/>
          <w:szCs w:val="22"/>
        </w:rPr>
        <w:t>Presidente</w:t>
      </w:r>
      <w:proofErr w:type="gramEnd"/>
      <w:r w:rsidRPr="00640A50">
        <w:rPr>
          <w:rFonts w:ascii="Palatino Linotype" w:eastAsia="Palatino Linotype" w:hAnsi="Palatino Linotype" w:cs="Palatino Linotype"/>
          <w:i/>
          <w:sz w:val="22"/>
          <w:szCs w:val="22"/>
        </w:rPr>
        <w:t xml:space="preserve"> Municipal la suscripción de convenios con los gobiernos federal y estatal, relativos a la realización conjunta y coordinada de acciones de protección ambiental; </w:t>
      </w:r>
    </w:p>
    <w:p w14:paraId="6346765D"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XXII. Autorizar la poda, derribo, incisión de raíz o trasplante de la vegetación urbana en el Municipio y asesorar a la ciudadanía en la materia; </w:t>
      </w:r>
    </w:p>
    <w:p w14:paraId="2137A946"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XXIII. Ejecutar, vigilar y promover los programas de mejoramiento y protección de la imagen urbana y el entorno; y </w:t>
      </w:r>
    </w:p>
    <w:p w14:paraId="6F65B3F3"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XXIV. Emitir la autorización de cambio de uso de suelo, de densidad, del coeficiente de ocupación, del coeficiente de utilización, de altura de edificaciones de un lote o predio e intensidad de su aprovechamiento; </w:t>
      </w:r>
    </w:p>
    <w:p w14:paraId="2BB56318" w14:textId="77777777" w:rsidR="001C2F7F" w:rsidRPr="00640A50" w:rsidRDefault="00640A50">
      <w:pPr>
        <w:ind w:left="851" w:right="85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XXV. Las demás que determine directamente el Presidente Municipal</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68A76642"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Razones por las cuales lo procedente es ordenar una nueva búsqueda exhaustiva y razonable del documento o documentos, en donde conste lo siguiente:</w:t>
      </w:r>
    </w:p>
    <w:p w14:paraId="790AEA4F" w14:textId="77777777" w:rsidR="001C2F7F" w:rsidRPr="00640A50" w:rsidRDefault="00640A5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Plan parcial de integración territorial Santa Bárbara Norte del municipio de Cuautitlán Izcalli, Estado de México, del año 2015.</w:t>
      </w:r>
    </w:p>
    <w:p w14:paraId="32CBCDF7" w14:textId="77777777" w:rsidR="001C2F7F" w:rsidRPr="00640A50" w:rsidRDefault="00640A5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La modificación del Plan Municipal de Desarrollo Urbano de Cuautitlán Izcalli, Estado de México, del año 2015.</w:t>
      </w:r>
    </w:p>
    <w:p w14:paraId="4FA93A8C"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De ser procedente en versión pública conforme a lo señalado por el considerando quinto del presente fallo.  </w:t>
      </w:r>
    </w:p>
    <w:p w14:paraId="2A37E115" w14:textId="77777777" w:rsidR="001C2F7F" w:rsidRPr="00640A50" w:rsidRDefault="00640A50">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No pasa desapercibido, debida a la temporalidad de la información que se ordena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w:t>
      </w:r>
      <w:r w:rsidRPr="00640A50">
        <w:rPr>
          <w:rFonts w:ascii="Palatino Linotype" w:eastAsia="Palatino Linotype" w:hAnsi="Palatino Linotype" w:cs="Palatino Linotype"/>
          <w:b/>
        </w:rPr>
        <w:t>deberá seguir el siguiente procedimiento de la búsqueda de la información</w:t>
      </w:r>
      <w:r w:rsidRPr="00640A50">
        <w:rPr>
          <w:rFonts w:ascii="Palatino Linotype" w:eastAsia="Palatino Linotype" w:hAnsi="Palatino Linotype" w:cs="Palatino Linotype"/>
        </w:rPr>
        <w:t>:</w:t>
      </w:r>
    </w:p>
    <w:p w14:paraId="3CC29C66" w14:textId="77777777" w:rsidR="001C2F7F" w:rsidRPr="00640A50" w:rsidRDefault="001C2F7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10F6D09F"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 xml:space="preserve">Ahora bien, cabe recordar que la pretensión del Particular radica en obtener información del año dos mil quince, por lo que, es necesario traer a colación lo que establecen los Lineamientos para la Administración de Documentos en el Estado de México, que precisan lo siguiente: </w:t>
      </w:r>
    </w:p>
    <w:p w14:paraId="67AE15E3" w14:textId="77777777" w:rsidR="001C2F7F" w:rsidRPr="00640A50" w:rsidRDefault="001C2F7F">
      <w:pPr>
        <w:spacing w:line="360" w:lineRule="auto"/>
        <w:ind w:left="567" w:right="567"/>
        <w:jc w:val="both"/>
        <w:rPr>
          <w:rFonts w:ascii="Palatino Linotype" w:eastAsia="Palatino Linotype" w:hAnsi="Palatino Linotype" w:cs="Palatino Linotype"/>
        </w:rPr>
      </w:pPr>
    </w:p>
    <w:p w14:paraId="1C8A932A"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36.</w:t>
      </w:r>
      <w:r w:rsidRPr="00640A50">
        <w:rPr>
          <w:rFonts w:ascii="Palatino Linotype" w:eastAsia="Palatino Linotype" w:hAnsi="Palatino Linotype" w:cs="Palatino Linotype"/>
          <w:i/>
          <w:sz w:val="22"/>
          <w:szCs w:val="22"/>
        </w:rPr>
        <w:t xml:space="preserve"> 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garantizarán que sus Archivos de Trámite, Concentración e Históricos se mantengan organizados y disponibles para permitir y facilitar un acceso expedito a la documentación que resguarden.</w:t>
      </w:r>
    </w:p>
    <w:p w14:paraId="0B3C62BD" w14:textId="77777777" w:rsidR="001C2F7F" w:rsidRPr="00640A50" w:rsidRDefault="001C2F7F">
      <w:pPr>
        <w:spacing w:line="276" w:lineRule="auto"/>
        <w:ind w:left="567" w:right="567"/>
        <w:jc w:val="both"/>
        <w:rPr>
          <w:rFonts w:ascii="Palatino Linotype" w:eastAsia="Palatino Linotype" w:hAnsi="Palatino Linotype" w:cs="Palatino Linotype"/>
          <w:i/>
          <w:sz w:val="22"/>
          <w:szCs w:val="22"/>
        </w:rPr>
      </w:pPr>
    </w:p>
    <w:p w14:paraId="26A4B425"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37.</w:t>
      </w:r>
      <w:r w:rsidRPr="00640A50">
        <w:rPr>
          <w:rFonts w:ascii="Palatino Linotype" w:eastAsia="Palatino Linotype" w:hAnsi="Palatino Linotype" w:cs="Palatino Linotype"/>
          <w:i/>
          <w:sz w:val="22"/>
          <w:szCs w:val="22"/>
        </w:rPr>
        <w:t xml:space="preserve"> 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14:paraId="179FADDC" w14:textId="77777777" w:rsidR="001C2F7F" w:rsidRPr="00640A50" w:rsidRDefault="001C2F7F">
      <w:pPr>
        <w:spacing w:line="276" w:lineRule="auto"/>
        <w:ind w:left="567" w:right="567"/>
        <w:jc w:val="both"/>
        <w:rPr>
          <w:rFonts w:ascii="Palatino Linotype" w:eastAsia="Palatino Linotype" w:hAnsi="Palatino Linotype" w:cs="Palatino Linotype"/>
          <w:i/>
          <w:sz w:val="22"/>
          <w:szCs w:val="22"/>
        </w:rPr>
      </w:pPr>
    </w:p>
    <w:p w14:paraId="63DD9029"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61.</w:t>
      </w:r>
      <w:r w:rsidRPr="00640A50">
        <w:rPr>
          <w:rFonts w:ascii="Palatino Linotype" w:eastAsia="Palatino Linotype" w:hAnsi="Palatino Linotype" w:cs="Palatino Linotype"/>
          <w:i/>
          <w:sz w:val="22"/>
          <w:szCs w:val="22"/>
        </w:rPr>
        <w:t xml:space="preserve"> El ciclo de vida de los documentos de Archivo se corresponderá con las siguientes fases: </w:t>
      </w:r>
    </w:p>
    <w:p w14:paraId="45F05A6C" w14:textId="77777777" w:rsidR="001C2F7F" w:rsidRPr="00640A50" w:rsidRDefault="001C2F7F">
      <w:pPr>
        <w:spacing w:line="276" w:lineRule="auto"/>
        <w:ind w:left="567" w:right="567"/>
        <w:jc w:val="both"/>
        <w:rPr>
          <w:rFonts w:ascii="Palatino Linotype" w:eastAsia="Palatino Linotype" w:hAnsi="Palatino Linotype" w:cs="Palatino Linotype"/>
          <w:b/>
          <w:i/>
          <w:sz w:val="22"/>
          <w:szCs w:val="22"/>
        </w:rPr>
      </w:pPr>
    </w:p>
    <w:p w14:paraId="30C9BFCC"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Fase Activa.</w:t>
      </w:r>
      <w:r w:rsidRPr="00640A50">
        <w:rPr>
          <w:rFonts w:ascii="Palatino Linotype" w:eastAsia="Palatino Linotype" w:hAnsi="Palatino Linotype" w:cs="Palatino Linotype"/>
          <w:i/>
          <w:sz w:val="22"/>
          <w:szCs w:val="22"/>
        </w:rPr>
        <w:t xml:space="preserve"> Etapa en la que los documentos están en un período de tramitación y se utilizan constantemente por parte de la Unidad Administrativa que los generó o recibió, y se ubican en el Archivo de Trámite; </w:t>
      </w:r>
    </w:p>
    <w:p w14:paraId="46CFB16D"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Fase Semiactiva.</w:t>
      </w:r>
      <w:r w:rsidRPr="00640A50">
        <w:rPr>
          <w:rFonts w:ascii="Palatino Linotype" w:eastAsia="Palatino Linotype" w:hAnsi="Palatino Linotype" w:cs="Palatino Linotype"/>
          <w:i/>
          <w:sz w:val="22"/>
          <w:szCs w:val="22"/>
        </w:rPr>
        <w:t xml:space="preserve"> Período en el que los documentos, una vez concluido su trámite, mantienen un valor </w:t>
      </w:r>
      <w:proofErr w:type="gramStart"/>
      <w:r w:rsidRPr="00640A50">
        <w:rPr>
          <w:rFonts w:ascii="Palatino Linotype" w:eastAsia="Palatino Linotype" w:hAnsi="Palatino Linotype" w:cs="Palatino Linotype"/>
          <w:i/>
          <w:sz w:val="22"/>
          <w:szCs w:val="22"/>
        </w:rPr>
        <w:t>administrativo</w:t>
      </w:r>
      <w:proofErr w:type="gramEnd"/>
      <w:r w:rsidRPr="00640A50">
        <w:rPr>
          <w:rFonts w:ascii="Palatino Linotype" w:eastAsia="Palatino Linotype" w:hAnsi="Palatino Linotype" w:cs="Palatino Linotype"/>
          <w:i/>
          <w:sz w:val="22"/>
          <w:szCs w:val="22"/>
        </w:rPr>
        <w:t xml:space="preserve"> pero ya no son de uso frecuente por parte de la Unidad Administrativa que los generó o recibió y se resguardan en el Archivo de Concentración; y </w:t>
      </w:r>
    </w:p>
    <w:p w14:paraId="28D684E8"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Fase Inactiva.</w:t>
      </w:r>
      <w:r w:rsidRPr="00640A50">
        <w:rPr>
          <w:rFonts w:ascii="Palatino Linotype" w:eastAsia="Palatino Linotype" w:hAnsi="Palatino Linotype" w:cs="Palatino Linotype"/>
          <w:i/>
          <w:sz w:val="22"/>
          <w:szCs w:val="22"/>
        </w:rPr>
        <w:t xml:space="preserve"> Etapa en la que los documentos, una vez fenecido su valor primario, se consideran de utilidad para el desarrollo de la investigación y por lo cual se conservan de manera permanente en el Archivo Histórico. </w:t>
      </w:r>
    </w:p>
    <w:p w14:paraId="48B577BF"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lastRenderedPageBreak/>
        <w:t>Artículo 62.</w:t>
      </w:r>
      <w:r w:rsidRPr="00640A50">
        <w:rPr>
          <w:rFonts w:ascii="Palatino Linotype" w:eastAsia="Palatino Linotype" w:hAnsi="Palatino Linotype" w:cs="Palatino Linotype"/>
          <w:i/>
          <w:sz w:val="22"/>
          <w:szCs w:val="22"/>
        </w:rPr>
        <w:t xml:space="preserve"> Las diferentes fases del ciclo de vida de los documentos y </w:t>
      </w:r>
      <w:proofErr w:type="spellStart"/>
      <w:r w:rsidRPr="00640A50">
        <w:rPr>
          <w:rFonts w:ascii="Palatino Linotype" w:eastAsia="Palatino Linotype" w:hAnsi="Palatino Linotype" w:cs="Palatino Linotype"/>
          <w:i/>
          <w:sz w:val="22"/>
          <w:szCs w:val="22"/>
        </w:rPr>
        <w:t>ei</w:t>
      </w:r>
      <w:proofErr w:type="spellEnd"/>
      <w:r w:rsidRPr="00640A50">
        <w:rPr>
          <w:rFonts w:ascii="Palatino Linotype" w:eastAsia="Palatino Linotype" w:hAnsi="Palatino Linotype" w:cs="Palatino Linotype"/>
          <w:i/>
          <w:sz w:val="22"/>
          <w:szCs w:val="22"/>
        </w:rPr>
        <w:t xml:space="preserve"> flujo documental se regularán por las normas de conservación expedidas por la Comisión y recogidas en los Dictámenes de Valoración Documental y el Catálogo de Disposición Documental. </w:t>
      </w:r>
    </w:p>
    <w:p w14:paraId="74BFAE74"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63.</w:t>
      </w:r>
      <w:r w:rsidRPr="00640A50">
        <w:rPr>
          <w:rFonts w:ascii="Palatino Linotype" w:eastAsia="Palatino Linotype" w:hAnsi="Palatino Linotype" w:cs="Palatino Linotype"/>
          <w:i/>
          <w:sz w:val="22"/>
          <w:szCs w:val="22"/>
        </w:rPr>
        <w:t xml:space="preserve"> Atendiendo al ciclo de vida de los documentos, los Archivos integrantes del Sistema se clasificarán en: </w:t>
      </w:r>
    </w:p>
    <w:p w14:paraId="789490B2"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 Archivos de Trámite o de Oficina; </w:t>
      </w:r>
    </w:p>
    <w:p w14:paraId="768006E7"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II. Archivos de Concentración o Generales; y </w:t>
      </w:r>
    </w:p>
    <w:p w14:paraId="2895D111"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III. Archivos Históricos.” (Sic)</w:t>
      </w:r>
    </w:p>
    <w:p w14:paraId="16824A7A" w14:textId="77777777" w:rsidR="001C2F7F" w:rsidRPr="00640A50" w:rsidRDefault="001C2F7F">
      <w:pPr>
        <w:spacing w:line="360" w:lineRule="auto"/>
        <w:jc w:val="both"/>
        <w:rPr>
          <w:rFonts w:ascii="Palatino Linotype" w:eastAsia="Palatino Linotype" w:hAnsi="Palatino Linotype" w:cs="Palatino Linotype"/>
        </w:rPr>
      </w:pPr>
    </w:p>
    <w:p w14:paraId="1F6FE0DF"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20 y 27, fracción I, que establecen lo siguiente:</w:t>
      </w:r>
    </w:p>
    <w:p w14:paraId="2212877B" w14:textId="77777777" w:rsidR="001C2F7F" w:rsidRPr="00640A50" w:rsidRDefault="001C2F7F">
      <w:pPr>
        <w:spacing w:line="360" w:lineRule="auto"/>
        <w:jc w:val="both"/>
        <w:rPr>
          <w:rFonts w:ascii="Palatino Linotype" w:eastAsia="Palatino Linotype" w:hAnsi="Palatino Linotype" w:cs="Palatino Linotype"/>
        </w:rPr>
      </w:pPr>
    </w:p>
    <w:p w14:paraId="3BE44390"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4.-</w:t>
      </w:r>
      <w:r w:rsidRPr="00640A50">
        <w:rPr>
          <w:rFonts w:ascii="Palatino Linotype" w:eastAsia="Palatino Linotype" w:hAnsi="Palatino Linotype" w:cs="Palatino Linotype"/>
          <w:i/>
          <w:sz w:val="22"/>
          <w:szCs w:val="22"/>
        </w:rPr>
        <w:t xml:space="preserve"> Para los efectos de interpretación y aplicación de los Lineamientos se entenderá por: </w:t>
      </w:r>
    </w:p>
    <w:p w14:paraId="3F00C8E6" w14:textId="77777777" w:rsidR="001C2F7F" w:rsidRPr="00640A50" w:rsidRDefault="00640A50">
      <w:pPr>
        <w:numPr>
          <w:ilvl w:val="0"/>
          <w:numId w:val="4"/>
        </w:numPr>
        <w:pBdr>
          <w:top w:val="nil"/>
          <w:left w:val="nil"/>
          <w:bottom w:val="nil"/>
          <w:right w:val="nil"/>
          <w:between w:val="nil"/>
        </w:pBdr>
        <w:spacing w:line="276" w:lineRule="auto"/>
        <w:ind w:left="567" w:right="567" w:hanging="425"/>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Acta de Baja:</w:t>
      </w:r>
      <w:r w:rsidRPr="00640A50">
        <w:rPr>
          <w:rFonts w:ascii="Palatino Linotype" w:eastAsia="Palatino Linotype" w:hAnsi="Palatino Linotype" w:cs="Palatino Linotype"/>
          <w:i/>
          <w:sz w:val="22"/>
          <w:szCs w:val="22"/>
        </w:rPr>
        <w:t xml:space="preserve"> Acta de Baja Documental. Documento por el que el Comité de Selección Documental o el titular de la Unidad Administrativa a la cual se encuentre adscrito el Archivo de Trámite, autoriza la baja de los documentos resultantes del proceso de </w:t>
      </w:r>
      <w:r w:rsidRPr="00640A50">
        <w:rPr>
          <w:rFonts w:ascii="Palatino Linotype" w:eastAsia="Palatino Linotype" w:hAnsi="Palatino Linotype" w:cs="Palatino Linotype"/>
          <w:i/>
          <w:sz w:val="22"/>
          <w:szCs w:val="22"/>
        </w:rPr>
        <w:lastRenderedPageBreak/>
        <w:t xml:space="preserve">selección preliminar aplicado a los expedientes de trámite concluido, con paso previo a su transferencia a un Archivo de Concentración. </w:t>
      </w:r>
    </w:p>
    <w:p w14:paraId="1C27F460" w14:textId="77777777" w:rsidR="001C2F7F" w:rsidRPr="00640A50" w:rsidRDefault="00640A50">
      <w:pPr>
        <w:numPr>
          <w:ilvl w:val="0"/>
          <w:numId w:val="4"/>
        </w:numPr>
        <w:pBdr>
          <w:top w:val="nil"/>
          <w:left w:val="nil"/>
          <w:bottom w:val="nil"/>
          <w:right w:val="nil"/>
          <w:between w:val="nil"/>
        </w:pBdr>
        <w:spacing w:line="276" w:lineRule="auto"/>
        <w:ind w:left="567" w:right="567" w:hanging="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Acuerdo: Acuerdo de Autorización de Baja Documental.</w:t>
      </w:r>
      <w:r w:rsidRPr="00640A50">
        <w:rPr>
          <w:rFonts w:ascii="Palatino Linotype" w:eastAsia="Palatino Linotype" w:hAnsi="Palatino Linotype" w:cs="Palatino Linotype"/>
          <w:i/>
          <w:sz w:val="22"/>
          <w:szCs w:val="22"/>
        </w:rPr>
        <w:t xml:space="preserve"> Documento a través de la cual la comisión Dictaminadora de Depuración de Documentos autoriza la baja de los documentos de trámite concluido cuyo periodo de conservación </w:t>
      </w:r>
      <w:proofErr w:type="spellStart"/>
      <w:r w:rsidRPr="00640A50">
        <w:rPr>
          <w:rFonts w:ascii="Palatino Linotype" w:eastAsia="Palatino Linotype" w:hAnsi="Palatino Linotype" w:cs="Palatino Linotype"/>
          <w:i/>
          <w:sz w:val="22"/>
          <w:szCs w:val="22"/>
        </w:rPr>
        <w:t>precaucional</w:t>
      </w:r>
      <w:proofErr w:type="spellEnd"/>
      <w:r w:rsidRPr="00640A50">
        <w:rPr>
          <w:rFonts w:ascii="Palatino Linotype" w:eastAsia="Palatino Linotype" w:hAnsi="Palatino Linotype" w:cs="Palatino Linotype"/>
          <w:i/>
          <w:sz w:val="22"/>
          <w:szCs w:val="22"/>
        </w:rPr>
        <w:t xml:space="preserve"> ya prescribió en los Archivos de Concentración y que son resultantes del proceso de selección final. </w:t>
      </w:r>
    </w:p>
    <w:p w14:paraId="43D6D207" w14:textId="77777777" w:rsidR="001C2F7F" w:rsidRPr="00640A50" w:rsidRDefault="00640A50">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23443781" w14:textId="77777777" w:rsidR="001C2F7F" w:rsidRPr="00640A50" w:rsidRDefault="00640A50">
      <w:pPr>
        <w:tabs>
          <w:tab w:val="left" w:pos="567"/>
        </w:tabs>
        <w:spacing w:line="276" w:lineRule="auto"/>
        <w:ind w:left="567" w:right="567" w:hanging="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IX.  </w:t>
      </w:r>
      <w:r w:rsidRPr="00640A50">
        <w:rPr>
          <w:rFonts w:ascii="Palatino Linotype" w:eastAsia="Palatino Linotype" w:hAnsi="Palatino Linotype" w:cs="Palatino Linotype"/>
          <w:b/>
          <w:i/>
          <w:sz w:val="22"/>
          <w:szCs w:val="22"/>
        </w:rPr>
        <w:t xml:space="preserve">  Baja Documental:</w:t>
      </w:r>
      <w:r w:rsidRPr="00640A50">
        <w:rPr>
          <w:rFonts w:ascii="Palatino Linotype" w:eastAsia="Palatino Linotype" w:hAnsi="Palatino Linotype" w:cs="Palatino Linotype"/>
          <w:i/>
          <w:sz w:val="22"/>
          <w:szCs w:val="22"/>
        </w:rPr>
        <w:t xml:space="preserve"> Eliminación física de la documentación que haya prescrito en sus valores administrativos, legales, fiscales o contables, y que no contenga valores históricos, conforme a la normatividad emitida por la Comisión. </w:t>
      </w:r>
    </w:p>
    <w:p w14:paraId="0B1204FE" w14:textId="77777777" w:rsidR="001C2F7F" w:rsidRPr="00640A50" w:rsidRDefault="00640A50">
      <w:pPr>
        <w:tabs>
          <w:tab w:val="left" w:pos="567"/>
        </w:tabs>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 </w:t>
      </w:r>
    </w:p>
    <w:p w14:paraId="4D562F6F" w14:textId="77777777" w:rsidR="001C2F7F" w:rsidRPr="00640A50" w:rsidRDefault="00640A50">
      <w:pPr>
        <w:tabs>
          <w:tab w:val="left" w:pos="567"/>
        </w:tabs>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 xml:space="preserve">Artículo 20.- </w:t>
      </w:r>
      <w:r w:rsidRPr="00640A50">
        <w:rPr>
          <w:rFonts w:ascii="Palatino Linotype" w:eastAsia="Palatino Linotype" w:hAnsi="Palatino Linotype" w:cs="Palatino Linotype"/>
          <w:i/>
          <w:sz w:val="22"/>
          <w:szCs w:val="22"/>
        </w:rPr>
        <w:t xml:space="preserve">Los expedientes de trámite concluido y los descalificados se mantendrán íntegros por un periodo de dos años en los Archivos de Trámite de las Unidades Administrativas. Cumplido este plazo se podrá proceder a su selección preliminar y transferencia al Archivo de Concentración. El periodo señalado se computará a partir del día siguiente a la fecha del documento con el cual se dé por concluido el asunto que motivó la integración de los expedientes. </w:t>
      </w:r>
    </w:p>
    <w:p w14:paraId="7E6680C6" w14:textId="77777777" w:rsidR="001C2F7F" w:rsidRPr="00640A50" w:rsidRDefault="00640A50">
      <w:pPr>
        <w:tabs>
          <w:tab w:val="left" w:pos="567"/>
        </w:tabs>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p>
    <w:p w14:paraId="3D6728C3" w14:textId="77777777" w:rsidR="001C2F7F" w:rsidRPr="00640A50" w:rsidRDefault="00640A50">
      <w:pPr>
        <w:tabs>
          <w:tab w:val="left" w:pos="567"/>
        </w:tabs>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 xml:space="preserve">Artículo 27.- </w:t>
      </w:r>
      <w:r w:rsidRPr="00640A50">
        <w:rPr>
          <w:rFonts w:ascii="Palatino Linotype" w:eastAsia="Palatino Linotype" w:hAnsi="Palatino Linotype" w:cs="Palatino Linotype"/>
          <w:i/>
          <w:sz w:val="22"/>
          <w:szCs w:val="22"/>
        </w:rPr>
        <w:t xml:space="preserve">Las Unidades Administrativas al realizar la transferencia de los expedientes de trámite concluido, señalarán en el inventario correspondiente los plazos de conservación </w:t>
      </w:r>
      <w:proofErr w:type="spellStart"/>
      <w:r w:rsidRPr="00640A50">
        <w:rPr>
          <w:rFonts w:ascii="Palatino Linotype" w:eastAsia="Palatino Linotype" w:hAnsi="Palatino Linotype" w:cs="Palatino Linotype"/>
          <w:i/>
          <w:sz w:val="22"/>
          <w:szCs w:val="22"/>
        </w:rPr>
        <w:t>precaucional</w:t>
      </w:r>
      <w:proofErr w:type="spellEnd"/>
      <w:r w:rsidRPr="00640A50">
        <w:rPr>
          <w:rFonts w:ascii="Palatino Linotype" w:eastAsia="Palatino Linotype" w:hAnsi="Palatino Linotype" w:cs="Palatino Linotype"/>
          <w:i/>
          <w:sz w:val="22"/>
          <w:szCs w:val="22"/>
        </w:rPr>
        <w:t xml:space="preserve"> de éstos en el Archivo de Concentración. Para determinar el plazo de conservación </w:t>
      </w:r>
      <w:proofErr w:type="spellStart"/>
      <w:r w:rsidRPr="00640A50">
        <w:rPr>
          <w:rFonts w:ascii="Palatino Linotype" w:eastAsia="Palatino Linotype" w:hAnsi="Palatino Linotype" w:cs="Palatino Linotype"/>
          <w:i/>
          <w:sz w:val="22"/>
          <w:szCs w:val="22"/>
        </w:rPr>
        <w:t>precaucional</w:t>
      </w:r>
      <w:proofErr w:type="spellEnd"/>
      <w:r w:rsidRPr="00640A50">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periodos; </w:t>
      </w:r>
    </w:p>
    <w:p w14:paraId="39938BFE" w14:textId="77777777" w:rsidR="001C2F7F" w:rsidRPr="00640A50" w:rsidRDefault="00640A50">
      <w:pPr>
        <w:numPr>
          <w:ilvl w:val="0"/>
          <w:numId w:val="5"/>
        </w:numPr>
        <w:pBdr>
          <w:top w:val="nil"/>
          <w:left w:val="nil"/>
          <w:bottom w:val="nil"/>
          <w:right w:val="nil"/>
          <w:between w:val="nil"/>
        </w:pBdr>
        <w:tabs>
          <w:tab w:val="left" w:pos="567"/>
        </w:tabs>
        <w:spacing w:line="276" w:lineRule="auto"/>
        <w:ind w:right="567"/>
        <w:jc w:val="both"/>
        <w:rPr>
          <w:rFonts w:ascii="Palatino Linotype" w:eastAsia="Palatino Linotype" w:hAnsi="Palatino Linotype" w:cs="Palatino Linotype"/>
          <w:b/>
          <w:i/>
          <w:sz w:val="22"/>
          <w:szCs w:val="22"/>
          <w:u w:val="single"/>
        </w:rPr>
      </w:pPr>
      <w:r w:rsidRPr="00640A50">
        <w:rPr>
          <w:rFonts w:ascii="Palatino Linotype" w:eastAsia="Palatino Linotype" w:hAnsi="Palatino Linotype" w:cs="Palatino Linotype"/>
          <w:b/>
          <w:i/>
          <w:sz w:val="22"/>
          <w:szCs w:val="22"/>
          <w:u w:val="single"/>
        </w:rPr>
        <w:t>6 años para expedientes con información administrativa</w:t>
      </w:r>
      <w:proofErr w:type="gramStart"/>
      <w:r w:rsidRPr="00640A50">
        <w:rPr>
          <w:rFonts w:ascii="Palatino Linotype" w:eastAsia="Palatino Linotype" w:hAnsi="Palatino Linotype" w:cs="Palatino Linotype"/>
          <w:b/>
          <w:i/>
          <w:sz w:val="22"/>
          <w:szCs w:val="22"/>
          <w:u w:val="single"/>
        </w:rPr>
        <w:t>…”(</w:t>
      </w:r>
      <w:proofErr w:type="gramEnd"/>
      <w:r w:rsidRPr="00640A50">
        <w:rPr>
          <w:rFonts w:ascii="Palatino Linotype" w:eastAsia="Palatino Linotype" w:hAnsi="Palatino Linotype" w:cs="Palatino Linotype"/>
          <w:b/>
          <w:i/>
          <w:sz w:val="22"/>
          <w:szCs w:val="22"/>
          <w:u w:val="single"/>
        </w:rPr>
        <w:t>Sic)</w:t>
      </w:r>
    </w:p>
    <w:p w14:paraId="6C6E703A" w14:textId="77777777" w:rsidR="001C2F7F" w:rsidRPr="00640A50" w:rsidRDefault="001C2F7F">
      <w:pPr>
        <w:tabs>
          <w:tab w:val="left" w:pos="567"/>
        </w:tabs>
        <w:spacing w:line="360" w:lineRule="auto"/>
        <w:jc w:val="both"/>
        <w:rPr>
          <w:rFonts w:ascii="Palatino Linotype" w:eastAsia="Palatino Linotype" w:hAnsi="Palatino Linotype" w:cs="Palatino Linotype"/>
        </w:rPr>
      </w:pPr>
    </w:p>
    <w:p w14:paraId="63D462EB" w14:textId="77777777" w:rsidR="001C2F7F" w:rsidRPr="00640A50" w:rsidRDefault="00640A50">
      <w:pPr>
        <w:tabs>
          <w:tab w:val="left" w:pos="567"/>
        </w:tabs>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En ese sentido, tenemos que los documentos requeridos a través de la solicitud de acceso a la información pública, datan desde el año dos mil tres, se pudieran encontrar en el supuesto de que agotaron su vida útil y/o no se consideraron de importancia para formar parte del Archivo Histórico, por lo que, </w:t>
      </w:r>
      <w:r w:rsidRPr="00640A50">
        <w:rPr>
          <w:rFonts w:ascii="Palatino Linotype" w:eastAsia="Palatino Linotype" w:hAnsi="Palatino Linotype" w:cs="Palatino Linotype"/>
          <w:b/>
          <w:u w:val="single"/>
        </w:rPr>
        <w:t>pudieron haber causado baja.</w:t>
      </w:r>
      <w:r w:rsidRPr="00640A50">
        <w:rPr>
          <w:rFonts w:ascii="Palatino Linotype" w:eastAsia="Palatino Linotype" w:hAnsi="Palatino Linotype" w:cs="Palatino Linotype"/>
        </w:rPr>
        <w:t xml:space="preserve"> </w:t>
      </w:r>
    </w:p>
    <w:p w14:paraId="65E3C954" w14:textId="77777777" w:rsidR="001C2F7F" w:rsidRPr="00640A50" w:rsidRDefault="001C2F7F">
      <w:pPr>
        <w:tabs>
          <w:tab w:val="left" w:pos="567"/>
        </w:tabs>
        <w:spacing w:line="360" w:lineRule="auto"/>
        <w:jc w:val="both"/>
        <w:rPr>
          <w:rFonts w:ascii="Palatino Linotype" w:eastAsia="Palatino Linotype" w:hAnsi="Palatino Linotype" w:cs="Palatino Linotype"/>
        </w:rPr>
      </w:pPr>
    </w:p>
    <w:p w14:paraId="6EAF944C" w14:textId="77777777" w:rsidR="001C2F7F" w:rsidRPr="00640A50" w:rsidRDefault="00640A50">
      <w:pPr>
        <w:tabs>
          <w:tab w:val="left" w:pos="567"/>
        </w:tabs>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No obstante,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los particulares, por lo que, los sujetos obligados deberán observar lo que establecen los artículos 169 y 170 de la Ley en la materia, que a la letra establecen lo siguiente: </w:t>
      </w:r>
    </w:p>
    <w:p w14:paraId="60D92051" w14:textId="77777777" w:rsidR="001C2F7F" w:rsidRPr="00640A50" w:rsidRDefault="001C2F7F">
      <w:pPr>
        <w:tabs>
          <w:tab w:val="left" w:pos="567"/>
        </w:tabs>
        <w:spacing w:line="360" w:lineRule="auto"/>
        <w:jc w:val="both"/>
        <w:rPr>
          <w:rFonts w:ascii="Palatino Linotype" w:eastAsia="Palatino Linotype" w:hAnsi="Palatino Linotype" w:cs="Palatino Linotype"/>
        </w:rPr>
      </w:pPr>
    </w:p>
    <w:p w14:paraId="04B9B53F"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169.</w:t>
      </w:r>
      <w:r w:rsidRPr="00640A50">
        <w:rPr>
          <w:rFonts w:ascii="Palatino Linotype" w:eastAsia="Palatino Linotype" w:hAnsi="Palatino Linotype" w:cs="Palatino Linotype"/>
          <w:i/>
          <w:sz w:val="22"/>
          <w:szCs w:val="22"/>
        </w:rPr>
        <w:t xml:space="preserve"> Cuando la información no se encuentre en los archivos del sujeto obligado, el Comité de Transparencia: </w:t>
      </w:r>
    </w:p>
    <w:p w14:paraId="636AE1FD"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 Analizará el caso y tomará las medidas necesarias para localizar la información; </w:t>
      </w:r>
    </w:p>
    <w:p w14:paraId="166C9848"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II. Expedirá una resolución que confirme la inexistencia del documento; </w:t>
      </w:r>
    </w:p>
    <w:p w14:paraId="5F1AAED0"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DB1454B"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34BC1F05"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w:t>
      </w:r>
    </w:p>
    <w:p w14:paraId="2FFED550" w14:textId="77777777" w:rsidR="001C2F7F" w:rsidRPr="00640A50" w:rsidRDefault="001C2F7F">
      <w:pPr>
        <w:spacing w:line="276" w:lineRule="auto"/>
        <w:ind w:left="567" w:right="567"/>
        <w:jc w:val="both"/>
        <w:rPr>
          <w:rFonts w:ascii="Palatino Linotype" w:eastAsia="Palatino Linotype" w:hAnsi="Palatino Linotype" w:cs="Palatino Linotype"/>
          <w:i/>
          <w:sz w:val="22"/>
          <w:szCs w:val="22"/>
        </w:rPr>
      </w:pPr>
    </w:p>
    <w:p w14:paraId="5E4A3760" w14:textId="77777777" w:rsidR="001C2F7F" w:rsidRPr="00640A50" w:rsidRDefault="00640A50">
      <w:pPr>
        <w:spacing w:line="276" w:lineRule="auto"/>
        <w:ind w:left="567" w:right="567"/>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170</w:t>
      </w:r>
      <w:r w:rsidRPr="00640A50">
        <w:rPr>
          <w:rFonts w:ascii="Palatino Linotype" w:eastAsia="Palatino Linotype" w:hAnsi="Palatino Linotype" w:cs="Palatino Linotype"/>
          <w:i/>
          <w:sz w:val="22"/>
          <w:szCs w:val="22"/>
        </w:rPr>
        <w:t xml:space="preserve">. La resolución del Comité de Transparencia que </w:t>
      </w:r>
      <w:r w:rsidRPr="00640A50">
        <w:rPr>
          <w:rFonts w:ascii="Palatino Linotype" w:eastAsia="Palatino Linotype" w:hAnsi="Palatino Linotype" w:cs="Palatino Linotype"/>
          <w:b/>
          <w:i/>
          <w:sz w:val="22"/>
          <w:szCs w:val="22"/>
          <w:u w:val="single"/>
        </w:rPr>
        <w:t xml:space="preserve">confirme la inexistencia de la información solicitada contendrá los elementos mínimos que permitan al solicitante tener la certeza de que se utilizó un criterio de búsqueda exhaustivo, además de señalar las circunstancias de tiempo, modo y lugar que generaron la </w:t>
      </w:r>
      <w:r w:rsidRPr="00640A50">
        <w:rPr>
          <w:rFonts w:ascii="Palatino Linotype" w:eastAsia="Palatino Linotype" w:hAnsi="Palatino Linotype" w:cs="Palatino Linotype"/>
          <w:b/>
          <w:i/>
          <w:sz w:val="22"/>
          <w:szCs w:val="22"/>
          <w:u w:val="single"/>
        </w:rPr>
        <w:lastRenderedPageBreak/>
        <w:t>existencia en cuestión y señalará al servidor público responsable de contar con la misma.” (Sic)</w:t>
      </w:r>
    </w:p>
    <w:p w14:paraId="603B4B7E" w14:textId="77777777" w:rsidR="001C2F7F" w:rsidRPr="00640A50" w:rsidRDefault="001C2F7F">
      <w:pPr>
        <w:spacing w:line="360" w:lineRule="auto"/>
        <w:jc w:val="both"/>
        <w:rPr>
          <w:rFonts w:ascii="Palatino Linotype" w:eastAsia="Palatino Linotype" w:hAnsi="Palatino Linotype" w:cs="Palatino Linotype"/>
        </w:rPr>
      </w:pPr>
    </w:p>
    <w:p w14:paraId="5DCC1702"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esta área le informara si los documentos solicitados habían causado baja documental, situación que en los presentes casos no aconteció. </w:t>
      </w:r>
    </w:p>
    <w:p w14:paraId="799B99B0" w14:textId="77777777" w:rsidR="001C2F7F" w:rsidRPr="00640A50" w:rsidRDefault="001C2F7F">
      <w:pPr>
        <w:spacing w:line="360" w:lineRule="auto"/>
        <w:jc w:val="both"/>
        <w:rPr>
          <w:rFonts w:ascii="Palatino Linotype" w:eastAsia="Palatino Linotype" w:hAnsi="Palatino Linotype" w:cs="Palatino Linotype"/>
        </w:rPr>
      </w:pPr>
    </w:p>
    <w:p w14:paraId="6163FFB4" w14:textId="77777777" w:rsidR="001C2F7F" w:rsidRPr="00640A50" w:rsidRDefault="00640A5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u w:val="single"/>
        </w:rPr>
      </w:pPr>
      <w:r w:rsidRPr="00640A50">
        <w:rPr>
          <w:rFonts w:ascii="Palatino Linotype" w:eastAsia="Palatino Linotype" w:hAnsi="Palatino Linotype" w:cs="Palatino Linotype"/>
          <w:b/>
          <w:u w:val="single"/>
        </w:rPr>
        <w:t>De la inexistencia de la información solicitada.</w:t>
      </w:r>
    </w:p>
    <w:p w14:paraId="54558584" w14:textId="77777777" w:rsidR="001C2F7F" w:rsidRPr="00640A50" w:rsidRDefault="001C2F7F">
      <w:pPr>
        <w:spacing w:line="360" w:lineRule="auto"/>
        <w:jc w:val="both"/>
        <w:rPr>
          <w:rFonts w:ascii="Palatino Linotype" w:eastAsia="Palatino Linotype" w:hAnsi="Palatino Linotype" w:cs="Palatino Linotype"/>
        </w:rPr>
      </w:pPr>
    </w:p>
    <w:p w14:paraId="6FEFECB8"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Dicho lo anterior, cabe mencionar que para el caso de que la información que se ordena no obre en los archivos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en primer lugar, se deberá acreditar el destino de la misma, es decir; para el presente caso, el Ayuntamiento de Cuautitlán Izcalli deberá precisar si esta se envió a su archivo histórico o se procedió a su baja permanente, asimismo, deberá señalar las circunstancias de modo, tiempo y lugar que precedieron a la inexistencia de la información, con la finalidad de otorgar certeza jurídica al Particular. </w:t>
      </w:r>
    </w:p>
    <w:p w14:paraId="625951E4"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Sirve de apoyo a lo anterior por analogía el Criterio 14-09 que emitió el Instituto Nacional de Transparencia, Acceso a la Información y Protección de Datos Personales que a la letra dice:</w:t>
      </w:r>
    </w:p>
    <w:p w14:paraId="17A78C32" w14:textId="77777777" w:rsidR="001C2F7F" w:rsidRPr="00640A50" w:rsidRDefault="001C2F7F">
      <w:pPr>
        <w:jc w:val="both"/>
        <w:rPr>
          <w:rFonts w:ascii="Palatino Linotype" w:eastAsia="Palatino Linotype" w:hAnsi="Palatino Linotype" w:cs="Palatino Linotype"/>
        </w:rPr>
      </w:pPr>
    </w:p>
    <w:p w14:paraId="11BA1104" w14:textId="77777777" w:rsidR="001C2F7F" w:rsidRPr="00640A50" w:rsidRDefault="00640A50">
      <w:pPr>
        <w:ind w:left="850" w:right="90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“Baja documental</w:t>
      </w:r>
      <w:r w:rsidRPr="00640A50">
        <w:rPr>
          <w:rFonts w:ascii="Palatino Linotype" w:eastAsia="Palatino Linotype" w:hAnsi="Palatino Linotype" w:cs="Palatino Linotype"/>
          <w:i/>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640A50">
        <w:rPr>
          <w:rFonts w:ascii="Palatino Linotype" w:eastAsia="Palatino Linotype" w:hAnsi="Palatino Linotype" w:cs="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640A50">
        <w:rPr>
          <w:rFonts w:ascii="Palatino Linotype" w:eastAsia="Palatino Linotype" w:hAnsi="Palatino Linotype" w:cs="Palatino Linotype"/>
          <w:i/>
          <w:sz w:val="22"/>
          <w:szCs w:val="22"/>
        </w:rPr>
        <w:t xml:space="preserve"> en todos aquellos casos en los que la normatividad en materia archivística prevea que la misma debe existir</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2A2B786F" w14:textId="77777777" w:rsidR="001C2F7F" w:rsidRPr="00640A50" w:rsidRDefault="001C2F7F">
      <w:pPr>
        <w:spacing w:line="360" w:lineRule="auto"/>
        <w:jc w:val="both"/>
        <w:rPr>
          <w:rFonts w:ascii="Palatino Linotype" w:eastAsia="Palatino Linotype" w:hAnsi="Palatino Linotype" w:cs="Palatino Linotype"/>
        </w:rPr>
      </w:pPr>
    </w:p>
    <w:p w14:paraId="60B7F3B8"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En tal caso, la declaratoria de inexistencia a que se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C0DB8EE" w14:textId="77777777" w:rsidR="001C2F7F" w:rsidRPr="00640A50" w:rsidRDefault="001C2F7F">
      <w:pPr>
        <w:shd w:val="clear" w:color="auto" w:fill="FFFFFF"/>
        <w:spacing w:line="360" w:lineRule="auto"/>
        <w:jc w:val="both"/>
        <w:rPr>
          <w:rFonts w:ascii="Palatino Linotype" w:eastAsia="Palatino Linotype" w:hAnsi="Palatino Linotype" w:cs="Palatino Linotype"/>
        </w:rPr>
      </w:pPr>
    </w:p>
    <w:p w14:paraId="057C4932" w14:textId="77777777" w:rsidR="001C2F7F" w:rsidRPr="00640A50" w:rsidRDefault="00640A50">
      <w:pPr>
        <w:shd w:val="clear" w:color="auto" w:fill="FFFFFF"/>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Asimismo, resulta aplicable el Criterio reiterado número </w:t>
      </w:r>
      <w:r w:rsidRPr="00640A50">
        <w:rPr>
          <w:rFonts w:ascii="Palatino Linotype" w:eastAsia="Palatino Linotype" w:hAnsi="Palatino Linotype" w:cs="Palatino Linotype"/>
          <w:b/>
        </w:rPr>
        <w:t>08/19</w:t>
      </w:r>
      <w:r w:rsidRPr="00640A50">
        <w:rPr>
          <w:rFonts w:ascii="Palatino Linotype" w:eastAsia="Palatino Linotype" w:hAnsi="Palatino Linotype" w:cs="Palatino Linotype"/>
        </w:rPr>
        <w:t xml:space="preserve"> emitido por Acuerdo del Pleno del Instituto de Transparencia y Acceso a la Información Pública del Estado de México y Municipios, que precisa:</w:t>
      </w:r>
    </w:p>
    <w:p w14:paraId="0C10C8A0" w14:textId="77777777" w:rsidR="001C2F7F" w:rsidRPr="00640A50" w:rsidRDefault="001C2F7F">
      <w:pPr>
        <w:shd w:val="clear" w:color="auto" w:fill="FFFFFF"/>
        <w:jc w:val="both"/>
        <w:rPr>
          <w:rFonts w:ascii="Palatino Linotype" w:eastAsia="Palatino Linotype" w:hAnsi="Palatino Linotype" w:cs="Palatino Linotype"/>
        </w:rPr>
      </w:pPr>
    </w:p>
    <w:p w14:paraId="7AED6435" w14:textId="77777777" w:rsidR="001C2F7F" w:rsidRPr="00640A50" w:rsidRDefault="00640A50">
      <w:pPr>
        <w:shd w:val="clear" w:color="auto" w:fill="FFFFFF"/>
        <w:ind w:left="851" w:right="902"/>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lastRenderedPageBreak/>
        <w:t>“INEXISTENCIA DE LA INFORMACIÓN. SUPUESTOS PARA EMITIR LA RESOLUCIÓN DE LA</w:t>
      </w:r>
      <w:r w:rsidRPr="00640A50">
        <w:rPr>
          <w:rFonts w:ascii="Palatino Linotype" w:eastAsia="Palatino Linotype" w:hAnsi="Palatino Linotype" w:cs="Palatino Linotype"/>
          <w:i/>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640A50">
        <w:rPr>
          <w:rFonts w:ascii="Palatino Linotype" w:eastAsia="Palatino Linotype" w:hAnsi="Palatino Linotype" w:cs="Palatino Linotype"/>
          <w:b/>
          <w:i/>
          <w:sz w:val="22"/>
          <w:szCs w:val="22"/>
        </w:rPr>
        <w:t>”</w:t>
      </w:r>
      <w:r w:rsidRPr="00640A50">
        <w:rPr>
          <w:rFonts w:ascii="Palatino Linotype" w:eastAsia="Palatino Linotype" w:hAnsi="Palatino Linotype" w:cs="Palatino Linotype"/>
          <w:i/>
          <w:sz w:val="22"/>
          <w:szCs w:val="22"/>
        </w:rPr>
        <w:t>(Sic)</w:t>
      </w:r>
    </w:p>
    <w:p w14:paraId="002A4D67" w14:textId="77777777" w:rsidR="001C2F7F" w:rsidRPr="00640A50" w:rsidRDefault="001C2F7F">
      <w:pPr>
        <w:spacing w:line="360" w:lineRule="auto"/>
        <w:jc w:val="both"/>
        <w:rPr>
          <w:rFonts w:ascii="Palatino Linotype" w:eastAsia="Palatino Linotype" w:hAnsi="Palatino Linotype" w:cs="Palatino Linotype"/>
          <w:i/>
          <w:sz w:val="22"/>
          <w:szCs w:val="22"/>
        </w:rPr>
      </w:pPr>
    </w:p>
    <w:p w14:paraId="71E81D8A"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70C22F04" w14:textId="77777777" w:rsidR="001C2F7F" w:rsidRPr="00640A50" w:rsidRDefault="001C2F7F">
      <w:pPr>
        <w:spacing w:line="360" w:lineRule="auto"/>
        <w:jc w:val="both"/>
        <w:rPr>
          <w:rFonts w:ascii="Palatino Linotype" w:eastAsia="Palatino Linotype" w:hAnsi="Palatino Linotype" w:cs="Palatino Linotype"/>
          <w:b/>
        </w:rPr>
      </w:pPr>
    </w:p>
    <w:p w14:paraId="6492ACA7"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lastRenderedPageBreak/>
        <w:t xml:space="preserve">Quinto. Versión Pública. </w:t>
      </w:r>
      <w:r w:rsidRPr="00640A50">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sin menoscabar el derecho a la protección de los datos personales de terceros.</w:t>
      </w:r>
    </w:p>
    <w:p w14:paraId="69F67AC7" w14:textId="77777777" w:rsidR="001C2F7F" w:rsidRPr="00640A50" w:rsidRDefault="00640A50">
      <w:pPr>
        <w:spacing w:before="240" w:after="240" w:line="360" w:lineRule="auto"/>
        <w:ind w:right="50"/>
        <w:jc w:val="both"/>
        <w:rPr>
          <w:rFonts w:ascii="Palatino Linotype" w:eastAsia="Palatino Linotype" w:hAnsi="Palatino Linotype" w:cs="Palatino Linotype"/>
        </w:rPr>
      </w:pPr>
      <w:r w:rsidRPr="00640A50">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FD104A7" w14:textId="77777777" w:rsidR="001C2F7F" w:rsidRPr="00640A50" w:rsidRDefault="00640A50">
      <w:pPr>
        <w:ind w:left="993" w:right="1041"/>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 xml:space="preserve"> “Artículo 3. Para los efectos de la presente Ley se entenderá por:</w:t>
      </w:r>
    </w:p>
    <w:p w14:paraId="00AC44C7"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IX. Datos personales:</w:t>
      </w:r>
      <w:r w:rsidRPr="00640A50">
        <w:rPr>
          <w:rFonts w:ascii="Palatino Linotype" w:eastAsia="Palatino Linotype" w:hAnsi="Palatino Linotype" w:cs="Palatino Linotype"/>
          <w:i/>
          <w:sz w:val="22"/>
          <w:szCs w:val="22"/>
        </w:rPr>
        <w:t xml:space="preserve"> </w:t>
      </w:r>
      <w:r w:rsidRPr="00640A50">
        <w:rPr>
          <w:rFonts w:ascii="Palatino Linotype" w:eastAsia="Palatino Linotype" w:hAnsi="Palatino Linotype" w:cs="Palatino Linotype"/>
          <w:b/>
          <w:i/>
          <w:sz w:val="22"/>
          <w:szCs w:val="22"/>
        </w:rPr>
        <w:t>La información concerniente a una persona, identificada o identificable</w:t>
      </w:r>
      <w:r w:rsidRPr="00640A50">
        <w:rPr>
          <w:rFonts w:ascii="Palatino Linotype" w:eastAsia="Palatino Linotype" w:hAnsi="Palatino Linotype" w:cs="Palatino Linotype"/>
          <w:i/>
          <w:sz w:val="22"/>
          <w:szCs w:val="22"/>
        </w:rPr>
        <w:t xml:space="preserve"> según lo dispuesto por la Ley de Protección de Datos Personales del Estado de México;</w:t>
      </w:r>
    </w:p>
    <w:p w14:paraId="6BD72C0E"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XX. Información clasificada:</w:t>
      </w:r>
      <w:r w:rsidRPr="00640A50">
        <w:rPr>
          <w:rFonts w:ascii="Palatino Linotype" w:eastAsia="Palatino Linotype" w:hAnsi="Palatino Linotype" w:cs="Palatino Linotype"/>
          <w:i/>
          <w:sz w:val="22"/>
          <w:szCs w:val="22"/>
        </w:rPr>
        <w:t xml:space="preserve"> Aquella considerada por la presente Ley como reservada o confidencial;</w:t>
      </w:r>
    </w:p>
    <w:p w14:paraId="38C203E8"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XXXII. Protección de Datos Personales:</w:t>
      </w:r>
      <w:r w:rsidRPr="00640A5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61CB32D"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XLV. Versión pública</w:t>
      </w:r>
      <w:r w:rsidRPr="00640A5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6127B4D" w14:textId="77777777" w:rsidR="001C2F7F" w:rsidRPr="00640A50" w:rsidRDefault="001C2F7F">
      <w:pPr>
        <w:ind w:left="993" w:right="1041"/>
        <w:jc w:val="both"/>
        <w:rPr>
          <w:rFonts w:ascii="Palatino Linotype" w:eastAsia="Palatino Linotype" w:hAnsi="Palatino Linotype" w:cs="Palatino Linotype"/>
          <w:i/>
          <w:sz w:val="22"/>
          <w:szCs w:val="22"/>
        </w:rPr>
      </w:pPr>
    </w:p>
    <w:p w14:paraId="5E10E40E"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6.</w:t>
      </w:r>
      <w:r w:rsidRPr="00640A5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640A50">
        <w:rPr>
          <w:rFonts w:ascii="Palatino Linotype" w:eastAsia="Palatino Linotype" w:hAnsi="Palatino Linotype" w:cs="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4909D7EF" w14:textId="77777777" w:rsidR="001C2F7F" w:rsidRPr="00640A50" w:rsidRDefault="001C2F7F">
      <w:pPr>
        <w:ind w:left="993" w:right="1041"/>
        <w:jc w:val="both"/>
        <w:rPr>
          <w:rFonts w:ascii="Palatino Linotype" w:eastAsia="Palatino Linotype" w:hAnsi="Palatino Linotype" w:cs="Palatino Linotype"/>
          <w:i/>
          <w:sz w:val="22"/>
          <w:szCs w:val="22"/>
        </w:rPr>
      </w:pPr>
    </w:p>
    <w:p w14:paraId="19ADC66A" w14:textId="77777777" w:rsidR="001C2F7F" w:rsidRPr="00640A50" w:rsidRDefault="00640A50">
      <w:pPr>
        <w:ind w:left="993" w:right="1041"/>
        <w:jc w:val="both"/>
        <w:rPr>
          <w:rFonts w:ascii="Palatino Linotype" w:eastAsia="Palatino Linotype" w:hAnsi="Palatino Linotype" w:cs="Palatino Linotype"/>
          <w:b/>
          <w:i/>
          <w:sz w:val="22"/>
          <w:szCs w:val="22"/>
        </w:rPr>
      </w:pPr>
      <w:r w:rsidRPr="00640A50">
        <w:rPr>
          <w:rFonts w:ascii="Palatino Linotype" w:eastAsia="Palatino Linotype" w:hAnsi="Palatino Linotype" w:cs="Palatino Linotype"/>
          <w:b/>
          <w:i/>
          <w:sz w:val="22"/>
          <w:szCs w:val="22"/>
        </w:rPr>
        <w:t>“Artículo 137.</w:t>
      </w:r>
      <w:r w:rsidRPr="00640A5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AA19B23" w14:textId="77777777" w:rsidR="001C2F7F" w:rsidRPr="00640A50" w:rsidRDefault="001C2F7F">
      <w:pPr>
        <w:ind w:left="993" w:right="1041"/>
        <w:jc w:val="both"/>
        <w:rPr>
          <w:rFonts w:ascii="Palatino Linotype" w:eastAsia="Palatino Linotype" w:hAnsi="Palatino Linotype" w:cs="Palatino Linotype"/>
          <w:b/>
          <w:i/>
          <w:sz w:val="22"/>
          <w:szCs w:val="22"/>
        </w:rPr>
      </w:pPr>
    </w:p>
    <w:p w14:paraId="64C96441"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143</w:t>
      </w:r>
      <w:r w:rsidRPr="00640A5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D1809F3"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I.</w:t>
      </w:r>
      <w:r w:rsidRPr="00640A5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E427E2D"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7EF6874" w14:textId="77777777" w:rsidR="001C2F7F" w:rsidRPr="00640A50" w:rsidRDefault="00640A50">
      <w:pPr>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686F764" w14:textId="77777777" w:rsidR="001C2F7F" w:rsidRPr="00640A50" w:rsidRDefault="001C2F7F">
      <w:pPr>
        <w:ind w:left="993" w:right="1041"/>
        <w:jc w:val="both"/>
        <w:rPr>
          <w:rFonts w:ascii="Palatino Linotype" w:eastAsia="Palatino Linotype" w:hAnsi="Palatino Linotype" w:cs="Palatino Linotype"/>
          <w:i/>
          <w:sz w:val="22"/>
          <w:szCs w:val="22"/>
        </w:rPr>
      </w:pPr>
    </w:p>
    <w:p w14:paraId="12CD9B96"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para satisfacer el derecho de acceso a la información pública de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w:t>
      </w:r>
      <w:r w:rsidRPr="00640A50">
        <w:rPr>
          <w:rFonts w:ascii="Palatino Linotype" w:eastAsia="Palatino Linotype" w:hAnsi="Palatino Linotype" w:cs="Palatino Linotype"/>
        </w:rPr>
        <w:lastRenderedPageBreak/>
        <w:t>o conlleven un riesgo grave para aquel de acuerdo a lo que señala la fracción XII del artículo 4 de la Ley de Protección de Datos Personales en Posesión de Sujetos Obligados del Estado de México.</w:t>
      </w:r>
    </w:p>
    <w:p w14:paraId="74D67E50" w14:textId="77777777" w:rsidR="001C2F7F" w:rsidRPr="00640A50" w:rsidRDefault="001C2F7F">
      <w:pPr>
        <w:spacing w:line="360" w:lineRule="auto"/>
        <w:ind w:right="51"/>
        <w:jc w:val="both"/>
        <w:rPr>
          <w:rFonts w:ascii="Palatino Linotype" w:eastAsia="Palatino Linotype" w:hAnsi="Palatino Linotype" w:cs="Palatino Linotype"/>
        </w:rPr>
      </w:pPr>
    </w:p>
    <w:p w14:paraId="63B8C570" w14:textId="77777777" w:rsidR="001C2F7F" w:rsidRPr="00640A50" w:rsidRDefault="00640A50">
      <w:pPr>
        <w:spacing w:line="360" w:lineRule="auto"/>
        <w:ind w:right="50"/>
        <w:jc w:val="both"/>
        <w:rPr>
          <w:rFonts w:ascii="Palatino Linotype" w:eastAsia="Palatino Linotype" w:hAnsi="Palatino Linotype" w:cs="Palatino Linotype"/>
        </w:rPr>
      </w:pPr>
      <w:r w:rsidRPr="00640A5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27B35A0" w14:textId="77777777" w:rsidR="001C2F7F" w:rsidRPr="00640A50" w:rsidRDefault="001C2F7F">
      <w:pPr>
        <w:spacing w:line="360" w:lineRule="auto"/>
        <w:ind w:right="50"/>
        <w:jc w:val="both"/>
        <w:rPr>
          <w:rFonts w:ascii="Palatino Linotype" w:eastAsia="Palatino Linotype" w:hAnsi="Palatino Linotype" w:cs="Palatino Linotype"/>
        </w:rPr>
      </w:pPr>
    </w:p>
    <w:p w14:paraId="0BC51019"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640A50">
        <w:rPr>
          <w:rFonts w:ascii="Palatino Linotype" w:eastAsia="Palatino Linotype" w:hAnsi="Palatino Linotype" w:cs="Palatino Linotype"/>
        </w:rPr>
        <w:t>Responsable</w:t>
      </w:r>
      <w:proofErr w:type="gramEnd"/>
      <w:r w:rsidRPr="00640A50">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20741D0" w14:textId="77777777" w:rsidR="001C2F7F" w:rsidRPr="00640A50" w:rsidRDefault="001C2F7F">
      <w:pPr>
        <w:spacing w:line="360" w:lineRule="auto"/>
        <w:ind w:right="51"/>
        <w:jc w:val="both"/>
        <w:rPr>
          <w:rFonts w:ascii="Palatino Linotype" w:eastAsia="Palatino Linotype" w:hAnsi="Palatino Linotype" w:cs="Palatino Linotype"/>
        </w:rPr>
      </w:pPr>
    </w:p>
    <w:p w14:paraId="0B747AEB" w14:textId="77777777" w:rsidR="001C2F7F" w:rsidRPr="00640A50" w:rsidRDefault="00640A50">
      <w:pPr>
        <w:ind w:left="992" w:right="1043"/>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49.</w:t>
      </w:r>
      <w:r w:rsidRPr="00640A50">
        <w:rPr>
          <w:rFonts w:ascii="Palatino Linotype" w:eastAsia="Palatino Linotype" w:hAnsi="Palatino Linotype" w:cs="Palatino Linotype"/>
          <w:i/>
          <w:sz w:val="22"/>
          <w:szCs w:val="22"/>
        </w:rPr>
        <w:t xml:space="preserve"> </w:t>
      </w:r>
      <w:r w:rsidRPr="00640A50">
        <w:rPr>
          <w:rFonts w:ascii="Palatino Linotype" w:eastAsia="Palatino Linotype" w:hAnsi="Palatino Linotype" w:cs="Palatino Linotype"/>
          <w:b/>
          <w:i/>
          <w:sz w:val="22"/>
          <w:szCs w:val="22"/>
        </w:rPr>
        <w:t>Los Comités de Transparencia</w:t>
      </w:r>
      <w:r w:rsidRPr="00640A50">
        <w:rPr>
          <w:rFonts w:ascii="Palatino Linotype" w:eastAsia="Palatino Linotype" w:hAnsi="Palatino Linotype" w:cs="Palatino Linotype"/>
          <w:i/>
          <w:sz w:val="22"/>
          <w:szCs w:val="22"/>
        </w:rPr>
        <w:t xml:space="preserve"> tendrán las siguientes atribuciones:</w:t>
      </w:r>
    </w:p>
    <w:p w14:paraId="0E9C3F3F" w14:textId="77777777" w:rsidR="001C2F7F" w:rsidRPr="00640A50" w:rsidRDefault="00640A50">
      <w:pPr>
        <w:ind w:left="992" w:right="1043"/>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VIII. Aprobar, modificar o revocar la clasificación de la información</w:t>
      </w:r>
      <w:r w:rsidRPr="00640A50">
        <w:rPr>
          <w:rFonts w:ascii="Palatino Linotype" w:eastAsia="Palatino Linotype" w:hAnsi="Palatino Linotype" w:cs="Palatino Linotype"/>
          <w:i/>
          <w:sz w:val="22"/>
          <w:szCs w:val="22"/>
        </w:rPr>
        <w:t>…”</w:t>
      </w:r>
    </w:p>
    <w:p w14:paraId="1B331E5E" w14:textId="77777777" w:rsidR="001C2F7F" w:rsidRPr="00640A50" w:rsidRDefault="00640A50">
      <w:pPr>
        <w:ind w:left="992" w:right="1043"/>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Artículo 53.</w:t>
      </w:r>
      <w:r w:rsidRPr="00640A50">
        <w:rPr>
          <w:rFonts w:ascii="Palatino Linotype" w:eastAsia="Palatino Linotype" w:hAnsi="Palatino Linotype" w:cs="Palatino Linotype"/>
          <w:i/>
          <w:sz w:val="22"/>
          <w:szCs w:val="22"/>
        </w:rPr>
        <w:t xml:space="preserve"> Las </w:t>
      </w:r>
      <w:r w:rsidRPr="00640A50">
        <w:rPr>
          <w:rFonts w:ascii="Palatino Linotype" w:eastAsia="Palatino Linotype" w:hAnsi="Palatino Linotype" w:cs="Palatino Linotype"/>
          <w:b/>
          <w:i/>
          <w:sz w:val="22"/>
          <w:szCs w:val="22"/>
        </w:rPr>
        <w:t>Unidades de Transparencia</w:t>
      </w:r>
      <w:r w:rsidRPr="00640A50">
        <w:rPr>
          <w:rFonts w:ascii="Palatino Linotype" w:eastAsia="Palatino Linotype" w:hAnsi="Palatino Linotype" w:cs="Palatino Linotype"/>
          <w:i/>
          <w:sz w:val="22"/>
          <w:szCs w:val="22"/>
        </w:rPr>
        <w:t xml:space="preserve"> tendrán las siguientes </w:t>
      </w:r>
      <w:r w:rsidRPr="00640A50">
        <w:rPr>
          <w:rFonts w:ascii="Palatino Linotype" w:eastAsia="Palatino Linotype" w:hAnsi="Palatino Linotype" w:cs="Palatino Linotype"/>
          <w:b/>
          <w:i/>
          <w:sz w:val="22"/>
          <w:szCs w:val="22"/>
        </w:rPr>
        <w:t>funciones</w:t>
      </w:r>
      <w:r w:rsidRPr="00640A50">
        <w:rPr>
          <w:rFonts w:ascii="Palatino Linotype" w:eastAsia="Palatino Linotype" w:hAnsi="Palatino Linotype" w:cs="Palatino Linotype"/>
          <w:i/>
          <w:sz w:val="22"/>
          <w:szCs w:val="22"/>
        </w:rPr>
        <w:t>:</w:t>
      </w:r>
    </w:p>
    <w:p w14:paraId="1320C4C2" w14:textId="77777777" w:rsidR="001C2F7F" w:rsidRPr="00640A50" w:rsidRDefault="00640A50">
      <w:pPr>
        <w:ind w:left="992" w:right="1043"/>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X. Presentar ante el Comité, el proyecto de clasificación de información</w:t>
      </w:r>
      <w:r w:rsidRPr="00640A50">
        <w:rPr>
          <w:rFonts w:ascii="Palatino Linotype" w:eastAsia="Palatino Linotype" w:hAnsi="Palatino Linotype" w:cs="Palatino Linotype"/>
          <w:i/>
          <w:sz w:val="22"/>
          <w:szCs w:val="22"/>
        </w:rPr>
        <w:t xml:space="preserve">…” </w:t>
      </w:r>
    </w:p>
    <w:p w14:paraId="6B28FA53" w14:textId="77777777" w:rsidR="001C2F7F" w:rsidRPr="00640A50" w:rsidRDefault="00640A50">
      <w:pPr>
        <w:ind w:left="992" w:right="1043"/>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t>“Artículo 59.</w:t>
      </w:r>
      <w:r w:rsidRPr="00640A50">
        <w:rPr>
          <w:rFonts w:ascii="Palatino Linotype" w:eastAsia="Palatino Linotype" w:hAnsi="Palatino Linotype" w:cs="Palatino Linotype"/>
          <w:i/>
          <w:sz w:val="22"/>
          <w:szCs w:val="22"/>
        </w:rPr>
        <w:t xml:space="preserve"> Los </w:t>
      </w:r>
      <w:r w:rsidRPr="00640A50">
        <w:rPr>
          <w:rFonts w:ascii="Palatino Linotype" w:eastAsia="Palatino Linotype" w:hAnsi="Palatino Linotype" w:cs="Palatino Linotype"/>
          <w:b/>
          <w:i/>
          <w:sz w:val="22"/>
          <w:szCs w:val="22"/>
        </w:rPr>
        <w:t>servidores públicos habilitados</w:t>
      </w:r>
      <w:r w:rsidRPr="00640A50">
        <w:rPr>
          <w:rFonts w:ascii="Palatino Linotype" w:eastAsia="Palatino Linotype" w:hAnsi="Palatino Linotype" w:cs="Palatino Linotype"/>
          <w:i/>
          <w:sz w:val="22"/>
          <w:szCs w:val="22"/>
        </w:rPr>
        <w:t xml:space="preserve"> tendrán las </w:t>
      </w:r>
      <w:r w:rsidRPr="00640A50">
        <w:rPr>
          <w:rFonts w:ascii="Palatino Linotype" w:eastAsia="Palatino Linotype" w:hAnsi="Palatino Linotype" w:cs="Palatino Linotype"/>
          <w:b/>
          <w:i/>
          <w:sz w:val="22"/>
          <w:szCs w:val="22"/>
        </w:rPr>
        <w:t>funciones</w:t>
      </w:r>
      <w:r w:rsidRPr="00640A50">
        <w:rPr>
          <w:rFonts w:ascii="Palatino Linotype" w:eastAsia="Palatino Linotype" w:hAnsi="Palatino Linotype" w:cs="Palatino Linotype"/>
          <w:i/>
          <w:sz w:val="22"/>
          <w:szCs w:val="22"/>
        </w:rPr>
        <w:t xml:space="preserve"> siguientes:</w:t>
      </w:r>
    </w:p>
    <w:p w14:paraId="1E1836AB" w14:textId="77777777" w:rsidR="001C2F7F" w:rsidRPr="00640A50" w:rsidRDefault="00640A50">
      <w:pPr>
        <w:ind w:left="992" w:right="1043"/>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640A50">
        <w:rPr>
          <w:rFonts w:ascii="Palatino Linotype" w:eastAsia="Palatino Linotype" w:hAnsi="Palatino Linotype" w:cs="Palatino Linotype"/>
          <w:i/>
          <w:sz w:val="22"/>
          <w:szCs w:val="22"/>
        </w:rPr>
        <w:t>, la cual tendrá los fundamentos y argumentos en que se basa dicha propuesta</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21F602FB" w14:textId="77777777" w:rsidR="001C2F7F" w:rsidRPr="00640A50" w:rsidRDefault="001C2F7F">
      <w:pPr>
        <w:ind w:left="992" w:right="1043"/>
        <w:jc w:val="both"/>
        <w:rPr>
          <w:rFonts w:ascii="Palatino Linotype" w:eastAsia="Palatino Linotype" w:hAnsi="Palatino Linotype" w:cs="Palatino Linotype"/>
          <w:i/>
          <w:sz w:val="22"/>
          <w:szCs w:val="22"/>
        </w:rPr>
      </w:pPr>
    </w:p>
    <w:p w14:paraId="75DD2E3F"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4429A3" w14:textId="77777777" w:rsidR="001C2F7F" w:rsidRPr="00640A50" w:rsidRDefault="001C2F7F">
      <w:pPr>
        <w:spacing w:line="360" w:lineRule="auto"/>
        <w:jc w:val="both"/>
        <w:rPr>
          <w:rFonts w:ascii="Palatino Linotype" w:eastAsia="Palatino Linotype" w:hAnsi="Palatino Linotype" w:cs="Palatino Linotype"/>
        </w:rPr>
      </w:pPr>
    </w:p>
    <w:p w14:paraId="6EFE2AB4"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7B92916" w14:textId="77777777" w:rsidR="001C2F7F" w:rsidRPr="00640A50" w:rsidRDefault="001C2F7F">
      <w:pPr>
        <w:spacing w:line="360" w:lineRule="auto"/>
        <w:jc w:val="both"/>
        <w:rPr>
          <w:rFonts w:ascii="Palatino Linotype" w:eastAsia="Palatino Linotype" w:hAnsi="Palatino Linotype" w:cs="Palatino Linotype"/>
        </w:rPr>
      </w:pPr>
    </w:p>
    <w:p w14:paraId="056A07D7" w14:textId="77777777" w:rsidR="001C2F7F" w:rsidRPr="00640A50" w:rsidRDefault="00640A50">
      <w:pPr>
        <w:spacing w:after="240"/>
        <w:ind w:left="993" w:right="1041"/>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w:t>
      </w:r>
      <w:r w:rsidRPr="00640A50">
        <w:rPr>
          <w:rFonts w:ascii="Palatino Linotype" w:eastAsia="Palatino Linotype" w:hAnsi="Palatino Linotype" w:cs="Palatino Linotype"/>
          <w:b/>
          <w:i/>
          <w:sz w:val="22"/>
          <w:szCs w:val="22"/>
        </w:rPr>
        <w:t>Artículo 149.</w:t>
      </w:r>
      <w:r w:rsidRPr="00640A50">
        <w:rPr>
          <w:rFonts w:ascii="Palatino Linotype" w:eastAsia="Palatino Linotype" w:hAnsi="Palatino Linotype" w:cs="Palatino Linotype"/>
          <w:i/>
          <w:sz w:val="22"/>
          <w:szCs w:val="22"/>
        </w:rPr>
        <w:t xml:space="preserve"> El </w:t>
      </w:r>
      <w:r w:rsidRPr="00640A50">
        <w:rPr>
          <w:rFonts w:ascii="Palatino Linotype" w:eastAsia="Palatino Linotype" w:hAnsi="Palatino Linotype" w:cs="Palatino Linotype"/>
          <w:b/>
          <w:i/>
          <w:sz w:val="22"/>
          <w:szCs w:val="22"/>
        </w:rPr>
        <w:t>acuerdo que clasifique la información como confidencial</w:t>
      </w:r>
      <w:r w:rsidRPr="00640A5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640A50">
        <w:rPr>
          <w:rFonts w:ascii="Palatino Linotype" w:eastAsia="Palatino Linotype" w:hAnsi="Palatino Linotype" w:cs="Palatino Linotype"/>
          <w:i/>
          <w:sz w:val="22"/>
          <w:szCs w:val="22"/>
        </w:rPr>
        <w:t>.”(</w:t>
      </w:r>
      <w:proofErr w:type="gramEnd"/>
      <w:r w:rsidRPr="00640A50">
        <w:rPr>
          <w:rFonts w:ascii="Palatino Linotype" w:eastAsia="Palatino Linotype" w:hAnsi="Palatino Linotype" w:cs="Palatino Linotype"/>
          <w:i/>
          <w:sz w:val="22"/>
          <w:szCs w:val="22"/>
        </w:rPr>
        <w:t>Sic)</w:t>
      </w:r>
    </w:p>
    <w:p w14:paraId="4FBB6439" w14:textId="77777777" w:rsidR="001C2F7F" w:rsidRPr="00640A50" w:rsidRDefault="001C2F7F">
      <w:pPr>
        <w:spacing w:before="240" w:line="360" w:lineRule="auto"/>
        <w:ind w:right="51"/>
        <w:jc w:val="both"/>
        <w:rPr>
          <w:rFonts w:ascii="Palatino Linotype" w:eastAsia="Palatino Linotype" w:hAnsi="Palatino Linotype" w:cs="Palatino Linotype"/>
          <w:i/>
          <w:sz w:val="22"/>
          <w:szCs w:val="22"/>
        </w:rPr>
      </w:pPr>
    </w:p>
    <w:p w14:paraId="6300C37C" w14:textId="77777777" w:rsidR="001C2F7F" w:rsidRPr="00640A50" w:rsidRDefault="00640A50">
      <w:pPr>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Es decir,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640A50">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F5851A7" w14:textId="77777777" w:rsidR="001C2F7F" w:rsidRPr="00640A50" w:rsidRDefault="001C2F7F">
      <w:pPr>
        <w:spacing w:line="360" w:lineRule="auto"/>
        <w:jc w:val="both"/>
        <w:rPr>
          <w:rFonts w:ascii="Palatino Linotype" w:eastAsia="Palatino Linotype" w:hAnsi="Palatino Linotype" w:cs="Palatino Linotype"/>
        </w:rPr>
      </w:pPr>
    </w:p>
    <w:p w14:paraId="6A4132D5"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Al respecto, se destaca que la versión pública que elabore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40A50">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40A50">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247F3F0" w14:textId="77777777" w:rsidR="001C2F7F" w:rsidRPr="00640A50" w:rsidRDefault="001C2F7F">
      <w:pPr>
        <w:ind w:left="709" w:right="709"/>
        <w:jc w:val="both"/>
        <w:rPr>
          <w:rFonts w:ascii="Palatino Linotype" w:eastAsia="Palatino Linotype" w:hAnsi="Palatino Linotype" w:cs="Palatino Linotype"/>
          <w:b/>
          <w:i/>
          <w:sz w:val="22"/>
          <w:szCs w:val="22"/>
        </w:rPr>
      </w:pPr>
    </w:p>
    <w:p w14:paraId="7D6620DD"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207C6F4"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w:t>
      </w:r>
      <w:proofErr w:type="gramStart"/>
      <w:r w:rsidRPr="00640A50">
        <w:rPr>
          <w:rFonts w:ascii="Palatino Linotype" w:eastAsia="Palatino Linotype" w:hAnsi="Palatino Linotype" w:cs="Palatino Linotype"/>
          <w:b/>
          <w:i/>
          <w:sz w:val="22"/>
          <w:szCs w:val="22"/>
        </w:rPr>
        <w:t>Segundo.-</w:t>
      </w:r>
      <w:proofErr w:type="gramEnd"/>
      <w:r w:rsidRPr="00640A50">
        <w:rPr>
          <w:rFonts w:ascii="Palatino Linotype" w:eastAsia="Palatino Linotype" w:hAnsi="Palatino Linotype" w:cs="Palatino Linotype"/>
          <w:i/>
          <w:sz w:val="22"/>
          <w:szCs w:val="22"/>
        </w:rPr>
        <w:t xml:space="preserve"> Para efectos de los presentes Lineamientos Generales, se entenderá por:</w:t>
      </w:r>
    </w:p>
    <w:p w14:paraId="0F686479"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XVIII.</w:t>
      </w:r>
      <w:r w:rsidRPr="00640A50">
        <w:rPr>
          <w:rFonts w:ascii="Palatino Linotype" w:eastAsia="Palatino Linotype" w:hAnsi="Palatino Linotype" w:cs="Palatino Linotype"/>
          <w:i/>
          <w:sz w:val="22"/>
          <w:szCs w:val="22"/>
        </w:rPr>
        <w:t xml:space="preserve"> </w:t>
      </w:r>
      <w:r w:rsidRPr="00640A50">
        <w:rPr>
          <w:rFonts w:ascii="Palatino Linotype" w:eastAsia="Palatino Linotype" w:hAnsi="Palatino Linotype" w:cs="Palatino Linotype"/>
          <w:b/>
          <w:i/>
          <w:sz w:val="22"/>
          <w:szCs w:val="22"/>
        </w:rPr>
        <w:t>Versión pública:</w:t>
      </w:r>
      <w:r w:rsidRPr="00640A5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40A50">
        <w:rPr>
          <w:rFonts w:ascii="Palatino Linotype" w:eastAsia="Palatino Linotype" w:hAnsi="Palatino Linotype" w:cs="Palatino Linotype"/>
          <w:b/>
          <w:i/>
          <w:sz w:val="22"/>
          <w:szCs w:val="22"/>
          <w:u w:val="single"/>
        </w:rPr>
        <w:t>fundando y motivando la</w:t>
      </w:r>
      <w:r w:rsidRPr="00640A50">
        <w:rPr>
          <w:rFonts w:ascii="Palatino Linotype" w:eastAsia="Palatino Linotype" w:hAnsi="Palatino Linotype" w:cs="Palatino Linotype"/>
          <w:i/>
          <w:sz w:val="22"/>
          <w:szCs w:val="22"/>
        </w:rPr>
        <w:t xml:space="preserve"> reserva o </w:t>
      </w:r>
      <w:r w:rsidRPr="00640A50">
        <w:rPr>
          <w:rFonts w:ascii="Palatino Linotype" w:eastAsia="Palatino Linotype" w:hAnsi="Palatino Linotype" w:cs="Palatino Linotype"/>
          <w:b/>
          <w:i/>
          <w:sz w:val="22"/>
          <w:szCs w:val="22"/>
          <w:u w:val="single"/>
        </w:rPr>
        <w:lastRenderedPageBreak/>
        <w:t>confidencialidad</w:t>
      </w:r>
      <w:r w:rsidRPr="00640A50">
        <w:rPr>
          <w:rFonts w:ascii="Palatino Linotype" w:eastAsia="Palatino Linotype" w:hAnsi="Palatino Linotype" w:cs="Palatino Linotype"/>
          <w:i/>
          <w:sz w:val="22"/>
          <w:szCs w:val="22"/>
        </w:rPr>
        <w:t>, a través de la resolución que para tal efecto emita el Comité de Transparencia.</w:t>
      </w:r>
    </w:p>
    <w:p w14:paraId="32E323AA"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Cuarto.</w:t>
      </w:r>
      <w:r w:rsidRPr="00640A5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DC02F4"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96A2E71"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Quinto.</w:t>
      </w:r>
      <w:r w:rsidRPr="00640A5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84A328"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w:t>
      </w:r>
    </w:p>
    <w:p w14:paraId="607403E8"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Séptimo.</w:t>
      </w:r>
      <w:r w:rsidRPr="00640A50">
        <w:rPr>
          <w:rFonts w:ascii="Palatino Linotype" w:eastAsia="Palatino Linotype" w:hAnsi="Palatino Linotype" w:cs="Palatino Linotype"/>
          <w:i/>
          <w:sz w:val="22"/>
          <w:szCs w:val="22"/>
        </w:rPr>
        <w:t xml:space="preserve"> La clasificación de la información se llevará a cabo en el momento en que:</w:t>
      </w:r>
    </w:p>
    <w:p w14:paraId="5DC6B4F8"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I.</w:t>
      </w:r>
      <w:r w:rsidRPr="00640A50">
        <w:rPr>
          <w:rFonts w:ascii="Palatino Linotype" w:eastAsia="Palatino Linotype" w:hAnsi="Palatino Linotype" w:cs="Palatino Linotype"/>
          <w:i/>
          <w:sz w:val="22"/>
          <w:szCs w:val="22"/>
        </w:rPr>
        <w:t xml:space="preserve"> Se reciba una solicitud de acceso a la información;</w:t>
      </w:r>
    </w:p>
    <w:p w14:paraId="2B197832"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II.</w:t>
      </w:r>
      <w:r w:rsidRPr="00640A50">
        <w:rPr>
          <w:rFonts w:ascii="Palatino Linotype" w:eastAsia="Palatino Linotype" w:hAnsi="Palatino Linotype" w:cs="Palatino Linotype"/>
          <w:i/>
          <w:sz w:val="22"/>
          <w:szCs w:val="22"/>
        </w:rPr>
        <w:t xml:space="preserve"> Se determine mediante resolución de autoridad competente, o</w:t>
      </w:r>
    </w:p>
    <w:p w14:paraId="0B24D170"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III.</w:t>
      </w:r>
      <w:r w:rsidRPr="00640A5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E835CCD"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08BF745"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Octavo.</w:t>
      </w:r>
      <w:r w:rsidRPr="00640A5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99E0E5"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E5567F7"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D82401A"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8E20954"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328C93DD"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Noveno.</w:t>
      </w:r>
      <w:r w:rsidRPr="00640A5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114F8A"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Décimo.</w:t>
      </w:r>
      <w:r w:rsidRPr="00640A5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1253B32"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C5CD3BE"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b/>
          <w:i/>
          <w:sz w:val="22"/>
          <w:szCs w:val="22"/>
        </w:rPr>
        <w:t>Décimo primero.</w:t>
      </w:r>
      <w:r w:rsidRPr="00640A5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33ED20" w14:textId="77777777" w:rsidR="001C2F7F" w:rsidRPr="00640A50" w:rsidRDefault="00640A50">
      <w:pPr>
        <w:pBdr>
          <w:top w:val="nil"/>
          <w:left w:val="nil"/>
          <w:bottom w:val="nil"/>
          <w:right w:val="nil"/>
          <w:between w:val="nil"/>
        </w:pBdr>
        <w:ind w:left="709" w:right="709"/>
        <w:jc w:val="both"/>
      </w:pPr>
      <w:r w:rsidRPr="00640A50">
        <w:rPr>
          <w:rFonts w:ascii="Palatino Linotype" w:eastAsia="Palatino Linotype" w:hAnsi="Palatino Linotype" w:cs="Palatino Linotype"/>
          <w:i/>
          <w:sz w:val="22"/>
          <w:szCs w:val="22"/>
        </w:rPr>
        <w:t>[…]</w:t>
      </w:r>
    </w:p>
    <w:p w14:paraId="731CBAF1" w14:textId="77777777" w:rsidR="001C2F7F" w:rsidRPr="00640A50" w:rsidRDefault="00640A50">
      <w:pPr>
        <w:pBdr>
          <w:top w:val="nil"/>
          <w:left w:val="nil"/>
          <w:bottom w:val="nil"/>
          <w:right w:val="nil"/>
          <w:between w:val="nil"/>
        </w:pBdr>
        <w:ind w:left="709" w:right="709"/>
        <w:jc w:val="center"/>
      </w:pPr>
      <w:r w:rsidRPr="00640A50">
        <w:rPr>
          <w:rFonts w:ascii="Palatino Linotype" w:eastAsia="Palatino Linotype" w:hAnsi="Palatino Linotype" w:cs="Palatino Linotype"/>
          <w:b/>
          <w:i/>
          <w:sz w:val="22"/>
          <w:szCs w:val="22"/>
        </w:rPr>
        <w:t>CAPÍTULO VIII</w:t>
      </w:r>
    </w:p>
    <w:p w14:paraId="303C92FB" w14:textId="77777777" w:rsidR="001C2F7F" w:rsidRPr="00640A50" w:rsidRDefault="00640A50">
      <w:pPr>
        <w:pBdr>
          <w:top w:val="nil"/>
          <w:left w:val="nil"/>
          <w:bottom w:val="nil"/>
          <w:right w:val="nil"/>
          <w:between w:val="nil"/>
        </w:pBdr>
        <w:ind w:left="709" w:right="709"/>
        <w:jc w:val="center"/>
      </w:pPr>
      <w:r w:rsidRPr="00640A50">
        <w:rPr>
          <w:rFonts w:ascii="Palatino Linotype" w:eastAsia="Palatino Linotype" w:hAnsi="Palatino Linotype" w:cs="Palatino Linotype"/>
          <w:b/>
          <w:i/>
          <w:sz w:val="22"/>
          <w:szCs w:val="22"/>
        </w:rPr>
        <w:t>DE LA LEYENDA DE CLASIFICACIÓN</w:t>
      </w:r>
    </w:p>
    <w:p w14:paraId="1EDF8286" w14:textId="77777777" w:rsidR="001C2F7F" w:rsidRPr="00640A50" w:rsidRDefault="00640A50">
      <w:pPr>
        <w:pBdr>
          <w:top w:val="nil"/>
          <w:left w:val="nil"/>
          <w:bottom w:val="nil"/>
          <w:right w:val="nil"/>
          <w:between w:val="nil"/>
        </w:pBdr>
        <w:spacing w:after="160"/>
        <w:ind w:left="709" w:right="709"/>
        <w:jc w:val="both"/>
      </w:pPr>
      <w:r w:rsidRPr="00640A50">
        <w:rPr>
          <w:rFonts w:ascii="Palatino Linotype" w:eastAsia="Palatino Linotype" w:hAnsi="Palatino Linotype" w:cs="Palatino Linotype"/>
          <w:b/>
          <w:i/>
          <w:sz w:val="22"/>
          <w:szCs w:val="22"/>
        </w:rPr>
        <w:t>Quincuagésimo</w:t>
      </w:r>
      <w:r w:rsidRPr="00640A5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w:t>
      </w:r>
      <w:proofErr w:type="gramStart"/>
      <w:r w:rsidRPr="00640A50">
        <w:rPr>
          <w:rFonts w:ascii="Palatino Linotype" w:eastAsia="Palatino Linotype" w:hAnsi="Palatino Linotype" w:cs="Palatino Linotype"/>
          <w:i/>
          <w:sz w:val="22"/>
          <w:szCs w:val="22"/>
        </w:rPr>
        <w:t>Generales..</w:t>
      </w:r>
      <w:proofErr w:type="gramEnd"/>
    </w:p>
    <w:p w14:paraId="7F9F1243" w14:textId="77777777" w:rsidR="001C2F7F" w:rsidRPr="00640A50" w:rsidRDefault="00640A50">
      <w:pPr>
        <w:pBdr>
          <w:top w:val="nil"/>
          <w:left w:val="nil"/>
          <w:bottom w:val="nil"/>
          <w:right w:val="nil"/>
          <w:between w:val="nil"/>
        </w:pBdr>
        <w:spacing w:after="160"/>
        <w:ind w:left="709" w:right="709"/>
        <w:jc w:val="both"/>
      </w:pPr>
      <w:r w:rsidRPr="00640A50">
        <w:rPr>
          <w:rFonts w:ascii="Palatino Linotype" w:eastAsia="Palatino Linotype" w:hAnsi="Palatino Linotype" w:cs="Palatino Linotype"/>
          <w:i/>
          <w:sz w:val="22"/>
          <w:szCs w:val="22"/>
        </w:rPr>
        <w:t>[…]</w:t>
      </w:r>
    </w:p>
    <w:p w14:paraId="148C8E67" w14:textId="77777777" w:rsidR="001C2F7F" w:rsidRPr="00640A50" w:rsidRDefault="00640A50">
      <w:pPr>
        <w:pBdr>
          <w:top w:val="nil"/>
          <w:left w:val="nil"/>
          <w:bottom w:val="nil"/>
          <w:right w:val="nil"/>
          <w:between w:val="nil"/>
        </w:pBdr>
        <w:spacing w:after="160"/>
        <w:ind w:left="709" w:right="709"/>
        <w:jc w:val="both"/>
      </w:pPr>
      <w:r w:rsidRPr="00640A50">
        <w:rPr>
          <w:rFonts w:ascii="Palatino Linotype" w:eastAsia="Palatino Linotype" w:hAnsi="Palatino Linotype" w:cs="Palatino Linotype"/>
          <w:b/>
          <w:i/>
          <w:sz w:val="22"/>
          <w:szCs w:val="22"/>
        </w:rPr>
        <w:t xml:space="preserve">Quincuagésimo tercero. </w:t>
      </w:r>
      <w:r w:rsidRPr="00640A50">
        <w:rPr>
          <w:rFonts w:ascii="Palatino Linotype" w:eastAsia="Palatino Linotype" w:hAnsi="Palatino Linotype" w:cs="Palatino Linotype"/>
          <w:b/>
          <w:i/>
          <w:sz w:val="22"/>
          <w:szCs w:val="22"/>
          <w:u w:val="single"/>
        </w:rPr>
        <w:t>El formato para señalar la clasificación parcial de un documento</w:t>
      </w:r>
      <w:r w:rsidRPr="00640A50">
        <w:rPr>
          <w:rFonts w:ascii="Palatino Linotype" w:eastAsia="Palatino Linotype" w:hAnsi="Palatino Linotype" w:cs="Palatino Linotype"/>
          <w:i/>
          <w:sz w:val="22"/>
          <w:szCs w:val="22"/>
        </w:rPr>
        <w:t>, es el siguiente:</w:t>
      </w:r>
    </w:p>
    <w:tbl>
      <w:tblPr>
        <w:tblStyle w:val="af1"/>
        <w:tblW w:w="8833" w:type="dxa"/>
        <w:jc w:val="center"/>
        <w:tblInd w:w="0" w:type="dxa"/>
        <w:tblLayout w:type="fixed"/>
        <w:tblLook w:val="0400" w:firstRow="0" w:lastRow="0" w:firstColumn="0" w:lastColumn="0" w:noHBand="0" w:noVBand="1"/>
      </w:tblPr>
      <w:tblGrid>
        <w:gridCol w:w="1660"/>
        <w:gridCol w:w="1980"/>
        <w:gridCol w:w="5193"/>
      </w:tblGrid>
      <w:tr w:rsidR="00640A50" w:rsidRPr="00640A50" w14:paraId="3984D533"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F3FB4D8" w14:textId="77777777" w:rsidR="001C2F7F" w:rsidRPr="00640A50" w:rsidRDefault="001C2F7F"/>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9C1D8"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E7394"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b/>
                <w:i/>
              </w:rPr>
              <w:t>Dónde:</w:t>
            </w:r>
          </w:p>
        </w:tc>
      </w:tr>
      <w:tr w:rsidR="00640A50" w:rsidRPr="00640A50" w14:paraId="750B60B6"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3D69A"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C99F4"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AEE78"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anotará la fecha en la que el Comité de Transparencia confirmó la clasificación del documento, en su caso.</w:t>
            </w:r>
          </w:p>
        </w:tc>
      </w:tr>
      <w:tr w:rsidR="00640A50" w:rsidRPr="00640A50" w14:paraId="7E424DE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A0E44"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2331F"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02618"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señalará el nombre del área del cual es titular quien clasifica.</w:t>
            </w:r>
          </w:p>
        </w:tc>
      </w:tr>
      <w:tr w:rsidR="00640A50" w:rsidRPr="00640A50" w14:paraId="2B2D063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328AD"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C50A4"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E443F"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40A50" w:rsidRPr="00640A50" w14:paraId="35A41B5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546A4E"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F3BFB"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CD996"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anotará el número de años o meses por los que se mantendrá el documento o las partes del mismo como reservado.</w:t>
            </w:r>
          </w:p>
        </w:tc>
      </w:tr>
      <w:tr w:rsidR="00640A50" w:rsidRPr="00640A50" w14:paraId="6DA3ADD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8EBBB"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86810"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CDC7E"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señalará el nombre del ordenamiento, el o los artículos, fracción(es), párrafo(s) con base en los cuales se sustente la reserva.</w:t>
            </w:r>
          </w:p>
        </w:tc>
      </w:tr>
      <w:tr w:rsidR="00640A50" w:rsidRPr="00640A50" w14:paraId="09EC8E6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98F9"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96525"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A0A5D"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640A50" w:rsidRPr="00640A50" w14:paraId="212BE78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1F6ECA"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A1AC3"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1B3CE"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40A50" w:rsidRPr="00640A50" w14:paraId="1CD6467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E5CCB"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AB269"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3B37BF"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640A50" w:rsidRPr="00640A50" w14:paraId="368A81A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5955C2"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BE537"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D564D8"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Rúbrica autógrafa de quien clasifica.</w:t>
            </w:r>
          </w:p>
        </w:tc>
      </w:tr>
      <w:tr w:rsidR="00640A50" w:rsidRPr="00640A50" w14:paraId="52100DA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9D56BB"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54D6E"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8346D" w14:textId="77777777" w:rsidR="001C2F7F" w:rsidRPr="00640A50" w:rsidRDefault="00640A50">
            <w:pPr>
              <w:pBdr>
                <w:top w:val="nil"/>
                <w:left w:val="nil"/>
                <w:bottom w:val="nil"/>
                <w:right w:val="nil"/>
                <w:between w:val="nil"/>
              </w:pBdr>
              <w:jc w:val="both"/>
            </w:pPr>
            <w:r w:rsidRPr="00640A50">
              <w:rPr>
                <w:rFonts w:ascii="Palatino Linotype" w:eastAsia="Palatino Linotype" w:hAnsi="Palatino Linotype" w:cs="Palatino Linotype"/>
                <w:i/>
              </w:rPr>
              <w:t>Se anotará la fecha en que se desclasifica el documento.</w:t>
            </w:r>
          </w:p>
        </w:tc>
      </w:tr>
      <w:tr w:rsidR="00640A50" w:rsidRPr="00640A50" w14:paraId="304AC1C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936D2" w14:textId="77777777" w:rsidR="001C2F7F" w:rsidRPr="00640A50" w:rsidRDefault="001C2F7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8E26B" w14:textId="77777777" w:rsidR="001C2F7F" w:rsidRPr="00640A50" w:rsidRDefault="00640A50">
            <w:pPr>
              <w:pBdr>
                <w:top w:val="nil"/>
                <w:left w:val="nil"/>
                <w:bottom w:val="nil"/>
                <w:right w:val="nil"/>
                <w:between w:val="nil"/>
              </w:pBdr>
              <w:jc w:val="center"/>
            </w:pPr>
            <w:r w:rsidRPr="00640A50">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42EB53" w14:textId="77777777" w:rsidR="001C2F7F" w:rsidRPr="00640A50" w:rsidRDefault="00640A50">
            <w:pPr>
              <w:pBdr>
                <w:top w:val="nil"/>
                <w:left w:val="nil"/>
                <w:bottom w:val="nil"/>
                <w:right w:val="nil"/>
                <w:between w:val="nil"/>
              </w:pBdr>
            </w:pPr>
            <w:r w:rsidRPr="00640A50">
              <w:rPr>
                <w:rFonts w:ascii="Palatino Linotype" w:eastAsia="Palatino Linotype" w:hAnsi="Palatino Linotype" w:cs="Palatino Linotype"/>
                <w:i/>
              </w:rPr>
              <w:t>Rúbrica autógrafa de quien desclasifica.</w:t>
            </w:r>
          </w:p>
        </w:tc>
      </w:tr>
    </w:tbl>
    <w:p w14:paraId="3EF95F24" w14:textId="77777777" w:rsidR="001C2F7F" w:rsidRPr="00640A50" w:rsidRDefault="001C2F7F"/>
    <w:p w14:paraId="7FC3AC1C"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10AEABAE" w14:textId="77777777" w:rsidR="001C2F7F" w:rsidRPr="00640A50" w:rsidRDefault="001C2F7F">
      <w:pPr>
        <w:spacing w:line="360" w:lineRule="auto"/>
        <w:jc w:val="both"/>
        <w:rPr>
          <w:rFonts w:ascii="Palatino Linotype" w:eastAsia="Palatino Linotype" w:hAnsi="Palatino Linotype" w:cs="Palatino Linotype"/>
        </w:rPr>
      </w:pPr>
    </w:p>
    <w:p w14:paraId="17FCEF48" w14:textId="77777777" w:rsidR="001C2F7F" w:rsidRPr="00640A50" w:rsidRDefault="00640A50">
      <w:pPr>
        <w:shd w:val="clear" w:color="auto" w:fill="FFFFFF"/>
        <w:spacing w:line="360" w:lineRule="auto"/>
        <w:ind w:right="51"/>
        <w:jc w:val="both"/>
        <w:rPr>
          <w:rFonts w:ascii="Palatino Linotype" w:eastAsia="Palatino Linotype" w:hAnsi="Palatino Linotype" w:cs="Palatino Linotype"/>
        </w:rPr>
      </w:pPr>
      <w:r w:rsidRPr="00640A5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w:t>
      </w:r>
    </w:p>
    <w:p w14:paraId="5D74520E" w14:textId="77777777" w:rsidR="001C2F7F" w:rsidRPr="00640A50" w:rsidRDefault="001C2F7F">
      <w:pPr>
        <w:spacing w:line="360" w:lineRule="auto"/>
        <w:jc w:val="both"/>
        <w:rPr>
          <w:rFonts w:ascii="Palatino Linotype" w:eastAsia="Palatino Linotype" w:hAnsi="Palatino Linotype" w:cs="Palatino Linotype"/>
        </w:rPr>
      </w:pPr>
    </w:p>
    <w:p w14:paraId="527CC611"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7C751FF" w14:textId="77777777" w:rsidR="001C2F7F" w:rsidRPr="00640A50" w:rsidRDefault="00640A50">
      <w:pPr>
        <w:spacing w:before="240" w:after="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rPr>
        <w:lastRenderedPageBreak/>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4A1529E" w14:textId="77777777" w:rsidR="001C2F7F" w:rsidRPr="00640A50" w:rsidRDefault="00640A50">
      <w:pPr>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640A50">
        <w:rPr>
          <w:rFonts w:ascii="Palatino Linotype" w:eastAsia="Palatino Linotype" w:hAnsi="Palatino Linotype" w:cs="Palatino Linotype"/>
          <w:b/>
          <w:sz w:val="22"/>
          <w:szCs w:val="22"/>
        </w:rPr>
        <w:t>R E S U E L V E:</w:t>
      </w:r>
    </w:p>
    <w:p w14:paraId="4BEB4CF7"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Primero. </w:t>
      </w:r>
      <w:r w:rsidRPr="00640A50">
        <w:rPr>
          <w:rFonts w:ascii="Palatino Linotype" w:eastAsia="Palatino Linotype" w:hAnsi="Palatino Linotype" w:cs="Palatino Linotype"/>
        </w:rPr>
        <w:t>Resulta</w:t>
      </w:r>
      <w:r w:rsidRPr="00640A50">
        <w:rPr>
          <w:rFonts w:ascii="Palatino Linotype" w:eastAsia="Palatino Linotype" w:hAnsi="Palatino Linotype" w:cs="Palatino Linotype"/>
          <w:b/>
        </w:rPr>
        <w:t xml:space="preserve"> </w:t>
      </w:r>
      <w:r w:rsidRPr="00640A50">
        <w:rPr>
          <w:rFonts w:ascii="Palatino Linotype" w:eastAsia="Palatino Linotype" w:hAnsi="Palatino Linotype" w:cs="Palatino Linotype"/>
        </w:rPr>
        <w:t xml:space="preserve">parcialmente </w:t>
      </w:r>
      <w:r w:rsidRPr="00640A50">
        <w:rPr>
          <w:rFonts w:ascii="Palatino Linotype" w:eastAsia="Palatino Linotype" w:hAnsi="Palatino Linotype" w:cs="Palatino Linotype"/>
          <w:b/>
        </w:rPr>
        <w:t>FUNDADO</w:t>
      </w:r>
      <w:r w:rsidRPr="00640A50">
        <w:rPr>
          <w:rFonts w:ascii="Palatino Linotype" w:eastAsia="Palatino Linotype" w:hAnsi="Palatino Linotype" w:cs="Palatino Linotype"/>
        </w:rPr>
        <w:t xml:space="preserve"> el motivo de inconformidad hecho valer por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en el Recurso de Revisión </w:t>
      </w:r>
      <w:r w:rsidRPr="00640A50">
        <w:rPr>
          <w:rFonts w:ascii="Palatino Linotype" w:eastAsia="Palatino Linotype" w:hAnsi="Palatino Linotype" w:cs="Palatino Linotype"/>
          <w:b/>
        </w:rPr>
        <w:t xml:space="preserve">17394/INFOEM/IP/RR/2022, </w:t>
      </w:r>
      <w:r w:rsidRPr="00640A50">
        <w:rPr>
          <w:rFonts w:ascii="Palatino Linotype" w:eastAsia="Palatino Linotype" w:hAnsi="Palatino Linotype" w:cs="Palatino Linotype"/>
        </w:rPr>
        <w:t xml:space="preserve">por lo que, en términos del considerando </w:t>
      </w:r>
      <w:r w:rsidRPr="00640A50">
        <w:rPr>
          <w:rFonts w:ascii="Palatino Linotype" w:eastAsia="Palatino Linotype" w:hAnsi="Palatino Linotype" w:cs="Palatino Linotype"/>
          <w:b/>
        </w:rPr>
        <w:t xml:space="preserve">Cuarto </w:t>
      </w:r>
      <w:r w:rsidRPr="00640A50">
        <w:rPr>
          <w:rFonts w:ascii="Palatino Linotype" w:eastAsia="Palatino Linotype" w:hAnsi="Palatino Linotype" w:cs="Palatino Linotype"/>
        </w:rPr>
        <w:t xml:space="preserve">de esta resolución, se </w:t>
      </w:r>
      <w:r w:rsidRPr="00640A50">
        <w:rPr>
          <w:rFonts w:ascii="Palatino Linotype" w:eastAsia="Palatino Linotype" w:hAnsi="Palatino Linotype" w:cs="Palatino Linotype"/>
          <w:b/>
        </w:rPr>
        <w:t xml:space="preserve">MODIFICA </w:t>
      </w:r>
      <w:r w:rsidRPr="00640A50">
        <w:rPr>
          <w:rFonts w:ascii="Palatino Linotype" w:eastAsia="Palatino Linotype" w:hAnsi="Palatino Linotype" w:cs="Palatino Linotype"/>
        </w:rPr>
        <w:t xml:space="preserve">la respuesta emitida por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w:t>
      </w:r>
    </w:p>
    <w:p w14:paraId="1CF48A35" w14:textId="77777777" w:rsidR="001C2F7F" w:rsidRPr="00640A50" w:rsidRDefault="001C2F7F">
      <w:pPr>
        <w:spacing w:line="360" w:lineRule="auto"/>
        <w:ind w:right="49"/>
        <w:jc w:val="both"/>
        <w:rPr>
          <w:rFonts w:ascii="Palatino Linotype" w:eastAsia="Palatino Linotype" w:hAnsi="Palatino Linotype" w:cs="Palatino Linotype"/>
          <w:b/>
        </w:rPr>
      </w:pPr>
    </w:p>
    <w:p w14:paraId="6C66CB00" w14:textId="77777777" w:rsidR="001C2F7F" w:rsidRPr="00640A50" w:rsidRDefault="00640A50">
      <w:pPr>
        <w:spacing w:line="360" w:lineRule="auto"/>
        <w:ind w:right="49"/>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Segundo. </w:t>
      </w:r>
      <w:r w:rsidRPr="00640A50">
        <w:rPr>
          <w:rFonts w:ascii="Palatino Linotype" w:eastAsia="Palatino Linotype" w:hAnsi="Palatino Linotype" w:cs="Palatino Linotype"/>
        </w:rPr>
        <w:t>Se</w:t>
      </w:r>
      <w:r w:rsidRPr="00640A50">
        <w:rPr>
          <w:rFonts w:ascii="Palatino Linotype" w:eastAsia="Palatino Linotype" w:hAnsi="Palatino Linotype" w:cs="Palatino Linotype"/>
          <w:b/>
        </w:rPr>
        <w:t xml:space="preserve"> ORDENA </w:t>
      </w:r>
      <w:r w:rsidRPr="00640A50">
        <w:rPr>
          <w:rFonts w:ascii="Palatino Linotype" w:eastAsia="Palatino Linotype" w:hAnsi="Palatino Linotype" w:cs="Palatino Linotype"/>
        </w:rPr>
        <w:t xml:space="preserve">al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a que,</w:t>
      </w:r>
      <w:r w:rsidRPr="00640A50">
        <w:rPr>
          <w:rFonts w:ascii="Palatino Linotype" w:eastAsia="Palatino Linotype" w:hAnsi="Palatino Linotype" w:cs="Palatino Linotype"/>
          <w:b/>
        </w:rPr>
        <w:t xml:space="preserve"> </w:t>
      </w:r>
      <w:r w:rsidRPr="00640A50">
        <w:rPr>
          <w:rFonts w:ascii="Palatino Linotype" w:eastAsia="Palatino Linotype" w:hAnsi="Palatino Linotype" w:cs="Palatino Linotype"/>
        </w:rPr>
        <w:t>en términos del Considerando Cuarto y Quinto, haga entrega vía Sistema de Acceso a la Información Mexiquense (SAIMEX), previa búsqueda exhaustiva y razonable, en versión pública de ser procedente del documento o documentos en donde conste lo siguiente:</w:t>
      </w:r>
    </w:p>
    <w:p w14:paraId="3E869E3C" w14:textId="77777777" w:rsidR="001C2F7F" w:rsidRPr="00640A50" w:rsidRDefault="00640A50">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Plan parcial de integración territorial Santa Bárbara Norte del municipio de Cuautitlán Izcalli, Estado de México, del año 2015.</w:t>
      </w:r>
    </w:p>
    <w:p w14:paraId="4D71388A" w14:textId="77777777" w:rsidR="001C2F7F" w:rsidRPr="00640A50" w:rsidRDefault="00640A50">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40A50">
        <w:rPr>
          <w:rFonts w:ascii="Palatino Linotype" w:eastAsia="Palatino Linotype" w:hAnsi="Palatino Linotype" w:cs="Palatino Linotype"/>
          <w:sz w:val="22"/>
          <w:szCs w:val="22"/>
        </w:rPr>
        <w:t>La modificación del Plan Municipal de Desarrollo Urbano de Cuautitlán Izcalli, Estado de México, del año 2015.</w:t>
      </w:r>
    </w:p>
    <w:p w14:paraId="0B92F0AF" w14:textId="77777777" w:rsidR="001C2F7F" w:rsidRPr="00640A50" w:rsidRDefault="00640A50">
      <w:pPr>
        <w:pBdr>
          <w:top w:val="nil"/>
          <w:left w:val="nil"/>
          <w:bottom w:val="nil"/>
          <w:right w:val="nil"/>
          <w:between w:val="nil"/>
        </w:pBdr>
        <w:spacing w:before="240" w:after="240" w:line="276" w:lineRule="auto"/>
        <w:ind w:left="567" w:right="4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sz w:val="22"/>
          <w:szCs w:val="22"/>
        </w:rPr>
        <w:t xml:space="preserve">De ser procedente para la versión pública, se deberá emitir el Acuerdo del Comité de Transparencia de acuerdo con la Ley de Transparencia y Acceso a la Información Pública del </w:t>
      </w:r>
      <w:r w:rsidRPr="00640A50">
        <w:rPr>
          <w:rFonts w:ascii="Palatino Linotype" w:eastAsia="Palatino Linotype" w:hAnsi="Palatino Linotype" w:cs="Palatino Linotype"/>
          <w:i/>
          <w:sz w:val="22"/>
          <w:szCs w:val="22"/>
        </w:rPr>
        <w:lastRenderedPageBreak/>
        <w:t>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F28284B" w14:textId="77777777" w:rsidR="001C2F7F" w:rsidRPr="00640A50" w:rsidRDefault="00640A50">
      <w:pPr>
        <w:pBdr>
          <w:top w:val="nil"/>
          <w:left w:val="nil"/>
          <w:bottom w:val="nil"/>
          <w:right w:val="nil"/>
          <w:between w:val="nil"/>
        </w:pBdr>
        <w:spacing w:before="240" w:after="240" w:line="276" w:lineRule="auto"/>
        <w:ind w:left="567" w:right="49"/>
        <w:jc w:val="both"/>
        <w:rPr>
          <w:rFonts w:ascii="Palatino Linotype" w:eastAsia="Palatino Linotype" w:hAnsi="Palatino Linotype" w:cs="Palatino Linotype"/>
          <w:i/>
          <w:sz w:val="22"/>
          <w:szCs w:val="22"/>
        </w:rPr>
      </w:pPr>
      <w:r w:rsidRPr="00640A50">
        <w:rPr>
          <w:rFonts w:ascii="Palatino Linotype" w:eastAsia="Palatino Linotype" w:hAnsi="Palatino Linotype" w:cs="Palatino Linotype"/>
          <w:i/>
        </w:rPr>
        <w:t xml:space="preserve">Respecto de la información que se ordena, debido a la temporalidad que se establece, en el caso que, derivado de la búsqueda exhaustiva y razonable, no se localice la información, el </w:t>
      </w:r>
      <w:r w:rsidRPr="00640A50">
        <w:rPr>
          <w:rFonts w:ascii="Palatino Linotype" w:eastAsia="Palatino Linotype" w:hAnsi="Palatino Linotype" w:cs="Palatino Linotype"/>
          <w:b/>
          <w:i/>
        </w:rPr>
        <w:t>SUJETO OBLIGADO</w:t>
      </w:r>
      <w:r w:rsidRPr="00640A50">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w:t>
      </w:r>
      <w:r w:rsidRPr="00640A50">
        <w:rPr>
          <w:rFonts w:ascii="Palatino Linotype" w:eastAsia="Palatino Linotype" w:hAnsi="Palatino Linotype" w:cs="Palatino Linotype"/>
          <w:b/>
          <w:i/>
        </w:rPr>
        <w:t>RECURRENTE</w:t>
      </w:r>
      <w:r w:rsidRPr="00640A50">
        <w:rPr>
          <w:rFonts w:ascii="Palatino Linotype" w:eastAsia="Palatino Linotype" w:hAnsi="Palatino Linotype" w:cs="Palatino Linotype"/>
          <w:i/>
        </w:rPr>
        <w:t xml:space="preserve"> al momento de dar cumplimiento a la presente resolución.</w:t>
      </w:r>
    </w:p>
    <w:p w14:paraId="629E79FE" w14:textId="77777777" w:rsidR="001C2F7F" w:rsidRPr="00640A50" w:rsidRDefault="00640A50">
      <w:pPr>
        <w:spacing w:before="240"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Tercero. Notifíquese, </w:t>
      </w:r>
      <w:r w:rsidRPr="00640A50">
        <w:rPr>
          <w:rFonts w:ascii="Palatino Linotype" w:eastAsia="Palatino Linotype" w:hAnsi="Palatino Linotype" w:cs="Palatino Linotype"/>
        </w:rPr>
        <w:t xml:space="preserve">vía </w:t>
      </w:r>
      <w:r w:rsidRPr="00640A50">
        <w:rPr>
          <w:rFonts w:ascii="Palatino Linotype" w:eastAsia="Palatino Linotype" w:hAnsi="Palatino Linotype" w:cs="Palatino Linotype"/>
          <w:b/>
        </w:rPr>
        <w:t>SAIMEX</w:t>
      </w:r>
      <w:r w:rsidRPr="00640A50">
        <w:rPr>
          <w:rFonts w:ascii="Palatino Linotype" w:eastAsia="Palatino Linotype" w:hAnsi="Palatino Linotype" w:cs="Palatino Linotype"/>
        </w:rPr>
        <w:t xml:space="preserve">, al Titular de la Unidad de Transparencia del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BB00AD" w14:textId="77777777" w:rsidR="001C2F7F" w:rsidRPr="00640A50" w:rsidRDefault="001C2F7F">
      <w:pPr>
        <w:spacing w:line="360" w:lineRule="auto"/>
        <w:jc w:val="both"/>
        <w:rPr>
          <w:rFonts w:ascii="Palatino Linotype" w:eastAsia="Palatino Linotype" w:hAnsi="Palatino Linotype" w:cs="Palatino Linotype"/>
        </w:rPr>
      </w:pPr>
    </w:p>
    <w:p w14:paraId="4515F345"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 xml:space="preserve">Cuarto. </w:t>
      </w:r>
      <w:r w:rsidRPr="00640A50">
        <w:rPr>
          <w:rFonts w:ascii="Palatino Linotype" w:eastAsia="Palatino Linotype" w:hAnsi="Palatino Linotype" w:cs="Palatino Linotype"/>
        </w:rPr>
        <w:t xml:space="preserve">Notifíquese, vía </w:t>
      </w:r>
      <w:r w:rsidRPr="00640A50">
        <w:rPr>
          <w:rFonts w:ascii="Palatino Linotype" w:eastAsia="Palatino Linotype" w:hAnsi="Palatino Linotype" w:cs="Palatino Linotype"/>
          <w:b/>
        </w:rPr>
        <w:t>SAIMEX</w:t>
      </w:r>
      <w:r w:rsidRPr="00640A50">
        <w:rPr>
          <w:rFonts w:ascii="Palatino Linotype" w:eastAsia="Palatino Linotype" w:hAnsi="Palatino Linotype" w:cs="Palatino Linotype"/>
        </w:rPr>
        <w:t xml:space="preserve">, a la parte </w:t>
      </w:r>
      <w:r w:rsidRPr="00640A50">
        <w:rPr>
          <w:rFonts w:ascii="Palatino Linotype" w:eastAsia="Palatino Linotype" w:hAnsi="Palatino Linotype" w:cs="Palatino Linotype"/>
          <w:b/>
        </w:rPr>
        <w:t>RECURRENTE</w:t>
      </w:r>
      <w:r w:rsidRPr="00640A5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640A50">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762272CF" w14:textId="77777777" w:rsidR="001C2F7F" w:rsidRPr="00640A50" w:rsidRDefault="001C2F7F">
      <w:pPr>
        <w:spacing w:line="360" w:lineRule="auto"/>
        <w:jc w:val="both"/>
        <w:rPr>
          <w:rFonts w:ascii="Palatino Linotype" w:eastAsia="Palatino Linotype" w:hAnsi="Palatino Linotype" w:cs="Palatino Linotype"/>
        </w:rPr>
      </w:pPr>
    </w:p>
    <w:p w14:paraId="229B59C0" w14:textId="77777777" w:rsidR="001C2F7F" w:rsidRPr="00640A50" w:rsidRDefault="00640A50">
      <w:pPr>
        <w:spacing w:line="360" w:lineRule="auto"/>
        <w:jc w:val="both"/>
        <w:rPr>
          <w:rFonts w:ascii="Palatino Linotype" w:eastAsia="Palatino Linotype" w:hAnsi="Palatino Linotype" w:cs="Palatino Linotype"/>
        </w:rPr>
      </w:pPr>
      <w:r w:rsidRPr="00640A50">
        <w:rPr>
          <w:rFonts w:ascii="Palatino Linotype" w:eastAsia="Palatino Linotype" w:hAnsi="Palatino Linotype" w:cs="Palatino Linotype"/>
          <w:b/>
        </w:rPr>
        <w:t>Quinto.</w:t>
      </w:r>
      <w:r w:rsidRPr="00640A5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640A50">
        <w:rPr>
          <w:rFonts w:ascii="Palatino Linotype" w:eastAsia="Palatino Linotype" w:hAnsi="Palatino Linotype" w:cs="Palatino Linotype"/>
          <w:b/>
        </w:rPr>
        <w:t>SUJETO OBLIGADO</w:t>
      </w:r>
      <w:r w:rsidRPr="00640A50">
        <w:rPr>
          <w:rFonts w:ascii="Palatino Linotype" w:eastAsia="Palatino Linotype" w:hAnsi="Palatino Linotype" w:cs="Palatino Linotype"/>
        </w:rPr>
        <w:t xml:space="preserve"> de manera fundada y motivada, podrá solicitar una ampliación de plazo para el cumplimiento de la presente resolución.</w:t>
      </w:r>
    </w:p>
    <w:p w14:paraId="3CCED99E" w14:textId="77777777" w:rsidR="001C2F7F" w:rsidRPr="00640A50" w:rsidRDefault="00640A50">
      <w:pPr>
        <w:spacing w:before="240" w:after="240" w:line="360" w:lineRule="auto"/>
        <w:jc w:val="both"/>
        <w:rPr>
          <w:rFonts w:ascii="Palatino Linotype" w:eastAsia="Palatino Linotype" w:hAnsi="Palatino Linotype" w:cs="Palatino Linotype"/>
        </w:rPr>
        <w:sectPr w:rsidR="001C2F7F" w:rsidRPr="00640A50">
          <w:headerReference w:type="default" r:id="rId21"/>
          <w:footerReference w:type="default" r:id="rId22"/>
          <w:headerReference w:type="first" r:id="rId23"/>
          <w:footerReference w:type="first" r:id="rId24"/>
          <w:pgSz w:w="12240" w:h="15840"/>
          <w:pgMar w:top="2041" w:right="1701" w:bottom="1701" w:left="1701" w:header="709" w:footer="709" w:gutter="0"/>
          <w:pgNumType w:start="1"/>
          <w:cols w:space="720"/>
          <w:titlePg/>
        </w:sectPr>
      </w:pPr>
      <w:r w:rsidRPr="00640A5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VEINTIOCHO DE JUNIO DEL DOS MIL VEINTITRÉS, ANTE EL SECRETARIO TÉCNICO DEL PLENO ALEXIS TAPIA RAMÍREZ.                             </w:t>
      </w:r>
    </w:p>
    <w:p w14:paraId="667F4515" w14:textId="77777777" w:rsidR="001C2F7F" w:rsidRPr="00640A50" w:rsidRDefault="001C2F7F">
      <w:pPr>
        <w:spacing w:before="240" w:after="240" w:line="360" w:lineRule="auto"/>
        <w:jc w:val="both"/>
        <w:rPr>
          <w:rFonts w:ascii="Palatino Linotype" w:eastAsia="Palatino Linotype" w:hAnsi="Palatino Linotype" w:cs="Palatino Linotype"/>
        </w:rPr>
      </w:pPr>
    </w:p>
    <w:sectPr w:rsidR="001C2F7F" w:rsidRPr="00640A50">
      <w:headerReference w:type="first" r:id="rId2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D0F42" w14:textId="77777777" w:rsidR="009767A5" w:rsidRDefault="009767A5">
      <w:r>
        <w:separator/>
      </w:r>
    </w:p>
  </w:endnote>
  <w:endnote w:type="continuationSeparator" w:id="0">
    <w:p w14:paraId="2DBCC560" w14:textId="77777777" w:rsidR="009767A5" w:rsidRDefault="0097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A89A" w14:textId="77777777" w:rsidR="001C2F7F" w:rsidRDefault="00640A5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48E60CC9" w14:textId="77777777" w:rsidR="001C2F7F" w:rsidRDefault="001C2F7F">
    <w:pPr>
      <w:pBdr>
        <w:top w:val="nil"/>
        <w:left w:val="nil"/>
        <w:bottom w:val="nil"/>
        <w:right w:val="nil"/>
        <w:between w:val="nil"/>
      </w:pBdr>
      <w:tabs>
        <w:tab w:val="center" w:pos="4252"/>
        <w:tab w:val="right" w:pos="8504"/>
      </w:tabs>
      <w:rPr>
        <w:color w:val="000000"/>
      </w:rPr>
    </w:pPr>
  </w:p>
  <w:p w14:paraId="3C8569FD" w14:textId="77777777" w:rsidR="001C2F7F" w:rsidRDefault="001C2F7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13EA" w14:textId="77777777" w:rsidR="001C2F7F" w:rsidRDefault="00640A5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57</w:t>
    </w:r>
    <w:r>
      <w:rPr>
        <w:rFonts w:ascii="Arial" w:eastAsia="Arial" w:hAnsi="Arial" w:cs="Arial"/>
        <w:b/>
        <w:color w:val="000000"/>
        <w:sz w:val="20"/>
        <w:szCs w:val="20"/>
      </w:rPr>
      <w:fldChar w:fldCharType="end"/>
    </w:r>
  </w:p>
  <w:p w14:paraId="438CE421" w14:textId="77777777" w:rsidR="001C2F7F" w:rsidRDefault="001C2F7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2110E" w14:textId="77777777" w:rsidR="009767A5" w:rsidRDefault="009767A5">
      <w:r>
        <w:separator/>
      </w:r>
    </w:p>
  </w:footnote>
  <w:footnote w:type="continuationSeparator" w:id="0">
    <w:p w14:paraId="4B35DA40" w14:textId="77777777" w:rsidR="009767A5" w:rsidRDefault="009767A5">
      <w:r>
        <w:continuationSeparator/>
      </w:r>
    </w:p>
  </w:footnote>
  <w:footnote w:id="1">
    <w:p w14:paraId="080EBA03" w14:textId="77777777" w:rsidR="001C2F7F" w:rsidRDefault="00640A5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3802AE60" w14:textId="77777777" w:rsidR="001C2F7F" w:rsidRDefault="00640A50">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DFE8" w14:textId="77777777" w:rsidR="001C2F7F" w:rsidRDefault="001C2F7F">
    <w:pPr>
      <w:widowControl w:val="0"/>
      <w:pBdr>
        <w:top w:val="nil"/>
        <w:left w:val="nil"/>
        <w:bottom w:val="nil"/>
        <w:right w:val="nil"/>
        <w:between w:val="nil"/>
      </w:pBdr>
      <w:spacing w:line="276" w:lineRule="auto"/>
      <w:rPr>
        <w:rFonts w:ascii="Calibri" w:eastAsia="Calibri" w:hAnsi="Calibri" w:cs="Calibri"/>
        <w:color w:val="000000"/>
      </w:rPr>
    </w:pPr>
  </w:p>
  <w:tbl>
    <w:tblPr>
      <w:tblStyle w:val="af3"/>
      <w:tblW w:w="5528" w:type="dxa"/>
      <w:tblInd w:w="3261" w:type="dxa"/>
      <w:tblLayout w:type="fixed"/>
      <w:tblLook w:val="0400" w:firstRow="0" w:lastRow="0" w:firstColumn="0" w:lastColumn="0" w:noHBand="0" w:noVBand="1"/>
    </w:tblPr>
    <w:tblGrid>
      <w:gridCol w:w="2551"/>
      <w:gridCol w:w="2977"/>
    </w:tblGrid>
    <w:tr w:rsidR="001C2F7F" w14:paraId="5091FE17" w14:textId="77777777">
      <w:tc>
        <w:tcPr>
          <w:tcW w:w="2551" w:type="dxa"/>
          <w:vAlign w:val="center"/>
        </w:tcPr>
        <w:p w14:paraId="10A88939" w14:textId="77777777" w:rsidR="001C2F7F" w:rsidRDefault="00640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CA4FD31" w14:textId="77777777" w:rsidR="001C2F7F" w:rsidRDefault="00640A5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17394/INFOEM/IP/RR/2022</w:t>
          </w:r>
        </w:p>
      </w:tc>
    </w:tr>
    <w:tr w:rsidR="001C2F7F" w14:paraId="4A70838D" w14:textId="77777777">
      <w:trPr>
        <w:trHeight w:val="228"/>
      </w:trPr>
      <w:tc>
        <w:tcPr>
          <w:tcW w:w="2551" w:type="dxa"/>
          <w:vAlign w:val="center"/>
        </w:tcPr>
        <w:p w14:paraId="0BCDA887" w14:textId="77777777" w:rsidR="001C2F7F" w:rsidRDefault="00640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BC6F34B" w14:textId="77777777" w:rsidR="001C2F7F" w:rsidRDefault="00640A5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1C2F7F" w14:paraId="0755514F" w14:textId="77777777">
      <w:tc>
        <w:tcPr>
          <w:tcW w:w="2551" w:type="dxa"/>
          <w:vAlign w:val="center"/>
        </w:tcPr>
        <w:p w14:paraId="59738313" w14:textId="77777777" w:rsidR="001C2F7F" w:rsidRDefault="00640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F785B5A" w14:textId="77777777" w:rsidR="001C2F7F" w:rsidRDefault="00640A5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1CED5B" w14:textId="77777777" w:rsidR="001C2F7F" w:rsidRDefault="00640A5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09ADBFE" wp14:editId="7FF69655">
          <wp:simplePos x="0" y="0"/>
          <wp:positionH relativeFrom="column">
            <wp:posOffset>-695766</wp:posOffset>
          </wp:positionH>
          <wp:positionV relativeFrom="paragraph">
            <wp:posOffset>-1200941</wp:posOffset>
          </wp:positionV>
          <wp:extent cx="7809876" cy="10165823"/>
          <wp:effectExtent l="0" t="0" r="0" b="0"/>
          <wp:wrapNone/>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3EC6" w14:textId="77777777" w:rsidR="001C2F7F" w:rsidRDefault="00640A5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1F22CD9" wp14:editId="32AF3EF3">
          <wp:simplePos x="0" y="0"/>
          <wp:positionH relativeFrom="column">
            <wp:posOffset>-846156</wp:posOffset>
          </wp:positionH>
          <wp:positionV relativeFrom="paragraph">
            <wp:posOffset>-171227</wp:posOffset>
          </wp:positionV>
          <wp:extent cx="7809876" cy="10165823"/>
          <wp:effectExtent l="0" t="0" r="0" b="0"/>
          <wp:wrapNone/>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1C2F7F" w14:paraId="194AC84C" w14:textId="77777777">
      <w:tc>
        <w:tcPr>
          <w:tcW w:w="2551" w:type="dxa"/>
          <w:vAlign w:val="center"/>
        </w:tcPr>
        <w:p w14:paraId="12781D15" w14:textId="77777777" w:rsidR="001C2F7F" w:rsidRDefault="00640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500585E" w14:textId="77777777" w:rsidR="001C2F7F" w:rsidRDefault="00640A5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17394/INFOEM/IP/RR/2022. </w:t>
          </w:r>
        </w:p>
      </w:tc>
    </w:tr>
    <w:tr w:rsidR="001C2F7F" w14:paraId="784FE5C5" w14:textId="77777777">
      <w:tc>
        <w:tcPr>
          <w:tcW w:w="2551" w:type="dxa"/>
          <w:vAlign w:val="center"/>
        </w:tcPr>
        <w:p w14:paraId="64F2BD49" w14:textId="77777777" w:rsidR="001C2F7F" w:rsidRDefault="00640A5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F5483C4" w14:textId="6D7B11C1" w:rsidR="001C2F7F" w:rsidRDefault="00E308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XXXXXX</w:t>
          </w:r>
          <w:r w:rsidR="00640A50">
            <w:rPr>
              <w:rFonts w:ascii="Palatino Linotype" w:eastAsia="Palatino Linotype" w:hAnsi="Palatino Linotype" w:cs="Palatino Linotype"/>
              <w:b/>
              <w:sz w:val="22"/>
              <w:szCs w:val="22"/>
            </w:rPr>
            <w:t>.</w:t>
          </w:r>
        </w:p>
      </w:tc>
    </w:tr>
    <w:tr w:rsidR="001C2F7F" w14:paraId="43C8BE9E" w14:textId="77777777">
      <w:trPr>
        <w:trHeight w:val="228"/>
      </w:trPr>
      <w:tc>
        <w:tcPr>
          <w:tcW w:w="2551" w:type="dxa"/>
          <w:vAlign w:val="center"/>
        </w:tcPr>
        <w:p w14:paraId="2C2EA22A" w14:textId="77777777" w:rsidR="001C2F7F" w:rsidRDefault="00640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0FF8CE" w14:textId="77777777" w:rsidR="001C2F7F" w:rsidRDefault="00640A5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1C2F7F" w14:paraId="0BDFF61E" w14:textId="77777777">
      <w:tc>
        <w:tcPr>
          <w:tcW w:w="2551" w:type="dxa"/>
          <w:vAlign w:val="center"/>
        </w:tcPr>
        <w:p w14:paraId="07458DB1" w14:textId="77777777" w:rsidR="001C2F7F" w:rsidRDefault="00640A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2596E0F" w14:textId="77777777" w:rsidR="001C2F7F" w:rsidRDefault="00640A5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9F18703" w14:textId="77777777" w:rsidR="001C2F7F" w:rsidRDefault="001C2F7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7293" w14:textId="77777777" w:rsidR="001C2F7F" w:rsidRDefault="001C2F7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2764E50" w14:textId="77777777" w:rsidR="001C2F7F" w:rsidRDefault="001C2F7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8EF"/>
    <w:multiLevelType w:val="multilevel"/>
    <w:tmpl w:val="2E167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AA5CC2"/>
    <w:multiLevelType w:val="multilevel"/>
    <w:tmpl w:val="6D386DB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EBA24FA"/>
    <w:multiLevelType w:val="multilevel"/>
    <w:tmpl w:val="84C86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156616"/>
    <w:multiLevelType w:val="multilevel"/>
    <w:tmpl w:val="657842E8"/>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056757"/>
    <w:multiLevelType w:val="multilevel"/>
    <w:tmpl w:val="A94C3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314F81"/>
    <w:multiLevelType w:val="multilevel"/>
    <w:tmpl w:val="C01ED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1273AD"/>
    <w:multiLevelType w:val="multilevel"/>
    <w:tmpl w:val="290C3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47138A"/>
    <w:multiLevelType w:val="multilevel"/>
    <w:tmpl w:val="957EA1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491A1E"/>
    <w:multiLevelType w:val="multilevel"/>
    <w:tmpl w:val="6AB4E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3C7EBE"/>
    <w:multiLevelType w:val="multilevel"/>
    <w:tmpl w:val="222AFC2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8"/>
  </w:num>
  <w:num w:numId="2">
    <w:abstractNumId w:val="4"/>
  </w:num>
  <w:num w:numId="3">
    <w:abstractNumId w:val="0"/>
  </w:num>
  <w:num w:numId="4">
    <w:abstractNumId w:val="3"/>
  </w:num>
  <w:num w:numId="5">
    <w:abstractNumId w:val="1"/>
  </w:num>
  <w:num w:numId="6">
    <w:abstractNumId w:val="6"/>
  </w:num>
  <w:num w:numId="7">
    <w:abstractNumId w:val="5"/>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F7F"/>
    <w:rsid w:val="001C2F7F"/>
    <w:rsid w:val="003E54C2"/>
    <w:rsid w:val="00640A50"/>
    <w:rsid w:val="00657D41"/>
    <w:rsid w:val="00845538"/>
    <w:rsid w:val="009767A5"/>
    <w:rsid w:val="00E308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BC966"/>
  <w15:docId w15:val="{EF9D5B7D-4798-479F-A55E-A55D7F21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62715.page"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78254.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2.xml"/><Relationship Id="rId10" Type="http://schemas.openxmlformats.org/officeDocument/2006/relationships/hyperlink" Target="https://saimex.org.mx/saimex/solicitud/downloadAttach/1668309.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1666730.page"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N/HlEx3gbUAHhd3oTaKApjKjtA==">CgMxLjAyCGguZ2pkZ3hzMgloLjMwajB6bGwyCWguMWZvYjl0ZTgAciExWEJadUMwckdOZXBvUnVITDNKTTJLc29GSmhUWUE1cXA=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14706</Words>
  <Characters>80889</Characters>
  <Application>Microsoft Office Word</Application>
  <DocSecurity>4</DocSecurity>
  <Lines>674</Lines>
  <Paragraphs>190</Paragraphs>
  <ScaleCrop>false</ScaleCrop>
  <Company>HP</Company>
  <LinksUpToDate>false</LinksUpToDate>
  <CharactersWithSpaces>95405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2023-07-01T05:30:00Z</cp:lastPrinted>
  <dcterms:created xsi:type="dcterms:W3CDTF">2023-07-03T21:30:00Z</dcterms:created>
  <dcterms:modified xsi:type="dcterms:W3CDTF">2023-07-03T21:30:00Z</dcterms:modified>
</cp:coreProperties>
</file>