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uno de marzo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5nkun2" w:id="0"/>
      <w:bookmarkEnd w:id="0"/>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16094/INFOEM/IP/RR/2022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 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Tepotzotlán,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bookmarkStart w:colFirst="0" w:colLast="0" w:name="_heading=h.1ksv4uv" w:id="1"/>
      <w:bookmarkEnd w:id="1"/>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seis de octubre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00538/TEPOTZOT/IP/2022,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relación de bienes inmuebles propiedad del H.Ayuntamiento de Tepotzotlan, que entre otros datos contenga, tipo de bien, ubicación, medidas, uso actualmente, etc..</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w:t>
      </w:r>
      <w:r w:rsidDel="00000000" w:rsidR="00000000" w:rsidRPr="00000000">
        <w:rPr>
          <w:rFonts w:ascii="Palatino Linotype" w:cs="Palatino Linotype" w:eastAsia="Palatino Linotype" w:hAnsi="Palatino Linotype"/>
          <w:b w:val="1"/>
          <w:rtl w:val="0"/>
        </w:rPr>
        <w:t xml:space="preserve">de SAIMEX</w:t>
      </w: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bookmarkStart w:colFirst="0" w:colLast="0" w:name="_heading=h.3dy6vkm" w:id="2"/>
      <w:bookmarkEnd w:id="2"/>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veintisiete de octubre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17dp8vu" w:id="3"/>
      <w:bookmarkEnd w:id="3"/>
      <w:r w:rsidDel="00000000" w:rsidR="00000000" w:rsidRPr="00000000">
        <w:rPr>
          <w:rFonts w:ascii="Palatino Linotype" w:cs="Palatino Linotype" w:eastAsia="Palatino Linotype" w:hAnsi="Palatino Linotype"/>
          <w:i w:val="1"/>
          <w:sz w:val="22"/>
          <w:szCs w:val="22"/>
          <w:rtl w:val="0"/>
        </w:rPr>
        <w:t xml:space="preserve">“…SE ADJUNTA RESPUESTA DE SERVIDOR PÚBLICO HABILITADO...”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oficio número HAT/SA/OI/875/2022, de fecha veintisiete de octubre de dos mil veintidós, signado por la Secretaría del Ayuntamiento, mediante el cual, con fundamento en el artículo 91, fracción XI de la Ley Orgánica Municipal del Estado de México, mismo que señala que con la intervención del Síndico Municipal se debe elaborar el inventario general de bienes muebles e inmuebles municipales, así como la integración del sistema de información inmobiliaria que contemple los bienes de dominio público y privado en un término que no exceda de un año, contado a partir de la instalación del ayuntamiento, y presentarlo ante Cabildo para su conocimiento y aprobación; informa que el inventario general de bienes muebles e inmuebles está siendo integrado, por lo que debido al estado que guarda, es necesario proteger los datos que en el mismo se presentan debido a los nombres de quienes no fungen como servidores públicos siendo su obligación proteger sus datos.</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tres de noviembre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C">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D">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E">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“Negar información pública que obra en sus archivos”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rPr>
      </w:pPr>
      <w:bookmarkStart w:colFirst="0" w:colLast="0" w:name="_heading=h.30j0zll" w:id="4"/>
      <w:bookmarkEnd w:id="4"/>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“Negar información pública que obran en sus archivos” (sic)</w:t>
      </w:r>
    </w:p>
    <w:p w:rsidR="00000000" w:rsidDel="00000000" w:rsidP="00000000" w:rsidRDefault="00000000" w:rsidRPr="00000000" w14:paraId="0000001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2">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ocho de noviembre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4">
      <w:pPr>
        <w:spacing w:after="240" w:before="240" w:line="360" w:lineRule="auto"/>
        <w:ind w:right="49"/>
        <w:jc w:val="both"/>
        <w:rPr>
          <w:rFonts w:ascii="Palatino Linotype" w:cs="Palatino Linotype" w:eastAsia="Palatino Linotype" w:hAnsi="Palatino Linotype"/>
        </w:rPr>
      </w:pPr>
      <w:bookmarkStart w:colFirst="0" w:colLast="0" w:name="_heading=h.2s8eyo1" w:id="5"/>
      <w:bookmarkEnd w:id="5"/>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integran el expediente electrónico en que se actúa se advierte que en fecha </w:t>
      </w:r>
      <w:r w:rsidDel="00000000" w:rsidR="00000000" w:rsidRPr="00000000">
        <w:rPr>
          <w:rFonts w:ascii="Palatino Linotype" w:cs="Palatino Linotype" w:eastAsia="Palatino Linotype" w:hAnsi="Palatino Linotype"/>
          <w:b w:val="1"/>
          <w:rtl w:val="0"/>
        </w:rPr>
        <w:t xml:space="preserve">veinticinco de noviembre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el oficio número SM/312/2022, de fecha once de noviembre de dos mil veintidós, signado por el Síndico Municipal, mediante el cual manifiesta remitir a la Unidad de Transparencia la información solicitada de forma física y digital, misma que consiste en una relación de diez fojas que contiene: número progresivo, número de identificación, domicilio del inmueble: nombre de vialidad, domicilio del inmueble: tipo de asentamiento, domicilio del inmueble: nombre del asentamiento humano, uso del inmueble y operación que da origen a la propiedad o posesión del inmueble. </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analizados los documentos, los mismos se hicieron del conocimiento de la parte recurrente, con la finalidad de que manifestara lo que a su derecho estimara conveniente, sin embargo, fue omisa en ejercer dicha prerrogativa.</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veintidós de febrero de dos mil veintitrés,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veintidós de febrero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D">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E">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1F">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0">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5">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6">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veintisiete de octubre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tres de noviembre de dos mil veintidós</w:t>
      </w:r>
      <w:r w:rsidDel="00000000" w:rsidR="00000000" w:rsidRPr="00000000">
        <w:rPr>
          <w:rFonts w:ascii="Palatino Linotype" w:cs="Palatino Linotype" w:eastAsia="Palatino Linotype" w:hAnsi="Palatino Linotype"/>
          <w:rtl w:val="0"/>
        </w:rPr>
        <w:t xml:space="preserve">, esto es, al cuarto día hábil posterior en que tuvo conocimiento de la respuesta impugnada.</w:t>
      </w:r>
    </w:p>
    <w:p w:rsidR="00000000" w:rsidDel="00000000" w:rsidP="00000000" w:rsidRDefault="00000000" w:rsidRPr="00000000" w14:paraId="0000002E">
      <w:pPr>
        <w:tabs>
          <w:tab w:val="left" w:leader="none" w:pos="7938"/>
        </w:tabs>
        <w:spacing w:after="240" w:before="240" w:line="360" w:lineRule="auto"/>
        <w:jc w:val="both"/>
        <w:rPr>
          <w:rFonts w:ascii="Palatino Linotype" w:cs="Palatino Linotype" w:eastAsia="Palatino Linotype" w:hAnsi="Palatino Linotype"/>
        </w:rPr>
      </w:pPr>
      <w:bookmarkStart w:colFirst="0" w:colLast="0" w:name="_heading=h.3znysh7" w:id="7"/>
      <w:bookmarkEnd w:id="7"/>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rtl w:val="0"/>
        </w:rPr>
        <w:t xml:space="preserve">no proporcionó nombre completo, </w:t>
      </w:r>
      <w:r w:rsidDel="00000000" w:rsidR="00000000" w:rsidRPr="00000000">
        <w:rPr>
          <w:rFonts w:ascii="Palatino Linotype" w:cs="Palatino Linotype" w:eastAsia="Palatino Linotype" w:hAnsi="Palatino Linotype"/>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0">
      <w:pP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por lo que, en el presente caso, al haber sido presentado el recurso de revisión vía SAIMEX, dicho requisito resulta innecesario.</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I del ordenamiento legal citado, que a la letra dice: </w:t>
      </w:r>
    </w:p>
    <w:p w:rsidR="00000000" w:rsidDel="00000000" w:rsidP="00000000" w:rsidRDefault="00000000" w:rsidRPr="00000000" w14:paraId="00000033">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4">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negativa a la información solicitada;”</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6">
      <w:pPr>
        <w:spacing w:after="240" w:before="240" w:line="360" w:lineRule="auto"/>
        <w:ind w:right="51"/>
        <w:jc w:val="both"/>
        <w:rPr>
          <w:rFonts w:ascii="Palatino Linotype" w:cs="Palatino Linotype" w:eastAsia="Palatino Linotype" w:hAnsi="Palatino Linotype"/>
        </w:rPr>
      </w:pPr>
      <w:bookmarkStart w:colFirst="0" w:colLast="0" w:name="_heading=h.2et92p0" w:id="8"/>
      <w:bookmarkEnd w:id="8"/>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7">
      <w:pPr>
        <w:spacing w:after="240" w:before="240" w:line="360" w:lineRule="auto"/>
        <w:ind w:left="284"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Relación de bienes inmuebles propiedad del H. Ayuntamiento de Tepotzotlán, que entre otros datos contenga: tipo de bien, ubicación, medidas, uso actualmente, etc.</w:t>
      </w:r>
    </w:p>
    <w:p w:rsidR="00000000" w:rsidDel="00000000" w:rsidP="00000000" w:rsidRDefault="00000000" w:rsidRPr="00000000" w14:paraId="0000003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Unidad de Transparencia hizo del conocimiento de la persona solicitante el pronunciamiento emitido por la Secretaría del Ayuntamiento, mediante el cual, con fundamento en el artículo 91, fracción XI de la Ley Orgánica Municipal del Estado de México, mismo que señala que con la intervención del Síndico Municipal se debe elaborar el inventario general de bienes muebles e inmuebles municipales, así como la integración del sistema de información inmobiliaria que contemple los bienes de dominio público y privado en un término que no exceda de un año, contado a partir de la instalación del ayuntamiento, y presentarlo ante Cabildo para su conocimiento y aprobación; informa que el inventario general de bienes muebles e inmuebles está siendo integrado, por lo que debido al estado que guarda, es necesario proteger los datos que en el mismo se presentan debido a los nombres de quienes no fungen como servidores públicos siendo su obligación proteger sus datos.</w:t>
      </w:r>
    </w:p>
    <w:p w:rsidR="00000000" w:rsidDel="00000000" w:rsidP="00000000" w:rsidRDefault="00000000" w:rsidRPr="00000000" w14:paraId="0000003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se negó la información pública que obra en sus archivos.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3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Síndico Municipal, la relación de bienes inmuebles constante de diez fojas, que contiene: número progresivo, número de identificación, domicilio del inmueble: nombre de vialidad, domicilio del inmueble: tipo de asentamiento, domicilio del inmueble: nombre del asentamiento humano, uso del inmueble y operación que da origen a la propiedad o posesión del inmueble, como se muestra a continuación:</w:t>
      </w:r>
    </w:p>
    <w:p w:rsidR="00000000" w:rsidDel="00000000" w:rsidP="00000000" w:rsidRDefault="00000000" w:rsidRPr="00000000" w14:paraId="0000003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666875"/>
            <wp:effectExtent b="0" l="0" r="0" t="0"/>
            <wp:docPr id="10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022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Información que se hizo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 la finalidad de que manifestara lo que a su derecho estimara conveniente, sin embargo, fue omisa en ejercer dicha prerrogativa, como se señaló en el antecedente número 6 de la presente resolución.</w:t>
      </w:r>
    </w:p>
    <w:p w:rsidR="00000000" w:rsidDel="00000000" w:rsidP="00000000" w:rsidRDefault="00000000" w:rsidRPr="00000000" w14:paraId="0000003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de las constancias que integran el expediente electrónico  relacionado con el recurso de revisión materia de estudio,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niega la competencia para conocer de la información solicitada, sino por el contrario, con la respuesta pronunciada, así como la información remitida en la etapa de manifestaciones, asevera que es competente para conocer de la solicitud de información</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rtl w:val="0"/>
        </w:rPr>
        <w:t xml:space="preserve">lo anterior es así, ya que el estudio enunciado tiene por objeto determinar si </w:t>
      </w:r>
      <w:r w:rsidDel="00000000" w:rsidR="00000000" w:rsidRPr="00000000">
        <w:rPr>
          <w:rtl w:val="0"/>
        </w:rPr>
        <w:t xml:space="preserve">los</w:t>
      </w:r>
      <w:r w:rsidDel="00000000" w:rsidR="00000000" w:rsidRPr="00000000">
        <w:rPr>
          <w:rFonts w:ascii="Palatino Linotype" w:cs="Palatino Linotype" w:eastAsia="Palatino Linotype" w:hAnsi="Palatino Linotype"/>
          <w:rtl w:val="0"/>
        </w:rPr>
        <w:t xml:space="preserve"> Sujeto</w:t>
      </w:r>
      <w:r w:rsidDel="00000000" w:rsidR="00000000" w:rsidRPr="00000000">
        <w:rPr>
          <w:rtl w:val="0"/>
        </w:rPr>
        <w:t xml:space="preserve">s</w:t>
      </w:r>
      <w:r w:rsidDel="00000000" w:rsidR="00000000" w:rsidRPr="00000000">
        <w:rPr>
          <w:rFonts w:ascii="Palatino Linotype" w:cs="Palatino Linotype" w:eastAsia="Palatino Linotype" w:hAnsi="Palatino Linotype"/>
          <w:rtl w:val="0"/>
        </w:rPr>
        <w:t xml:space="preserve"> Obligado</w:t>
      </w:r>
      <w:r w:rsidDel="00000000" w:rsidR="00000000" w:rsidRPr="00000000">
        <w:rPr>
          <w:rtl w:val="0"/>
        </w:rPr>
        <w:t xml:space="preserve">s</w:t>
      </w:r>
      <w:r w:rsidDel="00000000" w:rsidR="00000000" w:rsidRPr="00000000">
        <w:rPr>
          <w:rFonts w:ascii="Palatino Linotype" w:cs="Palatino Linotype" w:eastAsia="Palatino Linotype" w:hAnsi="Palatino Linotype"/>
          <w:rtl w:val="0"/>
        </w:rPr>
        <w:t xml:space="preserve"> generan, poseen o administran  la información solicitada, sin embargo, en aquellos casos en que </w:t>
      </w:r>
      <w:r w:rsidDel="00000000" w:rsidR="00000000" w:rsidRPr="00000000">
        <w:rPr>
          <w:rtl w:val="0"/>
        </w:rPr>
        <w:t xml:space="preserve">e</w:t>
      </w:r>
      <w:r w:rsidDel="00000000" w:rsidR="00000000" w:rsidRPr="00000000">
        <w:rPr>
          <w:rFonts w:ascii="Palatino Linotype" w:cs="Palatino Linotype" w:eastAsia="Palatino Linotype" w:hAnsi="Palatino Linotype"/>
          <w:rtl w:val="0"/>
        </w:rPr>
        <w:t xml:space="preserve">st</w:t>
      </w:r>
      <w:r w:rsidDel="00000000" w:rsidR="00000000" w:rsidRPr="00000000">
        <w:rPr>
          <w:rtl w:val="0"/>
        </w:rPr>
        <w:t xml:space="preserve">os </w:t>
      </w:r>
      <w:r w:rsidDel="00000000" w:rsidR="00000000" w:rsidRPr="00000000">
        <w:rPr>
          <w:rFonts w:ascii="Palatino Linotype" w:cs="Palatino Linotype" w:eastAsia="Palatino Linotype" w:hAnsi="Palatino Linotype"/>
          <w:rtl w:val="0"/>
        </w:rPr>
        <w:t xml:space="preserve">ha</w:t>
      </w:r>
      <w:r w:rsidDel="00000000" w:rsidR="00000000" w:rsidRPr="00000000">
        <w:rPr>
          <w:rtl w:val="0"/>
        </w:rPr>
        <w:t xml:space="preserve">n</w:t>
      </w:r>
      <w:r w:rsidDel="00000000" w:rsidR="00000000" w:rsidRPr="00000000">
        <w:rPr>
          <w:rFonts w:ascii="Palatino Linotype" w:cs="Palatino Linotype" w:eastAsia="Palatino Linotype" w:hAnsi="Palatino Linotype"/>
          <w:rtl w:val="0"/>
        </w:rPr>
        <w:t xml:space="preserve"> asumido la competencia, sería ocioso y a nada práctico nos conduciría su estudio, ya que, se insiste, el ente obligado asumió la competencia referida, motivo por el cual se actualiza el supuesto previsto en el artículo 12 de la legislación aplicable en la materia. </w:t>
      </w:r>
    </w:p>
    <w:p w:rsidR="00000000" w:rsidDel="00000000" w:rsidP="00000000" w:rsidRDefault="00000000" w:rsidRPr="00000000" w14:paraId="0000003F">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Quienes generen, recopilen, administren, manejen, procesen, archiven o conserven información pública serán responsables de la misma</w:t>
      </w:r>
      <w:r w:rsidDel="00000000" w:rsidR="00000000" w:rsidRPr="00000000">
        <w:rPr>
          <w:rFonts w:ascii="Palatino Linotype" w:cs="Palatino Linotype" w:eastAsia="Palatino Linotype" w:hAnsi="Palatino Linotype"/>
          <w:i w:val="1"/>
          <w:sz w:val="22"/>
          <w:szCs w:val="22"/>
          <w:rtl w:val="0"/>
        </w:rPr>
        <w:t xml:space="preserve"> en los términos de las disposiciones jurídicas aplicables. </w:t>
      </w:r>
    </w:p>
    <w:p w:rsidR="00000000" w:rsidDel="00000000" w:rsidP="00000000" w:rsidRDefault="00000000" w:rsidRPr="00000000" w14:paraId="00000040">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consiguiente, se procede al análisis de los requerimientos planteados por la particular y la respuesta proporcionada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en primer lugar, es oportuno referir que en observancia de lo previsto en los artículos 53, fracciones II y IV </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y 162</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de la Ley de la Materia, la Unidad de Transparencia turnó las solicitudes de información a la Secretaría del Ayuntamiento y a la Sindicatura Municipal, dependencias que, de conformidad con la Ley Orgánica Municipal del Estado de México, tienen las siguientes atribuciones en su parte conducente.</w:t>
      </w:r>
    </w:p>
    <w:p w:rsidR="00000000" w:rsidDel="00000000" w:rsidP="00000000" w:rsidRDefault="00000000" w:rsidRPr="00000000" w14:paraId="0000004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Los síndicos tendrán las siguientes atribuciones:</w:t>
      </w:r>
    </w:p>
    <w:p w:rsidR="00000000" w:rsidDel="00000000" w:rsidP="00000000" w:rsidRDefault="00000000" w:rsidRPr="00000000" w14:paraId="0000004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5">
      <w:pPr>
        <w:spacing w:after="120" w:before="120" w:lineRule="auto"/>
        <w:ind w:left="1134"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Intervenir en la </w:t>
      </w:r>
      <w:r w:rsidDel="00000000" w:rsidR="00000000" w:rsidRPr="00000000">
        <w:rPr>
          <w:rFonts w:ascii="Palatino Linotype" w:cs="Palatino Linotype" w:eastAsia="Palatino Linotype" w:hAnsi="Palatino Linotype"/>
          <w:b w:val="1"/>
          <w:i w:val="1"/>
          <w:sz w:val="22"/>
          <w:szCs w:val="22"/>
          <w:rtl w:val="0"/>
        </w:rPr>
        <w:t xml:space="preserve">formulación del inventario general de los bienes</w:t>
      </w:r>
      <w:r w:rsidDel="00000000" w:rsidR="00000000" w:rsidRPr="00000000">
        <w:rPr>
          <w:rFonts w:ascii="Palatino Linotype" w:cs="Palatino Linotype" w:eastAsia="Palatino Linotype" w:hAnsi="Palatino Linotype"/>
          <w:i w:val="1"/>
          <w:sz w:val="22"/>
          <w:szCs w:val="22"/>
          <w:rtl w:val="0"/>
        </w:rPr>
        <w:t xml:space="preserve"> muebles e </w:t>
      </w:r>
      <w:r w:rsidDel="00000000" w:rsidR="00000000" w:rsidRPr="00000000">
        <w:rPr>
          <w:rFonts w:ascii="Palatino Linotype" w:cs="Palatino Linotype" w:eastAsia="Palatino Linotype" w:hAnsi="Palatino Linotype"/>
          <w:b w:val="1"/>
          <w:i w:val="1"/>
          <w:sz w:val="22"/>
          <w:szCs w:val="22"/>
          <w:rtl w:val="0"/>
        </w:rPr>
        <w:t xml:space="preserve">inmuebles </w:t>
      </w:r>
      <w:r w:rsidDel="00000000" w:rsidR="00000000" w:rsidRPr="00000000">
        <w:rPr>
          <w:rFonts w:ascii="Palatino Linotype" w:cs="Palatino Linotype" w:eastAsia="Palatino Linotype" w:hAnsi="Palatino Linotype"/>
          <w:i w:val="1"/>
          <w:sz w:val="22"/>
          <w:szCs w:val="22"/>
          <w:rtl w:val="0"/>
        </w:rPr>
        <w:t xml:space="preserve">propiedad del municipio, </w:t>
      </w:r>
      <w:r w:rsidDel="00000000" w:rsidR="00000000" w:rsidRPr="00000000">
        <w:rPr>
          <w:rFonts w:ascii="Palatino Linotype" w:cs="Palatino Linotype" w:eastAsia="Palatino Linotype" w:hAnsi="Palatino Linotype"/>
          <w:b w:val="1"/>
          <w:i w:val="1"/>
          <w:sz w:val="22"/>
          <w:szCs w:val="22"/>
          <w:u w:val="single"/>
          <w:rtl w:val="0"/>
        </w:rPr>
        <w:t xml:space="preserve">haciendo que se inscriban en el libro especial, con expresión de sus valores y de todas las características de identificación, así como el uso y destino de los mismos;</w:t>
      </w:r>
    </w:p>
    <w:p w:rsidR="00000000" w:rsidDel="00000000" w:rsidP="00000000" w:rsidRDefault="00000000" w:rsidRPr="00000000" w14:paraId="0000004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Regularizar la propiedad de los bienes inmuebles municipales, para ello tendrán un plazo de ciento veinte días hábiles, contados a partir de la adquisición; </w:t>
      </w:r>
    </w:p>
    <w:p w:rsidR="00000000" w:rsidDel="00000000" w:rsidP="00000000" w:rsidRDefault="00000000" w:rsidRPr="00000000" w14:paraId="0000004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w:t>
      </w:r>
      <w:r w:rsidDel="00000000" w:rsidR="00000000" w:rsidRPr="00000000">
        <w:rPr>
          <w:rFonts w:ascii="Palatino Linotype" w:cs="Palatino Linotype" w:eastAsia="Palatino Linotype" w:hAnsi="Palatino Linotype"/>
          <w:i w:val="1"/>
          <w:sz w:val="22"/>
          <w:szCs w:val="22"/>
          <w:rtl w:val="0"/>
        </w:rPr>
        <w:t xml:space="preserve">. Inscribir los bienes inmuebles municipales en el Registro Público de la Propiedad, para iniciar los trámites correspondientes tendrán un plazo de ciento veinte días hábiles contados a partir de aquel en que concluyo el proceso de regularización;</w:t>
      </w:r>
    </w:p>
    <w:p w:rsidR="00000000" w:rsidDel="00000000" w:rsidP="00000000" w:rsidRDefault="00000000" w:rsidRPr="00000000" w14:paraId="0000004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000000" w:rsidDel="00000000" w:rsidP="00000000" w:rsidRDefault="00000000" w:rsidRPr="00000000" w14:paraId="0000004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Elaborar con la intervención del síndico el inventario general de los bienes muebles e inmuebles municipales</w:t>
      </w:r>
      <w:r w:rsidDel="00000000" w:rsidR="00000000" w:rsidRPr="00000000">
        <w:rPr>
          <w:rFonts w:ascii="Palatino Linotype" w:cs="Palatino Linotype" w:eastAsia="Palatino Linotype" w:hAnsi="Palatino Linotype"/>
          <w:i w:val="1"/>
          <w:sz w:val="22"/>
          <w:szCs w:val="22"/>
          <w:rtl w:val="0"/>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000000" w:rsidDel="00000000" w:rsidP="00000000" w:rsidRDefault="00000000" w:rsidRPr="00000000" w14:paraId="0000004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advierte, tanto la Secretaría del Ayuntamiento como la Sindicatura Municipal cuentan con atribuciones para conocer de la información materia de la solicitud, sin embargo, en el caso concreto, la primera manifestó no contar con el documento en el que se advirtiera lo solicitado al referir que el inventario general de bienes muebles e inmuebles municipales estaba siendo integrado, al encontrarse en tiempo conforme a lo previsto en el artículo 91, fracción XI de la Ley Orgánica Municipal citado con antelación, siendo la Sindicatura el área que proporcionó la relación de bienes inmuebles propiedad del municipio, en el que se detallan datos como: número de identificación, domicilio del inmueble: nombre de vialidad, domicilio del inmueble: tipo de asentamiento, domicilio del inmueble: nombre del asentamiento humano, uso del inmueble y operación que da origen a la propiedad o posesión del inmueble.</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cabe señalar que el derecho de acceso a la información pública se satisface en aquellos casos en que se entregue el soporte documental en que conste la información pública, sin la necesidad de elaborar documentos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elaboró un documento </w:t>
      </w:r>
      <w:r w:rsidDel="00000000" w:rsidR="00000000" w:rsidRPr="00000000">
        <w:rPr>
          <w:rFonts w:ascii="Palatino Linotype" w:cs="Palatino Linotype" w:eastAsia="Palatino Linotype" w:hAnsi="Palatino Linotype"/>
          <w:i w:val="1"/>
          <w:rtl w:val="0"/>
        </w:rPr>
        <w:t xml:space="preserve">ad hoc</w:t>
      </w:r>
      <w:r w:rsidDel="00000000" w:rsidR="00000000" w:rsidRPr="00000000">
        <w:rPr>
          <w:rFonts w:ascii="Palatino Linotype" w:cs="Palatino Linotype" w:eastAsia="Palatino Linotype" w:hAnsi="Palatino Linotype"/>
          <w:rtl w:val="0"/>
        </w:rPr>
        <w:t xml:space="preserve"> para dar cabal cumplimiento al derecho de acceso a la información del particular aún y </w:t>
      </w:r>
      <w:r w:rsidDel="00000000" w:rsidR="00000000" w:rsidRPr="00000000">
        <w:rPr>
          <w:rFonts w:ascii="Palatino Linotype" w:cs="Palatino Linotype" w:eastAsia="Palatino Linotype" w:hAnsi="Palatino Linotype"/>
          <w:b w:val="1"/>
          <w:rtl w:val="0"/>
        </w:rPr>
        <w:t xml:space="preserve">cuando no es una obligación de las autoridades</w:t>
      </w:r>
      <w:r w:rsidDel="00000000" w:rsidR="00000000" w:rsidRPr="00000000">
        <w:rPr>
          <w:rFonts w:ascii="Palatino Linotype" w:cs="Palatino Linotype" w:eastAsia="Palatino Linotype" w:hAnsi="Palatino Linotype"/>
          <w:rtl w:val="0"/>
        </w:rPr>
        <w:t xml:space="preserve"> tal y como lo señala el Criterio de Interpretación 03/17, emitido por el Pleno del Instituto Nacional de Transparencia, Acceso a la Información y Protección de Datos Personales,  INAI, que dice: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851"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3"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Entonces, dado a que el criterio en mención establece que las autoridades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 están obligadas a generar documentos “ad hoc”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contrario sensu, dicho criterio se puede interpretar resultando que las autoridades no están impedidas a generar documentos “ad hoc”, esto, siempre que con dicho documento elaborado se dé cabal cumplimiento a los requerimientos planteados.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del análisis efectuado por este Organismo Garante se advirtió que el documento remitido contiene la denominación del bien inmueble, el domicilio y el uso del mismo, rubros que fueron precisados por el particular mediante la solicitud de información, por lo que, al haber existido un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respecto de la materia de la solicitud, este Organismo Garante no está facultado para manifestarse sobre la veracidad de lo expresado por parte de este, pues no existe precepto legal alguno en la Ley de la materia que lo faculte para ello.</w:t>
      </w:r>
    </w:p>
    <w:p w:rsidR="00000000" w:rsidDel="00000000" w:rsidP="00000000" w:rsidRDefault="00000000" w:rsidRPr="00000000" w14:paraId="00000052">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053">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es de señalar que no pasa desapercibido que además de los datos ya señalados, la persona solicitante requirió las medidas de los bienes inmuebles, información que no se advierte en el documento remitido, razón por la cual, a efecto de tener por colmado el derecho de acceso accionado, se estima necesario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previa búsqueda exhaustiva y razonable remita el soporte documental que dé cuenta de dicha información, de ser procedente en versión pública conforme al considerando siguiente.</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es oportuno mencionar que los municipios se encuentran constreñidos, por mandato del artículo 32 de la Ley de Fiscalización Superior del Estado de México y también de los Lineamientos para la Integración y Entrega del Informe Trimestral Municipal 2022, a hacer entrega de informes trimestrales ante el Órgano Superior de Fiscalización, como entidades fiscalizables.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tema que nos ocupa, los Lineamientos para la Integración y Entrega del Informe Trimestral Municipal 2022, establecen que el Modulo 4 se integra por los siguientes submódulos:</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3286125"/>
            <wp:effectExtent b="0" l="0" r="0" t="0"/>
            <wp:docPr id="10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0225"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su vez, el Submódulo-Información de Bienes Muebles e lnmuebles, contempla, los siguientes documentos:</w:t>
      </w:r>
    </w:p>
    <w:p w:rsidR="00000000" w:rsidDel="00000000" w:rsidP="00000000" w:rsidRDefault="00000000" w:rsidRPr="00000000" w14:paraId="00000059">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20000" cy="1971846"/>
            <wp:effectExtent b="0" l="0" r="0" t="0"/>
            <wp:docPr id="102" name="image2.png"/>
            <a:graphic>
              <a:graphicData uri="http://schemas.openxmlformats.org/drawingml/2006/picture">
                <pic:pic>
                  <pic:nvPicPr>
                    <pic:cNvPr id="0" name="image2.png"/>
                    <pic:cNvPicPr preferRelativeResize="0"/>
                  </pic:nvPicPr>
                  <pic:blipFill>
                    <a:blip r:embed="rId10"/>
                    <a:srcRect b="56616" l="0" r="0" t="0"/>
                    <a:stretch>
                      <a:fillRect/>
                    </a:stretch>
                  </pic:blipFill>
                  <pic:spPr>
                    <a:xfrm>
                      <a:off x="0" y="0"/>
                      <a:ext cx="4320000" cy="1971846"/>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20000" cy="2562658"/>
            <wp:effectExtent b="0" l="0" r="0" t="0"/>
            <wp:docPr id="105" name="image2.png"/>
            <a:graphic>
              <a:graphicData uri="http://schemas.openxmlformats.org/drawingml/2006/picture">
                <pic:pic>
                  <pic:nvPicPr>
                    <pic:cNvPr id="0" name="image2.png"/>
                    <pic:cNvPicPr preferRelativeResize="0"/>
                  </pic:nvPicPr>
                  <pic:blipFill>
                    <a:blip r:embed="rId10"/>
                    <a:srcRect b="18" l="0" r="0" t="43598"/>
                    <a:stretch>
                      <a:fillRect/>
                    </a:stretch>
                  </pic:blipFill>
                  <pic:spPr>
                    <a:xfrm>
                      <a:off x="0" y="0"/>
                      <a:ext cx="4320000" cy="256265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tema que nos ocupa, se considera que el documento mediante el cual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pudiera dar cumplimiento a la presente resolución lo es, de manera enunciativa, más no limitativa, el Inventario de Bienes Inmuebles vigente al seis de octubre de dos mil veintidós, toda vez que, de conformidad con el Instructivo de llenado, dicho formato contempla, entre otros datos, las medidas y colindancias, así como la superficie de los bienes inmuebles, como se observa a continuación:</w:t>
      </w:r>
    </w:p>
    <w:p w:rsidR="00000000" w:rsidDel="00000000" w:rsidP="00000000" w:rsidRDefault="00000000" w:rsidRPr="00000000" w14:paraId="0000005C">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20000" cy="2699083"/>
            <wp:effectExtent b="0" l="0" r="0" t="0"/>
            <wp:docPr id="10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20000" cy="2699083"/>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068000" cy="3929869"/>
            <wp:effectExtent b="0" l="0" r="0" t="0"/>
            <wp:docPr id="10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068000" cy="3929869"/>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3960000" cy="3475926"/>
            <wp:effectExtent b="0" l="0" r="0" t="0"/>
            <wp:docPr id="10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960000" cy="347592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4318000</wp:posOffset>
                </wp:positionV>
                <wp:extent cx="157302" cy="415925"/>
                <wp:effectExtent b="0" l="0" r="0" t="0"/>
                <wp:wrapNone/>
                <wp:docPr id="98" name=""/>
                <a:graphic>
                  <a:graphicData uri="http://schemas.microsoft.com/office/word/2010/wordprocessingShape">
                    <wps:wsp>
                      <wps:cNvSpPr/>
                      <wps:cNvPr id="3" name="Shape 3"/>
                      <wps:spPr>
                        <a:xfrm>
                          <a:off x="5280049" y="3584738"/>
                          <a:ext cx="131902" cy="390525"/>
                        </a:xfrm>
                        <a:prstGeom prst="leftBrace">
                          <a:avLst>
                            <a:gd fmla="val 8333" name="adj1"/>
                            <a:gd fmla="val 50000" name="adj2"/>
                          </a:avLst>
                        </a:prstGeom>
                        <a:noFill/>
                        <a:ln cap="flat" cmpd="sng" w="25400">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4318000</wp:posOffset>
                </wp:positionV>
                <wp:extent cx="157302" cy="415925"/>
                <wp:effectExtent b="0" l="0" r="0" t="0"/>
                <wp:wrapNone/>
                <wp:docPr id="9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57302" cy="415925"/>
                        </a:xfrm>
                        <a:prstGeom prst="rect"/>
                        <a:ln/>
                      </pic:spPr>
                    </pic:pic>
                  </a:graphicData>
                </a:graphic>
              </wp:anchor>
            </w:drawing>
          </mc:Fallback>
        </mc:AlternateContent>
      </w:r>
    </w:p>
    <w:p w:rsidR="00000000" w:rsidDel="00000000" w:rsidP="00000000" w:rsidRDefault="00000000" w:rsidRPr="00000000" w14:paraId="0000005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6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6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6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6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6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6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7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07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7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7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07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07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07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07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113.0" w:type="dxa"/>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07F">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081">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08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084">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085">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086">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087">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08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08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08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08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08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0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09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09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09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0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09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0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09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09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0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0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0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09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0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0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0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0A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0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0A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0A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0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0A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0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0A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0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0A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0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0A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0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0A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0B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0B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0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0B3">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4">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0B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0B7">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8">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0B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b w:val="1"/>
        </w:rPr>
      </w:pPr>
      <w:bookmarkStart w:colFirst="0" w:colLast="0" w:name="_heading=h.1fob9te" w:id="9"/>
      <w:bookmarkEnd w:id="9"/>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16094/INFOEM/IP/RR/2022,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en versión pública de ser necesario, del soporte documental que dé cuenta de lo siguiente:</w:t>
      </w:r>
    </w:p>
    <w:p w:rsidR="00000000" w:rsidDel="00000000" w:rsidP="00000000" w:rsidRDefault="00000000" w:rsidRPr="00000000" w14:paraId="000000BF">
      <w:pPr>
        <w:spacing w:after="240" w:before="240" w:line="360" w:lineRule="auto"/>
        <w:ind w:left="284" w:right="49" w:firstLine="0"/>
        <w:jc w:val="both"/>
        <w:rPr>
          <w:rFonts w:ascii="Palatino Linotype" w:cs="Palatino Linotype" w:eastAsia="Palatino Linotype" w:hAnsi="Palatino Linotype"/>
        </w:rPr>
      </w:pPr>
      <w:bookmarkStart w:colFirst="0" w:colLast="0" w:name="_heading=h.kelgs2428oa6" w:id="10"/>
      <w:bookmarkEnd w:id="10"/>
      <w:r w:rsidDel="00000000" w:rsidR="00000000" w:rsidRPr="00000000">
        <w:rPr>
          <w:rFonts w:ascii="Palatino Linotype" w:cs="Palatino Linotype" w:eastAsia="Palatino Linotype" w:hAnsi="Palatino Linotype"/>
          <w:rtl w:val="0"/>
        </w:rPr>
        <w:t xml:space="preserve">1. Medidas de los bienes inmuebles propiedad del municipio al seis de octubre de dos mil veintidós, de conformidad con la relación remitida en la etapa de manifestaciones.</w:t>
      </w:r>
    </w:p>
    <w:p w:rsidR="00000000" w:rsidDel="00000000" w:rsidP="00000000" w:rsidRDefault="00000000" w:rsidRPr="00000000" w14:paraId="000000C0">
      <w:pPr>
        <w:ind w:left="284" w:right="49" w:firstLine="0"/>
        <w:jc w:val="both"/>
        <w:rPr>
          <w:rFonts w:ascii="Palatino Linotype" w:cs="Palatino Linotype" w:eastAsia="Palatino Linotype" w:hAnsi="Palatino Linotype"/>
          <w:i w:val="1"/>
          <w:sz w:val="20"/>
          <w:szCs w:val="20"/>
        </w:rPr>
      </w:pPr>
      <w:bookmarkStart w:colFirst="0" w:colLast="0" w:name="_heading=h.gjdgxs" w:id="11"/>
      <w:bookmarkEnd w:id="11"/>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0C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C3">
      <w:pPr>
        <w:spacing w:after="240" w:before="240" w:line="360" w:lineRule="auto"/>
        <w:jc w:val="both"/>
        <w:rPr>
          <w:rFonts w:ascii="Palatino Linotype" w:cs="Palatino Linotype" w:eastAsia="Palatino Linotype" w:hAnsi="Palatino Linotype"/>
        </w:rPr>
      </w:pPr>
      <w:bookmarkStart w:colFirst="0" w:colLast="0" w:name="_heading=h.2jxsxqh" w:id="12"/>
      <w:bookmarkEnd w:id="12"/>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bookmarkStart w:colFirst="0" w:colLast="0" w:name="_heading=h.4d34og8" w:id="13"/>
      <w:bookmarkEnd w:id="13"/>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UNO DE MARZO DE DOS MIL VEINTITRÉS, ANTE EL SECRETARIO TÉCNICO DEL PLENO ALEXIS TAPIA RAMÍREZ.</w:t>
      </w:r>
    </w:p>
    <w:p w:rsidR="00000000" w:rsidDel="00000000" w:rsidP="00000000" w:rsidRDefault="00000000" w:rsidRPr="00000000" w14:paraId="000000C5">
      <w:pP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6569075"/>
                <wp:effectExtent b="0" l="0" r="0" t="0"/>
                <wp:wrapNone/>
                <wp:docPr id="97" name=""/>
                <a:graphic>
                  <a:graphicData uri="http://schemas.microsoft.com/office/word/2010/wordprocessingShape">
                    <wps:wsp>
                      <wps:cNvCnPr/>
                      <wps:spPr>
                        <a:xfrm>
                          <a:off x="2593275" y="508163"/>
                          <a:ext cx="5505450" cy="6543675"/>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12700</wp:posOffset>
                </wp:positionV>
                <wp:extent cx="5530850" cy="6569075"/>
                <wp:effectExtent b="0" l="0" r="0" t="0"/>
                <wp:wrapNone/>
                <wp:docPr id="97"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530850" cy="6569075"/>
                        </a:xfrm>
                        <a:prstGeom prst="rect"/>
                        <a:ln/>
                      </pic:spPr>
                    </pic:pic>
                  </a:graphicData>
                </a:graphic>
              </wp:anchor>
            </w:drawing>
          </mc:Fallback>
        </mc:AlternateContent>
      </w:r>
    </w:p>
    <w:p w:rsidR="00000000" w:rsidDel="00000000" w:rsidP="00000000" w:rsidRDefault="00000000" w:rsidRPr="00000000" w14:paraId="000000C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bookmarkStart w:colFirst="0" w:colLast="0" w:name="_heading=h.3rdcrjn" w:id="14"/>
      <w:bookmarkEnd w:id="14"/>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bookmarkStart w:colFirst="0" w:colLast="0" w:name="_heading=h.1t3h5sf" w:id="15"/>
      <w:bookmarkEnd w:id="15"/>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F">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 w:id="1">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53. Las Unidades de Transparencia tendrán las siguientes funciones: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II. Recibir, tramitar y dar respuesta a las solicitudes de acceso a la información;</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IV. Realizar, con efectividad, los trámites internos necesarios para la atención de las solicitudes de acceso a la información;</w:t>
      </w:r>
    </w:p>
  </w:footnote>
  <w:footnote w:id="2">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-1166583</wp:posOffset>
          </wp:positionH>
          <wp:positionV relativeFrom="paragraph">
            <wp:posOffset>-262252</wp:posOffset>
          </wp:positionV>
          <wp:extent cx="7809865" cy="10165715"/>
          <wp:effectExtent b="0" l="0" r="0" t="0"/>
          <wp:wrapNone/>
          <wp:docPr id="100"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7">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16094/INFOEM/IP/RR/2022</w:t>
          </w:r>
        </w:p>
      </w:tc>
    </w:tr>
    <w:tr>
      <w:trPr>
        <w:cantSplit w:val="0"/>
        <w:trHeight w:val="130" w:hRule="atLeast"/>
        <w:tblHeader w:val="0"/>
      </w:trPr>
      <w:tc>
        <w:tcPr>
          <w:shd w:fill="auto" w:val="clear"/>
          <w:vAlign w:val="center"/>
        </w:tcPr>
        <w:p w:rsidR="00000000" w:rsidDel="00000000" w:rsidP="00000000" w:rsidRDefault="00000000" w:rsidRPr="00000000" w14:paraId="000000E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E9">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w:t>
          </w:r>
        </w:p>
      </w:tc>
    </w:tr>
    <w:tr>
      <w:trPr>
        <w:cantSplit w:val="0"/>
        <w:trHeight w:val="228" w:hRule="atLeast"/>
        <w:tblHeader w:val="0"/>
      </w:trPr>
      <w:tc>
        <w:tcPr>
          <w:shd w:fill="auto" w:val="clear"/>
          <w:vAlign w:val="center"/>
        </w:tcPr>
        <w:p w:rsidR="00000000" w:rsidDel="00000000" w:rsidP="00000000" w:rsidRDefault="00000000" w:rsidRPr="00000000" w14:paraId="000000E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B">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Tepotzotlán</w:t>
          </w:r>
        </w:p>
      </w:tc>
    </w:tr>
    <w:tr>
      <w:trPr>
        <w:cantSplit w:val="0"/>
        <w:tblHeader w:val="0"/>
      </w:trPr>
      <w:tc>
        <w:tcPr>
          <w:shd w:fill="auto" w:val="clear"/>
          <w:vAlign w:val="center"/>
        </w:tcPr>
        <w:p w:rsidR="00000000" w:rsidDel="00000000" w:rsidP="00000000" w:rsidRDefault="00000000" w:rsidRPr="00000000" w14:paraId="000000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D">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-1080119</wp:posOffset>
          </wp:positionH>
          <wp:positionV relativeFrom="paragraph">
            <wp:posOffset>-488297</wp:posOffset>
          </wp:positionV>
          <wp:extent cx="7809865" cy="10165715"/>
          <wp:effectExtent b="0" l="0" r="0" t="0"/>
          <wp:wrapNone/>
          <wp:docPr id="99"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F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1">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16094/INFOEM/IP/RR/2022</w:t>
          </w:r>
        </w:p>
      </w:tc>
    </w:tr>
    <w:tr>
      <w:trPr>
        <w:cantSplit w:val="0"/>
        <w:trHeight w:val="228" w:hRule="atLeast"/>
        <w:tblHeader w:val="0"/>
      </w:trPr>
      <w:tc>
        <w:tcPr>
          <w:shd w:fill="auto" w:val="clear"/>
          <w:vAlign w:val="center"/>
        </w:tcPr>
        <w:p w:rsidR="00000000" w:rsidDel="00000000" w:rsidP="00000000" w:rsidRDefault="00000000" w:rsidRPr="00000000" w14:paraId="000000F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Tepotzotlán</w:t>
          </w:r>
        </w:p>
      </w:tc>
    </w:tr>
    <w:tr>
      <w:trPr>
        <w:cantSplit w:val="0"/>
        <w:tblHeader w:val="0"/>
      </w:trPr>
      <w:tc>
        <w:tcPr>
          <w:shd w:fill="auto" w:val="clear"/>
          <w:vAlign w:val="center"/>
        </w:tcPr>
        <w:p w:rsidR="00000000" w:rsidDel="00000000" w:rsidP="00000000" w:rsidRDefault="00000000" w:rsidRPr="00000000" w14:paraId="000000F4">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6">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D1A57"/>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top w:w="0.0" w:type="dxa"/>
        <w:left w:w="115.0" w:type="dxa"/>
        <w:bottom w:w="0.0" w:type="dxa"/>
        <w:right w:w="115.0" w:type="dxa"/>
      </w:tblCellMar>
    </w:tblPr>
  </w:style>
  <w:style w:type="table" w:styleId="3" w:customStyle="1">
    <w:name w:val="3"/>
    <w:basedOn w:val="TableNormal10"/>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top w:w="0.0" w:type="dxa"/>
        <w:left w:w="115.0" w:type="dxa"/>
        <w:bottom w:w="0.0" w:type="dxa"/>
        <w:right w:w="115.0" w:type="dxa"/>
      </w:tblCellMar>
    </w:tblPr>
  </w:style>
  <w:style w:type="table" w:styleId="1" w:customStyle="1">
    <w:name w:val="1"/>
    <w:basedOn w:val="TableNormal10"/>
    <w:tblPr>
      <w:tblStyleRowBandSize w:val="1"/>
      <w:tblStyleColBandSize w:val="1"/>
      <w:tblCellMar>
        <w:top w:w="0.0" w:type="dxa"/>
        <w:left w:w="115.0" w:type="dxa"/>
        <w:bottom w:w="0.0" w:type="dxa"/>
        <w:right w:w="115.0" w:type="dxa"/>
      </w:tblCellMar>
    </w:tblPr>
  </w:style>
  <w:style w:type="table" w:styleId="9" w:customStyle="1">
    <w:name w:val="9"/>
    <w:basedOn w:val="TableNormal20"/>
    <w:tblPr>
      <w:tblStyleRowBandSize w:val="1"/>
      <w:tblStyleColBandSize w:val="1"/>
      <w:tblCellMar>
        <w:top w:w="0.0" w:type="dxa"/>
        <w:left w:w="115.0" w:type="dxa"/>
        <w:bottom w:w="0.0" w:type="dxa"/>
        <w:right w:w="115.0" w:type="dxa"/>
      </w:tblCellMar>
    </w:tblPr>
  </w:style>
  <w:style w:type="table" w:styleId="8" w:customStyle="1">
    <w:name w:val="8"/>
    <w:basedOn w:val="TableNormal20"/>
    <w:tblPr>
      <w:tblStyleRowBandSize w:val="1"/>
      <w:tblStyleColBandSize w:val="1"/>
      <w:tblCellMar>
        <w:top w:w="0.0" w:type="dxa"/>
        <w:left w:w="115.0" w:type="dxa"/>
        <w:bottom w:w="0.0" w:type="dxa"/>
        <w:right w:w="115.0" w:type="dxa"/>
      </w:tblCellMar>
    </w:tblPr>
  </w:style>
  <w:style w:type="table" w:styleId="7" w:customStyle="1">
    <w:name w:val="7"/>
    <w:basedOn w:val="TableNormal30"/>
    <w:tblPr>
      <w:tblStyleRowBandSize w:val="1"/>
      <w:tblStyleColBandSize w:val="1"/>
      <w:tblCellMar>
        <w:top w:w="0.0" w:type="dxa"/>
        <w:left w:w="115.0" w:type="dxa"/>
        <w:bottom w:w="0.0" w:type="dxa"/>
        <w:right w:w="115.0" w:type="dxa"/>
      </w:tblCellMar>
    </w:tblPr>
  </w:style>
  <w:style w:type="table" w:styleId="6" w:customStyle="1">
    <w:name w:val="6"/>
    <w:basedOn w:val="TableNormal30"/>
    <w:tblPr>
      <w:tblStyleRowBandSize w:val="1"/>
      <w:tblStyleColBandSize w:val="1"/>
      <w:tblCellMar>
        <w:top w:w="0.0" w:type="dxa"/>
        <w:left w:w="115.0" w:type="dxa"/>
        <w:bottom w:w="0.0" w:type="dxa"/>
        <w:right w:w="115.0" w:type="dxa"/>
      </w:tblCellMar>
    </w:tblPr>
  </w:style>
  <w:style w:type="table" w:styleId="20" w:customStyle="1">
    <w:name w:val="20"/>
    <w:basedOn w:val="TableNormal40"/>
    <w:tblPr>
      <w:tblStyleRowBandSize w:val="1"/>
      <w:tblStyleColBandSize w:val="1"/>
      <w:tblCellMar>
        <w:top w:w="0.0" w:type="dxa"/>
        <w:left w:w="115.0" w:type="dxa"/>
        <w:bottom w:w="0.0" w:type="dxa"/>
        <w:right w:w="115.0" w:type="dxa"/>
      </w:tblCellMar>
    </w:tblPr>
  </w:style>
  <w:style w:type="table" w:styleId="19" w:customStyle="1">
    <w:name w:val="19"/>
    <w:basedOn w:val="TableNormal40"/>
    <w:tblPr>
      <w:tblStyleRowBandSize w:val="1"/>
      <w:tblStyleColBandSize w:val="1"/>
      <w:tblCellMar>
        <w:top w:w="0.0" w:type="dxa"/>
        <w:left w:w="115.0" w:type="dxa"/>
        <w:bottom w:w="0.0" w:type="dxa"/>
        <w:right w:w="115.0" w:type="dxa"/>
      </w:tblCellMar>
    </w:tblPr>
  </w:style>
  <w:style w:type="table" w:styleId="18" w:customStyle="1">
    <w:name w:val="18"/>
    <w:basedOn w:val="TableNormal5"/>
    <w:tblPr>
      <w:tblStyleRowBandSize w:val="1"/>
      <w:tblStyleColBandSize w:val="1"/>
      <w:tblCellMar>
        <w:top w:w="0.0" w:type="dxa"/>
        <w:left w:w="115.0" w:type="dxa"/>
        <w:bottom w:w="0.0" w:type="dxa"/>
        <w:right w:w="115.0" w:type="dxa"/>
      </w:tblCellMar>
    </w:tblPr>
  </w:style>
  <w:style w:type="table" w:styleId="17" w:customStyle="1">
    <w:name w:val="17"/>
    <w:basedOn w:val="TableNormal5"/>
    <w:tblPr>
      <w:tblStyleRowBandSize w:val="1"/>
      <w:tblStyleColBandSize w:val="1"/>
      <w:tblCellMar>
        <w:top w:w="0.0" w:type="dxa"/>
        <w:left w:w="115.0" w:type="dxa"/>
        <w:bottom w:w="0.0" w:type="dxa"/>
        <w:right w:w="115.0" w:type="dxa"/>
      </w:tblCellMar>
    </w:tblPr>
  </w:style>
  <w:style w:type="table" w:styleId="16" w:customStyle="1">
    <w:name w:val="16"/>
    <w:basedOn w:val="TableNormal6"/>
    <w:tblPr>
      <w:tblStyleRowBandSize w:val="1"/>
      <w:tblStyleColBandSize w:val="1"/>
      <w:tblCellMar>
        <w:top w:w="0.0" w:type="dxa"/>
        <w:left w:w="115.0" w:type="dxa"/>
        <w:bottom w:w="0.0" w:type="dxa"/>
        <w:right w:w="115.0" w:type="dxa"/>
      </w:tblCellMar>
    </w:tblPr>
  </w:style>
  <w:style w:type="table" w:styleId="15" w:customStyle="1">
    <w:name w:val="15"/>
    <w:basedOn w:val="TableNormal6"/>
    <w:tblPr>
      <w:tblStyleRowBandSize w:val="1"/>
      <w:tblStyleColBandSize w:val="1"/>
      <w:tblCellMar>
        <w:top w:w="0.0" w:type="dxa"/>
        <w:left w:w="115.0" w:type="dxa"/>
        <w:bottom w:w="0.0" w:type="dxa"/>
        <w:right w:w="115.0" w:type="dxa"/>
      </w:tblCellMar>
    </w:tblPr>
  </w:style>
  <w:style w:type="table" w:styleId="14" w:customStyle="1">
    <w:name w:val="14"/>
    <w:basedOn w:val="TableNormal7"/>
    <w:tblPr>
      <w:tblStyleRowBandSize w:val="1"/>
      <w:tblStyleColBandSize w:val="1"/>
      <w:tblCellMar>
        <w:top w:w="0.0" w:type="dxa"/>
        <w:left w:w="115.0" w:type="dxa"/>
        <w:bottom w:w="0.0" w:type="dxa"/>
        <w:right w:w="115.0" w:type="dxa"/>
      </w:tblCellMar>
    </w:tblPr>
  </w:style>
  <w:style w:type="table" w:styleId="13" w:customStyle="1">
    <w:name w:val="13"/>
    <w:basedOn w:val="TableNormal7"/>
    <w:tblPr>
      <w:tblStyleRowBandSize w:val="1"/>
      <w:tblStyleColBandSize w:val="1"/>
      <w:tblCellMar>
        <w:top w:w="0.0" w:type="dxa"/>
        <w:left w:w="115.0" w:type="dxa"/>
        <w:bottom w:w="0.0" w:type="dxa"/>
        <w:right w:w="115.0" w:type="dxa"/>
      </w:tblCellMar>
    </w:tblPr>
  </w:style>
  <w:style w:type="character" w:styleId="rse6dlih" w:customStyle="1">
    <w:name w:val="rse6dlih"/>
    <w:basedOn w:val="Fuentedeprrafopredeter"/>
    <w:rsid w:val="00190860"/>
  </w:style>
  <w:style w:type="table" w:styleId="12" w:customStyle="1">
    <w:name w:val="12"/>
    <w:basedOn w:val="TableNormal8"/>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1" w:customStyle="1">
    <w:name w:val="11"/>
    <w:basedOn w:val="TableNormal8"/>
    <w:tblPr>
      <w:tblStyleRowBandSize w:val="1"/>
      <w:tblStyleColBandSize w:val="1"/>
      <w:tblCellMar>
        <w:top w:w="0.0" w:type="dxa"/>
        <w:left w:w="115.0" w:type="dxa"/>
        <w:bottom w:w="0.0" w:type="dxa"/>
        <w:right w:w="115.0" w:type="dxa"/>
      </w:tblCellMar>
    </w:tblPr>
  </w:style>
  <w:style w:type="table" w:styleId="10" w:customStyle="1">
    <w:name w:val="10"/>
    <w:basedOn w:val="TableNormal8"/>
    <w:tblPr>
      <w:tblStyleRowBandSize w:val="1"/>
      <w:tblStyleColBandSize w:val="1"/>
      <w:tblCellMar>
        <w:top w:w="0.0" w:type="dxa"/>
        <w:left w:w="115.0" w:type="dxa"/>
        <w:bottom w:w="0.0" w:type="dxa"/>
        <w:right w:w="115.0" w:type="dxa"/>
      </w:tblCellMar>
    </w:tblPr>
  </w:style>
  <w:style w:type="table" w:styleId="24" w:customStyle="1">
    <w:name w:val="24"/>
    <w:basedOn w:val="TableNormal9"/>
    <w:tblPr>
      <w:tblStyleRowBandSize w:val="1"/>
      <w:tblStyleColBandSize w:val="1"/>
      <w:tblCellMar>
        <w:top w:w="0.0" w:type="dxa"/>
        <w:left w:w="115.0" w:type="dxa"/>
        <w:bottom w:w="0.0" w:type="dxa"/>
        <w:right w:w="115.0" w:type="dxa"/>
      </w:tblCellMar>
    </w:tblPr>
  </w:style>
  <w:style w:type="table" w:styleId="23" w:customStyle="1">
    <w:name w:val="23"/>
    <w:basedOn w:val="TableNormal9"/>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2" w:customStyle="1">
    <w:name w:val="22"/>
    <w:basedOn w:val="TableNormal9"/>
    <w:tblPr>
      <w:tblStyleRowBandSize w:val="1"/>
      <w:tblStyleColBandSize w:val="1"/>
      <w:tblCellMar>
        <w:top w:w="0.0" w:type="dxa"/>
        <w:left w:w="115.0" w:type="dxa"/>
        <w:bottom w:w="0.0" w:type="dxa"/>
        <w:right w:w="115.0" w:type="dxa"/>
      </w:tblCellMar>
    </w:tblPr>
  </w:style>
  <w:style w:type="table" w:styleId="21" w:customStyle="1">
    <w:name w:val="21"/>
    <w:basedOn w:val="TableNormal9"/>
    <w:tblPr>
      <w:tblStyleRowBandSize w:val="1"/>
      <w:tblStyleColBandSize w:val="1"/>
      <w:tblCellMar>
        <w:top w:w="0.0" w:type="dxa"/>
        <w:left w:w="115.0" w:type="dxa"/>
        <w:bottom w:w="0.0" w:type="dxa"/>
        <w:right w:w="115.0" w:type="dxa"/>
      </w:tblCellMar>
    </w:tblPr>
  </w:style>
  <w:style w:type="table" w:styleId="a" w:customStyle="1">
    <w:basedOn w:val="TableNormal4"/>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4"/>
    <w:tblPr>
      <w:tblStyleRowBandSize w:val="1"/>
      <w:tblStyleColBandSize w:val="1"/>
      <w:tblCellMar>
        <w:top w:w="0.0" w:type="dxa"/>
        <w:left w:w="115.0" w:type="dxa"/>
        <w:bottom w:w="0.0" w:type="dxa"/>
        <w:right w:w="115.0" w:type="dxa"/>
      </w:tblCellMar>
    </w:tblPr>
  </w:style>
  <w:style w:type="table" w:styleId="a2" w:customStyle="1">
    <w:basedOn w:val="TableNormal4"/>
    <w:tblPr>
      <w:tblStyleRowBandSize w:val="1"/>
      <w:tblStyleColBandSize w:val="1"/>
      <w:tblCellMar>
        <w:top w:w="0.0" w:type="dxa"/>
        <w:left w:w="115.0" w:type="dxa"/>
        <w:bottom w:w="0.0" w:type="dxa"/>
        <w:right w:w="115.0" w:type="dxa"/>
      </w:tblCellMar>
    </w:tblPr>
  </w:style>
  <w:style w:type="table" w:styleId="a3" w:customStyle="1">
    <w:basedOn w:val="TableNormal3"/>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4" w:customStyle="1">
    <w:basedOn w:val="TableNormal3"/>
    <w:tblPr>
      <w:tblStyleRowBandSize w:val="1"/>
      <w:tblStyleColBandSize w:val="1"/>
      <w:tblCellMar>
        <w:top w:w="0.0" w:type="dxa"/>
        <w:left w:w="115.0" w:type="dxa"/>
        <w:bottom w:w="0.0" w:type="dxa"/>
        <w:right w:w="115.0" w:type="dxa"/>
      </w:tblCellMar>
    </w:tblPr>
  </w:style>
  <w:style w:type="table" w:styleId="a5" w:customStyle="1">
    <w:basedOn w:val="TableNormal3"/>
    <w:tblPr>
      <w:tblStyleRowBandSize w:val="1"/>
      <w:tblStyleColBandSize w:val="1"/>
      <w:tblCellMar>
        <w:top w:w="0.0" w:type="dxa"/>
        <w:left w:w="115.0" w:type="dxa"/>
        <w:bottom w:w="0.0" w:type="dxa"/>
        <w:right w:w="115.0" w:type="dxa"/>
      </w:tblCellMar>
    </w:tblPr>
  </w:style>
  <w:style w:type="table" w:styleId="a6" w:customStyle="1">
    <w:basedOn w:val="TableNormal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7" w:customStyle="1">
    <w:basedOn w:val="TableNormal2"/>
    <w:tblPr>
      <w:tblStyleRowBandSize w:val="1"/>
      <w:tblStyleColBandSize w:val="1"/>
      <w:tblCellMar>
        <w:top w:w="0.0" w:type="dxa"/>
        <w:left w:w="115.0" w:type="dxa"/>
        <w:bottom w:w="0.0" w:type="dxa"/>
        <w:right w:w="115.0" w:type="dxa"/>
      </w:tblCellMar>
    </w:tblPr>
  </w:style>
  <w:style w:type="table" w:styleId="a8" w:customStyle="1">
    <w:basedOn w:val="TableNormal2"/>
    <w:tblPr>
      <w:tblStyleRowBandSize w:val="1"/>
      <w:tblStyleColBandSize w:val="1"/>
      <w:tblCellMar>
        <w:top w:w="0.0" w:type="dxa"/>
        <w:left w:w="115.0" w:type="dxa"/>
        <w:bottom w:w="0.0" w:type="dxa"/>
        <w:right w:w="115.0" w:type="dxa"/>
      </w:tblCellMar>
    </w:tblPr>
  </w:style>
  <w:style w:type="paragraph" w:styleId="corte4fondo" w:customStyle="1">
    <w:name w:val="corte4 fondo"/>
    <w:basedOn w:val="Normal"/>
    <w:link w:val="corte4fondoCar3"/>
    <w:qFormat w:val="1"/>
    <w:rsid w:val="00436B4A"/>
    <w:pPr>
      <w:spacing w:line="360" w:lineRule="auto"/>
      <w:ind w:firstLine="709"/>
      <w:jc w:val="both"/>
    </w:pPr>
    <w:rPr>
      <w:rFonts w:ascii="Arial" w:hAnsi="Arial"/>
      <w:sz w:val="30"/>
      <w:szCs w:val="20"/>
    </w:rPr>
  </w:style>
  <w:style w:type="character" w:styleId="corte4fondoCar3" w:customStyle="1">
    <w:name w:val="corte4 fondo Car3"/>
    <w:link w:val="corte4fondo"/>
    <w:locked w:val="1"/>
    <w:rsid w:val="00436B4A"/>
    <w:rPr>
      <w:rFonts w:ascii="Arial" w:hAnsi="Arial"/>
      <w:sz w:val="30"/>
      <w:szCs w:val="20"/>
    </w:rPr>
  </w:style>
  <w:style w:type="table" w:styleId="a9" w:customStyle="1">
    <w:basedOn w:val="TableNormal1"/>
    <w:tblPr>
      <w:tblStyleRowBandSize w:val="1"/>
      <w:tblStyleColBandSize w:val="1"/>
      <w:tblCellMar>
        <w:top w:w="0.0" w:type="dxa"/>
        <w:left w:w="115.0" w:type="dxa"/>
        <w:bottom w:w="0.0" w:type="dxa"/>
        <w:right w:w="115.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style>
  <w:style w:type="character" w:styleId="Mencinsinresolver4" w:customStyle="1">
    <w:name w:val="Mención sin resolver4"/>
    <w:basedOn w:val="Fuentedeprrafopredeter"/>
    <w:uiPriority w:val="99"/>
    <w:semiHidden w:val="1"/>
    <w:unhideWhenUsed w:val="1"/>
    <w:rsid w:val="007B4EEF"/>
    <w:rPr>
      <w:color w:val="605e5c"/>
      <w:shd w:color="auto" w:fill="e1dfdd" w:val="clear"/>
    </w:rPr>
  </w:style>
  <w:style w:type="table" w:styleId="ad" w:customStyle="1">
    <w:basedOn w:val="TableNormal0"/>
    <w:tblPr>
      <w:tblStyleRowBandSize w:val="1"/>
      <w:tblStyleColBandSize w:val="1"/>
      <w:tblCellMar>
        <w:top w:w="0.0" w:type="dxa"/>
        <w:left w:w="115.0" w:type="dxa"/>
        <w:bottom w:w="0.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e" w:customStyle="1">
    <w:basedOn w:val="TableNormal0"/>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t98318bCSHLVfWgImx5pHvVWg==">AMUW2mW+BQt9NFzWcstDGhc3hH9e6CSQYAfL4Vu2FH4mxBFZLBFKQwG1+cQD/QM1C8NfAoFXxmeNXgXdLQ3vIdu7/IUC5sACX64BNMr3lDh36hAj1JEysg3kt3xg7oW6A7p2Dg4mxzkOKh72LXletNc4vunz0g8Syq9nYl3DFDIcYxkn+Qc2b19v9cZhYDIQ+gsxBuQoBWe/xrAYc/g0xx+iR42uY5Ixf440NSu8X52BHEmgkVkS4us672FycWT6VDl/7ZLeLii33ws4bvIc9Xbs6By+IKbnnF4IcGo3Q0UKBvtTQ4cmMgUAdiornEtNNZ5MtjqjceFt3qn1EIRZ+clRJ/XZDRSO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2023-03-08T23:39:00Z</dcterms:created>
  <dc:creator>iMac</dc:creator>
</cp:coreProperties>
</file>