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749E9" w14:textId="77777777" w:rsidR="004821AF" w:rsidRPr="00F7527A" w:rsidRDefault="004C0AF5">
      <w:pPr>
        <w:spacing w:before="240" w:after="240" w:line="360" w:lineRule="auto"/>
        <w:ind w:right="49"/>
        <w:jc w:val="both"/>
        <w:rPr>
          <w:rFonts w:ascii="Palatino Linotype" w:eastAsia="Palatino Linotype" w:hAnsi="Palatino Linotype" w:cs="Palatino Linotype"/>
          <w:b/>
        </w:rPr>
      </w:pPr>
      <w:r w:rsidRPr="00F7527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83998" w:rsidRPr="00F7527A">
        <w:rPr>
          <w:rFonts w:ascii="Palatino Linotype" w:eastAsia="Palatino Linotype" w:hAnsi="Palatino Linotype" w:cs="Palatino Linotype"/>
          <w:b/>
        </w:rPr>
        <w:t>veintidós</w:t>
      </w:r>
      <w:r w:rsidR="000C7E21" w:rsidRPr="00F7527A">
        <w:rPr>
          <w:rFonts w:ascii="Palatino Linotype" w:eastAsia="Palatino Linotype" w:hAnsi="Palatino Linotype" w:cs="Palatino Linotype"/>
          <w:b/>
        </w:rPr>
        <w:t xml:space="preserve"> de marzo de dos mil veintitré</w:t>
      </w:r>
      <w:r w:rsidRPr="00F7527A">
        <w:rPr>
          <w:rFonts w:ascii="Palatino Linotype" w:eastAsia="Palatino Linotype" w:hAnsi="Palatino Linotype" w:cs="Palatino Linotype"/>
          <w:b/>
        </w:rPr>
        <w:t>s</w:t>
      </w:r>
      <w:r w:rsidRPr="00F7527A">
        <w:rPr>
          <w:rFonts w:ascii="Palatino Linotype" w:eastAsia="Palatino Linotype" w:hAnsi="Palatino Linotype" w:cs="Palatino Linotype"/>
        </w:rPr>
        <w:t>.</w:t>
      </w:r>
    </w:p>
    <w:p w14:paraId="644B3D32" w14:textId="749604FA"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Visto</w:t>
      </w:r>
      <w:r w:rsidRPr="00F7527A">
        <w:rPr>
          <w:rFonts w:ascii="Palatino Linotype" w:eastAsia="Palatino Linotype" w:hAnsi="Palatino Linotype" w:cs="Palatino Linotype"/>
        </w:rPr>
        <w:t xml:space="preserve"> el expediente relativo al recurso de revisión </w:t>
      </w:r>
      <w:r w:rsidR="000C7E21" w:rsidRPr="00F7527A">
        <w:rPr>
          <w:rFonts w:ascii="Palatino Linotype" w:eastAsia="Palatino Linotype" w:hAnsi="Palatino Linotype" w:cs="Palatino Linotype"/>
          <w:b/>
        </w:rPr>
        <w:t>14909</w:t>
      </w:r>
      <w:r w:rsidRPr="00F7527A">
        <w:rPr>
          <w:rFonts w:ascii="Palatino Linotype" w:eastAsia="Palatino Linotype" w:hAnsi="Palatino Linotype" w:cs="Palatino Linotype"/>
          <w:b/>
        </w:rPr>
        <w:t>/INFOEM/IP/RR/2022</w:t>
      </w:r>
      <w:r w:rsidRPr="00F7527A">
        <w:rPr>
          <w:rFonts w:ascii="Palatino Linotype" w:eastAsia="Palatino Linotype" w:hAnsi="Palatino Linotype" w:cs="Palatino Linotype"/>
          <w:b/>
          <w:sz w:val="22"/>
          <w:szCs w:val="22"/>
        </w:rPr>
        <w:t xml:space="preserve">, </w:t>
      </w:r>
      <w:r w:rsidRPr="00F7527A">
        <w:rPr>
          <w:rFonts w:ascii="Palatino Linotype" w:eastAsia="Palatino Linotype" w:hAnsi="Palatino Linotype" w:cs="Palatino Linotype"/>
        </w:rPr>
        <w:t>interpuesto por</w:t>
      </w:r>
      <w:r w:rsidR="000C7E21" w:rsidRPr="00F7527A">
        <w:rPr>
          <w:rFonts w:ascii="Palatino Linotype" w:eastAsia="Palatino Linotype" w:hAnsi="Palatino Linotype" w:cs="Palatino Linotype"/>
          <w:b/>
        </w:rPr>
        <w:t xml:space="preserve"> </w:t>
      </w:r>
      <w:r w:rsidR="004510D5">
        <w:rPr>
          <w:rFonts w:ascii="Palatino Linotype" w:eastAsia="Palatino Linotype" w:hAnsi="Palatino Linotype" w:cs="Palatino Linotype"/>
          <w:b/>
        </w:rPr>
        <w:t>XXXX,</w:t>
      </w:r>
      <w:r w:rsidRPr="00F7527A">
        <w:rPr>
          <w:rFonts w:ascii="Palatino Linotype" w:eastAsia="Palatino Linotype" w:hAnsi="Palatino Linotype" w:cs="Palatino Linotype"/>
          <w:b/>
          <w:color w:val="000000"/>
        </w:rPr>
        <w:t xml:space="preserve"> </w:t>
      </w:r>
      <w:r w:rsidRPr="00F7527A">
        <w:rPr>
          <w:rFonts w:ascii="Palatino Linotype" w:eastAsia="Palatino Linotype" w:hAnsi="Palatino Linotype" w:cs="Palatino Linotype"/>
        </w:rPr>
        <w:t xml:space="preserve">a quien en lo sucesivo se le denominará </w:t>
      </w:r>
      <w:r w:rsidRPr="00F7527A">
        <w:rPr>
          <w:rFonts w:ascii="Palatino Linotype" w:eastAsia="Palatino Linotype" w:hAnsi="Palatino Linotype" w:cs="Palatino Linotype"/>
          <w:b/>
        </w:rPr>
        <w:t>el Recurrente</w:t>
      </w:r>
      <w:r w:rsidRPr="00F7527A">
        <w:rPr>
          <w:rFonts w:ascii="Palatino Linotype" w:eastAsia="Palatino Linotype" w:hAnsi="Palatino Linotype" w:cs="Palatino Linotype"/>
          <w:b/>
          <w:i/>
        </w:rPr>
        <w:t xml:space="preserve"> </w:t>
      </w:r>
      <w:r w:rsidRPr="00F7527A">
        <w:rPr>
          <w:rFonts w:ascii="Palatino Linotype" w:eastAsia="Palatino Linotype" w:hAnsi="Palatino Linotype" w:cs="Palatino Linotype"/>
        </w:rPr>
        <w:t>en contra de la falta de respuesta a la solicitud de información con número de folio</w:t>
      </w:r>
      <w:r w:rsidRPr="00F7527A">
        <w:rPr>
          <w:rFonts w:ascii="Palatino Linotype" w:eastAsia="Palatino Linotype" w:hAnsi="Palatino Linotype" w:cs="Palatino Linotype"/>
          <w:b/>
          <w:color w:val="000000"/>
          <w:sz w:val="22"/>
          <w:szCs w:val="22"/>
        </w:rPr>
        <w:t xml:space="preserve"> </w:t>
      </w:r>
      <w:r w:rsidR="000C7E21" w:rsidRPr="00F7527A">
        <w:rPr>
          <w:rFonts w:ascii="Palatino Linotype" w:eastAsia="Palatino Linotype" w:hAnsi="Palatino Linotype" w:cs="Palatino Linotype"/>
          <w:b/>
          <w:color w:val="000000"/>
          <w:szCs w:val="22"/>
        </w:rPr>
        <w:t>00339/IXTAPALU/IP/2022</w:t>
      </w:r>
      <w:r w:rsidRPr="00F7527A">
        <w:rPr>
          <w:rFonts w:ascii="Palatino Linotype" w:eastAsia="Palatino Linotype" w:hAnsi="Palatino Linotype" w:cs="Palatino Linotype"/>
        </w:rPr>
        <w:t xml:space="preserve">, del </w:t>
      </w:r>
      <w:r w:rsidR="000C7E21" w:rsidRPr="00F7527A">
        <w:rPr>
          <w:rFonts w:ascii="Palatino Linotype" w:eastAsia="Palatino Linotype" w:hAnsi="Palatino Linotype" w:cs="Palatino Linotype"/>
          <w:b/>
        </w:rPr>
        <w:t>Ayuntamiento de Ixtapaluca</w:t>
      </w:r>
      <w:r w:rsidRPr="00F7527A">
        <w:rPr>
          <w:rFonts w:ascii="Palatino Linotype" w:eastAsia="Palatino Linotype" w:hAnsi="Palatino Linotype" w:cs="Palatino Linotype"/>
        </w:rPr>
        <w:t xml:space="preserve">, en lo sucesivo el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w:t>
      </w:r>
      <w:r w:rsidRPr="00F7527A">
        <w:rPr>
          <w:rFonts w:ascii="Palatino Linotype" w:eastAsia="Palatino Linotype" w:hAnsi="Palatino Linotype" w:cs="Palatino Linotype"/>
          <w:b/>
        </w:rPr>
        <w:t xml:space="preserve"> </w:t>
      </w:r>
      <w:r w:rsidRPr="00F7527A">
        <w:rPr>
          <w:rFonts w:ascii="Palatino Linotype" w:eastAsia="Palatino Linotype" w:hAnsi="Palatino Linotype" w:cs="Palatino Linotype"/>
        </w:rPr>
        <w:t>se procede a dictar la presente resolución, con base en lo siguiente.</w:t>
      </w:r>
    </w:p>
    <w:p w14:paraId="357780EE" w14:textId="77777777" w:rsidR="004821AF" w:rsidRPr="00F7527A" w:rsidRDefault="004C0AF5">
      <w:pPr>
        <w:keepNext/>
        <w:keepLines/>
        <w:spacing w:before="40"/>
        <w:jc w:val="center"/>
        <w:rPr>
          <w:rFonts w:ascii="Palatino Linotype" w:eastAsia="Palatino Linotype" w:hAnsi="Palatino Linotype" w:cs="Palatino Linotype"/>
          <w:b/>
        </w:rPr>
      </w:pPr>
      <w:r w:rsidRPr="00F7527A">
        <w:rPr>
          <w:rFonts w:ascii="Palatino Linotype" w:eastAsia="Palatino Linotype" w:hAnsi="Palatino Linotype" w:cs="Palatino Linotype"/>
          <w:b/>
        </w:rPr>
        <w:t>I. A N T E C E D E N T E S:</w:t>
      </w:r>
    </w:p>
    <w:p w14:paraId="4499F52A" w14:textId="77777777" w:rsidR="004821AF" w:rsidRPr="00F7527A" w:rsidRDefault="004821AF">
      <w:pPr>
        <w:keepNext/>
        <w:keepLines/>
        <w:spacing w:before="40"/>
        <w:jc w:val="center"/>
        <w:rPr>
          <w:rFonts w:ascii="Palatino Linotype" w:eastAsia="Palatino Linotype" w:hAnsi="Palatino Linotype" w:cs="Palatino Linotype"/>
          <w:b/>
        </w:rPr>
      </w:pPr>
    </w:p>
    <w:p w14:paraId="615F29C4"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1. Solicitud de acceso a la información.</w:t>
      </w:r>
      <w:r w:rsidRPr="00F7527A">
        <w:rPr>
          <w:rFonts w:ascii="Palatino Linotype" w:eastAsia="Palatino Linotype" w:hAnsi="Palatino Linotype" w:cs="Palatino Linotype"/>
          <w:b/>
          <w:sz w:val="28"/>
          <w:szCs w:val="28"/>
        </w:rPr>
        <w:t xml:space="preserve"> </w:t>
      </w:r>
      <w:r w:rsidRPr="00F7527A">
        <w:rPr>
          <w:rFonts w:ascii="Palatino Linotype" w:eastAsia="Palatino Linotype" w:hAnsi="Palatino Linotype" w:cs="Palatino Linotype"/>
        </w:rPr>
        <w:t xml:space="preserve">El </w:t>
      </w:r>
      <w:r w:rsidR="000C7E21" w:rsidRPr="00F7527A">
        <w:rPr>
          <w:rFonts w:ascii="Palatino Linotype" w:eastAsia="Palatino Linotype" w:hAnsi="Palatino Linotype" w:cs="Palatino Linotype"/>
          <w:b/>
        </w:rPr>
        <w:t>veintiséis</w:t>
      </w:r>
      <w:r w:rsidRPr="00F7527A">
        <w:rPr>
          <w:rFonts w:ascii="Palatino Linotype" w:eastAsia="Palatino Linotype" w:hAnsi="Palatino Linotype" w:cs="Palatino Linotype"/>
          <w:b/>
        </w:rPr>
        <w:t xml:space="preserve"> </w:t>
      </w:r>
      <w:r w:rsidR="000C7E21" w:rsidRPr="00F7527A">
        <w:rPr>
          <w:rFonts w:ascii="Palatino Linotype" w:eastAsia="Palatino Linotype" w:hAnsi="Palatino Linotype" w:cs="Palatino Linotype"/>
          <w:b/>
          <w:color w:val="000000"/>
        </w:rPr>
        <w:t>de agosto</w:t>
      </w:r>
      <w:r w:rsidRPr="00F7527A">
        <w:rPr>
          <w:rFonts w:ascii="Palatino Linotype" w:eastAsia="Palatino Linotype" w:hAnsi="Palatino Linotype" w:cs="Palatino Linotype"/>
          <w:color w:val="000000"/>
        </w:rPr>
        <w:t xml:space="preserve"> </w:t>
      </w:r>
      <w:r w:rsidRPr="00F7527A">
        <w:rPr>
          <w:rFonts w:ascii="Palatino Linotype" w:eastAsia="Palatino Linotype" w:hAnsi="Palatino Linotype" w:cs="Palatino Linotype"/>
          <w:b/>
        </w:rPr>
        <w:t>de dos mil veintidós</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b/>
        </w:rPr>
        <w:t>el</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b/>
        </w:rPr>
        <w:t>Recurrente</w:t>
      </w:r>
      <w:r w:rsidRPr="00F7527A">
        <w:rPr>
          <w:rFonts w:ascii="Palatino Linotype" w:eastAsia="Palatino Linotype" w:hAnsi="Palatino Linotype" w:cs="Palatino Linotype"/>
        </w:rPr>
        <w:t xml:space="preserve"> formuló su solicitud de acceso a la información pública ante el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 xml:space="preserve"> a través del Sistema de Acceso a la Información Mexiquense, en adelante </w:t>
      </w:r>
      <w:r w:rsidRPr="00F7527A">
        <w:rPr>
          <w:rFonts w:ascii="Palatino Linotype" w:eastAsia="Palatino Linotype" w:hAnsi="Palatino Linotype" w:cs="Palatino Linotype"/>
          <w:b/>
        </w:rPr>
        <w:t>SAIMEX,</w:t>
      </w:r>
      <w:r w:rsidRPr="00F7527A">
        <w:rPr>
          <w:rFonts w:ascii="Palatino Linotype" w:eastAsia="Palatino Linotype" w:hAnsi="Palatino Linotype" w:cs="Palatino Linotype"/>
        </w:rPr>
        <w:t xml:space="preserve"> requiriendo lo siguiente:</w:t>
      </w:r>
    </w:p>
    <w:p w14:paraId="1AD2386B" w14:textId="77777777" w:rsidR="004821AF" w:rsidRPr="00F7527A" w:rsidRDefault="004C0AF5">
      <w:pPr>
        <w:spacing w:before="240" w:after="240"/>
        <w:ind w:left="567" w:right="900"/>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i/>
          <w:color w:val="000000"/>
          <w:sz w:val="22"/>
          <w:szCs w:val="22"/>
        </w:rPr>
        <w:t>“</w:t>
      </w:r>
      <w:r w:rsidR="000C7E21" w:rsidRPr="00F7527A">
        <w:rPr>
          <w:rFonts w:ascii="Palatino Linotype" w:eastAsia="Palatino Linotype" w:hAnsi="Palatino Linotype" w:cs="Palatino Linotype"/>
          <w:b/>
          <w:i/>
          <w:color w:val="000000"/>
          <w:sz w:val="22"/>
          <w:szCs w:val="22"/>
        </w:rPr>
        <w:t xml:space="preserve">1. ¿Monto total que destinó ese Ayuntamiento y patrocinadores para llevar </w:t>
      </w:r>
      <w:proofErr w:type="gramStart"/>
      <w:r w:rsidR="000C7E21" w:rsidRPr="00F7527A">
        <w:rPr>
          <w:rFonts w:ascii="Palatino Linotype" w:eastAsia="Palatino Linotype" w:hAnsi="Palatino Linotype" w:cs="Palatino Linotype"/>
          <w:b/>
          <w:i/>
          <w:color w:val="000000"/>
          <w:sz w:val="22"/>
          <w:szCs w:val="22"/>
        </w:rPr>
        <w:t>acabo</w:t>
      </w:r>
      <w:proofErr w:type="gramEnd"/>
      <w:r w:rsidR="000C7E21" w:rsidRPr="00F7527A">
        <w:rPr>
          <w:rFonts w:ascii="Palatino Linotype" w:eastAsia="Palatino Linotype" w:hAnsi="Palatino Linotype" w:cs="Palatino Linotype"/>
          <w:b/>
          <w:i/>
          <w:color w:val="000000"/>
          <w:sz w:val="22"/>
          <w:szCs w:val="22"/>
        </w:rPr>
        <w:t xml:space="preserve"> la Feria Nacional de Ixtapaluca 2022? 2. ¿Qué servicios se contrataron para llevar a cabo esa Feria Nacional de Ixtapaluca 2022? 3. ¿Cuál fue el monto total de ingresos que obtuvo ese Ayuntamiento por venta de boletaje, venta de comida, bebidas, y de todos los servicios que se ofrecieron a las personas que asistieron a esa Feria?</w:t>
      </w:r>
      <w:r w:rsidR="000C7E21" w:rsidRPr="00F7527A">
        <w:rPr>
          <w:rFonts w:ascii="Palatino Linotype" w:eastAsia="Palatino Linotype" w:hAnsi="Palatino Linotype" w:cs="Palatino Linotype"/>
          <w:i/>
          <w:color w:val="000000"/>
          <w:sz w:val="22"/>
          <w:szCs w:val="22"/>
        </w:rPr>
        <w:t xml:space="preserve"> Cabe señalar que la información solicitada no es susceptible a reserva o ser confidencial, toda vez que corresponde a gastos e ingresos de una instancia de gobierno y que por mandato constitucional esta información es y debe ser pública, lo anterior con fundamento en el artículo 6, apartado A, Fracción I y V de la Constitución Política de los </w:t>
      </w:r>
      <w:r w:rsidR="000C7E21" w:rsidRPr="00F7527A">
        <w:rPr>
          <w:rFonts w:ascii="Palatino Linotype" w:eastAsia="Palatino Linotype" w:hAnsi="Palatino Linotype" w:cs="Palatino Linotype"/>
          <w:i/>
          <w:color w:val="000000"/>
          <w:sz w:val="22"/>
          <w:szCs w:val="22"/>
        </w:rPr>
        <w:lastRenderedPageBreak/>
        <w:t>Estados Unidos Mexicanos, que a la letra dice: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RPr="00F7527A">
        <w:rPr>
          <w:rFonts w:ascii="Palatino Linotype" w:eastAsia="Palatino Linotype" w:hAnsi="Palatino Linotype" w:cs="Palatino Linotype"/>
          <w:i/>
          <w:color w:val="000000"/>
          <w:sz w:val="22"/>
          <w:szCs w:val="22"/>
        </w:rPr>
        <w:t>” (Sic) (Énfasis añadido)</w:t>
      </w:r>
    </w:p>
    <w:p w14:paraId="0DCB3026" w14:textId="77777777" w:rsidR="004821AF" w:rsidRPr="00F7527A" w:rsidRDefault="004C0AF5">
      <w:pPr>
        <w:spacing w:before="240" w:after="240"/>
        <w:ind w:right="900"/>
        <w:jc w:val="both"/>
        <w:rPr>
          <w:rFonts w:ascii="Palatino Linotype" w:eastAsia="Palatino Linotype" w:hAnsi="Palatino Linotype" w:cs="Palatino Linotype"/>
          <w:i/>
          <w:color w:val="000000"/>
        </w:rPr>
      </w:pPr>
      <w:r w:rsidRPr="00F7527A">
        <w:rPr>
          <w:rFonts w:ascii="Palatino Linotype" w:eastAsia="Palatino Linotype" w:hAnsi="Palatino Linotype" w:cs="Palatino Linotype"/>
          <w:b/>
          <w:color w:val="000000"/>
        </w:rPr>
        <w:t>Modalidad de entrega de la información:</w:t>
      </w:r>
      <w:r w:rsidRPr="00F7527A">
        <w:rPr>
          <w:rFonts w:ascii="Palatino Linotype" w:eastAsia="Palatino Linotype" w:hAnsi="Palatino Linotype" w:cs="Palatino Linotype"/>
          <w:color w:val="000000"/>
        </w:rPr>
        <w:t xml:space="preserve"> A través del </w:t>
      </w:r>
      <w:r w:rsidRPr="00F7527A">
        <w:rPr>
          <w:rFonts w:ascii="Palatino Linotype" w:eastAsia="Palatino Linotype" w:hAnsi="Palatino Linotype" w:cs="Palatino Linotype"/>
          <w:b/>
        </w:rPr>
        <w:t>SAIMEX.</w:t>
      </w:r>
    </w:p>
    <w:p w14:paraId="4702DC06"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2. Respuesta.</w:t>
      </w:r>
      <w:r w:rsidRPr="00F7527A">
        <w:rPr>
          <w:rFonts w:ascii="Palatino Linotype" w:eastAsia="Palatino Linotype" w:hAnsi="Palatino Linotype" w:cs="Palatino Linotype"/>
          <w:b/>
          <w:sz w:val="22"/>
          <w:szCs w:val="22"/>
        </w:rPr>
        <w:t xml:space="preserve"> </w:t>
      </w:r>
      <w:r w:rsidRPr="00F7527A">
        <w:rPr>
          <w:rFonts w:ascii="Palatino Linotype" w:eastAsia="Palatino Linotype" w:hAnsi="Palatino Linotype" w:cs="Palatino Linotype"/>
        </w:rPr>
        <w:t xml:space="preserve">Con base en el detalle de seguimiento que obra en el </w:t>
      </w:r>
      <w:r w:rsidRPr="00F7527A">
        <w:rPr>
          <w:rFonts w:ascii="Palatino Linotype" w:eastAsia="Palatino Linotype" w:hAnsi="Palatino Linotype" w:cs="Palatino Linotype"/>
          <w:b/>
        </w:rPr>
        <w:t xml:space="preserve">SAIMEX, </w:t>
      </w:r>
      <w:r w:rsidRPr="00F7527A">
        <w:rPr>
          <w:rFonts w:ascii="Palatino Linotype" w:eastAsia="Palatino Linotype" w:hAnsi="Palatino Linotype" w:cs="Palatino Linotype"/>
        </w:rPr>
        <w:t xml:space="preserve">se advierte que el </w:t>
      </w:r>
      <w:r w:rsidRPr="00F7527A">
        <w:rPr>
          <w:rFonts w:ascii="Palatino Linotype" w:eastAsia="Palatino Linotype" w:hAnsi="Palatino Linotype" w:cs="Palatino Linotype"/>
          <w:b/>
        </w:rPr>
        <w:t xml:space="preserve">Sujeto Obligado </w:t>
      </w:r>
      <w:r w:rsidRPr="00F7527A">
        <w:rPr>
          <w:rFonts w:ascii="Palatino Linotype" w:eastAsia="Palatino Linotype" w:hAnsi="Palatino Linotype" w:cs="Palatino Linotype"/>
        </w:rPr>
        <w:t>omitió dar contestación a la solicitud de acceso a la información pública.</w:t>
      </w:r>
    </w:p>
    <w:p w14:paraId="53BFB130"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3. Interposición de</w:t>
      </w:r>
      <w:r w:rsidR="000C7E21" w:rsidRPr="00F7527A">
        <w:rPr>
          <w:rFonts w:ascii="Palatino Linotype" w:eastAsia="Palatino Linotype" w:hAnsi="Palatino Linotype" w:cs="Palatino Linotype"/>
          <w:b/>
        </w:rPr>
        <w:t>l</w:t>
      </w:r>
      <w:r w:rsidRPr="00F7527A">
        <w:rPr>
          <w:rFonts w:ascii="Palatino Linotype" w:eastAsia="Palatino Linotype" w:hAnsi="Palatino Linotype" w:cs="Palatino Linotype"/>
          <w:b/>
        </w:rPr>
        <w:t xml:space="preserve"> Recurso de revisión.</w:t>
      </w:r>
      <w:r w:rsidRPr="00F7527A">
        <w:rPr>
          <w:rFonts w:ascii="Palatino Linotype" w:eastAsia="Palatino Linotype" w:hAnsi="Palatino Linotype" w:cs="Palatino Linotype"/>
          <w:b/>
          <w:sz w:val="22"/>
          <w:szCs w:val="22"/>
        </w:rPr>
        <w:t xml:space="preserve"> </w:t>
      </w:r>
      <w:r w:rsidRPr="00F7527A">
        <w:rPr>
          <w:rFonts w:ascii="Palatino Linotype" w:eastAsia="Palatino Linotype" w:hAnsi="Palatino Linotype" w:cs="Palatino Linotype"/>
        </w:rPr>
        <w:t xml:space="preserve">El recurso de revisión se interpuso a través del SAIMEX, el </w:t>
      </w:r>
      <w:r w:rsidR="000C7E21" w:rsidRPr="00F7527A">
        <w:rPr>
          <w:rFonts w:ascii="Palatino Linotype" w:eastAsia="Palatino Linotype" w:hAnsi="Palatino Linotype" w:cs="Palatino Linotype"/>
          <w:b/>
        </w:rPr>
        <w:t>veinte</w:t>
      </w:r>
      <w:r w:rsidRPr="00F7527A">
        <w:rPr>
          <w:rFonts w:ascii="Palatino Linotype" w:eastAsia="Palatino Linotype" w:hAnsi="Palatino Linotype" w:cs="Palatino Linotype"/>
          <w:b/>
        </w:rPr>
        <w:t xml:space="preserve"> </w:t>
      </w:r>
      <w:r w:rsidR="000C7E21" w:rsidRPr="00F7527A">
        <w:rPr>
          <w:rFonts w:ascii="Palatino Linotype" w:eastAsia="Palatino Linotype" w:hAnsi="Palatino Linotype" w:cs="Palatino Linotype"/>
          <w:b/>
          <w:color w:val="000000"/>
        </w:rPr>
        <w:t>de septiembre</w:t>
      </w:r>
      <w:r w:rsidRPr="00F7527A">
        <w:rPr>
          <w:rFonts w:ascii="Palatino Linotype" w:eastAsia="Palatino Linotype" w:hAnsi="Palatino Linotype" w:cs="Palatino Linotype"/>
          <w:b/>
          <w:color w:val="000000"/>
        </w:rPr>
        <w:t xml:space="preserve"> del año dos mil veintidós</w:t>
      </w:r>
      <w:r w:rsidRPr="00F7527A">
        <w:rPr>
          <w:rFonts w:ascii="Palatino Linotype" w:eastAsia="Palatino Linotype" w:hAnsi="Palatino Linotype" w:cs="Palatino Linotype"/>
        </w:rPr>
        <w:t>, por parte de la persona solicitante de información, expresando lo siguiente:</w:t>
      </w:r>
    </w:p>
    <w:p w14:paraId="7BFD6490" w14:textId="77777777" w:rsidR="004821AF" w:rsidRPr="00F7527A" w:rsidRDefault="004C0AF5">
      <w:pPr>
        <w:spacing w:before="240" w:after="240" w:line="360" w:lineRule="auto"/>
        <w:ind w:left="567"/>
        <w:rPr>
          <w:rFonts w:ascii="Palatino Linotype" w:eastAsia="Palatino Linotype" w:hAnsi="Palatino Linotype" w:cs="Palatino Linotype"/>
          <w:b/>
        </w:rPr>
      </w:pPr>
      <w:r w:rsidRPr="00F7527A">
        <w:rPr>
          <w:rFonts w:ascii="Palatino Linotype" w:eastAsia="Palatino Linotype" w:hAnsi="Palatino Linotype" w:cs="Palatino Linotype"/>
          <w:b/>
        </w:rPr>
        <w:t>a) Acto impugnado.</w:t>
      </w:r>
    </w:p>
    <w:p w14:paraId="4307D841" w14:textId="77777777" w:rsidR="004821AF" w:rsidRPr="00F7527A" w:rsidRDefault="004C0AF5">
      <w:pPr>
        <w:spacing w:before="240" w:after="240"/>
        <w:ind w:left="567" w:right="709"/>
        <w:jc w:val="both"/>
        <w:rPr>
          <w:rFonts w:ascii="Palatino Linotype" w:eastAsia="Palatino Linotype" w:hAnsi="Palatino Linotype" w:cs="Palatino Linotype"/>
          <w:sz w:val="22"/>
          <w:szCs w:val="22"/>
        </w:rPr>
      </w:pPr>
      <w:r w:rsidRPr="00F7527A">
        <w:rPr>
          <w:rFonts w:ascii="Palatino Linotype" w:eastAsia="Palatino Linotype" w:hAnsi="Palatino Linotype" w:cs="Palatino Linotype"/>
          <w:i/>
          <w:color w:val="000000"/>
          <w:sz w:val="22"/>
          <w:szCs w:val="22"/>
        </w:rPr>
        <w:t>“</w:t>
      </w:r>
      <w:r w:rsidR="000C7E21" w:rsidRPr="00F7527A">
        <w:rPr>
          <w:rFonts w:ascii="Palatino Linotype" w:eastAsia="Palatino Linotype" w:hAnsi="Palatino Linotype" w:cs="Palatino Linotype"/>
          <w:i/>
          <w:color w:val="000000"/>
          <w:sz w:val="22"/>
          <w:szCs w:val="22"/>
        </w:rPr>
        <w:t xml:space="preserve">El Ayuntamiento de Ixtapaluca ha hecho caso omiso en la atención a mi solicitud de información. Lo cual amerita alguna sanción al o los servidores públicos encargados de dar trámite a las solicitudes de ese Ayuntamiento. Asimismo, no se ha </w:t>
      </w:r>
      <w:r w:rsidR="000C7E21" w:rsidRPr="00F7527A">
        <w:rPr>
          <w:rFonts w:ascii="Palatino Linotype" w:eastAsia="Palatino Linotype" w:hAnsi="Palatino Linotype" w:cs="Palatino Linotype"/>
          <w:i/>
          <w:color w:val="000000"/>
          <w:sz w:val="22"/>
          <w:szCs w:val="22"/>
        </w:rPr>
        <w:lastRenderedPageBreak/>
        <w:t>notificado que dicho sujeto obligado haya requerido algún tipo de ampliación de plazo para dar respuesta a mi solicitud.</w:t>
      </w:r>
      <w:r w:rsidRPr="00F7527A">
        <w:rPr>
          <w:rFonts w:ascii="Palatino Linotype" w:eastAsia="Palatino Linotype" w:hAnsi="Palatino Linotype" w:cs="Palatino Linotype"/>
          <w:i/>
          <w:color w:val="000000"/>
          <w:sz w:val="22"/>
          <w:szCs w:val="22"/>
        </w:rPr>
        <w:t>”</w:t>
      </w:r>
      <w:r w:rsidRPr="00F7527A">
        <w:rPr>
          <w:rFonts w:ascii="Palatino Linotype" w:eastAsia="Palatino Linotype" w:hAnsi="Palatino Linotype" w:cs="Palatino Linotype"/>
          <w:i/>
          <w:sz w:val="22"/>
          <w:szCs w:val="22"/>
        </w:rPr>
        <w:t xml:space="preserve"> (Sic)</w:t>
      </w:r>
    </w:p>
    <w:p w14:paraId="1F001DD7" w14:textId="77777777" w:rsidR="004821AF" w:rsidRPr="00F7527A" w:rsidRDefault="004C0AF5">
      <w:pPr>
        <w:spacing w:before="240" w:after="240" w:line="360" w:lineRule="auto"/>
        <w:ind w:left="567"/>
        <w:jc w:val="both"/>
        <w:rPr>
          <w:rFonts w:ascii="Palatino Linotype" w:eastAsia="Palatino Linotype" w:hAnsi="Palatino Linotype" w:cs="Palatino Linotype"/>
          <w:b/>
        </w:rPr>
      </w:pPr>
      <w:r w:rsidRPr="00F7527A">
        <w:rPr>
          <w:rFonts w:ascii="Palatino Linotype" w:eastAsia="Palatino Linotype" w:hAnsi="Palatino Linotype" w:cs="Palatino Linotype"/>
          <w:b/>
        </w:rPr>
        <w:t>b) Razones o Motivos de inconformidad.</w:t>
      </w:r>
    </w:p>
    <w:p w14:paraId="62858DFB" w14:textId="77777777" w:rsidR="004821AF" w:rsidRPr="00F7527A" w:rsidRDefault="004C0AF5">
      <w:pPr>
        <w:spacing w:before="240" w:after="240"/>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color w:val="000000"/>
          <w:sz w:val="22"/>
          <w:szCs w:val="22"/>
        </w:rPr>
        <w:t>“</w:t>
      </w:r>
      <w:r w:rsidR="000C7E21" w:rsidRPr="00F7527A">
        <w:rPr>
          <w:rFonts w:ascii="Palatino Linotype" w:eastAsia="Palatino Linotype" w:hAnsi="Palatino Linotype" w:cs="Palatino Linotype"/>
          <w:i/>
          <w:color w:val="000000"/>
          <w:sz w:val="22"/>
          <w:szCs w:val="22"/>
        </w:rPr>
        <w:t>Por segunda ocasión consecutiva, ese Ayuntamiento de Ixtapaluca omite dar trámite a una solicitud de información, cabe resaltar que parece ser que sus funcionarios públicos son incompetentes o que ese Ayuntamiento carece de Transparencia. Es una lástima que por más de un mes no se dé trámite a las solicitudes.</w:t>
      </w:r>
      <w:r w:rsidRPr="00F7527A">
        <w:rPr>
          <w:rFonts w:ascii="Palatino Linotype" w:eastAsia="Palatino Linotype" w:hAnsi="Palatino Linotype" w:cs="Palatino Linotype"/>
          <w:i/>
          <w:color w:val="000000"/>
          <w:sz w:val="22"/>
          <w:szCs w:val="22"/>
        </w:rPr>
        <w:t xml:space="preserve">” </w:t>
      </w:r>
      <w:r w:rsidRPr="00F7527A">
        <w:rPr>
          <w:rFonts w:ascii="Palatino Linotype" w:eastAsia="Palatino Linotype" w:hAnsi="Palatino Linotype" w:cs="Palatino Linotype"/>
          <w:i/>
          <w:sz w:val="22"/>
          <w:szCs w:val="22"/>
        </w:rPr>
        <w:t xml:space="preserve">(Sic) </w:t>
      </w:r>
    </w:p>
    <w:p w14:paraId="38A4BDF6" w14:textId="77777777" w:rsidR="00137815" w:rsidRPr="00F7527A" w:rsidRDefault="00137815">
      <w:pPr>
        <w:spacing w:before="240" w:after="240"/>
        <w:ind w:left="567" w:right="709"/>
        <w:jc w:val="both"/>
        <w:rPr>
          <w:rFonts w:ascii="Palatino Linotype" w:eastAsia="Palatino Linotype" w:hAnsi="Palatino Linotype" w:cs="Palatino Linotype"/>
          <w:b/>
          <w:color w:val="000000"/>
          <w:sz w:val="22"/>
          <w:szCs w:val="22"/>
        </w:rPr>
      </w:pPr>
      <w:r w:rsidRPr="00F7527A">
        <w:rPr>
          <w:rFonts w:ascii="Palatino Linotype" w:eastAsia="Palatino Linotype" w:hAnsi="Palatino Linotype" w:cs="Palatino Linotype"/>
          <w:b/>
          <w:color w:val="000000"/>
          <w:sz w:val="22"/>
          <w:szCs w:val="22"/>
        </w:rPr>
        <w:t xml:space="preserve">Archivos adjuntos: </w:t>
      </w:r>
    </w:p>
    <w:p w14:paraId="23184FCD" w14:textId="77777777" w:rsidR="00137815" w:rsidRPr="00F7527A" w:rsidRDefault="00137815">
      <w:pPr>
        <w:spacing w:before="240" w:after="240"/>
        <w:ind w:left="567" w:right="709"/>
        <w:jc w:val="both"/>
        <w:rPr>
          <w:rFonts w:ascii="Palatino Linotype" w:eastAsia="Palatino Linotype" w:hAnsi="Palatino Linotype" w:cs="Palatino Linotype"/>
          <w:sz w:val="22"/>
          <w:szCs w:val="22"/>
        </w:rPr>
      </w:pPr>
      <w:r w:rsidRPr="00F7527A">
        <w:rPr>
          <w:rFonts w:ascii="Palatino Linotype" w:eastAsia="Palatino Linotype" w:hAnsi="Palatino Linotype" w:cs="Palatino Linotype"/>
          <w:b/>
          <w:i/>
          <w:sz w:val="22"/>
          <w:szCs w:val="22"/>
        </w:rPr>
        <w:t xml:space="preserve">“Caso omiso a solicitud.pdf”: </w:t>
      </w:r>
      <w:r w:rsidRPr="00F7527A">
        <w:rPr>
          <w:rFonts w:ascii="Palatino Linotype" w:eastAsia="Palatino Linotype" w:hAnsi="Palatino Linotype" w:cs="Palatino Linotype"/>
          <w:sz w:val="22"/>
          <w:szCs w:val="22"/>
        </w:rPr>
        <w:t xml:space="preserve">Consiste en el formato de solicitud de información </w:t>
      </w:r>
    </w:p>
    <w:p w14:paraId="76BA1F3F" w14:textId="77777777" w:rsidR="004821AF" w:rsidRPr="00F7527A" w:rsidRDefault="004C0AF5">
      <w:pPr>
        <w:spacing w:line="360" w:lineRule="auto"/>
        <w:jc w:val="both"/>
        <w:rPr>
          <w:rFonts w:ascii="Palatino Linotype" w:eastAsia="Palatino Linotype" w:hAnsi="Palatino Linotype" w:cs="Palatino Linotype"/>
          <w:b/>
        </w:rPr>
      </w:pPr>
      <w:r w:rsidRPr="00F7527A">
        <w:rPr>
          <w:rFonts w:ascii="Palatino Linotype" w:eastAsia="Palatino Linotype" w:hAnsi="Palatino Linotype" w:cs="Palatino Linotype"/>
          <w:b/>
        </w:rPr>
        <w:t xml:space="preserve">4. Turno. </w:t>
      </w:r>
      <w:r w:rsidRPr="00F7527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fue turnado por el sistema electrónico del Instituto de Transparencia, Acceso a la Información Pública y Protección de Datos Personales del Estado de México y Municipios a la </w:t>
      </w:r>
      <w:r w:rsidRPr="00F7527A">
        <w:rPr>
          <w:rFonts w:ascii="Palatino Linotype" w:eastAsia="Palatino Linotype" w:hAnsi="Palatino Linotype" w:cs="Palatino Linotype"/>
          <w:b/>
        </w:rPr>
        <w:t>Comisionada Guadalupe Ramírez Peña</w:t>
      </w:r>
      <w:r w:rsidRPr="00F7527A">
        <w:rPr>
          <w:rFonts w:ascii="Palatino Linotype" w:eastAsia="Palatino Linotype" w:hAnsi="Palatino Linotype" w:cs="Palatino Linotype"/>
        </w:rPr>
        <w:t>.</w:t>
      </w:r>
      <w:r w:rsidRPr="00F7527A">
        <w:rPr>
          <w:rFonts w:ascii="Palatino Linotype" w:eastAsia="Palatino Linotype" w:hAnsi="Palatino Linotype" w:cs="Palatino Linotype"/>
          <w:b/>
        </w:rPr>
        <w:t xml:space="preserve"> </w:t>
      </w:r>
    </w:p>
    <w:p w14:paraId="5D4DA16E" w14:textId="77777777" w:rsidR="004821AF" w:rsidRPr="00F7527A" w:rsidRDefault="004C0AF5">
      <w:pPr>
        <w:spacing w:before="240" w:after="240" w:line="360" w:lineRule="auto"/>
        <w:jc w:val="both"/>
      </w:pPr>
      <w:r w:rsidRPr="00F7527A">
        <w:rPr>
          <w:rFonts w:ascii="Palatino Linotype" w:eastAsia="Palatino Linotype" w:hAnsi="Palatino Linotype" w:cs="Palatino Linotype"/>
          <w:b/>
        </w:rPr>
        <w:t>5. Admisión.</w:t>
      </w:r>
      <w:r w:rsidRPr="00F7527A">
        <w:rPr>
          <w:rFonts w:ascii="Palatino Linotype" w:eastAsia="Palatino Linotype" w:hAnsi="Palatino Linotype" w:cs="Palatino Linotype"/>
          <w:b/>
          <w:sz w:val="28"/>
          <w:szCs w:val="28"/>
        </w:rPr>
        <w:t xml:space="preserve"> </w:t>
      </w:r>
      <w:r w:rsidRPr="00F7527A">
        <w:rPr>
          <w:rFonts w:ascii="Palatino Linotype" w:eastAsia="Palatino Linotype" w:hAnsi="Palatino Linotype" w:cs="Palatino Linotype"/>
        </w:rPr>
        <w:t xml:space="preserve">Mediante auto de fecha </w:t>
      </w:r>
      <w:r w:rsidR="000C7E21" w:rsidRPr="00F7527A">
        <w:rPr>
          <w:rFonts w:ascii="Palatino Linotype" w:eastAsia="Palatino Linotype" w:hAnsi="Palatino Linotype" w:cs="Palatino Linotype"/>
          <w:b/>
        </w:rPr>
        <w:t>veintitrés</w:t>
      </w:r>
      <w:r w:rsidRPr="00F7527A">
        <w:rPr>
          <w:rFonts w:ascii="Palatino Linotype" w:eastAsia="Palatino Linotype" w:hAnsi="Palatino Linotype" w:cs="Palatino Linotype"/>
          <w:b/>
        </w:rPr>
        <w:t xml:space="preserve"> </w:t>
      </w:r>
      <w:r w:rsidR="000C7E21" w:rsidRPr="00F7527A">
        <w:rPr>
          <w:rFonts w:ascii="Palatino Linotype" w:eastAsia="Palatino Linotype" w:hAnsi="Palatino Linotype" w:cs="Palatino Linotype"/>
          <w:b/>
          <w:color w:val="000000"/>
        </w:rPr>
        <w:t>de septiembre</w:t>
      </w:r>
      <w:r w:rsidRPr="00F7527A">
        <w:rPr>
          <w:rFonts w:ascii="Palatino Linotype" w:eastAsia="Palatino Linotype" w:hAnsi="Palatino Linotype" w:cs="Palatino Linotype"/>
          <w:b/>
          <w:color w:val="000000"/>
        </w:rPr>
        <w:t xml:space="preserve"> de dos mil veintidós</w:t>
      </w:r>
      <w:r w:rsidRPr="00F7527A">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0636E862"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6. Manifestaciones.</w:t>
      </w:r>
      <w:r w:rsidRPr="00F7527A">
        <w:rPr>
          <w:sz w:val="22"/>
          <w:szCs w:val="22"/>
        </w:rPr>
        <w:t xml:space="preserve"> </w:t>
      </w:r>
      <w:r w:rsidRPr="00F7527A">
        <w:rPr>
          <w:rFonts w:ascii="Palatino Linotype" w:eastAsia="Palatino Linotype" w:hAnsi="Palatino Linotype" w:cs="Palatino Linotype"/>
        </w:rPr>
        <w:t>De las constancias del expediente electrónico del</w:t>
      </w:r>
      <w:r w:rsidRPr="00F7527A">
        <w:rPr>
          <w:rFonts w:ascii="Palatino Linotype" w:eastAsia="Palatino Linotype" w:hAnsi="Palatino Linotype" w:cs="Palatino Linotype"/>
          <w:b/>
        </w:rPr>
        <w:t xml:space="preserve"> SAIMEX</w:t>
      </w:r>
      <w:r w:rsidR="000C7E21" w:rsidRPr="00F7527A">
        <w:rPr>
          <w:rFonts w:ascii="Palatino Linotype" w:eastAsia="Palatino Linotype" w:hAnsi="Palatino Linotype" w:cs="Palatino Linotype"/>
        </w:rPr>
        <w:t>, se observa que el día</w:t>
      </w:r>
      <w:r w:rsidR="000C7E21" w:rsidRPr="00F7527A">
        <w:rPr>
          <w:rFonts w:ascii="Palatino Linotype" w:eastAsia="Palatino Linotype" w:hAnsi="Palatino Linotype" w:cs="Palatino Linotype"/>
          <w:b/>
        </w:rPr>
        <w:t xml:space="preserve"> veintisiete de septiembre</w:t>
      </w:r>
      <w:r w:rsidR="00137815" w:rsidRPr="00F7527A">
        <w:rPr>
          <w:rFonts w:ascii="Palatino Linotype" w:eastAsia="Palatino Linotype" w:hAnsi="Palatino Linotype" w:cs="Palatino Linotype"/>
          <w:b/>
        </w:rPr>
        <w:t xml:space="preserve"> y veinticinco de octubre</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b/>
        </w:rPr>
        <w:t xml:space="preserve">de dos mil </w:t>
      </w:r>
      <w:r w:rsidRPr="00F7527A">
        <w:rPr>
          <w:rFonts w:ascii="Palatino Linotype" w:eastAsia="Palatino Linotype" w:hAnsi="Palatino Linotype" w:cs="Palatino Linotype"/>
          <w:b/>
        </w:rPr>
        <w:lastRenderedPageBreak/>
        <w:t>veintidós</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b/>
        </w:rPr>
        <w:t xml:space="preserve">el Sujeto Obligado </w:t>
      </w:r>
      <w:r w:rsidRPr="00F7527A">
        <w:rPr>
          <w:rFonts w:ascii="Palatino Linotype" w:eastAsia="Palatino Linotype" w:hAnsi="Palatino Linotype" w:cs="Palatino Linotype"/>
        </w:rPr>
        <w:t>remitió los siguientes archivos electrónicos y expresó las siguientes consideraciones:</w:t>
      </w:r>
    </w:p>
    <w:p w14:paraId="037DAEE7" w14:textId="77777777" w:rsidR="000C7E21" w:rsidRPr="00F7527A" w:rsidRDefault="000C7E21" w:rsidP="00AB1C30">
      <w:pPr>
        <w:spacing w:before="240" w:after="240" w:line="360" w:lineRule="auto"/>
        <w:ind w:left="567" w:right="709"/>
        <w:jc w:val="both"/>
        <w:rPr>
          <w:rFonts w:ascii="Palatino Linotype" w:eastAsia="Palatino Linotype" w:hAnsi="Palatino Linotype" w:cs="Palatino Linotype"/>
        </w:rPr>
      </w:pPr>
      <w:r w:rsidRPr="00F7527A">
        <w:rPr>
          <w:rFonts w:ascii="Palatino Linotype" w:eastAsia="Palatino Linotype" w:hAnsi="Palatino Linotype" w:cs="Palatino Linotype"/>
          <w:b/>
          <w:i/>
        </w:rPr>
        <w:t xml:space="preserve">“RESPUESTA SUBADMINISTRACION 339.pdf”: </w:t>
      </w:r>
      <w:r w:rsidRPr="00F7527A">
        <w:rPr>
          <w:rFonts w:ascii="Palatino Linotype" w:eastAsia="Palatino Linotype" w:hAnsi="Palatino Linotype" w:cs="Palatino Linotype"/>
        </w:rPr>
        <w:t>Oficio IXTA/SUBADMON/0393/2022, signado por el Subdirector de Administración, mediante el cual señala que los servicios que se contrataron fueron los siguientes: domos, gradas, vallas pesadas, vallas de popote, barricada antimotines, camerinos y los artistas de gr</w:t>
      </w:r>
      <w:r w:rsidR="00094309" w:rsidRPr="00F7527A">
        <w:rPr>
          <w:rFonts w:ascii="Palatino Linotype" w:eastAsia="Palatino Linotype" w:hAnsi="Palatino Linotype" w:cs="Palatino Linotype"/>
        </w:rPr>
        <w:t xml:space="preserve">an reconocimiento, lo antes mencionado se llevó a cabo en los diferentes espacios que se asignaron (jardín municipal, explanada municipal, y recinto ferial) para realizar la Feria Nacional de Ixtapaluca 2022. </w:t>
      </w:r>
    </w:p>
    <w:p w14:paraId="07AB8958" w14:textId="77777777" w:rsidR="000C7E21" w:rsidRPr="00F7527A" w:rsidRDefault="000C7E21" w:rsidP="00094309">
      <w:pPr>
        <w:spacing w:before="240" w:after="240" w:line="276" w:lineRule="auto"/>
        <w:ind w:left="567" w:right="709"/>
        <w:jc w:val="center"/>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noProof/>
          <w:sz w:val="22"/>
          <w:szCs w:val="22"/>
          <w:lang w:val="es-MX" w:eastAsia="es-MX"/>
        </w:rPr>
        <w:lastRenderedPageBreak/>
        <w:drawing>
          <wp:inline distT="0" distB="0" distL="0" distR="0" wp14:anchorId="51C43CB7" wp14:editId="705A07AD">
            <wp:extent cx="4218014" cy="5591175"/>
            <wp:effectExtent l="19050" t="19050" r="1143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4285" cy="5639254"/>
                    </a:xfrm>
                    <a:prstGeom prst="rect">
                      <a:avLst/>
                    </a:prstGeom>
                    <a:ln>
                      <a:solidFill>
                        <a:schemeClr val="tx1"/>
                      </a:solidFill>
                    </a:ln>
                  </pic:spPr>
                </pic:pic>
              </a:graphicData>
            </a:graphic>
          </wp:inline>
        </w:drawing>
      </w:r>
    </w:p>
    <w:p w14:paraId="5AC0BC00" w14:textId="77777777" w:rsidR="004821AF" w:rsidRPr="00F7527A" w:rsidRDefault="000C7E21" w:rsidP="00137815">
      <w:pPr>
        <w:spacing w:before="240" w:after="240" w:line="276" w:lineRule="auto"/>
        <w:ind w:left="567" w:right="709"/>
        <w:jc w:val="both"/>
        <w:rPr>
          <w:rFonts w:ascii="Palatino Linotype" w:eastAsia="Palatino Linotype" w:hAnsi="Palatino Linotype" w:cs="Palatino Linotype"/>
          <w:sz w:val="22"/>
          <w:szCs w:val="22"/>
        </w:rPr>
      </w:pPr>
      <w:r w:rsidRPr="00F7527A">
        <w:rPr>
          <w:rFonts w:ascii="Palatino Linotype" w:eastAsia="Palatino Linotype" w:hAnsi="Palatino Linotype" w:cs="Palatino Linotype"/>
          <w:b/>
          <w:i/>
          <w:sz w:val="22"/>
          <w:szCs w:val="22"/>
        </w:rPr>
        <w:t>“RESPUESTA 339 RECAUDACION.pdf”:</w:t>
      </w:r>
      <w:r w:rsidR="00137815" w:rsidRPr="00F7527A">
        <w:rPr>
          <w:rFonts w:ascii="Palatino Linotype" w:eastAsia="Palatino Linotype" w:hAnsi="Palatino Linotype" w:cs="Palatino Linotype"/>
          <w:sz w:val="22"/>
          <w:szCs w:val="22"/>
        </w:rPr>
        <w:t xml:space="preserve"> Oficio IXT/SDR/0163/2022, por el cual el </w:t>
      </w:r>
      <w:proofErr w:type="gramStart"/>
      <w:r w:rsidR="00137815" w:rsidRPr="00F7527A">
        <w:rPr>
          <w:rFonts w:ascii="Palatino Linotype" w:eastAsia="Palatino Linotype" w:hAnsi="Palatino Linotype" w:cs="Palatino Linotype"/>
          <w:sz w:val="22"/>
          <w:szCs w:val="22"/>
        </w:rPr>
        <w:t>Subdirector</w:t>
      </w:r>
      <w:proofErr w:type="gramEnd"/>
      <w:r w:rsidR="00137815" w:rsidRPr="00F7527A">
        <w:rPr>
          <w:rFonts w:ascii="Palatino Linotype" w:eastAsia="Palatino Linotype" w:hAnsi="Palatino Linotype" w:cs="Palatino Linotype"/>
          <w:sz w:val="22"/>
          <w:szCs w:val="22"/>
        </w:rPr>
        <w:t xml:space="preserve"> de Recaudación, señala que dicha Subdirección no cuenta con la información solicitada porque los mecanismos para la recaudación de ingresos de la Feria Nacional de Ixtapaluca, (venta de boletaje, bebidas, alimentos, etc.), no fueron realizados por esta Subdirección.</w:t>
      </w:r>
    </w:p>
    <w:p w14:paraId="2EF92D55" w14:textId="77777777" w:rsidR="00137815" w:rsidRPr="00F7527A" w:rsidRDefault="00137815" w:rsidP="000C7E21">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noProof/>
          <w:sz w:val="22"/>
          <w:szCs w:val="22"/>
          <w:lang w:val="es-MX" w:eastAsia="es-MX"/>
        </w:rPr>
        <w:lastRenderedPageBreak/>
        <w:drawing>
          <wp:inline distT="0" distB="0" distL="0" distR="0" wp14:anchorId="48E577D3" wp14:editId="2632BCC9">
            <wp:extent cx="4964179" cy="6200775"/>
            <wp:effectExtent l="19050" t="19050" r="2730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1480" cy="6209894"/>
                    </a:xfrm>
                    <a:prstGeom prst="rect">
                      <a:avLst/>
                    </a:prstGeom>
                    <a:ln>
                      <a:solidFill>
                        <a:schemeClr val="tx1"/>
                      </a:solidFill>
                    </a:ln>
                  </pic:spPr>
                </pic:pic>
              </a:graphicData>
            </a:graphic>
          </wp:inline>
        </w:drawing>
      </w:r>
    </w:p>
    <w:p w14:paraId="284CEDD9" w14:textId="77777777" w:rsidR="00AE5B74" w:rsidRPr="00F7527A" w:rsidRDefault="00AE5B74" w:rsidP="00AE5B74">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Es de precisar que esta información, se puso a disposición del </w:t>
      </w:r>
      <w:r w:rsidRPr="00F7527A">
        <w:rPr>
          <w:rFonts w:ascii="Palatino Linotype" w:eastAsia="Palatino Linotype" w:hAnsi="Palatino Linotype" w:cs="Palatino Linotype"/>
          <w:b/>
        </w:rPr>
        <w:t>Recurrente</w:t>
      </w:r>
      <w:r w:rsidRPr="00F7527A">
        <w:rPr>
          <w:rFonts w:ascii="Palatino Linotype" w:eastAsia="Palatino Linotype" w:hAnsi="Palatino Linotype" w:cs="Palatino Linotype"/>
        </w:rPr>
        <w:t xml:space="preserve">, mediante acuerdo emitido por la Comisionada Ponente </w:t>
      </w:r>
      <w:r w:rsidRPr="00F7527A">
        <w:rPr>
          <w:rFonts w:ascii="Palatino Linotype" w:eastAsia="Palatino Linotype" w:hAnsi="Palatino Linotype" w:cs="Palatino Linotype"/>
          <w:color w:val="000000" w:themeColor="text1"/>
        </w:rPr>
        <w:t xml:space="preserve">el </w:t>
      </w:r>
      <w:r w:rsidR="00AB1C30" w:rsidRPr="00F7527A">
        <w:rPr>
          <w:rFonts w:ascii="Palatino Linotype" w:eastAsia="Palatino Linotype" w:hAnsi="Palatino Linotype" w:cs="Palatino Linotype"/>
          <w:b/>
          <w:color w:val="000000" w:themeColor="text1"/>
        </w:rPr>
        <w:t>catorce</w:t>
      </w:r>
      <w:r w:rsidRPr="00F7527A">
        <w:rPr>
          <w:rFonts w:ascii="Palatino Linotype" w:eastAsia="Palatino Linotype" w:hAnsi="Palatino Linotype" w:cs="Palatino Linotype"/>
          <w:b/>
          <w:color w:val="000000" w:themeColor="text1"/>
        </w:rPr>
        <w:t xml:space="preserve"> de marzo </w:t>
      </w:r>
      <w:r w:rsidRPr="00F7527A">
        <w:rPr>
          <w:rFonts w:ascii="Palatino Linotype" w:eastAsia="Palatino Linotype" w:hAnsi="Palatino Linotype" w:cs="Palatino Linotype"/>
          <w:b/>
        </w:rPr>
        <w:t>de dos mil veintitrés</w:t>
      </w:r>
      <w:r w:rsidRPr="00F7527A">
        <w:rPr>
          <w:rFonts w:ascii="Palatino Linotype" w:eastAsia="Palatino Linotype" w:hAnsi="Palatino Linotype" w:cs="Palatino Linotype"/>
        </w:rPr>
        <w:t xml:space="preserve">. </w:t>
      </w:r>
    </w:p>
    <w:p w14:paraId="2A4D5AC0" w14:textId="77777777" w:rsidR="00AE5B74" w:rsidRPr="00F7527A" w:rsidRDefault="00AB1C30" w:rsidP="00AB1C30">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noProof/>
          <w:lang w:val="es-MX" w:eastAsia="es-MX"/>
        </w:rPr>
        <w:lastRenderedPageBreak/>
        <w:drawing>
          <wp:inline distT="0" distB="0" distL="0" distR="0" wp14:anchorId="03812A6A" wp14:editId="0D44CB40">
            <wp:extent cx="5490845" cy="3075940"/>
            <wp:effectExtent l="19050" t="19050" r="14605"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0845" cy="3075940"/>
                    </a:xfrm>
                    <a:prstGeom prst="rect">
                      <a:avLst/>
                    </a:prstGeom>
                    <a:ln>
                      <a:solidFill>
                        <a:schemeClr val="tx1"/>
                      </a:solidFill>
                    </a:ln>
                  </pic:spPr>
                </pic:pic>
              </a:graphicData>
            </a:graphic>
          </wp:inline>
        </w:drawing>
      </w:r>
    </w:p>
    <w:p w14:paraId="749F4513" w14:textId="77777777" w:rsidR="00AE5B74" w:rsidRPr="00F7527A" w:rsidRDefault="00AE5B74" w:rsidP="00AB1C30">
      <w:pPr>
        <w:spacing w:before="240" w:after="240" w:line="360" w:lineRule="auto"/>
        <w:jc w:val="both"/>
        <w:rPr>
          <w:rFonts w:ascii="Palatino Linotype" w:eastAsia="Palatino Linotype" w:hAnsi="Palatino Linotype" w:cs="Palatino Linotype"/>
          <w:color w:val="000000" w:themeColor="text1"/>
          <w:szCs w:val="22"/>
        </w:rPr>
      </w:pPr>
      <w:r w:rsidRPr="00F7527A">
        <w:rPr>
          <w:rFonts w:ascii="Palatino Linotype" w:eastAsia="Palatino Linotype" w:hAnsi="Palatino Linotype" w:cs="Palatino Linotype"/>
          <w:color w:val="000000" w:themeColor="text1"/>
          <w:szCs w:val="22"/>
        </w:rPr>
        <w:t xml:space="preserve">Asimismo, el particular remitió el siguiente archivo electrónico, el </w:t>
      </w:r>
      <w:r w:rsidRPr="00F7527A">
        <w:rPr>
          <w:rFonts w:ascii="Palatino Linotype" w:eastAsia="Palatino Linotype" w:hAnsi="Palatino Linotype" w:cs="Palatino Linotype"/>
          <w:b/>
          <w:color w:val="000000" w:themeColor="text1"/>
          <w:szCs w:val="22"/>
        </w:rPr>
        <w:t>veinticinco de octubre de dos mil veintidós</w:t>
      </w:r>
      <w:r w:rsidRPr="00F7527A">
        <w:rPr>
          <w:rFonts w:ascii="Palatino Linotype" w:eastAsia="Palatino Linotype" w:hAnsi="Palatino Linotype" w:cs="Palatino Linotype"/>
          <w:color w:val="000000" w:themeColor="text1"/>
          <w:szCs w:val="22"/>
        </w:rPr>
        <w:t>:</w:t>
      </w:r>
    </w:p>
    <w:p w14:paraId="1D29D521" w14:textId="77777777" w:rsidR="000C7E21" w:rsidRPr="00F7527A" w:rsidRDefault="00137815" w:rsidP="00AB1C30">
      <w:pPr>
        <w:spacing w:before="240" w:after="240" w:line="360" w:lineRule="auto"/>
        <w:ind w:left="567" w:right="709"/>
        <w:jc w:val="both"/>
        <w:rPr>
          <w:rFonts w:ascii="Palatino Linotype" w:eastAsia="Palatino Linotype" w:hAnsi="Palatino Linotype" w:cs="Palatino Linotype"/>
          <w:color w:val="000000" w:themeColor="text1"/>
        </w:rPr>
      </w:pPr>
      <w:r w:rsidRPr="00F7527A">
        <w:rPr>
          <w:rFonts w:ascii="Palatino Linotype" w:eastAsia="Palatino Linotype" w:hAnsi="Palatino Linotype" w:cs="Palatino Linotype"/>
          <w:b/>
          <w:i/>
          <w:color w:val="000000" w:themeColor="text1"/>
        </w:rPr>
        <w:t xml:space="preserve">“Caso omiso a solicitud de información pública.docx”: </w:t>
      </w:r>
      <w:r w:rsidRPr="00F7527A">
        <w:rPr>
          <w:rFonts w:ascii="Palatino Linotype" w:eastAsia="Palatino Linotype" w:hAnsi="Palatino Linotype" w:cs="Palatino Linotype"/>
          <w:color w:val="000000" w:themeColor="text1"/>
        </w:rPr>
        <w:t>Consiste en el formato de solicitud de información.</w:t>
      </w:r>
      <w:r w:rsidR="006E07CE" w:rsidRPr="00F7527A">
        <w:rPr>
          <w:rFonts w:ascii="Palatino Linotype" w:eastAsia="Palatino Linotype" w:hAnsi="Palatino Linotype" w:cs="Palatino Linotype"/>
          <w:color w:val="000000" w:themeColor="text1"/>
        </w:rPr>
        <w:t xml:space="preserve"> </w:t>
      </w:r>
    </w:p>
    <w:p w14:paraId="68E203C4" w14:textId="77777777" w:rsidR="00137815" w:rsidRPr="00F7527A" w:rsidRDefault="00AE5B74" w:rsidP="00AB1C30">
      <w:pPr>
        <w:spacing w:before="240" w:after="240" w:line="276" w:lineRule="auto"/>
        <w:ind w:left="567" w:right="709"/>
        <w:jc w:val="both"/>
        <w:rPr>
          <w:rFonts w:ascii="Palatino Linotype" w:eastAsia="Palatino Linotype" w:hAnsi="Palatino Linotype" w:cs="Palatino Linotype"/>
          <w:color w:val="FF0000"/>
          <w:sz w:val="32"/>
          <w:szCs w:val="22"/>
        </w:rPr>
      </w:pPr>
      <w:r w:rsidRPr="00F7527A">
        <w:rPr>
          <w:rFonts w:ascii="Palatino Linotype" w:eastAsia="Palatino Linotype" w:hAnsi="Palatino Linotype" w:cs="Palatino Linotype"/>
          <w:noProof/>
          <w:color w:val="FF0000"/>
          <w:sz w:val="32"/>
          <w:szCs w:val="22"/>
          <w:lang w:val="es-MX" w:eastAsia="es-MX"/>
        </w:rPr>
        <w:lastRenderedPageBreak/>
        <w:drawing>
          <wp:inline distT="0" distB="0" distL="0" distR="0" wp14:anchorId="23360635" wp14:editId="6A98DC51">
            <wp:extent cx="4954422" cy="514350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7428" cy="5146621"/>
                    </a:xfrm>
                    <a:prstGeom prst="rect">
                      <a:avLst/>
                    </a:prstGeom>
                    <a:ln>
                      <a:solidFill>
                        <a:schemeClr val="tx1"/>
                      </a:solidFill>
                    </a:ln>
                  </pic:spPr>
                </pic:pic>
              </a:graphicData>
            </a:graphic>
          </wp:inline>
        </w:drawing>
      </w:r>
    </w:p>
    <w:p w14:paraId="41B7598F" w14:textId="77777777" w:rsidR="004821AF" w:rsidRPr="00F7527A" w:rsidRDefault="004C0AF5">
      <w:pPr>
        <w:spacing w:line="360" w:lineRule="auto"/>
        <w:jc w:val="both"/>
        <w:rPr>
          <w:rFonts w:ascii="Palatino Linotype" w:eastAsia="Palatino Linotype" w:hAnsi="Palatino Linotype" w:cs="Palatino Linotype"/>
          <w:b/>
        </w:rPr>
      </w:pPr>
      <w:r w:rsidRPr="00F7527A">
        <w:rPr>
          <w:rFonts w:ascii="Palatino Linotype" w:eastAsia="Palatino Linotype" w:hAnsi="Palatino Linotype" w:cs="Palatino Linotype"/>
          <w:b/>
        </w:rPr>
        <w:t>7.- Ampliación del plazo para emitir resolución.</w:t>
      </w:r>
      <w:r w:rsidRPr="00F7527A">
        <w:rPr>
          <w:rFonts w:ascii="Palatino Linotype" w:eastAsia="Palatino Linotype" w:hAnsi="Palatino Linotype" w:cs="Palatino Linotype"/>
        </w:rPr>
        <w:t xml:space="preserve"> El </w:t>
      </w:r>
      <w:r w:rsidR="00AB1C30" w:rsidRPr="00F7527A">
        <w:rPr>
          <w:rFonts w:ascii="Palatino Linotype" w:eastAsia="Palatino Linotype" w:hAnsi="Palatino Linotype" w:cs="Palatino Linotype"/>
          <w:b/>
          <w:color w:val="000000" w:themeColor="text1"/>
        </w:rPr>
        <w:t>cator</w:t>
      </w:r>
      <w:r w:rsidR="00AE5B74" w:rsidRPr="00F7527A">
        <w:rPr>
          <w:rFonts w:ascii="Palatino Linotype" w:eastAsia="Palatino Linotype" w:hAnsi="Palatino Linotype" w:cs="Palatino Linotype"/>
          <w:b/>
          <w:color w:val="000000" w:themeColor="text1"/>
        </w:rPr>
        <w:t>ce</w:t>
      </w:r>
      <w:r w:rsidR="00137815" w:rsidRPr="00F7527A">
        <w:rPr>
          <w:rFonts w:ascii="Palatino Linotype" w:eastAsia="Palatino Linotype" w:hAnsi="Palatino Linotype" w:cs="Palatino Linotype"/>
          <w:b/>
          <w:color w:val="000000" w:themeColor="text1"/>
        </w:rPr>
        <w:t xml:space="preserve"> de marzo </w:t>
      </w:r>
      <w:r w:rsidR="00137815" w:rsidRPr="00F7527A">
        <w:rPr>
          <w:rFonts w:ascii="Palatino Linotype" w:eastAsia="Palatino Linotype" w:hAnsi="Palatino Linotype" w:cs="Palatino Linotype"/>
          <w:b/>
        </w:rPr>
        <w:t>de dos mil veintitré</w:t>
      </w:r>
      <w:r w:rsidRPr="00F7527A">
        <w:rPr>
          <w:rFonts w:ascii="Palatino Linotype" w:eastAsia="Palatino Linotype" w:hAnsi="Palatino Linotype" w:cs="Palatino Linotype"/>
          <w:b/>
        </w:rPr>
        <w:t>s</w:t>
      </w:r>
      <w:r w:rsidRPr="00F7527A">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31F3973F" w14:textId="77777777" w:rsidR="004821AF" w:rsidRPr="00F7527A" w:rsidRDefault="004821AF">
      <w:pPr>
        <w:spacing w:line="360" w:lineRule="auto"/>
        <w:jc w:val="both"/>
        <w:rPr>
          <w:rFonts w:ascii="Palatino Linotype" w:eastAsia="Palatino Linotype" w:hAnsi="Palatino Linotype" w:cs="Palatino Linotype"/>
        </w:rPr>
      </w:pPr>
    </w:p>
    <w:p w14:paraId="68FE0C9F"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lastRenderedPageBreak/>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w:t>
      </w:r>
      <w:r w:rsidRPr="00F7527A">
        <w:rPr>
          <w:rFonts w:ascii="Palatino Linotype" w:eastAsia="Palatino Linotype" w:hAnsi="Palatino Linotype" w:cs="Palatino Linotype"/>
          <w:color w:val="000000" w:themeColor="text1"/>
        </w:rPr>
        <w:t xml:space="preserve">año </w:t>
      </w:r>
      <w:r w:rsidR="006E07CE" w:rsidRPr="00F7527A">
        <w:rPr>
          <w:rFonts w:ascii="Palatino Linotype" w:eastAsia="Palatino Linotype" w:hAnsi="Palatino Linotype" w:cs="Palatino Linotype"/>
        </w:rPr>
        <w:t xml:space="preserve">2021 </w:t>
      </w:r>
      <w:r w:rsidRPr="00F7527A">
        <w:rPr>
          <w:rFonts w:ascii="Palatino Linotype" w:eastAsia="Palatino Linotype" w:hAnsi="Palatino Linotype" w:cs="Palatino Linotype"/>
        </w:rPr>
        <w:t>dentro del mismo periodo, se ha incrementado aproximadamente un 400%, circunstancia atípica que ha rebasado las capacidades técnicas y humanas del personal encargado de la proyección de las resoluciones a dichos medios de impugnación.</w:t>
      </w:r>
    </w:p>
    <w:p w14:paraId="75372D90" w14:textId="77777777" w:rsidR="004821AF" w:rsidRPr="00F7527A" w:rsidRDefault="004821AF">
      <w:pPr>
        <w:spacing w:line="360" w:lineRule="auto"/>
        <w:jc w:val="both"/>
        <w:rPr>
          <w:rFonts w:ascii="Palatino Linotype" w:eastAsia="Palatino Linotype" w:hAnsi="Palatino Linotype" w:cs="Palatino Linotype"/>
        </w:rPr>
      </w:pPr>
    </w:p>
    <w:p w14:paraId="60DBEC8A"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Por ello, es menester precisar </w:t>
      </w:r>
      <w:proofErr w:type="gramStart"/>
      <w:r w:rsidRPr="00F7527A">
        <w:rPr>
          <w:rFonts w:ascii="Palatino Linotype" w:eastAsia="Palatino Linotype" w:hAnsi="Palatino Linotype" w:cs="Palatino Linotype"/>
        </w:rPr>
        <w:t>que</w:t>
      </w:r>
      <w:proofErr w:type="gramEnd"/>
      <w:r w:rsidRPr="00F7527A">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0E5474" w14:textId="77777777" w:rsidR="004821AF" w:rsidRPr="00F7527A" w:rsidRDefault="004821AF">
      <w:pPr>
        <w:spacing w:line="360" w:lineRule="auto"/>
        <w:jc w:val="both"/>
        <w:rPr>
          <w:rFonts w:ascii="Palatino Linotype" w:eastAsia="Palatino Linotype" w:hAnsi="Palatino Linotype" w:cs="Palatino Linotype"/>
        </w:rPr>
      </w:pPr>
    </w:p>
    <w:p w14:paraId="70CADCAD"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80C07A" w14:textId="77777777" w:rsidR="004821AF" w:rsidRPr="00F7527A" w:rsidRDefault="004821AF">
      <w:pPr>
        <w:spacing w:line="360" w:lineRule="auto"/>
        <w:jc w:val="both"/>
        <w:rPr>
          <w:rFonts w:ascii="Palatino Linotype" w:eastAsia="Palatino Linotype" w:hAnsi="Palatino Linotype" w:cs="Palatino Linotype"/>
        </w:rPr>
      </w:pPr>
    </w:p>
    <w:p w14:paraId="3364C3E4"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BBBC4D1" w14:textId="77777777" w:rsidR="004821AF" w:rsidRPr="00F7527A" w:rsidRDefault="004821AF">
      <w:pPr>
        <w:spacing w:line="360" w:lineRule="auto"/>
        <w:jc w:val="both"/>
        <w:rPr>
          <w:rFonts w:ascii="Palatino Linotype" w:eastAsia="Palatino Linotype" w:hAnsi="Palatino Linotype" w:cs="Palatino Linotype"/>
        </w:rPr>
      </w:pPr>
    </w:p>
    <w:p w14:paraId="2D7A483D" w14:textId="77777777" w:rsidR="004821AF" w:rsidRPr="00F7527A" w:rsidRDefault="004C0AF5">
      <w:pPr>
        <w:spacing w:line="360" w:lineRule="auto"/>
        <w:jc w:val="both"/>
        <w:rPr>
          <w:rFonts w:ascii="Palatino Linotype" w:eastAsia="Palatino Linotype" w:hAnsi="Palatino Linotype" w:cs="Palatino Linotype"/>
          <w:strike/>
          <w:color w:val="FF0000"/>
        </w:rPr>
      </w:pPr>
      <w:r w:rsidRPr="00F7527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7321C7C" w14:textId="77777777" w:rsidR="004821AF" w:rsidRPr="00F7527A" w:rsidRDefault="004821AF">
      <w:pPr>
        <w:spacing w:line="360" w:lineRule="auto"/>
        <w:jc w:val="both"/>
        <w:rPr>
          <w:rFonts w:ascii="Palatino Linotype" w:eastAsia="Palatino Linotype" w:hAnsi="Palatino Linotype" w:cs="Palatino Linotype"/>
        </w:rPr>
      </w:pPr>
    </w:p>
    <w:p w14:paraId="687B9018" w14:textId="77777777" w:rsidR="004821AF" w:rsidRPr="00F7527A" w:rsidRDefault="004C0AF5">
      <w:pPr>
        <w:numPr>
          <w:ilvl w:val="0"/>
          <w:numId w:val="2"/>
        </w:numPr>
        <w:spacing w:line="360" w:lineRule="auto"/>
        <w:ind w:left="567"/>
        <w:jc w:val="both"/>
        <w:rPr>
          <w:rFonts w:ascii="Palatino Linotype" w:eastAsia="Palatino Linotype" w:hAnsi="Palatino Linotype" w:cs="Palatino Linotype"/>
        </w:rPr>
      </w:pPr>
      <w:r w:rsidRPr="00F7527A">
        <w:rPr>
          <w:rFonts w:ascii="Palatino Linotype" w:eastAsia="Palatino Linotype" w:hAnsi="Palatino Linotype" w:cs="Palatino Linotype"/>
          <w:b/>
        </w:rPr>
        <w:t>Complejidad del Asunto:</w:t>
      </w:r>
      <w:r w:rsidRPr="00F7527A">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753DAC2" w14:textId="77777777" w:rsidR="004821AF" w:rsidRPr="00F7527A" w:rsidRDefault="004821AF">
      <w:pPr>
        <w:spacing w:line="360" w:lineRule="auto"/>
        <w:ind w:left="567"/>
        <w:jc w:val="both"/>
        <w:rPr>
          <w:rFonts w:ascii="Palatino Linotype" w:eastAsia="Palatino Linotype" w:hAnsi="Palatino Linotype" w:cs="Palatino Linotype"/>
        </w:rPr>
      </w:pPr>
    </w:p>
    <w:p w14:paraId="16FC2FDA" w14:textId="77777777" w:rsidR="004821AF" w:rsidRPr="00F7527A" w:rsidRDefault="004C0AF5">
      <w:pPr>
        <w:numPr>
          <w:ilvl w:val="0"/>
          <w:numId w:val="2"/>
        </w:numPr>
        <w:spacing w:line="360" w:lineRule="auto"/>
        <w:ind w:left="567" w:hanging="283"/>
        <w:jc w:val="both"/>
        <w:rPr>
          <w:rFonts w:ascii="Palatino Linotype" w:eastAsia="Palatino Linotype" w:hAnsi="Palatino Linotype" w:cs="Palatino Linotype"/>
        </w:rPr>
      </w:pPr>
      <w:r w:rsidRPr="00F7527A">
        <w:rPr>
          <w:rFonts w:ascii="Palatino Linotype" w:eastAsia="Palatino Linotype" w:hAnsi="Palatino Linotype" w:cs="Palatino Linotype"/>
          <w:b/>
        </w:rPr>
        <w:t>Actividad Procesal del interesado.</w:t>
      </w:r>
      <w:r w:rsidRPr="00F7527A">
        <w:rPr>
          <w:rFonts w:ascii="Palatino Linotype" w:eastAsia="Palatino Linotype" w:hAnsi="Palatino Linotype" w:cs="Palatino Linotype"/>
        </w:rPr>
        <w:t xml:space="preserve"> Acciones u omisiones del interesado.</w:t>
      </w:r>
    </w:p>
    <w:p w14:paraId="63C47CD5" w14:textId="77777777" w:rsidR="004821AF" w:rsidRPr="00F7527A" w:rsidRDefault="004821AF">
      <w:pPr>
        <w:spacing w:line="360" w:lineRule="auto"/>
        <w:ind w:left="567" w:hanging="283"/>
        <w:jc w:val="both"/>
        <w:rPr>
          <w:rFonts w:ascii="Palatino Linotype" w:eastAsia="Palatino Linotype" w:hAnsi="Palatino Linotype" w:cs="Palatino Linotype"/>
        </w:rPr>
      </w:pPr>
    </w:p>
    <w:p w14:paraId="03F5F1E4" w14:textId="77777777" w:rsidR="004821AF" w:rsidRPr="00F7527A" w:rsidRDefault="004C0AF5">
      <w:pPr>
        <w:numPr>
          <w:ilvl w:val="0"/>
          <w:numId w:val="2"/>
        </w:numPr>
        <w:spacing w:line="360" w:lineRule="auto"/>
        <w:ind w:left="567" w:hanging="283"/>
        <w:jc w:val="both"/>
        <w:rPr>
          <w:rFonts w:ascii="Palatino Linotype" w:eastAsia="Palatino Linotype" w:hAnsi="Palatino Linotype" w:cs="Palatino Linotype"/>
        </w:rPr>
      </w:pPr>
      <w:r w:rsidRPr="00F7527A">
        <w:rPr>
          <w:rFonts w:ascii="Palatino Linotype" w:eastAsia="Palatino Linotype" w:hAnsi="Palatino Linotype" w:cs="Palatino Linotype"/>
          <w:b/>
        </w:rPr>
        <w:t>Conducta de la Autoridad:</w:t>
      </w:r>
      <w:r w:rsidRPr="00F7527A">
        <w:rPr>
          <w:rFonts w:ascii="Palatino Linotype" w:eastAsia="Palatino Linotype" w:hAnsi="Palatino Linotype" w:cs="Palatino Linotype"/>
        </w:rPr>
        <w:t xml:space="preserve"> Las Acciones u omisiones realizadas en el procedimiento. Así como si la autoridad actuó con la debida diligencia.</w:t>
      </w:r>
    </w:p>
    <w:p w14:paraId="0D4D6AA2" w14:textId="77777777" w:rsidR="004821AF" w:rsidRPr="00F7527A" w:rsidRDefault="004821AF">
      <w:pPr>
        <w:spacing w:line="360" w:lineRule="auto"/>
        <w:ind w:left="567" w:hanging="283"/>
        <w:rPr>
          <w:rFonts w:ascii="Palatino Linotype" w:eastAsia="Palatino Linotype" w:hAnsi="Palatino Linotype" w:cs="Palatino Linotype"/>
        </w:rPr>
      </w:pPr>
    </w:p>
    <w:p w14:paraId="6E00822B" w14:textId="77777777" w:rsidR="004821AF" w:rsidRPr="00F7527A" w:rsidRDefault="004C0AF5">
      <w:pPr>
        <w:spacing w:line="360" w:lineRule="auto"/>
        <w:ind w:left="567" w:hanging="283"/>
        <w:jc w:val="both"/>
        <w:rPr>
          <w:rFonts w:ascii="Palatino Linotype" w:eastAsia="Palatino Linotype" w:hAnsi="Palatino Linotype" w:cs="Palatino Linotype"/>
        </w:rPr>
      </w:pPr>
      <w:r w:rsidRPr="00F7527A">
        <w:rPr>
          <w:rFonts w:ascii="Palatino Linotype" w:eastAsia="Palatino Linotype" w:hAnsi="Palatino Linotype" w:cs="Palatino Linotype"/>
          <w:b/>
        </w:rPr>
        <w:t>d)</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b/>
        </w:rPr>
        <w:t>La afectación generada en la situación jurídica de la persona involucrada en el proceso:</w:t>
      </w:r>
      <w:r w:rsidRPr="00F7527A">
        <w:rPr>
          <w:rFonts w:ascii="Palatino Linotype" w:eastAsia="Palatino Linotype" w:hAnsi="Palatino Linotype" w:cs="Palatino Linotype"/>
        </w:rPr>
        <w:t xml:space="preserve"> Violación a sus derechos humanos.</w:t>
      </w:r>
    </w:p>
    <w:p w14:paraId="248EAA1A" w14:textId="77777777" w:rsidR="004821AF" w:rsidRPr="00F7527A" w:rsidRDefault="004821AF">
      <w:pPr>
        <w:spacing w:line="360" w:lineRule="auto"/>
        <w:jc w:val="both"/>
        <w:rPr>
          <w:rFonts w:ascii="Palatino Linotype" w:eastAsia="Palatino Linotype" w:hAnsi="Palatino Linotype" w:cs="Palatino Linotype"/>
        </w:rPr>
      </w:pPr>
    </w:p>
    <w:p w14:paraId="1020724D"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CDB90E" w14:textId="77777777" w:rsidR="004821AF" w:rsidRPr="00F7527A" w:rsidRDefault="004821AF">
      <w:pPr>
        <w:spacing w:line="360" w:lineRule="auto"/>
        <w:jc w:val="both"/>
        <w:rPr>
          <w:rFonts w:ascii="Palatino Linotype" w:eastAsia="Palatino Linotype" w:hAnsi="Palatino Linotype" w:cs="Palatino Linotype"/>
        </w:rPr>
      </w:pPr>
    </w:p>
    <w:p w14:paraId="3A413A0F" w14:textId="77777777" w:rsidR="004821AF" w:rsidRPr="00F7527A" w:rsidRDefault="004C0AF5">
      <w:pPr>
        <w:spacing w:line="360" w:lineRule="auto"/>
        <w:jc w:val="both"/>
        <w:rPr>
          <w:rFonts w:ascii="Palatino Linotype" w:eastAsia="Palatino Linotype" w:hAnsi="Palatino Linotype" w:cs="Palatino Linotype"/>
          <w:b/>
        </w:rPr>
      </w:pPr>
      <w:r w:rsidRPr="00F7527A">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F7527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7527A">
        <w:rPr>
          <w:rFonts w:ascii="Palatino Linotype" w:eastAsia="Palatino Linotype" w:hAnsi="Palatino Linotype" w:cs="Palatino Linotype"/>
        </w:rPr>
        <w:t>, visible en la Gaceta del Seminario Judicial de la Federación con el registro digital 205635.</w:t>
      </w:r>
    </w:p>
    <w:p w14:paraId="735D2178" w14:textId="77777777" w:rsidR="004821AF" w:rsidRPr="00F7527A" w:rsidRDefault="004821AF">
      <w:pPr>
        <w:spacing w:line="360" w:lineRule="auto"/>
        <w:jc w:val="both"/>
        <w:rPr>
          <w:rFonts w:ascii="Palatino Linotype" w:eastAsia="Palatino Linotype" w:hAnsi="Palatino Linotype" w:cs="Palatino Linotype"/>
        </w:rPr>
      </w:pPr>
    </w:p>
    <w:p w14:paraId="56D9F87F"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1EFC61" w14:textId="77777777" w:rsidR="004821AF" w:rsidRPr="00F7527A" w:rsidRDefault="004821AF">
      <w:pPr>
        <w:spacing w:line="360" w:lineRule="auto"/>
        <w:jc w:val="both"/>
        <w:rPr>
          <w:rFonts w:ascii="Palatino Linotype" w:eastAsia="Palatino Linotype" w:hAnsi="Palatino Linotype" w:cs="Palatino Linotype"/>
        </w:rPr>
      </w:pPr>
    </w:p>
    <w:p w14:paraId="56C4B95A"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07A0AA" w14:textId="77777777" w:rsidR="004821AF" w:rsidRPr="00F7527A" w:rsidRDefault="004821AF">
      <w:pPr>
        <w:spacing w:line="360" w:lineRule="auto"/>
        <w:jc w:val="both"/>
        <w:rPr>
          <w:rFonts w:ascii="Palatino Linotype" w:eastAsia="Palatino Linotype" w:hAnsi="Palatino Linotype" w:cs="Palatino Linotype"/>
        </w:rPr>
      </w:pPr>
    </w:p>
    <w:p w14:paraId="43AB8AF9"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lastRenderedPageBreak/>
        <w:t xml:space="preserve"> </w:t>
      </w:r>
      <w:r w:rsidRPr="00F7527A">
        <w:rPr>
          <w:rFonts w:ascii="Palatino Linotype" w:eastAsia="Palatino Linotype" w:hAnsi="Palatino Linotype" w:cs="Palatino Linotype"/>
          <w:i/>
        </w:rPr>
        <w:t>“PLAZO RAZONABLE PARA RESOLVER. DIMENSIÓN Y EFECTOS DE ESTE CONCEPTO CUANDO SE ADUCE EXCESIVA CARGA DE TRABAJO.”</w:t>
      </w:r>
      <w:r w:rsidRPr="00F7527A">
        <w:rPr>
          <w:rFonts w:ascii="Palatino Linotype" w:eastAsia="Palatino Linotype" w:hAnsi="Palatino Linotype" w:cs="Palatino Linotype"/>
        </w:rPr>
        <w:t xml:space="preserve"> consultable en el Seminario Judicial de la Federación y su gaceta, con el registro digital 2002351.</w:t>
      </w:r>
    </w:p>
    <w:p w14:paraId="26FF5DE8" w14:textId="77777777" w:rsidR="004821AF" w:rsidRPr="00F7527A" w:rsidRDefault="004821AF">
      <w:pPr>
        <w:spacing w:line="360" w:lineRule="auto"/>
        <w:jc w:val="both"/>
        <w:rPr>
          <w:rFonts w:ascii="Palatino Linotype" w:eastAsia="Palatino Linotype" w:hAnsi="Palatino Linotype" w:cs="Palatino Linotype"/>
          <w:b/>
        </w:rPr>
      </w:pPr>
    </w:p>
    <w:p w14:paraId="2DC252E4"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i/>
        </w:rPr>
        <w:t>“PLAZO RAZONABLE PARA RESOLVER. CONCEPTO Y ELEMENTOS QUE LO INTEGRAN A LA LUZ DEL DERECHO INTERNACIONAL DE LOS DERECHOS HUMANOS.”</w:t>
      </w:r>
      <w:r w:rsidRPr="00F7527A">
        <w:rPr>
          <w:rFonts w:ascii="Palatino Linotype" w:eastAsia="Palatino Linotype" w:hAnsi="Palatino Linotype" w:cs="Palatino Linotype"/>
        </w:rPr>
        <w:t>, visible en el Seminario Judicial de la Federación y su gaceta, con el registro digital 2002350.</w:t>
      </w:r>
    </w:p>
    <w:p w14:paraId="12F2C4DB" w14:textId="77777777" w:rsidR="004821AF" w:rsidRPr="00F7527A" w:rsidRDefault="004821AF">
      <w:pPr>
        <w:spacing w:line="360" w:lineRule="auto"/>
        <w:jc w:val="both"/>
        <w:rPr>
          <w:rFonts w:ascii="Palatino Linotype" w:eastAsia="Palatino Linotype" w:hAnsi="Palatino Linotype" w:cs="Palatino Linotype"/>
        </w:rPr>
      </w:pPr>
    </w:p>
    <w:p w14:paraId="0676B8BD"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399E076"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 xml:space="preserve">8. Cierre de Instrucción. </w:t>
      </w:r>
      <w:r w:rsidRPr="00F7527A">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AB1C30" w:rsidRPr="00F7527A">
        <w:rPr>
          <w:rFonts w:ascii="Palatino Linotype" w:eastAsia="Palatino Linotype" w:hAnsi="Palatino Linotype" w:cs="Palatino Linotype"/>
          <w:b/>
          <w:color w:val="000000" w:themeColor="text1"/>
        </w:rPr>
        <w:t>veintiuno</w:t>
      </w:r>
      <w:r w:rsidRPr="00F7527A">
        <w:rPr>
          <w:rFonts w:ascii="Palatino Linotype" w:eastAsia="Palatino Linotype" w:hAnsi="Palatino Linotype" w:cs="Palatino Linotype"/>
          <w:b/>
          <w:color w:val="000000" w:themeColor="text1"/>
        </w:rPr>
        <w:t xml:space="preserve"> d</w:t>
      </w:r>
      <w:r w:rsidR="00137815" w:rsidRPr="00F7527A">
        <w:rPr>
          <w:rFonts w:ascii="Palatino Linotype" w:eastAsia="Palatino Linotype" w:hAnsi="Palatino Linotype" w:cs="Palatino Linotype"/>
          <w:b/>
          <w:color w:val="000000" w:themeColor="text1"/>
        </w:rPr>
        <w:t>e marzo</w:t>
      </w:r>
      <w:r w:rsidRPr="00F7527A">
        <w:rPr>
          <w:rFonts w:ascii="Palatino Linotype" w:eastAsia="Palatino Linotype" w:hAnsi="Palatino Linotype" w:cs="Palatino Linotype"/>
          <w:b/>
          <w:color w:val="000000" w:themeColor="text1"/>
        </w:rPr>
        <w:t xml:space="preserve"> </w:t>
      </w:r>
      <w:r w:rsidR="00137815" w:rsidRPr="00F7527A">
        <w:rPr>
          <w:rFonts w:ascii="Palatino Linotype" w:eastAsia="Palatino Linotype" w:hAnsi="Palatino Linotype" w:cs="Palatino Linotype"/>
          <w:b/>
        </w:rPr>
        <w:t>de dos mil veintitré</w:t>
      </w:r>
      <w:r w:rsidRPr="00F7527A">
        <w:rPr>
          <w:rFonts w:ascii="Palatino Linotype" w:eastAsia="Palatino Linotype" w:hAnsi="Palatino Linotype" w:cs="Palatino Linotype"/>
          <w:b/>
        </w:rPr>
        <w:t>s</w:t>
      </w:r>
      <w:r w:rsidRPr="00F7527A">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1144D261"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8479FF8" w14:textId="77777777" w:rsidR="004821AF" w:rsidRPr="00F7527A" w:rsidRDefault="004C0AF5">
      <w:pPr>
        <w:keepNext/>
        <w:keepLines/>
        <w:spacing w:before="40"/>
        <w:jc w:val="center"/>
        <w:rPr>
          <w:rFonts w:ascii="Palatino Linotype" w:eastAsia="Palatino Linotype" w:hAnsi="Palatino Linotype" w:cs="Palatino Linotype"/>
          <w:b/>
        </w:rPr>
      </w:pPr>
      <w:r w:rsidRPr="00F7527A">
        <w:rPr>
          <w:rFonts w:ascii="Palatino Linotype" w:eastAsia="Palatino Linotype" w:hAnsi="Palatino Linotype" w:cs="Palatino Linotype"/>
          <w:b/>
        </w:rPr>
        <w:lastRenderedPageBreak/>
        <w:t>II. C O N S I D E R A N D O S:</w:t>
      </w:r>
    </w:p>
    <w:p w14:paraId="0ED0A093" w14:textId="77777777" w:rsidR="004821AF" w:rsidRPr="00F7527A" w:rsidRDefault="004C0AF5">
      <w:pPr>
        <w:spacing w:before="240" w:after="240" w:line="360" w:lineRule="auto"/>
        <w:jc w:val="both"/>
        <w:rPr>
          <w:rFonts w:ascii="Palatino Linotype" w:eastAsia="Palatino Linotype" w:hAnsi="Palatino Linotype" w:cs="Palatino Linotype"/>
          <w:b/>
        </w:rPr>
      </w:pPr>
      <w:r w:rsidRPr="00F7527A">
        <w:rPr>
          <w:rFonts w:ascii="Palatino Linotype" w:eastAsia="Palatino Linotype" w:hAnsi="Palatino Linotype" w:cs="Palatino Linotype"/>
          <w:b/>
        </w:rPr>
        <w:t xml:space="preserve">Primero. Competencia. </w:t>
      </w:r>
      <w:r w:rsidRPr="00F7527A">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74ACD2B5" w14:textId="77777777" w:rsidR="004821AF" w:rsidRPr="00F7527A" w:rsidRDefault="004C0AF5">
      <w:pPr>
        <w:widowControl w:val="0"/>
        <w:spacing w:before="120" w:after="12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Segundo. Oportunidad y Procedibilidad del Recurso de Revisión.</w:t>
      </w:r>
      <w:r w:rsidRPr="00F7527A">
        <w:rPr>
          <w:rFonts w:ascii="Palatino Linotype" w:eastAsia="Palatino Linotype" w:hAnsi="Palatino Linotype" w:cs="Palatino Linotype"/>
          <w:b/>
          <w:sz w:val="22"/>
          <w:szCs w:val="22"/>
        </w:rPr>
        <w:t xml:space="preserve"> </w:t>
      </w:r>
      <w:r w:rsidRPr="00F7527A">
        <w:rPr>
          <w:rFonts w:ascii="Palatino Linotype" w:eastAsia="Palatino Linotype" w:hAnsi="Palatino Linotype" w:cs="Palatino Linotype"/>
        </w:rPr>
        <w:t>Previo al estudio del fondo del asunto, se procede a analizar los requisitos de oportunidad y procedibilidad que debe reunir el recurso de revisión, previstos en los artículos 178 y 180 de la Ley de Transparencia y Acceso a la Información Pública del Estado de México y Municipios.</w:t>
      </w:r>
    </w:p>
    <w:p w14:paraId="251C6982" w14:textId="77777777" w:rsidR="004821AF" w:rsidRPr="00F7527A" w:rsidRDefault="004C0AF5">
      <w:pPr>
        <w:widowControl w:val="0"/>
        <w:spacing w:before="120" w:after="120" w:line="360" w:lineRule="auto"/>
        <w:jc w:val="both"/>
        <w:rPr>
          <w:rFonts w:ascii="Palatino Linotype" w:eastAsia="Palatino Linotype" w:hAnsi="Palatino Linotype" w:cs="Palatino Linotype"/>
          <w:color w:val="000000"/>
        </w:rPr>
      </w:pPr>
      <w:r w:rsidRPr="00F7527A">
        <w:rPr>
          <w:rFonts w:ascii="Palatino Linotype" w:eastAsia="Palatino Linotype" w:hAnsi="Palatino Linotype" w:cs="Palatino Linotype"/>
        </w:rPr>
        <w:t xml:space="preserve">Primeramente, es de precisar que la Ley de Transparencia </w:t>
      </w:r>
      <w:r w:rsidRPr="00F7527A">
        <w:rPr>
          <w:rFonts w:ascii="Palatino Linotype" w:eastAsia="Palatino Linotype" w:hAnsi="Palatino Linotype" w:cs="Palatino Linotype"/>
          <w:color w:val="000000"/>
        </w:rPr>
        <w:t xml:space="preserve">y Acceso a la Información Pública del Estado de México y Municipios, describe el </w:t>
      </w:r>
      <w:r w:rsidRPr="00F7527A">
        <w:rPr>
          <w:rFonts w:ascii="Palatino Linotype" w:eastAsia="Palatino Linotype" w:hAnsi="Palatino Linotype" w:cs="Palatino Linotype"/>
        </w:rPr>
        <w:t>mecanismo</w:t>
      </w:r>
      <w:r w:rsidRPr="00F7527A">
        <w:rPr>
          <w:rFonts w:ascii="Palatino Linotype" w:eastAsia="Palatino Linotype" w:hAnsi="Palatino Linotype" w:cs="Palatino Linotype"/>
          <w:color w:val="000000"/>
        </w:rPr>
        <w:t xml:space="preserve"> de procedencia de los recursos de revisión, en ese sentido en su artículo 163 prevé lo siguiente:</w:t>
      </w:r>
    </w:p>
    <w:p w14:paraId="4E086E87" w14:textId="77777777" w:rsidR="004821AF" w:rsidRPr="00F7527A" w:rsidRDefault="004C0AF5">
      <w:pPr>
        <w:spacing w:before="120" w:after="240"/>
        <w:ind w:left="851" w:right="902"/>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b/>
          <w:i/>
          <w:color w:val="000000"/>
          <w:sz w:val="22"/>
          <w:szCs w:val="22"/>
        </w:rPr>
        <w:t>“Artículo 163.</w:t>
      </w:r>
      <w:r w:rsidRPr="00F7527A">
        <w:rPr>
          <w:rFonts w:ascii="Palatino Linotype" w:eastAsia="Palatino Linotype" w:hAnsi="Palatino Linotype" w:cs="Palatino Linotype"/>
          <w:i/>
          <w:color w:val="000000"/>
          <w:sz w:val="22"/>
          <w:szCs w:val="22"/>
        </w:rPr>
        <w:t xml:space="preserve"> La Unidad de Transparencia deberá notificar la respuesta a la solicitud al interesado en el menor tiempo posible, que no podrá exceder de </w:t>
      </w:r>
      <w:r w:rsidRPr="00F7527A">
        <w:rPr>
          <w:rFonts w:ascii="Palatino Linotype" w:eastAsia="Palatino Linotype" w:hAnsi="Palatino Linotype" w:cs="Palatino Linotype"/>
          <w:i/>
          <w:color w:val="000000"/>
          <w:sz w:val="22"/>
          <w:szCs w:val="22"/>
        </w:rPr>
        <w:lastRenderedPageBreak/>
        <w:t>quince días hábiles, contados a partir del día siguiente a la presentación de aquélla.</w:t>
      </w:r>
    </w:p>
    <w:p w14:paraId="348503C4" w14:textId="77777777" w:rsidR="004821AF" w:rsidRPr="00F7527A" w:rsidRDefault="004C0AF5">
      <w:pPr>
        <w:spacing w:before="120" w:after="240"/>
        <w:ind w:left="851" w:right="902"/>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i/>
          <w:sz w:val="22"/>
          <w:szCs w:val="22"/>
        </w:rPr>
        <w:t>Excepcionalmente</w:t>
      </w:r>
      <w:r w:rsidRPr="00F7527A">
        <w:rPr>
          <w:rFonts w:ascii="Palatino Linotype" w:eastAsia="Palatino Linotype" w:hAnsi="Palatino Linotype" w:cs="Palatino Linotype"/>
          <w:i/>
          <w:color w:val="000000"/>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DEE3E0F" w14:textId="77777777" w:rsidR="004821AF" w:rsidRPr="00F7527A" w:rsidRDefault="004C0AF5">
      <w:pPr>
        <w:widowControl w:val="0"/>
        <w:spacing w:before="120" w:after="120" w:line="360" w:lineRule="auto"/>
        <w:jc w:val="both"/>
        <w:rPr>
          <w:rFonts w:ascii="Palatino Linotype" w:eastAsia="Palatino Linotype" w:hAnsi="Palatino Linotype" w:cs="Palatino Linotype"/>
          <w:color w:val="000000"/>
        </w:rPr>
      </w:pPr>
      <w:r w:rsidRPr="00F7527A">
        <w:rPr>
          <w:rFonts w:ascii="Palatino Linotype" w:eastAsia="Palatino Linotype" w:hAnsi="Palatino Linotype" w:cs="Palatino Linotype"/>
          <w:color w:val="000000"/>
        </w:rPr>
        <w:t>Del precepto legal inserto se advierte que el plazo que le asiste a los sujetos obligados para notificar la respuesta a una solicitud de información pública es de quince días hábiles posteriores a la presentación de ésta.</w:t>
      </w:r>
    </w:p>
    <w:p w14:paraId="67CFA6B4"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243B3EE7" w14:textId="77777777" w:rsidR="004821AF" w:rsidRPr="00F7527A" w:rsidRDefault="004C0AF5">
      <w:pPr>
        <w:spacing w:after="120"/>
        <w:ind w:left="851" w:right="902"/>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t xml:space="preserve">“Artículo 166. </w:t>
      </w:r>
      <w:r w:rsidRPr="00F7527A">
        <w:rPr>
          <w:rFonts w:ascii="Palatino Linotype" w:eastAsia="Palatino Linotype" w:hAnsi="Palatino Linotype" w:cs="Palatino Linotype"/>
          <w:i/>
          <w:sz w:val="22"/>
          <w:szCs w:val="22"/>
        </w:rPr>
        <w:t>La obligación de acceso a la información pública se tendrá por cumplida cuando el solicitante tenga a su disposición la información requerida, o cuando realice la consulta de la misma en el lugar en el que ésta se localice.</w:t>
      </w:r>
    </w:p>
    <w:p w14:paraId="0FE8F2E5" w14:textId="77777777" w:rsidR="004821AF" w:rsidRPr="00F7527A" w:rsidRDefault="004C0AF5">
      <w:pPr>
        <w:spacing w:after="120"/>
        <w:ind w:left="851" w:right="902"/>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w:t>
      </w:r>
    </w:p>
    <w:p w14:paraId="76BAFFE6" w14:textId="77777777" w:rsidR="004821AF" w:rsidRPr="00F7527A" w:rsidRDefault="004C0AF5">
      <w:pPr>
        <w:spacing w:after="120"/>
        <w:ind w:left="851" w:right="902"/>
        <w:jc w:val="both"/>
        <w:rPr>
          <w:rFonts w:ascii="Palatino Linotype" w:eastAsia="Palatino Linotype" w:hAnsi="Palatino Linotype" w:cs="Palatino Linotype"/>
          <w:i/>
          <w:sz w:val="28"/>
          <w:szCs w:val="28"/>
        </w:rPr>
      </w:pPr>
      <w:r w:rsidRPr="00F7527A">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7EF80A0B"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De lo anterior, se advierte que el recurso de revisión se ha de interponer dentro del plazo de quince días hábiles contados a partir del día siguiente en que el particular tiene conocimiento de la resolución respectiva, a partir de la fecha en que el Sujeto </w:t>
      </w:r>
      <w:r w:rsidRPr="00F7527A">
        <w:rPr>
          <w:rFonts w:ascii="Palatino Linotype" w:eastAsia="Palatino Linotype" w:hAnsi="Palatino Linotype" w:cs="Palatino Linotype"/>
        </w:rPr>
        <w:lastRenderedPageBreak/>
        <w:t xml:space="preserve">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pueden ser en cualquier momento; postura que ha sido adoptada por este </w:t>
      </w:r>
      <w:r w:rsidR="006E07CE" w:rsidRPr="00F7527A">
        <w:rPr>
          <w:rFonts w:ascii="Palatino Linotype" w:eastAsia="Palatino Linotype" w:hAnsi="Palatino Linotype" w:cs="Palatino Linotype"/>
        </w:rPr>
        <w:t>Organismo</w:t>
      </w:r>
      <w:r w:rsidRPr="00F7527A">
        <w:rPr>
          <w:rFonts w:ascii="Palatino Linotype" w:eastAsia="Palatino Linotype" w:hAnsi="Palatino Linotype" w:cs="Palatino Linotype"/>
        </w:rPr>
        <w:t xml:space="preserve"> Garante mediante criterio número 001-15, aprobado por unanimidad del Pleno del Instituto de Transparencia, Acceso a la Información Pública y Protección de Datos Personales del Estado de México y Municipios, que establece:</w:t>
      </w:r>
    </w:p>
    <w:p w14:paraId="0CA652FE" w14:textId="77777777" w:rsidR="004821AF" w:rsidRPr="00F7527A" w:rsidRDefault="004C0AF5">
      <w:pPr>
        <w:spacing w:after="120"/>
        <w:ind w:left="567" w:right="709"/>
        <w:jc w:val="both"/>
        <w:rPr>
          <w:rFonts w:ascii="Palatino Linotype" w:eastAsia="Palatino Linotype" w:hAnsi="Palatino Linotype" w:cs="Palatino Linotype"/>
          <w:sz w:val="22"/>
          <w:szCs w:val="22"/>
        </w:rPr>
      </w:pPr>
      <w:r w:rsidRPr="00F7527A">
        <w:rPr>
          <w:rFonts w:ascii="Palatino Linotype" w:eastAsia="Palatino Linotype" w:hAnsi="Palatino Linotype" w:cs="Palatino Linotype"/>
          <w:b/>
          <w:i/>
          <w:sz w:val="22"/>
          <w:szCs w:val="22"/>
        </w:rPr>
        <w:t>“CRITERIO 0001-15 NEGATIVA FICTA. PLAZO PARA INTERPONER EL RECURSO DE REVISIÓN TRATÁNDOSE DE</w:t>
      </w:r>
      <w:r w:rsidRPr="00F7527A">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3CA8BA6" w14:textId="77777777" w:rsidR="004821AF" w:rsidRPr="00F7527A" w:rsidRDefault="004C0AF5">
      <w:pPr>
        <w:spacing w:before="240" w:after="240" w:line="360" w:lineRule="auto"/>
        <w:jc w:val="both"/>
        <w:rPr>
          <w:rFonts w:ascii="Quattrocento Sans" w:eastAsia="Quattrocento Sans" w:hAnsi="Quattrocento Sans" w:cs="Quattrocento Sans"/>
        </w:rPr>
      </w:pPr>
      <w:r w:rsidRPr="00F7527A">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y, en consecuencia,  resulta conforme a derecho entrar al estudio de fondo y resolver el presente medio de impugnación, al actualizarse lo dispuesto en los artículos 176 y 179 fracción VII </w:t>
      </w:r>
      <w:r w:rsidRPr="00F7527A">
        <w:rPr>
          <w:rFonts w:ascii="Palatino Linotype" w:eastAsia="Palatino Linotype" w:hAnsi="Palatino Linotype" w:cs="Palatino Linotype"/>
        </w:rPr>
        <w:lastRenderedPageBreak/>
        <w:t>del ordenamiento legal citado, que establecen los supuestos en que puede interponerse el recurso de revisión:</w:t>
      </w:r>
    </w:p>
    <w:p w14:paraId="6C5C540A" w14:textId="77777777" w:rsidR="004821AF" w:rsidRPr="00F7527A" w:rsidRDefault="004C0AF5" w:rsidP="009F26D8">
      <w:pPr>
        <w:spacing w:before="240" w:after="240"/>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t xml:space="preserve">“Artículo 176. </w:t>
      </w:r>
      <w:r w:rsidRPr="00F7527A">
        <w:rPr>
          <w:rFonts w:ascii="Palatino Linotype" w:eastAsia="Palatino Linotype" w:hAnsi="Palatino Linotype" w:cs="Palatino Linotype"/>
          <w:i/>
          <w:sz w:val="22"/>
          <w:szCs w:val="22"/>
        </w:rPr>
        <w:t xml:space="preserve">El recurso de </w:t>
      </w:r>
      <w:proofErr w:type="gramStart"/>
      <w:r w:rsidRPr="00F7527A">
        <w:rPr>
          <w:rFonts w:ascii="Palatino Linotype" w:eastAsia="Palatino Linotype" w:hAnsi="Palatino Linotype" w:cs="Palatino Linotype"/>
          <w:i/>
          <w:sz w:val="22"/>
          <w:szCs w:val="22"/>
        </w:rPr>
        <w:t>revisión  es</w:t>
      </w:r>
      <w:proofErr w:type="gramEnd"/>
      <w:r w:rsidRPr="00F7527A">
        <w:rPr>
          <w:rFonts w:ascii="Palatino Linotype" w:eastAsia="Palatino Linotype" w:hAnsi="Palatino Linotype" w:cs="Palatino Linotype"/>
          <w:i/>
          <w:sz w:val="22"/>
          <w:szCs w:val="22"/>
        </w:rPr>
        <w:t xml:space="preserve"> la garantía secundaria mediante la cual se pretende reparar cualquier posible afectación al derecho de acceso a la información pública en términos del presente y siguiente Capítulo.</w:t>
      </w:r>
    </w:p>
    <w:p w14:paraId="2D1103B0" w14:textId="77777777" w:rsidR="00AE5B74" w:rsidRPr="00F7527A" w:rsidRDefault="00AE5B74" w:rsidP="00AE5B74">
      <w:pPr>
        <w:spacing w:before="240" w:after="240"/>
        <w:ind w:left="567" w:right="709"/>
        <w:jc w:val="both"/>
        <w:rPr>
          <w:rFonts w:ascii="Palatino Linotype" w:eastAsia="Palatino Linotype" w:hAnsi="Palatino Linotype" w:cs="Palatino Linotype"/>
          <w:b/>
          <w:i/>
          <w:color w:val="FF0000"/>
          <w:sz w:val="22"/>
          <w:szCs w:val="22"/>
        </w:rPr>
      </w:pPr>
      <w:r w:rsidRPr="00F7527A">
        <w:rPr>
          <w:rFonts w:ascii="Palatino Linotype" w:eastAsia="Palatino Linotype" w:hAnsi="Palatino Linotype" w:cs="Palatino Linotype"/>
          <w:b/>
          <w:i/>
          <w:color w:val="000000" w:themeColor="text1"/>
          <w:sz w:val="22"/>
          <w:szCs w:val="22"/>
        </w:rPr>
        <w:t xml:space="preserve">Artículo 178. </w:t>
      </w:r>
      <w:r w:rsidRPr="00F7527A">
        <w:rPr>
          <w:rFonts w:ascii="Palatino Linotype" w:eastAsia="Palatino Linotype" w:hAnsi="Palatino Linotype" w:cs="Palatino Linotype"/>
          <w:i/>
          <w:color w:val="000000" w:themeColor="text1"/>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0C73AC0" w14:textId="77777777" w:rsidR="004821AF" w:rsidRPr="00F7527A" w:rsidRDefault="004C0AF5" w:rsidP="00AE5B74">
      <w:pPr>
        <w:spacing w:before="240" w:after="240"/>
        <w:ind w:left="567" w:right="709"/>
        <w:jc w:val="both"/>
        <w:rPr>
          <w:rFonts w:ascii="Palatino Linotype" w:eastAsia="Palatino Linotype" w:hAnsi="Palatino Linotype" w:cs="Palatino Linotype"/>
          <w:b/>
          <w:i/>
          <w:color w:val="FF0000"/>
          <w:sz w:val="22"/>
          <w:szCs w:val="22"/>
        </w:rPr>
      </w:pPr>
      <w:r w:rsidRPr="00F7527A">
        <w:rPr>
          <w:rFonts w:ascii="Palatino Linotype" w:eastAsia="Palatino Linotype" w:hAnsi="Palatino Linotype" w:cs="Palatino Linotype"/>
          <w:b/>
          <w:i/>
          <w:sz w:val="22"/>
          <w:szCs w:val="22"/>
        </w:rPr>
        <w:t>Artículo 179</w:t>
      </w:r>
      <w:r w:rsidRPr="00F7527A">
        <w:rPr>
          <w:rFonts w:ascii="Palatino Linotype" w:eastAsia="Palatino Linotype" w:hAnsi="Palatino Linotype" w:cs="Palatino Linotype"/>
          <w:b/>
          <w:sz w:val="22"/>
          <w:szCs w:val="22"/>
        </w:rPr>
        <w:t>.-</w:t>
      </w:r>
      <w:r w:rsidRPr="00F7527A">
        <w:rPr>
          <w:rFonts w:ascii="Bookman Old Style" w:eastAsia="Bookman Old Style" w:hAnsi="Bookman Old Style" w:cs="Bookman Old Style"/>
          <w:sz w:val="20"/>
          <w:szCs w:val="20"/>
        </w:rPr>
        <w:t xml:space="preserve"> </w:t>
      </w:r>
      <w:r w:rsidRPr="00F7527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62599FC" w14:textId="77777777" w:rsidR="004821AF" w:rsidRPr="00F7527A" w:rsidRDefault="004C0AF5" w:rsidP="009F26D8">
      <w:pPr>
        <w:spacing w:before="240" w:after="240"/>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t>[…</w:t>
      </w:r>
      <w:r w:rsidRPr="00F7527A">
        <w:rPr>
          <w:rFonts w:ascii="Palatino Linotype" w:eastAsia="Palatino Linotype" w:hAnsi="Palatino Linotype" w:cs="Palatino Linotype"/>
          <w:i/>
          <w:sz w:val="22"/>
          <w:szCs w:val="22"/>
        </w:rPr>
        <w:t>]</w:t>
      </w:r>
    </w:p>
    <w:p w14:paraId="1B914845" w14:textId="77777777" w:rsidR="004821AF" w:rsidRPr="00F7527A" w:rsidRDefault="004C0AF5" w:rsidP="009F26D8">
      <w:pPr>
        <w:spacing w:before="240" w:after="240" w:line="276" w:lineRule="auto"/>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t xml:space="preserve"> VII. La falta de respuesta a una solicitud de acceso a la información</w:t>
      </w:r>
      <w:r w:rsidRPr="00F7527A">
        <w:rPr>
          <w:rFonts w:ascii="Palatino Linotype" w:eastAsia="Palatino Linotype" w:hAnsi="Palatino Linotype" w:cs="Palatino Linotype"/>
          <w:i/>
          <w:sz w:val="22"/>
          <w:szCs w:val="22"/>
        </w:rPr>
        <w:t>…”</w:t>
      </w:r>
    </w:p>
    <w:p w14:paraId="2F8E377D" w14:textId="77777777" w:rsidR="004821AF" w:rsidRPr="00F7527A" w:rsidRDefault="004C0AF5" w:rsidP="009F26D8">
      <w:pPr>
        <w:spacing w:before="240" w:after="240" w:line="360" w:lineRule="auto"/>
        <w:ind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xml:space="preserve">            (Sic) (Énfasis añadido)</w:t>
      </w:r>
    </w:p>
    <w:p w14:paraId="7DF387A1" w14:textId="77777777" w:rsidR="004821AF" w:rsidRPr="00F7527A" w:rsidRDefault="004C0AF5">
      <w:pPr>
        <w:spacing w:before="280" w:after="280" w:line="360" w:lineRule="auto"/>
        <w:jc w:val="both"/>
        <w:rPr>
          <w:rFonts w:ascii="Palatino Linotype" w:eastAsia="Palatino Linotype" w:hAnsi="Palatino Linotype" w:cs="Palatino Linotype"/>
        </w:rPr>
      </w:pPr>
      <w:bookmarkStart w:id="0" w:name="_heading=h.gjdgxs" w:colFirst="0" w:colLast="0"/>
      <w:bookmarkEnd w:id="0"/>
      <w:r w:rsidRPr="00F7527A">
        <w:rPr>
          <w:rFonts w:ascii="Palatino Linotype" w:eastAsia="Palatino Linotype" w:hAnsi="Palatino Linotype" w:cs="Palatino Linotype"/>
          <w:b/>
        </w:rPr>
        <w:t>Tercero. Materia de la revisión.</w:t>
      </w:r>
      <w:r w:rsidRPr="00F7527A">
        <w:rPr>
          <w:rFonts w:ascii="Palatino Linotype" w:eastAsia="Palatino Linotype" w:hAnsi="Palatino Linotype" w:cs="Palatino Linotype"/>
          <w:b/>
          <w:color w:val="FF0000"/>
        </w:rPr>
        <w:t xml:space="preserve"> </w:t>
      </w:r>
      <w:r w:rsidRPr="00F7527A">
        <w:rPr>
          <w:rFonts w:ascii="Palatino Linotype" w:eastAsia="Palatino Linotype" w:hAnsi="Palatino Linotype" w:cs="Palatino Linotype"/>
        </w:rPr>
        <w:t xml:space="preserve">De la revisión a las constancias y documentos que obran en el expediente electrónico se advierte, que el tema sobre el que </w:t>
      </w:r>
      <w:proofErr w:type="gramStart"/>
      <w:r w:rsidRPr="00F7527A">
        <w:rPr>
          <w:rFonts w:ascii="Palatino Linotype" w:eastAsia="Palatino Linotype" w:hAnsi="Palatino Linotype" w:cs="Palatino Linotype"/>
        </w:rPr>
        <w:t xml:space="preserve">este </w:t>
      </w:r>
      <w:r w:rsidR="006E07CE" w:rsidRPr="00F7527A">
        <w:rPr>
          <w:rFonts w:ascii="Palatino Linotype" w:eastAsia="Palatino Linotype" w:hAnsi="Palatino Linotype" w:cs="Palatino Linotype"/>
        </w:rPr>
        <w:t xml:space="preserve"> Organismo</w:t>
      </w:r>
      <w:proofErr w:type="gramEnd"/>
      <w:r w:rsidRPr="00F7527A">
        <w:rPr>
          <w:rFonts w:ascii="Palatino Linotype" w:eastAsia="Palatino Linotype" w:hAnsi="Palatino Linotype" w:cs="Palatino Linotype"/>
        </w:rPr>
        <w:t xml:space="preserve"> Garante de Transparencia y Acceso a la Información se pronunciará será: </w:t>
      </w:r>
      <w:r w:rsidRPr="00F7527A">
        <w:rPr>
          <w:rFonts w:ascii="Palatino Linotype" w:eastAsia="Palatino Linotype" w:hAnsi="Palatino Linotype" w:cs="Palatino Linotype"/>
          <w:b/>
        </w:rPr>
        <w:t xml:space="preserve">verificar si el pronunciamiento vertido por el Sujeto Obligado en informe justificado, es adecuado y suficiente para satisfacer el derecho de acceso a la información pública </w:t>
      </w:r>
      <w:r w:rsidRPr="00F7527A">
        <w:rPr>
          <w:rFonts w:ascii="Palatino Linotype" w:eastAsia="Palatino Linotype" w:hAnsi="Palatino Linotype" w:cs="Palatino Linotype"/>
        </w:rPr>
        <w:t xml:space="preserve">de </w:t>
      </w:r>
      <w:r w:rsidRPr="00F7527A">
        <w:rPr>
          <w:rFonts w:ascii="Palatino Linotype" w:eastAsia="Palatino Linotype" w:hAnsi="Palatino Linotype" w:cs="Palatino Linotype"/>
          <w:b/>
        </w:rPr>
        <w:t>la parte Recurrente</w:t>
      </w:r>
      <w:r w:rsidRPr="00F7527A">
        <w:rPr>
          <w:rFonts w:ascii="Palatino Linotype" w:eastAsia="Palatino Linotype" w:hAnsi="Palatino Linotype" w:cs="Palatino Linotype"/>
        </w:rPr>
        <w:t>, o en su defecto, en caso de ser procedente, ordenar la entrega de información oportuna.</w:t>
      </w:r>
    </w:p>
    <w:p w14:paraId="02A727CC" w14:textId="77777777" w:rsidR="004821AF" w:rsidRPr="00F7527A" w:rsidRDefault="004C0AF5">
      <w:pPr>
        <w:spacing w:before="240" w:after="240" w:line="360" w:lineRule="auto"/>
        <w:jc w:val="both"/>
        <w:rPr>
          <w:rFonts w:ascii="Palatino Linotype" w:eastAsia="Palatino Linotype" w:hAnsi="Palatino Linotype" w:cs="Palatino Linotype"/>
          <w:b/>
        </w:rPr>
      </w:pPr>
      <w:r w:rsidRPr="00F7527A">
        <w:rPr>
          <w:rFonts w:ascii="Palatino Linotype" w:eastAsia="Palatino Linotype" w:hAnsi="Palatino Linotype" w:cs="Palatino Linotype"/>
          <w:b/>
        </w:rPr>
        <w:t xml:space="preserve">Cuarto. Estudio del asunto. </w:t>
      </w:r>
      <w:r w:rsidRPr="00F7527A">
        <w:rPr>
          <w:rFonts w:ascii="Palatino Linotype" w:eastAsia="Palatino Linotype" w:hAnsi="Palatino Linotype" w:cs="Palatino Linotype"/>
        </w:rPr>
        <w:t xml:space="preserve">Antes de entrar al análisis de los pronunciamientos del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color w:val="000000" w:themeColor="text1"/>
        </w:rPr>
        <w:t xml:space="preserve">en </w:t>
      </w:r>
      <w:r w:rsidR="00AB1C30" w:rsidRPr="00F7527A">
        <w:rPr>
          <w:rFonts w:ascii="Palatino Linotype" w:eastAsia="Palatino Linotype" w:hAnsi="Palatino Linotype" w:cs="Palatino Linotype"/>
          <w:color w:val="000000" w:themeColor="text1"/>
        </w:rPr>
        <w:t>el informe justificado</w:t>
      </w:r>
      <w:r w:rsidR="00AB1C30" w:rsidRPr="00F7527A">
        <w:rPr>
          <w:rFonts w:ascii="Palatino Linotype" w:eastAsia="Palatino Linotype" w:hAnsi="Palatino Linotype" w:cs="Palatino Linotype"/>
        </w:rPr>
        <w:t xml:space="preserve"> proporcionado</w:t>
      </w:r>
      <w:r w:rsidRPr="00F7527A">
        <w:rPr>
          <w:rFonts w:ascii="Palatino Linotype" w:eastAsia="Palatino Linotype" w:hAnsi="Palatino Linotype" w:cs="Palatino Linotype"/>
        </w:rPr>
        <w:t xml:space="preserve">, es necesario </w:t>
      </w:r>
      <w:r w:rsidRPr="00F7527A">
        <w:rPr>
          <w:rFonts w:ascii="Palatino Linotype" w:eastAsia="Palatino Linotype" w:hAnsi="Palatino Linotype" w:cs="Palatino Linotype"/>
        </w:rPr>
        <w:lastRenderedPageBreak/>
        <w:t>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1AE7DC5" w14:textId="77777777" w:rsidR="004821AF" w:rsidRPr="00F7527A" w:rsidRDefault="004C0AF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7527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E1BE567" w14:textId="77777777" w:rsidR="004821AF" w:rsidRPr="00F7527A" w:rsidRDefault="004C0AF5">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F3C9469" w14:textId="77777777" w:rsidR="004821AF" w:rsidRPr="00F7527A" w:rsidRDefault="004C0AF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7527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2163A84" w14:textId="77777777" w:rsidR="004821AF" w:rsidRPr="00F7527A" w:rsidRDefault="004C0AF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w:t>
      </w:r>
    </w:p>
    <w:p w14:paraId="49CFA089" w14:textId="77777777" w:rsidR="004821AF" w:rsidRPr="00F7527A" w:rsidRDefault="004C0AF5">
      <w:pPr>
        <w:spacing w:before="240" w:after="240" w:line="276" w:lineRule="auto"/>
        <w:ind w:left="851" w:right="90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t>“Artículo 6o.</w:t>
      </w:r>
    </w:p>
    <w:p w14:paraId="3D4E85A8" w14:textId="77777777" w:rsidR="004821AF" w:rsidRPr="00F7527A" w:rsidRDefault="004C0AF5">
      <w:pPr>
        <w:spacing w:before="240" w:after="240" w:line="276" w:lineRule="auto"/>
        <w:ind w:left="851" w:right="90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w:t>
      </w:r>
    </w:p>
    <w:p w14:paraId="086A485D" w14:textId="77777777" w:rsidR="004821AF" w:rsidRPr="00F7527A" w:rsidRDefault="004C0AF5">
      <w:pPr>
        <w:spacing w:before="240" w:after="240" w:line="276" w:lineRule="auto"/>
        <w:ind w:left="851" w:right="85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F7527A">
        <w:rPr>
          <w:rFonts w:ascii="Palatino Linotype" w:eastAsia="Palatino Linotype" w:hAnsi="Palatino Linotype" w:cs="Palatino Linotype"/>
          <w:b/>
          <w:i/>
          <w:sz w:val="22"/>
          <w:szCs w:val="22"/>
          <w:u w:val="single"/>
        </w:rPr>
        <w:t>las entidades federativas</w:t>
      </w:r>
      <w:r w:rsidRPr="00F7527A">
        <w:rPr>
          <w:rFonts w:ascii="Palatino Linotype" w:eastAsia="Palatino Linotype" w:hAnsi="Palatino Linotype" w:cs="Palatino Linotype"/>
          <w:b/>
          <w:i/>
          <w:sz w:val="22"/>
          <w:szCs w:val="22"/>
        </w:rPr>
        <w:t>,</w:t>
      </w:r>
      <w:r w:rsidRPr="00F7527A">
        <w:rPr>
          <w:rFonts w:ascii="Palatino Linotype" w:eastAsia="Palatino Linotype" w:hAnsi="Palatino Linotype" w:cs="Palatino Linotype"/>
          <w:i/>
          <w:sz w:val="22"/>
          <w:szCs w:val="22"/>
        </w:rPr>
        <w:t xml:space="preserve"> en el ámbito de sus respectivas competencias, se regirán por los siguientes principios y bases:</w:t>
      </w:r>
    </w:p>
    <w:p w14:paraId="7066D274" w14:textId="77777777" w:rsidR="004821AF" w:rsidRPr="00F7527A" w:rsidRDefault="004C0AF5">
      <w:pPr>
        <w:spacing w:before="240" w:after="240" w:line="276" w:lineRule="auto"/>
        <w:ind w:left="851" w:right="85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w:t>
      </w:r>
      <w:r w:rsidRPr="00F7527A">
        <w:rPr>
          <w:rFonts w:ascii="Palatino Linotype" w:eastAsia="Palatino Linotype" w:hAnsi="Palatino Linotype" w:cs="Palatino Linotype"/>
          <w:b/>
          <w:i/>
          <w:sz w:val="22"/>
          <w:szCs w:val="22"/>
        </w:rPr>
        <w:t xml:space="preserve">I. </w:t>
      </w:r>
      <w:r w:rsidRPr="00F7527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7527A">
        <w:rPr>
          <w:rFonts w:ascii="Palatino Linotype" w:eastAsia="Palatino Linotype" w:hAnsi="Palatino Linotype" w:cs="Palatino Linotype"/>
          <w:i/>
          <w:sz w:val="22"/>
          <w:szCs w:val="22"/>
        </w:rPr>
        <w:t xml:space="preserve"> Ejecutivo, Legislativo </w:t>
      </w:r>
      <w:r w:rsidRPr="00F7527A">
        <w:rPr>
          <w:rFonts w:ascii="Palatino Linotype" w:eastAsia="Palatino Linotype" w:hAnsi="Palatino Linotype" w:cs="Palatino Linotype"/>
          <w:b/>
          <w:i/>
          <w:sz w:val="22"/>
          <w:szCs w:val="22"/>
          <w:u w:val="single"/>
        </w:rPr>
        <w:t>y Judicial</w:t>
      </w:r>
      <w:r w:rsidRPr="00F7527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7527A">
        <w:rPr>
          <w:rFonts w:ascii="Palatino Linotype" w:eastAsia="Palatino Linotype" w:hAnsi="Palatino Linotype" w:cs="Palatino Linotype"/>
          <w:b/>
          <w:i/>
          <w:sz w:val="22"/>
          <w:szCs w:val="22"/>
        </w:rPr>
        <w:t>es pública y sólo podrá ser reservada temporalmente por razones de interés público y seguridad nacional,</w:t>
      </w:r>
      <w:r w:rsidRPr="00F7527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A48E99" w14:textId="77777777" w:rsidR="004821AF" w:rsidRPr="00F7527A" w:rsidRDefault="004C0AF5">
      <w:pPr>
        <w:spacing w:before="240" w:after="240" w:line="276" w:lineRule="auto"/>
        <w:ind w:left="851" w:right="851"/>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i/>
          <w:sz w:val="22"/>
          <w:szCs w:val="22"/>
        </w:rPr>
        <w:t> </w:t>
      </w:r>
      <w:r w:rsidRPr="00F7527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AFF5122" w14:textId="77777777" w:rsidR="004821AF" w:rsidRPr="00F7527A" w:rsidRDefault="004C0AF5">
      <w:pPr>
        <w:spacing w:before="240" w:after="240" w:line="276" w:lineRule="auto"/>
        <w:ind w:left="851" w:right="85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w:t>
      </w:r>
      <w:r w:rsidRPr="00F7527A">
        <w:rPr>
          <w:rFonts w:ascii="Palatino Linotype" w:eastAsia="Palatino Linotype" w:hAnsi="Palatino Linotype" w:cs="Palatino Linotype"/>
          <w:b/>
          <w:i/>
          <w:sz w:val="22"/>
          <w:szCs w:val="22"/>
        </w:rPr>
        <w:t xml:space="preserve">III. </w:t>
      </w:r>
      <w:r w:rsidRPr="00F7527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7527A">
        <w:rPr>
          <w:rFonts w:ascii="Palatino Linotype" w:eastAsia="Palatino Linotype" w:hAnsi="Palatino Linotype" w:cs="Palatino Linotype"/>
          <w:i/>
          <w:sz w:val="22"/>
          <w:szCs w:val="22"/>
        </w:rPr>
        <w:t xml:space="preserve"> a sus datos personales o a la rectificación de éstos.</w:t>
      </w:r>
    </w:p>
    <w:p w14:paraId="3FD85F1E" w14:textId="77777777" w:rsidR="004821AF" w:rsidRPr="00F7527A" w:rsidRDefault="004C0AF5">
      <w:pPr>
        <w:spacing w:before="240" w:after="240" w:line="276" w:lineRule="auto"/>
        <w:ind w:left="851" w:right="85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w:t>
      </w:r>
      <w:r w:rsidRPr="00F7527A">
        <w:rPr>
          <w:rFonts w:ascii="Palatino Linotype" w:eastAsia="Palatino Linotype" w:hAnsi="Palatino Linotype" w:cs="Palatino Linotype"/>
          <w:b/>
          <w:i/>
          <w:sz w:val="22"/>
          <w:szCs w:val="22"/>
        </w:rPr>
        <w:t xml:space="preserve">IV. </w:t>
      </w:r>
      <w:r w:rsidRPr="00F7527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AC5CC9A" w14:textId="77777777" w:rsidR="004821AF" w:rsidRPr="00F7527A" w:rsidRDefault="004C0AF5">
      <w:pPr>
        <w:spacing w:before="240" w:after="240" w:line="276" w:lineRule="auto"/>
        <w:ind w:left="851" w:right="85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t xml:space="preserve">V. </w:t>
      </w:r>
      <w:r w:rsidRPr="00F7527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1470D75" w14:textId="77777777" w:rsidR="004821AF" w:rsidRPr="00F7527A" w:rsidRDefault="004C0AF5">
      <w:pPr>
        <w:spacing w:before="240" w:after="240" w:line="276" w:lineRule="auto"/>
        <w:ind w:left="851" w:right="85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lastRenderedPageBreak/>
        <w:t> </w:t>
      </w:r>
      <w:r w:rsidRPr="00F7527A">
        <w:rPr>
          <w:rFonts w:ascii="Palatino Linotype" w:eastAsia="Palatino Linotype" w:hAnsi="Palatino Linotype" w:cs="Palatino Linotype"/>
          <w:b/>
          <w:i/>
          <w:sz w:val="22"/>
          <w:szCs w:val="22"/>
        </w:rPr>
        <w:t xml:space="preserve">VI. </w:t>
      </w:r>
      <w:r w:rsidRPr="00F7527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DDC0F5A" w14:textId="77777777" w:rsidR="004821AF" w:rsidRPr="00F7527A" w:rsidRDefault="004C0AF5">
      <w:pPr>
        <w:spacing w:before="240" w:after="240" w:line="276" w:lineRule="auto"/>
        <w:ind w:left="851" w:right="851"/>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w:t>
      </w:r>
      <w:r w:rsidRPr="00F7527A">
        <w:rPr>
          <w:rFonts w:ascii="Palatino Linotype" w:eastAsia="Palatino Linotype" w:hAnsi="Palatino Linotype" w:cs="Palatino Linotype"/>
          <w:b/>
          <w:i/>
          <w:sz w:val="22"/>
          <w:szCs w:val="22"/>
        </w:rPr>
        <w:t xml:space="preserve">VII. </w:t>
      </w:r>
      <w:r w:rsidRPr="00F7527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E45E555"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7BCE76" w14:textId="77777777" w:rsidR="004821AF" w:rsidRPr="00F7527A" w:rsidRDefault="004C0AF5">
      <w:pPr>
        <w:spacing w:before="240" w:after="240" w:line="276" w:lineRule="auto"/>
        <w:ind w:left="709" w:right="760"/>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w:t>
      </w:r>
      <w:r w:rsidRPr="00F7527A">
        <w:rPr>
          <w:rFonts w:ascii="Palatino Linotype" w:eastAsia="Palatino Linotype" w:hAnsi="Palatino Linotype" w:cs="Palatino Linotype"/>
          <w:b/>
          <w:i/>
          <w:sz w:val="22"/>
          <w:szCs w:val="22"/>
        </w:rPr>
        <w:t>Artículo 4</w:t>
      </w:r>
      <w:r w:rsidRPr="00F7527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AC63E0" w14:textId="77777777" w:rsidR="004821AF" w:rsidRPr="00F7527A" w:rsidRDefault="004C0AF5">
      <w:pPr>
        <w:spacing w:before="240" w:after="240" w:line="276" w:lineRule="auto"/>
        <w:ind w:left="709" w:right="760"/>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w:t>
      </w:r>
      <w:r w:rsidRPr="00F7527A">
        <w:rPr>
          <w:rFonts w:ascii="Palatino Linotype" w:eastAsia="Palatino Linotype" w:hAnsi="Palatino Linotype" w:cs="Palatino Linotype"/>
          <w:b/>
          <w:i/>
          <w:sz w:val="22"/>
          <w:szCs w:val="22"/>
        </w:rPr>
        <w:lastRenderedPageBreak/>
        <w:t>interés público, en los términos de las causas legítimas y estrictamente necesarias previstas por esta Ley.</w:t>
      </w:r>
    </w:p>
    <w:p w14:paraId="02806E82" w14:textId="77777777" w:rsidR="004821AF" w:rsidRPr="00F7527A" w:rsidRDefault="004C0AF5">
      <w:pPr>
        <w:spacing w:before="240" w:after="240" w:line="276" w:lineRule="auto"/>
        <w:ind w:left="709" w:right="760"/>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7527A">
        <w:rPr>
          <w:rFonts w:ascii="Palatino Linotype" w:eastAsia="Palatino Linotype" w:hAnsi="Palatino Linotype" w:cs="Palatino Linotype"/>
          <w:i/>
          <w:sz w:val="22"/>
          <w:szCs w:val="22"/>
        </w:rPr>
        <w:t>.”(</w:t>
      </w:r>
      <w:proofErr w:type="gramEnd"/>
      <w:r w:rsidRPr="00F7527A">
        <w:rPr>
          <w:rFonts w:ascii="Palatino Linotype" w:eastAsia="Palatino Linotype" w:hAnsi="Palatino Linotype" w:cs="Palatino Linotype"/>
          <w:i/>
          <w:sz w:val="22"/>
          <w:szCs w:val="22"/>
        </w:rPr>
        <w:t>Sic)</w:t>
      </w:r>
    </w:p>
    <w:p w14:paraId="141C1472"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4491B22" w14:textId="77777777" w:rsidR="004821AF" w:rsidRPr="00F7527A" w:rsidRDefault="004C0AF5">
      <w:pPr>
        <w:spacing w:before="240" w:after="240" w:line="276" w:lineRule="auto"/>
        <w:ind w:left="567" w:right="758"/>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w:t>
      </w:r>
      <w:r w:rsidRPr="00F7527A">
        <w:rPr>
          <w:rFonts w:ascii="Palatino Linotype" w:eastAsia="Palatino Linotype" w:hAnsi="Palatino Linotype" w:cs="Palatino Linotype"/>
          <w:b/>
          <w:i/>
          <w:sz w:val="22"/>
          <w:szCs w:val="22"/>
        </w:rPr>
        <w:t>Artículo 12</w:t>
      </w:r>
      <w:r w:rsidRPr="00F7527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3A296EE" w14:textId="77777777" w:rsidR="004821AF" w:rsidRPr="00F7527A" w:rsidRDefault="004C0AF5">
      <w:pPr>
        <w:spacing w:before="240" w:after="240" w:line="276" w:lineRule="auto"/>
        <w:ind w:left="567" w:right="758"/>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F850F6A" w14:textId="77777777" w:rsidR="004821AF" w:rsidRPr="00F7527A" w:rsidRDefault="004C0AF5">
      <w:pPr>
        <w:spacing w:before="240" w:after="240" w:line="360" w:lineRule="auto"/>
        <w:jc w:val="both"/>
        <w:rPr>
          <w:rFonts w:ascii="Palatino Linotype" w:eastAsia="Palatino Linotype" w:hAnsi="Palatino Linotype" w:cs="Palatino Linotype"/>
          <w:color w:val="000000"/>
        </w:rPr>
      </w:pPr>
      <w:r w:rsidRPr="00F7527A">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F7527A">
        <w:rPr>
          <w:rFonts w:ascii="Palatino Linotype" w:eastAsia="Palatino Linotype" w:hAnsi="Palatino Linotype" w:cs="Palatino Linotype"/>
          <w:b/>
          <w:color w:val="000000"/>
        </w:rPr>
        <w:t xml:space="preserve"> </w:t>
      </w:r>
      <w:r w:rsidRPr="00F7527A">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F7527A">
        <w:rPr>
          <w:rFonts w:ascii="Palatino Linotype" w:eastAsia="Palatino Linotype" w:hAnsi="Palatino Linotype" w:cs="Palatino Linotype"/>
          <w:i/>
          <w:color w:val="000000"/>
        </w:rPr>
        <w:t>ad hoc</w:t>
      </w:r>
      <w:r w:rsidRPr="00F7527A">
        <w:rPr>
          <w:rFonts w:ascii="Palatino Linotype" w:eastAsia="Palatino Linotype" w:hAnsi="Palatino Linotype" w:cs="Palatino Linotype"/>
          <w:color w:val="000000"/>
        </w:rPr>
        <w:t xml:space="preserve">, para satisfacer el derecho de acceso a la información pública, </w:t>
      </w:r>
      <w:r w:rsidRPr="00F7527A">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4EAD1F03" w14:textId="77777777" w:rsidR="004821AF" w:rsidRPr="00F7527A" w:rsidRDefault="004C0AF5">
      <w:pPr>
        <w:spacing w:before="240" w:after="240" w:line="276" w:lineRule="auto"/>
        <w:ind w:left="567" w:right="567"/>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lastRenderedPageBreak/>
        <w:t>03/17</w:t>
      </w:r>
    </w:p>
    <w:p w14:paraId="628B9732" w14:textId="77777777" w:rsidR="004821AF" w:rsidRPr="00F7527A" w:rsidRDefault="004C0AF5">
      <w:pPr>
        <w:spacing w:before="240" w:after="240" w:line="276" w:lineRule="auto"/>
        <w:ind w:left="567" w:right="567"/>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“NO EXISTE OBLIGACIÓN DE ELABORAR DOCUMENTOS AD HOC PARA ATENDER LAS SOLICITUDES DE ACCESO A LA INFORMACIÓN.</w:t>
      </w:r>
    </w:p>
    <w:p w14:paraId="20344297" w14:textId="77777777" w:rsidR="004821AF" w:rsidRPr="00F7527A" w:rsidRDefault="004C0AF5">
      <w:pPr>
        <w:spacing w:before="240" w:after="240" w:line="276" w:lineRule="auto"/>
        <w:ind w:left="567" w:right="567"/>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FEB6423" w14:textId="77777777" w:rsidR="004821AF" w:rsidRPr="00F7527A" w:rsidRDefault="004C0AF5">
      <w:pPr>
        <w:spacing w:before="240" w:after="240" w:line="360" w:lineRule="auto"/>
        <w:jc w:val="both"/>
        <w:rPr>
          <w:rFonts w:ascii="Palatino Linotype" w:eastAsia="Palatino Linotype" w:hAnsi="Palatino Linotype" w:cs="Palatino Linotype"/>
          <w:color w:val="000000"/>
        </w:rPr>
      </w:pPr>
      <w:r w:rsidRPr="00F7527A">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F7527A">
        <w:rPr>
          <w:rFonts w:ascii="Palatino Linotype" w:eastAsia="Palatino Linotype" w:hAnsi="Palatino Linotype" w:cs="Palatino Linotype"/>
          <w:color w:val="000000"/>
        </w:rPr>
        <w:t xml:space="preserve">sólo proporcionarán la información pública que </w:t>
      </w:r>
      <w:r w:rsidRPr="00F7527A">
        <w:rPr>
          <w:rFonts w:ascii="Palatino Linotype" w:eastAsia="Palatino Linotype" w:hAnsi="Palatino Linotype" w:cs="Palatino Linotype"/>
        </w:rPr>
        <w:t>generen</w:t>
      </w:r>
      <w:r w:rsidRPr="00F7527A">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6D5EEA" w14:textId="77777777" w:rsidR="004821AF" w:rsidRPr="00F7527A" w:rsidRDefault="004C0AF5">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DF2CCD"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6C65644" w14:textId="77777777" w:rsidR="004821AF" w:rsidRPr="00F7527A" w:rsidRDefault="004C0AF5">
      <w:pPr>
        <w:spacing w:before="240" w:after="240" w:line="276" w:lineRule="auto"/>
        <w:ind w:left="567" w:right="567"/>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w:t>
      </w:r>
      <w:r w:rsidRPr="00F7527A">
        <w:rPr>
          <w:rFonts w:ascii="Palatino Linotype" w:eastAsia="Palatino Linotype" w:hAnsi="Palatino Linotype" w:cs="Palatino Linotype"/>
          <w:b/>
          <w:i/>
          <w:sz w:val="22"/>
          <w:szCs w:val="22"/>
        </w:rPr>
        <w:t xml:space="preserve">Artículo 3. </w:t>
      </w:r>
      <w:r w:rsidRPr="00F7527A">
        <w:rPr>
          <w:rFonts w:ascii="Palatino Linotype" w:eastAsia="Palatino Linotype" w:hAnsi="Palatino Linotype" w:cs="Palatino Linotype"/>
          <w:i/>
          <w:sz w:val="22"/>
          <w:szCs w:val="22"/>
        </w:rPr>
        <w:t>Para los efectos de la presente Ley se entenderá por:</w:t>
      </w:r>
    </w:p>
    <w:p w14:paraId="41E84579" w14:textId="77777777" w:rsidR="004821AF" w:rsidRPr="00F7527A" w:rsidRDefault="004C0AF5">
      <w:pPr>
        <w:spacing w:before="240" w:after="240" w:line="276" w:lineRule="auto"/>
        <w:ind w:left="567" w:right="567"/>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w:t>
      </w:r>
    </w:p>
    <w:p w14:paraId="06BE0A7A" w14:textId="77777777" w:rsidR="004821AF" w:rsidRPr="00F7527A" w:rsidRDefault="004C0AF5">
      <w:pPr>
        <w:spacing w:before="240" w:after="240" w:line="276" w:lineRule="auto"/>
        <w:ind w:left="567" w:right="567"/>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b/>
          <w:i/>
          <w:color w:val="000000"/>
          <w:sz w:val="22"/>
          <w:szCs w:val="22"/>
        </w:rPr>
        <w:t>XI. Documento:</w:t>
      </w:r>
      <w:r w:rsidRPr="00F7527A">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7527A">
        <w:rPr>
          <w:rFonts w:ascii="Palatino Linotype" w:eastAsia="Palatino Linotype" w:hAnsi="Palatino Linotype" w:cs="Palatino Linotype"/>
          <w:b/>
          <w:i/>
          <w:color w:val="000000"/>
          <w:sz w:val="22"/>
          <w:szCs w:val="22"/>
        </w:rPr>
        <w:t>…</w:t>
      </w:r>
      <w:r w:rsidRPr="00F7527A">
        <w:rPr>
          <w:rFonts w:ascii="Palatino Linotype" w:eastAsia="Palatino Linotype" w:hAnsi="Palatino Linotype" w:cs="Palatino Linotype"/>
          <w:i/>
          <w:color w:val="000000"/>
          <w:sz w:val="22"/>
          <w:szCs w:val="22"/>
        </w:rPr>
        <w:t>” (Sic)</w:t>
      </w:r>
    </w:p>
    <w:p w14:paraId="43A4A3CA"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2C6270" w14:textId="77777777" w:rsidR="004821AF" w:rsidRPr="00F7527A" w:rsidRDefault="004C0AF5">
      <w:pPr>
        <w:spacing w:before="240" w:after="240" w:line="276" w:lineRule="auto"/>
        <w:ind w:left="567" w:right="567"/>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sz w:val="22"/>
          <w:szCs w:val="22"/>
        </w:rPr>
        <w:t>“</w:t>
      </w:r>
      <w:r w:rsidRPr="00F7527A">
        <w:rPr>
          <w:rFonts w:ascii="Palatino Linotype" w:eastAsia="Palatino Linotype" w:hAnsi="Palatino Linotype" w:cs="Palatino Linotype"/>
          <w:b/>
          <w:i/>
          <w:sz w:val="22"/>
          <w:szCs w:val="22"/>
        </w:rPr>
        <w:t>CRITERIO 0002-11</w:t>
      </w:r>
    </w:p>
    <w:p w14:paraId="27C9254D" w14:textId="77777777" w:rsidR="004821AF" w:rsidRPr="00F7527A" w:rsidRDefault="004C0AF5">
      <w:pPr>
        <w:spacing w:before="240" w:after="240" w:line="276" w:lineRule="auto"/>
        <w:ind w:left="567" w:right="567"/>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F7527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A8C0CE" w14:textId="77777777" w:rsidR="004821AF" w:rsidRPr="00F7527A" w:rsidRDefault="004C0AF5">
      <w:pPr>
        <w:spacing w:before="240" w:after="240" w:line="276" w:lineRule="auto"/>
        <w:ind w:left="567" w:right="567"/>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xml:space="preserve">En </w:t>
      </w:r>
      <w:proofErr w:type="gramStart"/>
      <w:r w:rsidRPr="00F7527A">
        <w:rPr>
          <w:rFonts w:ascii="Palatino Linotype" w:eastAsia="Palatino Linotype" w:hAnsi="Palatino Linotype" w:cs="Palatino Linotype"/>
          <w:i/>
          <w:sz w:val="22"/>
          <w:szCs w:val="22"/>
        </w:rPr>
        <w:t>consecuencia</w:t>
      </w:r>
      <w:proofErr w:type="gramEnd"/>
      <w:r w:rsidRPr="00F7527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6F983C3" w14:textId="77777777" w:rsidR="004821AF" w:rsidRPr="00F7527A" w:rsidRDefault="004C0AF5">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F7527A">
        <w:rPr>
          <w:rFonts w:ascii="Palatino Linotype" w:eastAsia="Palatino Linotype" w:hAnsi="Palatino Linotype" w:cs="Palatino Linotype"/>
          <w:i/>
          <w:color w:val="000000"/>
          <w:sz w:val="22"/>
          <w:szCs w:val="22"/>
        </w:rPr>
        <w:t>que</w:t>
      </w:r>
      <w:proofErr w:type="gramEnd"/>
      <w:r w:rsidRPr="00F7527A">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0D40C362" w14:textId="77777777" w:rsidR="004821AF" w:rsidRPr="00F7527A" w:rsidRDefault="004C0AF5">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F7527A">
        <w:rPr>
          <w:rFonts w:ascii="Palatino Linotype" w:eastAsia="Palatino Linotype" w:hAnsi="Palatino Linotype" w:cs="Palatino Linotype"/>
          <w:i/>
          <w:color w:val="000000"/>
          <w:sz w:val="22"/>
          <w:szCs w:val="22"/>
        </w:rPr>
        <w:t>que</w:t>
      </w:r>
      <w:proofErr w:type="gramEnd"/>
      <w:r w:rsidRPr="00F7527A">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08943D87" w14:textId="77777777" w:rsidR="004821AF" w:rsidRPr="00F7527A" w:rsidRDefault="004C0AF5">
      <w:pPr>
        <w:spacing w:before="240" w:after="240" w:line="276" w:lineRule="auto"/>
        <w:ind w:left="567" w:right="567" w:hanging="284"/>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xml:space="preserve">3) </w:t>
      </w:r>
      <w:r w:rsidRPr="00F7527A">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F7527A">
        <w:rPr>
          <w:rFonts w:ascii="Palatino Linotype" w:eastAsia="Palatino Linotype" w:hAnsi="Palatino Linotype" w:cs="Palatino Linotype"/>
          <w:b/>
          <w:i/>
          <w:sz w:val="22"/>
          <w:szCs w:val="22"/>
        </w:rPr>
        <w:t>que</w:t>
      </w:r>
      <w:proofErr w:type="gramEnd"/>
      <w:r w:rsidRPr="00F7527A">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A091CFD"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De ahí que el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F7527A">
        <w:rPr>
          <w:rFonts w:ascii="Palatino Linotype" w:eastAsia="Palatino Linotype" w:hAnsi="Palatino Linotype" w:cs="Palatino Linotype"/>
          <w:vertAlign w:val="superscript"/>
        </w:rPr>
        <w:footnoteReference w:id="1"/>
      </w:r>
      <w:r w:rsidRPr="00F7527A">
        <w:rPr>
          <w:rFonts w:ascii="Palatino Linotype" w:eastAsia="Palatino Linotype" w:hAnsi="Palatino Linotype" w:cs="Palatino Linotype"/>
        </w:rPr>
        <w:t xml:space="preserve">, así como de interés público, es decir, aquella que resulta relevante o beneficiosa para la sociedad y no </w:t>
      </w:r>
      <w:r w:rsidRPr="00F7527A">
        <w:rPr>
          <w:rFonts w:ascii="Palatino Linotype" w:eastAsia="Palatino Linotype" w:hAnsi="Palatino Linotype" w:cs="Palatino Linotype"/>
        </w:rPr>
        <w:lastRenderedPageBreak/>
        <w:t>simplemente de interés individual, y cuya divulgación resulta útil para que el público comprenda las actividades que llevan a cabo los Sujetos Obligados</w:t>
      </w:r>
      <w:r w:rsidRPr="00F7527A">
        <w:rPr>
          <w:rFonts w:ascii="Palatino Linotype" w:eastAsia="Palatino Linotype" w:hAnsi="Palatino Linotype" w:cs="Palatino Linotype"/>
          <w:vertAlign w:val="superscript"/>
        </w:rPr>
        <w:footnoteReference w:id="2"/>
      </w:r>
      <w:r w:rsidRPr="00F7527A">
        <w:rPr>
          <w:rFonts w:ascii="Palatino Linotype" w:eastAsia="Palatino Linotype" w:hAnsi="Palatino Linotype" w:cs="Palatino Linotype"/>
        </w:rPr>
        <w:t>.</w:t>
      </w:r>
    </w:p>
    <w:p w14:paraId="0AA9F18D"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Ahora bien, para profundizar en el estudio del presente asunto, es conveniente recordar que la parte solicitante requirió al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 le proporcionara lo siguiente:</w:t>
      </w:r>
    </w:p>
    <w:p w14:paraId="34A46752" w14:textId="77777777" w:rsidR="00D53429" w:rsidRPr="00F7527A" w:rsidRDefault="00D53429" w:rsidP="00D53429">
      <w:pPr>
        <w:spacing w:before="240" w:after="240" w:line="360" w:lineRule="auto"/>
        <w:ind w:left="567" w:right="709"/>
        <w:jc w:val="both"/>
        <w:rPr>
          <w:rFonts w:ascii="Palatino Linotype" w:eastAsia="Palatino Linotype" w:hAnsi="Palatino Linotype" w:cs="Palatino Linotype"/>
          <w:b/>
          <w:sz w:val="22"/>
          <w:szCs w:val="22"/>
        </w:rPr>
      </w:pPr>
      <w:r w:rsidRPr="00F7527A">
        <w:rPr>
          <w:rFonts w:ascii="Palatino Linotype" w:eastAsia="Palatino Linotype" w:hAnsi="Palatino Linotype" w:cs="Palatino Linotype"/>
          <w:b/>
          <w:sz w:val="22"/>
          <w:szCs w:val="22"/>
        </w:rPr>
        <w:t>1. Monto total que destinó ese Ayuntamiento y patrocinadores para llevar a cabo la Feria Nacional de Ixtapaluca 2022</w:t>
      </w:r>
    </w:p>
    <w:p w14:paraId="221C7800" w14:textId="77777777" w:rsidR="00D53429" w:rsidRPr="00F7527A" w:rsidRDefault="00D53429" w:rsidP="00D53429">
      <w:pPr>
        <w:spacing w:before="240" w:after="240" w:line="360" w:lineRule="auto"/>
        <w:ind w:left="567" w:right="709"/>
        <w:jc w:val="both"/>
        <w:rPr>
          <w:rFonts w:ascii="Palatino Linotype" w:eastAsia="Palatino Linotype" w:hAnsi="Palatino Linotype" w:cs="Palatino Linotype"/>
          <w:b/>
          <w:sz w:val="22"/>
          <w:szCs w:val="22"/>
        </w:rPr>
      </w:pPr>
      <w:r w:rsidRPr="00F7527A">
        <w:rPr>
          <w:rFonts w:ascii="Palatino Linotype" w:eastAsia="Palatino Linotype" w:hAnsi="Palatino Linotype" w:cs="Palatino Linotype"/>
          <w:b/>
          <w:sz w:val="22"/>
          <w:szCs w:val="22"/>
        </w:rPr>
        <w:t xml:space="preserve">2. ¿Qué servicios se contrataron para llevar a cabo esa Feria Nacional de Ixtapaluca 2022? </w:t>
      </w:r>
    </w:p>
    <w:p w14:paraId="39346F38" w14:textId="77777777" w:rsidR="00D53429" w:rsidRPr="00F7527A" w:rsidRDefault="00D53429" w:rsidP="00D53429">
      <w:pPr>
        <w:spacing w:before="240" w:after="240" w:line="360" w:lineRule="auto"/>
        <w:ind w:left="567" w:right="709"/>
        <w:jc w:val="both"/>
        <w:rPr>
          <w:rFonts w:ascii="Palatino Linotype" w:eastAsia="Palatino Linotype" w:hAnsi="Palatino Linotype" w:cs="Palatino Linotype"/>
          <w:b/>
          <w:sz w:val="22"/>
          <w:szCs w:val="22"/>
        </w:rPr>
      </w:pPr>
      <w:r w:rsidRPr="00F7527A">
        <w:rPr>
          <w:rFonts w:ascii="Palatino Linotype" w:eastAsia="Palatino Linotype" w:hAnsi="Palatino Linotype" w:cs="Palatino Linotype"/>
          <w:b/>
          <w:sz w:val="22"/>
          <w:szCs w:val="22"/>
        </w:rPr>
        <w:t>3. ¿Cuál fue el monto total de ingresos que obtuvo ese Ayuntamiento por venta de boletaje, venta de comida, bebidas, y de todos los servicios que se ofrecieron a las personas que asistieron a esa Feria?</w:t>
      </w:r>
    </w:p>
    <w:p w14:paraId="2B9B7B4E" w14:textId="77777777" w:rsidR="004821AF" w:rsidRPr="00F7527A" w:rsidRDefault="004C0AF5">
      <w:pPr>
        <w:spacing w:before="240" w:after="240" w:line="360" w:lineRule="auto"/>
        <w:ind w:right="49"/>
        <w:jc w:val="both"/>
        <w:rPr>
          <w:rFonts w:ascii="Palatino Linotype" w:eastAsia="Palatino Linotype" w:hAnsi="Palatino Linotype" w:cs="Palatino Linotype"/>
          <w:i/>
        </w:rPr>
      </w:pPr>
      <w:r w:rsidRPr="00F7527A">
        <w:rPr>
          <w:rFonts w:ascii="Palatino Linotype" w:eastAsia="Palatino Linotype" w:hAnsi="Palatino Linotype" w:cs="Palatino Linotype"/>
        </w:rPr>
        <w:t xml:space="preserve">Es de resaltar que el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 xml:space="preserve"> fue omiso en emitir su respuesta, circunstancia </w:t>
      </w:r>
      <w:proofErr w:type="gramStart"/>
      <w:r w:rsidRPr="00F7527A">
        <w:rPr>
          <w:rFonts w:ascii="Palatino Linotype" w:eastAsia="Palatino Linotype" w:hAnsi="Palatino Linotype" w:cs="Palatino Linotype"/>
        </w:rPr>
        <w:t>que  condujo</w:t>
      </w:r>
      <w:proofErr w:type="gramEnd"/>
      <w:r w:rsidRPr="00F7527A">
        <w:rPr>
          <w:rFonts w:ascii="Palatino Linotype" w:eastAsia="Palatino Linotype" w:hAnsi="Palatino Linotype" w:cs="Palatino Linotype"/>
        </w:rPr>
        <w:t xml:space="preserve"> a la interposición del recurso de revisión por parte del particular, mediante el cual se inconformó en los siguientes términos: </w:t>
      </w:r>
      <w:r w:rsidRPr="00F7527A">
        <w:rPr>
          <w:rFonts w:ascii="Palatino Linotype" w:eastAsia="Palatino Linotype" w:hAnsi="Palatino Linotype" w:cs="Palatino Linotype"/>
          <w:i/>
        </w:rPr>
        <w:t>“</w:t>
      </w:r>
      <w:r w:rsidR="009F26D8" w:rsidRPr="00F7527A">
        <w:rPr>
          <w:rFonts w:ascii="Palatino Linotype" w:eastAsia="Palatino Linotype" w:hAnsi="Palatino Linotype" w:cs="Palatino Linotype"/>
          <w:i/>
        </w:rPr>
        <w:t>“El Ayuntamiento de Ixtapaluca ha hecho caso omiso en la atención a mi solicitud de información. Lo cual amerita alguna sanción al o los servidores públicos encargados de dar trámite a las solicitudes de ese Ayuntamiento. Asimismo, no se ha notificado que dicho sujeto obligado haya requerido algún tipo de ampliación de plazo para dar respuesta a mi solicitud.” (Sic)</w:t>
      </w:r>
      <w:r w:rsidRPr="00F7527A">
        <w:rPr>
          <w:rFonts w:ascii="Palatino Linotype" w:eastAsia="Palatino Linotype" w:hAnsi="Palatino Linotype" w:cs="Palatino Linotype"/>
          <w:i/>
        </w:rPr>
        <w:t xml:space="preserve"> </w:t>
      </w:r>
    </w:p>
    <w:p w14:paraId="06D62F83" w14:textId="77777777" w:rsidR="009F26D8" w:rsidRPr="00F7527A" w:rsidRDefault="004C0AF5" w:rsidP="009F26D8">
      <w:pPr>
        <w:spacing w:before="240" w:after="240" w:line="360" w:lineRule="auto"/>
        <w:ind w:right="49"/>
        <w:jc w:val="both"/>
        <w:rPr>
          <w:rFonts w:ascii="Palatino Linotype" w:eastAsia="Palatino Linotype" w:hAnsi="Palatino Linotype" w:cs="Palatino Linotype"/>
          <w:b/>
          <w:i/>
        </w:rPr>
      </w:pPr>
      <w:r w:rsidRPr="00F7527A">
        <w:rPr>
          <w:rFonts w:ascii="Palatino Linotype" w:eastAsia="Palatino Linotype" w:hAnsi="Palatino Linotype" w:cs="Palatino Linotype"/>
        </w:rPr>
        <w:lastRenderedPageBreak/>
        <w:t xml:space="preserve">Una vez admitido el recurso de revisión que nos ocupa, el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 xml:space="preserve"> remitió su informe justificado por medio de los archivos electrónicos </w:t>
      </w:r>
      <w:r w:rsidR="009F26D8" w:rsidRPr="00F7527A">
        <w:rPr>
          <w:rFonts w:ascii="Palatino Linotype" w:eastAsia="Palatino Linotype" w:hAnsi="Palatino Linotype" w:cs="Palatino Linotype"/>
          <w:b/>
          <w:i/>
        </w:rPr>
        <w:t>“RESPUESTA SUBADMINISTRACION 339.pdf” y “RESPUESTA 339 RECAUDACION.pdf”.</w:t>
      </w:r>
    </w:p>
    <w:p w14:paraId="61E975B3" w14:textId="77777777" w:rsidR="0003451E" w:rsidRPr="00F7527A" w:rsidRDefault="0003451E" w:rsidP="0003451E">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rPr>
        <w:t>Previo análisis de los puntos que no se atendieron a cabalidad, conviene señalar que la Feria Nacional de Ixtapaluca de 2022, se llevó a cabo del 21 de mayo al 05 de junio de 2022, lo anterior encuentra sustento en las siguientes ilustraciones:</w:t>
      </w:r>
    </w:p>
    <w:p w14:paraId="54554E4F" w14:textId="77777777" w:rsidR="0003451E" w:rsidRPr="00F7527A" w:rsidRDefault="0003451E" w:rsidP="0003451E">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noProof/>
          <w:lang w:val="es-MX" w:eastAsia="es-MX"/>
        </w:rPr>
        <w:drawing>
          <wp:anchor distT="0" distB="0" distL="114300" distR="114300" simplePos="0" relativeHeight="251665408" behindDoc="0" locked="0" layoutInCell="1" allowOverlap="1" wp14:anchorId="0549110E" wp14:editId="5F2002B4">
            <wp:simplePos x="0" y="0"/>
            <wp:positionH relativeFrom="column">
              <wp:posOffset>-289560</wp:posOffset>
            </wp:positionH>
            <wp:positionV relativeFrom="paragraph">
              <wp:posOffset>95885</wp:posOffset>
            </wp:positionV>
            <wp:extent cx="6379210" cy="2562225"/>
            <wp:effectExtent l="19050" t="19050" r="21590" b="2857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9210" cy="25622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7527A">
        <w:rPr>
          <w:rFonts w:ascii="Palatino Linotype" w:eastAsia="Palatino Linotype" w:hAnsi="Palatino Linotype" w:cs="Palatino Linotype"/>
        </w:rPr>
        <w:t>Obtenida de la página oficial del H. Ayuntamien</w:t>
      </w:r>
      <w:r w:rsidR="00A45B7A" w:rsidRPr="00F7527A">
        <w:rPr>
          <w:rFonts w:ascii="Palatino Linotype" w:eastAsia="Palatino Linotype" w:hAnsi="Palatino Linotype" w:cs="Palatino Linotype"/>
        </w:rPr>
        <w:t xml:space="preserve">to de Ixtapaluca </w:t>
      </w:r>
      <w:r w:rsidRPr="00F7527A">
        <w:rPr>
          <w:rFonts w:ascii="Palatino Linotype" w:eastAsia="Palatino Linotype" w:hAnsi="Palatino Linotype" w:cs="Palatino Linotype"/>
        </w:rPr>
        <w:t>(consultada el siete de marzo de dos mil veintitrés a las 17:48 pm)</w:t>
      </w:r>
    </w:p>
    <w:p w14:paraId="67AA1752" w14:textId="77777777" w:rsidR="0003451E" w:rsidRPr="00F7527A" w:rsidRDefault="0003451E" w:rsidP="0003451E">
      <w:pPr>
        <w:spacing w:before="240" w:after="240" w:line="360" w:lineRule="auto"/>
        <w:ind w:right="49"/>
        <w:jc w:val="both"/>
        <w:rPr>
          <w:rFonts w:ascii="Palatino Linotype" w:eastAsia="Palatino Linotype" w:hAnsi="Palatino Linotype" w:cs="Palatino Linotype"/>
          <w:b/>
        </w:rPr>
      </w:pPr>
      <w:r w:rsidRPr="00F7527A">
        <w:rPr>
          <w:rFonts w:ascii="Palatino Linotype" w:eastAsia="Palatino Linotype" w:hAnsi="Palatino Linotype" w:cs="Palatino Linotype"/>
          <w:b/>
        </w:rPr>
        <w:t>Feria Nacional de Ixtapaluca 2022</w:t>
      </w:r>
    </w:p>
    <w:p w14:paraId="034D90D7" w14:textId="77777777" w:rsidR="0003451E" w:rsidRPr="00F7527A" w:rsidRDefault="0003451E" w:rsidP="0003451E">
      <w:pPr>
        <w:spacing w:before="240" w:after="240" w:line="360" w:lineRule="auto"/>
        <w:ind w:right="49"/>
        <w:jc w:val="center"/>
        <w:rPr>
          <w:rFonts w:ascii="Palatino Linotype" w:eastAsia="Palatino Linotype" w:hAnsi="Palatino Linotype" w:cs="Palatino Linotype"/>
          <w:b/>
        </w:rPr>
      </w:pPr>
      <w:r w:rsidRPr="00F7527A">
        <w:rPr>
          <w:noProof/>
          <w:lang w:val="es-MX" w:eastAsia="es-MX"/>
        </w:rPr>
        <w:lastRenderedPageBreak/>
        <w:drawing>
          <wp:inline distT="0" distB="0" distL="0" distR="0" wp14:anchorId="6A148B34" wp14:editId="312D4599">
            <wp:extent cx="4782458" cy="3347720"/>
            <wp:effectExtent l="0" t="0" r="0" b="5080"/>
            <wp:docPr id="9" name="Imagen 1" descr="Feria Nacional de Ixtapaluc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ia Nacional de Ixtapaluca 20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6735" cy="3350714"/>
                    </a:xfrm>
                    <a:prstGeom prst="rect">
                      <a:avLst/>
                    </a:prstGeom>
                    <a:noFill/>
                    <a:ln>
                      <a:noFill/>
                    </a:ln>
                  </pic:spPr>
                </pic:pic>
              </a:graphicData>
            </a:graphic>
          </wp:inline>
        </w:drawing>
      </w:r>
    </w:p>
    <w:p w14:paraId="51BA38BC" w14:textId="77777777" w:rsidR="0003451E" w:rsidRPr="00F7527A" w:rsidRDefault="0003451E" w:rsidP="0003451E">
      <w:pPr>
        <w:spacing w:before="240" w:after="240" w:line="276" w:lineRule="auto"/>
        <w:ind w:left="567" w:right="709"/>
        <w:jc w:val="both"/>
        <w:rPr>
          <w:rFonts w:ascii="Palatino Linotype" w:eastAsia="Palatino Linotype" w:hAnsi="Palatino Linotype" w:cs="Palatino Linotype"/>
          <w:sz w:val="22"/>
        </w:rPr>
      </w:pPr>
      <w:r w:rsidRPr="00F7527A">
        <w:rPr>
          <w:rFonts w:ascii="Palatino Linotype" w:eastAsia="Palatino Linotype" w:hAnsi="Palatino Linotype" w:cs="Palatino Linotype"/>
          <w:sz w:val="22"/>
        </w:rPr>
        <w:t xml:space="preserve">Obtenida de </w:t>
      </w:r>
      <w:hyperlink r:id="rId15" w:history="1">
        <w:r w:rsidRPr="00F7527A">
          <w:rPr>
            <w:rStyle w:val="Hipervnculo"/>
            <w:rFonts w:ascii="Palatino Linotype" w:eastAsia="Palatino Linotype" w:hAnsi="Palatino Linotype" w:cs="Palatino Linotype"/>
            <w:sz w:val="22"/>
          </w:rPr>
          <w:t>https://www.dondehayferia.com/feria-nacional-de-ixtapaluca-2022</w:t>
        </w:r>
      </w:hyperlink>
      <w:r w:rsidRPr="00F7527A">
        <w:rPr>
          <w:rFonts w:ascii="Palatino Linotype" w:eastAsia="Palatino Linotype" w:hAnsi="Palatino Linotype" w:cs="Palatino Linotype"/>
          <w:sz w:val="22"/>
        </w:rPr>
        <w:t xml:space="preserve"> (consultada el siete de marzo de dos mil veintitrés, a las 05:52 pm)</w:t>
      </w:r>
    </w:p>
    <w:p w14:paraId="701F59B7" w14:textId="77777777" w:rsidR="0003451E" w:rsidRPr="00F7527A" w:rsidRDefault="0003451E" w:rsidP="0003451E">
      <w:pPr>
        <w:spacing w:before="240" w:after="240" w:line="276" w:lineRule="auto"/>
        <w:ind w:left="567" w:right="709"/>
        <w:jc w:val="both"/>
        <w:rPr>
          <w:rFonts w:ascii="Palatino Linotype" w:eastAsia="Palatino Linotype" w:hAnsi="Palatino Linotype" w:cs="Palatino Linotype"/>
          <w:sz w:val="22"/>
        </w:rPr>
      </w:pPr>
      <w:r w:rsidRPr="00F7527A">
        <w:rPr>
          <w:rFonts w:ascii="Palatino Linotype" w:eastAsia="Palatino Linotype" w:hAnsi="Palatino Linotype" w:cs="Palatino Linotype"/>
          <w:sz w:val="22"/>
        </w:rPr>
        <w:t>Este reconocido municipio mexiquense se distingue por su fervor religioso y muestra de ello es una de sus festividades más importantes, la Feria de Ixtapaluca, realizada en honor al santo patrono de la comunidad, el Señor de los Milagros y del Buen Camino.</w:t>
      </w:r>
    </w:p>
    <w:p w14:paraId="7DC1B504" w14:textId="77777777" w:rsidR="0003451E" w:rsidRPr="00F7527A" w:rsidRDefault="0003451E" w:rsidP="0003451E">
      <w:pPr>
        <w:spacing w:before="240" w:after="240" w:line="276" w:lineRule="auto"/>
        <w:ind w:left="567" w:right="709"/>
        <w:jc w:val="both"/>
        <w:rPr>
          <w:rFonts w:ascii="Palatino Linotype" w:eastAsia="Palatino Linotype" w:hAnsi="Palatino Linotype" w:cs="Palatino Linotype"/>
          <w:sz w:val="22"/>
        </w:rPr>
      </w:pPr>
      <w:r w:rsidRPr="00F7527A">
        <w:rPr>
          <w:rFonts w:ascii="Palatino Linotype" w:eastAsia="Palatino Linotype" w:hAnsi="Palatino Linotype" w:cs="Palatino Linotype"/>
          <w:sz w:val="22"/>
        </w:rPr>
        <w:t>Esta verbena cuenta con más de cien años de historia, por lo que es de gran tradición en la zona oriente del Estado de México y a la que arriban visitantes de municipios vecinos como Chalco, San Vicente Chicoloapan, Tlalmanalco y Los Reyes La Paz.</w:t>
      </w:r>
    </w:p>
    <w:p w14:paraId="0B4A5E41" w14:textId="77777777" w:rsidR="0003451E" w:rsidRPr="00F7527A" w:rsidRDefault="0003451E" w:rsidP="0003451E">
      <w:pPr>
        <w:spacing w:before="240" w:after="240" w:line="276" w:lineRule="auto"/>
        <w:ind w:left="567" w:right="709"/>
        <w:jc w:val="both"/>
        <w:rPr>
          <w:rFonts w:ascii="Palatino Linotype" w:eastAsia="Palatino Linotype" w:hAnsi="Palatino Linotype" w:cs="Palatino Linotype"/>
          <w:sz w:val="22"/>
        </w:rPr>
      </w:pPr>
      <w:r w:rsidRPr="00F7527A">
        <w:rPr>
          <w:rFonts w:ascii="Palatino Linotype" w:eastAsia="Palatino Linotype" w:hAnsi="Palatino Linotype" w:cs="Palatino Linotype"/>
          <w:sz w:val="22"/>
        </w:rPr>
        <w:t xml:space="preserve">Como dicta la tradición, la Feria de Ixtapaluca inicia el jueves de la </w:t>
      </w:r>
      <w:proofErr w:type="spellStart"/>
      <w:r w:rsidRPr="00F7527A">
        <w:rPr>
          <w:rFonts w:ascii="Palatino Linotype" w:eastAsia="Palatino Linotype" w:hAnsi="Palatino Linotype" w:cs="Palatino Linotype"/>
          <w:sz w:val="22"/>
        </w:rPr>
        <w:t>Ascención</w:t>
      </w:r>
      <w:proofErr w:type="spellEnd"/>
      <w:r w:rsidRPr="00F7527A">
        <w:rPr>
          <w:rFonts w:ascii="Palatino Linotype" w:eastAsia="Palatino Linotype" w:hAnsi="Palatino Linotype" w:cs="Palatino Linotype"/>
          <w:sz w:val="22"/>
        </w:rPr>
        <w:t xml:space="preserve"> del Señor, día en que se acostumbra la tradicional procesión del santo patrono por las principales calles de la demarcación, donde se colocan espectaculares tapetes elaborados artesanalmente con aserrín de colores.</w:t>
      </w:r>
    </w:p>
    <w:p w14:paraId="3F0EAA92" w14:textId="77777777" w:rsidR="0003451E" w:rsidRPr="00F7527A" w:rsidRDefault="0003451E" w:rsidP="0003451E">
      <w:pPr>
        <w:spacing w:before="240" w:after="240" w:line="276" w:lineRule="auto"/>
        <w:ind w:left="567" w:right="709"/>
        <w:jc w:val="both"/>
        <w:rPr>
          <w:rFonts w:ascii="Palatino Linotype" w:eastAsia="Palatino Linotype" w:hAnsi="Palatino Linotype" w:cs="Palatino Linotype"/>
          <w:sz w:val="22"/>
        </w:rPr>
      </w:pPr>
      <w:r w:rsidRPr="00F7527A">
        <w:rPr>
          <w:rFonts w:ascii="Palatino Linotype" w:eastAsia="Palatino Linotype" w:hAnsi="Palatino Linotype" w:cs="Palatino Linotype"/>
          <w:sz w:val="22"/>
        </w:rPr>
        <w:lastRenderedPageBreak/>
        <w:t>Durante el recorrido también se puede admirar la danza de los matachines, la música tradicional y todo el folclor que envuelve a esta gran celebración.</w:t>
      </w:r>
    </w:p>
    <w:p w14:paraId="30B27D67" w14:textId="77777777" w:rsidR="0003451E" w:rsidRPr="00F7527A" w:rsidRDefault="0003451E" w:rsidP="0003451E">
      <w:pPr>
        <w:spacing w:before="240" w:after="240" w:line="276" w:lineRule="auto"/>
        <w:ind w:left="567" w:right="709"/>
        <w:jc w:val="both"/>
        <w:rPr>
          <w:rFonts w:ascii="Palatino Linotype" w:eastAsia="Palatino Linotype" w:hAnsi="Palatino Linotype" w:cs="Palatino Linotype"/>
          <w:sz w:val="22"/>
        </w:rPr>
      </w:pPr>
      <w:r w:rsidRPr="00F7527A">
        <w:rPr>
          <w:rFonts w:ascii="Palatino Linotype" w:eastAsia="Palatino Linotype" w:hAnsi="Palatino Linotype" w:cs="Palatino Linotype"/>
          <w:sz w:val="22"/>
        </w:rPr>
        <w:t>Entre los grandes atractivos de esta gran feria también destaca la quema de los impresionantes castillos piromusicales que son donados en honor al santo patrono.</w:t>
      </w:r>
    </w:p>
    <w:p w14:paraId="4A81B481" w14:textId="77777777" w:rsidR="0003451E" w:rsidRPr="00F7527A" w:rsidRDefault="0003451E" w:rsidP="0003451E">
      <w:pPr>
        <w:spacing w:before="240" w:after="240" w:line="276" w:lineRule="auto"/>
        <w:ind w:left="567" w:right="709"/>
        <w:jc w:val="both"/>
        <w:rPr>
          <w:rFonts w:ascii="Palatino Linotype" w:eastAsia="Palatino Linotype" w:hAnsi="Palatino Linotype" w:cs="Palatino Linotype"/>
          <w:sz w:val="22"/>
        </w:rPr>
      </w:pPr>
      <w:r w:rsidRPr="00F7527A">
        <w:rPr>
          <w:rFonts w:ascii="Palatino Linotype" w:eastAsia="Palatino Linotype" w:hAnsi="Palatino Linotype" w:cs="Palatino Linotype"/>
          <w:sz w:val="22"/>
        </w:rPr>
        <w:t>En cuanto a la oferta de entretenimiento, destacan el circuito de juegos mecánicos, la zona comercial, diversos eventos artísticos y culturales y, por supuesto, los espectáculos musicales con las agrupaciones estelares del momento.</w:t>
      </w:r>
    </w:p>
    <w:p w14:paraId="6CF69BC4" w14:textId="77777777" w:rsidR="0003451E" w:rsidRPr="00F7527A" w:rsidRDefault="0003451E" w:rsidP="0003451E">
      <w:pPr>
        <w:spacing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De tal suerte </w:t>
      </w:r>
      <w:proofErr w:type="gramStart"/>
      <w:r w:rsidRPr="00F7527A">
        <w:rPr>
          <w:rFonts w:ascii="Palatino Linotype" w:eastAsia="Palatino Linotype" w:hAnsi="Palatino Linotype" w:cs="Palatino Linotype"/>
          <w:lang w:eastAsia="es-MX"/>
        </w:rPr>
        <w:t>que</w:t>
      </w:r>
      <w:proofErr w:type="gramEnd"/>
      <w:r w:rsidRPr="00F7527A">
        <w:rPr>
          <w:rFonts w:ascii="Palatino Linotype" w:eastAsia="Palatino Linotype" w:hAnsi="Palatino Linotype" w:cs="Palatino Linotype"/>
          <w:lang w:eastAsia="es-MX"/>
        </w:rPr>
        <w:t xml:space="preserve"> con lo vertido anteriormente, podemos concluir que efectivamente se realizó dicha feria, por lo que estaríamos ante un hecho notorio, el cual se sustenta conforme a </w:t>
      </w:r>
      <w:r w:rsidRPr="00F7527A">
        <w:rPr>
          <w:rFonts w:ascii="Palatino Linotype" w:eastAsia="Palatino Linotype" w:hAnsi="Palatino Linotype" w:cs="Palatino Linotype"/>
          <w:color w:val="000000"/>
          <w:lang w:eastAsia="es-MX"/>
        </w:rPr>
        <w:t>las siguientes tesis jurisprudenciales</w:t>
      </w:r>
      <w:r w:rsidRPr="00F7527A">
        <w:rPr>
          <w:rFonts w:ascii="Palatino Linotype" w:eastAsia="Palatino Linotype" w:hAnsi="Palatino Linotype" w:cs="Palatino Linotype"/>
          <w:lang w:eastAsia="es-MX"/>
        </w:rPr>
        <w:t>:</w:t>
      </w:r>
    </w:p>
    <w:p w14:paraId="4BC2A56A" w14:textId="77777777" w:rsidR="006E07CE" w:rsidRPr="00F7527A" w:rsidRDefault="006E07CE" w:rsidP="0003451E">
      <w:pPr>
        <w:spacing w:line="360" w:lineRule="auto"/>
        <w:jc w:val="both"/>
        <w:rPr>
          <w:rFonts w:ascii="Palatino Linotype" w:eastAsia="Palatino Linotype" w:hAnsi="Palatino Linotype" w:cs="Palatino Linotype"/>
          <w:lang w:eastAsia="es-MX"/>
        </w:rPr>
      </w:pPr>
    </w:p>
    <w:p w14:paraId="0550AD0D" w14:textId="77777777" w:rsidR="0003451E" w:rsidRPr="00F7527A" w:rsidRDefault="0003451E" w:rsidP="0003451E">
      <w:pPr>
        <w:ind w:left="567" w:right="616"/>
        <w:jc w:val="center"/>
        <w:rPr>
          <w:rFonts w:ascii="Palatino Linotype" w:eastAsia="Palatino Linotype" w:hAnsi="Palatino Linotype" w:cs="Palatino Linotype"/>
          <w:b/>
          <w:i/>
          <w:sz w:val="22"/>
          <w:szCs w:val="22"/>
          <w:lang w:eastAsia="es-MX"/>
        </w:rPr>
      </w:pPr>
      <w:r w:rsidRPr="00F7527A">
        <w:rPr>
          <w:rFonts w:ascii="Palatino Linotype" w:eastAsia="Palatino Linotype" w:hAnsi="Palatino Linotype" w:cs="Palatino Linotype"/>
          <w:b/>
          <w:i/>
          <w:sz w:val="22"/>
          <w:szCs w:val="22"/>
          <w:lang w:eastAsia="es-MX"/>
        </w:rPr>
        <w:t>“HECHOS NOTORIOS. CONCEPTOS GENERAL Y JURÍDICO</w:t>
      </w:r>
    </w:p>
    <w:p w14:paraId="030B8186" w14:textId="77777777" w:rsidR="0003451E" w:rsidRPr="00F7527A" w:rsidRDefault="0003451E" w:rsidP="0003451E">
      <w:pPr>
        <w:ind w:left="567" w:right="616"/>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 xml:space="preserve">Conforme al artículo </w:t>
      </w:r>
      <w:hyperlink r:id="rId16">
        <w:r w:rsidRPr="00F7527A">
          <w:rPr>
            <w:rFonts w:ascii="Palatino Linotype" w:eastAsia="Palatino Linotype" w:hAnsi="Palatino Linotype" w:cs="Palatino Linotype"/>
            <w:b/>
            <w:i/>
            <w:sz w:val="22"/>
            <w:szCs w:val="22"/>
            <w:lang w:eastAsia="es-MX"/>
          </w:rPr>
          <w:t>88 del Código Federal de Procedimientos Civiles</w:t>
        </w:r>
      </w:hyperlink>
      <w:r w:rsidRPr="00F7527A">
        <w:rPr>
          <w:rFonts w:ascii="Palatino Linotype" w:eastAsia="Palatino Linotype" w:hAnsi="Palatino Linotype" w:cs="Palatino Linotype"/>
          <w:b/>
          <w:i/>
          <w:sz w:val="22"/>
          <w:szCs w:val="22"/>
          <w:lang w:eastAsia="es-MX"/>
        </w:rPr>
        <w:t xml:space="preserve"> los tribunales pueden invocar hechos </w:t>
      </w:r>
      <w:proofErr w:type="gramStart"/>
      <w:r w:rsidRPr="00F7527A">
        <w:rPr>
          <w:rFonts w:ascii="Palatino Linotype" w:eastAsia="Palatino Linotype" w:hAnsi="Palatino Linotype" w:cs="Palatino Linotype"/>
          <w:b/>
          <w:i/>
          <w:sz w:val="22"/>
          <w:szCs w:val="22"/>
          <w:lang w:eastAsia="es-MX"/>
        </w:rPr>
        <w:t>notorios</w:t>
      </w:r>
      <w:proofErr w:type="gramEnd"/>
      <w:r w:rsidRPr="00F7527A">
        <w:rPr>
          <w:rFonts w:ascii="Palatino Linotype" w:eastAsia="Palatino Linotype" w:hAnsi="Palatino Linotype" w:cs="Palatino Linotype"/>
          <w:b/>
          <w:i/>
          <w:sz w:val="22"/>
          <w:szCs w:val="22"/>
          <w:lang w:eastAsia="es-MX"/>
        </w:rPr>
        <w:t xml:space="preserve"> aunque no hayan sido alegados ni probados por las partes.</w:t>
      </w:r>
      <w:r w:rsidRPr="00F7527A">
        <w:rPr>
          <w:rFonts w:ascii="Palatino Linotype" w:eastAsia="Palatino Linotype" w:hAnsi="Palatino Linotype" w:cs="Palatino Linotype"/>
          <w:i/>
          <w:sz w:val="22"/>
          <w:szCs w:val="22"/>
          <w:lang w:eastAsia="es-MX"/>
        </w:rPr>
        <w:t xml:space="preserve"> Por hechos notorios deben entenderse, en general, aquellos que por el conocimiento humano se consideran ciertos e indiscutibles, ya sea que pertenezcan a la historia, a la ciencia, a la naturaleza</w:t>
      </w:r>
      <w:r w:rsidRPr="00F7527A">
        <w:rPr>
          <w:rFonts w:ascii="Palatino Linotype" w:eastAsia="Palatino Linotype" w:hAnsi="Palatino Linotype" w:cs="Palatino Linotype"/>
          <w:b/>
          <w:i/>
          <w:sz w:val="22"/>
          <w:szCs w:val="22"/>
          <w:lang w:eastAsia="es-MX"/>
        </w:rPr>
        <w:t>, a las vicisitudes de la vida pública actual o a circunstancias comúnmente conocidas en un determinado lugar</w:t>
      </w:r>
      <w:r w:rsidRPr="00F7527A">
        <w:rPr>
          <w:rFonts w:ascii="Palatino Linotype" w:eastAsia="Palatino Linotype" w:hAnsi="Palatino Linotype" w:cs="Palatino Linotype"/>
          <w:i/>
          <w:sz w:val="22"/>
          <w:szCs w:val="22"/>
          <w:lang w:eastAsia="es-MX"/>
        </w:rPr>
        <w:t xml:space="preserve">, </w:t>
      </w:r>
      <w:r w:rsidRPr="00F7527A">
        <w:rPr>
          <w:rFonts w:ascii="Palatino Linotype" w:eastAsia="Palatino Linotype" w:hAnsi="Palatino Linotype" w:cs="Palatino Linotype"/>
          <w:b/>
          <w:i/>
          <w:sz w:val="22"/>
          <w:szCs w:val="22"/>
          <w:lang w:eastAsia="es-MX"/>
        </w:rPr>
        <w:t>de modo que toda persona de ese medio esté en condiciones de saberlo</w:t>
      </w:r>
      <w:r w:rsidRPr="00F7527A">
        <w:rPr>
          <w:rFonts w:ascii="Palatino Linotype" w:eastAsia="Palatino Linotype" w:hAnsi="Palatino Linotype" w:cs="Palatino Linotype"/>
          <w:i/>
          <w:sz w:val="22"/>
          <w:szCs w:val="22"/>
          <w:lang w:eastAsia="es-MX"/>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B74B530" w14:textId="77777777" w:rsidR="0003451E" w:rsidRPr="00F7527A" w:rsidRDefault="0003451E" w:rsidP="0003451E">
      <w:pPr>
        <w:ind w:left="567" w:right="616"/>
        <w:rPr>
          <w:rFonts w:ascii="Palatino Linotype" w:eastAsia="Palatino Linotype" w:hAnsi="Palatino Linotype" w:cs="Palatino Linotype"/>
          <w:i/>
          <w:sz w:val="22"/>
          <w:szCs w:val="22"/>
          <w:lang w:eastAsia="es-MX"/>
        </w:rPr>
      </w:pPr>
    </w:p>
    <w:p w14:paraId="7757E587" w14:textId="77777777" w:rsidR="0003451E" w:rsidRPr="00F7527A" w:rsidRDefault="0003451E" w:rsidP="0003451E">
      <w:pPr>
        <w:ind w:left="567" w:right="616"/>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Controversia constitucional 24/2005. Cámara de Diputados del Congreso de la Unión. 9 de marzo de 2006. Once votos. Ponente: José Ramón Cossío Díaz. Secretarios: Raúl Manuel Mejía Garza y Laura Patricia Rojas Zamudio.</w:t>
      </w:r>
    </w:p>
    <w:p w14:paraId="020D5CF7" w14:textId="77777777" w:rsidR="0003451E" w:rsidRPr="00F7527A" w:rsidRDefault="0003451E" w:rsidP="0003451E">
      <w:pPr>
        <w:ind w:left="567" w:right="616"/>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lastRenderedPageBreak/>
        <w:t>El Tribunal Pleno, el dieciséis de mayo en curso, aprobó, con el número 74/2006, la tesis jurisprudencial que antecede. México, Distrito Federal, a dieciséis de mayo de dos mil seis.</w:t>
      </w:r>
    </w:p>
    <w:p w14:paraId="55B41904" w14:textId="77777777" w:rsidR="0003451E" w:rsidRPr="00F7527A" w:rsidRDefault="0003451E" w:rsidP="0003451E">
      <w:pPr>
        <w:ind w:left="567" w:right="616"/>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Nota: Esta tesis fue objeto de la denuncia relativa a la contradicción de tesis 91/2014, desechada por notoriamente improcedente, mediante acuerdo de 24 de marzo de 2014.”</w:t>
      </w:r>
    </w:p>
    <w:p w14:paraId="79308B83" w14:textId="77777777" w:rsidR="0003451E" w:rsidRPr="00F7527A" w:rsidRDefault="0003451E" w:rsidP="0003451E">
      <w:pPr>
        <w:ind w:left="567" w:right="616"/>
        <w:jc w:val="both"/>
        <w:rPr>
          <w:rFonts w:ascii="Palatino Linotype" w:eastAsia="Palatino Linotype" w:hAnsi="Palatino Linotype" w:cs="Palatino Linotype"/>
          <w:i/>
          <w:sz w:val="22"/>
          <w:szCs w:val="22"/>
          <w:lang w:eastAsia="es-MX"/>
        </w:rPr>
      </w:pPr>
    </w:p>
    <w:p w14:paraId="5665285C" w14:textId="77777777" w:rsidR="0003451E" w:rsidRPr="00F7527A" w:rsidRDefault="0003451E" w:rsidP="0003451E">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lang w:eastAsia="es-MX"/>
        </w:rPr>
      </w:pPr>
      <w:r w:rsidRPr="00F7527A">
        <w:rPr>
          <w:rFonts w:ascii="Palatino Linotype" w:eastAsia="Palatino Linotype" w:hAnsi="Palatino Linotype" w:cs="Palatino Linotype"/>
          <w:b/>
          <w:i/>
          <w:color w:val="000000"/>
          <w:sz w:val="22"/>
          <w:szCs w:val="22"/>
          <w:lang w:eastAsia="es-MX"/>
        </w:rPr>
        <w:t>PÁGINAS WEB O ELECTRÓNICAS. SU CONTENIDO ES UN HECHO NOTORIO Y SUSCEPTIBLE DE SER VALORADO EN UNA DECISIÓN JUDICIAL.</w:t>
      </w:r>
      <w:r w:rsidRPr="00F7527A">
        <w:rPr>
          <w:color w:val="000000"/>
          <w:sz w:val="22"/>
          <w:szCs w:val="22"/>
          <w:lang w:eastAsia="es-MX"/>
        </w:rPr>
        <w:t xml:space="preserve"> </w:t>
      </w:r>
      <w:r w:rsidRPr="00F7527A">
        <w:rPr>
          <w:rFonts w:ascii="Palatino Linotype" w:eastAsia="Palatino Linotype" w:hAnsi="Palatino Linotype" w:cs="Palatino Linotype"/>
          <w:i/>
          <w:color w:val="000000"/>
          <w:sz w:val="22"/>
          <w:szCs w:val="22"/>
          <w:lang w:eastAsia="es-MX"/>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F7527A">
        <w:rPr>
          <w:rFonts w:ascii="Palatino Linotype" w:eastAsia="Palatino Linotype" w:hAnsi="Palatino Linotype" w:cs="Palatino Linotype"/>
          <w:i/>
          <w:color w:val="000000"/>
          <w:sz w:val="22"/>
          <w:szCs w:val="22"/>
          <w:lang w:eastAsia="es-MX"/>
        </w:rPr>
        <w:t>Mardygras</w:t>
      </w:r>
      <w:proofErr w:type="spellEnd"/>
      <w:r w:rsidRPr="00F7527A">
        <w:rPr>
          <w:rFonts w:ascii="Palatino Linotype" w:eastAsia="Palatino Linotype" w:hAnsi="Palatino Linotype" w:cs="Palatino Linotype"/>
          <w:i/>
          <w:color w:val="000000"/>
          <w:sz w:val="22"/>
          <w:szCs w:val="22"/>
          <w:lang w:eastAsia="es-MX"/>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w:t>
      </w:r>
      <w:r w:rsidRPr="00F7527A">
        <w:rPr>
          <w:rFonts w:ascii="Palatino Linotype" w:eastAsia="Palatino Linotype" w:hAnsi="Palatino Linotype" w:cs="Palatino Linotype"/>
          <w:i/>
          <w:color w:val="000000"/>
          <w:sz w:val="22"/>
          <w:szCs w:val="22"/>
          <w:lang w:eastAsia="es-MX"/>
        </w:rPr>
        <w:lastRenderedPageBreak/>
        <w:t xml:space="preserve">J/24 Semanario Judicial de la Federación y su Gaceta Novena Época 168124 75 de 163 Tribunales Colegiados de Circuito Tomo XXIX, </w:t>
      </w:r>
      <w:proofErr w:type="gramStart"/>
      <w:r w:rsidRPr="00F7527A">
        <w:rPr>
          <w:rFonts w:ascii="Palatino Linotype" w:eastAsia="Palatino Linotype" w:hAnsi="Palatino Linotype" w:cs="Palatino Linotype"/>
          <w:i/>
          <w:color w:val="000000"/>
          <w:sz w:val="22"/>
          <w:szCs w:val="22"/>
          <w:lang w:eastAsia="es-MX"/>
        </w:rPr>
        <w:t>Enero</w:t>
      </w:r>
      <w:proofErr w:type="gramEnd"/>
      <w:r w:rsidRPr="00F7527A">
        <w:rPr>
          <w:rFonts w:ascii="Palatino Linotype" w:eastAsia="Palatino Linotype" w:hAnsi="Palatino Linotype" w:cs="Palatino Linotype"/>
          <w:i/>
          <w:color w:val="000000"/>
          <w:sz w:val="22"/>
          <w:szCs w:val="22"/>
          <w:lang w:eastAsia="es-MX"/>
        </w:rPr>
        <w:t xml:space="preserve"> de 2009 </w:t>
      </w:r>
      <w:proofErr w:type="spellStart"/>
      <w:r w:rsidRPr="00F7527A">
        <w:rPr>
          <w:rFonts w:ascii="Palatino Linotype" w:eastAsia="Palatino Linotype" w:hAnsi="Palatino Linotype" w:cs="Palatino Linotype"/>
          <w:i/>
          <w:color w:val="000000"/>
          <w:sz w:val="22"/>
          <w:szCs w:val="22"/>
          <w:lang w:eastAsia="es-MX"/>
        </w:rPr>
        <w:t>Pag.</w:t>
      </w:r>
      <w:proofErr w:type="spellEnd"/>
      <w:r w:rsidRPr="00F7527A">
        <w:rPr>
          <w:rFonts w:ascii="Palatino Linotype" w:eastAsia="Palatino Linotype" w:hAnsi="Palatino Linotype" w:cs="Palatino Linotype"/>
          <w:i/>
          <w:color w:val="000000"/>
          <w:sz w:val="22"/>
          <w:szCs w:val="22"/>
          <w:lang w:eastAsia="es-MX"/>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01CA305C" w14:textId="77777777" w:rsidR="009F26D8" w:rsidRPr="00F7527A" w:rsidRDefault="009F26D8" w:rsidP="009F26D8">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rPr>
        <w:t>Teniendo en cuenta</w:t>
      </w:r>
      <w:r w:rsidR="0003451E" w:rsidRPr="00F7527A">
        <w:rPr>
          <w:rFonts w:ascii="Palatino Linotype" w:eastAsia="Palatino Linotype" w:hAnsi="Palatino Linotype" w:cs="Palatino Linotype"/>
        </w:rPr>
        <w:t xml:space="preserve"> lo anterior</w:t>
      </w:r>
      <w:r w:rsidRPr="00F7527A">
        <w:rPr>
          <w:rFonts w:ascii="Palatino Linotype" w:eastAsia="Palatino Linotype" w:hAnsi="Palatino Linotype" w:cs="Palatino Linotype"/>
        </w:rPr>
        <w:t>, conviene esquematizar las constancias que conforman el expediente electrónico en el siguiente cuadro de análisis:</w:t>
      </w:r>
    </w:p>
    <w:p w14:paraId="44ADF238" w14:textId="77777777" w:rsidR="00AB1C30" w:rsidRPr="00F7527A" w:rsidRDefault="00AB1C30" w:rsidP="009F26D8">
      <w:pPr>
        <w:spacing w:before="240" w:after="240" w:line="360" w:lineRule="auto"/>
        <w:ind w:right="49"/>
        <w:jc w:val="both"/>
        <w:rPr>
          <w:rFonts w:ascii="Palatino Linotype" w:eastAsia="Palatino Linotype" w:hAnsi="Palatino Linotype" w:cs="Palatino Linotype"/>
        </w:rPr>
      </w:pPr>
    </w:p>
    <w:p w14:paraId="60321C0C" w14:textId="77777777" w:rsidR="00AB1C30" w:rsidRPr="00F7527A" w:rsidRDefault="00AB1C30" w:rsidP="009F26D8">
      <w:pPr>
        <w:spacing w:before="240" w:after="240" w:line="360" w:lineRule="auto"/>
        <w:ind w:right="49"/>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879"/>
        <w:gridCol w:w="2879"/>
        <w:gridCol w:w="2879"/>
      </w:tblGrid>
      <w:tr w:rsidR="009F26D8" w:rsidRPr="00F7527A" w14:paraId="1F93AA49" w14:textId="77777777" w:rsidTr="009F26D8">
        <w:tc>
          <w:tcPr>
            <w:tcW w:w="2879" w:type="dxa"/>
            <w:shd w:val="clear" w:color="auto" w:fill="8EAADB" w:themeFill="accent5" w:themeFillTint="99"/>
          </w:tcPr>
          <w:p w14:paraId="7D6AD0B2" w14:textId="77777777" w:rsidR="009F26D8" w:rsidRPr="00F7527A" w:rsidRDefault="009F26D8" w:rsidP="009F26D8">
            <w:pPr>
              <w:spacing w:before="240" w:after="240" w:line="276" w:lineRule="auto"/>
              <w:ind w:right="49"/>
              <w:jc w:val="center"/>
              <w:rPr>
                <w:rFonts w:ascii="Palatino Linotype" w:eastAsia="Palatino Linotype" w:hAnsi="Palatino Linotype" w:cs="Palatino Linotype"/>
                <w:b/>
                <w:color w:val="000000" w:themeColor="text1"/>
                <w:sz w:val="20"/>
              </w:rPr>
            </w:pPr>
            <w:r w:rsidRPr="00F7527A">
              <w:rPr>
                <w:rFonts w:ascii="Palatino Linotype" w:eastAsia="Palatino Linotype" w:hAnsi="Palatino Linotype" w:cs="Palatino Linotype"/>
                <w:b/>
                <w:color w:val="000000" w:themeColor="text1"/>
                <w:sz w:val="20"/>
              </w:rPr>
              <w:lastRenderedPageBreak/>
              <w:t>Requerimiento de información</w:t>
            </w:r>
          </w:p>
        </w:tc>
        <w:tc>
          <w:tcPr>
            <w:tcW w:w="2879" w:type="dxa"/>
            <w:shd w:val="clear" w:color="auto" w:fill="8EAADB" w:themeFill="accent5" w:themeFillTint="99"/>
          </w:tcPr>
          <w:p w14:paraId="05D542CA" w14:textId="77777777" w:rsidR="009F26D8" w:rsidRPr="00F7527A" w:rsidRDefault="009F26D8" w:rsidP="009F26D8">
            <w:pPr>
              <w:spacing w:before="240" w:after="240" w:line="276" w:lineRule="auto"/>
              <w:ind w:right="49"/>
              <w:jc w:val="center"/>
              <w:rPr>
                <w:rFonts w:ascii="Palatino Linotype" w:eastAsia="Palatino Linotype" w:hAnsi="Palatino Linotype" w:cs="Palatino Linotype"/>
                <w:b/>
                <w:color w:val="000000" w:themeColor="text1"/>
                <w:sz w:val="20"/>
              </w:rPr>
            </w:pPr>
            <w:r w:rsidRPr="00F7527A">
              <w:rPr>
                <w:rFonts w:ascii="Palatino Linotype" w:eastAsia="Palatino Linotype" w:hAnsi="Palatino Linotype" w:cs="Palatino Linotype"/>
                <w:b/>
                <w:color w:val="000000" w:themeColor="text1"/>
                <w:sz w:val="20"/>
              </w:rPr>
              <w:t>Informe Justificado</w:t>
            </w:r>
          </w:p>
        </w:tc>
        <w:tc>
          <w:tcPr>
            <w:tcW w:w="2879" w:type="dxa"/>
            <w:shd w:val="clear" w:color="auto" w:fill="8EAADB" w:themeFill="accent5" w:themeFillTint="99"/>
          </w:tcPr>
          <w:p w14:paraId="616FF840" w14:textId="77777777" w:rsidR="009F26D8" w:rsidRPr="00F7527A" w:rsidRDefault="009F26D8" w:rsidP="009F26D8">
            <w:pPr>
              <w:spacing w:before="240" w:after="240" w:line="276" w:lineRule="auto"/>
              <w:ind w:right="49"/>
              <w:jc w:val="center"/>
              <w:rPr>
                <w:rFonts w:ascii="Palatino Linotype" w:eastAsia="Palatino Linotype" w:hAnsi="Palatino Linotype" w:cs="Palatino Linotype"/>
                <w:b/>
                <w:color w:val="000000" w:themeColor="text1"/>
                <w:sz w:val="20"/>
              </w:rPr>
            </w:pPr>
            <w:r w:rsidRPr="00F7527A">
              <w:rPr>
                <w:rFonts w:ascii="Palatino Linotype" w:eastAsia="Palatino Linotype" w:hAnsi="Palatino Linotype" w:cs="Palatino Linotype"/>
                <w:b/>
                <w:color w:val="000000" w:themeColor="text1"/>
                <w:sz w:val="20"/>
              </w:rPr>
              <w:t xml:space="preserve">¿El pronunciamiento es </w:t>
            </w:r>
            <w:r w:rsidR="00782ABD" w:rsidRPr="00F7527A">
              <w:rPr>
                <w:rFonts w:ascii="Palatino Linotype" w:eastAsia="Palatino Linotype" w:hAnsi="Palatino Linotype" w:cs="Palatino Linotype"/>
                <w:b/>
                <w:color w:val="000000" w:themeColor="text1"/>
                <w:sz w:val="20"/>
              </w:rPr>
              <w:t xml:space="preserve">adecuado y </w:t>
            </w:r>
            <w:r w:rsidRPr="00F7527A">
              <w:rPr>
                <w:rFonts w:ascii="Palatino Linotype" w:eastAsia="Palatino Linotype" w:hAnsi="Palatino Linotype" w:cs="Palatino Linotype"/>
                <w:b/>
                <w:color w:val="000000" w:themeColor="text1"/>
                <w:sz w:val="20"/>
              </w:rPr>
              <w:t>suficiente para colmar el derecho de acceso a la información?</w:t>
            </w:r>
          </w:p>
        </w:tc>
      </w:tr>
      <w:tr w:rsidR="009F26D8" w:rsidRPr="00F7527A" w14:paraId="12A42BF1" w14:textId="77777777" w:rsidTr="009F26D8">
        <w:tc>
          <w:tcPr>
            <w:tcW w:w="2879" w:type="dxa"/>
          </w:tcPr>
          <w:p w14:paraId="7EF86FBC" w14:textId="77777777" w:rsidR="009F26D8" w:rsidRPr="00F7527A" w:rsidRDefault="009F26D8" w:rsidP="009F26D8">
            <w:pPr>
              <w:spacing w:before="240" w:after="240" w:line="276" w:lineRule="auto"/>
              <w:ind w:right="49"/>
              <w:jc w:val="both"/>
              <w:rPr>
                <w:rFonts w:ascii="Palatino Linotype" w:eastAsia="Palatino Linotype" w:hAnsi="Palatino Linotype" w:cs="Palatino Linotype"/>
                <w:b/>
                <w:sz w:val="20"/>
              </w:rPr>
            </w:pPr>
            <w:r w:rsidRPr="00F7527A">
              <w:rPr>
                <w:rFonts w:ascii="Palatino Linotype" w:eastAsia="Palatino Linotype" w:hAnsi="Palatino Linotype" w:cs="Palatino Linotype"/>
                <w:b/>
                <w:sz w:val="20"/>
              </w:rPr>
              <w:t>1. Monto total que destinó ese Ayuntamiento y patrocinadores para llevar a cabo la Feria Nacional de Ixtapaluca 2022</w:t>
            </w:r>
          </w:p>
        </w:tc>
        <w:tc>
          <w:tcPr>
            <w:tcW w:w="2879" w:type="dxa"/>
          </w:tcPr>
          <w:p w14:paraId="1BE36880" w14:textId="77777777" w:rsidR="009F26D8" w:rsidRPr="00F7527A" w:rsidRDefault="00782ABD" w:rsidP="00782ABD">
            <w:pPr>
              <w:spacing w:before="240" w:after="240" w:line="276" w:lineRule="auto"/>
              <w:ind w:right="49"/>
              <w:jc w:val="center"/>
              <w:rPr>
                <w:rFonts w:ascii="Palatino Linotype" w:eastAsia="Palatino Linotype" w:hAnsi="Palatino Linotype" w:cs="Palatino Linotype"/>
                <w:b/>
                <w:sz w:val="22"/>
              </w:rPr>
            </w:pPr>
            <w:r w:rsidRPr="00F7527A">
              <w:rPr>
                <w:rFonts w:ascii="Palatino Linotype" w:eastAsia="Palatino Linotype" w:hAnsi="Palatino Linotype" w:cs="Palatino Linotype"/>
                <w:b/>
                <w:sz w:val="20"/>
              </w:rPr>
              <w:t>No hay pronunciamiento puntual</w:t>
            </w:r>
          </w:p>
        </w:tc>
        <w:tc>
          <w:tcPr>
            <w:tcW w:w="2879" w:type="dxa"/>
          </w:tcPr>
          <w:p w14:paraId="7E2CAADF" w14:textId="77777777" w:rsidR="009F26D8" w:rsidRPr="00F7527A" w:rsidRDefault="00782ABD" w:rsidP="00782ABD">
            <w:pPr>
              <w:spacing w:before="240" w:after="240" w:line="360" w:lineRule="auto"/>
              <w:ind w:right="49"/>
              <w:jc w:val="center"/>
              <w:rPr>
                <w:rFonts w:ascii="Palatino Linotype" w:eastAsia="Palatino Linotype" w:hAnsi="Palatino Linotype" w:cs="Palatino Linotype"/>
                <w:b/>
                <w:sz w:val="22"/>
              </w:rPr>
            </w:pPr>
            <w:r w:rsidRPr="00F7527A">
              <w:rPr>
                <w:rFonts w:ascii="Palatino Linotype" w:eastAsia="Palatino Linotype" w:hAnsi="Palatino Linotype" w:cs="Palatino Linotype"/>
                <w:b/>
                <w:sz w:val="22"/>
              </w:rPr>
              <w:t>No</w:t>
            </w:r>
          </w:p>
        </w:tc>
      </w:tr>
      <w:tr w:rsidR="009F26D8" w:rsidRPr="00F7527A" w14:paraId="66D8ACBB" w14:textId="77777777" w:rsidTr="009F26D8">
        <w:tc>
          <w:tcPr>
            <w:tcW w:w="2879" w:type="dxa"/>
          </w:tcPr>
          <w:p w14:paraId="3F368B00" w14:textId="77777777" w:rsidR="009F26D8" w:rsidRPr="00F7527A" w:rsidRDefault="009F26D8" w:rsidP="009F26D8">
            <w:pPr>
              <w:spacing w:before="240" w:after="240" w:line="276" w:lineRule="auto"/>
              <w:ind w:right="49"/>
              <w:jc w:val="both"/>
              <w:rPr>
                <w:rFonts w:ascii="Palatino Linotype" w:eastAsia="Palatino Linotype" w:hAnsi="Palatino Linotype" w:cs="Palatino Linotype"/>
                <w:b/>
                <w:sz w:val="20"/>
              </w:rPr>
            </w:pPr>
            <w:r w:rsidRPr="00F7527A">
              <w:rPr>
                <w:rFonts w:ascii="Palatino Linotype" w:eastAsia="Palatino Linotype" w:hAnsi="Palatino Linotype" w:cs="Palatino Linotype"/>
                <w:b/>
                <w:sz w:val="20"/>
              </w:rPr>
              <w:t xml:space="preserve">2. ¿Qué servicios se contrataron para llevar a cabo esa Feria Nacional de Ixtapaluca 2022? </w:t>
            </w:r>
          </w:p>
        </w:tc>
        <w:tc>
          <w:tcPr>
            <w:tcW w:w="2879" w:type="dxa"/>
          </w:tcPr>
          <w:p w14:paraId="2A7F5FA9" w14:textId="77777777" w:rsidR="009F26D8" w:rsidRPr="00F7527A" w:rsidRDefault="009F26D8" w:rsidP="009F26D8">
            <w:pPr>
              <w:spacing w:before="240" w:after="240" w:line="276" w:lineRule="auto"/>
              <w:ind w:right="49"/>
              <w:jc w:val="both"/>
              <w:rPr>
                <w:rFonts w:ascii="Palatino Linotype" w:eastAsia="Palatino Linotype" w:hAnsi="Palatino Linotype" w:cs="Palatino Linotype"/>
                <w:b/>
              </w:rPr>
            </w:pPr>
            <w:r w:rsidRPr="00F7527A">
              <w:rPr>
                <w:rFonts w:ascii="Palatino Linotype" w:eastAsia="Palatino Linotype" w:hAnsi="Palatino Linotype" w:cs="Palatino Linotype"/>
                <w:b/>
                <w:sz w:val="20"/>
              </w:rPr>
              <w:t xml:space="preserve">Subdirector de Administración: </w:t>
            </w:r>
            <w:r w:rsidRPr="00F7527A">
              <w:rPr>
                <w:rFonts w:ascii="Palatino Linotype" w:eastAsia="Palatino Linotype" w:hAnsi="Palatino Linotype" w:cs="Palatino Linotype"/>
                <w:color w:val="000000" w:themeColor="text1"/>
                <w:sz w:val="20"/>
              </w:rPr>
              <w:t xml:space="preserve">Los servicios que se contrataron fueron los siguientes: </w:t>
            </w:r>
            <w:r w:rsidRPr="00F7527A">
              <w:rPr>
                <w:rFonts w:ascii="Palatino Linotype" w:eastAsia="Palatino Linotype" w:hAnsi="Palatino Linotype" w:cs="Palatino Linotype"/>
                <w:b/>
                <w:color w:val="000000" w:themeColor="text1"/>
                <w:sz w:val="20"/>
              </w:rPr>
              <w:t>domos, gradas, vallas pesadas, vallas de popote, barricada antimotines, camerinos y los artistas de gran reconocimiento</w:t>
            </w:r>
            <w:r w:rsidRPr="00F7527A">
              <w:rPr>
                <w:rFonts w:ascii="Palatino Linotype" w:eastAsia="Palatino Linotype" w:hAnsi="Palatino Linotype" w:cs="Palatino Linotype"/>
                <w:color w:val="000000" w:themeColor="text1"/>
                <w:sz w:val="20"/>
              </w:rPr>
              <w:t>,</w:t>
            </w:r>
            <w:r w:rsidRPr="00F7527A">
              <w:rPr>
                <w:rFonts w:ascii="Palatino Linotype" w:eastAsia="Palatino Linotype" w:hAnsi="Palatino Linotype" w:cs="Palatino Linotype"/>
                <w:sz w:val="20"/>
              </w:rPr>
              <w:t xml:space="preserve"> lo antes mencionado se llevó a cabo en los diferentes espacios que se asignaron (jardín municipal, explanada municipal, y recinto ferial) para realizar la Feria Nacional de Ixtapaluca 2022.</w:t>
            </w:r>
          </w:p>
        </w:tc>
        <w:tc>
          <w:tcPr>
            <w:tcW w:w="2879" w:type="dxa"/>
          </w:tcPr>
          <w:p w14:paraId="73859601" w14:textId="77777777" w:rsidR="009F26D8" w:rsidRPr="00F7527A" w:rsidRDefault="006E07CE" w:rsidP="009F26D8">
            <w:pPr>
              <w:spacing w:before="240" w:after="240" w:line="360" w:lineRule="auto"/>
              <w:ind w:right="49"/>
              <w:jc w:val="center"/>
              <w:rPr>
                <w:rFonts w:ascii="Palatino Linotype" w:eastAsia="Palatino Linotype" w:hAnsi="Palatino Linotype" w:cs="Palatino Linotype"/>
                <w:b/>
              </w:rPr>
            </w:pPr>
            <w:r w:rsidRPr="00F7527A">
              <w:rPr>
                <w:rFonts w:ascii="Palatino Linotype" w:eastAsia="Palatino Linotype" w:hAnsi="Palatino Linotype" w:cs="Palatino Linotype"/>
                <w:b/>
                <w:sz w:val="22"/>
              </w:rPr>
              <w:t>Sí</w:t>
            </w:r>
          </w:p>
        </w:tc>
      </w:tr>
      <w:tr w:rsidR="009F26D8" w:rsidRPr="00F7527A" w14:paraId="0684B34D" w14:textId="77777777" w:rsidTr="009F26D8">
        <w:tc>
          <w:tcPr>
            <w:tcW w:w="2879" w:type="dxa"/>
          </w:tcPr>
          <w:p w14:paraId="21677241" w14:textId="77777777" w:rsidR="009F26D8" w:rsidRPr="00F7527A" w:rsidRDefault="009F26D8" w:rsidP="009F26D8">
            <w:pPr>
              <w:spacing w:before="240" w:after="240" w:line="276" w:lineRule="auto"/>
              <w:ind w:right="49"/>
              <w:jc w:val="both"/>
              <w:rPr>
                <w:rFonts w:ascii="Palatino Linotype" w:eastAsia="Palatino Linotype" w:hAnsi="Palatino Linotype" w:cs="Palatino Linotype"/>
                <w:b/>
                <w:sz w:val="20"/>
              </w:rPr>
            </w:pPr>
            <w:r w:rsidRPr="00F7527A">
              <w:rPr>
                <w:rFonts w:ascii="Palatino Linotype" w:eastAsia="Palatino Linotype" w:hAnsi="Palatino Linotype" w:cs="Palatino Linotype"/>
                <w:b/>
                <w:sz w:val="20"/>
              </w:rPr>
              <w:t xml:space="preserve">3. ¿Cuál fue el monto total de ingresos que obtuvo ese Ayuntamiento por venta de boletaje, venta de comida, bebidas, y de todos los servicios que se ofrecieron a </w:t>
            </w:r>
            <w:r w:rsidRPr="00F7527A">
              <w:rPr>
                <w:rFonts w:ascii="Palatino Linotype" w:eastAsia="Palatino Linotype" w:hAnsi="Palatino Linotype" w:cs="Palatino Linotype"/>
                <w:b/>
                <w:sz w:val="20"/>
              </w:rPr>
              <w:lastRenderedPageBreak/>
              <w:t>las personas que asistieron a esa Feria?</w:t>
            </w:r>
          </w:p>
        </w:tc>
        <w:tc>
          <w:tcPr>
            <w:tcW w:w="2879" w:type="dxa"/>
          </w:tcPr>
          <w:p w14:paraId="1896E5CE" w14:textId="77777777" w:rsidR="009F26D8" w:rsidRPr="00F7527A" w:rsidRDefault="00782ABD" w:rsidP="00782ABD">
            <w:pPr>
              <w:spacing w:before="240" w:after="240" w:line="276" w:lineRule="auto"/>
              <w:ind w:right="49"/>
              <w:jc w:val="both"/>
              <w:rPr>
                <w:rFonts w:ascii="Palatino Linotype" w:eastAsia="Palatino Linotype" w:hAnsi="Palatino Linotype" w:cs="Palatino Linotype"/>
                <w:b/>
              </w:rPr>
            </w:pPr>
            <w:r w:rsidRPr="00F7527A">
              <w:rPr>
                <w:rFonts w:ascii="Palatino Linotype" w:eastAsia="Palatino Linotype" w:hAnsi="Palatino Linotype" w:cs="Palatino Linotype"/>
                <w:b/>
                <w:sz w:val="20"/>
              </w:rPr>
              <w:lastRenderedPageBreak/>
              <w:t xml:space="preserve">Subdirector de Recaudación: </w:t>
            </w:r>
            <w:r w:rsidRPr="00F7527A">
              <w:rPr>
                <w:rFonts w:ascii="Palatino Linotype" w:eastAsia="Palatino Linotype" w:hAnsi="Palatino Linotype" w:cs="Palatino Linotype"/>
                <w:sz w:val="20"/>
              </w:rPr>
              <w:t xml:space="preserve">Señala que dicha Subdirección no cuenta con la información solicitada porque los mecanismos para la recaudación de ingresos de la Feria Nacional de </w:t>
            </w:r>
            <w:r w:rsidRPr="00F7527A">
              <w:rPr>
                <w:rFonts w:ascii="Palatino Linotype" w:eastAsia="Palatino Linotype" w:hAnsi="Palatino Linotype" w:cs="Palatino Linotype"/>
                <w:sz w:val="20"/>
              </w:rPr>
              <w:lastRenderedPageBreak/>
              <w:t>Ixtapaluca, (venta de boletaje, bebidas, alimentos, etc.), no fueron realizados por esta Subdirección.</w:t>
            </w:r>
          </w:p>
        </w:tc>
        <w:tc>
          <w:tcPr>
            <w:tcW w:w="2879" w:type="dxa"/>
          </w:tcPr>
          <w:p w14:paraId="6FFAE088" w14:textId="77777777" w:rsidR="009F26D8" w:rsidRPr="00F7527A" w:rsidRDefault="00782ABD" w:rsidP="00782ABD">
            <w:pPr>
              <w:spacing w:before="240" w:after="240" w:line="360" w:lineRule="auto"/>
              <w:ind w:right="49"/>
              <w:jc w:val="center"/>
              <w:rPr>
                <w:rFonts w:ascii="Palatino Linotype" w:eastAsia="Palatino Linotype" w:hAnsi="Palatino Linotype" w:cs="Palatino Linotype"/>
                <w:b/>
              </w:rPr>
            </w:pPr>
            <w:r w:rsidRPr="00F7527A">
              <w:rPr>
                <w:rFonts w:ascii="Palatino Linotype" w:eastAsia="Palatino Linotype" w:hAnsi="Palatino Linotype" w:cs="Palatino Linotype"/>
                <w:b/>
                <w:sz w:val="22"/>
              </w:rPr>
              <w:lastRenderedPageBreak/>
              <w:t>No</w:t>
            </w:r>
          </w:p>
        </w:tc>
      </w:tr>
    </w:tbl>
    <w:p w14:paraId="2BDF480C" w14:textId="77777777" w:rsidR="0003451E" w:rsidRPr="00F7527A" w:rsidRDefault="00651E74" w:rsidP="009F26D8">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rPr>
        <w:t>Expuesto lo anterior, se procede al análisis de los dos puntos que no fueron colmados mediante el informe justificado:</w:t>
      </w:r>
    </w:p>
    <w:p w14:paraId="2FDBBB3E" w14:textId="77777777" w:rsidR="00651E74" w:rsidRPr="00F7527A" w:rsidRDefault="00651E74" w:rsidP="009F26D8">
      <w:pPr>
        <w:spacing w:before="240" w:after="240" w:line="360" w:lineRule="auto"/>
        <w:ind w:right="49"/>
        <w:jc w:val="both"/>
        <w:rPr>
          <w:rFonts w:ascii="Palatino Linotype" w:eastAsia="Palatino Linotype" w:hAnsi="Palatino Linotype" w:cs="Palatino Linotype"/>
          <w:b/>
        </w:rPr>
      </w:pPr>
      <w:r w:rsidRPr="00F7527A">
        <w:rPr>
          <w:rFonts w:ascii="Palatino Linotype" w:eastAsia="Palatino Linotype" w:hAnsi="Palatino Linotype" w:cs="Palatino Linotype"/>
          <w:b/>
        </w:rPr>
        <w:t>1. Monto total que destinó el Ayuntamiento y patrocinadores para llevar a cabo la Feria Nacional de Ixtapaluca 2022</w:t>
      </w:r>
    </w:p>
    <w:p w14:paraId="1BAB0CEC" w14:textId="77777777" w:rsidR="00651E74" w:rsidRPr="00F7527A" w:rsidRDefault="00651E74" w:rsidP="00651E74">
      <w:pPr>
        <w:spacing w:before="240" w:after="240" w:line="360" w:lineRule="auto"/>
        <w:ind w:right="51"/>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rPr>
        <w:t xml:space="preserve">En lo tocante a este punto, resulta importante señalar </w:t>
      </w:r>
      <w:proofErr w:type="gramStart"/>
      <w:r w:rsidRPr="00F7527A">
        <w:rPr>
          <w:rFonts w:ascii="Palatino Linotype" w:eastAsia="Palatino Linotype" w:hAnsi="Palatino Linotype" w:cs="Palatino Linotype"/>
        </w:rPr>
        <w:t>que</w:t>
      </w:r>
      <w:proofErr w:type="gramEnd"/>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lang w:eastAsia="es-MX"/>
        </w:rPr>
        <w:t xml:space="preserve">al no existir un pronunciamiento puntual por parte del </w:t>
      </w:r>
      <w:r w:rsidRPr="00F7527A">
        <w:rPr>
          <w:rFonts w:ascii="Palatino Linotype" w:eastAsia="Palatino Linotype" w:hAnsi="Palatino Linotype" w:cs="Palatino Linotype"/>
          <w:b/>
          <w:lang w:eastAsia="es-MX"/>
        </w:rPr>
        <w:t>Sujeto Obligado</w:t>
      </w:r>
      <w:r w:rsidRPr="00F7527A">
        <w:rPr>
          <w:rFonts w:ascii="Palatino Linotype" w:eastAsia="Palatino Linotype" w:hAnsi="Palatino Linotype" w:cs="Palatino Linotype"/>
          <w:lang w:eastAsia="es-MX"/>
        </w:rPr>
        <w:t xml:space="preserve">, se contravino a </w:t>
      </w:r>
      <w:r w:rsidRPr="00F7527A">
        <w:rPr>
          <w:rFonts w:ascii="Palatino Linotype" w:eastAsia="Palatino Linotype" w:hAnsi="Palatino Linotype" w:cs="Palatino Linotype"/>
          <w:color w:val="000000"/>
          <w:lang w:eastAsia="es-MX"/>
        </w:rPr>
        <w:t>los principios de congruencia y exhaustividad, como refuerzo de lo anterior</w:t>
      </w:r>
      <w:r w:rsidRPr="00F7527A">
        <w:rPr>
          <w:rFonts w:ascii="Palatino Linotype" w:eastAsia="Palatino Linotype" w:hAnsi="Palatino Linotype" w:cs="Palatino Linotype"/>
          <w:color w:val="000000"/>
          <w:u w:val="single"/>
          <w:lang w:eastAsia="es-MX"/>
        </w:rPr>
        <w:t xml:space="preserve">, resulta crucial el Criterio 02/17, emitido por el Pleno del </w:t>
      </w:r>
      <w:r w:rsidRPr="00F7527A">
        <w:rPr>
          <w:rFonts w:ascii="Palatino Linotype" w:eastAsia="Palatino Linotype" w:hAnsi="Palatino Linotype" w:cs="Palatino Linotype"/>
          <w:color w:val="000000"/>
          <w:lang w:eastAsia="es-MX"/>
        </w:rPr>
        <w:t>Instituto Nacional de Transparencia y Acceso a la Información y Protección de Datos Personales, de título y texto siguientes:</w:t>
      </w:r>
    </w:p>
    <w:p w14:paraId="0C1B7395" w14:textId="77777777" w:rsidR="00651E74" w:rsidRPr="00F7527A" w:rsidRDefault="00651E74" w:rsidP="00651E74">
      <w:pPr>
        <w:spacing w:before="240" w:after="240"/>
        <w:ind w:left="567" w:right="900"/>
        <w:jc w:val="both"/>
        <w:rPr>
          <w:rFonts w:ascii="Palatino Linotype" w:eastAsia="Palatino Linotype" w:hAnsi="Palatino Linotype" w:cs="Palatino Linotype"/>
          <w:i/>
          <w:color w:val="000000"/>
          <w:sz w:val="22"/>
          <w:szCs w:val="22"/>
          <w:lang w:eastAsia="es-MX"/>
        </w:rPr>
      </w:pPr>
      <w:r w:rsidRPr="00F7527A">
        <w:rPr>
          <w:rFonts w:ascii="Palatino Linotype" w:eastAsia="Palatino Linotype" w:hAnsi="Palatino Linotype" w:cs="Palatino Linotype"/>
          <w:b/>
          <w:i/>
          <w:color w:val="000000"/>
          <w:sz w:val="22"/>
          <w:szCs w:val="22"/>
          <w:lang w:eastAsia="es-MX"/>
        </w:rPr>
        <w:t xml:space="preserve">“Congruencia y exhaustividad. Sus alcances para garantizar el derecho de acceso a la información. </w:t>
      </w:r>
      <w:r w:rsidRPr="00F7527A">
        <w:rPr>
          <w:rFonts w:ascii="Palatino Linotype" w:eastAsia="Palatino Linotype" w:hAnsi="Palatino Linotype" w:cs="Palatino Linotype"/>
          <w:i/>
          <w:color w:val="000000"/>
          <w:sz w:val="22"/>
          <w:szCs w:val="22"/>
          <w:lang w:eastAsia="es-MX"/>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7527A">
        <w:rPr>
          <w:rFonts w:ascii="Palatino Linotype" w:eastAsia="Palatino Linotype" w:hAnsi="Palatino Linotype" w:cs="Palatino Linotype"/>
          <w:b/>
          <w:i/>
          <w:color w:val="000000"/>
          <w:sz w:val="22"/>
          <w:szCs w:val="22"/>
          <w:lang w:eastAsia="es-MX"/>
        </w:rPr>
        <w:t>la congruencia implica que exista concordancia entre el requerimiento formulado por el particular y la respuesta proporcionada por el sujeto obligado</w:t>
      </w:r>
      <w:r w:rsidRPr="00F7527A">
        <w:rPr>
          <w:rFonts w:ascii="Palatino Linotype" w:eastAsia="Palatino Linotype" w:hAnsi="Palatino Linotype" w:cs="Palatino Linotype"/>
          <w:i/>
          <w:color w:val="000000"/>
          <w:sz w:val="22"/>
          <w:szCs w:val="22"/>
          <w:lang w:eastAsia="es-MX"/>
        </w:rPr>
        <w:t xml:space="preserve">; mientras que </w:t>
      </w:r>
      <w:r w:rsidRPr="00F7527A">
        <w:rPr>
          <w:rFonts w:ascii="Palatino Linotype" w:eastAsia="Palatino Linotype" w:hAnsi="Palatino Linotype" w:cs="Palatino Linotype"/>
          <w:b/>
          <w:i/>
          <w:color w:val="000000"/>
          <w:sz w:val="22"/>
          <w:szCs w:val="22"/>
          <w:lang w:eastAsia="es-MX"/>
        </w:rPr>
        <w:t>la exhaustividad significa que dicha respuesta se refiera expresamente a cada uno de los puntos solicitados</w:t>
      </w:r>
      <w:r w:rsidRPr="00F7527A">
        <w:rPr>
          <w:rFonts w:ascii="Palatino Linotype" w:eastAsia="Palatino Linotype" w:hAnsi="Palatino Linotype" w:cs="Palatino Linotype"/>
          <w:i/>
          <w:color w:val="000000"/>
          <w:sz w:val="22"/>
          <w:szCs w:val="22"/>
          <w:lang w:eastAsia="es-MX"/>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42DD74D" w14:textId="77777777" w:rsidR="00651E74" w:rsidRPr="00F7527A" w:rsidRDefault="00651E74" w:rsidP="00651E74">
      <w:pPr>
        <w:spacing w:before="240" w:after="240"/>
        <w:ind w:left="567" w:right="900"/>
        <w:jc w:val="both"/>
        <w:rPr>
          <w:rFonts w:ascii="Palatino Linotype" w:eastAsia="Palatino Linotype" w:hAnsi="Palatino Linotype" w:cs="Palatino Linotype"/>
          <w:i/>
          <w:color w:val="000000"/>
          <w:sz w:val="22"/>
          <w:szCs w:val="22"/>
          <w:lang w:eastAsia="es-MX"/>
        </w:rPr>
      </w:pPr>
      <w:r w:rsidRPr="00F7527A">
        <w:rPr>
          <w:rFonts w:ascii="Palatino Linotype" w:eastAsia="Palatino Linotype" w:hAnsi="Palatino Linotype" w:cs="Palatino Linotype"/>
          <w:i/>
          <w:color w:val="000000"/>
          <w:sz w:val="22"/>
          <w:szCs w:val="22"/>
          <w:lang w:eastAsia="es-MX"/>
        </w:rPr>
        <w:lastRenderedPageBreak/>
        <w:t>(Énfasis añadido)</w:t>
      </w:r>
    </w:p>
    <w:p w14:paraId="3DA952FB" w14:textId="77777777" w:rsidR="00341317" w:rsidRPr="00F7527A" w:rsidRDefault="00341317" w:rsidP="00341317">
      <w:pPr>
        <w:spacing w:before="240"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rPr>
        <w:t xml:space="preserve">Aunado a lo anterior, </w:t>
      </w:r>
      <w:r w:rsidRPr="00F7527A">
        <w:rPr>
          <w:rFonts w:ascii="Palatino Linotype" w:eastAsia="Palatino Linotype" w:hAnsi="Palatino Linotype" w:cs="Palatino Linotype"/>
          <w:lang w:eastAsia="es-MX"/>
        </w:rPr>
        <w:t xml:space="preserve">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23E12EE4" w14:textId="77777777" w:rsidR="00341317" w:rsidRPr="00F7527A" w:rsidRDefault="00341317" w:rsidP="00341317">
      <w:pPr>
        <w:spacing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0D0B427" w14:textId="77777777" w:rsidR="00341317" w:rsidRPr="00F7527A" w:rsidRDefault="00341317" w:rsidP="00341317">
      <w:pPr>
        <w:spacing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 La respuesta a los requerimientos informativos, deberá notificarse al interesado en el menor tiempo posible, que no podrá exceder de quince días hábiles, contados a partir del día siguiente a la presentación de esta. </w:t>
      </w:r>
    </w:p>
    <w:p w14:paraId="319BEF0C" w14:textId="77777777" w:rsidR="00341317" w:rsidRPr="00F7527A" w:rsidRDefault="00341317" w:rsidP="00341317">
      <w:pPr>
        <w:spacing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Excepcionalmente, el plazo referido podrá ampliarse por siete días hábiles más, cuando existan razones fundadas y motivadas, a través del Comité de Transparencia; </w:t>
      </w:r>
    </w:p>
    <w:p w14:paraId="462E5FA6" w14:textId="77777777" w:rsidR="00341317" w:rsidRPr="00F7527A" w:rsidRDefault="00341317" w:rsidP="00341317">
      <w:pPr>
        <w:spacing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F7527A">
        <w:rPr>
          <w:rFonts w:ascii="Palatino Linotype" w:eastAsia="Palatino Linotype" w:hAnsi="Palatino Linotype" w:cs="Palatino Linotype"/>
          <w:lang w:eastAsia="es-MX"/>
        </w:rPr>
        <w:lastRenderedPageBreak/>
        <w:t xml:space="preserve">proporcionen las expresiones documentales que se encuentren en sus archivos o que estén constreñidos a elaborar; </w:t>
      </w:r>
    </w:p>
    <w:p w14:paraId="7C18374C" w14:textId="77777777" w:rsidR="00341317" w:rsidRPr="00F7527A" w:rsidRDefault="00341317" w:rsidP="00341317">
      <w:pPr>
        <w:spacing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 El acceso se dará en la modalidad de entrega y en su caso, de envío elegido por la solicitante, cuando no pueda entregarse en dicha modalidad, el </w:t>
      </w:r>
      <w:r w:rsidRPr="00F7527A">
        <w:rPr>
          <w:rFonts w:ascii="Palatino Linotype" w:eastAsia="Palatino Linotype" w:hAnsi="Palatino Linotype" w:cs="Palatino Linotype"/>
          <w:b/>
          <w:lang w:eastAsia="es-MX"/>
        </w:rPr>
        <w:t>Sujeto Obligado</w:t>
      </w:r>
      <w:r w:rsidRPr="00F7527A">
        <w:rPr>
          <w:rFonts w:ascii="Palatino Linotype" w:eastAsia="Palatino Linotype" w:hAnsi="Palatino Linotype" w:cs="Palatino Linotype"/>
          <w:lang w:eastAsia="es-MX"/>
        </w:rPr>
        <w:t xml:space="preserve"> deberá ofrecer otras; por lo cual, deberá fundar y motivar la necesidad de modificar el medio de entrega, y </w:t>
      </w:r>
    </w:p>
    <w:p w14:paraId="480E5033" w14:textId="77777777" w:rsidR="00341317" w:rsidRPr="00F7527A" w:rsidRDefault="00341317" w:rsidP="00341317">
      <w:pPr>
        <w:spacing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8279C73" w14:textId="77777777" w:rsidR="00782ABD" w:rsidRPr="00F7527A" w:rsidRDefault="00341317" w:rsidP="009F26D8">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lang w:eastAsia="es-MX"/>
        </w:rPr>
        <w:t xml:space="preserve">En este orden de ideas, el </w:t>
      </w:r>
      <w:r w:rsidRPr="00F7527A">
        <w:rPr>
          <w:rFonts w:ascii="Palatino Linotype" w:eastAsia="Palatino Linotype" w:hAnsi="Palatino Linotype" w:cs="Palatino Linotype"/>
          <w:b/>
          <w:lang w:eastAsia="es-MX"/>
        </w:rPr>
        <w:t>Sujeto Obligado</w:t>
      </w:r>
      <w:r w:rsidRPr="00F7527A">
        <w:rPr>
          <w:rFonts w:ascii="Palatino Linotype" w:eastAsia="Palatino Linotype" w:hAnsi="Palatino Linotype" w:cs="Palatino Linotype"/>
          <w:lang w:eastAsia="es-MX"/>
        </w:rPr>
        <w:t xml:space="preserve"> debió turnar la solicitud a las áreas competentes para conocer de la solicitud de información, como en el presente caso se advierte que pudiera contar con la información, la </w:t>
      </w:r>
      <w:r w:rsidRPr="00F7527A">
        <w:rPr>
          <w:rFonts w:ascii="Palatino Linotype" w:eastAsia="Palatino Linotype" w:hAnsi="Palatino Linotype" w:cs="Palatino Linotype"/>
          <w:b/>
          <w:lang w:eastAsia="es-MX"/>
        </w:rPr>
        <w:t>Dirección de Administración y Finanzas</w:t>
      </w:r>
      <w:r w:rsidRPr="00F7527A">
        <w:rPr>
          <w:rFonts w:ascii="Palatino Linotype" w:eastAsia="Palatino Linotype" w:hAnsi="Palatino Linotype" w:cs="Palatino Linotype"/>
          <w:lang w:eastAsia="es-MX"/>
        </w:rPr>
        <w:t xml:space="preserve">, ello encuentra sustento en el </w:t>
      </w:r>
      <w:r w:rsidR="00B54B8C" w:rsidRPr="00F7527A">
        <w:rPr>
          <w:rFonts w:ascii="Palatino Linotype" w:eastAsia="Palatino Linotype" w:hAnsi="Palatino Linotype" w:cs="Palatino Linotype"/>
        </w:rPr>
        <w:t>Bando Municipal y el Reglamento de la Dirección de Administración y Finanzas vigente:</w:t>
      </w:r>
    </w:p>
    <w:p w14:paraId="52A9E582" w14:textId="77777777" w:rsidR="00B54B8C" w:rsidRPr="00F7527A" w:rsidRDefault="00B54B8C" w:rsidP="00341317">
      <w:pPr>
        <w:spacing w:before="240" w:after="240" w:line="360" w:lineRule="auto"/>
        <w:ind w:left="567" w:right="49"/>
        <w:jc w:val="both"/>
        <w:rPr>
          <w:rFonts w:ascii="Palatino Linotype" w:eastAsia="Palatino Linotype" w:hAnsi="Palatino Linotype" w:cs="Palatino Linotype"/>
          <w:b/>
        </w:rPr>
      </w:pPr>
      <w:r w:rsidRPr="00F7527A">
        <w:rPr>
          <w:rFonts w:ascii="Palatino Linotype" w:eastAsia="Palatino Linotype" w:hAnsi="Palatino Linotype" w:cs="Palatino Linotype"/>
          <w:b/>
        </w:rPr>
        <w:t>Bando Municipal 2022:</w:t>
      </w:r>
    </w:p>
    <w:p w14:paraId="5AD67E1F" w14:textId="77777777" w:rsidR="00B54B8C" w:rsidRPr="00F7527A" w:rsidRDefault="00B54B8C" w:rsidP="00B54B8C">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“CAPÍTULO II. DE LA ADMINISTRACIÓN PÚBLICA MUNICIPAL. </w:t>
      </w:r>
    </w:p>
    <w:p w14:paraId="71B1598E" w14:textId="77777777" w:rsidR="00B54B8C" w:rsidRPr="00F7527A" w:rsidRDefault="00B54B8C" w:rsidP="00B54B8C">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SECCIÓN PRIMERA. DE LA ADMINISTRACIÓN PÚBLICA CENTRALIZADA. </w:t>
      </w:r>
    </w:p>
    <w:p w14:paraId="3BC584D0" w14:textId="77777777" w:rsidR="00B54B8C" w:rsidRPr="00F7527A" w:rsidRDefault="00B54B8C" w:rsidP="00B54B8C">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lastRenderedPageBreak/>
        <w:t xml:space="preserve">Artículo 74.- Para el despacho de los asuntos de la Administración Pública Municipal, el </w:t>
      </w:r>
      <w:proofErr w:type="gramStart"/>
      <w:r w:rsidRPr="00F7527A">
        <w:rPr>
          <w:rFonts w:ascii="Palatino Linotype" w:eastAsia="Palatino Linotype" w:hAnsi="Palatino Linotype" w:cs="Palatino Linotype"/>
          <w:i/>
          <w:sz w:val="22"/>
        </w:rPr>
        <w:t>Presidente</w:t>
      </w:r>
      <w:proofErr w:type="gramEnd"/>
      <w:r w:rsidRPr="00F7527A">
        <w:rPr>
          <w:rFonts w:ascii="Palatino Linotype" w:eastAsia="Palatino Linotype" w:hAnsi="Palatino Linotype" w:cs="Palatino Linotype"/>
          <w:i/>
          <w:sz w:val="22"/>
        </w:rPr>
        <w:t xml:space="preserve"> Municipal, se auxiliará de las dependencias de la administración pública municipal centralizada, mismas que estarán subordinadas directamente a ella, y son las siguientes: </w:t>
      </w:r>
    </w:p>
    <w:p w14:paraId="2384EC84" w14:textId="77777777" w:rsidR="00B54B8C" w:rsidRPr="00F7527A" w:rsidRDefault="00B54B8C" w:rsidP="00B54B8C">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I.- Direcciones:</w:t>
      </w:r>
    </w:p>
    <w:p w14:paraId="3D724C56" w14:textId="77777777" w:rsidR="00B54B8C" w:rsidRPr="00F7527A" w:rsidRDefault="00B54B8C" w:rsidP="00B54B8C">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w:t>
      </w:r>
    </w:p>
    <w:p w14:paraId="64E7448D" w14:textId="77777777" w:rsidR="00B54B8C" w:rsidRPr="00F7527A" w:rsidRDefault="00B54B8C" w:rsidP="00B54B8C">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b/>
          <w:i/>
          <w:sz w:val="22"/>
          <w:u w:val="single"/>
        </w:rPr>
        <w:t xml:space="preserve">d. La Dirección de Administración y Finanzas. (Tesorería);” </w:t>
      </w:r>
      <w:r w:rsidRPr="00F7527A">
        <w:rPr>
          <w:rFonts w:ascii="Palatino Linotype" w:eastAsia="Palatino Linotype" w:hAnsi="Palatino Linotype" w:cs="Palatino Linotype"/>
          <w:i/>
          <w:sz w:val="22"/>
        </w:rPr>
        <w:t>(Sic) (Énfasis añadido)</w:t>
      </w:r>
    </w:p>
    <w:p w14:paraId="173DAFBD" w14:textId="77777777" w:rsidR="009F26D8" w:rsidRPr="00F7527A" w:rsidRDefault="00B54B8C" w:rsidP="00341317">
      <w:pPr>
        <w:spacing w:before="240" w:after="240" w:line="360" w:lineRule="auto"/>
        <w:ind w:left="567" w:right="49"/>
        <w:jc w:val="both"/>
        <w:rPr>
          <w:rFonts w:ascii="Palatino Linotype" w:eastAsia="Palatino Linotype" w:hAnsi="Palatino Linotype" w:cs="Palatino Linotype"/>
          <w:b/>
        </w:rPr>
      </w:pPr>
      <w:r w:rsidRPr="00F7527A">
        <w:rPr>
          <w:rFonts w:ascii="Palatino Linotype" w:eastAsia="Palatino Linotype" w:hAnsi="Palatino Linotype" w:cs="Palatino Linotype"/>
          <w:b/>
        </w:rPr>
        <w:t>Reglamento de la Dirección de Administración y Finanzas:</w:t>
      </w:r>
    </w:p>
    <w:p w14:paraId="348BA952"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sz w:val="22"/>
        </w:rPr>
        <w:t>“</w:t>
      </w:r>
      <w:r w:rsidRPr="00F7527A">
        <w:rPr>
          <w:rFonts w:ascii="Palatino Linotype" w:eastAsia="Palatino Linotype" w:hAnsi="Palatino Linotype" w:cs="Palatino Linotype"/>
          <w:i/>
          <w:sz w:val="22"/>
        </w:rPr>
        <w:t xml:space="preserve">CAPÍTULO SEGUNDO </w:t>
      </w:r>
    </w:p>
    <w:p w14:paraId="6CEB8973"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Competencia de la Dirección de Administración y Finanzas </w:t>
      </w:r>
    </w:p>
    <w:p w14:paraId="2304F8BD"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Artículo 10.- Corresponde a la Dirección de Administración y Finanzas, el despacho de los asuntos siguientes: </w:t>
      </w:r>
    </w:p>
    <w:p w14:paraId="10C73D29" w14:textId="77777777" w:rsidR="00B54B8C" w:rsidRPr="00F7527A" w:rsidRDefault="00235E7D" w:rsidP="00235E7D">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I. Administrar la Hacienda Pública Municipal, de conformidad con las disposiciones legales aplicables;</w:t>
      </w:r>
    </w:p>
    <w:p w14:paraId="468200D8"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w:t>
      </w:r>
    </w:p>
    <w:p w14:paraId="04674C18"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b/>
          <w:i/>
          <w:sz w:val="22"/>
        </w:rPr>
        <w:t xml:space="preserve">V. Llevar los registros contables, financieros y administrativos de los </w:t>
      </w:r>
      <w:r w:rsidRPr="00F7527A">
        <w:rPr>
          <w:rFonts w:ascii="Palatino Linotype" w:eastAsia="Palatino Linotype" w:hAnsi="Palatino Linotype" w:cs="Palatino Linotype"/>
          <w:i/>
          <w:sz w:val="22"/>
        </w:rPr>
        <w:t>ingresos,</w:t>
      </w:r>
      <w:r w:rsidRPr="00F7527A">
        <w:rPr>
          <w:rFonts w:ascii="Palatino Linotype" w:eastAsia="Palatino Linotype" w:hAnsi="Palatino Linotype" w:cs="Palatino Linotype"/>
          <w:b/>
          <w:i/>
          <w:sz w:val="22"/>
        </w:rPr>
        <w:t xml:space="preserve"> egresos </w:t>
      </w:r>
      <w:r w:rsidRPr="00F7527A">
        <w:rPr>
          <w:rFonts w:ascii="Palatino Linotype" w:eastAsia="Palatino Linotype" w:hAnsi="Palatino Linotype" w:cs="Palatino Linotype"/>
          <w:i/>
          <w:sz w:val="22"/>
        </w:rPr>
        <w:t>e inventarios;</w:t>
      </w:r>
    </w:p>
    <w:p w14:paraId="09DEDE3C"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b/>
          <w:i/>
          <w:sz w:val="22"/>
        </w:rPr>
        <w:t>…</w:t>
      </w:r>
    </w:p>
    <w:p w14:paraId="46004909"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Artículo 12.- El </w:t>
      </w:r>
      <w:proofErr w:type="gramStart"/>
      <w:r w:rsidRPr="00F7527A">
        <w:rPr>
          <w:rFonts w:ascii="Palatino Linotype" w:eastAsia="Palatino Linotype" w:hAnsi="Palatino Linotype" w:cs="Palatino Linotype"/>
          <w:i/>
          <w:sz w:val="22"/>
        </w:rPr>
        <w:t>Director</w:t>
      </w:r>
      <w:proofErr w:type="gramEnd"/>
      <w:r w:rsidRPr="00F7527A">
        <w:rPr>
          <w:rFonts w:ascii="Palatino Linotype" w:eastAsia="Palatino Linotype" w:hAnsi="Palatino Linotype" w:cs="Palatino Linotype"/>
          <w:i/>
          <w:sz w:val="22"/>
        </w:rPr>
        <w:t xml:space="preserve"> de Administración y Finanzas tendrá y ejercerá las siguientes atribuciones no delegables:</w:t>
      </w:r>
    </w:p>
    <w:p w14:paraId="13FEC2AD"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w:t>
      </w:r>
    </w:p>
    <w:p w14:paraId="2F7F299C" w14:textId="77777777" w:rsidR="00235E7D" w:rsidRPr="00F7527A" w:rsidRDefault="00235E7D" w:rsidP="00235E7D">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XX. Autorizar, la programación de los pagos a cubrirse a los diversos proveedores y prestadores de servicios;” </w:t>
      </w:r>
      <w:r w:rsidRPr="00F7527A">
        <w:rPr>
          <w:rFonts w:ascii="Palatino Linotype" w:eastAsia="Palatino Linotype" w:hAnsi="Palatino Linotype" w:cs="Palatino Linotype"/>
          <w:i/>
          <w:sz w:val="22"/>
        </w:rPr>
        <w:t>(Sic) (Énfasis añadido)</w:t>
      </w:r>
    </w:p>
    <w:p w14:paraId="3C6C1971" w14:textId="77777777" w:rsidR="004821AF" w:rsidRPr="00F7527A" w:rsidRDefault="00341317">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rPr>
        <w:lastRenderedPageBreak/>
        <w:t>A su vez, esta Dirección contará con una Subdirección de Administración, la cual se conformará de la siguiente manera y contará con las siguientes atribuciones:</w:t>
      </w:r>
    </w:p>
    <w:p w14:paraId="1A18E0BD"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i/>
          <w:sz w:val="22"/>
        </w:rPr>
        <w:t xml:space="preserve">“Artículo 66. Para el despacho de los asuntos de su competencia </w:t>
      </w:r>
      <w:r w:rsidRPr="00F7527A">
        <w:rPr>
          <w:rFonts w:ascii="Palatino Linotype" w:eastAsia="Palatino Linotype" w:hAnsi="Palatino Linotype" w:cs="Palatino Linotype"/>
          <w:b/>
          <w:i/>
          <w:sz w:val="22"/>
        </w:rPr>
        <w:t xml:space="preserve">la Subdirección de Administración, además de la oficina del </w:t>
      </w:r>
      <w:proofErr w:type="gramStart"/>
      <w:r w:rsidRPr="00F7527A">
        <w:rPr>
          <w:rFonts w:ascii="Palatino Linotype" w:eastAsia="Palatino Linotype" w:hAnsi="Palatino Linotype" w:cs="Palatino Linotype"/>
          <w:b/>
          <w:i/>
          <w:sz w:val="22"/>
        </w:rPr>
        <w:t>Subdirector</w:t>
      </w:r>
      <w:proofErr w:type="gramEnd"/>
      <w:r w:rsidRPr="00F7527A">
        <w:rPr>
          <w:rFonts w:ascii="Palatino Linotype" w:eastAsia="Palatino Linotype" w:hAnsi="Palatino Linotype" w:cs="Palatino Linotype"/>
          <w:b/>
          <w:i/>
          <w:sz w:val="22"/>
        </w:rPr>
        <w:t xml:space="preserve"> o Subdirectora se integrará por las siguientes dependencias auxiliares:</w:t>
      </w:r>
    </w:p>
    <w:p w14:paraId="47728096"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w:t>
      </w:r>
    </w:p>
    <w:p w14:paraId="0EBBD0BD"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III. Departamento de Logística y Eventos Especiales;</w:t>
      </w:r>
    </w:p>
    <w:p w14:paraId="564398C2"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Artículo 73.- El departamento de Logística y Eventos Especiales, es la unidad administrativa, encargada de satisfacer la demanda de los bienes y servicios requeridos por las dependencias que necesitan para ejecutar sus tareas, eventos o ceremonias realizados por la administración pública municipal. </w:t>
      </w:r>
    </w:p>
    <w:p w14:paraId="7A4829DB"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Artículo 74. El departamento de Logística y Eventos Especiales tendrá a un </w:t>
      </w:r>
      <w:proofErr w:type="gramStart"/>
      <w:r w:rsidRPr="00F7527A">
        <w:rPr>
          <w:rFonts w:ascii="Palatino Linotype" w:eastAsia="Palatino Linotype" w:hAnsi="Palatino Linotype" w:cs="Palatino Linotype"/>
          <w:b/>
          <w:i/>
          <w:sz w:val="22"/>
        </w:rPr>
        <w:t>Jefe</w:t>
      </w:r>
      <w:proofErr w:type="gramEnd"/>
      <w:r w:rsidRPr="00F7527A">
        <w:rPr>
          <w:rFonts w:ascii="Palatino Linotype" w:eastAsia="Palatino Linotype" w:hAnsi="Palatino Linotype" w:cs="Palatino Linotype"/>
          <w:b/>
          <w:i/>
          <w:sz w:val="22"/>
        </w:rPr>
        <w:t xml:space="preserve"> o Jefa a quien le corresponderán las siguientes atribuciones: </w:t>
      </w:r>
    </w:p>
    <w:p w14:paraId="3D7ABF87"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I. Acordar con el </w:t>
      </w:r>
      <w:proofErr w:type="gramStart"/>
      <w:r w:rsidRPr="00F7527A">
        <w:rPr>
          <w:rFonts w:ascii="Palatino Linotype" w:eastAsia="Palatino Linotype" w:hAnsi="Palatino Linotype" w:cs="Palatino Linotype"/>
          <w:b/>
          <w:i/>
          <w:sz w:val="22"/>
        </w:rPr>
        <w:t>Subdirector</w:t>
      </w:r>
      <w:proofErr w:type="gramEnd"/>
      <w:r w:rsidRPr="00F7527A">
        <w:rPr>
          <w:rFonts w:ascii="Palatino Linotype" w:eastAsia="Palatino Linotype" w:hAnsi="Palatino Linotype" w:cs="Palatino Linotype"/>
          <w:b/>
          <w:i/>
          <w:sz w:val="22"/>
        </w:rPr>
        <w:t xml:space="preserve"> o Subdirectora, los asuntos de su competencia; II. Elaborar el programa operativo anual de trabajo del área a su cargo, informando periódicamente el cumplimiento del mismo al </w:t>
      </w:r>
      <w:proofErr w:type="gramStart"/>
      <w:r w:rsidRPr="00F7527A">
        <w:rPr>
          <w:rFonts w:ascii="Palatino Linotype" w:eastAsia="Palatino Linotype" w:hAnsi="Palatino Linotype" w:cs="Palatino Linotype"/>
          <w:b/>
          <w:i/>
          <w:sz w:val="22"/>
        </w:rPr>
        <w:t>Director</w:t>
      </w:r>
      <w:proofErr w:type="gramEnd"/>
      <w:r w:rsidRPr="00F7527A">
        <w:rPr>
          <w:rFonts w:ascii="Palatino Linotype" w:eastAsia="Palatino Linotype" w:hAnsi="Palatino Linotype" w:cs="Palatino Linotype"/>
          <w:b/>
          <w:i/>
          <w:sz w:val="22"/>
        </w:rPr>
        <w:t xml:space="preserve"> o Directora; </w:t>
      </w:r>
    </w:p>
    <w:p w14:paraId="29127962"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III. Planificar y programar los bienes y servicios solicitados por las dependencias para su entrega; </w:t>
      </w:r>
    </w:p>
    <w:p w14:paraId="44C76830"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IV. Coordinar con las dependencias municipales, la entrega de materiales o suministros solicitados de acuerdo a la suficiencia presupuestal y existencia; </w:t>
      </w:r>
    </w:p>
    <w:p w14:paraId="30F4CD22"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V. Proyectar, coordinar, supervisar y asistir eventos del Ayuntamiento; </w:t>
      </w:r>
    </w:p>
    <w:p w14:paraId="3A6E6712"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 xml:space="preserve">VI. Elaborar y atender la Agenda de eventos y fechas especiales para el suministro de los bienes o servicios; </w:t>
      </w:r>
    </w:p>
    <w:p w14:paraId="3874EF96"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lastRenderedPageBreak/>
        <w:t xml:space="preserve">VII. Recabar la información de los eventos y ceremonias de la administración pública municipal para su comprobación. </w:t>
      </w:r>
    </w:p>
    <w:p w14:paraId="7918235B" w14:textId="77777777" w:rsidR="00341317" w:rsidRPr="00F7527A" w:rsidRDefault="00341317" w:rsidP="00341317">
      <w:pPr>
        <w:spacing w:before="240" w:after="240" w:line="276" w:lineRule="auto"/>
        <w:ind w:left="567" w:right="709"/>
        <w:jc w:val="both"/>
        <w:rPr>
          <w:rFonts w:ascii="Palatino Linotype" w:eastAsia="Palatino Linotype" w:hAnsi="Palatino Linotype" w:cs="Palatino Linotype"/>
          <w:b/>
          <w:i/>
          <w:sz w:val="22"/>
        </w:rPr>
      </w:pPr>
      <w:r w:rsidRPr="00F7527A">
        <w:rPr>
          <w:rFonts w:ascii="Palatino Linotype" w:eastAsia="Palatino Linotype" w:hAnsi="Palatino Linotype" w:cs="Palatino Linotype"/>
          <w:b/>
          <w:i/>
          <w:sz w:val="22"/>
        </w:rPr>
        <w:t>VIII. Las demás que le señalen las leyes y reglamento vigentes.” (Sic) (Énfasis añadido)</w:t>
      </w:r>
    </w:p>
    <w:p w14:paraId="2E116068" w14:textId="77777777" w:rsidR="00341317" w:rsidRPr="00F7527A" w:rsidRDefault="00341317" w:rsidP="00341317">
      <w:pPr>
        <w:spacing w:before="240" w:after="240" w:line="360" w:lineRule="auto"/>
        <w:ind w:right="49"/>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De lo anteriormente citado, se advierte que la Dirección</w:t>
      </w:r>
      <w:r w:rsidR="006E07CE" w:rsidRPr="00F7527A">
        <w:rPr>
          <w:rFonts w:ascii="Palatino Linotype" w:eastAsia="Palatino Linotype" w:hAnsi="Palatino Linotype" w:cs="Palatino Linotype"/>
          <w:lang w:eastAsia="es-MX"/>
        </w:rPr>
        <w:t xml:space="preserve"> de Administración y Finanzas también es</w:t>
      </w:r>
      <w:r w:rsidRPr="00F7527A">
        <w:rPr>
          <w:rFonts w:ascii="Palatino Linotype" w:eastAsia="Palatino Linotype" w:hAnsi="Palatino Linotype" w:cs="Palatino Linotype"/>
          <w:lang w:eastAsia="es-MX"/>
        </w:rPr>
        <w:t xml:space="preserve"> competente para atender el requerimiento de información concerniente al monto por el evento referido en la solicitud de información pues es la encargada de realizar las erogaciones que haga el Ayuntamiento y la Administración Pública. </w:t>
      </w:r>
    </w:p>
    <w:p w14:paraId="6BAC437B" w14:textId="77777777" w:rsidR="00341317" w:rsidRPr="00F7527A" w:rsidRDefault="00341317" w:rsidP="00341317">
      <w:pPr>
        <w:spacing w:line="360" w:lineRule="auto"/>
        <w:jc w:val="both"/>
        <w:rPr>
          <w:color w:val="000000"/>
          <w:lang w:eastAsia="es-MX"/>
        </w:rPr>
      </w:pPr>
      <w:r w:rsidRPr="00F7527A">
        <w:rPr>
          <w:rFonts w:ascii="Palatino Linotype" w:eastAsia="Palatino Linotype" w:hAnsi="Palatino Linotype" w:cs="Palatino Linotype"/>
          <w:lang w:eastAsia="es-MX"/>
        </w:rPr>
        <w:t>Para determinar los documentos en los que puede obrar la información</w:t>
      </w:r>
      <w:r w:rsidRPr="00F7527A">
        <w:rPr>
          <w:rFonts w:ascii="Palatino Linotype" w:eastAsia="Palatino Linotype" w:hAnsi="Palatino Linotype" w:cs="Palatino Linotype"/>
          <w:color w:val="000000"/>
          <w:lang w:eastAsia="es-MX"/>
        </w:rPr>
        <w:t>,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AA5AD62"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w:t>
      </w:r>
      <w:r w:rsidRPr="00F7527A">
        <w:rPr>
          <w:rFonts w:ascii="Palatino Linotype" w:eastAsia="Palatino Linotype" w:hAnsi="Palatino Linotype" w:cs="Palatino Linotype"/>
          <w:b/>
          <w:i/>
          <w:color w:val="000000"/>
          <w:sz w:val="22"/>
          <w:szCs w:val="22"/>
          <w:lang w:eastAsia="es-MX"/>
        </w:rPr>
        <w:t>Artículo 342.</w:t>
      </w:r>
      <w:proofErr w:type="gramStart"/>
      <w:r w:rsidRPr="00F7527A">
        <w:rPr>
          <w:rFonts w:ascii="Palatino Linotype" w:eastAsia="Palatino Linotype" w:hAnsi="Palatino Linotype" w:cs="Palatino Linotype"/>
          <w:b/>
          <w:i/>
          <w:color w:val="000000"/>
          <w:sz w:val="22"/>
          <w:szCs w:val="22"/>
          <w:lang w:eastAsia="es-MX"/>
        </w:rPr>
        <w:t>-</w:t>
      </w:r>
      <w:r w:rsidRPr="00F7527A">
        <w:rPr>
          <w:rFonts w:ascii="Palatino Linotype" w:eastAsia="Palatino Linotype" w:hAnsi="Palatino Linotype" w:cs="Palatino Linotype"/>
          <w:i/>
          <w:color w:val="000000"/>
          <w:sz w:val="22"/>
          <w:szCs w:val="22"/>
          <w:lang w:eastAsia="es-MX"/>
        </w:rPr>
        <w:t xml:space="preserve">  El</w:t>
      </w:r>
      <w:proofErr w:type="gramEnd"/>
      <w:r w:rsidRPr="00F7527A">
        <w:rPr>
          <w:rFonts w:ascii="Palatino Linotype" w:eastAsia="Palatino Linotype" w:hAnsi="Palatino Linotype" w:cs="Palatino Linotype"/>
          <w:i/>
          <w:color w:val="000000"/>
          <w:sz w:val="22"/>
          <w:szCs w:val="22"/>
          <w:lang w:eastAsia="es-MX"/>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0F9716D"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0C8140DC"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b/>
          <w:i/>
          <w:color w:val="000000"/>
          <w:sz w:val="22"/>
          <w:szCs w:val="22"/>
          <w:lang w:eastAsia="es-MX"/>
        </w:rPr>
        <w:t>Artículo 343.-</w:t>
      </w:r>
      <w:r w:rsidRPr="00F7527A">
        <w:rPr>
          <w:rFonts w:ascii="Palatino Linotype" w:eastAsia="Palatino Linotype" w:hAnsi="Palatino Linotype" w:cs="Palatino Linotype"/>
          <w:i/>
          <w:color w:val="000000"/>
          <w:sz w:val="22"/>
          <w:szCs w:val="22"/>
          <w:lang w:eastAsia="es-MX"/>
        </w:rPr>
        <w:t xml:space="preserve"> - El sistema de contabilidad debe diseñarse sobre base acumulativa total y operarse en forma que facilite la fiscalización de los activos, pasivos, ingresos, egresos y, en general, que posibilite medir la eficacia del gasto </w:t>
      </w:r>
      <w:r w:rsidRPr="00F7527A">
        <w:rPr>
          <w:rFonts w:ascii="Palatino Linotype" w:eastAsia="Palatino Linotype" w:hAnsi="Palatino Linotype" w:cs="Palatino Linotype"/>
          <w:i/>
          <w:color w:val="000000"/>
          <w:sz w:val="22"/>
          <w:szCs w:val="22"/>
          <w:lang w:eastAsia="es-MX"/>
        </w:rPr>
        <w:lastRenderedPageBreak/>
        <w:t>público, y contener las medidas de control interno que permitan verificar el registro de la totalidad de las operaciones financieras.</w:t>
      </w:r>
    </w:p>
    <w:p w14:paraId="55A1FEBA"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El sistema de contabilidad sobre base acumulativa total, se sustentará en las normas emitidas por el Consejo Nacional de Armonización Contable.</w:t>
      </w:r>
    </w:p>
    <w:p w14:paraId="42B6185C"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b/>
          <w:i/>
          <w:color w:val="000000"/>
          <w:sz w:val="22"/>
          <w:szCs w:val="22"/>
          <w:lang w:eastAsia="es-MX"/>
        </w:rPr>
        <w:t xml:space="preserve">Artículo 344.- Los Entes Públicos, a través de cualquiera de sus unidades administrativas, de acuerdo con su naturaleza jurídica y según corresponda, </w:t>
      </w:r>
      <w:r w:rsidRPr="00F7527A">
        <w:rPr>
          <w:rFonts w:ascii="Palatino Linotype" w:eastAsia="Palatino Linotype" w:hAnsi="Palatino Linotype" w:cs="Palatino Linotype"/>
          <w:b/>
          <w:i/>
          <w:color w:val="000000"/>
          <w:sz w:val="22"/>
          <w:szCs w:val="22"/>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F7527A">
        <w:rPr>
          <w:rFonts w:ascii="Palatino Linotype" w:eastAsia="Palatino Linotype" w:hAnsi="Palatino Linotype" w:cs="Palatino Linotype"/>
          <w:b/>
          <w:i/>
          <w:color w:val="000000"/>
          <w:sz w:val="22"/>
          <w:szCs w:val="22"/>
          <w:lang w:eastAsia="es-MX"/>
        </w:rPr>
        <w:t>.</w:t>
      </w:r>
    </w:p>
    <w:p w14:paraId="5ED165C0" w14:textId="77777777" w:rsidR="00341317" w:rsidRPr="00F7527A" w:rsidRDefault="00341317" w:rsidP="00341317">
      <w:pPr>
        <w:spacing w:line="276" w:lineRule="auto"/>
        <w:rPr>
          <w:color w:val="000000"/>
          <w:lang w:eastAsia="es-MX"/>
        </w:rPr>
      </w:pPr>
    </w:p>
    <w:p w14:paraId="223958E9"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b/>
          <w:i/>
          <w:color w:val="000000"/>
          <w:sz w:val="22"/>
          <w:szCs w:val="22"/>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F7527A">
        <w:rPr>
          <w:rFonts w:ascii="Palatino Linotype" w:eastAsia="Palatino Linotype" w:hAnsi="Palatino Linotype" w:cs="Palatino Linotype"/>
          <w:i/>
          <w:color w:val="000000"/>
          <w:sz w:val="22"/>
          <w:szCs w:val="22"/>
          <w:lang w:eastAsia="es-MX"/>
        </w:rPr>
        <w:t>según corresponda, así como de los órganos internos de control, por un término de cinco años, contados a partir del ejercicio presupuestal siguiente al que corresponda,</w:t>
      </w:r>
      <w:r w:rsidRPr="00F7527A">
        <w:rPr>
          <w:rFonts w:ascii="Palatino Linotype" w:eastAsia="Palatino Linotype" w:hAnsi="Palatino Linotype" w:cs="Palatino Linotype"/>
          <w:b/>
          <w:i/>
          <w:color w:val="000000"/>
          <w:sz w:val="22"/>
          <w:szCs w:val="22"/>
          <w:lang w:eastAsia="es-MX"/>
        </w:rPr>
        <w:t xml:space="preserve"> en el caso de los Municipios, dicha obligación corresponderá a la Tesorería.</w:t>
      </w:r>
    </w:p>
    <w:p w14:paraId="0D14942D"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Tratándose de documentos de carácter histórico, se estará a lo dispuesto por la legislación de la materia.</w:t>
      </w:r>
    </w:p>
    <w:p w14:paraId="6985384B"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w:t>
      </w:r>
    </w:p>
    <w:p w14:paraId="36CD8D0F"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b/>
          <w:i/>
          <w:color w:val="000000"/>
          <w:sz w:val="22"/>
          <w:szCs w:val="22"/>
          <w:lang w:eastAsia="es-MX"/>
        </w:rPr>
        <w:t>Artículo 345.-</w:t>
      </w:r>
      <w:r w:rsidRPr="00F7527A">
        <w:rPr>
          <w:rFonts w:ascii="Palatino Linotype" w:eastAsia="Palatino Linotype" w:hAnsi="Palatino Linotype" w:cs="Palatino Linotype"/>
          <w:i/>
          <w:color w:val="000000"/>
          <w:sz w:val="22"/>
          <w:szCs w:val="22"/>
          <w:lang w:eastAsia="es-MX"/>
        </w:rPr>
        <w:t xml:space="preserve"> </w:t>
      </w:r>
      <w:r w:rsidRPr="00F7527A">
        <w:rPr>
          <w:rFonts w:ascii="Palatino Linotype" w:eastAsia="Palatino Linotype" w:hAnsi="Palatino Linotype" w:cs="Palatino Linotype"/>
          <w:b/>
          <w:i/>
          <w:color w:val="000000"/>
          <w:sz w:val="22"/>
          <w:szCs w:val="22"/>
          <w:lang w:eastAsia="es-MX"/>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F7527A">
        <w:rPr>
          <w:rFonts w:ascii="Palatino Linotype" w:eastAsia="Palatino Linotype" w:hAnsi="Palatino Linotype" w:cs="Palatino Linotype"/>
          <w:i/>
          <w:color w:val="000000"/>
          <w:sz w:val="22"/>
          <w:szCs w:val="22"/>
          <w:lang w:eastAsia="es-MX"/>
        </w:rPr>
        <w:t>registro contable.</w:t>
      </w:r>
    </w:p>
    <w:p w14:paraId="06A93CF0"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 xml:space="preserve">Los poderes Legislativo y Judicial, los Organismos Autónomos y las Entidades Públicas, de acuerdo con su naturaleza jurídica y según corresponda, deberán </w:t>
      </w:r>
      <w:r w:rsidRPr="00F7527A">
        <w:rPr>
          <w:rFonts w:ascii="Palatino Linotype" w:eastAsia="Palatino Linotype" w:hAnsi="Palatino Linotype" w:cs="Palatino Linotype"/>
          <w:i/>
          <w:color w:val="000000"/>
          <w:sz w:val="22"/>
          <w:szCs w:val="22"/>
          <w:lang w:eastAsia="es-MX"/>
        </w:rPr>
        <w:lastRenderedPageBreak/>
        <w:t>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2593776A" w14:textId="77777777" w:rsidR="00341317" w:rsidRPr="00F7527A" w:rsidRDefault="00341317" w:rsidP="00341317">
      <w:pPr>
        <w:pBdr>
          <w:top w:val="nil"/>
          <w:left w:val="nil"/>
          <w:bottom w:val="nil"/>
          <w:right w:val="nil"/>
          <w:between w:val="nil"/>
        </w:pBdr>
        <w:spacing w:before="120" w:after="120" w:line="276" w:lineRule="auto"/>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El plazo señalado en este artículo empezará a contar a partir de la publicación en el Periódico Oficial, del decreto correspondiente</w:t>
      </w:r>
      <w:r w:rsidRPr="00F7527A">
        <w:rPr>
          <w:rFonts w:ascii="Palatino Linotype" w:eastAsia="Palatino Linotype" w:hAnsi="Palatino Linotype" w:cs="Palatino Linotype"/>
          <w:b/>
          <w:i/>
          <w:color w:val="000000"/>
          <w:sz w:val="22"/>
          <w:szCs w:val="22"/>
          <w:lang w:eastAsia="es-MX"/>
        </w:rPr>
        <w:t xml:space="preserve"> </w:t>
      </w:r>
      <w:r w:rsidRPr="00F7527A">
        <w:rPr>
          <w:rFonts w:ascii="Palatino Linotype" w:eastAsia="Palatino Linotype" w:hAnsi="Palatino Linotype" w:cs="Palatino Linotype"/>
          <w:i/>
          <w:color w:val="000000"/>
          <w:sz w:val="22"/>
          <w:szCs w:val="22"/>
          <w:lang w:eastAsia="es-MX"/>
        </w:rPr>
        <w:t>“(Sic)</w:t>
      </w:r>
    </w:p>
    <w:p w14:paraId="2558E823" w14:textId="77777777" w:rsidR="00341317" w:rsidRPr="00F7527A" w:rsidRDefault="00341317" w:rsidP="00341317">
      <w:pPr>
        <w:pBdr>
          <w:top w:val="nil"/>
          <w:left w:val="nil"/>
          <w:bottom w:val="nil"/>
          <w:right w:val="nil"/>
          <w:between w:val="nil"/>
        </w:pBdr>
        <w:spacing w:before="120" w:after="120"/>
        <w:ind w:left="860" w:right="860"/>
        <w:jc w:val="both"/>
        <w:rPr>
          <w:color w:val="000000"/>
          <w:lang w:eastAsia="es-MX"/>
        </w:rPr>
      </w:pPr>
      <w:r w:rsidRPr="00F7527A">
        <w:rPr>
          <w:rFonts w:ascii="Palatino Linotype" w:eastAsia="Palatino Linotype" w:hAnsi="Palatino Linotype" w:cs="Palatino Linotype"/>
          <w:i/>
          <w:color w:val="000000"/>
          <w:sz w:val="22"/>
          <w:szCs w:val="22"/>
          <w:lang w:eastAsia="es-MX"/>
        </w:rPr>
        <w:t>(Énfasis añadido)</w:t>
      </w:r>
    </w:p>
    <w:p w14:paraId="5ECE5D41" w14:textId="77777777" w:rsidR="00341317" w:rsidRPr="00F7527A" w:rsidRDefault="00341317" w:rsidP="0034131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color w:val="000000"/>
          <w:lang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DDC7EF3" w14:textId="77777777" w:rsidR="00341317" w:rsidRPr="00F7527A" w:rsidRDefault="00341317" w:rsidP="00341317">
      <w:pPr>
        <w:spacing w:before="240"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EFEFF2C" w14:textId="77777777" w:rsidR="00341317" w:rsidRPr="00F7527A" w:rsidRDefault="00341317" w:rsidP="00341317">
      <w:pPr>
        <w:ind w:left="851" w:right="851"/>
        <w:jc w:val="both"/>
        <w:rPr>
          <w:rFonts w:ascii="Palatino Linotype" w:eastAsia="Palatino Linotype" w:hAnsi="Palatino Linotype" w:cs="Palatino Linotype"/>
          <w:b/>
          <w:i/>
          <w:sz w:val="22"/>
          <w:szCs w:val="22"/>
          <w:lang w:eastAsia="es-MX"/>
        </w:rPr>
      </w:pPr>
      <w:r w:rsidRPr="00F7527A">
        <w:rPr>
          <w:rFonts w:ascii="Palatino Linotype" w:eastAsia="Palatino Linotype" w:hAnsi="Palatino Linotype" w:cs="Palatino Linotype"/>
          <w:b/>
          <w:i/>
          <w:sz w:val="22"/>
          <w:szCs w:val="22"/>
          <w:lang w:eastAsia="es-MX"/>
        </w:rPr>
        <w:lastRenderedPageBreak/>
        <w:t xml:space="preserve">“REGISTRO CONTABLE </w:t>
      </w:r>
    </w:p>
    <w:p w14:paraId="17904574" w14:textId="77777777" w:rsidR="00341317" w:rsidRPr="00F7527A" w:rsidRDefault="00341317" w:rsidP="00341317">
      <w:pPr>
        <w:ind w:left="851" w:right="851"/>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Asiento que se realiza en los libros de contabilidad de las actividades relacionadas con el ingreso y egresos de un ente económico.” (Sic)</w:t>
      </w:r>
    </w:p>
    <w:p w14:paraId="14C54065" w14:textId="77777777" w:rsidR="00341317" w:rsidRPr="00F7527A" w:rsidRDefault="00341317" w:rsidP="00341317">
      <w:pPr>
        <w:ind w:left="851" w:right="851"/>
        <w:jc w:val="both"/>
        <w:rPr>
          <w:rFonts w:ascii="Palatino Linotype" w:eastAsia="Palatino Linotype" w:hAnsi="Palatino Linotype" w:cs="Palatino Linotype"/>
          <w:b/>
          <w:i/>
          <w:sz w:val="22"/>
          <w:szCs w:val="22"/>
          <w:lang w:eastAsia="es-MX"/>
        </w:rPr>
      </w:pPr>
    </w:p>
    <w:p w14:paraId="6E442094" w14:textId="77777777" w:rsidR="00341317" w:rsidRPr="00F7527A" w:rsidRDefault="00341317" w:rsidP="00341317">
      <w:pPr>
        <w:ind w:left="851" w:right="851"/>
        <w:jc w:val="both"/>
        <w:rPr>
          <w:rFonts w:ascii="Palatino Linotype" w:eastAsia="Palatino Linotype" w:hAnsi="Palatino Linotype" w:cs="Palatino Linotype"/>
          <w:b/>
          <w:i/>
          <w:sz w:val="22"/>
          <w:szCs w:val="22"/>
          <w:lang w:eastAsia="es-MX"/>
        </w:rPr>
      </w:pPr>
      <w:r w:rsidRPr="00F7527A">
        <w:rPr>
          <w:rFonts w:ascii="Palatino Linotype" w:eastAsia="Palatino Linotype" w:hAnsi="Palatino Linotype" w:cs="Palatino Linotype"/>
          <w:b/>
          <w:i/>
          <w:sz w:val="22"/>
          <w:szCs w:val="22"/>
          <w:lang w:eastAsia="es-MX"/>
        </w:rPr>
        <w:t>“REGISTRO PRESUPUESTARIO</w:t>
      </w:r>
    </w:p>
    <w:p w14:paraId="46A2CF51" w14:textId="77777777" w:rsidR="00341317" w:rsidRPr="00F7527A" w:rsidRDefault="00341317" w:rsidP="00341317">
      <w:pPr>
        <w:ind w:left="851" w:right="851"/>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Asiento contable de las erogaciones realizadas por las dependencias y entidades con relación a la asignación, modificación y ejercicio de los recursos presupuestarios que se les hayan autorizado.” (Sic)</w:t>
      </w:r>
    </w:p>
    <w:p w14:paraId="6EF83283" w14:textId="77777777" w:rsidR="00341317" w:rsidRPr="00F7527A" w:rsidRDefault="00341317" w:rsidP="00341317">
      <w:pPr>
        <w:ind w:left="851" w:right="851"/>
        <w:jc w:val="both"/>
        <w:rPr>
          <w:rFonts w:ascii="Palatino Linotype" w:eastAsia="Palatino Linotype" w:hAnsi="Palatino Linotype" w:cs="Palatino Linotype"/>
          <w:i/>
          <w:sz w:val="22"/>
          <w:szCs w:val="22"/>
          <w:lang w:eastAsia="es-MX"/>
        </w:rPr>
      </w:pPr>
    </w:p>
    <w:p w14:paraId="42B6AE7F"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color w:val="000000"/>
          <w:lang w:eastAsia="es-MX"/>
        </w:rPr>
        <w:t>Por otra parte, se establece que el sistema de contabilidad sobre base acumulativa total se sustentará en los principios de contabilidad gubernamental.</w:t>
      </w:r>
    </w:p>
    <w:p w14:paraId="75510EFB" w14:textId="77777777" w:rsidR="00341317" w:rsidRPr="00F7527A" w:rsidRDefault="00341317" w:rsidP="00341317">
      <w:pPr>
        <w:spacing w:before="240"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Correlativo a lo anterior, es preciso referir una definición de </w:t>
      </w:r>
      <w:r w:rsidRPr="00F7527A">
        <w:rPr>
          <w:rFonts w:ascii="Palatino Linotype" w:eastAsia="Palatino Linotype" w:hAnsi="Palatino Linotype" w:cs="Palatino Linotype"/>
          <w:i/>
          <w:lang w:eastAsia="es-MX"/>
        </w:rPr>
        <w:t>póliza contable</w:t>
      </w:r>
      <w:r w:rsidRPr="00F7527A">
        <w:rPr>
          <w:rFonts w:ascii="Palatino Linotype" w:eastAsia="Palatino Linotype" w:hAnsi="Palatino Linotype" w:cs="Palatino Linotype"/>
          <w:lang w:eastAsia="es-MX"/>
        </w:rPr>
        <w:t xml:space="preserve">, la cual, primeramente, no está definida en el Código Financiero del Estado de México y Municipios; no obstante, los ya mencionados Glosarios la definen como: </w:t>
      </w:r>
    </w:p>
    <w:p w14:paraId="41B8B303" w14:textId="77777777" w:rsidR="00341317" w:rsidRPr="00F7527A" w:rsidRDefault="00341317" w:rsidP="00341317">
      <w:pPr>
        <w:ind w:left="851" w:right="851"/>
        <w:jc w:val="both"/>
        <w:rPr>
          <w:rFonts w:ascii="Palatino Linotype" w:eastAsia="Palatino Linotype" w:hAnsi="Palatino Linotype" w:cs="Palatino Linotype"/>
          <w:b/>
          <w:i/>
          <w:sz w:val="22"/>
          <w:szCs w:val="22"/>
          <w:lang w:eastAsia="es-MX"/>
        </w:rPr>
      </w:pPr>
      <w:r w:rsidRPr="00F7527A">
        <w:rPr>
          <w:rFonts w:ascii="Palatino Linotype" w:eastAsia="Palatino Linotype" w:hAnsi="Palatino Linotype" w:cs="Palatino Linotype"/>
          <w:i/>
          <w:sz w:val="22"/>
          <w:szCs w:val="22"/>
          <w:lang w:eastAsia="es-MX"/>
        </w:rPr>
        <w:t>“</w:t>
      </w:r>
      <w:r w:rsidRPr="00F7527A">
        <w:rPr>
          <w:rFonts w:ascii="Palatino Linotype" w:eastAsia="Palatino Linotype" w:hAnsi="Palatino Linotype" w:cs="Palatino Linotype"/>
          <w:b/>
          <w:i/>
          <w:sz w:val="22"/>
          <w:szCs w:val="22"/>
          <w:lang w:eastAsia="es-MX"/>
        </w:rPr>
        <w:t>PÓLIZA CONTABLE</w:t>
      </w:r>
    </w:p>
    <w:p w14:paraId="65B84F6E" w14:textId="77777777" w:rsidR="00341317" w:rsidRPr="00F7527A" w:rsidRDefault="00341317" w:rsidP="00341317">
      <w:pPr>
        <w:ind w:left="851" w:right="851"/>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Documento en el cual se asientan en forma individual todas y cada una de las operaciones desarrolladas por una institución, así como la información necesaria para la identificación de dichas operaciones.” (sic)</w:t>
      </w:r>
    </w:p>
    <w:p w14:paraId="6ACC2AE4" w14:textId="77777777" w:rsidR="00341317" w:rsidRPr="00F7527A" w:rsidRDefault="00341317" w:rsidP="00341317">
      <w:pPr>
        <w:ind w:left="851" w:right="851"/>
        <w:jc w:val="both"/>
        <w:rPr>
          <w:rFonts w:ascii="Palatino Linotype" w:eastAsia="Palatino Linotype" w:hAnsi="Palatino Linotype" w:cs="Palatino Linotype"/>
          <w:i/>
          <w:sz w:val="22"/>
          <w:szCs w:val="22"/>
          <w:lang w:eastAsia="es-MX"/>
        </w:rPr>
      </w:pPr>
    </w:p>
    <w:p w14:paraId="3596574D" w14:textId="77777777" w:rsidR="00341317" w:rsidRPr="00F7527A" w:rsidRDefault="00341317" w:rsidP="00341317">
      <w:pPr>
        <w:spacing w:before="240"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Así, se advierte que la </w:t>
      </w:r>
      <w:r w:rsidRPr="00F7527A">
        <w:rPr>
          <w:rFonts w:ascii="Palatino Linotype" w:eastAsia="Palatino Linotype" w:hAnsi="Palatino Linotype" w:cs="Palatino Linotype"/>
          <w:i/>
          <w:lang w:eastAsia="es-MX"/>
        </w:rPr>
        <w:t>póliza contable</w:t>
      </w:r>
      <w:r w:rsidRPr="00F7527A">
        <w:rPr>
          <w:rFonts w:ascii="Palatino Linotype" w:eastAsia="Palatino Linotype" w:hAnsi="Palatino Linotype" w:cs="Palatino Linotype"/>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3A00328" w14:textId="77777777" w:rsidR="00341317" w:rsidRPr="00F7527A" w:rsidRDefault="00341317" w:rsidP="00341317">
      <w:pPr>
        <w:spacing w:before="240"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llamadas </w:t>
      </w:r>
      <w:r w:rsidRPr="00F7527A">
        <w:rPr>
          <w:rFonts w:ascii="Palatino Linotype" w:eastAsia="Palatino Linotype" w:hAnsi="Palatino Linotype" w:cs="Palatino Linotype"/>
          <w:i/>
          <w:lang w:eastAsia="es-MX"/>
        </w:rPr>
        <w:t>pólizas de egresos</w:t>
      </w:r>
      <w:r w:rsidRPr="00F7527A">
        <w:rPr>
          <w:rFonts w:ascii="Palatino Linotype" w:eastAsia="Palatino Linotype" w:hAnsi="Palatino Linotype" w:cs="Palatino Linotype"/>
          <w:lang w:eastAsia="es-MX"/>
        </w:rPr>
        <w:t xml:space="preserve">, son aquellas en las cuales se anotan diariamente las operaciones que </w:t>
      </w:r>
      <w:r w:rsidRPr="00F7527A">
        <w:rPr>
          <w:rFonts w:ascii="Palatino Linotype" w:eastAsia="Palatino Linotype" w:hAnsi="Palatino Linotype" w:cs="Palatino Linotype"/>
          <w:lang w:eastAsia="es-MX"/>
        </w:rPr>
        <w:lastRenderedPageBreak/>
        <w:t xml:space="preserve">representan gastos, es decir, salidas de dinero para el </w:t>
      </w:r>
      <w:r w:rsidRPr="00F7527A">
        <w:rPr>
          <w:rFonts w:ascii="Palatino Linotype" w:eastAsia="Palatino Linotype" w:hAnsi="Palatino Linotype" w:cs="Palatino Linotype"/>
          <w:b/>
          <w:lang w:eastAsia="es-MX"/>
        </w:rPr>
        <w:t>Sujeto Obligado</w:t>
      </w:r>
      <w:r w:rsidRPr="00F7527A">
        <w:rPr>
          <w:rFonts w:ascii="Palatino Linotype" w:eastAsia="Palatino Linotype" w:hAnsi="Palatino Linotype" w:cs="Palatino Linotype"/>
          <w:lang w:eastAsia="es-MX"/>
        </w:rPr>
        <w:t xml:space="preserve">, las </w:t>
      </w:r>
      <w:proofErr w:type="gramStart"/>
      <w:r w:rsidRPr="00F7527A">
        <w:rPr>
          <w:rFonts w:ascii="Palatino Linotype" w:eastAsia="Palatino Linotype" w:hAnsi="Palatino Linotype" w:cs="Palatino Linotype"/>
          <w:lang w:eastAsia="es-MX"/>
        </w:rPr>
        <w:t>que</w:t>
      </w:r>
      <w:proofErr w:type="gramEnd"/>
      <w:r w:rsidRPr="00F7527A">
        <w:rPr>
          <w:rFonts w:ascii="Palatino Linotype" w:eastAsia="Palatino Linotype" w:hAnsi="Palatino Linotype" w:cs="Palatino Linotype"/>
          <w:lang w:eastAsia="es-MX"/>
        </w:rPr>
        <w:t xml:space="preserve"> además, deben encontrarse acompañadas de las documentales que sirven de soporte de dicho movimiento. </w:t>
      </w:r>
    </w:p>
    <w:p w14:paraId="0CA5FBBD"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color w:val="000000"/>
          <w:lang w:eastAsia="es-MX"/>
        </w:rPr>
        <w:t xml:space="preserve">Asimismo, los Lineamientos para la integración y entrega del Informe Trimestral Municipal 2022, </w:t>
      </w:r>
      <w:r w:rsidRPr="00F7527A">
        <w:rPr>
          <w:rFonts w:ascii="Palatino Linotype" w:eastAsia="Palatino Linotype" w:hAnsi="Palatino Linotype" w:cs="Palatino Linotype"/>
          <w:lang w:eastAsia="es-MX"/>
        </w:rPr>
        <w:t xml:space="preserve">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F7527A">
        <w:rPr>
          <w:rFonts w:ascii="Palatino Linotype" w:eastAsia="Palatino Linotype" w:hAnsi="Palatino Linotype" w:cs="Palatino Linotype"/>
          <w:b/>
          <w:i/>
          <w:lang w:eastAsia="es-MX"/>
        </w:rPr>
        <w:t>pólizas de egresos</w:t>
      </w:r>
      <w:r w:rsidRPr="00F7527A">
        <w:rPr>
          <w:rFonts w:ascii="Palatino Linotype" w:eastAsia="Palatino Linotype" w:hAnsi="Palatino Linotype" w:cs="Palatino Linotype"/>
          <w:i/>
          <w:lang w:eastAsia="es-MX"/>
        </w:rPr>
        <w:t xml:space="preserve">, </w:t>
      </w:r>
      <w:r w:rsidRPr="00F7527A">
        <w:rPr>
          <w:rFonts w:ascii="Palatino Linotype" w:eastAsia="Palatino Linotype" w:hAnsi="Palatino Linotype" w:cs="Palatino Linotype"/>
          <w:lang w:eastAsia="es-MX"/>
        </w:rPr>
        <w:t xml:space="preserve">de tal manera que, dichos formatos constituyen un soporte documental con el cual de manera enunciativa más no limitativa, el </w:t>
      </w:r>
      <w:r w:rsidRPr="00F7527A">
        <w:rPr>
          <w:rFonts w:ascii="Palatino Linotype" w:eastAsia="Palatino Linotype" w:hAnsi="Palatino Linotype" w:cs="Palatino Linotype"/>
          <w:b/>
          <w:lang w:eastAsia="es-MX"/>
        </w:rPr>
        <w:t xml:space="preserve">Sujeto Obligado </w:t>
      </w:r>
      <w:r w:rsidRPr="00F7527A">
        <w:rPr>
          <w:rFonts w:ascii="Palatino Linotype" w:eastAsia="Palatino Linotype" w:hAnsi="Palatino Linotype" w:cs="Palatino Linotype"/>
          <w:lang w:eastAsia="es-MX"/>
        </w:rPr>
        <w:t xml:space="preserve">pudiera atender los requerimientos de información, para una mayor referencia se inserta la captura de pantalla del formato correspondiente al año 2022: </w:t>
      </w:r>
    </w:p>
    <w:p w14:paraId="56B72BD8"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noProof/>
          <w:color w:val="000000"/>
          <w:lang w:val="es-MX" w:eastAsia="es-MX"/>
        </w:rPr>
        <w:lastRenderedPageBreak/>
        <w:drawing>
          <wp:inline distT="0" distB="0" distL="0" distR="0" wp14:anchorId="30D3D427" wp14:editId="497EA047">
            <wp:extent cx="5120410" cy="4489248"/>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120410" cy="4489248"/>
                    </a:xfrm>
                    <a:prstGeom prst="rect">
                      <a:avLst/>
                    </a:prstGeom>
                    <a:ln/>
                  </pic:spPr>
                </pic:pic>
              </a:graphicData>
            </a:graphic>
          </wp:inline>
        </w:drawing>
      </w:r>
    </w:p>
    <w:p w14:paraId="4C19E16C"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noProof/>
          <w:color w:val="000000"/>
          <w:lang w:val="es-MX" w:eastAsia="es-MX"/>
        </w:rPr>
        <w:lastRenderedPageBreak/>
        <w:drawing>
          <wp:inline distT="0" distB="0" distL="0" distR="0" wp14:anchorId="19D7A1E8" wp14:editId="006AFA28">
            <wp:extent cx="5277224" cy="6440778"/>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277224" cy="6440778"/>
                    </a:xfrm>
                    <a:prstGeom prst="rect">
                      <a:avLst/>
                    </a:prstGeom>
                    <a:ln/>
                  </pic:spPr>
                </pic:pic>
              </a:graphicData>
            </a:graphic>
          </wp:inline>
        </w:drawing>
      </w:r>
    </w:p>
    <w:p w14:paraId="17E9D1EA"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noProof/>
          <w:color w:val="000000"/>
          <w:lang w:val="es-MX" w:eastAsia="es-MX"/>
        </w:rPr>
        <w:lastRenderedPageBreak/>
        <w:drawing>
          <wp:inline distT="0" distB="0" distL="0" distR="0" wp14:anchorId="230B7ED7" wp14:editId="0B0DBB54">
            <wp:extent cx="5486400" cy="6772275"/>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486400" cy="6772275"/>
                    </a:xfrm>
                    <a:prstGeom prst="rect">
                      <a:avLst/>
                    </a:prstGeom>
                    <a:ln/>
                  </pic:spPr>
                </pic:pic>
              </a:graphicData>
            </a:graphic>
          </wp:inline>
        </w:drawing>
      </w:r>
    </w:p>
    <w:p w14:paraId="0026C425"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color w:val="000000"/>
          <w:lang w:eastAsia="es-MX"/>
        </w:rPr>
        <w:t xml:space="preserve">Aunado a lo anterior, los citados Lineamientos especifican que las imágenes contenidas deben ser indexadas de manera que se permita su vinculación con la </w:t>
      </w:r>
      <w:r w:rsidRPr="00F7527A">
        <w:rPr>
          <w:rFonts w:ascii="Palatino Linotype" w:eastAsia="Palatino Linotype" w:hAnsi="Palatino Linotype" w:cs="Palatino Linotype"/>
          <w:color w:val="000000"/>
          <w:lang w:eastAsia="es-MX"/>
        </w:rPr>
        <w:lastRenderedPageBreak/>
        <w:t xml:space="preserve">información financiera, de tal forma que al consultar la citada información financiera se pueda visualizar el soporte documental que justifique los registros contables. </w:t>
      </w:r>
    </w:p>
    <w:p w14:paraId="6A3F7384"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color w:val="000000"/>
          <w:lang w:eastAsia="es-MX"/>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emitido por el OSFEM y publicada en el Periódico Oficial “Gaceta del Gobierno” el cinco de abril de dos mil veintidós, si bien es cierto que esta información se entrega en los informes trimestrales, no menos cierto es que se debe generar de manera mensual, sirve de mayor referencia la siguiente ilustración: </w:t>
      </w:r>
    </w:p>
    <w:p w14:paraId="1F3F7203" w14:textId="77777777" w:rsidR="00341317" w:rsidRPr="00F7527A" w:rsidRDefault="00341317" w:rsidP="00341317">
      <w:pPr>
        <w:spacing w:before="240" w:after="240" w:line="360" w:lineRule="auto"/>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noProof/>
          <w:color w:val="000000"/>
          <w:lang w:val="es-MX" w:eastAsia="es-MX"/>
        </w:rPr>
        <w:drawing>
          <wp:inline distT="0" distB="0" distL="0" distR="0" wp14:anchorId="28D82D7E" wp14:editId="0855FDCD">
            <wp:extent cx="5610225" cy="328612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610225" cy="3286125"/>
                    </a:xfrm>
                    <a:prstGeom prst="rect">
                      <a:avLst/>
                    </a:prstGeom>
                    <a:ln/>
                  </pic:spPr>
                </pic:pic>
              </a:graphicData>
            </a:graphic>
          </wp:inline>
        </w:drawing>
      </w:r>
      <w:r w:rsidRPr="00F7527A">
        <w:rPr>
          <w:noProof/>
          <w:lang w:val="es-MX" w:eastAsia="es-MX"/>
        </w:rPr>
        <mc:AlternateContent>
          <mc:Choice Requires="wps">
            <w:drawing>
              <wp:anchor distT="0" distB="0" distL="114300" distR="114300" simplePos="0" relativeHeight="251667456" behindDoc="0" locked="0" layoutInCell="1" hidden="0" allowOverlap="1" wp14:anchorId="65F65416" wp14:editId="3604B170">
                <wp:simplePos x="0" y="0"/>
                <wp:positionH relativeFrom="column">
                  <wp:posOffset>673100</wp:posOffset>
                </wp:positionH>
                <wp:positionV relativeFrom="paragraph">
                  <wp:posOffset>2743200</wp:posOffset>
                </wp:positionV>
                <wp:extent cx="4943475" cy="228600"/>
                <wp:effectExtent l="0" t="0" r="0" b="0"/>
                <wp:wrapNone/>
                <wp:docPr id="29" name="Rectángulo 29"/>
                <wp:cNvGraphicFramePr/>
                <a:graphic xmlns:a="http://schemas.openxmlformats.org/drawingml/2006/main">
                  <a:graphicData uri="http://schemas.microsoft.com/office/word/2010/wordprocessingShape">
                    <wps:wsp>
                      <wps:cNvSpPr/>
                      <wps:spPr>
                        <a:xfrm>
                          <a:off x="2888550" y="3679988"/>
                          <a:ext cx="4914900" cy="200025"/>
                        </a:xfrm>
                        <a:prstGeom prst="rect">
                          <a:avLst/>
                        </a:prstGeom>
                        <a:noFill/>
                        <a:ln w="28575" cap="flat" cmpd="sng">
                          <a:solidFill>
                            <a:srgbClr val="002060"/>
                          </a:solidFill>
                          <a:prstDash val="solid"/>
                          <a:round/>
                          <a:headEnd type="none" w="sm" len="sm"/>
                          <a:tailEnd type="none" w="sm" len="sm"/>
                        </a:ln>
                      </wps:spPr>
                      <wps:txbx>
                        <w:txbxContent>
                          <w:p w14:paraId="17C08605" w14:textId="77777777" w:rsidR="00701E14" w:rsidRDefault="00701E14" w:rsidP="00341317">
                            <w:pPr>
                              <w:textDirection w:val="btLr"/>
                            </w:pPr>
                          </w:p>
                        </w:txbxContent>
                      </wps:txbx>
                      <wps:bodyPr spcFirstLastPara="1" wrap="square" lIns="91425" tIns="91425" rIns="91425" bIns="91425" anchor="ctr" anchorCtr="0">
                        <a:noAutofit/>
                      </wps:bodyPr>
                    </wps:wsp>
                  </a:graphicData>
                </a:graphic>
              </wp:anchor>
            </w:drawing>
          </mc:Choice>
          <mc:Fallback>
            <w:pict>
              <v:rect w14:anchorId="30D96890" id="Rectángulo 29" o:spid="_x0000_s1026" style="position:absolute;left:0;text-align:left;margin-left:53pt;margin-top:3in;width:389.2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" filled="f" strokecolor="#002060" strokeweight="2.25pt">
                <v:stroke startarrowwidth="narrow" startarrowlength="short" endarrowwidth="narrow" endarrowlength="short" joinstyle="round"/>
                <v:textbox inset="2.53958mm,2.53958mm,2.53958mm,2.53958mm">
                  <w:txbxContent>
                    <w:p w:rsidR="00701E14" w:rsidRDefault="00701E14" w:rsidP="00341317">
                      <w:pPr>
                        <w:textDirection w:val="btLr"/>
                      </w:pPr>
                    </w:p>
                  </w:txbxContent>
                </v:textbox>
              </v:rect>
            </w:pict>
          </mc:Fallback>
        </mc:AlternateContent>
      </w:r>
    </w:p>
    <w:p w14:paraId="6005A3E5" w14:textId="77777777" w:rsidR="00341317" w:rsidRPr="00F7527A" w:rsidRDefault="00341317" w:rsidP="0034131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lang w:eastAsia="es-MX"/>
        </w:rPr>
      </w:pPr>
      <w:r w:rsidRPr="00F7527A">
        <w:rPr>
          <w:rFonts w:ascii="Palatino Linotype" w:eastAsia="Palatino Linotype" w:hAnsi="Palatino Linotype" w:cs="Palatino Linotype"/>
          <w:color w:val="000000"/>
          <w:lang w:eastAsia="es-MX"/>
        </w:rPr>
        <w:t xml:space="preserve">Por lo anterior, se debe concluir que el </w:t>
      </w:r>
      <w:r w:rsidRPr="00F7527A">
        <w:rPr>
          <w:rFonts w:ascii="Palatino Linotype" w:eastAsia="Palatino Linotype" w:hAnsi="Palatino Linotype" w:cs="Palatino Linotype"/>
          <w:b/>
          <w:color w:val="000000"/>
          <w:lang w:eastAsia="es-MX"/>
        </w:rPr>
        <w:t>Sujeto Obligado</w:t>
      </w:r>
      <w:r w:rsidRPr="00F7527A">
        <w:rPr>
          <w:rFonts w:ascii="Palatino Linotype" w:eastAsia="Palatino Linotype" w:hAnsi="Palatino Linotype" w:cs="Palatino Linotype"/>
          <w:color w:val="000000"/>
          <w:lang w:eastAsia="es-MX"/>
        </w:rPr>
        <w:t xml:space="preserve"> está constreñido a generar la información que integra el informe trimestral de manera mensual y por tanto a </w:t>
      </w:r>
      <w:r w:rsidRPr="00F7527A">
        <w:rPr>
          <w:rFonts w:ascii="Palatino Linotype" w:eastAsia="Palatino Linotype" w:hAnsi="Palatino Linotype" w:cs="Palatino Linotype"/>
          <w:color w:val="000000"/>
          <w:lang w:eastAsia="es-MX"/>
        </w:rPr>
        <w:lastRenderedPageBreak/>
        <w:t>la fecha de ingreso de la solicitud de información, ya debe contar con la información generada concerniente al monto erogado por el Ayuntamiento</w:t>
      </w:r>
      <w:r w:rsidRPr="00F7527A">
        <w:t xml:space="preserve"> </w:t>
      </w:r>
      <w:r w:rsidRPr="00F7527A">
        <w:rPr>
          <w:rFonts w:ascii="Palatino Linotype" w:eastAsia="Palatino Linotype" w:hAnsi="Palatino Linotype" w:cs="Palatino Linotype"/>
          <w:color w:val="000000"/>
          <w:lang w:eastAsia="es-MX"/>
        </w:rPr>
        <w:t xml:space="preserve">para llevar a cabo la Feria Nacional de Ixtapaluca 2022 por lo que no existe ningún impedimento para que se entregue a </w:t>
      </w:r>
      <w:r w:rsidRPr="00F7527A">
        <w:rPr>
          <w:rFonts w:ascii="Palatino Linotype" w:eastAsia="Palatino Linotype" w:hAnsi="Palatino Linotype" w:cs="Palatino Linotype"/>
          <w:b/>
          <w:color w:val="000000"/>
          <w:lang w:eastAsia="es-MX"/>
        </w:rPr>
        <w:t>la parte Recurrente</w:t>
      </w:r>
      <w:r w:rsidRPr="00F7527A">
        <w:rPr>
          <w:rFonts w:ascii="Palatino Linotype" w:eastAsia="Palatino Linotype" w:hAnsi="Palatino Linotype" w:cs="Palatino Linotype"/>
          <w:color w:val="000000"/>
          <w:lang w:eastAsia="es-MX"/>
        </w:rPr>
        <w:t xml:space="preserve"> la información que requirió en su solicitud de información.</w:t>
      </w:r>
    </w:p>
    <w:p w14:paraId="536D7AFB" w14:textId="77777777" w:rsidR="00341317" w:rsidRPr="00F7527A" w:rsidRDefault="00F2365A" w:rsidP="00341317">
      <w:pPr>
        <w:spacing w:before="240" w:after="240" w:line="360" w:lineRule="auto"/>
        <w:ind w:right="49"/>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Ahora </w:t>
      </w:r>
      <w:r w:rsidR="00A45B7A" w:rsidRPr="00F7527A">
        <w:rPr>
          <w:rFonts w:ascii="Palatino Linotype" w:eastAsia="Palatino Linotype" w:hAnsi="Palatino Linotype" w:cs="Palatino Linotype"/>
          <w:lang w:eastAsia="es-MX"/>
        </w:rPr>
        <w:t>bien, para el caso en el que no cuente con la información relativa al monto erogado por patrocinadores para la realización de la feria señalada</w:t>
      </w:r>
      <w:r w:rsidR="00341317" w:rsidRPr="00F7527A">
        <w:rPr>
          <w:rFonts w:ascii="Palatino Linotype" w:eastAsia="Palatino Linotype" w:hAnsi="Palatino Linotype" w:cs="Palatino Linotype"/>
          <w:lang w:eastAsia="es-MX"/>
        </w:rPr>
        <w:t>,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2A13D384" w14:textId="77777777" w:rsidR="00341317" w:rsidRPr="00F7527A" w:rsidRDefault="00341317" w:rsidP="00341317">
      <w:pPr>
        <w:spacing w:before="120" w:after="120"/>
        <w:ind w:left="851"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w:t>
      </w:r>
      <w:r w:rsidRPr="00F7527A">
        <w:rPr>
          <w:rFonts w:ascii="Palatino Linotype" w:eastAsia="Palatino Linotype" w:hAnsi="Palatino Linotype" w:cs="Palatino Linotype"/>
          <w:b/>
          <w:i/>
          <w:sz w:val="22"/>
          <w:szCs w:val="22"/>
          <w:lang w:eastAsia="es-MX"/>
        </w:rPr>
        <w:t>Artículo 19</w:t>
      </w:r>
      <w:r w:rsidRPr="00F7527A">
        <w:rPr>
          <w:rFonts w:ascii="Palatino Linotype" w:eastAsia="Palatino Linotype" w:hAnsi="Palatino Linotype" w:cs="Palatino Linotype"/>
          <w:i/>
          <w:sz w:val="22"/>
          <w:szCs w:val="22"/>
          <w:lang w:eastAsia="es-MX"/>
        </w:rPr>
        <w:t>…</w:t>
      </w:r>
    </w:p>
    <w:p w14:paraId="55A62ABF" w14:textId="77777777" w:rsidR="00341317" w:rsidRPr="00F7527A" w:rsidRDefault="00341317" w:rsidP="00F2365A">
      <w:pPr>
        <w:spacing w:before="120" w:after="120"/>
        <w:ind w:left="851"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En los casos en que ciertas facultades, competencias o funciones no se hayan ejercido, se debe motivar la respuesta en función de las causas que motiven tal circunstancia.”</w:t>
      </w:r>
    </w:p>
    <w:p w14:paraId="62C2B947" w14:textId="77777777" w:rsidR="00341317" w:rsidRPr="00F7527A" w:rsidRDefault="00341317" w:rsidP="00341317">
      <w:pPr>
        <w:spacing w:before="240" w:after="240" w:line="360" w:lineRule="auto"/>
        <w:jc w:val="both"/>
        <w:rPr>
          <w:rFonts w:ascii="Palatino Linotype" w:eastAsia="Palatino Linotype" w:hAnsi="Palatino Linotype" w:cs="Palatino Linotype"/>
          <w:b/>
        </w:rPr>
      </w:pPr>
      <w:r w:rsidRPr="00F7527A">
        <w:rPr>
          <w:rFonts w:ascii="Palatino Linotype" w:eastAsia="Palatino Linotype" w:hAnsi="Palatino Linotype" w:cs="Palatino Linotype"/>
          <w:b/>
        </w:rPr>
        <w:t>2.- ¿Cuál fue el monto total de ingresos que obtuvo ese Ayuntamiento por venta de boletaje, venta de comida, bebidas, y de todos los servicios que se ofrecieron a las personas que asistieron a esa Feria?</w:t>
      </w:r>
    </w:p>
    <w:p w14:paraId="634AB51A" w14:textId="77777777" w:rsidR="00F2365A" w:rsidRPr="00F7527A" w:rsidRDefault="00F2365A" w:rsidP="00341317">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En lo concerniente a este planteamiento, el </w:t>
      </w:r>
      <w:proofErr w:type="gramStart"/>
      <w:r w:rsidRPr="00F7527A">
        <w:rPr>
          <w:rFonts w:ascii="Palatino Linotype" w:eastAsia="Palatino Linotype" w:hAnsi="Palatino Linotype" w:cs="Palatino Linotype"/>
        </w:rPr>
        <w:t>Subdirector</w:t>
      </w:r>
      <w:proofErr w:type="gramEnd"/>
      <w:r w:rsidRPr="00F7527A">
        <w:rPr>
          <w:rFonts w:ascii="Palatino Linotype" w:eastAsia="Palatino Linotype" w:hAnsi="Palatino Linotype" w:cs="Palatino Linotype"/>
        </w:rPr>
        <w:t xml:space="preserve"> de Recaudación señaló que dicha Subdirección no cuenta con la información solicitada porque los mecanismos para la recaudación de ingresos de la Feria Nacional de Ixtapaluca, (venta de boletaje, bebidas, alimentos, etc.), no fueron realizados por esta Subdirección.</w:t>
      </w:r>
    </w:p>
    <w:p w14:paraId="44129E41" w14:textId="77777777" w:rsidR="00F2365A" w:rsidRPr="00F7527A" w:rsidRDefault="00F2365A" w:rsidP="00341317">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lastRenderedPageBreak/>
        <w:t xml:space="preserve">Bajo tal tesitura, es importante resaltar </w:t>
      </w:r>
      <w:proofErr w:type="gramStart"/>
      <w:r w:rsidRPr="00F7527A">
        <w:rPr>
          <w:rFonts w:ascii="Palatino Linotype" w:eastAsia="Palatino Linotype" w:hAnsi="Palatino Linotype" w:cs="Palatino Linotype"/>
        </w:rPr>
        <w:t>que</w:t>
      </w:r>
      <w:proofErr w:type="gramEnd"/>
      <w:r w:rsidRPr="00F7527A">
        <w:rPr>
          <w:rFonts w:ascii="Palatino Linotype" w:eastAsia="Palatino Linotype" w:hAnsi="Palatino Linotype" w:cs="Palatino Linotype"/>
        </w:rPr>
        <w:t xml:space="preserve"> de conformidad con el Reglamento de la Dirección de Administración y Finanzas, a dicha Subdirección le corresponden las siguientes atribuciones:</w:t>
      </w:r>
    </w:p>
    <w:p w14:paraId="194E0E77" w14:textId="77777777" w:rsidR="00F2365A" w:rsidRPr="00F7527A" w:rsidRDefault="00701E14"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w:t>
      </w:r>
      <w:r w:rsidR="00F2365A" w:rsidRPr="00F7527A">
        <w:rPr>
          <w:rFonts w:ascii="Palatino Linotype" w:eastAsia="Palatino Linotype" w:hAnsi="Palatino Linotype" w:cs="Palatino Linotype"/>
          <w:i/>
          <w:sz w:val="22"/>
        </w:rPr>
        <w:t>CAPÍTULO TERCERO</w:t>
      </w:r>
    </w:p>
    <w:p w14:paraId="628D9F74"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DE LA SUBDIRECCIÓN DE RECAUDACIÓN</w:t>
      </w:r>
    </w:p>
    <w:p w14:paraId="6E2B1621"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Artículo 21.- Son atribuciones del </w:t>
      </w:r>
      <w:proofErr w:type="gramStart"/>
      <w:r w:rsidRPr="00F7527A">
        <w:rPr>
          <w:rFonts w:ascii="Palatino Linotype" w:eastAsia="Palatino Linotype" w:hAnsi="Palatino Linotype" w:cs="Palatino Linotype"/>
          <w:i/>
          <w:sz w:val="22"/>
        </w:rPr>
        <w:t>Subdirector</w:t>
      </w:r>
      <w:proofErr w:type="gramEnd"/>
      <w:r w:rsidRPr="00F7527A">
        <w:rPr>
          <w:rFonts w:ascii="Palatino Linotype" w:eastAsia="Palatino Linotype" w:hAnsi="Palatino Linotype" w:cs="Palatino Linotype"/>
          <w:i/>
          <w:sz w:val="22"/>
        </w:rPr>
        <w:t xml:space="preserve"> o Subdirectora:</w:t>
      </w:r>
    </w:p>
    <w:p w14:paraId="05FCECE6"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I. Planear, dirigir, coordinar, controlar y evaluar, las funciones encomendadas a la unidad administrativa a su cargo, supervisando que las mismas se desarrollen con apego al marco normativo vigentes.</w:t>
      </w:r>
    </w:p>
    <w:p w14:paraId="5318DF3D"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II. Elaborar y proponer a su superior jerárquico:</w:t>
      </w:r>
    </w:p>
    <w:p w14:paraId="7C38FD06"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a. Los proyectos de programas anuales de actividades y de presupuesto que les correspondan.</w:t>
      </w:r>
    </w:p>
    <w:p w14:paraId="314FD587"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b. Las modificaciones jurídicas y administrativas, que tiendan a mejorar el desempeño de la unidad administrativa a su cargo.</w:t>
      </w:r>
    </w:p>
    <w:p w14:paraId="5EBF69BE"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III. Observar el buen estado de la oficina central y oficinas auxiliares de recaudación, atendiendo las necesidades del servicio y personal, con el fin de mejorar la calidad de atención a la ciudadanía</w:t>
      </w:r>
    </w:p>
    <w:p w14:paraId="704885B9"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IV. Verificar el manejo de las formas valoradas y valorables, utilizadas en el procedimiento de recaudación;</w:t>
      </w:r>
    </w:p>
    <w:p w14:paraId="293EF309"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V. Validar que los trámites que se realizan en las unidades administrativas bajo su responsabilidad se apeguen estrictamente a la legalidad;</w:t>
      </w:r>
    </w:p>
    <w:p w14:paraId="6EFE583D"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VI. Supervisar las actividades de los Coordinadores, así como del personal;</w:t>
      </w:r>
    </w:p>
    <w:p w14:paraId="2E8C104D"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VII. Inspeccionar los sistemas y procedimientos de recaudación;</w:t>
      </w:r>
    </w:p>
    <w:p w14:paraId="4E5A226E"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b/>
          <w:i/>
          <w:color w:val="000000" w:themeColor="text1"/>
          <w:sz w:val="22"/>
        </w:rPr>
      </w:pPr>
      <w:r w:rsidRPr="00F7527A">
        <w:rPr>
          <w:rFonts w:ascii="Palatino Linotype" w:eastAsia="Palatino Linotype" w:hAnsi="Palatino Linotype" w:cs="Palatino Linotype"/>
          <w:b/>
          <w:i/>
          <w:color w:val="000000" w:themeColor="text1"/>
          <w:sz w:val="22"/>
        </w:rPr>
        <w:t>VIII. Controlar los ingresos municipales;</w:t>
      </w:r>
    </w:p>
    <w:p w14:paraId="72E7A23C"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lastRenderedPageBreak/>
        <w:t>IX. Dar seguimiento a las solicitudes de información a las diferentes dependencias involucradas con la recaudación, además de controlar la entrega de la misma a las diversas áreas del Ayuntamiento, así como dependencias externas;</w:t>
      </w:r>
    </w:p>
    <w:p w14:paraId="3B47D48E"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X. Dar seguimiento a las actividades solicitadas por el </w:t>
      </w:r>
      <w:proofErr w:type="gramStart"/>
      <w:r w:rsidRPr="00F7527A">
        <w:rPr>
          <w:rFonts w:ascii="Palatino Linotype" w:eastAsia="Palatino Linotype" w:hAnsi="Palatino Linotype" w:cs="Palatino Linotype"/>
          <w:i/>
          <w:sz w:val="22"/>
        </w:rPr>
        <w:t>Director</w:t>
      </w:r>
      <w:proofErr w:type="gramEnd"/>
      <w:r w:rsidRPr="00F7527A">
        <w:rPr>
          <w:rFonts w:ascii="Palatino Linotype" w:eastAsia="Palatino Linotype" w:hAnsi="Palatino Linotype" w:cs="Palatino Linotype"/>
          <w:i/>
          <w:sz w:val="22"/>
        </w:rPr>
        <w:t xml:space="preserve"> de Administración y Finanzas.</w:t>
      </w:r>
    </w:p>
    <w:p w14:paraId="4DB20FB2" w14:textId="77777777" w:rsidR="00F2365A" w:rsidRPr="00F7527A" w:rsidRDefault="00F2365A" w:rsidP="00701E14">
      <w:pPr>
        <w:spacing w:before="240" w:after="240" w:line="276" w:lineRule="auto"/>
        <w:ind w:left="567"/>
        <w:jc w:val="both"/>
        <w:rPr>
          <w:rFonts w:ascii="Palatino Linotype" w:eastAsia="Palatino Linotype" w:hAnsi="Palatino Linotype" w:cs="Palatino Linotype"/>
          <w:i/>
          <w:sz w:val="22"/>
        </w:rPr>
      </w:pPr>
      <w:r w:rsidRPr="00F7527A">
        <w:rPr>
          <w:rFonts w:ascii="Palatino Linotype" w:eastAsia="Palatino Linotype" w:hAnsi="Palatino Linotype" w:cs="Palatino Linotype"/>
          <w:i/>
          <w:sz w:val="22"/>
        </w:rPr>
        <w:t xml:space="preserve">XI. Las demás que le confieran otros ordenamientos legales y las que le instruya el </w:t>
      </w:r>
      <w:proofErr w:type="gramStart"/>
      <w:r w:rsidRPr="00F7527A">
        <w:rPr>
          <w:rFonts w:ascii="Palatino Linotype" w:eastAsia="Palatino Linotype" w:hAnsi="Palatino Linotype" w:cs="Palatino Linotype"/>
          <w:i/>
          <w:sz w:val="22"/>
        </w:rPr>
        <w:t>Director</w:t>
      </w:r>
      <w:proofErr w:type="gramEnd"/>
      <w:r w:rsidRPr="00F7527A">
        <w:rPr>
          <w:rFonts w:ascii="Palatino Linotype" w:eastAsia="Palatino Linotype" w:hAnsi="Palatino Linotype" w:cs="Palatino Linotype"/>
          <w:i/>
          <w:sz w:val="22"/>
        </w:rPr>
        <w:t xml:space="preserve"> o Directora de Administración y Finanzas.</w:t>
      </w:r>
      <w:r w:rsidR="00701E14" w:rsidRPr="00F7527A">
        <w:rPr>
          <w:rFonts w:ascii="Palatino Linotype" w:eastAsia="Palatino Linotype" w:hAnsi="Palatino Linotype" w:cs="Palatino Linotype"/>
          <w:i/>
          <w:sz w:val="22"/>
        </w:rPr>
        <w:t>” (Sic)</w:t>
      </w:r>
    </w:p>
    <w:p w14:paraId="4310FDC6" w14:textId="77777777" w:rsidR="00F2365A" w:rsidRPr="00F7527A" w:rsidRDefault="00701E14" w:rsidP="00341317">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De lo anteriormente citado, se aprecia que </w:t>
      </w:r>
      <w:r w:rsidR="00AB1C30" w:rsidRPr="00F7527A">
        <w:rPr>
          <w:rFonts w:ascii="Palatino Linotype" w:eastAsia="Palatino Linotype" w:hAnsi="Palatino Linotype" w:cs="Palatino Linotype"/>
        </w:rPr>
        <w:t xml:space="preserve">la Subdirección de Recaudación es la encargada de controlar los ingresos municipales, sin embargo, no es la única unidad administrativa a cargo de funciones relativas a ingresos municipales, ello en virtud de </w:t>
      </w:r>
      <w:proofErr w:type="gramStart"/>
      <w:r w:rsidR="00AB1C30" w:rsidRPr="00F7527A">
        <w:rPr>
          <w:rFonts w:ascii="Palatino Linotype" w:eastAsia="Palatino Linotype" w:hAnsi="Palatino Linotype" w:cs="Palatino Linotype"/>
        </w:rPr>
        <w:t>que</w:t>
      </w:r>
      <w:proofErr w:type="gramEnd"/>
      <w:r w:rsidR="00AB1C30"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rPr>
        <w:t>dentro de la estructura de la Dirección de Administración y Finanzas, se localiza la Coordinación de Ingresos, la cual en términos del multicitado Reglamento, cuenta con las siguientes atribuciones:</w:t>
      </w:r>
    </w:p>
    <w:p w14:paraId="7DE47429"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“CAPITULO TERCERO</w:t>
      </w:r>
    </w:p>
    <w:p w14:paraId="404943ED"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ATRIBUCIONES DE LA COORDINACIÓN DE INGRESOS</w:t>
      </w:r>
    </w:p>
    <w:p w14:paraId="55BFBED4"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Artículo 86.- Corresponde a la Coordinación de Ingresos, a través de su Titular, el despacho de los asuntos siguientes:</w:t>
      </w:r>
    </w:p>
    <w:p w14:paraId="38089BCA"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I. Recaudar, supervisar e informar de los ingresos que se generen en el Municipio, en base a la Ley de Ingresos Municipal y que deban ser registrados por la Tesorería formando parte de la cuenta pública;</w:t>
      </w:r>
    </w:p>
    <w:p w14:paraId="3D4D66E1"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w:t>
      </w:r>
    </w:p>
    <w:p w14:paraId="5D709F0D"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 xml:space="preserve">CAPITULO CUARTO COORDINACIÓN DE INGRESOS </w:t>
      </w:r>
    </w:p>
    <w:p w14:paraId="4492A358"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 xml:space="preserve">Artículo 88.- Corresponde a la Coordinación de Ingresos, a través de su Titular, atenderá de los asuntos siguientes: </w:t>
      </w:r>
    </w:p>
    <w:p w14:paraId="489136D8"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lastRenderedPageBreak/>
        <w:t xml:space="preserve">I. Preparar el reporte único de Ingresos; </w:t>
      </w:r>
    </w:p>
    <w:p w14:paraId="05F1C813"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 xml:space="preserve">II. Coadyuvar con la Coordinación de Egresos la presentación de la propuesta del presupuesto de ingresos, por ejercicio fiscal; </w:t>
      </w:r>
    </w:p>
    <w:p w14:paraId="27953EF2"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 xml:space="preserve">III. Revisar los documentos necesarios para integrar el reporte único de ingresos; </w:t>
      </w:r>
    </w:p>
    <w:p w14:paraId="239C8CAD"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b/>
          <w:i/>
          <w:sz w:val="22"/>
          <w:szCs w:val="22"/>
        </w:rPr>
      </w:pPr>
      <w:r w:rsidRPr="00F7527A">
        <w:rPr>
          <w:rFonts w:ascii="Palatino Linotype" w:eastAsia="Palatino Linotype" w:hAnsi="Palatino Linotype" w:cs="Palatino Linotype"/>
          <w:b/>
          <w:i/>
          <w:sz w:val="22"/>
          <w:szCs w:val="22"/>
        </w:rPr>
        <w:t xml:space="preserve">IV. Elaborar los reportes diarios y mensuales de los ingresos del Municipio; V. Dar seguimiento administrativo a los reportes emitidos; y </w:t>
      </w:r>
    </w:p>
    <w:p w14:paraId="47CD9C9E" w14:textId="77777777" w:rsidR="00701E14" w:rsidRPr="00F7527A" w:rsidRDefault="00701E14" w:rsidP="00701E14">
      <w:pPr>
        <w:spacing w:before="240" w:after="240" w:line="276" w:lineRule="auto"/>
        <w:ind w:left="567" w:right="709"/>
        <w:jc w:val="both"/>
        <w:rPr>
          <w:rFonts w:ascii="Palatino Linotype" w:eastAsia="Palatino Linotype" w:hAnsi="Palatino Linotype" w:cs="Palatino Linotype"/>
          <w:i/>
          <w:sz w:val="22"/>
          <w:szCs w:val="22"/>
        </w:rPr>
      </w:pPr>
      <w:r w:rsidRPr="00F7527A">
        <w:rPr>
          <w:rFonts w:ascii="Palatino Linotype" w:eastAsia="Palatino Linotype" w:hAnsi="Palatino Linotype" w:cs="Palatino Linotype"/>
          <w:i/>
          <w:sz w:val="22"/>
          <w:szCs w:val="22"/>
        </w:rPr>
        <w:t>VI. Los demás que le sean encomendados por el Titular de la Coordinación de Ingresos y los que le señale la normatividad aplicable.” (Sic) (Énfasis añadido)</w:t>
      </w:r>
    </w:p>
    <w:p w14:paraId="35FE3616" w14:textId="77777777" w:rsidR="00701E14" w:rsidRPr="00F7527A" w:rsidRDefault="00701E14" w:rsidP="00701E14">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De manera enunciativa más no limitativa, el documento en el que pudiera obrar la información requerida por el particular es la póliza de ingresos con los documentos comprobatorios, la cual obra en el módulo 1 de los Lineamientos para la Entrega del Informe Trimestral, tal como se desprende de las siguientes impresiones de pantalla: </w:t>
      </w:r>
    </w:p>
    <w:p w14:paraId="746DB7EA" w14:textId="77777777" w:rsidR="00701E14" w:rsidRPr="00F7527A" w:rsidRDefault="00701E14" w:rsidP="00701E14">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noProof/>
          <w:lang w:val="es-MX" w:eastAsia="es-MX"/>
        </w:rPr>
        <w:lastRenderedPageBreak/>
        <w:drawing>
          <wp:inline distT="0" distB="0" distL="0" distR="0" wp14:anchorId="6D17E4F6" wp14:editId="48B791F3">
            <wp:extent cx="5490845" cy="5205095"/>
            <wp:effectExtent l="19050" t="19050" r="14605"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0845" cy="5205095"/>
                    </a:xfrm>
                    <a:prstGeom prst="rect">
                      <a:avLst/>
                    </a:prstGeom>
                    <a:ln>
                      <a:solidFill>
                        <a:schemeClr val="tx1"/>
                      </a:solidFill>
                    </a:ln>
                  </pic:spPr>
                </pic:pic>
              </a:graphicData>
            </a:graphic>
          </wp:inline>
        </w:drawing>
      </w:r>
    </w:p>
    <w:p w14:paraId="3035889D" w14:textId="77777777" w:rsidR="00701E14" w:rsidRPr="00F7527A" w:rsidRDefault="00701E14" w:rsidP="00701E14">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noProof/>
          <w:lang w:val="es-MX" w:eastAsia="es-MX"/>
        </w:rPr>
        <w:lastRenderedPageBreak/>
        <w:drawing>
          <wp:inline distT="0" distB="0" distL="0" distR="0" wp14:anchorId="4566F65D" wp14:editId="1A061485">
            <wp:extent cx="5994849" cy="6838950"/>
            <wp:effectExtent l="19050" t="19050" r="2540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138" cy="6841561"/>
                    </a:xfrm>
                    <a:prstGeom prst="rect">
                      <a:avLst/>
                    </a:prstGeom>
                    <a:noFill/>
                    <a:ln>
                      <a:solidFill>
                        <a:schemeClr val="tx1"/>
                      </a:solidFill>
                    </a:ln>
                  </pic:spPr>
                </pic:pic>
              </a:graphicData>
            </a:graphic>
          </wp:inline>
        </w:drawing>
      </w:r>
    </w:p>
    <w:p w14:paraId="10C6CB93" w14:textId="77777777" w:rsidR="00701E14" w:rsidRPr="00F7527A" w:rsidRDefault="00701E14" w:rsidP="00701E14">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noProof/>
          <w:lang w:val="es-MX" w:eastAsia="es-MX"/>
        </w:rPr>
        <w:lastRenderedPageBreak/>
        <w:drawing>
          <wp:inline distT="0" distB="0" distL="0" distR="0" wp14:anchorId="764DF7C6" wp14:editId="28274F62">
            <wp:extent cx="5490845" cy="6016625"/>
            <wp:effectExtent l="19050" t="19050" r="1460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0845" cy="6016625"/>
                    </a:xfrm>
                    <a:prstGeom prst="rect">
                      <a:avLst/>
                    </a:prstGeom>
                    <a:ln>
                      <a:solidFill>
                        <a:schemeClr val="tx1"/>
                      </a:solidFill>
                    </a:ln>
                  </pic:spPr>
                </pic:pic>
              </a:graphicData>
            </a:graphic>
          </wp:inline>
        </w:drawing>
      </w:r>
    </w:p>
    <w:p w14:paraId="357C8664" w14:textId="77777777" w:rsidR="004821AF" w:rsidRPr="00F7527A" w:rsidRDefault="004C0AF5">
      <w:pPr>
        <w:spacing w:before="240" w:after="240" w:line="360" w:lineRule="auto"/>
        <w:ind w:right="49"/>
        <w:jc w:val="both"/>
        <w:rPr>
          <w:rFonts w:ascii="Palatino Linotype" w:eastAsia="Palatino Linotype" w:hAnsi="Palatino Linotype" w:cs="Palatino Linotype"/>
          <w:color w:val="FF0000"/>
        </w:rPr>
      </w:pPr>
      <w:r w:rsidRPr="00F7527A">
        <w:rPr>
          <w:rFonts w:ascii="Palatino Linotype" w:eastAsia="Palatino Linotype" w:hAnsi="Palatino Linotype" w:cs="Palatino Linotype"/>
        </w:rPr>
        <w:t>Por todos los argumentos de hecho y derecho vertidos en la presente resolución y de las constancias que obran agregadas, resulta procedente ordenar la entrega de</w:t>
      </w:r>
      <w:r w:rsidRPr="00F7527A">
        <w:rPr>
          <w:rFonts w:ascii="Palatino Linotype" w:eastAsia="Palatino Linotype" w:hAnsi="Palatino Linotype" w:cs="Palatino Linotype"/>
          <w:b/>
        </w:rPr>
        <w:t xml:space="preserve"> </w:t>
      </w:r>
      <w:r w:rsidR="006B6C0B" w:rsidRPr="00F7527A">
        <w:rPr>
          <w:rFonts w:ascii="Palatino Linotype" w:eastAsia="Palatino Linotype" w:hAnsi="Palatino Linotype" w:cs="Palatino Linotype"/>
        </w:rPr>
        <w:t xml:space="preserve">la información requerida, consistente en los documentos que den cuenta del monto erogado por el Ayuntamiento para llevar a cabo la Feria Nacional de </w:t>
      </w:r>
      <w:r w:rsidR="006B6C0B" w:rsidRPr="00F7527A">
        <w:rPr>
          <w:rFonts w:ascii="Palatino Linotype" w:eastAsia="Palatino Linotype" w:hAnsi="Palatino Linotype" w:cs="Palatino Linotype"/>
        </w:rPr>
        <w:lastRenderedPageBreak/>
        <w:t>Ixtapaluca 2022 y de los ingresos obtenidos por el Ayuntamiento con motivo de la venta de boletaje, venta de comida, bebidas, y de todos los servicios que se ofrecieron a las personas que asistieron a la Feria Nacional de Ixtapaluca 2022.</w:t>
      </w:r>
    </w:p>
    <w:p w14:paraId="053C88D1" w14:textId="77777777" w:rsidR="004821AF" w:rsidRPr="00F7527A" w:rsidRDefault="004C0AF5">
      <w:pPr>
        <w:spacing w:before="240" w:after="240" w:line="360" w:lineRule="auto"/>
        <w:ind w:right="49" w:firstLine="1"/>
        <w:jc w:val="both"/>
        <w:rPr>
          <w:rFonts w:ascii="Palatino Linotype" w:eastAsia="Palatino Linotype" w:hAnsi="Palatino Linotype" w:cs="Palatino Linotype"/>
        </w:rPr>
      </w:pPr>
      <w:r w:rsidRPr="00F7527A">
        <w:rPr>
          <w:rFonts w:ascii="Palatino Linotype" w:eastAsia="Palatino Linotype" w:hAnsi="Palatino Linotype" w:cs="Palatino Linotype"/>
        </w:rPr>
        <w:t xml:space="preserve">Por ende, los motivos de inconformidad plateados por el </w:t>
      </w:r>
      <w:r w:rsidRPr="00F7527A">
        <w:rPr>
          <w:rFonts w:ascii="Palatino Linotype" w:eastAsia="Palatino Linotype" w:hAnsi="Palatino Linotype" w:cs="Palatino Linotype"/>
          <w:b/>
        </w:rPr>
        <w:t xml:space="preserve">Recurrente </w:t>
      </w:r>
      <w:r w:rsidRPr="00F7527A">
        <w:rPr>
          <w:rFonts w:ascii="Palatino Linotype" w:eastAsia="Palatino Linotype" w:hAnsi="Palatino Linotype" w:cs="Palatino Linotype"/>
        </w:rPr>
        <w:t xml:space="preserve">devienen fundados, ante </w:t>
      </w:r>
      <w:r w:rsidRPr="00F7527A">
        <w:rPr>
          <w:rFonts w:ascii="Palatino Linotype" w:eastAsia="Palatino Linotype" w:hAnsi="Palatino Linotype" w:cs="Palatino Linotype"/>
          <w:color w:val="000000"/>
        </w:rPr>
        <w:t xml:space="preserve">la omisión del </w:t>
      </w:r>
      <w:r w:rsidRPr="00F7527A">
        <w:rPr>
          <w:rFonts w:ascii="Palatino Linotype" w:eastAsia="Palatino Linotype" w:hAnsi="Palatino Linotype" w:cs="Palatino Linotype"/>
          <w:b/>
          <w:color w:val="000000"/>
        </w:rPr>
        <w:t xml:space="preserve">Sujeto Obligado  </w:t>
      </w:r>
      <w:r w:rsidRPr="00F7527A">
        <w:rPr>
          <w:rFonts w:ascii="Palatino Linotype" w:eastAsia="Palatino Linotype" w:hAnsi="Palatino Linotype" w:cs="Palatino Linotype"/>
          <w:color w:val="000000"/>
        </w:rPr>
        <w:t xml:space="preserve">para atender la solicitud de información, resulta procedente </w:t>
      </w:r>
      <w:r w:rsidRPr="00F7527A">
        <w:rPr>
          <w:rFonts w:ascii="Palatino Linotype" w:eastAsia="Palatino Linotype" w:hAnsi="Palatino Linotype" w:cs="Palatino Linotype"/>
        </w:rPr>
        <w:t>or</w:t>
      </w:r>
      <w:r w:rsidRPr="00F7527A">
        <w:rPr>
          <w:rFonts w:ascii="Palatino Linotype" w:eastAsia="Palatino Linotype" w:hAnsi="Palatino Linotype" w:cs="Palatino Linotype"/>
          <w:color w:val="222222"/>
        </w:rPr>
        <w:t xml:space="preserve">denar </w:t>
      </w:r>
      <w:r w:rsidRPr="00F7527A">
        <w:rPr>
          <w:rFonts w:ascii="Palatino Linotype" w:eastAsia="Palatino Linotype" w:hAnsi="Palatino Linotype" w:cs="Palatino Linotype"/>
        </w:rPr>
        <w:t xml:space="preserve">al Titular del Órgano de Control y Vigilancia de este Instituto, dé vista a la Contraloría Interna del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w:t>
      </w:r>
      <w:r w:rsidRPr="00F7527A">
        <w:rPr>
          <w:rFonts w:ascii="Palatino Linotype" w:eastAsia="Palatino Linotype" w:hAnsi="Palatino Linotype" w:cs="Palatino Linotype"/>
          <w:b/>
        </w:rPr>
        <w:t xml:space="preserve"> </w:t>
      </w:r>
      <w:r w:rsidRPr="00F7527A">
        <w:rPr>
          <w:rFonts w:ascii="Palatino Linotype" w:eastAsia="Palatino Linotype" w:hAnsi="Palatino Linotype" w:cs="Palatino Linotype"/>
        </w:rPr>
        <w:t>con fundamento en</w:t>
      </w:r>
      <w:r w:rsidRPr="00F7527A">
        <w:rPr>
          <w:rFonts w:ascii="Palatino Linotype" w:eastAsia="Palatino Linotype" w:hAnsi="Palatino Linotype" w:cs="Palatino Linotype"/>
          <w:b/>
        </w:rPr>
        <w:t xml:space="preserve"> </w:t>
      </w:r>
      <w:r w:rsidRPr="00F7527A">
        <w:rPr>
          <w:rFonts w:ascii="Palatino Linotype" w:eastAsia="Palatino Linotype" w:hAnsi="Palatino Linotype" w:cs="Palatino Linotype"/>
        </w:rPr>
        <w:t xml:space="preserve">los artículos 190 y 223 de la Ley Adjetiva, para que en términos de la Ley de Responsabilidades de los Servidores Públicos del Estado y Municipios, determine el grado de responsabilidad del servidor público ante la falta de respuesta en el plazo señalado en la Ley de Transparencia en la entidad, lo que redunda en falta de cumplimiento a los artículos 6 de la Constitución Federal y 5 de la Constitución Local, actualizándose lo previsto en el diverso 222 fracción II de la Ley de Transparencia y Acceso a la Información Pública del Estado de México y Municipios, resultando conforme a derecho, ordenar al </w:t>
      </w:r>
      <w:r w:rsidRPr="00F7527A">
        <w:rPr>
          <w:rFonts w:ascii="Palatino Linotype" w:eastAsia="Palatino Linotype" w:hAnsi="Palatino Linotype" w:cs="Palatino Linotype"/>
          <w:b/>
        </w:rPr>
        <w:t>Ayuntamiento de</w:t>
      </w:r>
      <w:r w:rsidR="00701E14" w:rsidRPr="00F7527A">
        <w:rPr>
          <w:rFonts w:ascii="Palatino Linotype" w:eastAsia="Palatino Linotype" w:hAnsi="Palatino Linotype" w:cs="Palatino Linotype"/>
          <w:b/>
        </w:rPr>
        <w:t xml:space="preserve"> Ixtapaluca</w:t>
      </w:r>
      <w:r w:rsidRPr="00F7527A">
        <w:rPr>
          <w:rFonts w:ascii="Palatino Linotype" w:eastAsia="Palatino Linotype" w:hAnsi="Palatino Linotype" w:cs="Palatino Linotype"/>
        </w:rPr>
        <w:t>, atender la solicitud de acceso a la información del particular.</w:t>
      </w:r>
    </w:p>
    <w:p w14:paraId="7E596F45" w14:textId="77777777" w:rsidR="00701E14" w:rsidRPr="00F7527A" w:rsidRDefault="00701E14" w:rsidP="00701E14">
      <w:pPr>
        <w:spacing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b/>
          <w:lang w:eastAsia="es-MX"/>
        </w:rPr>
        <w:t xml:space="preserve">Quinto. Versión Pública. </w:t>
      </w:r>
      <w:r w:rsidRPr="00F7527A">
        <w:rPr>
          <w:rFonts w:ascii="Palatino Linotype" w:eastAsia="Palatino Linotype" w:hAnsi="Palatino Linotype" w:cs="Palatino Linotype"/>
          <w:lang w:eastAsia="es-MX"/>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F7527A">
        <w:rPr>
          <w:rFonts w:ascii="Palatino Linotype" w:eastAsia="Palatino Linotype" w:hAnsi="Palatino Linotype" w:cs="Palatino Linotype"/>
          <w:b/>
          <w:lang w:eastAsia="es-MX"/>
        </w:rPr>
        <w:t>Sujeto Obligado</w:t>
      </w:r>
      <w:r w:rsidRPr="00F7527A">
        <w:rPr>
          <w:rFonts w:ascii="Palatino Linotype" w:eastAsia="Palatino Linotype" w:hAnsi="Palatino Linotype" w:cs="Palatino Linotype"/>
          <w:lang w:eastAsia="es-MX"/>
        </w:rPr>
        <w:t xml:space="preserve"> tendrá que </w:t>
      </w:r>
      <w:r w:rsidRPr="00F7527A">
        <w:rPr>
          <w:rFonts w:ascii="Palatino Linotype" w:eastAsia="Palatino Linotype" w:hAnsi="Palatino Linotype" w:cs="Palatino Linotype"/>
          <w:lang w:eastAsia="es-MX"/>
        </w:rPr>
        <w:lastRenderedPageBreak/>
        <w:t>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80EB6DB" w14:textId="77777777" w:rsidR="00701E14" w:rsidRPr="00F7527A" w:rsidRDefault="00701E14" w:rsidP="00701E14">
      <w:pPr>
        <w:spacing w:before="240" w:after="240" w:line="360" w:lineRule="auto"/>
        <w:ind w:right="50"/>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Lo anterior, de conformidad a lo que señalan los artículos 3 fracciones IX, XX, XXI y XLV, 91, 132 fracciones II y III, y 143 fracción I de la Ley de Transparencia y Acceso a la Información Pública del Estado de México y Municipios que establecen:</w:t>
      </w:r>
    </w:p>
    <w:p w14:paraId="7789D515"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w:t>
      </w:r>
      <w:r w:rsidRPr="00F7527A">
        <w:rPr>
          <w:rFonts w:ascii="Palatino Linotype" w:eastAsia="Palatino Linotype" w:hAnsi="Palatino Linotype" w:cs="Palatino Linotype"/>
          <w:b/>
          <w:i/>
          <w:sz w:val="22"/>
          <w:szCs w:val="22"/>
          <w:lang w:eastAsia="es-MX"/>
        </w:rPr>
        <w:t>Artículo 3</w:t>
      </w:r>
      <w:r w:rsidRPr="00F7527A">
        <w:rPr>
          <w:rFonts w:ascii="Palatino Linotype" w:eastAsia="Palatino Linotype" w:hAnsi="Palatino Linotype" w:cs="Palatino Linotype"/>
          <w:i/>
          <w:sz w:val="22"/>
          <w:szCs w:val="22"/>
          <w:lang w:eastAsia="es-MX"/>
        </w:rPr>
        <w:t>. Para los efectos de la presente Ley se entenderá por:</w:t>
      </w:r>
    </w:p>
    <w:p w14:paraId="7DC08B8C"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w:t>
      </w:r>
    </w:p>
    <w:p w14:paraId="5EB6830D"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IX. Datos personales:</w:t>
      </w:r>
      <w:r w:rsidRPr="00F7527A">
        <w:rPr>
          <w:rFonts w:ascii="Palatino Linotype" w:eastAsia="Palatino Linotype" w:hAnsi="Palatino Linotype" w:cs="Palatino Linotype"/>
          <w:i/>
          <w:sz w:val="22"/>
          <w:szCs w:val="22"/>
          <w:lang w:eastAsia="es-MX"/>
        </w:rPr>
        <w:t xml:space="preserve"> La información concerniente a una persona, identificada o identificable según lo dispuesto por la Ley de Protección de Datos Personales del Estado de México; </w:t>
      </w:r>
    </w:p>
    <w:p w14:paraId="1ACE7A0B"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XX. Información clasificada</w:t>
      </w:r>
      <w:r w:rsidRPr="00F7527A">
        <w:rPr>
          <w:rFonts w:ascii="Palatino Linotype" w:eastAsia="Palatino Linotype" w:hAnsi="Palatino Linotype" w:cs="Palatino Linotype"/>
          <w:i/>
          <w:sz w:val="22"/>
          <w:szCs w:val="22"/>
          <w:lang w:eastAsia="es-MX"/>
        </w:rPr>
        <w:t>: Aquella considerada por la presente Ley como reservada o confidencial;</w:t>
      </w:r>
    </w:p>
    <w:p w14:paraId="7E2CB62F"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XXI. Información confidencial:</w:t>
      </w:r>
      <w:r w:rsidRPr="00F7527A">
        <w:rPr>
          <w:rFonts w:ascii="Palatino Linotype" w:eastAsia="Palatino Linotype" w:hAnsi="Palatino Linotype" w:cs="Palatino Linotype"/>
          <w:i/>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562023"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XLV. Versión pública:</w:t>
      </w:r>
      <w:r w:rsidRPr="00F7527A">
        <w:rPr>
          <w:rFonts w:ascii="Palatino Linotype" w:eastAsia="Palatino Linotype" w:hAnsi="Palatino Linotype" w:cs="Palatino Linotype"/>
          <w:i/>
          <w:sz w:val="22"/>
          <w:szCs w:val="22"/>
          <w:lang w:eastAsia="es-MX"/>
        </w:rPr>
        <w:t xml:space="preserve"> Documento en el que se elimine, suprime o borra la información clasificada como reservada o confidencial para permitir su acceso.</w:t>
      </w:r>
    </w:p>
    <w:p w14:paraId="471BAA51"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w:t>
      </w:r>
    </w:p>
    <w:p w14:paraId="0B61C9D5"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 xml:space="preserve">Artículo 91. </w:t>
      </w:r>
      <w:r w:rsidRPr="00F7527A">
        <w:rPr>
          <w:rFonts w:ascii="Palatino Linotype" w:eastAsia="Palatino Linotype" w:hAnsi="Palatino Linotype" w:cs="Palatino Linotype"/>
          <w:i/>
          <w:sz w:val="22"/>
          <w:szCs w:val="22"/>
          <w:lang w:eastAsia="es-MX"/>
        </w:rPr>
        <w:t>El acceso a la información pública será restringido excepcionalmente, cuando ésta sea clasificada como reservada o confidencial.</w:t>
      </w:r>
    </w:p>
    <w:p w14:paraId="4188B324"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 xml:space="preserve">Artículo 132. </w:t>
      </w:r>
      <w:r w:rsidRPr="00F7527A">
        <w:rPr>
          <w:rFonts w:ascii="Palatino Linotype" w:eastAsia="Palatino Linotype" w:hAnsi="Palatino Linotype" w:cs="Palatino Linotype"/>
          <w:i/>
          <w:sz w:val="22"/>
          <w:szCs w:val="22"/>
          <w:lang w:eastAsia="es-MX"/>
        </w:rPr>
        <w:t>La clasificación de la información se llevará a cabo en el momento en que:</w:t>
      </w:r>
    </w:p>
    <w:p w14:paraId="344D3FD9"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I</w:t>
      </w:r>
      <w:r w:rsidRPr="00F7527A">
        <w:rPr>
          <w:rFonts w:ascii="Palatino Linotype" w:eastAsia="Palatino Linotype" w:hAnsi="Palatino Linotype" w:cs="Palatino Linotype"/>
          <w:i/>
          <w:sz w:val="22"/>
          <w:szCs w:val="22"/>
          <w:lang w:eastAsia="es-MX"/>
        </w:rPr>
        <w:t>. Se reciba una solicitud de acceso a la información;</w:t>
      </w:r>
    </w:p>
    <w:p w14:paraId="12974485"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II</w:t>
      </w:r>
      <w:r w:rsidRPr="00F7527A">
        <w:rPr>
          <w:rFonts w:ascii="Palatino Linotype" w:eastAsia="Palatino Linotype" w:hAnsi="Palatino Linotype" w:cs="Palatino Linotype"/>
          <w:i/>
          <w:sz w:val="22"/>
          <w:szCs w:val="22"/>
          <w:lang w:eastAsia="es-MX"/>
        </w:rPr>
        <w:t>. Se determine mediante resolución de autoridad competente; o</w:t>
      </w:r>
    </w:p>
    <w:p w14:paraId="502C703E"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lastRenderedPageBreak/>
        <w:t>III</w:t>
      </w:r>
      <w:r w:rsidRPr="00F7527A">
        <w:rPr>
          <w:rFonts w:ascii="Palatino Linotype" w:eastAsia="Palatino Linotype" w:hAnsi="Palatino Linotype" w:cs="Palatino Linotype"/>
          <w:i/>
          <w:sz w:val="22"/>
          <w:szCs w:val="22"/>
          <w:lang w:eastAsia="es-MX"/>
        </w:rPr>
        <w:t>. Se generen versiones públicas para dar cumplimiento a las obligaciones de transparencia previstas en esta Ley.</w:t>
      </w:r>
    </w:p>
    <w:p w14:paraId="53DAD0C4"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w:t>
      </w:r>
    </w:p>
    <w:p w14:paraId="0C87CBAB"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Artículo 143</w:t>
      </w:r>
      <w:r w:rsidRPr="00F7527A">
        <w:rPr>
          <w:rFonts w:ascii="Palatino Linotype" w:eastAsia="Palatino Linotype" w:hAnsi="Palatino Linotype" w:cs="Palatino Linotype"/>
          <w:i/>
          <w:sz w:val="22"/>
          <w:szCs w:val="22"/>
          <w:lang w:eastAsia="es-MX"/>
        </w:rPr>
        <w:t>. Para los efectos de esta Ley se considera información confidencial, la clasificada como tal, de manera permanente, por su naturaleza, cuando:</w:t>
      </w:r>
    </w:p>
    <w:p w14:paraId="509D1824" w14:textId="77777777" w:rsidR="00701E14" w:rsidRPr="00F7527A" w:rsidRDefault="00701E14" w:rsidP="00701E14">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I.</w:t>
      </w:r>
      <w:r w:rsidRPr="00F7527A">
        <w:rPr>
          <w:rFonts w:ascii="Palatino Linotype" w:eastAsia="Palatino Linotype" w:hAnsi="Palatino Linotype" w:cs="Palatino Linotype"/>
          <w:i/>
          <w:sz w:val="22"/>
          <w:szCs w:val="22"/>
          <w:lang w:eastAsia="es-MX"/>
        </w:rPr>
        <w:t xml:space="preserve"> Se refiera a la información privada y los datos personales concernientes a una persona física o jurídico colectiva identificada o identificable;</w:t>
      </w:r>
    </w:p>
    <w:p w14:paraId="35B3FFAF" w14:textId="77777777" w:rsidR="00701E14" w:rsidRPr="00F7527A" w:rsidRDefault="00701E14" w:rsidP="00D371EA">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II.</w:t>
      </w:r>
      <w:r w:rsidRPr="00F7527A">
        <w:rPr>
          <w:rFonts w:ascii="Palatino Linotype" w:eastAsia="Palatino Linotype" w:hAnsi="Palatino Linotype" w:cs="Palatino Linotype"/>
          <w:i/>
          <w:sz w:val="22"/>
          <w:szCs w:val="22"/>
          <w:lang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564B7E9" w14:textId="77777777" w:rsidR="00701E14" w:rsidRPr="00F7527A" w:rsidRDefault="00701E14" w:rsidP="00D371EA">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b/>
          <w:i/>
          <w:sz w:val="22"/>
          <w:szCs w:val="22"/>
          <w:lang w:eastAsia="es-MX"/>
        </w:rPr>
        <w:t>III</w:t>
      </w:r>
      <w:r w:rsidRPr="00F7527A">
        <w:rPr>
          <w:rFonts w:ascii="Palatino Linotype" w:eastAsia="Palatino Linotype" w:hAnsi="Palatino Linotype" w:cs="Palatino Linotype"/>
          <w:i/>
          <w:sz w:val="22"/>
          <w:szCs w:val="22"/>
          <w:lang w:eastAsia="es-MX"/>
        </w:rPr>
        <w:t>. La que presenten los particulares a los sujetos obligados, de conformidad con lo dispuesto por las leyes o los tratados internacionales.</w:t>
      </w:r>
    </w:p>
    <w:p w14:paraId="13F04F99" w14:textId="77777777" w:rsidR="00701E14" w:rsidRPr="00F7527A" w:rsidRDefault="00701E14" w:rsidP="00D371EA">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La información confidencial no estará sujeta a temporalidad alguna y sólo podrán tener acceso a ella los titulares de la misma, sus representantes y los servidores públicos facultados para ello.</w:t>
      </w:r>
    </w:p>
    <w:p w14:paraId="052A4DEB" w14:textId="77777777" w:rsidR="00701E14" w:rsidRPr="00F7527A" w:rsidRDefault="00701E14" w:rsidP="00D371EA">
      <w:pPr>
        <w:spacing w:before="120" w:after="120"/>
        <w:ind w:left="567" w:right="902"/>
        <w:jc w:val="both"/>
        <w:rPr>
          <w:rFonts w:ascii="Palatino Linotype" w:eastAsia="Palatino Linotype" w:hAnsi="Palatino Linotype" w:cs="Palatino Linotype"/>
          <w:i/>
          <w:sz w:val="22"/>
          <w:szCs w:val="22"/>
          <w:lang w:eastAsia="es-MX"/>
        </w:rPr>
      </w:pPr>
      <w:r w:rsidRPr="00F7527A">
        <w:rPr>
          <w:rFonts w:ascii="Palatino Linotype" w:eastAsia="Palatino Linotype" w:hAnsi="Palatino Linotype" w:cs="Palatino Linotype"/>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42FBDFBA" w14:textId="77777777" w:rsidR="00701E14" w:rsidRPr="00F7527A" w:rsidRDefault="00701E14" w:rsidP="00701E14">
      <w:pPr>
        <w:spacing w:before="240"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3C2B49E" w14:textId="77777777" w:rsidR="00D371EA" w:rsidRPr="00F7527A" w:rsidRDefault="00701E14" w:rsidP="00D371EA">
      <w:pPr>
        <w:spacing w:line="360" w:lineRule="auto"/>
        <w:jc w:val="both"/>
        <w:rPr>
          <w:rFonts w:ascii="Palatino Linotype" w:eastAsia="Palatino Linotype" w:hAnsi="Palatino Linotype" w:cs="Palatino Linotype"/>
          <w:lang w:val="es-MX" w:eastAsia="es-MX"/>
        </w:rPr>
      </w:pPr>
      <w:r w:rsidRPr="00F7527A">
        <w:rPr>
          <w:rFonts w:ascii="Palatino Linotype" w:eastAsia="Palatino Linotype" w:hAnsi="Palatino Linotype" w:cs="Palatino Linotype"/>
          <w:lang w:eastAsia="es-MX"/>
        </w:rPr>
        <w:t>Entorno a lo que aquí nos interesa,</w:t>
      </w:r>
      <w:r w:rsidR="00D371EA" w:rsidRPr="00F7527A">
        <w:rPr>
          <w:rFonts w:ascii="Palatino Linotype" w:eastAsia="Palatino Linotype" w:hAnsi="Palatino Linotype" w:cs="Palatino Linotype"/>
          <w:color w:val="000000"/>
          <w:lang w:val="es-MX" w:eastAsia="es-MX"/>
        </w:rPr>
        <w:t xml:space="preserve"> los Lineamientos Quincuagésimo, Quincuagésimo primero, Quincuagésimo segundo, Quincuagésimo tercero, </w:t>
      </w:r>
      <w:r w:rsidR="00D371EA" w:rsidRPr="00F7527A">
        <w:rPr>
          <w:rFonts w:ascii="Palatino Linotype" w:eastAsia="Palatino Linotype" w:hAnsi="Palatino Linotype" w:cs="Palatino Linotype"/>
          <w:color w:val="000000"/>
          <w:lang w:val="es-MX" w:eastAsia="es-MX"/>
        </w:rPr>
        <w:lastRenderedPageBreak/>
        <w:t>Quincuagésimo cuarto y Quincuagésimo quinto</w:t>
      </w:r>
      <w:r w:rsidRPr="00F7527A">
        <w:rPr>
          <w:rFonts w:ascii="Palatino Linotype" w:eastAsia="Palatino Linotype" w:hAnsi="Palatino Linotype" w:cs="Palatino Linotype"/>
          <w:lang w:eastAsia="es-MX"/>
        </w:rPr>
        <w:t xml:space="preserve"> </w:t>
      </w:r>
      <w:r w:rsidR="00D371EA" w:rsidRPr="00F7527A">
        <w:rPr>
          <w:rFonts w:ascii="Palatino Linotype" w:eastAsia="Palatino Linotype" w:hAnsi="Palatino Linotype" w:cs="Palatino Linotype"/>
          <w:lang w:val="es-MX" w:eastAsia="es-MX"/>
        </w:rPr>
        <w:t xml:space="preserve">señalan las formalidades que deberá llevar el acuerdo de clasificación que deberá emitir el </w:t>
      </w:r>
      <w:r w:rsidR="00D371EA" w:rsidRPr="00F7527A">
        <w:rPr>
          <w:rFonts w:ascii="Palatino Linotype" w:eastAsia="Palatino Linotype" w:hAnsi="Palatino Linotype" w:cs="Palatino Linotype"/>
          <w:b/>
          <w:lang w:val="es-MX" w:eastAsia="es-MX"/>
        </w:rPr>
        <w:t>Sujeto Obligado</w:t>
      </w:r>
      <w:r w:rsidR="00D371EA" w:rsidRPr="00F7527A">
        <w:rPr>
          <w:rFonts w:ascii="Palatino Linotype" w:eastAsia="Palatino Linotype" w:hAnsi="Palatino Linotype" w:cs="Palatino Linotype"/>
          <w:lang w:val="es-MX" w:eastAsia="es-MX"/>
        </w:rPr>
        <w:t>, siendo estas las siguientes:</w:t>
      </w:r>
    </w:p>
    <w:p w14:paraId="6F97E744" w14:textId="77777777" w:rsidR="00D371EA" w:rsidRPr="00F7527A" w:rsidRDefault="00D371EA" w:rsidP="00D371EA">
      <w:pPr>
        <w:spacing w:line="360" w:lineRule="auto"/>
        <w:jc w:val="both"/>
        <w:rPr>
          <w:rFonts w:ascii="Palatino Linotype" w:eastAsia="Palatino Linotype" w:hAnsi="Palatino Linotype" w:cs="Palatino Linotype"/>
          <w:lang w:val="es-MX" w:eastAsia="es-MX"/>
        </w:rPr>
      </w:pPr>
    </w:p>
    <w:p w14:paraId="318FFBB0" w14:textId="77777777" w:rsidR="00D371EA" w:rsidRPr="00F7527A" w:rsidRDefault="00D371EA" w:rsidP="00D371EA">
      <w:pPr>
        <w:spacing w:line="276" w:lineRule="auto"/>
        <w:ind w:left="567"/>
        <w:jc w:val="both"/>
        <w:rPr>
          <w:rFonts w:ascii="Palatino Linotype" w:eastAsia="Palatino Linotype" w:hAnsi="Palatino Linotype" w:cs="Palatino Linotype"/>
          <w:i/>
          <w:sz w:val="22"/>
          <w:szCs w:val="22"/>
          <w:lang w:val="es-MX" w:eastAsia="es-MX"/>
        </w:rPr>
      </w:pPr>
      <w:r w:rsidRPr="00F7527A">
        <w:rPr>
          <w:rFonts w:ascii="Palatino Linotype" w:eastAsia="Palatino Linotype" w:hAnsi="Palatino Linotype" w:cs="Palatino Linotype"/>
          <w:i/>
          <w:sz w:val="22"/>
          <w:szCs w:val="22"/>
          <w:lang w:val="es-MX" w:eastAsia="es-MX"/>
        </w:rPr>
        <w:t xml:space="preserve">“CAPÍTULO VIII </w:t>
      </w:r>
    </w:p>
    <w:p w14:paraId="7BB75CA3" w14:textId="77777777" w:rsidR="00D371EA" w:rsidRPr="00F7527A" w:rsidRDefault="00D371EA" w:rsidP="00D371EA">
      <w:pPr>
        <w:spacing w:line="276" w:lineRule="auto"/>
        <w:ind w:left="567"/>
        <w:jc w:val="both"/>
        <w:rPr>
          <w:rFonts w:ascii="Palatino Linotype" w:eastAsia="Palatino Linotype" w:hAnsi="Palatino Linotype" w:cs="Palatino Linotype"/>
          <w:i/>
          <w:sz w:val="22"/>
          <w:szCs w:val="22"/>
          <w:lang w:val="es-MX" w:eastAsia="es-MX"/>
        </w:rPr>
      </w:pPr>
      <w:r w:rsidRPr="00F7527A">
        <w:rPr>
          <w:rFonts w:ascii="Palatino Linotype" w:eastAsia="Palatino Linotype" w:hAnsi="Palatino Linotype" w:cs="Palatino Linotype"/>
          <w:i/>
          <w:sz w:val="22"/>
          <w:szCs w:val="22"/>
          <w:lang w:val="es-MX" w:eastAsia="es-MX"/>
        </w:rPr>
        <w:t xml:space="preserve">DE LOS ELEMENTOS PARA LA CLASIFICACIÓN </w:t>
      </w:r>
    </w:p>
    <w:p w14:paraId="4469C0EA" w14:textId="77777777" w:rsidR="00D371EA" w:rsidRPr="00F7527A" w:rsidRDefault="00D371EA" w:rsidP="00D371EA">
      <w:pPr>
        <w:spacing w:line="276" w:lineRule="auto"/>
        <w:ind w:left="567" w:right="900"/>
        <w:jc w:val="both"/>
        <w:rPr>
          <w:rFonts w:ascii="Palatino Linotype" w:eastAsia="Palatino Linotype" w:hAnsi="Palatino Linotype" w:cs="Palatino Linotype"/>
          <w:i/>
          <w:sz w:val="22"/>
          <w:szCs w:val="22"/>
          <w:lang w:val="es-MX" w:eastAsia="es-MX"/>
        </w:rPr>
      </w:pPr>
      <w:r w:rsidRPr="00F7527A">
        <w:rPr>
          <w:rFonts w:ascii="Palatino Linotype" w:eastAsia="Palatino Linotype" w:hAnsi="Palatino Linotype" w:cs="Palatino Linotype"/>
          <w:b/>
          <w:i/>
          <w:sz w:val="22"/>
          <w:szCs w:val="22"/>
          <w:lang w:val="es-MX" w:eastAsia="es-MX"/>
        </w:rPr>
        <w:t>Quincuagésimo.</w:t>
      </w:r>
      <w:r w:rsidRPr="00F7527A">
        <w:rPr>
          <w:rFonts w:ascii="Palatino Linotype" w:eastAsia="Palatino Linotype" w:hAnsi="Palatino Linotype" w:cs="Palatino Linotype"/>
          <w:i/>
          <w:sz w:val="22"/>
          <w:szCs w:val="22"/>
          <w:lang w:val="es-MX" w:eastAsia="es-MX"/>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81AB9D6" w14:textId="77777777" w:rsidR="00D371EA" w:rsidRPr="00F7527A" w:rsidRDefault="00D371EA" w:rsidP="00D371EA">
      <w:pPr>
        <w:spacing w:line="276" w:lineRule="auto"/>
        <w:ind w:left="567" w:right="900"/>
        <w:jc w:val="both"/>
        <w:rPr>
          <w:rFonts w:ascii="Palatino Linotype" w:eastAsia="Palatino Linotype" w:hAnsi="Palatino Linotype" w:cs="Palatino Linotype"/>
          <w:i/>
          <w:sz w:val="22"/>
          <w:szCs w:val="22"/>
          <w:lang w:val="es-MX" w:eastAsia="es-MX"/>
        </w:rPr>
      </w:pPr>
      <w:r w:rsidRPr="00F7527A">
        <w:rPr>
          <w:rFonts w:ascii="Palatino Linotype" w:eastAsia="Palatino Linotype" w:hAnsi="Palatino Linotype" w:cs="Palatino Linotype"/>
          <w:b/>
          <w:i/>
          <w:sz w:val="22"/>
          <w:szCs w:val="22"/>
          <w:lang w:val="es-MX" w:eastAsia="es-MX"/>
        </w:rPr>
        <w:t>Quincuagésimo primero.</w:t>
      </w:r>
      <w:r w:rsidRPr="00F7527A">
        <w:rPr>
          <w:rFonts w:ascii="Palatino Linotype" w:eastAsia="Palatino Linotype" w:hAnsi="Palatino Linotype" w:cs="Palatino Linotype"/>
          <w:i/>
          <w:sz w:val="22"/>
          <w:szCs w:val="22"/>
          <w:lang w:val="es-MX" w:eastAsia="es-MX"/>
        </w:rPr>
        <w:t xml:space="preserve"> Toda acta del Comité de Transparencia deberá contener: </w:t>
      </w:r>
    </w:p>
    <w:p w14:paraId="2457FEA4" w14:textId="77777777" w:rsidR="00D371EA" w:rsidRPr="00F7527A" w:rsidRDefault="00D371EA" w:rsidP="00D371EA">
      <w:pPr>
        <w:numPr>
          <w:ilvl w:val="1"/>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El número de sesión y fecha; </w:t>
      </w:r>
    </w:p>
    <w:p w14:paraId="5ED0A062" w14:textId="77777777" w:rsidR="00D371EA" w:rsidRPr="00F7527A" w:rsidRDefault="00D371EA" w:rsidP="00D371E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El nombre del área que solicitó la clasificación de información; </w:t>
      </w:r>
    </w:p>
    <w:p w14:paraId="04A5C265" w14:textId="77777777" w:rsidR="00D371EA" w:rsidRPr="00F7527A" w:rsidRDefault="00D371EA" w:rsidP="00D371E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La fundamentación legal y motivación correspondiente; </w:t>
      </w:r>
    </w:p>
    <w:p w14:paraId="661F5AA8" w14:textId="77777777" w:rsidR="00D371EA" w:rsidRPr="00F7527A" w:rsidRDefault="00D371EA" w:rsidP="00D371E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La resolución o resoluciones aprobadas; y </w:t>
      </w:r>
    </w:p>
    <w:p w14:paraId="5BE5C130" w14:textId="77777777" w:rsidR="00D371EA" w:rsidRPr="00F7527A" w:rsidRDefault="00D371EA" w:rsidP="00D371E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La rúbrica o firma digital de cada integrante del Comité de Transparencia. </w:t>
      </w:r>
    </w:p>
    <w:p w14:paraId="18312655"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Las resoluciones del Comité en las que se haya determinado confirmar o modificar la clasificación de información pública como reservada, deberán incluir, cuando menos: </w:t>
      </w:r>
    </w:p>
    <w:p w14:paraId="309840D4"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I. Los motivos y razonamientos que sustenten la confirmación o modificación de la prueba de daño;</w:t>
      </w:r>
    </w:p>
    <w:p w14:paraId="5BFBD676"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II. Descripción de las partes o secciones reservadas, en caso de clasificación parcial; </w:t>
      </w:r>
    </w:p>
    <w:p w14:paraId="675F57B6"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III. El periodo por el que mantendrá su clasificación y fecha de expiración; y </w:t>
      </w:r>
    </w:p>
    <w:p w14:paraId="4FB4E211"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IV. El nombre del titular y área encargada de realizar la versión pública del documento, en su caso. </w:t>
      </w:r>
    </w:p>
    <w:p w14:paraId="6951972A"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 xml:space="preserve">En los casos en que se clasifique la información como reservada siempre se entregará o anexará la prueba de daño con la respuesta al solicitante. </w:t>
      </w:r>
    </w:p>
    <w:p w14:paraId="7A212329"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lang w:val="es-MX" w:eastAsia="es-MX"/>
        </w:rPr>
      </w:pPr>
      <w:r w:rsidRPr="00F7527A">
        <w:rPr>
          <w:rFonts w:ascii="Palatino Linotype" w:eastAsia="Palatino Linotype" w:hAnsi="Palatino Linotype" w:cs="Palatino Linotype"/>
          <w:b/>
          <w:i/>
          <w:color w:val="000000"/>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644ED43A"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b/>
          <w:i/>
          <w:color w:val="000000"/>
          <w:sz w:val="22"/>
          <w:szCs w:val="22"/>
          <w:lang w:val="es-MX" w:eastAsia="es-MX"/>
        </w:rPr>
        <w:lastRenderedPageBreak/>
        <w:t xml:space="preserve">Quincuagésimo segundo. </w:t>
      </w:r>
      <w:r w:rsidRPr="00F7527A">
        <w:rPr>
          <w:rFonts w:ascii="Palatino Linotype" w:eastAsia="Palatino Linotype" w:hAnsi="Palatino Linotype" w:cs="Palatino Linotype"/>
          <w:i/>
          <w:color w:val="000000"/>
          <w:sz w:val="22"/>
          <w:szCs w:val="22"/>
          <w:lang w:val="es-MX" w:eastAsia="es-MX"/>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F30AA7C"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En el caso específico de la clasificación y elaboración de versiones públicas de documentos que contengan información confidencial, las áreas de los sujetos obligados deberán:</w:t>
      </w:r>
    </w:p>
    <w:p w14:paraId="490922B9"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I. Fijar la fecha en que se elaboró la versión pública y la fecha en la cual el Comité de</w:t>
      </w:r>
    </w:p>
    <w:p w14:paraId="7E85FE93"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Transparencia confirmó dicha versión;</w:t>
      </w:r>
    </w:p>
    <w:p w14:paraId="758458C4"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II. Señalar dentro del documento el tipo de información confidencial que fue testada en cada caso específico, de conformidad con el lineamiento trigésimo octavo; y</w:t>
      </w:r>
    </w:p>
    <w:p w14:paraId="714E51B5"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III. Señalar las personas o instancias autorizadas a acceder a la información clasificada.</w:t>
      </w:r>
    </w:p>
    <w:p w14:paraId="64A18C5B"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i/>
          <w:color w:val="000000"/>
          <w:sz w:val="22"/>
          <w:szCs w:val="22"/>
          <w:lang w:val="es-MX" w:eastAsia="es-MX"/>
        </w:rPr>
        <w:t>En los documentos de difusión electrónica, señalar en la primera hoja y en el nombre del archivo, que la versión pública corresponde a un documento que contiene información confidencial.</w:t>
      </w:r>
      <w:r w:rsidRPr="00F7527A">
        <w:rPr>
          <w:noProof/>
          <w:lang w:val="es-MX" w:eastAsia="es-MX"/>
        </w:rPr>
        <w:drawing>
          <wp:anchor distT="0" distB="0" distL="114300" distR="114300" simplePos="0" relativeHeight="251669504" behindDoc="0" locked="0" layoutInCell="1" hidden="0" allowOverlap="1" wp14:anchorId="071D1E2C" wp14:editId="031B40F9">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568190" cy="330200"/>
                    </a:xfrm>
                    <a:prstGeom prst="rect">
                      <a:avLst/>
                    </a:prstGeom>
                    <a:ln/>
                  </pic:spPr>
                </pic:pic>
              </a:graphicData>
            </a:graphic>
          </wp:anchor>
        </w:drawing>
      </w:r>
    </w:p>
    <w:p w14:paraId="249265CA"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lang w:val="es-MX" w:eastAsia="es-MX"/>
        </w:rPr>
      </w:pPr>
      <w:r w:rsidRPr="00F7527A">
        <w:rPr>
          <w:rFonts w:ascii="Palatino Linotype" w:eastAsia="Palatino Linotype" w:hAnsi="Palatino Linotype" w:cs="Palatino Linotype"/>
          <w:b/>
          <w:i/>
          <w:noProof/>
          <w:color w:val="000000"/>
          <w:sz w:val="22"/>
          <w:szCs w:val="22"/>
          <w:lang w:val="es-MX" w:eastAsia="es-MX"/>
        </w:rPr>
        <w:lastRenderedPageBreak/>
        <w:drawing>
          <wp:inline distT="0" distB="0" distL="0" distR="0" wp14:anchorId="479852C5" wp14:editId="39AC1FE5">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576404" cy="5139653"/>
                    </a:xfrm>
                    <a:prstGeom prst="rect">
                      <a:avLst/>
                    </a:prstGeom>
                    <a:ln/>
                  </pic:spPr>
                </pic:pic>
              </a:graphicData>
            </a:graphic>
          </wp:inline>
        </w:drawing>
      </w:r>
    </w:p>
    <w:p w14:paraId="1F57AAFC"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lang w:val="es-MX" w:eastAsia="es-MX"/>
        </w:rPr>
      </w:pPr>
    </w:p>
    <w:p w14:paraId="01474CA8"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b/>
          <w:i/>
          <w:color w:val="000000"/>
          <w:sz w:val="22"/>
          <w:szCs w:val="22"/>
          <w:lang w:val="es-MX" w:eastAsia="es-MX"/>
        </w:rPr>
        <w:t xml:space="preserve">Quincuagésimo cuarto. </w:t>
      </w:r>
      <w:r w:rsidRPr="00F7527A">
        <w:rPr>
          <w:rFonts w:ascii="Palatino Linotype" w:eastAsia="Palatino Linotype" w:hAnsi="Palatino Linotype" w:cs="Palatino Linotype"/>
          <w:i/>
          <w:color w:val="000000"/>
          <w:sz w:val="22"/>
          <w:szCs w:val="22"/>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7548AF8"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lang w:val="es-MX" w:eastAsia="es-MX"/>
        </w:rPr>
      </w:pPr>
    </w:p>
    <w:p w14:paraId="71641FF0" w14:textId="77777777" w:rsidR="00D371EA" w:rsidRPr="00F7527A" w:rsidRDefault="00D371EA" w:rsidP="00D371E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lang w:val="es-MX" w:eastAsia="es-MX"/>
        </w:rPr>
      </w:pPr>
      <w:r w:rsidRPr="00F7527A">
        <w:rPr>
          <w:rFonts w:ascii="Palatino Linotype" w:eastAsia="Palatino Linotype" w:hAnsi="Palatino Linotype" w:cs="Palatino Linotype"/>
          <w:b/>
          <w:i/>
          <w:color w:val="000000"/>
          <w:sz w:val="22"/>
          <w:szCs w:val="22"/>
          <w:lang w:val="es-MX" w:eastAsia="es-MX"/>
        </w:rPr>
        <w:t xml:space="preserve">Quincuagésimo quinto. </w:t>
      </w:r>
      <w:r w:rsidRPr="00F7527A">
        <w:rPr>
          <w:rFonts w:ascii="Palatino Linotype" w:eastAsia="Palatino Linotype" w:hAnsi="Palatino Linotype" w:cs="Palatino Linotype"/>
          <w:i/>
          <w:color w:val="000000"/>
          <w:sz w:val="22"/>
          <w:szCs w:val="22"/>
          <w:lang w:val="es-MX" w:eastAsia="es-MX"/>
        </w:rPr>
        <w:t xml:space="preserve">Cada área del sujeto obligado podrá designar formalmente a una o más personas como responsables del </w:t>
      </w:r>
      <w:proofErr w:type="spellStart"/>
      <w:r w:rsidRPr="00F7527A">
        <w:rPr>
          <w:rFonts w:ascii="Palatino Linotype" w:eastAsia="Palatino Linotype" w:hAnsi="Palatino Linotype" w:cs="Palatino Linotype"/>
          <w:i/>
          <w:color w:val="000000"/>
          <w:sz w:val="22"/>
          <w:szCs w:val="22"/>
          <w:lang w:val="es-MX" w:eastAsia="es-MX"/>
        </w:rPr>
        <w:t>testado</w:t>
      </w:r>
      <w:proofErr w:type="spellEnd"/>
      <w:r w:rsidRPr="00F7527A">
        <w:rPr>
          <w:rFonts w:ascii="Palatino Linotype" w:eastAsia="Palatino Linotype" w:hAnsi="Palatino Linotype" w:cs="Palatino Linotype"/>
          <w:i/>
          <w:color w:val="000000"/>
          <w:sz w:val="22"/>
          <w:szCs w:val="22"/>
          <w:lang w:val="es-MX" w:eastAsia="es-MX"/>
        </w:rPr>
        <w:t xml:space="preserve">, que sean encargadas de la adecuada elaboración o supervisión de las versiones públicas de los documentos o expedientes, verificando que cumplan con los requisitos </w:t>
      </w:r>
      <w:r w:rsidRPr="00F7527A">
        <w:rPr>
          <w:rFonts w:ascii="Palatino Linotype" w:eastAsia="Palatino Linotype" w:hAnsi="Palatino Linotype" w:cs="Palatino Linotype"/>
          <w:i/>
          <w:color w:val="000000"/>
          <w:sz w:val="22"/>
          <w:szCs w:val="22"/>
          <w:lang w:val="es-MX" w:eastAsia="es-MX"/>
        </w:rPr>
        <w:lastRenderedPageBreak/>
        <w:t xml:space="preserve">señalados en las Leyes Generales, los presentes Lineamientos y demás normativa aplicable antes de su confirmación por el Comité de Transparencia.” (Sic) (Énfasis añadido) </w:t>
      </w:r>
    </w:p>
    <w:p w14:paraId="292A2958" w14:textId="77777777" w:rsidR="00701E14" w:rsidRPr="00F7527A" w:rsidRDefault="00701E14" w:rsidP="00D371EA">
      <w:pPr>
        <w:spacing w:before="240" w:after="240" w:line="360" w:lineRule="auto"/>
        <w:jc w:val="both"/>
        <w:rPr>
          <w:rFonts w:ascii="Palatino Linotype" w:eastAsia="Palatino Linotype" w:hAnsi="Palatino Linotype" w:cs="Palatino Linotype"/>
          <w:lang w:eastAsia="es-MX"/>
        </w:rPr>
      </w:pPr>
      <w:r w:rsidRPr="00F7527A">
        <w:rPr>
          <w:rFonts w:ascii="Palatino Linotype" w:eastAsia="Palatino Linotype" w:hAnsi="Palatino Linotype" w:cs="Palatino Linotype"/>
          <w:lang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7527A">
        <w:rPr>
          <w:rFonts w:ascii="Palatino Linotype" w:eastAsia="Palatino Linotype" w:hAnsi="Palatino Linotype" w:cs="Palatino Linotype"/>
          <w:b/>
          <w:lang w:eastAsia="es-MX"/>
        </w:rPr>
        <w:t>Sujeto Obligado</w:t>
      </w:r>
      <w:r w:rsidRPr="00F7527A">
        <w:rPr>
          <w:rFonts w:ascii="Palatino Linotype" w:eastAsia="Palatino Linotype" w:hAnsi="Palatino Linotype" w:cs="Palatino Linotype"/>
          <w:lang w:eastAsia="es-MX"/>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180ED75" w14:textId="77777777" w:rsidR="004821AF" w:rsidRPr="00F7527A" w:rsidRDefault="004C0AF5">
      <w:pPr>
        <w:spacing w:before="240" w:after="240" w:line="360" w:lineRule="auto"/>
        <w:ind w:right="49"/>
        <w:jc w:val="both"/>
        <w:rPr>
          <w:rFonts w:ascii="Palatino Linotype" w:eastAsia="Palatino Linotype" w:hAnsi="Palatino Linotype" w:cs="Palatino Linotype"/>
        </w:rPr>
      </w:pPr>
      <w:r w:rsidRPr="00F7527A">
        <w:rPr>
          <w:rFonts w:ascii="Palatino Linotype" w:eastAsia="Palatino Linotype" w:hAnsi="Palatino Linotype" w:cs="Palatino Linotype"/>
        </w:rPr>
        <w:t>Por lo expuesto, con fundamento en el artículo 186 fracción III de la Ley de Transparencia y Acceso a la Información Pública del Estado de México y Municipios, este Organismo Garante considera procedente</w:t>
      </w:r>
      <w:r w:rsidRPr="00F7527A">
        <w:rPr>
          <w:rFonts w:ascii="Palatino Linotype" w:eastAsia="Palatino Linotype" w:hAnsi="Palatino Linotype" w:cs="Palatino Linotype"/>
          <w:b/>
        </w:rPr>
        <w:t xml:space="preserve"> ordenar </w:t>
      </w:r>
      <w:r w:rsidRPr="00F7527A">
        <w:rPr>
          <w:rFonts w:ascii="Palatino Linotype" w:eastAsia="Palatino Linotype" w:hAnsi="Palatino Linotype" w:cs="Palatino Linotype"/>
        </w:rPr>
        <w:t>la entrega de la información, en versión pública.</w:t>
      </w:r>
    </w:p>
    <w:p w14:paraId="5A228F33" w14:textId="77777777" w:rsidR="004821AF" w:rsidRPr="00F7527A" w:rsidRDefault="004C0AF5">
      <w:pPr>
        <w:shd w:val="clear" w:color="auto" w:fill="FFFFFF"/>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fracciones IV y V; 2, fracción II; 29, 36 fracciones I y II; 176, 178, 179, fracción I, 181, 185 de la Ley de Transparencia y Acceso a la Información Pública del Estado de México y Municipios, este Pleno:</w:t>
      </w:r>
    </w:p>
    <w:p w14:paraId="7ADC6E5E" w14:textId="77777777" w:rsidR="004821AF" w:rsidRPr="00F7527A" w:rsidRDefault="004C0AF5">
      <w:pPr>
        <w:spacing w:before="240" w:after="240" w:line="360" w:lineRule="auto"/>
        <w:jc w:val="center"/>
        <w:rPr>
          <w:rFonts w:ascii="Palatino Linotype" w:eastAsia="Palatino Linotype" w:hAnsi="Palatino Linotype" w:cs="Palatino Linotype"/>
          <w:b/>
        </w:rPr>
      </w:pPr>
      <w:r w:rsidRPr="00F7527A">
        <w:rPr>
          <w:rFonts w:ascii="Palatino Linotype" w:eastAsia="Palatino Linotype" w:hAnsi="Palatino Linotype" w:cs="Palatino Linotype"/>
          <w:b/>
        </w:rPr>
        <w:t>R E S U E L V E</w:t>
      </w:r>
    </w:p>
    <w:p w14:paraId="7582F9FE"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lastRenderedPageBreak/>
        <w:t>Primero</w:t>
      </w:r>
      <w:r w:rsidRPr="00F7527A">
        <w:rPr>
          <w:rFonts w:ascii="Palatino Linotype" w:eastAsia="Palatino Linotype" w:hAnsi="Palatino Linotype" w:cs="Palatino Linotype"/>
        </w:rPr>
        <w:t xml:space="preserve">. Resultan </w:t>
      </w:r>
      <w:r w:rsidRPr="00F7527A">
        <w:rPr>
          <w:rFonts w:ascii="Palatino Linotype" w:eastAsia="Palatino Linotype" w:hAnsi="Palatino Linotype" w:cs="Palatino Linotype"/>
          <w:b/>
        </w:rPr>
        <w:t xml:space="preserve">fundados </w:t>
      </w:r>
      <w:r w:rsidRPr="00F7527A">
        <w:rPr>
          <w:rFonts w:ascii="Palatino Linotype" w:eastAsia="Palatino Linotype" w:hAnsi="Palatino Linotype" w:cs="Palatino Linotype"/>
        </w:rPr>
        <w:t xml:space="preserve">los motivos de inconformidad hechos valer por </w:t>
      </w:r>
      <w:r w:rsidRPr="00F7527A">
        <w:rPr>
          <w:rFonts w:ascii="Palatino Linotype" w:eastAsia="Palatino Linotype" w:hAnsi="Palatino Linotype" w:cs="Palatino Linotype"/>
          <w:b/>
        </w:rPr>
        <w:t>el Recurrente</w:t>
      </w:r>
      <w:r w:rsidRPr="00F7527A">
        <w:rPr>
          <w:rFonts w:ascii="Palatino Linotype" w:eastAsia="Palatino Linotype" w:hAnsi="Palatino Linotype" w:cs="Palatino Linotype"/>
        </w:rPr>
        <w:t xml:space="preserve"> en el Recurso de Revisión </w:t>
      </w:r>
      <w:r w:rsidR="00701E14" w:rsidRPr="00F7527A">
        <w:rPr>
          <w:rFonts w:ascii="Palatino Linotype" w:eastAsia="Palatino Linotype" w:hAnsi="Palatino Linotype" w:cs="Palatino Linotype"/>
          <w:b/>
        </w:rPr>
        <w:t>14909</w:t>
      </w:r>
      <w:r w:rsidRPr="00F7527A">
        <w:rPr>
          <w:rFonts w:ascii="Palatino Linotype" w:eastAsia="Palatino Linotype" w:hAnsi="Palatino Linotype" w:cs="Palatino Linotype"/>
          <w:b/>
        </w:rPr>
        <w:t>/INFOEM/IP/RR/2022</w:t>
      </w:r>
      <w:r w:rsidRPr="00F7527A">
        <w:rPr>
          <w:rFonts w:ascii="Palatino Linotype" w:eastAsia="Palatino Linotype" w:hAnsi="Palatino Linotype" w:cs="Palatino Linotype"/>
        </w:rPr>
        <w:t xml:space="preserve">, en términos del </w:t>
      </w:r>
      <w:r w:rsidRPr="00F7527A">
        <w:rPr>
          <w:rFonts w:ascii="Palatino Linotype" w:eastAsia="Palatino Linotype" w:hAnsi="Palatino Linotype" w:cs="Palatino Linotype"/>
          <w:b/>
        </w:rPr>
        <w:t>Considerando</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b/>
        </w:rPr>
        <w:t>Cuarto</w:t>
      </w:r>
      <w:r w:rsidRPr="00F7527A">
        <w:rPr>
          <w:rFonts w:ascii="Palatino Linotype" w:eastAsia="Palatino Linotype" w:hAnsi="Palatino Linotype" w:cs="Palatino Linotype"/>
        </w:rPr>
        <w:t>.</w:t>
      </w:r>
    </w:p>
    <w:p w14:paraId="3CBD6A34" w14:textId="77777777" w:rsidR="004821AF" w:rsidRPr="00F7527A" w:rsidRDefault="004C0AF5">
      <w:pPr>
        <w:spacing w:before="240" w:after="240"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Segundo</w:t>
      </w:r>
      <w:r w:rsidRPr="00F7527A">
        <w:rPr>
          <w:rFonts w:ascii="Palatino Linotype" w:eastAsia="Palatino Linotype" w:hAnsi="Palatino Linotype" w:cs="Palatino Linotype"/>
          <w:b/>
          <w:sz w:val="28"/>
          <w:szCs w:val="28"/>
        </w:rPr>
        <w:t>.</w:t>
      </w:r>
      <w:r w:rsidRPr="00F7527A">
        <w:rPr>
          <w:rFonts w:ascii="Palatino Linotype" w:eastAsia="Palatino Linotype" w:hAnsi="Palatino Linotype" w:cs="Palatino Linotype"/>
          <w:sz w:val="28"/>
          <w:szCs w:val="28"/>
        </w:rPr>
        <w:t xml:space="preserve"> </w:t>
      </w:r>
      <w:r w:rsidRPr="00F7527A">
        <w:rPr>
          <w:rFonts w:ascii="Palatino Linotype" w:eastAsia="Palatino Linotype" w:hAnsi="Palatino Linotype" w:cs="Palatino Linotype"/>
        </w:rPr>
        <w:t>Se</w:t>
      </w:r>
      <w:r w:rsidRPr="00F7527A">
        <w:rPr>
          <w:rFonts w:ascii="Palatino Linotype" w:eastAsia="Palatino Linotype" w:hAnsi="Palatino Linotype" w:cs="Palatino Linotype"/>
          <w:b/>
        </w:rPr>
        <w:t xml:space="preserve"> ORDENA </w:t>
      </w:r>
      <w:r w:rsidRPr="00F7527A">
        <w:rPr>
          <w:rFonts w:ascii="Palatino Linotype" w:eastAsia="Palatino Linotype" w:hAnsi="Palatino Linotype" w:cs="Palatino Linotype"/>
        </w:rPr>
        <w:t>al</w:t>
      </w:r>
      <w:r w:rsidRPr="00F7527A">
        <w:rPr>
          <w:rFonts w:ascii="Palatino Linotype" w:eastAsia="Palatino Linotype" w:hAnsi="Palatino Linotype" w:cs="Palatino Linotype"/>
          <w:b/>
        </w:rPr>
        <w:t xml:space="preserve"> Sujeto Obligado</w:t>
      </w:r>
      <w:r w:rsidRPr="00F7527A">
        <w:rPr>
          <w:rFonts w:ascii="Palatino Linotype" w:eastAsia="Palatino Linotype" w:hAnsi="Palatino Linotype" w:cs="Palatino Linotype"/>
        </w:rPr>
        <w:t>, atienda la solicitud de información número</w:t>
      </w:r>
      <w:r w:rsidRPr="00F7527A">
        <w:t xml:space="preserve"> </w:t>
      </w:r>
      <w:r w:rsidR="00701E14" w:rsidRPr="00F7527A">
        <w:rPr>
          <w:rFonts w:ascii="Palatino Linotype" w:eastAsia="Palatino Linotype" w:hAnsi="Palatino Linotype" w:cs="Palatino Linotype"/>
          <w:b/>
          <w:color w:val="000000"/>
        </w:rPr>
        <w:t>00339/IXTAPALU/IP/2022</w:t>
      </w:r>
      <w:r w:rsidRPr="00F7527A">
        <w:rPr>
          <w:rFonts w:ascii="Palatino Linotype" w:eastAsia="Palatino Linotype" w:hAnsi="Palatino Linotype" w:cs="Palatino Linotype"/>
        </w:rPr>
        <w:t xml:space="preserve">, en términos de los Considerandos </w:t>
      </w:r>
      <w:r w:rsidRPr="00F7527A">
        <w:rPr>
          <w:rFonts w:ascii="Palatino Linotype" w:eastAsia="Palatino Linotype" w:hAnsi="Palatino Linotype" w:cs="Palatino Linotype"/>
          <w:b/>
        </w:rPr>
        <w:t>Cuarto y Quinto</w:t>
      </w:r>
      <w:r w:rsidRPr="00F7527A">
        <w:rPr>
          <w:rFonts w:ascii="Palatino Linotype" w:eastAsia="Palatino Linotype" w:hAnsi="Palatino Linotype" w:cs="Palatino Linotype"/>
        </w:rPr>
        <w:t xml:space="preserve"> de esta resolución, y haga entrega vía </w:t>
      </w:r>
      <w:r w:rsidRPr="00F7527A">
        <w:rPr>
          <w:rFonts w:ascii="Palatino Linotype" w:eastAsia="Palatino Linotype" w:hAnsi="Palatino Linotype" w:cs="Palatino Linotype"/>
          <w:b/>
        </w:rPr>
        <w:t>SAIMEX</w:t>
      </w:r>
      <w:r w:rsidRPr="00F7527A">
        <w:rPr>
          <w:rFonts w:ascii="Palatino Linotype" w:eastAsia="Palatino Linotype" w:hAnsi="Palatino Linotype" w:cs="Palatino Linotype"/>
        </w:rPr>
        <w:t xml:space="preserve">, </w:t>
      </w:r>
      <w:r w:rsidR="005A4BB1" w:rsidRPr="00F7527A">
        <w:rPr>
          <w:rFonts w:ascii="Palatino Linotype" w:eastAsia="Palatino Linotype" w:hAnsi="Palatino Linotype" w:cs="Palatino Linotype"/>
        </w:rPr>
        <w:t xml:space="preserve">de ser el caso </w:t>
      </w:r>
      <w:r w:rsidRPr="00F7527A">
        <w:rPr>
          <w:rFonts w:ascii="Palatino Linotype" w:eastAsia="Palatino Linotype" w:hAnsi="Palatino Linotype" w:cs="Palatino Linotype"/>
        </w:rPr>
        <w:t xml:space="preserve">en </w:t>
      </w:r>
      <w:r w:rsidRPr="00F7527A">
        <w:rPr>
          <w:rFonts w:ascii="Palatino Linotype" w:eastAsia="Palatino Linotype" w:hAnsi="Palatino Linotype" w:cs="Palatino Linotype"/>
          <w:b/>
        </w:rPr>
        <w:t>versión pública</w:t>
      </w:r>
      <w:r w:rsidRPr="00F7527A">
        <w:rPr>
          <w:rFonts w:ascii="Palatino Linotype" w:eastAsia="Palatino Linotype" w:hAnsi="Palatino Linotype" w:cs="Palatino Linotype"/>
        </w:rPr>
        <w:t>,</w:t>
      </w:r>
      <w:r w:rsidRPr="00F7527A">
        <w:rPr>
          <w:rFonts w:ascii="Palatino Linotype" w:eastAsia="Palatino Linotype" w:hAnsi="Palatino Linotype" w:cs="Palatino Linotype"/>
          <w:b/>
        </w:rPr>
        <w:t xml:space="preserve"> de los documentos donde conste lo siguiente</w:t>
      </w:r>
      <w:r w:rsidRPr="00F7527A">
        <w:rPr>
          <w:rFonts w:ascii="Palatino Linotype" w:eastAsia="Palatino Linotype" w:hAnsi="Palatino Linotype" w:cs="Palatino Linotype"/>
        </w:rPr>
        <w:t>:</w:t>
      </w:r>
    </w:p>
    <w:p w14:paraId="49A01A24" w14:textId="77777777" w:rsidR="006B6C0B" w:rsidRPr="00F7527A" w:rsidRDefault="006B6C0B" w:rsidP="006B6C0B">
      <w:pPr>
        <w:pStyle w:val="Prrafodelista"/>
        <w:numPr>
          <w:ilvl w:val="0"/>
          <w:numId w:val="4"/>
        </w:numPr>
        <w:pBdr>
          <w:top w:val="nil"/>
          <w:left w:val="nil"/>
          <w:bottom w:val="nil"/>
          <w:right w:val="nil"/>
          <w:between w:val="nil"/>
        </w:pBdr>
        <w:ind w:right="709"/>
        <w:jc w:val="both"/>
        <w:rPr>
          <w:rFonts w:ascii="Palatino Linotype" w:eastAsia="Palatino Linotype" w:hAnsi="Palatino Linotype" w:cs="Palatino Linotype"/>
          <w:b/>
          <w:i/>
          <w:color w:val="000000"/>
        </w:rPr>
      </w:pPr>
      <w:r w:rsidRPr="00F7527A">
        <w:rPr>
          <w:rFonts w:ascii="Palatino Linotype" w:eastAsia="Palatino Linotype" w:hAnsi="Palatino Linotype" w:cs="Palatino Linotype"/>
          <w:b/>
          <w:i/>
          <w:color w:val="000000"/>
        </w:rPr>
        <w:t xml:space="preserve">Monto erogado por el Ayuntamiento y patrocinadores para llevar a cabo la Feria Nacional de Ixtapaluca 2022. </w:t>
      </w:r>
    </w:p>
    <w:p w14:paraId="1E17BB56" w14:textId="77777777" w:rsidR="006B6C0B" w:rsidRPr="00F7527A" w:rsidRDefault="006B6C0B" w:rsidP="006B6C0B">
      <w:pPr>
        <w:pStyle w:val="Prrafodelista"/>
        <w:pBdr>
          <w:top w:val="nil"/>
          <w:left w:val="nil"/>
          <w:bottom w:val="nil"/>
          <w:right w:val="nil"/>
          <w:between w:val="nil"/>
        </w:pBdr>
        <w:ind w:left="720" w:right="709"/>
        <w:jc w:val="both"/>
        <w:rPr>
          <w:rFonts w:ascii="Palatino Linotype" w:eastAsia="Palatino Linotype" w:hAnsi="Palatino Linotype" w:cs="Palatino Linotype"/>
          <w:b/>
          <w:i/>
          <w:color w:val="000000"/>
        </w:rPr>
      </w:pPr>
    </w:p>
    <w:p w14:paraId="0F7A8712" w14:textId="77777777" w:rsidR="004821AF" w:rsidRPr="00F7527A" w:rsidRDefault="006B6C0B" w:rsidP="006B6C0B">
      <w:pPr>
        <w:pStyle w:val="Prrafodelista"/>
        <w:numPr>
          <w:ilvl w:val="0"/>
          <w:numId w:val="4"/>
        </w:numPr>
        <w:pBdr>
          <w:top w:val="nil"/>
          <w:left w:val="nil"/>
          <w:bottom w:val="nil"/>
          <w:right w:val="nil"/>
          <w:between w:val="nil"/>
        </w:pBdr>
        <w:ind w:right="709"/>
        <w:jc w:val="both"/>
        <w:rPr>
          <w:rFonts w:ascii="Palatino Linotype" w:eastAsia="Palatino Linotype" w:hAnsi="Palatino Linotype" w:cs="Palatino Linotype"/>
          <w:b/>
          <w:i/>
          <w:color w:val="000000"/>
        </w:rPr>
      </w:pPr>
      <w:r w:rsidRPr="00F7527A">
        <w:rPr>
          <w:rFonts w:ascii="Palatino Linotype" w:eastAsia="Palatino Linotype" w:hAnsi="Palatino Linotype" w:cs="Palatino Linotype"/>
          <w:b/>
          <w:i/>
          <w:color w:val="000000"/>
        </w:rPr>
        <w:t>Los ingresos obtenidos por el Ayuntamiento con motivo de la venta de boletaje, venta de comida, bebidas y de todos los servicios que se ofrecieron a las personas que asistieron a la Feria Nacional de Ixtapaluca 2022.</w:t>
      </w:r>
    </w:p>
    <w:p w14:paraId="6A9C732F" w14:textId="77777777" w:rsidR="006B6C0B" w:rsidRPr="00F7527A" w:rsidRDefault="006B6C0B">
      <w:pPr>
        <w:pBdr>
          <w:top w:val="nil"/>
          <w:left w:val="nil"/>
          <w:bottom w:val="nil"/>
          <w:right w:val="nil"/>
          <w:between w:val="nil"/>
        </w:pBdr>
        <w:ind w:right="709"/>
        <w:jc w:val="both"/>
        <w:rPr>
          <w:rFonts w:ascii="Palatino Linotype" w:eastAsia="Palatino Linotype" w:hAnsi="Palatino Linotype" w:cs="Palatino Linotype"/>
          <w:b/>
          <w:i/>
          <w:color w:val="000000"/>
        </w:rPr>
      </w:pPr>
    </w:p>
    <w:p w14:paraId="0EFBD461" w14:textId="77777777" w:rsidR="004821AF" w:rsidRPr="00F7527A" w:rsidRDefault="004C0AF5" w:rsidP="00701E14">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F7527A">
        <w:rPr>
          <w:rFonts w:ascii="Palatino Linotype" w:eastAsia="Palatino Linotype" w:hAnsi="Palatino Linotype" w:cs="Palatino Linotype"/>
          <w:b/>
          <w:i/>
          <w:color w:val="000000"/>
          <w:sz w:val="22"/>
          <w:szCs w:val="22"/>
        </w:rPr>
        <w:t>Recurrente</w:t>
      </w:r>
      <w:r w:rsidRPr="00F7527A">
        <w:rPr>
          <w:rFonts w:ascii="Palatino Linotype" w:eastAsia="Palatino Linotype" w:hAnsi="Palatino Linotype" w:cs="Palatino Linotype"/>
          <w:i/>
          <w:color w:val="000000"/>
          <w:sz w:val="22"/>
          <w:szCs w:val="22"/>
        </w:rPr>
        <w:t>.</w:t>
      </w:r>
    </w:p>
    <w:p w14:paraId="6E0F3BD7" w14:textId="77777777" w:rsidR="004821AF" w:rsidRPr="00F7527A" w:rsidRDefault="004C0AF5">
      <w:pPr>
        <w:spacing w:before="240" w:after="240" w:line="276" w:lineRule="auto"/>
        <w:ind w:left="567" w:right="900"/>
        <w:jc w:val="both"/>
        <w:rPr>
          <w:rFonts w:ascii="Palatino Linotype" w:eastAsia="Palatino Linotype" w:hAnsi="Palatino Linotype" w:cs="Palatino Linotype"/>
          <w:i/>
          <w:color w:val="000000"/>
          <w:sz w:val="22"/>
          <w:szCs w:val="22"/>
        </w:rPr>
      </w:pPr>
      <w:r w:rsidRPr="00F7527A">
        <w:rPr>
          <w:rFonts w:ascii="Palatino Linotype" w:eastAsia="Palatino Linotype" w:hAnsi="Palatino Linotype" w:cs="Palatino Linotype"/>
          <w:i/>
          <w:color w:val="000000"/>
          <w:sz w:val="22"/>
          <w:szCs w:val="22"/>
        </w:rPr>
        <w:t xml:space="preserve">Para el caso en el que </w:t>
      </w:r>
      <w:r w:rsidR="00A45B7A" w:rsidRPr="00F7527A">
        <w:rPr>
          <w:rFonts w:ascii="Palatino Linotype" w:eastAsia="Palatino Linotype" w:hAnsi="Palatino Linotype" w:cs="Palatino Linotype"/>
          <w:i/>
          <w:color w:val="000000"/>
          <w:sz w:val="22"/>
          <w:szCs w:val="22"/>
        </w:rPr>
        <w:t>no cuente con la información relativa al monto erogado por patrocinadores para la realización de la feria señalada</w:t>
      </w:r>
      <w:r w:rsidRPr="00F7527A">
        <w:rPr>
          <w:rFonts w:ascii="Palatino Linotype" w:eastAsia="Palatino Linotype" w:hAnsi="Palatino Linotype" w:cs="Palatino Linotype"/>
          <w:i/>
          <w:color w:val="000000"/>
          <w:sz w:val="22"/>
          <w:szCs w:val="22"/>
        </w:rPr>
        <w:t xml:space="preserve">, deberá hacerlo del conocimiento </w:t>
      </w:r>
      <w:r w:rsidRPr="00F7527A">
        <w:rPr>
          <w:rFonts w:ascii="Palatino Linotype" w:eastAsia="Palatino Linotype" w:hAnsi="Palatino Linotype" w:cs="Palatino Linotype"/>
          <w:b/>
          <w:i/>
          <w:color w:val="000000"/>
          <w:sz w:val="22"/>
          <w:szCs w:val="22"/>
        </w:rPr>
        <w:t>del Recurrente</w:t>
      </w:r>
      <w:r w:rsidRPr="00F7527A">
        <w:rPr>
          <w:rFonts w:ascii="Palatino Linotype" w:eastAsia="Palatino Linotype" w:hAnsi="Palatino Linotype" w:cs="Palatino Linotype"/>
          <w:i/>
          <w:color w:val="000000"/>
          <w:sz w:val="22"/>
          <w:szCs w:val="22"/>
        </w:rPr>
        <w:t xml:space="preserve"> de manera fundada y motivada, en términos del segundo párrafo del artículo 19 de la Ley de Transparencia y Acceso a la Información Pública del Estado de México y Municipios. </w:t>
      </w:r>
    </w:p>
    <w:p w14:paraId="5977A68F" w14:textId="77777777" w:rsidR="004821AF" w:rsidRPr="00F7527A" w:rsidRDefault="004C0AF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F7527A">
        <w:rPr>
          <w:rFonts w:ascii="Palatino Linotype" w:eastAsia="Palatino Linotype" w:hAnsi="Palatino Linotype" w:cs="Palatino Linotype"/>
          <w:b/>
          <w:color w:val="000000"/>
        </w:rPr>
        <w:t xml:space="preserve">Tercero. Notifíquese vía SAIMEX </w:t>
      </w:r>
      <w:r w:rsidRPr="00F7527A">
        <w:rPr>
          <w:rFonts w:ascii="Palatino Linotype" w:eastAsia="Palatino Linotype" w:hAnsi="Palatino Linotype" w:cs="Palatino Linotype"/>
          <w:color w:val="000000"/>
        </w:rPr>
        <w:t>al Titular de la Unidad de Transparencia del</w:t>
      </w:r>
      <w:r w:rsidRPr="00F7527A">
        <w:rPr>
          <w:rFonts w:ascii="Palatino Linotype" w:eastAsia="Palatino Linotype" w:hAnsi="Palatino Linotype" w:cs="Palatino Linotype"/>
          <w:b/>
          <w:color w:val="000000"/>
        </w:rPr>
        <w:t xml:space="preserve"> Sujeto Obligado</w:t>
      </w:r>
      <w:r w:rsidRPr="00F7527A">
        <w:rPr>
          <w:rFonts w:ascii="Palatino Linotype" w:eastAsia="Palatino Linotype" w:hAnsi="Palatino Linotype" w:cs="Palatino Linotype"/>
          <w:color w:val="00000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w:t>
      </w:r>
      <w:r w:rsidRPr="00F7527A">
        <w:rPr>
          <w:rFonts w:ascii="Palatino Linotype" w:eastAsia="Palatino Linotype" w:hAnsi="Palatino Linotype" w:cs="Palatino Linotype"/>
          <w:color w:val="000000"/>
        </w:rPr>
        <w:lastRenderedPageBreak/>
        <w:t>en un plazo de tres días hábiles siguientes sobre el cumplimiento dado a la presente resolución.</w:t>
      </w:r>
    </w:p>
    <w:p w14:paraId="5E3D94BD" w14:textId="77777777" w:rsidR="004821AF" w:rsidRPr="00F7527A" w:rsidRDefault="004C0AF5">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F7527A">
        <w:rPr>
          <w:rFonts w:ascii="Palatino Linotype" w:eastAsia="Palatino Linotype" w:hAnsi="Palatino Linotype" w:cs="Palatino Linotype"/>
          <w:b/>
        </w:rPr>
        <w:t xml:space="preserve">Cuarto. Notifíquese </w:t>
      </w:r>
      <w:r w:rsidRPr="00F7527A">
        <w:rPr>
          <w:rFonts w:ascii="Palatino Linotype" w:eastAsia="Palatino Linotype" w:hAnsi="Palatino Linotype" w:cs="Palatino Linotype"/>
        </w:rPr>
        <w:t xml:space="preserve">al </w:t>
      </w:r>
      <w:r w:rsidRPr="00F7527A">
        <w:rPr>
          <w:rFonts w:ascii="Palatino Linotype" w:eastAsia="Palatino Linotype" w:hAnsi="Palatino Linotype" w:cs="Palatino Linotype"/>
          <w:b/>
        </w:rPr>
        <w:t>Recurrente</w:t>
      </w:r>
      <w:r w:rsidRPr="00F7527A">
        <w:rPr>
          <w:rFonts w:ascii="Palatino Linotype" w:eastAsia="Palatino Linotype" w:hAnsi="Palatino Linotype" w:cs="Palatino Linotype"/>
        </w:rPr>
        <w:t xml:space="preserve"> vía SAIMEX</w:t>
      </w:r>
      <w:r w:rsidRPr="00F7527A">
        <w:rPr>
          <w:rFonts w:ascii="Palatino Linotype" w:eastAsia="Palatino Linotype" w:hAnsi="Palatino Linotype" w:cs="Palatino Linotype"/>
          <w:b/>
        </w:rPr>
        <w:t xml:space="preserve">, </w:t>
      </w:r>
      <w:r w:rsidRPr="00F7527A">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B7FF9DD" w14:textId="77777777" w:rsidR="004821AF" w:rsidRPr="00F7527A" w:rsidRDefault="004C0AF5">
      <w:pPr>
        <w:spacing w:before="240" w:after="240" w:line="360" w:lineRule="auto"/>
        <w:ind w:right="49"/>
        <w:jc w:val="both"/>
        <w:rPr>
          <w:rFonts w:ascii="Palatino Linotype" w:eastAsia="Palatino Linotype" w:hAnsi="Palatino Linotype" w:cs="Palatino Linotype"/>
          <w:b/>
        </w:rPr>
      </w:pPr>
      <w:r w:rsidRPr="00F7527A">
        <w:rPr>
          <w:rFonts w:ascii="Palatino Linotype" w:eastAsia="Palatino Linotype" w:hAnsi="Palatino Linotype" w:cs="Palatino Linotype"/>
          <w:b/>
        </w:rPr>
        <w:t>Quinto. Notifíquese,</w:t>
      </w:r>
      <w:r w:rsidRPr="00F7527A">
        <w:rPr>
          <w:rFonts w:ascii="Palatino Linotype" w:eastAsia="Palatino Linotype" w:hAnsi="Palatino Linotype" w:cs="Palatino Linotype"/>
        </w:rPr>
        <w:t xml:space="preserve"> vía SAIMEX</w:t>
      </w:r>
      <w:r w:rsidRPr="00F7527A">
        <w:rPr>
          <w:rFonts w:ascii="Palatino Linotype" w:eastAsia="Palatino Linotype" w:hAnsi="Palatino Linotype" w:cs="Palatino Linotype"/>
          <w:b/>
        </w:rPr>
        <w:t xml:space="preserve">, </w:t>
      </w:r>
      <w:r w:rsidRPr="00F7527A">
        <w:rPr>
          <w:rFonts w:ascii="Palatino Linotype" w:eastAsia="Palatino Linotype" w:hAnsi="Palatino Linotype" w:cs="Palatino Linotype"/>
        </w:rPr>
        <w:t xml:space="preserve">al </w:t>
      </w:r>
      <w:r w:rsidRPr="00F7527A">
        <w:rPr>
          <w:rFonts w:ascii="Palatino Linotype" w:eastAsia="Palatino Linotype" w:hAnsi="Palatino Linotype" w:cs="Palatino Linotype"/>
          <w:b/>
        </w:rPr>
        <w:t>Recurrente</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color w:val="222222"/>
        </w:rPr>
        <w:t xml:space="preserve">que la respuesta que dé </w:t>
      </w:r>
      <w:r w:rsidRPr="00F7527A">
        <w:rPr>
          <w:rFonts w:ascii="Palatino Linotype" w:eastAsia="Palatino Linotype" w:hAnsi="Palatino Linotype" w:cs="Palatino Linotype"/>
          <w:b/>
          <w:color w:val="222222"/>
        </w:rPr>
        <w:t>el Sujeto Obligado</w:t>
      </w:r>
      <w:r w:rsidRPr="00F7527A">
        <w:rPr>
          <w:rFonts w:ascii="Palatino Linotype" w:eastAsia="Palatino Linotype" w:hAnsi="Palatino Linotype" w:cs="Palatino Linotype"/>
          <w:color w:val="222222"/>
        </w:rPr>
        <w:t xml:space="preserve"> derivada de la presente resolución es </w:t>
      </w:r>
      <w:proofErr w:type="gramStart"/>
      <w:r w:rsidRPr="00F7527A">
        <w:rPr>
          <w:rFonts w:ascii="Palatino Linotype" w:eastAsia="Palatino Linotype" w:hAnsi="Palatino Linotype" w:cs="Palatino Linotype"/>
          <w:color w:val="222222"/>
        </w:rPr>
        <w:t>susceptibles</w:t>
      </w:r>
      <w:proofErr w:type="gramEnd"/>
      <w:r w:rsidRPr="00F7527A">
        <w:rPr>
          <w:rFonts w:ascii="Palatino Linotype" w:eastAsia="Palatino Linotype" w:hAnsi="Palatino Linotype" w:cs="Palatino Linotype"/>
          <w:color w:val="222222"/>
        </w:rPr>
        <w:t xml:space="preserve"> de ser impugnada nuevamente, mediante recurso de revisión, ante el Instituto, en términos del artículo 179, último párrafo de la Ley de Transparencia y Acceso a la Información Pública del Estado de México y Municipios.</w:t>
      </w:r>
    </w:p>
    <w:p w14:paraId="77A18001" w14:textId="77777777" w:rsidR="004821AF" w:rsidRPr="00F7527A" w:rsidRDefault="004C0AF5">
      <w:pPr>
        <w:widowControl w:val="0"/>
        <w:tabs>
          <w:tab w:val="left" w:pos="1701"/>
        </w:tabs>
        <w:spacing w:before="240" w:line="360" w:lineRule="auto"/>
        <w:ind w:right="51"/>
        <w:jc w:val="both"/>
        <w:rPr>
          <w:rFonts w:ascii="Palatino Linotype" w:eastAsia="Palatino Linotype" w:hAnsi="Palatino Linotype" w:cs="Palatino Linotype"/>
        </w:rPr>
      </w:pPr>
      <w:r w:rsidRPr="00F7527A">
        <w:rPr>
          <w:rFonts w:ascii="Palatino Linotype" w:eastAsia="Palatino Linotype" w:hAnsi="Palatino Linotype" w:cs="Palatino Linotype"/>
          <w:b/>
        </w:rPr>
        <w:t xml:space="preserve">Sexto. </w:t>
      </w:r>
      <w:r w:rsidRPr="00F7527A">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sidRPr="00F7527A">
        <w:rPr>
          <w:rFonts w:ascii="Palatino Linotype" w:eastAsia="Palatino Linotype" w:hAnsi="Palatino Linotype" w:cs="Palatino Linotype"/>
          <w:b/>
        </w:rPr>
        <w:t>Sujeto Obligado</w:t>
      </w:r>
      <w:r w:rsidRPr="00F7527A">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14:paraId="09B895C9" w14:textId="77777777" w:rsidR="004821AF" w:rsidRPr="00F7527A" w:rsidRDefault="004821AF">
      <w:pPr>
        <w:spacing w:line="360" w:lineRule="auto"/>
        <w:jc w:val="both"/>
        <w:rPr>
          <w:rFonts w:ascii="Palatino Linotype" w:eastAsia="Palatino Linotype" w:hAnsi="Palatino Linotype" w:cs="Palatino Linotype"/>
          <w:b/>
        </w:rPr>
      </w:pPr>
    </w:p>
    <w:p w14:paraId="0956F765" w14:textId="77777777" w:rsidR="004821AF" w:rsidRPr="00F7527A" w:rsidRDefault="004C0AF5">
      <w:pPr>
        <w:spacing w:line="360" w:lineRule="auto"/>
        <w:jc w:val="both"/>
        <w:rPr>
          <w:rFonts w:ascii="Palatino Linotype" w:eastAsia="Palatino Linotype" w:hAnsi="Palatino Linotype" w:cs="Palatino Linotype"/>
        </w:rPr>
      </w:pPr>
      <w:r w:rsidRPr="00F7527A">
        <w:rPr>
          <w:rFonts w:ascii="Palatino Linotype" w:eastAsia="Palatino Linotype" w:hAnsi="Palatino Linotype" w:cs="Palatino Linotype"/>
          <w:b/>
        </w:rPr>
        <w:t>Séptimo. Gírese</w:t>
      </w:r>
      <w:r w:rsidRPr="00F7527A">
        <w:rPr>
          <w:rFonts w:ascii="Palatino Linotype" w:eastAsia="Palatino Linotype" w:hAnsi="Palatino Linotype" w:cs="Palatino Linotype"/>
        </w:rPr>
        <w:t xml:space="preserve"> oficio al </w:t>
      </w:r>
      <w:r w:rsidRPr="00F7527A">
        <w:rPr>
          <w:rFonts w:ascii="Palatino Linotype" w:eastAsia="Palatino Linotype" w:hAnsi="Palatino Linotype" w:cs="Palatino Linotype"/>
          <w:b/>
        </w:rPr>
        <w:t>Contralor Interno y Órgano de Control y Vigilancia de este Instituto</w:t>
      </w:r>
      <w:r w:rsidRPr="00F7527A">
        <w:rPr>
          <w:rFonts w:ascii="Palatino Linotype" w:eastAsia="Palatino Linotype" w:hAnsi="Palatino Linotype" w:cs="Palatino Linotype"/>
        </w:rPr>
        <w:t xml:space="preserve"> para hacer de su conocimiento la presente resolución, a fin de que en ejercicio de sus atribuciones y de conformidad al artículo 190, de la Ley de Transparencia y Acceso a la Información Pública del Estado de México y </w:t>
      </w:r>
      <w:r w:rsidRPr="00F7527A">
        <w:rPr>
          <w:rFonts w:ascii="Palatino Linotype" w:eastAsia="Palatino Linotype" w:hAnsi="Palatino Linotype" w:cs="Palatino Linotype"/>
        </w:rPr>
        <w:lastRenderedPageBreak/>
        <w:t xml:space="preserve">Municipios, determine lo conducente, en términos de lo señalado en el </w:t>
      </w:r>
      <w:r w:rsidRPr="00F7527A">
        <w:rPr>
          <w:rFonts w:ascii="Palatino Linotype" w:eastAsia="Palatino Linotype" w:hAnsi="Palatino Linotype" w:cs="Palatino Linotype"/>
          <w:b/>
        </w:rPr>
        <w:t>Considerando</w:t>
      </w:r>
      <w:r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b/>
        </w:rPr>
        <w:t>Cuarto</w:t>
      </w:r>
      <w:r w:rsidRPr="00F7527A">
        <w:rPr>
          <w:rFonts w:ascii="Palatino Linotype" w:eastAsia="Palatino Linotype" w:hAnsi="Palatino Linotype" w:cs="Palatino Linotype"/>
        </w:rPr>
        <w:t xml:space="preserve"> de la presente resolución. </w:t>
      </w:r>
    </w:p>
    <w:p w14:paraId="685D9A15" w14:textId="77777777" w:rsidR="004821AF" w:rsidRPr="00F7527A" w:rsidRDefault="004821AF">
      <w:pPr>
        <w:spacing w:line="360" w:lineRule="auto"/>
        <w:jc w:val="both"/>
        <w:rPr>
          <w:rFonts w:ascii="Palatino Linotype" w:eastAsia="Palatino Linotype" w:hAnsi="Palatino Linotype" w:cs="Palatino Linotype"/>
        </w:rPr>
      </w:pPr>
    </w:p>
    <w:p w14:paraId="69ED00E7" w14:textId="77777777" w:rsidR="004821AF" w:rsidRDefault="004C0AF5">
      <w:pPr>
        <w:spacing w:line="360" w:lineRule="auto"/>
        <w:ind w:right="49"/>
        <w:jc w:val="both"/>
        <w:rPr>
          <w:rFonts w:ascii="Palatino Linotype" w:eastAsia="Palatino Linotype" w:hAnsi="Palatino Linotype" w:cs="Palatino Linotype"/>
        </w:rPr>
        <w:sectPr w:rsidR="004821AF">
          <w:headerReference w:type="default" r:id="rId26"/>
          <w:footerReference w:type="default" r:id="rId27"/>
          <w:headerReference w:type="first" r:id="rId28"/>
          <w:footerReference w:type="first" r:id="rId29"/>
          <w:pgSz w:w="12240" w:h="15840"/>
          <w:pgMar w:top="1985" w:right="1892" w:bottom="1701" w:left="1701" w:header="709" w:footer="709" w:gutter="0"/>
          <w:pgNumType w:start="1"/>
          <w:cols w:space="720"/>
          <w:titlePg/>
        </w:sectPr>
      </w:pPr>
      <w:r w:rsidRPr="00F7527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B6C0B" w:rsidRPr="00F7527A">
        <w:rPr>
          <w:rFonts w:ascii="Palatino Linotype" w:eastAsia="Palatino Linotype" w:hAnsi="Palatino Linotype" w:cs="Palatino Linotype"/>
        </w:rPr>
        <w:t>DÉCIMA</w:t>
      </w:r>
      <w:r w:rsidR="00D371EA" w:rsidRPr="00F7527A">
        <w:rPr>
          <w:rFonts w:ascii="Palatino Linotype" w:eastAsia="Palatino Linotype" w:hAnsi="Palatino Linotype" w:cs="Palatino Linotype"/>
        </w:rPr>
        <w:t xml:space="preserve"> PRIMERA</w:t>
      </w:r>
      <w:r w:rsidR="006B6C0B" w:rsidRPr="00F7527A">
        <w:rPr>
          <w:rFonts w:ascii="Palatino Linotype" w:eastAsia="Palatino Linotype" w:hAnsi="Palatino Linotype" w:cs="Palatino Linotype"/>
        </w:rPr>
        <w:t xml:space="preserve"> </w:t>
      </w:r>
      <w:r w:rsidRPr="00F7527A">
        <w:rPr>
          <w:rFonts w:ascii="Palatino Linotype" w:eastAsia="Palatino Linotype" w:hAnsi="Palatino Linotype" w:cs="Palatino Linotype"/>
        </w:rPr>
        <w:t>SESIÓN ORDINARIA CELEBRADA EL</w:t>
      </w:r>
      <w:r w:rsidR="00D83998" w:rsidRPr="00F7527A">
        <w:rPr>
          <w:rFonts w:ascii="Palatino Linotype" w:eastAsia="Palatino Linotype" w:hAnsi="Palatino Linotype" w:cs="Palatino Linotype"/>
        </w:rPr>
        <w:t xml:space="preserve"> VEINTIDÓS DE MARZO DE DOS MIL VEINTITRÉS</w:t>
      </w:r>
      <w:r w:rsidRPr="00F7527A">
        <w:rPr>
          <w:rFonts w:ascii="Palatino Linotype" w:eastAsia="Palatino Linotype" w:hAnsi="Palatino Linotype" w:cs="Palatino Linotype"/>
        </w:rPr>
        <w:t>, ANTE EL SECRETARIO TÉCNICO DEL PLENO ALEXIS TAPIA RAMÍREZ.</w:t>
      </w:r>
    </w:p>
    <w:p w14:paraId="44487FA0" w14:textId="77777777" w:rsidR="004821AF" w:rsidRDefault="004821AF">
      <w:pPr>
        <w:spacing w:before="240" w:after="240" w:line="360" w:lineRule="auto"/>
        <w:jc w:val="both"/>
        <w:rPr>
          <w:rFonts w:ascii="Palatino Linotype" w:eastAsia="Palatino Linotype" w:hAnsi="Palatino Linotype" w:cs="Palatino Linotype"/>
        </w:rPr>
      </w:pPr>
    </w:p>
    <w:p w14:paraId="2C54F192" w14:textId="77777777" w:rsidR="004821AF" w:rsidRDefault="004821AF">
      <w:pPr>
        <w:spacing w:before="240" w:after="240" w:line="360" w:lineRule="auto"/>
        <w:jc w:val="both"/>
        <w:rPr>
          <w:rFonts w:ascii="Palatino Linotype" w:eastAsia="Palatino Linotype" w:hAnsi="Palatino Linotype" w:cs="Palatino Linotype"/>
        </w:rPr>
      </w:pPr>
    </w:p>
    <w:sectPr w:rsidR="004821AF">
      <w:headerReference w:type="first" r:id="rId30"/>
      <w:pgSz w:w="12240" w:h="15840"/>
      <w:pgMar w:top="1985" w:right="1892"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DBF73" w14:textId="77777777" w:rsidR="00F05878" w:rsidRDefault="00F05878">
      <w:r>
        <w:separator/>
      </w:r>
    </w:p>
  </w:endnote>
  <w:endnote w:type="continuationSeparator" w:id="0">
    <w:p w14:paraId="6EF2511E" w14:textId="77777777" w:rsidR="00F05878" w:rsidRDefault="00F05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70B2" w14:textId="77777777" w:rsidR="00701E14" w:rsidRDefault="00701E1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1C6D">
      <w:rPr>
        <w:rFonts w:ascii="Arial" w:eastAsia="Arial" w:hAnsi="Arial" w:cs="Arial"/>
        <w:b/>
        <w:noProof/>
        <w:color w:val="000000"/>
        <w:sz w:val="20"/>
        <w:szCs w:val="20"/>
      </w:rPr>
      <w:t>61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1C6D">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2375354E" w14:textId="77777777" w:rsidR="00701E14" w:rsidRDefault="00701E14">
    <w:pPr>
      <w:pBdr>
        <w:top w:val="nil"/>
        <w:left w:val="nil"/>
        <w:bottom w:val="nil"/>
        <w:right w:val="nil"/>
        <w:between w:val="nil"/>
      </w:pBdr>
      <w:tabs>
        <w:tab w:val="center" w:pos="4252"/>
        <w:tab w:val="right" w:pos="8504"/>
      </w:tabs>
      <w:rPr>
        <w:color w:val="000000"/>
      </w:rPr>
    </w:pPr>
  </w:p>
  <w:p w14:paraId="628AC69A" w14:textId="77777777" w:rsidR="00701E14" w:rsidRDefault="00701E1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67DF" w14:textId="77777777" w:rsidR="00701E14" w:rsidRDefault="00701E1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1C6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1C6D">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430FBA6A" w14:textId="77777777" w:rsidR="00701E14" w:rsidRDefault="00701E1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053E2" w14:textId="77777777" w:rsidR="00F05878" w:rsidRDefault="00F05878">
      <w:r>
        <w:separator/>
      </w:r>
    </w:p>
  </w:footnote>
  <w:footnote w:type="continuationSeparator" w:id="0">
    <w:p w14:paraId="13307D51" w14:textId="77777777" w:rsidR="00F05878" w:rsidRDefault="00F05878">
      <w:r>
        <w:continuationSeparator/>
      </w:r>
    </w:p>
  </w:footnote>
  <w:footnote w:id="1">
    <w:p w14:paraId="18B65F1F" w14:textId="77777777" w:rsidR="00701E14" w:rsidRDefault="00701E1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76BD5BF" w14:textId="77777777" w:rsidR="00701E14" w:rsidRDefault="00701E1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7016" w14:textId="77777777" w:rsidR="00701E14" w:rsidRDefault="00701E14">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5EC2A50" wp14:editId="60201E72">
          <wp:simplePos x="0" y="0"/>
          <wp:positionH relativeFrom="column">
            <wp:posOffset>-1013459</wp:posOffset>
          </wp:positionH>
          <wp:positionV relativeFrom="paragraph">
            <wp:posOffset>-326389</wp:posOffset>
          </wp:positionV>
          <wp:extent cx="7635163" cy="9944100"/>
          <wp:effectExtent l="0" t="0" r="0" b="0"/>
          <wp:wrapNone/>
          <wp:docPr id="1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4"/>
      <w:tblW w:w="5528" w:type="dxa"/>
      <w:tblInd w:w="3261" w:type="dxa"/>
      <w:tblLayout w:type="fixed"/>
      <w:tblLook w:val="0400" w:firstRow="0" w:lastRow="0" w:firstColumn="0" w:lastColumn="0" w:noHBand="0" w:noVBand="1"/>
    </w:tblPr>
    <w:tblGrid>
      <w:gridCol w:w="2552"/>
      <w:gridCol w:w="2976"/>
    </w:tblGrid>
    <w:tr w:rsidR="00701E14" w14:paraId="7E37C6CC" w14:textId="77777777">
      <w:tc>
        <w:tcPr>
          <w:tcW w:w="2552" w:type="dxa"/>
          <w:vAlign w:val="center"/>
        </w:tcPr>
        <w:p w14:paraId="6B6DEC88" w14:textId="77777777" w:rsidR="00701E14" w:rsidRDefault="00701E1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73181703" w14:textId="77777777" w:rsidR="00701E14" w:rsidRDefault="00701E14">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14909/INFOEM/IP/RR/2022</w:t>
          </w:r>
        </w:p>
      </w:tc>
    </w:tr>
    <w:tr w:rsidR="00701E14" w14:paraId="16B9D08D" w14:textId="77777777">
      <w:trPr>
        <w:trHeight w:val="228"/>
      </w:trPr>
      <w:tc>
        <w:tcPr>
          <w:tcW w:w="2552" w:type="dxa"/>
          <w:vAlign w:val="center"/>
        </w:tcPr>
        <w:p w14:paraId="3CD271ED" w14:textId="77777777" w:rsidR="00701E14" w:rsidRDefault="00701E1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706967A3" w14:textId="77777777" w:rsidR="00701E14" w:rsidRDefault="00701E14">
          <w:pPr>
            <w:ind w:right="27"/>
            <w:jc w:val="both"/>
            <w:rPr>
              <w:rFonts w:ascii="Palatino Linotype" w:eastAsia="Palatino Linotype" w:hAnsi="Palatino Linotype" w:cs="Palatino Linotype"/>
              <w:b/>
              <w:sz w:val="21"/>
              <w:szCs w:val="21"/>
            </w:rPr>
          </w:pPr>
          <w:r w:rsidRPr="000C7E21">
            <w:rPr>
              <w:rFonts w:ascii="Palatino Linotype" w:eastAsia="Palatino Linotype" w:hAnsi="Palatino Linotype" w:cs="Palatino Linotype"/>
              <w:b/>
              <w:sz w:val="21"/>
              <w:szCs w:val="21"/>
            </w:rPr>
            <w:t>Ayuntamiento de Ixtapaluca</w:t>
          </w:r>
        </w:p>
      </w:tc>
    </w:tr>
    <w:tr w:rsidR="00701E14" w14:paraId="5F52FC54" w14:textId="77777777">
      <w:tc>
        <w:tcPr>
          <w:tcW w:w="2552" w:type="dxa"/>
          <w:vAlign w:val="center"/>
        </w:tcPr>
        <w:p w14:paraId="71828045" w14:textId="77777777" w:rsidR="00701E14" w:rsidRDefault="00701E1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367FC91C" w14:textId="77777777" w:rsidR="00701E14" w:rsidRDefault="00701E14">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DA71576" w14:textId="77777777" w:rsidR="00701E14" w:rsidRDefault="00701E1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A10E0" w14:textId="77777777" w:rsidR="00701E14" w:rsidRDefault="00701E1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4B3CDE05" wp14:editId="791E4127">
          <wp:simplePos x="0" y="0"/>
          <wp:positionH relativeFrom="column">
            <wp:posOffset>-955674</wp:posOffset>
          </wp:positionH>
          <wp:positionV relativeFrom="paragraph">
            <wp:posOffset>-361949</wp:posOffset>
          </wp:positionV>
          <wp:extent cx="7635600" cy="9943200"/>
          <wp:effectExtent l="0" t="0" r="0" b="0"/>
          <wp:wrapNone/>
          <wp:docPr id="9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38" w:type="dxa"/>
      <w:tblInd w:w="3119" w:type="dxa"/>
      <w:tblLayout w:type="fixed"/>
      <w:tblLook w:val="0400" w:firstRow="0" w:lastRow="0" w:firstColumn="0" w:lastColumn="0" w:noHBand="0" w:noVBand="1"/>
    </w:tblPr>
    <w:tblGrid>
      <w:gridCol w:w="2551"/>
      <w:gridCol w:w="3687"/>
    </w:tblGrid>
    <w:tr w:rsidR="00701E14" w14:paraId="4BFEF4A9" w14:textId="77777777">
      <w:tc>
        <w:tcPr>
          <w:tcW w:w="2551" w:type="dxa"/>
          <w:vAlign w:val="center"/>
        </w:tcPr>
        <w:p w14:paraId="7A863F1C" w14:textId="77777777" w:rsidR="00701E14" w:rsidRDefault="00701E1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0B300365" w14:textId="77777777" w:rsidR="00701E14" w:rsidRDefault="00701E14">
          <w:pPr>
            <w:ind w:right="7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14909/INFOEM/IP/RR/2022 </w:t>
          </w:r>
        </w:p>
      </w:tc>
    </w:tr>
    <w:tr w:rsidR="00701E14" w14:paraId="43B1C9B7" w14:textId="77777777">
      <w:tc>
        <w:tcPr>
          <w:tcW w:w="2551" w:type="dxa"/>
          <w:vAlign w:val="center"/>
        </w:tcPr>
        <w:p w14:paraId="0EFCCF5D" w14:textId="77777777" w:rsidR="00701E14" w:rsidRDefault="00701E14">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Recurrente: </w:t>
          </w:r>
        </w:p>
      </w:tc>
      <w:tc>
        <w:tcPr>
          <w:tcW w:w="3687" w:type="dxa"/>
          <w:vAlign w:val="center"/>
        </w:tcPr>
        <w:p w14:paraId="13ABDFB4" w14:textId="4263802D" w:rsidR="00701E14" w:rsidRDefault="004510D5">
          <w:pPr>
            <w:ind w:right="460"/>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w:t>
          </w:r>
        </w:p>
      </w:tc>
    </w:tr>
    <w:tr w:rsidR="00701E14" w14:paraId="47DD30E4" w14:textId="77777777">
      <w:trPr>
        <w:trHeight w:val="228"/>
      </w:trPr>
      <w:tc>
        <w:tcPr>
          <w:tcW w:w="2551" w:type="dxa"/>
          <w:vAlign w:val="center"/>
        </w:tcPr>
        <w:p w14:paraId="16945CB5" w14:textId="77777777" w:rsidR="00701E14" w:rsidRDefault="00701E1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54B53C75" w14:textId="77777777" w:rsidR="00701E14" w:rsidRDefault="00701E14">
          <w:pPr>
            <w:ind w:right="737"/>
            <w:jc w:val="both"/>
            <w:rPr>
              <w:rFonts w:ascii="Palatino Linotype" w:eastAsia="Palatino Linotype" w:hAnsi="Palatino Linotype" w:cs="Palatino Linotype"/>
              <w:b/>
              <w:sz w:val="21"/>
              <w:szCs w:val="21"/>
            </w:rPr>
          </w:pPr>
          <w:r w:rsidRPr="000C7E21">
            <w:rPr>
              <w:rFonts w:ascii="Palatino Linotype" w:eastAsia="Palatino Linotype" w:hAnsi="Palatino Linotype" w:cs="Palatino Linotype"/>
              <w:b/>
              <w:sz w:val="21"/>
              <w:szCs w:val="21"/>
            </w:rPr>
            <w:t>Ayuntamiento de Ixtapaluca</w:t>
          </w:r>
        </w:p>
      </w:tc>
    </w:tr>
    <w:tr w:rsidR="00701E14" w14:paraId="4C5E8A36" w14:textId="77777777">
      <w:tc>
        <w:tcPr>
          <w:tcW w:w="2551" w:type="dxa"/>
          <w:vAlign w:val="center"/>
        </w:tcPr>
        <w:p w14:paraId="0BA9733F" w14:textId="77777777" w:rsidR="00701E14" w:rsidRDefault="00701E1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7EB6F83F" w14:textId="77777777" w:rsidR="00701E14" w:rsidRDefault="00701E14">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1E9273C" w14:textId="77777777" w:rsidR="00701E14" w:rsidRDefault="00701E1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E39F" w14:textId="77777777" w:rsidR="00701E14" w:rsidRDefault="00701E1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0942772" w14:textId="77777777" w:rsidR="00701E14" w:rsidRDefault="00701E1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167A7"/>
    <w:multiLevelType w:val="multilevel"/>
    <w:tmpl w:val="6550034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F1354E6"/>
    <w:multiLevelType w:val="multilevel"/>
    <w:tmpl w:val="265AAD0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0C85C79"/>
    <w:multiLevelType w:val="multilevel"/>
    <w:tmpl w:val="C7A0C26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B7C7E27"/>
    <w:multiLevelType w:val="hybridMultilevel"/>
    <w:tmpl w:val="04326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1AF"/>
    <w:rsid w:val="0003451E"/>
    <w:rsid w:val="00094309"/>
    <w:rsid w:val="000C7E21"/>
    <w:rsid w:val="000F756D"/>
    <w:rsid w:val="00137815"/>
    <w:rsid w:val="00145F33"/>
    <w:rsid w:val="001524DF"/>
    <w:rsid w:val="00235E7D"/>
    <w:rsid w:val="002577F9"/>
    <w:rsid w:val="00341317"/>
    <w:rsid w:val="003B312D"/>
    <w:rsid w:val="003B4FA0"/>
    <w:rsid w:val="00406012"/>
    <w:rsid w:val="004510D5"/>
    <w:rsid w:val="004821AF"/>
    <w:rsid w:val="004C0AF5"/>
    <w:rsid w:val="00513CE2"/>
    <w:rsid w:val="00535280"/>
    <w:rsid w:val="00540216"/>
    <w:rsid w:val="005A4BB1"/>
    <w:rsid w:val="00651E74"/>
    <w:rsid w:val="006B6C0B"/>
    <w:rsid w:val="006E07CE"/>
    <w:rsid w:val="006E1C6D"/>
    <w:rsid w:val="00701E14"/>
    <w:rsid w:val="007373BF"/>
    <w:rsid w:val="00782ABD"/>
    <w:rsid w:val="007A65C9"/>
    <w:rsid w:val="009F26D8"/>
    <w:rsid w:val="00A45B7A"/>
    <w:rsid w:val="00AB1C30"/>
    <w:rsid w:val="00AC33D3"/>
    <w:rsid w:val="00AE5B74"/>
    <w:rsid w:val="00B54B8C"/>
    <w:rsid w:val="00CE1DDE"/>
    <w:rsid w:val="00CE6455"/>
    <w:rsid w:val="00D371EA"/>
    <w:rsid w:val="00D53429"/>
    <w:rsid w:val="00D83998"/>
    <w:rsid w:val="00E36359"/>
    <w:rsid w:val="00EC0C17"/>
    <w:rsid w:val="00F05878"/>
    <w:rsid w:val="00F2239E"/>
    <w:rsid w:val="00F2365A"/>
    <w:rsid w:val="00F752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6518C"/>
  <w15:docId w15:val="{159AD6EC-21D9-4EB2-86A4-74DB98A0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C0C"/>
    <w:rPr>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8D19A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rPr>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255CC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F35AA6"/>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2">
    <w:name w:val="Tabla de lista 1 clara - Énfasis 12"/>
    <w:basedOn w:val="Tablanormal"/>
    <w:next w:val="Tabladelista1clara-nfasis1"/>
    <w:uiPriority w:val="46"/>
    <w:rsid w:val="00F35AA6"/>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35AA6"/>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semiHidden/>
    <w:rsid w:val="008D19AD"/>
    <w:rPr>
      <w:rFonts w:asciiTheme="majorHAnsi" w:eastAsiaTheme="majorEastAsia" w:hAnsiTheme="majorHAnsi" w:cstheme="majorBidi"/>
      <w:i/>
      <w:iCs/>
      <w:color w:val="2E74B5" w:themeColor="accent1" w:themeShade="BF"/>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443C7E"/>
    <w:rPr>
      <w:color w:val="954F72" w:themeColor="followedHyperlink"/>
      <w:u w:val="single"/>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525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dondehayferia.com/feria-nacional-de-ixtapaluca-2022" TargetMode="External"/><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Dac9+EGyQ5faHg1uJXWizBPgbA==">AMUW2mWgEhMXn3vmMwlLADiWtnkYl2RM7dE0tUcDFv1Ktx7b4EKrRXKqIjCaRVD6lLmwnoo4725WTDXkTbOyZwm7M+EHO/dH2Bj8heEbL18gqliCGLWDr27LeI8MlsPS1ii9zDuJdzYR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8E841F-3B08-4A80-96FC-5B18A4E63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12453</Words>
  <Characters>68496</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sonyy</dc:creator>
  <cp:lastModifiedBy>MARICELA VILLAGOMEZ</cp:lastModifiedBy>
  <cp:revision>2</cp:revision>
  <cp:lastPrinted>2023-03-24T16:46:00Z</cp:lastPrinted>
  <dcterms:created xsi:type="dcterms:W3CDTF">2023-03-28T21:41:00Z</dcterms:created>
  <dcterms:modified xsi:type="dcterms:W3CDTF">2023-03-28T21:41:00Z</dcterms:modified>
</cp:coreProperties>
</file>