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27E" w:rsidRDefault="00BE727E">
      <w:pPr>
        <w:widowControl w:val="0"/>
        <w:pBdr>
          <w:top w:val="nil"/>
          <w:left w:val="nil"/>
          <w:bottom w:val="nil"/>
          <w:right w:val="nil"/>
          <w:between w:val="nil"/>
        </w:pBdr>
        <w:spacing w:line="276" w:lineRule="auto"/>
      </w:pPr>
    </w:p>
    <w:p w:rsidR="00BE727E" w:rsidRPr="00C03B32" w:rsidRDefault="00B301C6">
      <w:pPr>
        <w:spacing w:after="280" w:line="360" w:lineRule="auto"/>
        <w:jc w:val="both"/>
        <w:rPr>
          <w:rFonts w:ascii="Palatino Linotype" w:eastAsia="Palatino Linotype" w:hAnsi="Palatino Linotype" w:cs="Palatino Linotype"/>
          <w:b/>
          <w:sz w:val="28"/>
          <w:szCs w:val="28"/>
        </w:rPr>
      </w:pPr>
      <w:r w:rsidRPr="00C03B3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veintinueve de marzo de dos mil veintitrés. </w:t>
      </w:r>
    </w:p>
    <w:p w:rsidR="00BE727E" w:rsidRPr="00C03B32" w:rsidRDefault="00B301C6">
      <w:pPr>
        <w:spacing w:after="28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b/>
          <w:sz w:val="28"/>
          <w:szCs w:val="28"/>
        </w:rPr>
        <w:t>VISTO</w:t>
      </w:r>
      <w:r w:rsidRPr="00C03B32">
        <w:rPr>
          <w:rFonts w:ascii="Palatino Linotype" w:eastAsia="Palatino Linotype" w:hAnsi="Palatino Linotype" w:cs="Palatino Linotype"/>
        </w:rPr>
        <w:t xml:space="preserve"> el expediente formado con motivo de los Recursos de Revisión número </w:t>
      </w:r>
      <w:r w:rsidRPr="00C03B32">
        <w:rPr>
          <w:rFonts w:ascii="Palatino Linotype" w:eastAsia="Palatino Linotype" w:hAnsi="Palatino Linotype" w:cs="Palatino Linotype"/>
          <w:b/>
        </w:rPr>
        <w:t xml:space="preserve">14782/INFOEM/IP/RR/2022, 14783/INFOEM/IP/RR/2022, 14784/INFOEM/IP/RR/2022 14785/INFOEM/IP/RR/2022 y 14786/INFOEM/IP/RR/2022 </w:t>
      </w:r>
      <w:r w:rsidRPr="00C03B32">
        <w:rPr>
          <w:rFonts w:ascii="Palatino Linotype" w:eastAsia="Palatino Linotype" w:hAnsi="Palatino Linotype" w:cs="Palatino Linotype"/>
        </w:rPr>
        <w:t>promovidos por un particular de forma anónima</w:t>
      </w:r>
      <w:r w:rsidRPr="00C03B32">
        <w:rPr>
          <w:rFonts w:ascii="Palatino Linotype" w:eastAsia="Palatino Linotype" w:hAnsi="Palatino Linotype" w:cs="Palatino Linotype"/>
          <w:b/>
        </w:rPr>
        <w:t xml:space="preserve">, </w:t>
      </w:r>
      <w:r w:rsidRPr="00C03B32">
        <w:rPr>
          <w:rFonts w:ascii="Palatino Linotype" w:eastAsia="Palatino Linotype" w:hAnsi="Palatino Linotype" w:cs="Palatino Linotype"/>
        </w:rPr>
        <w:t xml:space="preserve">a quien en lo sucesivo se le </w:t>
      </w:r>
      <w:r w:rsidR="00607D90" w:rsidRPr="00C03B32">
        <w:rPr>
          <w:rFonts w:ascii="Palatino Linotype" w:eastAsia="Palatino Linotype" w:hAnsi="Palatino Linotype" w:cs="Palatino Linotype"/>
        </w:rPr>
        <w:t>denominará</w:t>
      </w:r>
      <w:r w:rsidRPr="00C03B32">
        <w:rPr>
          <w:rFonts w:ascii="Palatino Linotype" w:eastAsia="Palatino Linotype" w:hAnsi="Palatino Linotype" w:cs="Palatino Linotype"/>
        </w:rPr>
        <w:t xml:space="preserve"> como </w:t>
      </w:r>
      <w:r w:rsidRPr="00C03B32">
        <w:rPr>
          <w:rFonts w:ascii="Palatino Linotype" w:eastAsia="Palatino Linotype" w:hAnsi="Palatino Linotype" w:cs="Palatino Linotype"/>
          <w:b/>
        </w:rPr>
        <w:t>EL RECURRENTE,</w:t>
      </w:r>
      <w:r w:rsidRPr="00C03B32">
        <w:rPr>
          <w:rFonts w:ascii="Palatino Linotype" w:eastAsia="Palatino Linotype" w:hAnsi="Palatino Linotype" w:cs="Palatino Linotype"/>
        </w:rPr>
        <w:t xml:space="preserve"> en contra de las respuestas del </w:t>
      </w:r>
      <w:r w:rsidRPr="00C03B32">
        <w:rPr>
          <w:rFonts w:ascii="Palatino Linotype" w:eastAsia="Palatino Linotype" w:hAnsi="Palatino Linotype" w:cs="Palatino Linotype"/>
          <w:b/>
        </w:rPr>
        <w:t xml:space="preserve">Ayuntamiento de Amecameca, </w:t>
      </w:r>
      <w:r w:rsidRPr="00C03B32">
        <w:rPr>
          <w:rFonts w:ascii="Palatino Linotype" w:eastAsia="Palatino Linotype" w:hAnsi="Palatino Linotype" w:cs="Palatino Linotype"/>
        </w:rPr>
        <w:t xml:space="preserve">al cual en lo subsecuente se le denominará </w:t>
      </w:r>
      <w:r w:rsidRPr="00C03B32">
        <w:rPr>
          <w:rFonts w:ascii="Palatino Linotype" w:eastAsia="Palatino Linotype" w:hAnsi="Palatino Linotype" w:cs="Palatino Linotype"/>
          <w:b/>
        </w:rPr>
        <w:t xml:space="preserve">EL SUJETO OBLIGADO, </w:t>
      </w:r>
      <w:r w:rsidRPr="00C03B32">
        <w:rPr>
          <w:rFonts w:ascii="Palatino Linotype" w:eastAsia="Palatino Linotype" w:hAnsi="Palatino Linotype" w:cs="Palatino Linotype"/>
        </w:rPr>
        <w:t>se procede a dictar la presente resolución con base en lo siguiente:</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center"/>
        <w:rPr>
          <w:rFonts w:ascii="Palatino Linotype" w:eastAsia="Palatino Linotype" w:hAnsi="Palatino Linotype" w:cs="Palatino Linotype"/>
          <w:b/>
        </w:rPr>
      </w:pPr>
      <w:r w:rsidRPr="00C03B32">
        <w:rPr>
          <w:rFonts w:ascii="Palatino Linotype" w:eastAsia="Palatino Linotype" w:hAnsi="Palatino Linotype" w:cs="Palatino Linotype"/>
          <w:b/>
          <w:sz w:val="28"/>
          <w:szCs w:val="28"/>
        </w:rPr>
        <w:t>A N T E C E D E N T E S</w:t>
      </w:r>
    </w:p>
    <w:p w:rsidR="00BE727E" w:rsidRPr="00C03B32" w:rsidRDefault="00BE727E">
      <w:pPr>
        <w:rPr>
          <w:rFonts w:ascii="Palatino Linotype" w:eastAsia="Palatino Linotype" w:hAnsi="Palatino Linotype" w:cs="Palatino Linotype"/>
          <w:b/>
        </w:rPr>
      </w:pPr>
    </w:p>
    <w:p w:rsidR="00BE727E" w:rsidRPr="00C03B32" w:rsidRDefault="00B301C6">
      <w:pPr>
        <w:spacing w:line="360" w:lineRule="auto"/>
        <w:jc w:val="both"/>
        <w:rPr>
          <w:rFonts w:ascii="Palatino Linotype" w:eastAsia="Palatino Linotype" w:hAnsi="Palatino Linotype" w:cs="Palatino Linotype"/>
          <w:b/>
          <w:sz w:val="28"/>
          <w:szCs w:val="28"/>
        </w:rPr>
      </w:pPr>
      <w:bookmarkStart w:id="0" w:name="_heading=h.gjdgxs" w:colFirst="0" w:colLast="0"/>
      <w:bookmarkEnd w:id="0"/>
      <w:r w:rsidRPr="00C03B32">
        <w:rPr>
          <w:rFonts w:ascii="Palatino Linotype" w:eastAsia="Palatino Linotype" w:hAnsi="Palatino Linotype" w:cs="Palatino Linotype"/>
          <w:b/>
          <w:sz w:val="28"/>
          <w:szCs w:val="28"/>
        </w:rPr>
        <w:t>I.</w:t>
      </w:r>
      <w:r w:rsidRPr="00C03B32">
        <w:rPr>
          <w:rFonts w:ascii="Palatino Linotype" w:eastAsia="Palatino Linotype" w:hAnsi="Palatino Linotype" w:cs="Palatino Linotype"/>
          <w:b/>
        </w:rPr>
        <w:t xml:space="preserve"> </w:t>
      </w:r>
      <w:r w:rsidRPr="00C03B32">
        <w:rPr>
          <w:rFonts w:ascii="Palatino Linotype" w:eastAsia="Palatino Linotype" w:hAnsi="Palatino Linotype" w:cs="Palatino Linotype"/>
          <w:b/>
          <w:sz w:val="28"/>
          <w:szCs w:val="28"/>
        </w:rPr>
        <w:t>De la Solicitud de Información</w:t>
      </w:r>
    </w:p>
    <w:p w:rsidR="00BE727E" w:rsidRPr="00C03B32" w:rsidRDefault="00B301C6">
      <w:pPr>
        <w:spacing w:line="360" w:lineRule="auto"/>
        <w:jc w:val="both"/>
        <w:rPr>
          <w:rFonts w:ascii="Palatino Linotype" w:eastAsia="Palatino Linotype" w:hAnsi="Palatino Linotype" w:cs="Palatino Linotype"/>
        </w:rPr>
      </w:pPr>
      <w:bookmarkStart w:id="1" w:name="_heading=h.eccwy3be8vjo" w:colFirst="0" w:colLast="0"/>
      <w:bookmarkEnd w:id="1"/>
      <w:r w:rsidRPr="00C03B32">
        <w:rPr>
          <w:rFonts w:ascii="Palatino Linotype" w:eastAsia="Palatino Linotype" w:hAnsi="Palatino Linotype" w:cs="Palatino Linotype"/>
        </w:rPr>
        <w:t xml:space="preserve">El </w:t>
      </w:r>
      <w:r w:rsidRPr="00C03B32">
        <w:rPr>
          <w:rFonts w:ascii="Palatino Linotype" w:eastAsia="Palatino Linotype" w:hAnsi="Palatino Linotype" w:cs="Palatino Linotype"/>
          <w:b/>
        </w:rPr>
        <w:t>trece de agosto de dos mil veintidós</w:t>
      </w:r>
      <w:r w:rsidRPr="00C03B32">
        <w:rPr>
          <w:rFonts w:ascii="Palatino Linotype" w:eastAsia="Palatino Linotype" w:hAnsi="Palatino Linotype" w:cs="Palatino Linotype"/>
        </w:rPr>
        <w:t xml:space="preserve">, </w:t>
      </w:r>
      <w:r w:rsidRPr="00C03B32">
        <w:rPr>
          <w:rFonts w:ascii="Palatino Linotype" w:eastAsia="Palatino Linotype" w:hAnsi="Palatino Linotype" w:cs="Palatino Linotype"/>
          <w:b/>
        </w:rPr>
        <w:t>EL RECURRENTE</w:t>
      </w:r>
      <w:r w:rsidRPr="00C03B32">
        <w:rPr>
          <w:rFonts w:ascii="Palatino Linotype" w:eastAsia="Palatino Linotype" w:hAnsi="Palatino Linotype" w:cs="Palatino Linotype"/>
        </w:rPr>
        <w:t xml:space="preserve"> presentó a través del Sistema de Acceso a la Información Mexiquense, en lo subsecuente </w:t>
      </w:r>
      <w:r w:rsidRPr="00C03B32">
        <w:rPr>
          <w:rFonts w:ascii="Palatino Linotype" w:eastAsia="Palatino Linotype" w:hAnsi="Palatino Linotype" w:cs="Palatino Linotype"/>
          <w:b/>
        </w:rPr>
        <w:t>EL SAIMEX</w:t>
      </w:r>
      <w:r w:rsidRPr="00C03B32">
        <w:rPr>
          <w:rFonts w:ascii="Palatino Linotype" w:eastAsia="Palatino Linotype" w:hAnsi="Palatino Linotype" w:cs="Palatino Linotype"/>
        </w:rPr>
        <w:t xml:space="preserve"> ante </w:t>
      </w:r>
      <w:r w:rsidRPr="00C03B32">
        <w:rPr>
          <w:rFonts w:ascii="Palatino Linotype" w:eastAsia="Palatino Linotype" w:hAnsi="Palatino Linotype" w:cs="Palatino Linotype"/>
          <w:b/>
        </w:rPr>
        <w:t>EL SUJETO OBLIGADO</w:t>
      </w:r>
      <w:r w:rsidRPr="00C03B32">
        <w:rPr>
          <w:rFonts w:ascii="Palatino Linotype" w:eastAsia="Palatino Linotype" w:hAnsi="Palatino Linotype" w:cs="Palatino Linotype"/>
        </w:rPr>
        <w:t xml:space="preserve">, las solicitudes de Acceso a la Información Pública, a las cuales se le asignaron los números de expediente </w:t>
      </w:r>
      <w:r w:rsidRPr="00C03B32">
        <w:rPr>
          <w:rFonts w:ascii="Palatino Linotype" w:eastAsia="Palatino Linotype" w:hAnsi="Palatino Linotype" w:cs="Palatino Linotype"/>
          <w:b/>
        </w:rPr>
        <w:t xml:space="preserve">01400/AMECAMEC/IP/2022, 01401/AMECAMEC/IP/2022, 01402/AMECAMEC/IP/2022, </w:t>
      </w:r>
      <w:r w:rsidRPr="00C03B32">
        <w:rPr>
          <w:rFonts w:ascii="Palatino Linotype" w:eastAsia="Palatino Linotype" w:hAnsi="Palatino Linotype" w:cs="Palatino Linotype"/>
          <w:b/>
        </w:rPr>
        <w:lastRenderedPageBreak/>
        <w:t xml:space="preserve">01403/AMECAMEC/IP/2022 y 01404/AMECAMEC/IP/2022 </w:t>
      </w:r>
      <w:r w:rsidRPr="00C03B32">
        <w:rPr>
          <w:rFonts w:ascii="Palatino Linotype" w:eastAsia="Palatino Linotype" w:hAnsi="Palatino Linotype" w:cs="Palatino Linotype"/>
        </w:rPr>
        <w:t>mediante las cuales el particular requirió, lo siguiente:</w:t>
      </w:r>
    </w:p>
    <w:p w:rsidR="00BE727E" w:rsidRPr="00C03B32" w:rsidRDefault="00BE727E">
      <w:pPr>
        <w:spacing w:line="360" w:lineRule="auto"/>
        <w:jc w:val="both"/>
        <w:rPr>
          <w:rFonts w:ascii="Palatino Linotype" w:eastAsia="Palatino Linotype" w:hAnsi="Palatino Linotype" w:cs="Palatino Linotype"/>
        </w:rPr>
      </w:pPr>
      <w:bookmarkStart w:id="2" w:name="_heading=h.ck4h1jecfd32" w:colFirst="0" w:colLast="0"/>
      <w:bookmarkEnd w:id="2"/>
    </w:p>
    <w:tbl>
      <w:tblPr>
        <w:tblStyle w:val="afffffffb"/>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5"/>
        <w:gridCol w:w="5640"/>
      </w:tblGrid>
      <w:tr w:rsidR="00BE727E" w:rsidRPr="00C03B32">
        <w:tc>
          <w:tcPr>
            <w:tcW w:w="3465" w:type="dxa"/>
            <w:shd w:val="clear" w:color="auto" w:fill="auto"/>
            <w:tcMar>
              <w:top w:w="100" w:type="dxa"/>
              <w:left w:w="100" w:type="dxa"/>
              <w:bottom w:w="100" w:type="dxa"/>
              <w:right w:w="100" w:type="dxa"/>
            </w:tcMar>
          </w:tcPr>
          <w:p w:rsidR="00BE727E" w:rsidRPr="00C03B32" w:rsidRDefault="00B301C6">
            <w:pPr>
              <w:widowControl w:val="0"/>
              <w:pBdr>
                <w:top w:val="nil"/>
                <w:left w:val="nil"/>
                <w:bottom w:val="nil"/>
                <w:right w:val="nil"/>
                <w:between w:val="nil"/>
              </w:pBdr>
              <w:jc w:val="center"/>
              <w:rPr>
                <w:rFonts w:ascii="Palatino Linotype" w:eastAsia="Palatino Linotype" w:hAnsi="Palatino Linotype" w:cs="Palatino Linotype"/>
                <w:b/>
                <w:u w:val="single"/>
              </w:rPr>
            </w:pPr>
            <w:r w:rsidRPr="00C03B32">
              <w:rPr>
                <w:rFonts w:ascii="Palatino Linotype" w:eastAsia="Palatino Linotype" w:hAnsi="Palatino Linotype" w:cs="Palatino Linotype"/>
                <w:b/>
                <w:u w:val="single"/>
              </w:rPr>
              <w:t>Número de Folio de la Solicitud</w:t>
            </w:r>
          </w:p>
        </w:tc>
        <w:tc>
          <w:tcPr>
            <w:tcW w:w="5640" w:type="dxa"/>
            <w:shd w:val="clear" w:color="auto" w:fill="auto"/>
            <w:tcMar>
              <w:top w:w="100" w:type="dxa"/>
              <w:left w:w="100" w:type="dxa"/>
              <w:bottom w:w="100" w:type="dxa"/>
              <w:right w:w="100" w:type="dxa"/>
            </w:tcMar>
          </w:tcPr>
          <w:p w:rsidR="00BE727E" w:rsidRPr="00C03B32" w:rsidRDefault="00B301C6">
            <w:pPr>
              <w:widowControl w:val="0"/>
              <w:pBdr>
                <w:top w:val="nil"/>
                <w:left w:val="nil"/>
                <w:bottom w:val="nil"/>
                <w:right w:val="nil"/>
                <w:between w:val="nil"/>
              </w:pBdr>
              <w:jc w:val="center"/>
              <w:rPr>
                <w:rFonts w:ascii="Palatino Linotype" w:eastAsia="Palatino Linotype" w:hAnsi="Palatino Linotype" w:cs="Palatino Linotype"/>
                <w:b/>
                <w:u w:val="single"/>
              </w:rPr>
            </w:pPr>
            <w:r w:rsidRPr="00C03B32">
              <w:rPr>
                <w:rFonts w:ascii="Palatino Linotype" w:eastAsia="Palatino Linotype" w:hAnsi="Palatino Linotype" w:cs="Palatino Linotype"/>
                <w:b/>
                <w:u w:val="single"/>
              </w:rPr>
              <w:t xml:space="preserve">Solicitud </w:t>
            </w:r>
          </w:p>
        </w:tc>
      </w:tr>
      <w:tr w:rsidR="00BE727E" w:rsidRPr="00C03B32">
        <w:tc>
          <w:tcPr>
            <w:tcW w:w="3465" w:type="dxa"/>
            <w:shd w:val="clear" w:color="auto" w:fill="auto"/>
            <w:tcMar>
              <w:top w:w="100" w:type="dxa"/>
              <w:left w:w="100" w:type="dxa"/>
              <w:bottom w:w="100" w:type="dxa"/>
              <w:right w:w="100" w:type="dxa"/>
            </w:tcMar>
          </w:tcPr>
          <w:p w:rsidR="00BE727E" w:rsidRPr="00C03B32" w:rsidRDefault="00B301C6">
            <w:pPr>
              <w:spacing w:line="360" w:lineRule="auto"/>
              <w:jc w:val="both"/>
              <w:rPr>
                <w:rFonts w:ascii="Palatino Linotype" w:eastAsia="Palatino Linotype" w:hAnsi="Palatino Linotype" w:cs="Palatino Linotype"/>
                <w:sz w:val="20"/>
                <w:szCs w:val="20"/>
              </w:rPr>
            </w:pPr>
            <w:r w:rsidRPr="00C03B32">
              <w:rPr>
                <w:rFonts w:ascii="Palatino Linotype" w:eastAsia="Palatino Linotype" w:hAnsi="Palatino Linotype" w:cs="Palatino Linotype"/>
                <w:b/>
                <w:sz w:val="24"/>
                <w:szCs w:val="24"/>
              </w:rPr>
              <w:t>01400/AMECAMEC/IP/2022</w:t>
            </w:r>
          </w:p>
        </w:tc>
        <w:tc>
          <w:tcPr>
            <w:tcW w:w="5640" w:type="dxa"/>
            <w:shd w:val="clear" w:color="auto" w:fill="auto"/>
            <w:tcMar>
              <w:top w:w="100" w:type="dxa"/>
              <w:left w:w="100" w:type="dxa"/>
              <w:bottom w:w="100" w:type="dxa"/>
              <w:right w:w="100" w:type="dxa"/>
            </w:tcMar>
          </w:tcPr>
          <w:p w:rsidR="00BE727E" w:rsidRPr="00C03B32" w:rsidRDefault="00B301C6">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C03B32">
              <w:rPr>
                <w:rFonts w:ascii="Palatino Linotype" w:eastAsia="Palatino Linotype" w:hAnsi="Palatino Linotype" w:cs="Palatino Linotype"/>
                <w:i/>
                <w:sz w:val="20"/>
                <w:szCs w:val="20"/>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Los certificados de plano manzanero generados en la segunda quincena de abril 2022. 2. Los recibos de pago generados por este trámite. 3. El diario de ingresos del mes solicitado. 4. La cédula de información REMTYS del trámite. 5. La cedula profesional del servidor público que da la atención.” (Sic)</w:t>
            </w:r>
          </w:p>
        </w:tc>
      </w:tr>
      <w:tr w:rsidR="00BE727E" w:rsidRPr="00C03B32">
        <w:tc>
          <w:tcPr>
            <w:tcW w:w="3465" w:type="dxa"/>
            <w:shd w:val="clear" w:color="auto" w:fill="auto"/>
            <w:tcMar>
              <w:top w:w="100" w:type="dxa"/>
              <w:left w:w="100" w:type="dxa"/>
              <w:bottom w:w="100" w:type="dxa"/>
              <w:right w:w="100" w:type="dxa"/>
            </w:tcMar>
          </w:tcPr>
          <w:p w:rsidR="00BE727E" w:rsidRPr="00C03B32" w:rsidRDefault="00B301C6">
            <w:pPr>
              <w:spacing w:line="360" w:lineRule="auto"/>
              <w:jc w:val="both"/>
              <w:rPr>
                <w:rFonts w:ascii="Palatino Linotype" w:eastAsia="Palatino Linotype" w:hAnsi="Palatino Linotype" w:cs="Palatino Linotype"/>
                <w:b/>
                <w:sz w:val="24"/>
                <w:szCs w:val="24"/>
              </w:rPr>
            </w:pPr>
            <w:r w:rsidRPr="00C03B32">
              <w:rPr>
                <w:rFonts w:ascii="Palatino Linotype" w:eastAsia="Palatino Linotype" w:hAnsi="Palatino Linotype" w:cs="Palatino Linotype"/>
                <w:b/>
                <w:sz w:val="24"/>
                <w:szCs w:val="24"/>
              </w:rPr>
              <w:t>01401/AMECAMEC/IP/2022</w:t>
            </w:r>
          </w:p>
        </w:tc>
        <w:tc>
          <w:tcPr>
            <w:tcW w:w="5640" w:type="dxa"/>
            <w:shd w:val="clear" w:color="auto" w:fill="auto"/>
            <w:tcMar>
              <w:top w:w="100" w:type="dxa"/>
              <w:left w:w="100" w:type="dxa"/>
              <w:bottom w:w="100" w:type="dxa"/>
              <w:right w:w="100" w:type="dxa"/>
            </w:tcMar>
          </w:tcPr>
          <w:p w:rsidR="00BE727E" w:rsidRPr="00C03B32" w:rsidRDefault="00B301C6">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C03B32">
              <w:rPr>
                <w:rFonts w:ascii="Palatino Linotype" w:eastAsia="Palatino Linotype" w:hAnsi="Palatino Linotype" w:cs="Palatino Linotype"/>
                <w:i/>
                <w:sz w:val="20"/>
                <w:szCs w:val="20"/>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Los certificados de plano manzanero generados en la primera quincena de mayo 2022. 2. Los recibos de pago generados por este trámite. 3. El diario de ingresos del mes solicitado. 4. La cédula de información REMTYS del trámite. 5. La cedula profesional del servidor público que da la atención.” (Sic)</w:t>
            </w:r>
          </w:p>
        </w:tc>
      </w:tr>
      <w:tr w:rsidR="00BE727E" w:rsidRPr="00C03B32">
        <w:tc>
          <w:tcPr>
            <w:tcW w:w="3465" w:type="dxa"/>
            <w:shd w:val="clear" w:color="auto" w:fill="auto"/>
            <w:tcMar>
              <w:top w:w="100" w:type="dxa"/>
              <w:left w:w="100" w:type="dxa"/>
              <w:bottom w:w="100" w:type="dxa"/>
              <w:right w:w="100" w:type="dxa"/>
            </w:tcMar>
          </w:tcPr>
          <w:p w:rsidR="00BE727E" w:rsidRPr="00C03B32" w:rsidRDefault="00B301C6">
            <w:pPr>
              <w:spacing w:line="360" w:lineRule="auto"/>
              <w:jc w:val="both"/>
              <w:rPr>
                <w:rFonts w:ascii="Palatino Linotype" w:eastAsia="Palatino Linotype" w:hAnsi="Palatino Linotype" w:cs="Palatino Linotype"/>
                <w:b/>
                <w:sz w:val="24"/>
                <w:szCs w:val="24"/>
              </w:rPr>
            </w:pPr>
            <w:r w:rsidRPr="00C03B32">
              <w:rPr>
                <w:rFonts w:ascii="Palatino Linotype" w:eastAsia="Palatino Linotype" w:hAnsi="Palatino Linotype" w:cs="Palatino Linotype"/>
                <w:b/>
                <w:sz w:val="24"/>
                <w:szCs w:val="24"/>
              </w:rPr>
              <w:t>01402/AMECAMEC/IP/2022</w:t>
            </w:r>
          </w:p>
        </w:tc>
        <w:tc>
          <w:tcPr>
            <w:tcW w:w="5640" w:type="dxa"/>
            <w:shd w:val="clear" w:color="auto" w:fill="auto"/>
            <w:tcMar>
              <w:top w:w="100" w:type="dxa"/>
              <w:left w:w="100" w:type="dxa"/>
              <w:bottom w:w="100" w:type="dxa"/>
              <w:right w:w="100" w:type="dxa"/>
            </w:tcMar>
          </w:tcPr>
          <w:p w:rsidR="00BE727E" w:rsidRPr="00C03B32" w:rsidRDefault="00B301C6">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C03B32">
              <w:rPr>
                <w:rFonts w:ascii="Palatino Linotype" w:eastAsia="Palatino Linotype" w:hAnsi="Palatino Linotype" w:cs="Palatino Linotype"/>
                <w:i/>
                <w:sz w:val="20"/>
                <w:szCs w:val="20"/>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Los certificados de plano manzanero generados en la primera quincena de mayo 2022. 2. Los recibos de pago generados por este trámite. 3. El diario de ingresos del mes solicitado. 4. La cédula de información REMTYS del trámite. 5. La cedula profesional del servidor público que da la atención..” (Sic)</w:t>
            </w:r>
          </w:p>
        </w:tc>
      </w:tr>
      <w:tr w:rsidR="00BE727E" w:rsidRPr="00C03B32">
        <w:tc>
          <w:tcPr>
            <w:tcW w:w="3465" w:type="dxa"/>
            <w:shd w:val="clear" w:color="auto" w:fill="auto"/>
            <w:tcMar>
              <w:top w:w="100" w:type="dxa"/>
              <w:left w:w="100" w:type="dxa"/>
              <w:bottom w:w="100" w:type="dxa"/>
              <w:right w:w="100" w:type="dxa"/>
            </w:tcMar>
          </w:tcPr>
          <w:p w:rsidR="00BE727E" w:rsidRPr="00C03B32" w:rsidRDefault="00B301C6">
            <w:pPr>
              <w:spacing w:line="360" w:lineRule="auto"/>
              <w:jc w:val="both"/>
              <w:rPr>
                <w:rFonts w:ascii="Palatino Linotype" w:eastAsia="Palatino Linotype" w:hAnsi="Palatino Linotype" w:cs="Palatino Linotype"/>
                <w:b/>
                <w:sz w:val="24"/>
                <w:szCs w:val="24"/>
              </w:rPr>
            </w:pPr>
            <w:r w:rsidRPr="00C03B32">
              <w:rPr>
                <w:rFonts w:ascii="Palatino Linotype" w:eastAsia="Palatino Linotype" w:hAnsi="Palatino Linotype" w:cs="Palatino Linotype"/>
                <w:b/>
                <w:sz w:val="24"/>
                <w:szCs w:val="24"/>
              </w:rPr>
              <w:t>01403/AMECAMEC/IP/2022</w:t>
            </w:r>
          </w:p>
        </w:tc>
        <w:tc>
          <w:tcPr>
            <w:tcW w:w="5640" w:type="dxa"/>
            <w:shd w:val="clear" w:color="auto" w:fill="auto"/>
            <w:tcMar>
              <w:top w:w="100" w:type="dxa"/>
              <w:left w:w="100" w:type="dxa"/>
              <w:bottom w:w="100" w:type="dxa"/>
              <w:right w:w="100" w:type="dxa"/>
            </w:tcMar>
          </w:tcPr>
          <w:p w:rsidR="00BE727E" w:rsidRPr="00C03B32" w:rsidRDefault="00B301C6">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C03B32">
              <w:rPr>
                <w:rFonts w:ascii="Palatino Linotype" w:eastAsia="Palatino Linotype" w:hAnsi="Palatino Linotype" w:cs="Palatino Linotype"/>
                <w:i/>
                <w:sz w:val="20"/>
                <w:szCs w:val="20"/>
              </w:rPr>
              <w:t xml:space="preserve">“Con fundamento en lo dispuesto por los artículos 4, 15, 16 y 17 de la Ley de Transparencia y Acceso a la Información Pública del Estado de México y Municipios, ejerciendo mi derecho al acceso de </w:t>
            </w:r>
            <w:r w:rsidRPr="00C03B32">
              <w:rPr>
                <w:rFonts w:ascii="Palatino Linotype" w:eastAsia="Palatino Linotype" w:hAnsi="Palatino Linotype" w:cs="Palatino Linotype"/>
                <w:i/>
                <w:sz w:val="20"/>
                <w:szCs w:val="20"/>
              </w:rPr>
              <w:lastRenderedPageBreak/>
              <w:t>información, consagrado en nuestra Carta Magna, requiero conocer lo siguiente: Los certificados de plano manzanero generados en la primera quincena de junio 2022. 2. Los recibos de pago generados por este trámite. 3. El diario de ingresos del mes solicitado. 4. La cédula de información REMTYS del trámite. 5. La cedula profesional del servidor público que da la atención.” (Sic)</w:t>
            </w:r>
          </w:p>
        </w:tc>
      </w:tr>
      <w:tr w:rsidR="00BE727E" w:rsidRPr="00C03B32">
        <w:trPr>
          <w:trHeight w:val="2578"/>
        </w:trPr>
        <w:tc>
          <w:tcPr>
            <w:tcW w:w="3465" w:type="dxa"/>
            <w:shd w:val="clear" w:color="auto" w:fill="auto"/>
            <w:tcMar>
              <w:top w:w="100" w:type="dxa"/>
              <w:left w:w="100" w:type="dxa"/>
              <w:bottom w:w="100" w:type="dxa"/>
              <w:right w:w="100" w:type="dxa"/>
            </w:tcMar>
          </w:tcPr>
          <w:p w:rsidR="00BE727E" w:rsidRPr="00C03B32" w:rsidRDefault="00B301C6">
            <w:pPr>
              <w:spacing w:line="360" w:lineRule="auto"/>
              <w:jc w:val="both"/>
              <w:rPr>
                <w:rFonts w:ascii="Palatino Linotype" w:eastAsia="Palatino Linotype" w:hAnsi="Palatino Linotype" w:cs="Palatino Linotype"/>
                <w:b/>
                <w:sz w:val="24"/>
                <w:szCs w:val="24"/>
              </w:rPr>
            </w:pPr>
            <w:r w:rsidRPr="00C03B32">
              <w:rPr>
                <w:rFonts w:ascii="Palatino Linotype" w:eastAsia="Palatino Linotype" w:hAnsi="Palatino Linotype" w:cs="Palatino Linotype"/>
                <w:b/>
                <w:sz w:val="24"/>
                <w:szCs w:val="24"/>
              </w:rPr>
              <w:lastRenderedPageBreak/>
              <w:t>01404/AMECAMEC/IP/2022</w:t>
            </w:r>
          </w:p>
        </w:tc>
        <w:tc>
          <w:tcPr>
            <w:tcW w:w="5640" w:type="dxa"/>
            <w:shd w:val="clear" w:color="auto" w:fill="auto"/>
            <w:tcMar>
              <w:top w:w="100" w:type="dxa"/>
              <w:left w:w="100" w:type="dxa"/>
              <w:bottom w:w="100" w:type="dxa"/>
              <w:right w:w="100" w:type="dxa"/>
            </w:tcMar>
          </w:tcPr>
          <w:p w:rsidR="00BE727E" w:rsidRPr="00C03B32" w:rsidRDefault="00B301C6">
            <w:pPr>
              <w:widowControl w:val="0"/>
              <w:jc w:val="both"/>
              <w:rPr>
                <w:rFonts w:ascii="Palatino Linotype" w:eastAsia="Palatino Linotype" w:hAnsi="Palatino Linotype" w:cs="Palatino Linotype"/>
                <w:i/>
                <w:sz w:val="20"/>
                <w:szCs w:val="20"/>
              </w:rPr>
            </w:pPr>
            <w:r w:rsidRPr="00C03B32">
              <w:rPr>
                <w:rFonts w:ascii="Palatino Linotype" w:eastAsia="Palatino Linotype" w:hAnsi="Palatino Linotype" w:cs="Palatino Linotype"/>
                <w:i/>
                <w:sz w:val="20"/>
                <w:szCs w:val="20"/>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Los certificados de plano manzanero generados en la segunda quincena de junio 2022. 2. Los recibos de pago generados por este trámite. 3. El diario de ingresos del mes solicitado. 4. La cédula de información REMTYS del trámite. 5. La cedula profesional del servidor público que da la atención.” (Sic)</w:t>
            </w:r>
          </w:p>
        </w:tc>
      </w:tr>
    </w:tbl>
    <w:p w:rsidR="00BE727E" w:rsidRPr="00C03B32" w:rsidRDefault="00BE727E">
      <w:pPr>
        <w:ind w:right="899"/>
        <w:jc w:val="both"/>
        <w:rPr>
          <w:rFonts w:ascii="Palatino Linotype" w:eastAsia="Palatino Linotype" w:hAnsi="Palatino Linotype" w:cs="Palatino Linotype"/>
          <w:sz w:val="22"/>
          <w:szCs w:val="22"/>
        </w:rPr>
      </w:pPr>
    </w:p>
    <w:p w:rsidR="00BE727E" w:rsidRPr="00C03B32" w:rsidRDefault="00B301C6">
      <w:pPr>
        <w:widowControl w:val="0"/>
        <w:spacing w:line="360" w:lineRule="auto"/>
        <w:jc w:val="both"/>
        <w:rPr>
          <w:rFonts w:ascii="Palatino Linotype" w:eastAsia="Palatino Linotype" w:hAnsi="Palatino Linotype" w:cs="Palatino Linotype"/>
          <w:b/>
        </w:rPr>
      </w:pPr>
      <w:r w:rsidRPr="00C03B32">
        <w:rPr>
          <w:rFonts w:ascii="Palatino Linotype" w:eastAsia="Palatino Linotype" w:hAnsi="Palatino Linotype" w:cs="Palatino Linotype"/>
          <w:b/>
        </w:rPr>
        <w:t xml:space="preserve">MODALIDAD DE ENTREGA: </w:t>
      </w:r>
      <w:r w:rsidRPr="00C03B32">
        <w:rPr>
          <w:rFonts w:ascii="Palatino Linotype" w:eastAsia="Palatino Linotype" w:hAnsi="Palatino Linotype" w:cs="Palatino Linotype"/>
        </w:rPr>
        <w:t xml:space="preserve">Vía </w:t>
      </w:r>
      <w:r w:rsidRPr="00C03B32">
        <w:rPr>
          <w:rFonts w:ascii="Palatino Linotype" w:eastAsia="Palatino Linotype" w:hAnsi="Palatino Linotype" w:cs="Palatino Linotype"/>
          <w:b/>
        </w:rPr>
        <w:t xml:space="preserve">SAIMEX </w:t>
      </w:r>
    </w:p>
    <w:p w:rsidR="00BE727E" w:rsidRPr="00C03B32" w:rsidRDefault="00BE727E">
      <w:pPr>
        <w:widowControl w:val="0"/>
        <w:spacing w:line="360" w:lineRule="auto"/>
        <w:jc w:val="both"/>
        <w:rPr>
          <w:rFonts w:ascii="Palatino Linotype" w:eastAsia="Palatino Linotype" w:hAnsi="Palatino Linotype" w:cs="Palatino Linotype"/>
          <w:b/>
        </w:rPr>
      </w:pPr>
    </w:p>
    <w:p w:rsidR="00BE727E" w:rsidRPr="00C03B32" w:rsidRDefault="00B301C6">
      <w:pPr>
        <w:spacing w:line="360" w:lineRule="auto"/>
        <w:jc w:val="both"/>
        <w:rPr>
          <w:rFonts w:ascii="Palatino Linotype" w:eastAsia="Palatino Linotype" w:hAnsi="Palatino Linotype" w:cs="Palatino Linotype"/>
          <w:b/>
          <w:sz w:val="28"/>
          <w:szCs w:val="28"/>
        </w:rPr>
      </w:pPr>
      <w:r w:rsidRPr="00C03B32">
        <w:rPr>
          <w:rFonts w:ascii="Palatino Linotype" w:eastAsia="Palatino Linotype" w:hAnsi="Palatino Linotype" w:cs="Palatino Linotype"/>
          <w:b/>
          <w:sz w:val="28"/>
          <w:szCs w:val="28"/>
        </w:rPr>
        <w:t>II. Turno de requerimiento del Sujeto Obligado</w:t>
      </w: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De las constancias que obran en los expedientes electrónicos del SAIMEX se advierte en fecha quince de octubre de dos mil veintitrés el turno realizado por la Titular de la Unidad de Transparencia a los servidores públicos habilitados que estimó competentes, en términos de lo establecido por el artículo 162 de la Ley de Transparencia y Acceso a la Información Pública del Estado de México y Municipios. </w:t>
      </w:r>
    </w:p>
    <w:p w:rsidR="00BE727E" w:rsidRPr="00C03B32" w:rsidRDefault="00BE727E">
      <w:pPr>
        <w:widowControl w:val="0"/>
        <w:jc w:val="both"/>
        <w:rPr>
          <w:rFonts w:ascii="Palatino Linotype" w:eastAsia="Palatino Linotype" w:hAnsi="Palatino Linotype" w:cs="Palatino Linotype"/>
          <w:b/>
        </w:rPr>
      </w:pPr>
    </w:p>
    <w:p w:rsidR="00BE727E" w:rsidRPr="00C03B32" w:rsidRDefault="00B301C6">
      <w:pPr>
        <w:widowControl w:val="0"/>
        <w:spacing w:line="360" w:lineRule="auto"/>
        <w:jc w:val="both"/>
        <w:rPr>
          <w:rFonts w:ascii="Palatino Linotype" w:eastAsia="Palatino Linotype" w:hAnsi="Palatino Linotype" w:cs="Palatino Linotype"/>
          <w:b/>
          <w:sz w:val="28"/>
          <w:szCs w:val="28"/>
        </w:rPr>
      </w:pPr>
      <w:r w:rsidRPr="00C03B32">
        <w:rPr>
          <w:rFonts w:ascii="Palatino Linotype" w:eastAsia="Palatino Linotype" w:hAnsi="Palatino Linotype" w:cs="Palatino Linotype"/>
          <w:b/>
          <w:sz w:val="28"/>
          <w:szCs w:val="28"/>
        </w:rPr>
        <w:t>III. Respuesta del Sujeto Obligado</w:t>
      </w:r>
    </w:p>
    <w:p w:rsidR="00BE727E" w:rsidRPr="00C03B32" w:rsidRDefault="00B301C6">
      <w:pPr>
        <w:widowControl w:val="0"/>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El </w:t>
      </w:r>
      <w:r w:rsidRPr="00C03B32">
        <w:rPr>
          <w:rFonts w:ascii="Palatino Linotype" w:eastAsia="Palatino Linotype" w:hAnsi="Palatino Linotype" w:cs="Palatino Linotype"/>
          <w:b/>
        </w:rPr>
        <w:t>cinco de septiembre de dos mil veintidós</w:t>
      </w:r>
      <w:r w:rsidRPr="00C03B32">
        <w:rPr>
          <w:rFonts w:ascii="Palatino Linotype" w:eastAsia="Palatino Linotype" w:hAnsi="Palatino Linotype" w:cs="Palatino Linotype"/>
        </w:rPr>
        <w:t xml:space="preserve">, </w:t>
      </w:r>
      <w:r w:rsidRPr="00C03B32">
        <w:rPr>
          <w:rFonts w:ascii="Palatino Linotype" w:eastAsia="Palatino Linotype" w:hAnsi="Palatino Linotype" w:cs="Palatino Linotype"/>
          <w:b/>
        </w:rPr>
        <w:t>EL SUJETO OBLIGADO</w:t>
      </w:r>
      <w:r w:rsidRPr="00C03B32">
        <w:rPr>
          <w:rFonts w:ascii="Palatino Linotype" w:eastAsia="Palatino Linotype" w:hAnsi="Palatino Linotype" w:cs="Palatino Linotype"/>
        </w:rPr>
        <w:t xml:space="preserve"> dio respuesta a las solicitudes de información en el tenor siguiente: </w:t>
      </w:r>
    </w:p>
    <w:tbl>
      <w:tblPr>
        <w:tblStyle w:val="afffffffc"/>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5625"/>
      </w:tblGrid>
      <w:tr w:rsidR="00BE727E" w:rsidRPr="00C03B32">
        <w:tc>
          <w:tcPr>
            <w:tcW w:w="3480" w:type="dxa"/>
            <w:shd w:val="clear" w:color="auto" w:fill="auto"/>
            <w:tcMar>
              <w:top w:w="100" w:type="dxa"/>
              <w:left w:w="100" w:type="dxa"/>
              <w:bottom w:w="100" w:type="dxa"/>
              <w:right w:w="100" w:type="dxa"/>
            </w:tcMar>
          </w:tcPr>
          <w:p w:rsidR="00BE727E" w:rsidRPr="00C03B32" w:rsidRDefault="00B301C6">
            <w:pPr>
              <w:widowControl w:val="0"/>
              <w:jc w:val="center"/>
              <w:rPr>
                <w:rFonts w:ascii="Palatino Linotype" w:eastAsia="Palatino Linotype" w:hAnsi="Palatino Linotype" w:cs="Palatino Linotype"/>
                <w:b/>
                <w:u w:val="single"/>
              </w:rPr>
            </w:pPr>
            <w:r w:rsidRPr="00C03B32">
              <w:rPr>
                <w:rFonts w:ascii="Palatino Linotype" w:eastAsia="Palatino Linotype" w:hAnsi="Palatino Linotype" w:cs="Palatino Linotype"/>
                <w:b/>
                <w:u w:val="single"/>
              </w:rPr>
              <w:lastRenderedPageBreak/>
              <w:t>Número de Folio de la Solicitud</w:t>
            </w:r>
          </w:p>
        </w:tc>
        <w:tc>
          <w:tcPr>
            <w:tcW w:w="5625" w:type="dxa"/>
            <w:shd w:val="clear" w:color="auto" w:fill="auto"/>
            <w:tcMar>
              <w:top w:w="100" w:type="dxa"/>
              <w:left w:w="100" w:type="dxa"/>
              <w:bottom w:w="100" w:type="dxa"/>
              <w:right w:w="100" w:type="dxa"/>
            </w:tcMar>
          </w:tcPr>
          <w:p w:rsidR="00BE727E" w:rsidRPr="00C03B32" w:rsidRDefault="00B301C6">
            <w:pPr>
              <w:widowControl w:val="0"/>
              <w:jc w:val="center"/>
              <w:rPr>
                <w:rFonts w:ascii="Palatino Linotype" w:eastAsia="Palatino Linotype" w:hAnsi="Palatino Linotype" w:cs="Palatino Linotype"/>
                <w:b/>
                <w:u w:val="single"/>
              </w:rPr>
            </w:pPr>
            <w:r w:rsidRPr="00C03B32">
              <w:rPr>
                <w:rFonts w:ascii="Palatino Linotype" w:eastAsia="Palatino Linotype" w:hAnsi="Palatino Linotype" w:cs="Palatino Linotype"/>
                <w:b/>
                <w:u w:val="single"/>
              </w:rPr>
              <w:t xml:space="preserve">Respuesta </w:t>
            </w:r>
          </w:p>
        </w:tc>
      </w:tr>
      <w:tr w:rsidR="00BE727E" w:rsidRPr="00C03B32">
        <w:trPr>
          <w:trHeight w:val="825"/>
        </w:trPr>
        <w:tc>
          <w:tcPr>
            <w:tcW w:w="3480" w:type="dxa"/>
            <w:shd w:val="clear" w:color="auto" w:fill="auto"/>
            <w:tcMar>
              <w:top w:w="100" w:type="dxa"/>
              <w:left w:w="100" w:type="dxa"/>
              <w:bottom w:w="100" w:type="dxa"/>
              <w:right w:w="100" w:type="dxa"/>
            </w:tcMar>
          </w:tcPr>
          <w:p w:rsidR="00BE727E" w:rsidRPr="00C03B32" w:rsidRDefault="00B301C6">
            <w:pPr>
              <w:spacing w:line="360" w:lineRule="auto"/>
              <w:jc w:val="both"/>
              <w:rPr>
                <w:rFonts w:ascii="Palatino Linotype" w:eastAsia="Palatino Linotype" w:hAnsi="Palatino Linotype" w:cs="Palatino Linotype"/>
                <w:sz w:val="20"/>
                <w:szCs w:val="20"/>
              </w:rPr>
            </w:pPr>
            <w:r w:rsidRPr="00C03B32">
              <w:rPr>
                <w:rFonts w:ascii="Palatino Linotype" w:eastAsia="Palatino Linotype" w:hAnsi="Palatino Linotype" w:cs="Palatino Linotype"/>
                <w:b/>
                <w:sz w:val="24"/>
                <w:szCs w:val="24"/>
              </w:rPr>
              <w:t>01400/AMECAMEC/IP/2022</w:t>
            </w:r>
          </w:p>
        </w:tc>
        <w:tc>
          <w:tcPr>
            <w:tcW w:w="5625" w:type="dxa"/>
            <w:shd w:val="clear" w:color="auto" w:fill="auto"/>
            <w:tcMar>
              <w:top w:w="100" w:type="dxa"/>
              <w:left w:w="100" w:type="dxa"/>
              <w:bottom w:w="100" w:type="dxa"/>
              <w:right w:w="100" w:type="dxa"/>
            </w:tcMar>
          </w:tcPr>
          <w:p w:rsidR="00BE727E" w:rsidRPr="00C03B32" w:rsidRDefault="00B301C6">
            <w:pPr>
              <w:widowControl w:val="0"/>
              <w:spacing w:line="276" w:lineRule="auto"/>
              <w:jc w:val="both"/>
              <w:rPr>
                <w:rFonts w:ascii="Palatino Linotype" w:eastAsia="Palatino Linotype" w:hAnsi="Palatino Linotype" w:cs="Palatino Linotype"/>
                <w:i/>
              </w:rPr>
            </w:pPr>
            <w:r w:rsidRPr="00C03B32">
              <w:rPr>
                <w:rFonts w:ascii="Palatino Linotype" w:eastAsia="Palatino Linotype" w:hAnsi="Palatino Linotype" w:cs="Palatino Linotype"/>
              </w:rPr>
              <w:t>“</w:t>
            </w:r>
            <w:r w:rsidRPr="00C03B32">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E727E" w:rsidRPr="00C03B32" w:rsidRDefault="00B301C6">
            <w:pPr>
              <w:widowControl w:val="0"/>
              <w:spacing w:line="276" w:lineRule="auto"/>
              <w:jc w:val="both"/>
              <w:rPr>
                <w:rFonts w:ascii="Palatino Linotype" w:eastAsia="Palatino Linotype" w:hAnsi="Palatino Linotype" w:cs="Palatino Linotype"/>
                <w:i/>
              </w:rPr>
            </w:pPr>
            <w:r w:rsidRPr="00C03B32">
              <w:rPr>
                <w:rFonts w:ascii="Palatino Linotype" w:eastAsia="Palatino Linotype" w:hAnsi="Palatino Linotype" w:cs="Palatino Linotype"/>
                <w:i/>
              </w:rPr>
              <w:t>Muy buenos días en respuesta a su solicitud adjunto archivo con la respuesta de las áreas quedando de usted para cualquier aclaración. Sin antes enviarle un cordial saludo. https://amecameca.gob.mx/pdf/mejora-regulatoria/remtys/tesoreria-municipal/CERTIFICACION-DE-PLANO-MANZANERO.pdf DIARIO ABRIL 1.- Se otorgaron 2 certificaciones de plano manzanero en la segunda quincena de abril de 2022. 2.- Se cuentan con 2 recibos de pago correspondientes a los certificados de plano manzanero otorgados en la segunda quincena de abril de 2022”(Sic)</w:t>
            </w:r>
          </w:p>
          <w:p w:rsidR="00BE727E" w:rsidRPr="00C03B32" w:rsidRDefault="00BE727E">
            <w:pPr>
              <w:widowControl w:val="0"/>
              <w:spacing w:line="276" w:lineRule="auto"/>
              <w:jc w:val="both"/>
              <w:rPr>
                <w:rFonts w:ascii="Palatino Linotype" w:eastAsia="Palatino Linotype" w:hAnsi="Palatino Linotype" w:cs="Palatino Linotype"/>
              </w:rPr>
            </w:pPr>
          </w:p>
          <w:p w:rsidR="00BE727E" w:rsidRPr="00C03B32" w:rsidRDefault="00B301C6">
            <w:pPr>
              <w:widowControl w:val="0"/>
              <w:spacing w:line="276"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Adjuntando los documentos que se describen a continuación:</w:t>
            </w:r>
          </w:p>
          <w:p w:rsidR="00BE727E" w:rsidRPr="00C03B32" w:rsidRDefault="00B301C6">
            <w:pPr>
              <w:widowControl w:val="0"/>
              <w:numPr>
                <w:ilvl w:val="0"/>
                <w:numId w:val="4"/>
              </w:numPr>
              <w:spacing w:line="276" w:lineRule="auto"/>
              <w:jc w:val="both"/>
              <w:rPr>
                <w:rFonts w:ascii="Palatino Linotype" w:eastAsia="Palatino Linotype" w:hAnsi="Palatino Linotype" w:cs="Palatino Linotype"/>
                <w:i/>
              </w:rPr>
            </w:pPr>
            <w:r w:rsidRPr="00C03B32">
              <w:rPr>
                <w:rFonts w:ascii="Palatino Linotype" w:eastAsia="Palatino Linotype" w:hAnsi="Palatino Linotype" w:cs="Palatino Linotype"/>
                <w:i/>
              </w:rPr>
              <w:t xml:space="preserve">ABRIL.pdf: </w:t>
            </w:r>
            <w:r w:rsidRPr="00C03B32">
              <w:rPr>
                <w:rFonts w:ascii="Palatino Linotype" w:eastAsia="Palatino Linotype" w:hAnsi="Palatino Linotype" w:cs="Palatino Linotype"/>
              </w:rPr>
              <w:t xml:space="preserve">Diario de Ingresos del mes de abril de dos mil veintidós </w:t>
            </w:r>
          </w:p>
          <w:p w:rsidR="00BE727E" w:rsidRPr="00C03B32" w:rsidRDefault="00B301C6">
            <w:pPr>
              <w:widowControl w:val="0"/>
              <w:numPr>
                <w:ilvl w:val="0"/>
                <w:numId w:val="4"/>
              </w:numPr>
              <w:spacing w:line="276" w:lineRule="auto"/>
              <w:jc w:val="both"/>
              <w:rPr>
                <w:rFonts w:ascii="Palatino Linotype" w:eastAsia="Palatino Linotype" w:hAnsi="Palatino Linotype" w:cs="Palatino Linotype"/>
                <w:i/>
              </w:rPr>
            </w:pPr>
            <w:r w:rsidRPr="00C03B32">
              <w:rPr>
                <w:rFonts w:ascii="Palatino Linotype" w:eastAsia="Palatino Linotype" w:hAnsi="Palatino Linotype" w:cs="Palatino Linotype"/>
                <w:i/>
              </w:rPr>
              <w:t xml:space="preserve">Informacion Confidencial de Certificado de Plano Manzanero.pdf: </w:t>
            </w:r>
            <w:r w:rsidRPr="00C03B32">
              <w:rPr>
                <w:rFonts w:ascii="Palatino Linotype" w:eastAsia="Palatino Linotype" w:hAnsi="Palatino Linotype" w:cs="Palatino Linotype"/>
              </w:rPr>
              <w:t xml:space="preserve">documento del que se advierten los datos clasificados en el plano </w:t>
            </w:r>
          </w:p>
          <w:p w:rsidR="00BE727E" w:rsidRPr="00C03B32" w:rsidRDefault="00B301C6">
            <w:pPr>
              <w:widowControl w:val="0"/>
              <w:numPr>
                <w:ilvl w:val="0"/>
                <w:numId w:val="4"/>
              </w:numPr>
              <w:spacing w:line="276" w:lineRule="auto"/>
              <w:jc w:val="both"/>
              <w:rPr>
                <w:rFonts w:ascii="Palatino Linotype" w:eastAsia="Palatino Linotype" w:hAnsi="Palatino Linotype" w:cs="Palatino Linotype"/>
                <w:i/>
              </w:rPr>
            </w:pPr>
            <w:r w:rsidRPr="00C03B32">
              <w:rPr>
                <w:rFonts w:ascii="Palatino Linotype" w:eastAsia="Palatino Linotype" w:hAnsi="Palatino Linotype" w:cs="Palatino Linotype"/>
                <w:i/>
              </w:rPr>
              <w:t xml:space="preserve">Cedula Profesional.pdf: </w:t>
            </w:r>
            <w:r w:rsidRPr="00C03B32">
              <w:rPr>
                <w:rFonts w:ascii="Palatino Linotype" w:eastAsia="Palatino Linotype" w:hAnsi="Palatino Linotype" w:cs="Palatino Linotype"/>
              </w:rPr>
              <w:t xml:space="preserve">Cédula Profesional del servidor público requerido </w:t>
            </w:r>
          </w:p>
        </w:tc>
      </w:tr>
      <w:tr w:rsidR="00BE727E" w:rsidRPr="00C03B32">
        <w:tc>
          <w:tcPr>
            <w:tcW w:w="3480" w:type="dxa"/>
            <w:shd w:val="clear" w:color="auto" w:fill="auto"/>
            <w:tcMar>
              <w:top w:w="100" w:type="dxa"/>
              <w:left w:w="100" w:type="dxa"/>
              <w:bottom w:w="100" w:type="dxa"/>
              <w:right w:w="100" w:type="dxa"/>
            </w:tcMar>
          </w:tcPr>
          <w:p w:rsidR="00BE727E" w:rsidRPr="00C03B32" w:rsidRDefault="00B301C6">
            <w:pPr>
              <w:spacing w:line="360" w:lineRule="auto"/>
              <w:jc w:val="both"/>
              <w:rPr>
                <w:rFonts w:ascii="Palatino Linotype" w:eastAsia="Palatino Linotype" w:hAnsi="Palatino Linotype" w:cs="Palatino Linotype"/>
                <w:b/>
                <w:sz w:val="24"/>
                <w:szCs w:val="24"/>
              </w:rPr>
            </w:pPr>
            <w:r w:rsidRPr="00C03B32">
              <w:rPr>
                <w:rFonts w:ascii="Palatino Linotype" w:eastAsia="Palatino Linotype" w:hAnsi="Palatino Linotype" w:cs="Palatino Linotype"/>
                <w:b/>
                <w:sz w:val="24"/>
                <w:szCs w:val="24"/>
              </w:rPr>
              <w:t>01401/AMECAMEC/IP/2022</w:t>
            </w:r>
          </w:p>
        </w:tc>
        <w:tc>
          <w:tcPr>
            <w:tcW w:w="5625" w:type="dxa"/>
            <w:shd w:val="clear" w:color="auto" w:fill="auto"/>
            <w:tcMar>
              <w:top w:w="100" w:type="dxa"/>
              <w:left w:w="100" w:type="dxa"/>
              <w:bottom w:w="100" w:type="dxa"/>
              <w:right w:w="100" w:type="dxa"/>
            </w:tcMar>
          </w:tcPr>
          <w:p w:rsidR="00BE727E" w:rsidRPr="00C03B32" w:rsidRDefault="00B301C6">
            <w:pPr>
              <w:widowControl w:val="0"/>
              <w:spacing w:line="276" w:lineRule="auto"/>
              <w:jc w:val="both"/>
              <w:rPr>
                <w:rFonts w:ascii="Palatino Linotype" w:eastAsia="Palatino Linotype" w:hAnsi="Palatino Linotype" w:cs="Palatino Linotype"/>
                <w:i/>
              </w:rPr>
            </w:pPr>
            <w:r w:rsidRPr="00C03B32">
              <w:rPr>
                <w:rFonts w:ascii="Palatino Linotype" w:eastAsia="Palatino Linotype" w:hAnsi="Palatino Linotype" w:cs="Palatino Linotype"/>
              </w:rPr>
              <w:t>“</w:t>
            </w:r>
            <w:r w:rsidRPr="00C03B32">
              <w:rPr>
                <w:rFonts w:ascii="Palatino Linotype" w:eastAsia="Palatino Linotype" w:hAnsi="Palatino Linotype" w:cs="Palatino Linotype"/>
                <w:i/>
              </w:rPr>
              <w:t>Muy buenos días en respuesta a su solicitud adjunto archivo con la respuesta de las áreas quedando de usted para cualquier aclaración. Sin antes enviarle un cordial saludo. https://amecameca.gob.mx/pdf/mejora-</w:t>
            </w:r>
            <w:r w:rsidRPr="00C03B32">
              <w:rPr>
                <w:rFonts w:ascii="Palatino Linotype" w:eastAsia="Palatino Linotype" w:hAnsi="Palatino Linotype" w:cs="Palatino Linotype"/>
                <w:i/>
              </w:rPr>
              <w:lastRenderedPageBreak/>
              <w:t>regulatoria/remtys/tesoreria-municipal/CERTIFICACION-DE-PLANO-MANZANERO.pdf DIARIO MAYO 1.- Se otorgaron 5 certificaciones de plano manzanero en la primera quincena de mayo de 2022. 2.- Se cuentan con 5 recibos de pago correspondientes a los certificados de plano manzanero otorgados en la primera quincena de mayo de 2022”(Sic)</w:t>
            </w:r>
          </w:p>
          <w:p w:rsidR="00BE727E" w:rsidRPr="00C03B32" w:rsidRDefault="00BE727E">
            <w:pPr>
              <w:widowControl w:val="0"/>
              <w:spacing w:line="276" w:lineRule="auto"/>
              <w:jc w:val="both"/>
              <w:rPr>
                <w:rFonts w:ascii="Palatino Linotype" w:eastAsia="Palatino Linotype" w:hAnsi="Palatino Linotype" w:cs="Palatino Linotype"/>
                <w:i/>
              </w:rPr>
            </w:pPr>
          </w:p>
          <w:p w:rsidR="00BE727E" w:rsidRPr="00C03B32" w:rsidRDefault="00B301C6">
            <w:pPr>
              <w:widowControl w:val="0"/>
              <w:spacing w:line="276"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Adjuntando los documentos que se describen a continuación:</w:t>
            </w:r>
          </w:p>
          <w:p w:rsidR="00BE727E" w:rsidRPr="00C03B32" w:rsidRDefault="00B301C6">
            <w:pPr>
              <w:widowControl w:val="0"/>
              <w:numPr>
                <w:ilvl w:val="0"/>
                <w:numId w:val="4"/>
              </w:numPr>
              <w:spacing w:line="276" w:lineRule="auto"/>
              <w:jc w:val="both"/>
              <w:rPr>
                <w:rFonts w:ascii="Palatino Linotype" w:eastAsia="Palatino Linotype" w:hAnsi="Palatino Linotype" w:cs="Palatino Linotype"/>
                <w:i/>
              </w:rPr>
            </w:pPr>
            <w:r w:rsidRPr="00C03B32">
              <w:rPr>
                <w:rFonts w:ascii="Palatino Linotype" w:eastAsia="Palatino Linotype" w:hAnsi="Palatino Linotype" w:cs="Palatino Linotype"/>
                <w:i/>
              </w:rPr>
              <w:t xml:space="preserve">MAYO.pdf: </w:t>
            </w:r>
            <w:r w:rsidRPr="00C03B32">
              <w:rPr>
                <w:rFonts w:ascii="Palatino Linotype" w:eastAsia="Palatino Linotype" w:hAnsi="Palatino Linotype" w:cs="Palatino Linotype"/>
              </w:rPr>
              <w:t xml:space="preserve">Diario de Ingresos del mes de mayo de dos mil veintidós </w:t>
            </w:r>
          </w:p>
          <w:p w:rsidR="00BE727E" w:rsidRPr="00C03B32" w:rsidRDefault="00B301C6">
            <w:pPr>
              <w:widowControl w:val="0"/>
              <w:numPr>
                <w:ilvl w:val="0"/>
                <w:numId w:val="4"/>
              </w:numPr>
              <w:spacing w:line="276" w:lineRule="auto"/>
              <w:jc w:val="both"/>
              <w:rPr>
                <w:rFonts w:ascii="Palatino Linotype" w:eastAsia="Palatino Linotype" w:hAnsi="Palatino Linotype" w:cs="Palatino Linotype"/>
                <w:i/>
              </w:rPr>
            </w:pPr>
            <w:r w:rsidRPr="00C03B32">
              <w:rPr>
                <w:rFonts w:ascii="Palatino Linotype" w:eastAsia="Palatino Linotype" w:hAnsi="Palatino Linotype" w:cs="Palatino Linotype"/>
                <w:i/>
              </w:rPr>
              <w:t xml:space="preserve">Información Confidencial de Certificado de Plano Manzanero.pdf: </w:t>
            </w:r>
            <w:r w:rsidRPr="00C03B32">
              <w:rPr>
                <w:rFonts w:ascii="Palatino Linotype" w:eastAsia="Palatino Linotype" w:hAnsi="Palatino Linotype" w:cs="Palatino Linotype"/>
              </w:rPr>
              <w:t xml:space="preserve">documento del que se advierten los datos clasificados en el plano </w:t>
            </w:r>
          </w:p>
          <w:p w:rsidR="00BE727E" w:rsidRPr="00C03B32" w:rsidRDefault="00B301C6">
            <w:pPr>
              <w:widowControl w:val="0"/>
              <w:numPr>
                <w:ilvl w:val="0"/>
                <w:numId w:val="4"/>
              </w:numPr>
              <w:spacing w:line="276" w:lineRule="auto"/>
              <w:jc w:val="both"/>
              <w:rPr>
                <w:rFonts w:ascii="Palatino Linotype" w:eastAsia="Palatino Linotype" w:hAnsi="Palatino Linotype" w:cs="Palatino Linotype"/>
                <w:i/>
              </w:rPr>
            </w:pPr>
            <w:r w:rsidRPr="00C03B32">
              <w:rPr>
                <w:rFonts w:ascii="Palatino Linotype" w:eastAsia="Palatino Linotype" w:hAnsi="Palatino Linotype" w:cs="Palatino Linotype"/>
                <w:i/>
              </w:rPr>
              <w:t xml:space="preserve">Cedula Profesional.pdf: </w:t>
            </w:r>
            <w:r w:rsidRPr="00C03B32">
              <w:rPr>
                <w:rFonts w:ascii="Palatino Linotype" w:eastAsia="Palatino Linotype" w:hAnsi="Palatino Linotype" w:cs="Palatino Linotype"/>
              </w:rPr>
              <w:t xml:space="preserve">Cédula Profesional del servidor público requerido </w:t>
            </w:r>
          </w:p>
          <w:p w:rsidR="00BE727E" w:rsidRPr="00C03B32" w:rsidRDefault="00BE727E">
            <w:pPr>
              <w:widowControl w:val="0"/>
              <w:spacing w:line="276" w:lineRule="auto"/>
              <w:jc w:val="both"/>
              <w:rPr>
                <w:rFonts w:ascii="Palatino Linotype" w:eastAsia="Palatino Linotype" w:hAnsi="Palatino Linotype" w:cs="Palatino Linotype"/>
                <w:i/>
              </w:rPr>
            </w:pPr>
          </w:p>
        </w:tc>
      </w:tr>
      <w:tr w:rsidR="00BE727E" w:rsidRPr="00C03B32">
        <w:tc>
          <w:tcPr>
            <w:tcW w:w="3480" w:type="dxa"/>
            <w:shd w:val="clear" w:color="auto" w:fill="auto"/>
            <w:tcMar>
              <w:top w:w="100" w:type="dxa"/>
              <w:left w:w="100" w:type="dxa"/>
              <w:bottom w:w="100" w:type="dxa"/>
              <w:right w:w="100" w:type="dxa"/>
            </w:tcMar>
          </w:tcPr>
          <w:p w:rsidR="00BE727E" w:rsidRPr="00C03B32" w:rsidRDefault="00B301C6">
            <w:pPr>
              <w:spacing w:line="360" w:lineRule="auto"/>
              <w:jc w:val="both"/>
              <w:rPr>
                <w:rFonts w:ascii="Palatino Linotype" w:eastAsia="Palatino Linotype" w:hAnsi="Palatino Linotype" w:cs="Palatino Linotype"/>
                <w:b/>
                <w:sz w:val="24"/>
                <w:szCs w:val="24"/>
              </w:rPr>
            </w:pPr>
            <w:r w:rsidRPr="00C03B32">
              <w:rPr>
                <w:rFonts w:ascii="Palatino Linotype" w:eastAsia="Palatino Linotype" w:hAnsi="Palatino Linotype" w:cs="Palatino Linotype"/>
                <w:b/>
                <w:sz w:val="24"/>
                <w:szCs w:val="24"/>
              </w:rPr>
              <w:lastRenderedPageBreak/>
              <w:t>01402/AMECAMEC/IP/2022</w:t>
            </w:r>
          </w:p>
        </w:tc>
        <w:tc>
          <w:tcPr>
            <w:tcW w:w="5625" w:type="dxa"/>
            <w:shd w:val="clear" w:color="auto" w:fill="auto"/>
            <w:tcMar>
              <w:top w:w="100" w:type="dxa"/>
              <w:left w:w="100" w:type="dxa"/>
              <w:bottom w:w="100" w:type="dxa"/>
              <w:right w:w="100" w:type="dxa"/>
            </w:tcMar>
          </w:tcPr>
          <w:p w:rsidR="00BE727E" w:rsidRPr="00C03B32" w:rsidRDefault="00B301C6">
            <w:pPr>
              <w:widowControl w:val="0"/>
              <w:spacing w:line="276" w:lineRule="auto"/>
              <w:jc w:val="both"/>
              <w:rPr>
                <w:rFonts w:ascii="Palatino Linotype" w:eastAsia="Palatino Linotype" w:hAnsi="Palatino Linotype" w:cs="Palatino Linotype"/>
                <w:i/>
              </w:rPr>
            </w:pPr>
            <w:r w:rsidRPr="00C03B32">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E727E" w:rsidRPr="00C03B32" w:rsidRDefault="00B301C6">
            <w:pPr>
              <w:widowControl w:val="0"/>
              <w:spacing w:line="276" w:lineRule="auto"/>
              <w:jc w:val="both"/>
              <w:rPr>
                <w:rFonts w:ascii="Palatino Linotype" w:eastAsia="Palatino Linotype" w:hAnsi="Palatino Linotype" w:cs="Palatino Linotype"/>
                <w:i/>
              </w:rPr>
            </w:pPr>
            <w:r w:rsidRPr="00C03B32">
              <w:rPr>
                <w:rFonts w:ascii="Palatino Linotype" w:eastAsia="Palatino Linotype" w:hAnsi="Palatino Linotype" w:cs="Palatino Linotype"/>
                <w:i/>
              </w:rPr>
              <w:t xml:space="preserve">Muy buenos días en respuesta a su solicitud adjunto archivo con la respuesta de las áreas quedando de usted para cualquier aclaración. Sin antes enviarle un cordial saludo https://amecameca.gob.mx/pdf/mejora-regulatoria/remtys/tesoreria-municipal/CERTIFICACION-DE-PLANO-MANZANERO.pdf DIARIO MAYO 1.- Se otorgaron 2 certificaciones de plano manzanero en la segunda quincena de mayo de 2022. 2.- Se cuentan con 2 recibos de pago correspondientes a los certificados de plano manzanero </w:t>
            </w:r>
            <w:r w:rsidRPr="00C03B32">
              <w:rPr>
                <w:rFonts w:ascii="Palatino Linotype" w:eastAsia="Palatino Linotype" w:hAnsi="Palatino Linotype" w:cs="Palatino Linotype"/>
                <w:i/>
              </w:rPr>
              <w:lastRenderedPageBreak/>
              <w:t>otorgados en la segunda quincena de mayo de 2022.”</w:t>
            </w:r>
          </w:p>
          <w:p w:rsidR="00BE727E" w:rsidRPr="00C03B32" w:rsidRDefault="00B301C6">
            <w:pPr>
              <w:widowControl w:val="0"/>
              <w:spacing w:line="276"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Adjuntando los documentos que se describen a continuación:</w:t>
            </w:r>
          </w:p>
          <w:p w:rsidR="00BE727E" w:rsidRPr="00C03B32" w:rsidRDefault="00B301C6">
            <w:pPr>
              <w:widowControl w:val="0"/>
              <w:numPr>
                <w:ilvl w:val="0"/>
                <w:numId w:val="4"/>
              </w:numPr>
              <w:spacing w:line="276" w:lineRule="auto"/>
              <w:jc w:val="both"/>
              <w:rPr>
                <w:rFonts w:ascii="Palatino Linotype" w:eastAsia="Palatino Linotype" w:hAnsi="Palatino Linotype" w:cs="Palatino Linotype"/>
                <w:i/>
              </w:rPr>
            </w:pPr>
            <w:r w:rsidRPr="00C03B32">
              <w:rPr>
                <w:rFonts w:ascii="Palatino Linotype" w:eastAsia="Palatino Linotype" w:hAnsi="Palatino Linotype" w:cs="Palatino Linotype"/>
                <w:i/>
              </w:rPr>
              <w:t xml:space="preserve">MAYO.pdf: </w:t>
            </w:r>
            <w:r w:rsidRPr="00C03B32">
              <w:rPr>
                <w:rFonts w:ascii="Palatino Linotype" w:eastAsia="Palatino Linotype" w:hAnsi="Palatino Linotype" w:cs="Palatino Linotype"/>
              </w:rPr>
              <w:t xml:space="preserve">Diario de Ingresos del mes de mayo de dos mil veintidós </w:t>
            </w:r>
          </w:p>
          <w:p w:rsidR="00BE727E" w:rsidRPr="00C03B32" w:rsidRDefault="00B301C6">
            <w:pPr>
              <w:widowControl w:val="0"/>
              <w:numPr>
                <w:ilvl w:val="0"/>
                <w:numId w:val="4"/>
              </w:numPr>
              <w:spacing w:line="276" w:lineRule="auto"/>
              <w:jc w:val="both"/>
              <w:rPr>
                <w:rFonts w:ascii="Palatino Linotype" w:eastAsia="Palatino Linotype" w:hAnsi="Palatino Linotype" w:cs="Palatino Linotype"/>
                <w:i/>
              </w:rPr>
            </w:pPr>
            <w:r w:rsidRPr="00C03B32">
              <w:rPr>
                <w:rFonts w:ascii="Palatino Linotype" w:eastAsia="Palatino Linotype" w:hAnsi="Palatino Linotype" w:cs="Palatino Linotype"/>
                <w:i/>
              </w:rPr>
              <w:t xml:space="preserve">Informacion Confidencial de Certificado de Plano Manzanero.pdf: </w:t>
            </w:r>
            <w:r w:rsidRPr="00C03B32">
              <w:rPr>
                <w:rFonts w:ascii="Palatino Linotype" w:eastAsia="Palatino Linotype" w:hAnsi="Palatino Linotype" w:cs="Palatino Linotype"/>
              </w:rPr>
              <w:t xml:space="preserve">documento del que se advierten los datos clasificados en el plano </w:t>
            </w:r>
          </w:p>
          <w:p w:rsidR="00BE727E" w:rsidRPr="00C03B32" w:rsidRDefault="00B301C6">
            <w:pPr>
              <w:widowControl w:val="0"/>
              <w:numPr>
                <w:ilvl w:val="0"/>
                <w:numId w:val="4"/>
              </w:numPr>
              <w:spacing w:line="276" w:lineRule="auto"/>
              <w:jc w:val="both"/>
              <w:rPr>
                <w:rFonts w:ascii="Palatino Linotype" w:eastAsia="Palatino Linotype" w:hAnsi="Palatino Linotype" w:cs="Palatino Linotype"/>
                <w:i/>
              </w:rPr>
            </w:pPr>
            <w:r w:rsidRPr="00C03B32">
              <w:rPr>
                <w:rFonts w:ascii="Palatino Linotype" w:eastAsia="Palatino Linotype" w:hAnsi="Palatino Linotype" w:cs="Palatino Linotype"/>
                <w:i/>
              </w:rPr>
              <w:t xml:space="preserve">Cedula Profesional.pdf: </w:t>
            </w:r>
            <w:r w:rsidRPr="00C03B32">
              <w:rPr>
                <w:rFonts w:ascii="Palatino Linotype" w:eastAsia="Palatino Linotype" w:hAnsi="Palatino Linotype" w:cs="Palatino Linotype"/>
              </w:rPr>
              <w:t xml:space="preserve">Cédula Profesional del servidor público requerido </w:t>
            </w:r>
          </w:p>
          <w:p w:rsidR="00BE727E" w:rsidRPr="00C03B32" w:rsidRDefault="00BE727E">
            <w:pPr>
              <w:widowControl w:val="0"/>
              <w:spacing w:line="276" w:lineRule="auto"/>
              <w:jc w:val="both"/>
              <w:rPr>
                <w:rFonts w:ascii="Palatino Linotype" w:eastAsia="Palatino Linotype" w:hAnsi="Palatino Linotype" w:cs="Palatino Linotype"/>
                <w:i/>
              </w:rPr>
            </w:pPr>
          </w:p>
        </w:tc>
      </w:tr>
      <w:tr w:rsidR="00BE727E" w:rsidRPr="00C03B32">
        <w:tc>
          <w:tcPr>
            <w:tcW w:w="3480" w:type="dxa"/>
            <w:shd w:val="clear" w:color="auto" w:fill="auto"/>
            <w:tcMar>
              <w:top w:w="100" w:type="dxa"/>
              <w:left w:w="100" w:type="dxa"/>
              <w:bottom w:w="100" w:type="dxa"/>
              <w:right w:w="100" w:type="dxa"/>
            </w:tcMar>
          </w:tcPr>
          <w:p w:rsidR="00BE727E" w:rsidRPr="00C03B32" w:rsidRDefault="00B301C6">
            <w:pPr>
              <w:spacing w:line="360" w:lineRule="auto"/>
              <w:jc w:val="both"/>
              <w:rPr>
                <w:rFonts w:ascii="Palatino Linotype" w:eastAsia="Palatino Linotype" w:hAnsi="Palatino Linotype" w:cs="Palatino Linotype"/>
                <w:b/>
                <w:sz w:val="24"/>
                <w:szCs w:val="24"/>
              </w:rPr>
            </w:pPr>
            <w:r w:rsidRPr="00C03B32">
              <w:rPr>
                <w:rFonts w:ascii="Palatino Linotype" w:eastAsia="Palatino Linotype" w:hAnsi="Palatino Linotype" w:cs="Palatino Linotype"/>
                <w:b/>
                <w:sz w:val="24"/>
                <w:szCs w:val="24"/>
              </w:rPr>
              <w:lastRenderedPageBreak/>
              <w:t>01403/AMECAMEC/IP/2022</w:t>
            </w:r>
          </w:p>
        </w:tc>
        <w:tc>
          <w:tcPr>
            <w:tcW w:w="5625" w:type="dxa"/>
            <w:shd w:val="clear" w:color="auto" w:fill="auto"/>
            <w:tcMar>
              <w:top w:w="100" w:type="dxa"/>
              <w:left w:w="100" w:type="dxa"/>
              <w:bottom w:w="100" w:type="dxa"/>
              <w:right w:w="100" w:type="dxa"/>
            </w:tcMar>
          </w:tcPr>
          <w:p w:rsidR="00BE727E" w:rsidRPr="00C03B32" w:rsidRDefault="00B301C6">
            <w:pPr>
              <w:widowControl w:val="0"/>
              <w:spacing w:line="276" w:lineRule="auto"/>
              <w:jc w:val="both"/>
              <w:rPr>
                <w:rFonts w:ascii="Palatino Linotype" w:eastAsia="Palatino Linotype" w:hAnsi="Palatino Linotype" w:cs="Palatino Linotype"/>
                <w:i/>
              </w:rPr>
            </w:pPr>
            <w:r w:rsidRPr="00C03B32">
              <w:rPr>
                <w:rFonts w:ascii="Palatino Linotype" w:eastAsia="Palatino Linotype" w:hAnsi="Palatino Linotype" w:cs="Palatino Linotype"/>
                <w:i/>
              </w:rPr>
              <w:t>“Muy buenos días en respuesta a su solicitud adjunto archivo con la respuesta de las áreas quedando de usted para cualquier aclaración. Sin antes enviarle un cordial saludo https://amecameca.gob.mx/pdf/mejora-regulatoria/remtys/tesoreria-municipal/CERTIFICACION-DE-PLANO-MANZANERO.pdf DIARIO JUNIO 1.- Se otorgaron 4 certificaciones de plano manzanero en la primera quincena de junio de 2022. 2.- Se cuentan con 4 recibos de pago correspondientes a los certificados de plano manzanero otorgados en la primera quincena de junio de 2022.”</w:t>
            </w:r>
          </w:p>
          <w:p w:rsidR="00BE727E" w:rsidRPr="00C03B32" w:rsidRDefault="00BE727E">
            <w:pPr>
              <w:widowControl w:val="0"/>
              <w:spacing w:line="276" w:lineRule="auto"/>
              <w:jc w:val="both"/>
              <w:rPr>
                <w:rFonts w:ascii="Palatino Linotype" w:eastAsia="Palatino Linotype" w:hAnsi="Palatino Linotype" w:cs="Palatino Linotype"/>
                <w:i/>
              </w:rPr>
            </w:pPr>
          </w:p>
          <w:p w:rsidR="00BE727E" w:rsidRPr="00C03B32" w:rsidRDefault="00B301C6">
            <w:pPr>
              <w:widowControl w:val="0"/>
              <w:spacing w:line="276"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Adjuntando los documentos que se describen a continuación:</w:t>
            </w:r>
          </w:p>
          <w:p w:rsidR="00BE727E" w:rsidRPr="00C03B32" w:rsidRDefault="00B301C6">
            <w:pPr>
              <w:widowControl w:val="0"/>
              <w:numPr>
                <w:ilvl w:val="0"/>
                <w:numId w:val="4"/>
              </w:numPr>
              <w:spacing w:line="276" w:lineRule="auto"/>
              <w:jc w:val="both"/>
              <w:rPr>
                <w:rFonts w:ascii="Palatino Linotype" w:eastAsia="Palatino Linotype" w:hAnsi="Palatino Linotype" w:cs="Palatino Linotype"/>
                <w:i/>
              </w:rPr>
            </w:pPr>
            <w:r w:rsidRPr="00C03B32">
              <w:rPr>
                <w:rFonts w:ascii="Palatino Linotype" w:eastAsia="Palatino Linotype" w:hAnsi="Palatino Linotype" w:cs="Palatino Linotype"/>
                <w:i/>
              </w:rPr>
              <w:t xml:space="preserve">JUNIO.pdf: </w:t>
            </w:r>
            <w:r w:rsidRPr="00C03B32">
              <w:rPr>
                <w:rFonts w:ascii="Palatino Linotype" w:eastAsia="Palatino Linotype" w:hAnsi="Palatino Linotype" w:cs="Palatino Linotype"/>
              </w:rPr>
              <w:t xml:space="preserve">Diario de Ingresos del mes de junio de dos mil veintidós </w:t>
            </w:r>
          </w:p>
          <w:p w:rsidR="00BE727E" w:rsidRPr="00C03B32" w:rsidRDefault="00B301C6">
            <w:pPr>
              <w:widowControl w:val="0"/>
              <w:numPr>
                <w:ilvl w:val="0"/>
                <w:numId w:val="4"/>
              </w:numPr>
              <w:spacing w:line="276" w:lineRule="auto"/>
              <w:jc w:val="both"/>
              <w:rPr>
                <w:rFonts w:ascii="Palatino Linotype" w:eastAsia="Palatino Linotype" w:hAnsi="Palatino Linotype" w:cs="Palatino Linotype"/>
                <w:i/>
              </w:rPr>
            </w:pPr>
            <w:r w:rsidRPr="00C03B32">
              <w:rPr>
                <w:rFonts w:ascii="Palatino Linotype" w:eastAsia="Palatino Linotype" w:hAnsi="Palatino Linotype" w:cs="Palatino Linotype"/>
                <w:i/>
              </w:rPr>
              <w:t xml:space="preserve">Informacion Confidencial de Certificado de Plano Manzanero.pdf: </w:t>
            </w:r>
            <w:r w:rsidRPr="00C03B32">
              <w:rPr>
                <w:rFonts w:ascii="Palatino Linotype" w:eastAsia="Palatino Linotype" w:hAnsi="Palatino Linotype" w:cs="Palatino Linotype"/>
              </w:rPr>
              <w:t xml:space="preserve">documento del que se advierten los datos clasificados en el plano </w:t>
            </w:r>
          </w:p>
          <w:p w:rsidR="00BE727E" w:rsidRPr="00C03B32" w:rsidRDefault="00B301C6">
            <w:pPr>
              <w:widowControl w:val="0"/>
              <w:numPr>
                <w:ilvl w:val="0"/>
                <w:numId w:val="4"/>
              </w:numPr>
              <w:spacing w:line="276" w:lineRule="auto"/>
              <w:jc w:val="both"/>
              <w:rPr>
                <w:rFonts w:ascii="Palatino Linotype" w:eastAsia="Palatino Linotype" w:hAnsi="Palatino Linotype" w:cs="Palatino Linotype"/>
                <w:i/>
              </w:rPr>
            </w:pPr>
            <w:r w:rsidRPr="00C03B32">
              <w:rPr>
                <w:rFonts w:ascii="Palatino Linotype" w:eastAsia="Palatino Linotype" w:hAnsi="Palatino Linotype" w:cs="Palatino Linotype"/>
                <w:i/>
              </w:rPr>
              <w:t xml:space="preserve">Cedula Profesional.pdf: </w:t>
            </w:r>
            <w:r w:rsidRPr="00C03B32">
              <w:rPr>
                <w:rFonts w:ascii="Palatino Linotype" w:eastAsia="Palatino Linotype" w:hAnsi="Palatino Linotype" w:cs="Palatino Linotype"/>
              </w:rPr>
              <w:t xml:space="preserve">Cédula Profesional del servidor público requerido </w:t>
            </w:r>
          </w:p>
        </w:tc>
      </w:tr>
      <w:tr w:rsidR="00BE727E" w:rsidRPr="00C03B32">
        <w:tc>
          <w:tcPr>
            <w:tcW w:w="3480" w:type="dxa"/>
            <w:shd w:val="clear" w:color="auto" w:fill="auto"/>
            <w:tcMar>
              <w:top w:w="100" w:type="dxa"/>
              <w:left w:w="100" w:type="dxa"/>
              <w:bottom w:w="100" w:type="dxa"/>
              <w:right w:w="100" w:type="dxa"/>
            </w:tcMar>
          </w:tcPr>
          <w:p w:rsidR="00BE727E" w:rsidRPr="00C03B32" w:rsidRDefault="00B301C6">
            <w:pPr>
              <w:spacing w:line="360" w:lineRule="auto"/>
              <w:jc w:val="both"/>
              <w:rPr>
                <w:rFonts w:ascii="Palatino Linotype" w:eastAsia="Palatino Linotype" w:hAnsi="Palatino Linotype" w:cs="Palatino Linotype"/>
                <w:b/>
                <w:sz w:val="24"/>
                <w:szCs w:val="24"/>
              </w:rPr>
            </w:pPr>
            <w:r w:rsidRPr="00C03B32">
              <w:rPr>
                <w:rFonts w:ascii="Palatino Linotype" w:eastAsia="Palatino Linotype" w:hAnsi="Palatino Linotype" w:cs="Palatino Linotype"/>
                <w:b/>
                <w:sz w:val="24"/>
                <w:szCs w:val="24"/>
              </w:rPr>
              <w:lastRenderedPageBreak/>
              <w:t>01404/AMECAMEC/IP/2022</w:t>
            </w:r>
          </w:p>
        </w:tc>
        <w:tc>
          <w:tcPr>
            <w:tcW w:w="5625" w:type="dxa"/>
            <w:shd w:val="clear" w:color="auto" w:fill="auto"/>
            <w:tcMar>
              <w:top w:w="100" w:type="dxa"/>
              <w:left w:w="100" w:type="dxa"/>
              <w:bottom w:w="100" w:type="dxa"/>
              <w:right w:w="100" w:type="dxa"/>
            </w:tcMar>
          </w:tcPr>
          <w:p w:rsidR="00BE727E" w:rsidRPr="00C03B32" w:rsidRDefault="00B301C6">
            <w:pPr>
              <w:widowControl w:val="0"/>
              <w:spacing w:line="276" w:lineRule="auto"/>
              <w:jc w:val="both"/>
              <w:rPr>
                <w:rFonts w:ascii="Palatino Linotype" w:eastAsia="Palatino Linotype" w:hAnsi="Palatino Linotype" w:cs="Palatino Linotype"/>
                <w:i/>
              </w:rPr>
            </w:pPr>
            <w:r w:rsidRPr="00C03B32">
              <w:rPr>
                <w:rFonts w:ascii="Palatino Linotype" w:eastAsia="Palatino Linotype" w:hAnsi="Palatino Linotype" w:cs="Palatino Linotype"/>
                <w:i/>
              </w:rPr>
              <w:t>“Muy buenos días en respuesta a su solicitud adjunto archivo con la respuesta de las áreas quedando de usted para cualquier aclaración. Sin antes enviarle un cordial saludo. https://amecameca.gob.mx/pdf/mejora-regulatoria/remtys/tesoreria-municipal/CERTIFICACION-DE-PLANO-MANZANERO.pdf DIARIO JUNIO 1.- Se otorgaron 5 certificaciones de plano manzanero en la segunda quincena de junio de 2022. 2.- Se cuentan con 5 recibos de pago correspondientes a los certificados de plano manzanero otorgados en la segunda quincena de junio de 2022.”</w:t>
            </w:r>
          </w:p>
          <w:p w:rsidR="00BE727E" w:rsidRPr="00C03B32" w:rsidRDefault="00BE727E">
            <w:pPr>
              <w:widowControl w:val="0"/>
              <w:spacing w:line="276" w:lineRule="auto"/>
              <w:jc w:val="both"/>
              <w:rPr>
                <w:rFonts w:ascii="Palatino Linotype" w:eastAsia="Palatino Linotype" w:hAnsi="Palatino Linotype" w:cs="Palatino Linotype"/>
                <w:i/>
              </w:rPr>
            </w:pPr>
          </w:p>
          <w:p w:rsidR="00BE727E" w:rsidRPr="00C03B32" w:rsidRDefault="00B301C6">
            <w:pPr>
              <w:widowControl w:val="0"/>
              <w:spacing w:line="276"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Adjuntando los documentos que se describen a continuación:</w:t>
            </w:r>
          </w:p>
          <w:p w:rsidR="00BE727E" w:rsidRPr="00C03B32" w:rsidRDefault="00B301C6">
            <w:pPr>
              <w:widowControl w:val="0"/>
              <w:numPr>
                <w:ilvl w:val="0"/>
                <w:numId w:val="4"/>
              </w:numPr>
              <w:spacing w:line="276" w:lineRule="auto"/>
              <w:jc w:val="both"/>
              <w:rPr>
                <w:rFonts w:ascii="Palatino Linotype" w:eastAsia="Palatino Linotype" w:hAnsi="Palatino Linotype" w:cs="Palatino Linotype"/>
                <w:i/>
              </w:rPr>
            </w:pPr>
            <w:r w:rsidRPr="00C03B32">
              <w:rPr>
                <w:rFonts w:ascii="Palatino Linotype" w:eastAsia="Palatino Linotype" w:hAnsi="Palatino Linotype" w:cs="Palatino Linotype"/>
                <w:i/>
              </w:rPr>
              <w:t xml:space="preserve">JUNIO.pdf: </w:t>
            </w:r>
            <w:r w:rsidRPr="00C03B32">
              <w:rPr>
                <w:rFonts w:ascii="Palatino Linotype" w:eastAsia="Palatino Linotype" w:hAnsi="Palatino Linotype" w:cs="Palatino Linotype"/>
              </w:rPr>
              <w:t xml:space="preserve">Diario de Ingresos del mes de junio de dos mil veintidós </w:t>
            </w:r>
          </w:p>
          <w:p w:rsidR="00BE727E" w:rsidRPr="00C03B32" w:rsidRDefault="00B301C6">
            <w:pPr>
              <w:widowControl w:val="0"/>
              <w:numPr>
                <w:ilvl w:val="0"/>
                <w:numId w:val="4"/>
              </w:numPr>
              <w:spacing w:line="276" w:lineRule="auto"/>
              <w:jc w:val="both"/>
              <w:rPr>
                <w:rFonts w:ascii="Palatino Linotype" w:eastAsia="Palatino Linotype" w:hAnsi="Palatino Linotype" w:cs="Palatino Linotype"/>
                <w:i/>
              </w:rPr>
            </w:pPr>
            <w:r w:rsidRPr="00C03B32">
              <w:rPr>
                <w:rFonts w:ascii="Palatino Linotype" w:eastAsia="Palatino Linotype" w:hAnsi="Palatino Linotype" w:cs="Palatino Linotype"/>
                <w:i/>
              </w:rPr>
              <w:t xml:space="preserve">Informacion Confidencial de Certificado de Plano Manzanero.pdf: </w:t>
            </w:r>
            <w:r w:rsidRPr="00C03B32">
              <w:rPr>
                <w:rFonts w:ascii="Palatino Linotype" w:eastAsia="Palatino Linotype" w:hAnsi="Palatino Linotype" w:cs="Palatino Linotype"/>
              </w:rPr>
              <w:t xml:space="preserve">documento del que se advierten los datos clasificados en el plano </w:t>
            </w:r>
          </w:p>
          <w:p w:rsidR="00BE727E" w:rsidRPr="00C03B32" w:rsidRDefault="00B301C6">
            <w:pPr>
              <w:widowControl w:val="0"/>
              <w:numPr>
                <w:ilvl w:val="0"/>
                <w:numId w:val="4"/>
              </w:numPr>
              <w:spacing w:line="276" w:lineRule="auto"/>
              <w:jc w:val="both"/>
              <w:rPr>
                <w:rFonts w:ascii="Palatino Linotype" w:eastAsia="Palatino Linotype" w:hAnsi="Palatino Linotype" w:cs="Palatino Linotype"/>
                <w:i/>
              </w:rPr>
            </w:pPr>
            <w:r w:rsidRPr="00C03B32">
              <w:rPr>
                <w:rFonts w:ascii="Palatino Linotype" w:eastAsia="Palatino Linotype" w:hAnsi="Palatino Linotype" w:cs="Palatino Linotype"/>
                <w:i/>
              </w:rPr>
              <w:t xml:space="preserve">Cedula Profesional.pdf: </w:t>
            </w:r>
            <w:r w:rsidRPr="00C03B32">
              <w:rPr>
                <w:rFonts w:ascii="Palatino Linotype" w:eastAsia="Palatino Linotype" w:hAnsi="Palatino Linotype" w:cs="Palatino Linotype"/>
              </w:rPr>
              <w:t xml:space="preserve">Cédula Profesional del servidor público requerido </w:t>
            </w:r>
          </w:p>
        </w:tc>
      </w:tr>
    </w:tbl>
    <w:p w:rsidR="00BE727E" w:rsidRPr="00C03B32" w:rsidRDefault="00BE727E">
      <w:pPr>
        <w:widowControl w:val="0"/>
        <w:spacing w:line="360" w:lineRule="auto"/>
        <w:jc w:val="both"/>
        <w:rPr>
          <w:rFonts w:ascii="Palatino Linotype" w:eastAsia="Palatino Linotype" w:hAnsi="Palatino Linotype" w:cs="Palatino Linotype"/>
        </w:rPr>
      </w:pPr>
    </w:p>
    <w:p w:rsidR="00BE727E" w:rsidRPr="00C03B32" w:rsidRDefault="00B301C6">
      <w:pPr>
        <w:widowControl w:val="0"/>
        <w:spacing w:line="360" w:lineRule="auto"/>
        <w:jc w:val="both"/>
        <w:rPr>
          <w:rFonts w:ascii="Palatino Linotype" w:eastAsia="Palatino Linotype" w:hAnsi="Palatino Linotype" w:cs="Palatino Linotype"/>
          <w:b/>
        </w:rPr>
      </w:pPr>
      <w:r w:rsidRPr="00C03B32">
        <w:rPr>
          <w:rFonts w:ascii="Palatino Linotype" w:eastAsia="Palatino Linotype" w:hAnsi="Palatino Linotype" w:cs="Palatino Linotype"/>
          <w:b/>
          <w:sz w:val="28"/>
          <w:szCs w:val="28"/>
        </w:rPr>
        <w:t>IV. Del Recurso de Revisión</w:t>
      </w:r>
      <w:r w:rsidRPr="00C03B32">
        <w:rPr>
          <w:rFonts w:ascii="Palatino Linotype" w:eastAsia="Palatino Linotype" w:hAnsi="Palatino Linotype" w:cs="Palatino Linotype"/>
          <w:b/>
        </w:rPr>
        <w:t>.</w:t>
      </w:r>
    </w:p>
    <w:p w:rsidR="00BE727E" w:rsidRPr="00C03B32" w:rsidRDefault="00B301C6">
      <w:pPr>
        <w:widowControl w:val="0"/>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Inconforme por las respuestas del</w:t>
      </w:r>
      <w:r w:rsidRPr="00C03B32">
        <w:rPr>
          <w:rFonts w:ascii="Palatino Linotype" w:eastAsia="Palatino Linotype" w:hAnsi="Palatino Linotype" w:cs="Palatino Linotype"/>
          <w:b/>
        </w:rPr>
        <w:t xml:space="preserve"> SUJETO OBLIGADO</w:t>
      </w:r>
      <w:r w:rsidRPr="00C03B32">
        <w:rPr>
          <w:rFonts w:ascii="Palatino Linotype" w:eastAsia="Palatino Linotype" w:hAnsi="Palatino Linotype" w:cs="Palatino Linotype"/>
        </w:rPr>
        <w:t xml:space="preserve">, </w:t>
      </w:r>
      <w:r w:rsidR="00607D90" w:rsidRPr="00C03B32">
        <w:rPr>
          <w:rFonts w:ascii="Palatino Linotype" w:eastAsia="Palatino Linotype" w:hAnsi="Palatino Linotype" w:cs="Palatino Linotype"/>
        </w:rPr>
        <w:t>el catorce</w:t>
      </w:r>
      <w:r w:rsidRPr="00C03B32">
        <w:rPr>
          <w:rFonts w:ascii="Palatino Linotype" w:eastAsia="Palatino Linotype" w:hAnsi="Palatino Linotype" w:cs="Palatino Linotype"/>
          <w:b/>
        </w:rPr>
        <w:t xml:space="preserve"> de septiembre de dos mil veintidós</w:t>
      </w:r>
      <w:r w:rsidRPr="00C03B32">
        <w:rPr>
          <w:rFonts w:ascii="Palatino Linotype" w:eastAsia="Palatino Linotype" w:hAnsi="Palatino Linotype" w:cs="Palatino Linotype"/>
        </w:rPr>
        <w:t xml:space="preserve">, </w:t>
      </w:r>
      <w:r w:rsidRPr="00C03B32">
        <w:rPr>
          <w:rFonts w:ascii="Palatino Linotype" w:eastAsia="Palatino Linotype" w:hAnsi="Palatino Linotype" w:cs="Palatino Linotype"/>
          <w:b/>
        </w:rPr>
        <w:t xml:space="preserve">EL RECURRENTE </w:t>
      </w:r>
      <w:r w:rsidRPr="00C03B32">
        <w:rPr>
          <w:rFonts w:ascii="Palatino Linotype" w:eastAsia="Palatino Linotype" w:hAnsi="Palatino Linotype" w:cs="Palatino Linotype"/>
        </w:rPr>
        <w:t xml:space="preserve">interpuso los Recursos de Revisión, los cuales fueron registrados en </w:t>
      </w:r>
      <w:r w:rsidRPr="00C03B32">
        <w:rPr>
          <w:rFonts w:ascii="Palatino Linotype" w:eastAsia="Palatino Linotype" w:hAnsi="Palatino Linotype" w:cs="Palatino Linotype"/>
          <w:b/>
        </w:rPr>
        <w:t>EL SAIMEX</w:t>
      </w:r>
      <w:r w:rsidRPr="00C03B32">
        <w:rPr>
          <w:rFonts w:ascii="Palatino Linotype" w:eastAsia="Palatino Linotype" w:hAnsi="Palatino Linotype" w:cs="Palatino Linotype"/>
        </w:rPr>
        <w:t xml:space="preserve"> y se les asignaron los números de expediente </w:t>
      </w:r>
      <w:r w:rsidRPr="00C03B32">
        <w:rPr>
          <w:rFonts w:ascii="Palatino Linotype" w:eastAsia="Palatino Linotype" w:hAnsi="Palatino Linotype" w:cs="Palatino Linotype"/>
          <w:b/>
        </w:rPr>
        <w:t xml:space="preserve">14782/INFOEM/IP/RR/2022, 14783/INFOEM/IP/RR/2022, 14784/INFOEM/IP/RR/2022 14785/INFOEM/IP/RR/2022 y 14786/INFOEM/IP/RR/2022, </w:t>
      </w:r>
      <w:r w:rsidRPr="00C03B32">
        <w:rPr>
          <w:rFonts w:ascii="Palatino Linotype" w:eastAsia="Palatino Linotype" w:hAnsi="Palatino Linotype" w:cs="Palatino Linotype"/>
        </w:rPr>
        <w:t xml:space="preserve">donde los motivos de agravio fueron los siguientes: </w:t>
      </w:r>
    </w:p>
    <w:p w:rsidR="00BE727E" w:rsidRPr="00C03B32" w:rsidRDefault="00B301C6">
      <w:pPr>
        <w:widowControl w:val="0"/>
        <w:rPr>
          <w:rFonts w:ascii="Palatino Linotype" w:eastAsia="Palatino Linotype" w:hAnsi="Palatino Linotype" w:cs="Palatino Linotype"/>
          <w:b/>
          <w:u w:val="single"/>
        </w:rPr>
      </w:pPr>
      <w:r w:rsidRPr="00C03B32">
        <w:rPr>
          <w:rFonts w:ascii="Palatino Linotype" w:eastAsia="Palatino Linotype" w:hAnsi="Palatino Linotype" w:cs="Palatino Linotype"/>
          <w:b/>
          <w:u w:val="single"/>
        </w:rPr>
        <w:lastRenderedPageBreak/>
        <w:t xml:space="preserve">Acto impugnado: </w:t>
      </w:r>
    </w:p>
    <w:p w:rsidR="00BE727E" w:rsidRPr="00C03B32" w:rsidRDefault="00BE727E">
      <w:pPr>
        <w:widowControl w:val="0"/>
        <w:rPr>
          <w:rFonts w:ascii="Palatino Linotype" w:eastAsia="Palatino Linotype" w:hAnsi="Palatino Linotype" w:cs="Palatino Linotype"/>
          <w:b/>
          <w:u w:val="single"/>
        </w:rPr>
      </w:pPr>
    </w:p>
    <w:p w:rsidR="00BE727E" w:rsidRPr="00C03B32" w:rsidRDefault="00B301C6">
      <w:pPr>
        <w:widowControl w:val="0"/>
        <w:ind w:left="850" w:right="899"/>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“Los certificados de plano manzanero generados en la segunda quincena de junio 2022. 2. Los recibos de pago generados por este trámite. 3. El diario de ingresos del mes solicitado. 4. La cédula de información REMTYS del trámite. 5. La cedula profesional del servidor público que da la atención.” (Sic)</w:t>
      </w:r>
    </w:p>
    <w:p w:rsidR="00BE727E" w:rsidRPr="00C03B32" w:rsidRDefault="00BE727E">
      <w:pPr>
        <w:widowControl w:val="0"/>
        <w:ind w:left="850" w:right="899"/>
        <w:rPr>
          <w:rFonts w:ascii="Palatino Linotype" w:eastAsia="Palatino Linotype" w:hAnsi="Palatino Linotype" w:cs="Palatino Linotype"/>
          <w:i/>
          <w:sz w:val="22"/>
          <w:szCs w:val="22"/>
        </w:rPr>
      </w:pPr>
    </w:p>
    <w:p w:rsidR="00BE727E" w:rsidRPr="00C03B32" w:rsidRDefault="00B301C6">
      <w:pPr>
        <w:widowControl w:val="0"/>
        <w:rPr>
          <w:rFonts w:ascii="Palatino Linotype" w:eastAsia="Palatino Linotype" w:hAnsi="Palatino Linotype" w:cs="Palatino Linotype"/>
          <w:b/>
          <w:u w:val="single"/>
        </w:rPr>
      </w:pPr>
      <w:r w:rsidRPr="00C03B32">
        <w:rPr>
          <w:rFonts w:ascii="Palatino Linotype" w:eastAsia="Palatino Linotype" w:hAnsi="Palatino Linotype" w:cs="Palatino Linotype"/>
          <w:b/>
          <w:u w:val="single"/>
        </w:rPr>
        <w:t xml:space="preserve">Razones o motivos de Inconformidad: </w:t>
      </w:r>
    </w:p>
    <w:p w:rsidR="00BE727E" w:rsidRPr="00C03B32" w:rsidRDefault="00B301C6">
      <w:pPr>
        <w:widowControl w:val="0"/>
        <w:rPr>
          <w:rFonts w:ascii="Palatino Linotype" w:eastAsia="Palatino Linotype" w:hAnsi="Palatino Linotype" w:cs="Palatino Linotype"/>
          <w:b/>
          <w:u w:val="single"/>
        </w:rPr>
      </w:pPr>
      <w:r w:rsidRPr="00C03B32">
        <w:rPr>
          <w:rFonts w:ascii="Palatino Linotype" w:eastAsia="Palatino Linotype" w:hAnsi="Palatino Linotype" w:cs="Palatino Linotype"/>
          <w:b/>
          <w:u w:val="single"/>
        </w:rPr>
        <w:t xml:space="preserve"> </w:t>
      </w:r>
    </w:p>
    <w:p w:rsidR="00BE727E" w:rsidRPr="00C03B32" w:rsidRDefault="00B301C6">
      <w:pPr>
        <w:widowControl w:val="0"/>
        <w:ind w:left="850" w:right="899"/>
        <w:jc w:val="both"/>
        <w:rPr>
          <w:rFonts w:ascii="Palatino Linotype" w:eastAsia="Palatino Linotype" w:hAnsi="Palatino Linotype" w:cs="Palatino Linotype"/>
        </w:rPr>
      </w:pPr>
      <w:r w:rsidRPr="00C03B32">
        <w:rPr>
          <w:rFonts w:ascii="Palatino Linotype" w:eastAsia="Palatino Linotype" w:hAnsi="Palatino Linotype" w:cs="Palatino Linotype"/>
          <w:i/>
          <w:sz w:val="22"/>
          <w:szCs w:val="22"/>
        </w:rPr>
        <w:t>“iEn la información que entrega el sujeto obligado el diario de ingresos no es legible, si bien es cierto, la clasificación como confidencial, también es correcta la versión pública” (Sic)</w:t>
      </w:r>
    </w:p>
    <w:p w:rsidR="00BE727E" w:rsidRPr="00C03B32" w:rsidRDefault="00BE727E">
      <w:pPr>
        <w:widowControl w:val="0"/>
        <w:spacing w:line="360" w:lineRule="auto"/>
        <w:jc w:val="both"/>
        <w:rPr>
          <w:rFonts w:ascii="Palatino Linotype" w:eastAsia="Palatino Linotype" w:hAnsi="Palatino Linotype" w:cs="Palatino Linotype"/>
        </w:rPr>
      </w:pPr>
    </w:p>
    <w:p w:rsidR="00BE727E" w:rsidRPr="00C03B32" w:rsidRDefault="00B301C6">
      <w:pPr>
        <w:widowControl w:val="0"/>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Adjuntando a su escrito de interposición los </w:t>
      </w:r>
      <w:r w:rsidR="00607D90" w:rsidRPr="00C03B32">
        <w:rPr>
          <w:rFonts w:ascii="Palatino Linotype" w:eastAsia="Palatino Linotype" w:hAnsi="Palatino Linotype" w:cs="Palatino Linotype"/>
        </w:rPr>
        <w:t>archivos donde</w:t>
      </w:r>
      <w:r w:rsidRPr="00C03B32">
        <w:rPr>
          <w:rFonts w:ascii="Palatino Linotype" w:eastAsia="Palatino Linotype" w:hAnsi="Palatino Linotype" w:cs="Palatino Linotype"/>
        </w:rPr>
        <w:t xml:space="preserve"> conste el Diario de Ingresos de los meses solicitados y el documento que establece la información confidencial del Plano manzanero. </w:t>
      </w:r>
    </w:p>
    <w:p w:rsidR="00BE727E" w:rsidRPr="00C03B32" w:rsidRDefault="00BE727E">
      <w:pPr>
        <w:widowControl w:val="0"/>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b/>
          <w:sz w:val="28"/>
          <w:szCs w:val="28"/>
        </w:rPr>
      </w:pPr>
      <w:r w:rsidRPr="00C03B32">
        <w:rPr>
          <w:rFonts w:ascii="Palatino Linotype" w:eastAsia="Palatino Linotype" w:hAnsi="Palatino Linotype" w:cs="Palatino Linotype"/>
          <w:b/>
          <w:sz w:val="28"/>
          <w:szCs w:val="28"/>
        </w:rPr>
        <w:t xml:space="preserve">V. Del turno del Recurso de Revisión. </w:t>
      </w: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El </w:t>
      </w:r>
      <w:r w:rsidRPr="00C03B32">
        <w:rPr>
          <w:rFonts w:ascii="Palatino Linotype" w:eastAsia="Palatino Linotype" w:hAnsi="Palatino Linotype" w:cs="Palatino Linotype"/>
          <w:b/>
        </w:rPr>
        <w:t>catorce de septiembre de dos mil veintidós</w:t>
      </w:r>
      <w:r w:rsidRPr="00C03B32">
        <w:rPr>
          <w:rFonts w:ascii="Palatino Linotype" w:eastAsia="Palatino Linotype" w:hAnsi="Palatino Linotype" w:cs="Palatino Linotype"/>
        </w:rPr>
        <w:t>, los recursos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turnaron a los Comisionados de este Instituto, a efecto de decretar su admisión o desechamiento.</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E727E">
      <w:pPr>
        <w:tabs>
          <w:tab w:val="center" w:pos="4252"/>
          <w:tab w:val="right" w:pos="8504"/>
        </w:tabs>
        <w:spacing w:line="360" w:lineRule="auto"/>
        <w:jc w:val="both"/>
        <w:rPr>
          <w:rFonts w:ascii="Palatino Linotype" w:eastAsia="Palatino Linotype" w:hAnsi="Palatino Linotype" w:cs="Palatino Linotype"/>
          <w:b/>
        </w:rPr>
      </w:pPr>
    </w:p>
    <w:p w:rsidR="00BE727E" w:rsidRPr="00C03B32" w:rsidRDefault="00B301C6">
      <w:pPr>
        <w:tabs>
          <w:tab w:val="center" w:pos="4252"/>
          <w:tab w:val="right" w:pos="8504"/>
        </w:tabs>
        <w:spacing w:line="360" w:lineRule="auto"/>
        <w:jc w:val="both"/>
        <w:rPr>
          <w:rFonts w:ascii="Palatino Linotype" w:eastAsia="Palatino Linotype" w:hAnsi="Palatino Linotype" w:cs="Palatino Linotype"/>
          <w:b/>
        </w:rPr>
      </w:pPr>
      <w:r w:rsidRPr="00C03B32">
        <w:rPr>
          <w:rFonts w:ascii="Palatino Linotype" w:eastAsia="Palatino Linotype" w:hAnsi="Palatino Linotype" w:cs="Palatino Linotype"/>
          <w:b/>
        </w:rPr>
        <w:lastRenderedPageBreak/>
        <w:t>a) Admisión del Recurso de Revisión</w:t>
      </w:r>
    </w:p>
    <w:p w:rsidR="00BE727E" w:rsidRPr="00C03B32" w:rsidRDefault="00B301C6">
      <w:pPr>
        <w:tabs>
          <w:tab w:val="center" w:pos="4252"/>
          <w:tab w:val="right" w:pos="8504"/>
        </w:tabs>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De las constancias que obran en el expediente electrónico del</w:t>
      </w:r>
      <w:r w:rsidRPr="00C03B32">
        <w:rPr>
          <w:rFonts w:ascii="Palatino Linotype" w:eastAsia="Palatino Linotype" w:hAnsi="Palatino Linotype" w:cs="Palatino Linotype"/>
          <w:b/>
        </w:rPr>
        <w:t xml:space="preserve"> SAIMEX</w:t>
      </w:r>
      <w:r w:rsidRPr="00C03B32">
        <w:rPr>
          <w:rFonts w:ascii="Palatino Linotype" w:eastAsia="Palatino Linotype" w:hAnsi="Palatino Linotype" w:cs="Palatino Linotype"/>
        </w:rPr>
        <w:t xml:space="preserve">, se advierte que en fechas </w:t>
      </w:r>
      <w:r w:rsidRPr="00C03B32">
        <w:rPr>
          <w:rFonts w:ascii="Palatino Linotype" w:eastAsia="Palatino Linotype" w:hAnsi="Palatino Linotype" w:cs="Palatino Linotype"/>
          <w:b/>
        </w:rPr>
        <w:t>diecinueve, veinte, veintiuno y veintidós de abril de dos mil veintidós</w:t>
      </w:r>
      <w:r w:rsidRPr="00C03B32">
        <w:rPr>
          <w:rFonts w:ascii="Palatino Linotype" w:eastAsia="Palatino Linotype" w:hAnsi="Palatino Linotype" w:cs="Palatino Linotype"/>
        </w:rPr>
        <w:t xml:space="preserve">, se acordó la admisión a trámite de los Recursos de Revisión que nos ocupan; así como la integración de los expedientes respectivos, mismos que se pusieron a disposición de las partes, para que en un plazo máximo de siete días hábiles </w:t>
      </w:r>
      <w:r w:rsidRPr="00C03B32">
        <w:rPr>
          <w:rFonts w:ascii="Palatino Linotype" w:eastAsia="Palatino Linotype" w:hAnsi="Palatino Linotype" w:cs="Palatino Linotype"/>
          <w:b/>
        </w:rPr>
        <w:t xml:space="preserve">EL RECURRENTE </w:t>
      </w:r>
      <w:r w:rsidRPr="00C03B32">
        <w:rPr>
          <w:rFonts w:ascii="Palatino Linotype" w:eastAsia="Palatino Linotype" w:hAnsi="Palatino Linotype" w:cs="Palatino Linotype"/>
        </w:rPr>
        <w:t xml:space="preserve">manifestara lo que a su derecho conviniera, a efecto de presentar pruebas y alegatos; así como, para que </w:t>
      </w:r>
      <w:r w:rsidRPr="00C03B32">
        <w:rPr>
          <w:rFonts w:ascii="Palatino Linotype" w:eastAsia="Palatino Linotype" w:hAnsi="Palatino Linotype" w:cs="Palatino Linotype"/>
          <w:b/>
        </w:rPr>
        <w:t xml:space="preserve">EL SUJETO OBLIGADO </w:t>
      </w:r>
      <w:r w:rsidRPr="00C03B32">
        <w:rPr>
          <w:rFonts w:ascii="Palatino Linotype" w:eastAsia="Palatino Linotype" w:hAnsi="Palatino Linotype" w:cs="Palatino Linotype"/>
        </w:rPr>
        <w:t>rindiera los Informes Justificados correspondientes; lo anterior, conforme a lo dispuesto por el artículo 185 de la Ley de Transparencia y Acceso a la Información Pública del Estado de México y Municipios.</w:t>
      </w:r>
    </w:p>
    <w:p w:rsidR="00BE727E" w:rsidRPr="00C03B32" w:rsidRDefault="00BE727E">
      <w:pPr>
        <w:tabs>
          <w:tab w:val="center" w:pos="4252"/>
          <w:tab w:val="right" w:pos="8504"/>
        </w:tabs>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b/>
        </w:rPr>
      </w:pPr>
      <w:r w:rsidRPr="00C03B32">
        <w:rPr>
          <w:rFonts w:ascii="Palatino Linotype" w:eastAsia="Palatino Linotype" w:hAnsi="Palatino Linotype" w:cs="Palatino Linotype"/>
          <w:b/>
        </w:rPr>
        <w:t>b) Informe Justificado</w:t>
      </w:r>
    </w:p>
    <w:p w:rsidR="00BE727E" w:rsidRPr="00C03B32" w:rsidRDefault="00B301C6">
      <w:pPr>
        <w:widowControl w:val="0"/>
        <w:tabs>
          <w:tab w:val="left" w:pos="0"/>
        </w:tabs>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Conforme a las constancias que obran en el expediente del </w:t>
      </w:r>
      <w:r w:rsidRPr="00C03B32">
        <w:rPr>
          <w:rFonts w:ascii="Palatino Linotype" w:eastAsia="Palatino Linotype" w:hAnsi="Palatino Linotype" w:cs="Palatino Linotype"/>
          <w:b/>
        </w:rPr>
        <w:t>SAIMEX,</w:t>
      </w:r>
      <w:r w:rsidRPr="00C03B32">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 </w:t>
      </w:r>
      <w:r w:rsidRPr="00C03B32">
        <w:rPr>
          <w:rFonts w:ascii="Palatino Linotype" w:eastAsia="Palatino Linotype" w:hAnsi="Palatino Linotype" w:cs="Palatino Linotype"/>
          <w:b/>
        </w:rPr>
        <w:t>RECURRENTE</w:t>
      </w:r>
      <w:r w:rsidRPr="00C03B32">
        <w:rPr>
          <w:rFonts w:ascii="Palatino Linotype" w:eastAsia="Palatino Linotype" w:hAnsi="Palatino Linotype" w:cs="Palatino Linotype"/>
        </w:rPr>
        <w:t xml:space="preserve">, no realizó las manifestaciones que conforme a derecho le corresponden. </w:t>
      </w:r>
    </w:p>
    <w:p w:rsidR="00BE727E" w:rsidRPr="00C03B32" w:rsidRDefault="00BE727E">
      <w:pPr>
        <w:widowControl w:val="0"/>
        <w:tabs>
          <w:tab w:val="left" w:pos="0"/>
        </w:tabs>
        <w:spacing w:line="360" w:lineRule="auto"/>
        <w:jc w:val="both"/>
        <w:rPr>
          <w:rFonts w:ascii="Palatino Linotype" w:eastAsia="Palatino Linotype" w:hAnsi="Palatino Linotype" w:cs="Palatino Linotype"/>
        </w:rPr>
      </w:pPr>
    </w:p>
    <w:p w:rsidR="00BE727E" w:rsidRPr="00C03B32" w:rsidRDefault="00B301C6">
      <w:pPr>
        <w:widowControl w:val="0"/>
        <w:tabs>
          <w:tab w:val="left" w:pos="0"/>
        </w:tabs>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Por su parte </w:t>
      </w:r>
      <w:r w:rsidRPr="00C03B32">
        <w:rPr>
          <w:rFonts w:ascii="Palatino Linotype" w:eastAsia="Palatino Linotype" w:hAnsi="Palatino Linotype" w:cs="Palatino Linotype"/>
          <w:b/>
        </w:rPr>
        <w:t xml:space="preserve">EL SUJETO OBLIGADO </w:t>
      </w:r>
      <w:r w:rsidRPr="00C03B32">
        <w:rPr>
          <w:rFonts w:ascii="Palatino Linotype" w:eastAsia="Palatino Linotype" w:hAnsi="Palatino Linotype" w:cs="Palatino Linotype"/>
        </w:rPr>
        <w:t>rindió sus Informes Justificados, los cuales fueron puestos a disposición del particular para que en el término de tres días hábiles pudiera realizar las manifestaciones que así le convinieran.</w:t>
      </w:r>
    </w:p>
    <w:p w:rsidR="00BE727E" w:rsidRPr="00C03B32" w:rsidRDefault="00BE727E">
      <w:pPr>
        <w:widowControl w:val="0"/>
        <w:tabs>
          <w:tab w:val="left" w:pos="0"/>
        </w:tabs>
        <w:spacing w:line="360" w:lineRule="auto"/>
        <w:jc w:val="both"/>
        <w:rPr>
          <w:rFonts w:ascii="Palatino Linotype" w:eastAsia="Palatino Linotype" w:hAnsi="Palatino Linotype" w:cs="Palatino Linotype"/>
        </w:rPr>
      </w:pPr>
    </w:p>
    <w:p w:rsidR="00BE727E" w:rsidRPr="00C03B32" w:rsidRDefault="00BE727E">
      <w:pPr>
        <w:widowControl w:val="0"/>
        <w:tabs>
          <w:tab w:val="left" w:pos="0"/>
        </w:tabs>
        <w:spacing w:line="360" w:lineRule="auto"/>
        <w:jc w:val="both"/>
        <w:rPr>
          <w:rFonts w:ascii="Palatino Linotype" w:eastAsia="Palatino Linotype" w:hAnsi="Palatino Linotype" w:cs="Palatino Linotype"/>
        </w:rPr>
      </w:pPr>
    </w:p>
    <w:p w:rsidR="00BE727E" w:rsidRPr="00C03B32" w:rsidRDefault="00B301C6">
      <w:pPr>
        <w:widowControl w:val="0"/>
        <w:tabs>
          <w:tab w:val="left" w:pos="0"/>
        </w:tabs>
        <w:spacing w:line="360" w:lineRule="auto"/>
        <w:jc w:val="both"/>
        <w:rPr>
          <w:rFonts w:ascii="Palatino Linotype" w:eastAsia="Palatino Linotype" w:hAnsi="Palatino Linotype" w:cs="Palatino Linotype"/>
          <w:b/>
        </w:rPr>
      </w:pPr>
      <w:r w:rsidRPr="00C03B32">
        <w:rPr>
          <w:rFonts w:ascii="Palatino Linotype" w:eastAsia="Palatino Linotype" w:hAnsi="Palatino Linotype" w:cs="Palatino Linotype"/>
          <w:b/>
          <w:sz w:val="28"/>
          <w:szCs w:val="28"/>
        </w:rPr>
        <w:lastRenderedPageBreak/>
        <w:t xml:space="preserve">c) </w:t>
      </w:r>
      <w:r w:rsidRPr="00C03B32">
        <w:rPr>
          <w:rFonts w:ascii="Palatino Linotype" w:eastAsia="Palatino Linotype" w:hAnsi="Palatino Linotype" w:cs="Palatino Linotype"/>
          <w:b/>
        </w:rPr>
        <w:t xml:space="preserve">Acumulación </w:t>
      </w: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Por economía procesal y con la finalidad de evitar resoluciones contradictorias, en la </w:t>
      </w:r>
      <w:r w:rsidRPr="00C03B32">
        <w:rPr>
          <w:rFonts w:ascii="Palatino Linotype" w:eastAsia="Palatino Linotype" w:hAnsi="Palatino Linotype" w:cs="Palatino Linotype"/>
          <w:b/>
        </w:rPr>
        <w:t>Trigésima Séptima Sesión Ordinaria celebrada el trece de octubre de dos mil veintidós</w:t>
      </w:r>
      <w:r w:rsidRPr="00C03B32">
        <w:rPr>
          <w:rFonts w:ascii="Palatino Linotype" w:eastAsia="Palatino Linotype" w:hAnsi="Palatino Linotype" w:cs="Palatino Linotype"/>
        </w:rPr>
        <w:t>, el Pleno de este Instituto determinó acumular los Recursos de Revisión</w:t>
      </w:r>
      <w:r w:rsidRPr="00C03B32">
        <w:rPr>
          <w:rFonts w:ascii="Palatino Linotype" w:eastAsia="Palatino Linotype" w:hAnsi="Palatino Linotype" w:cs="Palatino Linotype"/>
          <w:b/>
          <w:sz w:val="22"/>
          <w:szCs w:val="22"/>
        </w:rPr>
        <w:t xml:space="preserve">, </w:t>
      </w:r>
      <w:r w:rsidRPr="00C03B32">
        <w:rPr>
          <w:rFonts w:ascii="Palatino Linotype" w:eastAsia="Palatino Linotype" w:hAnsi="Palatino Linotype" w:cs="Palatino Linotype"/>
        </w:rPr>
        <w:t xml:space="preserve">acordando la elaboración del proyecto de resolución por parte de la Comisionada Sharon Cristina Morales Martínez </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b/>
        </w:rPr>
      </w:pPr>
      <w:r w:rsidRPr="00C03B32">
        <w:rPr>
          <w:rFonts w:ascii="Palatino Linotype" w:eastAsia="Palatino Linotype" w:hAnsi="Palatino Linotype" w:cs="Palatino Linotype"/>
          <w:b/>
        </w:rPr>
        <w:t xml:space="preserve">d) Ampliación del Recurso de Revisión </w:t>
      </w: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El </w:t>
      </w:r>
      <w:r w:rsidRPr="00C03B32">
        <w:rPr>
          <w:rFonts w:ascii="Palatino Linotype" w:eastAsia="Palatino Linotype" w:hAnsi="Palatino Linotype" w:cs="Palatino Linotype"/>
          <w:b/>
        </w:rPr>
        <w:t>ocho de noviembre de dos mil veintidós</w:t>
      </w:r>
      <w:r w:rsidRPr="00C03B32">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b/>
        </w:rPr>
      </w:pPr>
      <w:r w:rsidRPr="00C03B32">
        <w:rPr>
          <w:rFonts w:ascii="Palatino Linotype" w:eastAsia="Palatino Linotype" w:hAnsi="Palatino Linotype" w:cs="Palatino Linotype"/>
          <w:b/>
        </w:rPr>
        <w:t>e) Cierre de Instrucción</w:t>
      </w: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Por lo que, una vez analizado el estado procesal que guardaba el expediente, el </w:t>
      </w:r>
      <w:r w:rsidRPr="00C03B32">
        <w:rPr>
          <w:rFonts w:ascii="Palatino Linotype" w:eastAsia="Palatino Linotype" w:hAnsi="Palatino Linotype" w:cs="Palatino Linotype"/>
          <w:b/>
        </w:rPr>
        <w:t>veinti</w:t>
      </w:r>
      <w:r w:rsidR="00607D90" w:rsidRPr="00C03B32">
        <w:rPr>
          <w:rFonts w:ascii="Palatino Linotype" w:eastAsia="Palatino Linotype" w:hAnsi="Palatino Linotype" w:cs="Palatino Linotype"/>
          <w:b/>
        </w:rPr>
        <w:t>ocho</w:t>
      </w:r>
      <w:r w:rsidRPr="00C03B32">
        <w:rPr>
          <w:rFonts w:ascii="Palatino Linotype" w:eastAsia="Palatino Linotype" w:hAnsi="Palatino Linotype" w:cs="Palatino Linotype"/>
          <w:b/>
        </w:rPr>
        <w:t xml:space="preserve"> de marzo de dos mil veintitrés</w:t>
      </w:r>
      <w:r w:rsidRPr="00C03B32">
        <w:rPr>
          <w:rFonts w:ascii="Palatino Linotype" w:eastAsia="Palatino Linotype" w:hAnsi="Palatino Linotype" w:cs="Palatino Linotype"/>
        </w:rPr>
        <w:t xml:space="preserve">, la </w:t>
      </w:r>
      <w:r w:rsidRPr="00C03B32">
        <w:rPr>
          <w:rFonts w:ascii="Palatino Linotype" w:eastAsia="Palatino Linotype" w:hAnsi="Palatino Linotype" w:cs="Palatino Linotype"/>
          <w:b/>
        </w:rPr>
        <w:t xml:space="preserve">Comisionada Sharon Christina Morales Martínez </w:t>
      </w:r>
      <w:r w:rsidRPr="00C03B32">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Este organismo garante no pasa por alto justificar, que la dilación en la resolución del presente asunto encuentra justificación en el alto número de recursos de revisión </w:t>
      </w:r>
      <w:r w:rsidRPr="00C03B32">
        <w:rPr>
          <w:rFonts w:ascii="Palatino Linotype" w:eastAsia="Palatino Linotype" w:hAnsi="Palatino Linotype" w:cs="Palatino Linotype"/>
        </w:rPr>
        <w:lastRenderedPageBreak/>
        <w:t>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Por ello, es menester precisar </w:t>
      </w:r>
      <w:r w:rsidR="00607D90" w:rsidRPr="00C03B32">
        <w:rPr>
          <w:rFonts w:ascii="Palatino Linotype" w:eastAsia="Palatino Linotype" w:hAnsi="Palatino Linotype" w:cs="Palatino Linotype"/>
        </w:rPr>
        <w:t>que,</w:t>
      </w:r>
      <w:r w:rsidRPr="00C03B32">
        <w:rPr>
          <w:rFonts w:ascii="Palatino Linotype" w:eastAsia="Palatino Linotype" w:hAnsi="Palatino Linotype" w:cs="Palatino Linotype"/>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numPr>
          <w:ilvl w:val="0"/>
          <w:numId w:val="1"/>
        </w:num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BE727E" w:rsidRPr="00C03B32" w:rsidRDefault="00BE727E">
      <w:pPr>
        <w:spacing w:line="360" w:lineRule="auto"/>
        <w:ind w:left="927"/>
        <w:jc w:val="both"/>
        <w:rPr>
          <w:rFonts w:ascii="Palatino Linotype" w:eastAsia="Palatino Linotype" w:hAnsi="Palatino Linotype" w:cs="Palatino Linotype"/>
        </w:rPr>
      </w:pPr>
    </w:p>
    <w:p w:rsidR="00BE727E" w:rsidRPr="00C03B32" w:rsidRDefault="00B301C6">
      <w:pPr>
        <w:numPr>
          <w:ilvl w:val="0"/>
          <w:numId w:val="1"/>
        </w:num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Actividad Procesal del interesado. Acciones u omisiones del interesado.</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numPr>
          <w:ilvl w:val="0"/>
          <w:numId w:val="1"/>
        </w:num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Conducta de la Autoridad: Las Acciones u omisiones realizadas en el procedimiento. Así como si la autoridad actuó con la debida diligencia.</w:t>
      </w:r>
    </w:p>
    <w:p w:rsidR="00BE727E" w:rsidRPr="00C03B32" w:rsidRDefault="00BE727E">
      <w:pPr>
        <w:spacing w:line="360" w:lineRule="auto"/>
        <w:ind w:left="708"/>
        <w:rPr>
          <w:rFonts w:ascii="Palatino Linotype" w:eastAsia="Palatino Linotype" w:hAnsi="Palatino Linotype" w:cs="Palatino Linotype"/>
        </w:rPr>
      </w:pPr>
    </w:p>
    <w:p w:rsidR="00BE727E" w:rsidRPr="00C03B32" w:rsidRDefault="00B301C6">
      <w:pPr>
        <w:spacing w:line="360" w:lineRule="auto"/>
        <w:ind w:left="567"/>
        <w:jc w:val="both"/>
        <w:rPr>
          <w:rFonts w:ascii="Palatino Linotype" w:eastAsia="Palatino Linotype" w:hAnsi="Palatino Linotype" w:cs="Palatino Linotype"/>
        </w:rPr>
      </w:pPr>
      <w:r w:rsidRPr="00C03B32">
        <w:rPr>
          <w:rFonts w:ascii="Palatino Linotype" w:eastAsia="Palatino Linotype" w:hAnsi="Palatino Linotype" w:cs="Palatino Linotype"/>
        </w:rPr>
        <w:t>d) La afectación generada en la situación jurídica de la persona involucrada en el proceso: Violación a sus derechos humanos.</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b/>
        </w:rPr>
      </w:pPr>
      <w:r w:rsidRPr="00C03B32">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C03B3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03B32">
        <w:rPr>
          <w:rFonts w:ascii="Palatino Linotype" w:eastAsia="Palatino Linotype" w:hAnsi="Palatino Linotype" w:cs="Palatino Linotype"/>
        </w:rPr>
        <w:t>, visible en la Gaceta del Seminario Judicial de la Federación con el registro digital 205635.</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i/>
        </w:rPr>
        <w:t>“PLAZO RAZONABLE PARA RESOLVER. DIMENSIÓN Y EFECTOS DE ESTE CONCEPTO CUANDO SE ADUCE EXCESIVA CARGA DE TRABAJO.”</w:t>
      </w:r>
      <w:r w:rsidRPr="00C03B32">
        <w:rPr>
          <w:rFonts w:ascii="Palatino Linotype" w:eastAsia="Palatino Linotype" w:hAnsi="Palatino Linotype" w:cs="Palatino Linotype"/>
        </w:rPr>
        <w:t xml:space="preserve"> consultable en el Seminario Judicial de la Federación y su gaceta, con el registro digital 2002351.</w:t>
      </w:r>
    </w:p>
    <w:p w:rsidR="00BE727E" w:rsidRPr="00C03B32" w:rsidRDefault="00BE727E">
      <w:pPr>
        <w:spacing w:line="360" w:lineRule="auto"/>
        <w:jc w:val="both"/>
        <w:rPr>
          <w:rFonts w:ascii="Palatino Linotype" w:eastAsia="Palatino Linotype" w:hAnsi="Palatino Linotype" w:cs="Palatino Linotype"/>
          <w:b/>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i/>
        </w:rPr>
        <w:t>“PLAZO RAZONABLE PARA RESOLVER. CONCEPTO Y ELEMENTOS QUE LO INTEGRAN A LA LUZ DEL DERECHO INTERNACIONAL DE LOS DERECHOS HUMANOS.”</w:t>
      </w:r>
      <w:r w:rsidRPr="00C03B32">
        <w:rPr>
          <w:rFonts w:ascii="Palatino Linotype" w:eastAsia="Palatino Linotype" w:hAnsi="Palatino Linotype" w:cs="Palatino Linotype"/>
        </w:rPr>
        <w:t>, visible en el Seminario Judicial de la Federación y su gaceta, con el registro digital 2002350, y</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jc w:val="center"/>
        <w:rPr>
          <w:rFonts w:ascii="Palatino Linotype" w:eastAsia="Palatino Linotype" w:hAnsi="Palatino Linotype" w:cs="Palatino Linotype"/>
          <w:b/>
          <w:sz w:val="28"/>
          <w:szCs w:val="28"/>
        </w:rPr>
      </w:pPr>
      <w:r w:rsidRPr="00C03B32">
        <w:rPr>
          <w:rFonts w:ascii="Palatino Linotype" w:eastAsia="Palatino Linotype" w:hAnsi="Palatino Linotype" w:cs="Palatino Linotype"/>
          <w:b/>
          <w:sz w:val="28"/>
          <w:szCs w:val="28"/>
        </w:rPr>
        <w:t>CONSIDERANDO</w:t>
      </w:r>
    </w:p>
    <w:p w:rsidR="00BE727E" w:rsidRPr="00C03B32" w:rsidRDefault="00BE727E">
      <w:pPr>
        <w:jc w:val="center"/>
        <w:rPr>
          <w:rFonts w:ascii="Palatino Linotype" w:eastAsia="Palatino Linotype" w:hAnsi="Palatino Linotype" w:cs="Palatino Linotype"/>
          <w:b/>
          <w:sz w:val="28"/>
          <w:szCs w:val="28"/>
        </w:rPr>
      </w:pPr>
    </w:p>
    <w:p w:rsidR="00BE727E" w:rsidRPr="00C03B32" w:rsidRDefault="00B301C6">
      <w:pPr>
        <w:widowControl w:val="0"/>
        <w:tabs>
          <w:tab w:val="left" w:pos="1701"/>
        </w:tabs>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b/>
          <w:sz w:val="28"/>
          <w:szCs w:val="28"/>
        </w:rPr>
        <w:t>PRIMERO.</w:t>
      </w:r>
      <w:r w:rsidRPr="00C03B32">
        <w:rPr>
          <w:rFonts w:ascii="Palatino Linotype" w:eastAsia="Palatino Linotype" w:hAnsi="Palatino Linotype" w:cs="Palatino Linotype"/>
          <w:b/>
        </w:rPr>
        <w:t xml:space="preserve"> Competencia</w:t>
      </w:r>
      <w:r w:rsidRPr="00C03B32">
        <w:rPr>
          <w:rFonts w:ascii="Palatino Linotype" w:eastAsia="Palatino Linotype" w:hAnsi="Palatino Linotype" w:cs="Palatino Linotype"/>
        </w:rPr>
        <w:t>.</w:t>
      </w:r>
      <w:r w:rsidRPr="00C03B32">
        <w:rPr>
          <w:rFonts w:ascii="Palatino Linotype" w:eastAsia="Palatino Linotype" w:hAnsi="Palatino Linotype" w:cs="Palatino Linotype"/>
          <w:b/>
        </w:rPr>
        <w:t xml:space="preserve"> </w:t>
      </w:r>
    </w:p>
    <w:p w:rsidR="00BE727E" w:rsidRPr="00C03B32" w:rsidRDefault="00B301C6">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C03B32">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w:t>
      </w:r>
      <w:r w:rsidRPr="00C03B32">
        <w:rPr>
          <w:rFonts w:ascii="Palatino Linotype" w:eastAsia="Palatino Linotype" w:hAnsi="Palatino Linotype" w:cs="Palatino Linotype"/>
        </w:rPr>
        <w:lastRenderedPageBreak/>
        <w:t>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BE727E" w:rsidRPr="00C03B32" w:rsidRDefault="00BE727E">
      <w:pPr>
        <w:widowControl w:val="0"/>
        <w:tabs>
          <w:tab w:val="left" w:pos="1701"/>
          <w:tab w:val="left" w:pos="2977"/>
        </w:tabs>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b/>
        </w:rPr>
      </w:pPr>
      <w:r w:rsidRPr="00C03B32">
        <w:rPr>
          <w:rFonts w:ascii="Palatino Linotype" w:eastAsia="Palatino Linotype" w:hAnsi="Palatino Linotype" w:cs="Palatino Linotype"/>
          <w:b/>
          <w:sz w:val="28"/>
          <w:szCs w:val="28"/>
        </w:rPr>
        <w:t>SEGUNDO</w:t>
      </w:r>
      <w:r w:rsidRPr="00C03B32">
        <w:rPr>
          <w:rFonts w:ascii="Palatino Linotype" w:eastAsia="Palatino Linotype" w:hAnsi="Palatino Linotype" w:cs="Palatino Linotype"/>
          <w:b/>
        </w:rPr>
        <w:t xml:space="preserve">. Interés. </w:t>
      </w:r>
    </w:p>
    <w:p w:rsidR="00BE727E" w:rsidRPr="00C03B32" w:rsidRDefault="00B301C6">
      <w:pPr>
        <w:spacing w:line="360" w:lineRule="auto"/>
        <w:jc w:val="both"/>
        <w:rPr>
          <w:rFonts w:ascii="Palatino Linotype" w:eastAsia="Palatino Linotype" w:hAnsi="Palatino Linotype" w:cs="Palatino Linotype"/>
          <w:b/>
          <w:color w:val="000000"/>
        </w:rPr>
      </w:pPr>
      <w:r w:rsidRPr="00C03B32">
        <w:rPr>
          <w:rFonts w:ascii="Palatino Linotype" w:eastAsia="Palatino Linotype" w:hAnsi="Palatino Linotype" w:cs="Palatino Linotype"/>
          <w:color w:val="000000"/>
        </w:rPr>
        <w:t>Los Recursos de Revisión materia del presente estudio fueron interpuestos por parte legítima, en atención a que se present</w:t>
      </w:r>
      <w:r w:rsidRPr="00C03B32">
        <w:rPr>
          <w:rFonts w:ascii="Palatino Linotype" w:eastAsia="Palatino Linotype" w:hAnsi="Palatino Linotype" w:cs="Palatino Linotype"/>
        </w:rPr>
        <w:t>aron</w:t>
      </w:r>
      <w:r w:rsidRPr="00C03B32">
        <w:rPr>
          <w:rFonts w:ascii="Palatino Linotype" w:eastAsia="Palatino Linotype" w:hAnsi="Palatino Linotype" w:cs="Palatino Linotype"/>
          <w:color w:val="000000"/>
        </w:rPr>
        <w:t xml:space="preserve"> por </w:t>
      </w:r>
      <w:r w:rsidRPr="00C03B32">
        <w:rPr>
          <w:rFonts w:ascii="Palatino Linotype" w:eastAsia="Palatino Linotype" w:hAnsi="Palatino Linotype" w:cs="Palatino Linotype"/>
          <w:b/>
          <w:color w:val="000000"/>
        </w:rPr>
        <w:t>EL RECURRENTE,</w:t>
      </w:r>
      <w:r w:rsidRPr="00C03B32">
        <w:rPr>
          <w:rFonts w:ascii="Palatino Linotype" w:eastAsia="Palatino Linotype" w:hAnsi="Palatino Linotype" w:cs="Palatino Linotype"/>
          <w:color w:val="000000"/>
        </w:rPr>
        <w:t xml:space="preserve"> quien es la misma persona que formuló la solicitud de Acceso a la Información Pública al </w:t>
      </w:r>
      <w:r w:rsidRPr="00C03B32">
        <w:rPr>
          <w:rFonts w:ascii="Palatino Linotype" w:eastAsia="Palatino Linotype" w:hAnsi="Palatino Linotype" w:cs="Palatino Linotype"/>
          <w:b/>
          <w:color w:val="000000"/>
        </w:rPr>
        <w:t xml:space="preserve">SUJETO OBLIGADO, </w:t>
      </w:r>
      <w:r w:rsidRPr="00C03B32">
        <w:rPr>
          <w:rFonts w:ascii="Palatino Linotype" w:eastAsia="Palatino Linotype" w:hAnsi="Palatino Linotype" w:cs="Palatino Linotype"/>
          <w:color w:val="000000"/>
        </w:rPr>
        <w:t xml:space="preserve">pues para ello, es necesario que el particular ingrese al </w:t>
      </w:r>
      <w:r w:rsidRPr="00C03B32">
        <w:rPr>
          <w:rFonts w:ascii="Palatino Linotype" w:eastAsia="Palatino Linotype" w:hAnsi="Palatino Linotype" w:cs="Palatino Linotype"/>
          <w:b/>
          <w:color w:val="000000"/>
        </w:rPr>
        <w:t xml:space="preserve">SAIMEX </w:t>
      </w:r>
      <w:r w:rsidRPr="00C03B32">
        <w:rPr>
          <w:rFonts w:ascii="Palatino Linotype" w:eastAsia="Palatino Linotype" w:hAnsi="Palatino Linotype" w:cs="Palatino Linotype"/>
          <w:color w:val="000000"/>
        </w:rPr>
        <w:t>mediante la utilización de su clave de usuario y contraseña.</w:t>
      </w:r>
    </w:p>
    <w:p w:rsidR="00BE727E" w:rsidRPr="00C03B32" w:rsidRDefault="00BE727E">
      <w:pPr>
        <w:tabs>
          <w:tab w:val="center" w:pos="4252"/>
          <w:tab w:val="right" w:pos="8504"/>
        </w:tabs>
        <w:spacing w:line="360" w:lineRule="auto"/>
        <w:ind w:left="-57"/>
        <w:jc w:val="both"/>
        <w:rPr>
          <w:rFonts w:ascii="Palatino Linotype" w:eastAsia="Palatino Linotype" w:hAnsi="Palatino Linotype" w:cs="Palatino Linotype"/>
          <w:b/>
          <w:sz w:val="28"/>
          <w:szCs w:val="28"/>
        </w:rPr>
      </w:pPr>
    </w:p>
    <w:p w:rsidR="00BE727E" w:rsidRPr="00C03B32" w:rsidRDefault="00B301C6">
      <w:pPr>
        <w:tabs>
          <w:tab w:val="center" w:pos="4252"/>
          <w:tab w:val="right" w:pos="8504"/>
        </w:tabs>
        <w:spacing w:line="360" w:lineRule="auto"/>
        <w:ind w:left="-57"/>
        <w:jc w:val="both"/>
        <w:rPr>
          <w:rFonts w:ascii="Palatino Linotype" w:eastAsia="Palatino Linotype" w:hAnsi="Palatino Linotype" w:cs="Palatino Linotype"/>
        </w:rPr>
      </w:pPr>
      <w:r w:rsidRPr="00C03B32">
        <w:rPr>
          <w:rFonts w:ascii="Palatino Linotype" w:eastAsia="Palatino Linotype" w:hAnsi="Palatino Linotype" w:cs="Palatino Linotype"/>
          <w:b/>
          <w:sz w:val="28"/>
          <w:szCs w:val="28"/>
        </w:rPr>
        <w:t>TERCERO.</w:t>
      </w:r>
      <w:r w:rsidRPr="00C03B32">
        <w:rPr>
          <w:rFonts w:ascii="Palatino Linotype" w:eastAsia="Palatino Linotype" w:hAnsi="Palatino Linotype" w:cs="Palatino Linotype"/>
        </w:rPr>
        <w:t xml:space="preserve"> </w:t>
      </w:r>
      <w:r w:rsidRPr="00C03B32">
        <w:rPr>
          <w:rFonts w:ascii="Palatino Linotype" w:eastAsia="Palatino Linotype" w:hAnsi="Palatino Linotype" w:cs="Palatino Linotype"/>
          <w:b/>
        </w:rPr>
        <w:t>Justificación de la Acumulación de los Recursos.</w:t>
      </w:r>
      <w:r w:rsidRPr="00C03B32">
        <w:rPr>
          <w:rFonts w:ascii="Palatino Linotype" w:eastAsia="Palatino Linotype" w:hAnsi="Palatino Linotype" w:cs="Palatino Linotype"/>
        </w:rPr>
        <w:t xml:space="preserve"> </w:t>
      </w:r>
    </w:p>
    <w:p w:rsidR="00BE727E" w:rsidRPr="00C03B32" w:rsidRDefault="00B301C6">
      <w:pPr>
        <w:tabs>
          <w:tab w:val="center" w:pos="4252"/>
          <w:tab w:val="right" w:pos="8504"/>
        </w:tabs>
        <w:spacing w:line="360" w:lineRule="auto"/>
        <w:ind w:left="-57"/>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De las constancias que obran en los expedientes acumulados, se advierte que en los Recursos de Revisión número </w:t>
      </w:r>
      <w:r w:rsidRPr="00C03B32">
        <w:rPr>
          <w:rFonts w:ascii="Palatino Linotype" w:eastAsia="Palatino Linotype" w:hAnsi="Palatino Linotype" w:cs="Palatino Linotype"/>
          <w:b/>
        </w:rPr>
        <w:t>14782/INFOEM/IP/RR/2022, 14783/INFOEM/IP/RR/2022, 14784/INFOEM/IP/RR/2022 14785/INFOEM/IP/RR/2022 y 14786/INFOEM/IP/RR/20222</w:t>
      </w:r>
      <w:r w:rsidRPr="00C03B32">
        <w:rPr>
          <w:rFonts w:ascii="Palatino Linotype" w:eastAsia="Palatino Linotype" w:hAnsi="Palatino Linotype" w:cs="Palatino Linotype"/>
        </w:rPr>
        <w:t xml:space="preserve"> fueron presentados por el mismo </w:t>
      </w:r>
      <w:r w:rsidRPr="00C03B32">
        <w:rPr>
          <w:rFonts w:ascii="Palatino Linotype" w:eastAsia="Palatino Linotype" w:hAnsi="Palatino Linotype" w:cs="Palatino Linotype"/>
          <w:b/>
        </w:rPr>
        <w:t>RECURRENTE</w:t>
      </w:r>
      <w:r w:rsidRPr="00C03B32">
        <w:rPr>
          <w:rFonts w:ascii="Palatino Linotype" w:eastAsia="Palatino Linotype" w:hAnsi="Palatino Linotype" w:cs="Palatino Linotype"/>
        </w:rPr>
        <w:t xml:space="preserve"> respecto de los actos u omisiones del mismo </w:t>
      </w:r>
      <w:r w:rsidRPr="00C03B32">
        <w:rPr>
          <w:rFonts w:ascii="Palatino Linotype" w:eastAsia="Palatino Linotype" w:hAnsi="Palatino Linotype" w:cs="Palatino Linotype"/>
          <w:b/>
        </w:rPr>
        <w:t>SUJETO OBLIGADO</w:t>
      </w:r>
      <w:r w:rsidRPr="00C03B32">
        <w:rPr>
          <w:rFonts w:ascii="Palatino Linotype" w:eastAsia="Palatino Linotype" w:hAnsi="Palatino Linotype" w:cs="Palatino Linotype"/>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w:t>
      </w:r>
      <w:r w:rsidRPr="00C03B32">
        <w:rPr>
          <w:rFonts w:ascii="Palatino Linotype" w:eastAsia="Palatino Linotype" w:hAnsi="Palatino Linotype" w:cs="Palatino Linotype"/>
        </w:rPr>
        <w:lastRenderedPageBreak/>
        <w:t>supletoria en términos del artículo 195 de la Ley de Transparencia y Acceso a la Información Pública del Estado de México y Municipios en vigor, que a la letra señalan:</w:t>
      </w:r>
    </w:p>
    <w:p w:rsidR="00BE727E" w:rsidRPr="00C03B32" w:rsidRDefault="00BE727E">
      <w:pPr>
        <w:tabs>
          <w:tab w:val="left" w:pos="8222"/>
        </w:tabs>
        <w:ind w:left="851" w:right="1134"/>
        <w:jc w:val="center"/>
        <w:rPr>
          <w:rFonts w:ascii="Palatino Linotype" w:eastAsia="Palatino Linotype" w:hAnsi="Palatino Linotype" w:cs="Palatino Linotype"/>
          <w:b/>
          <w:i/>
          <w:sz w:val="22"/>
          <w:szCs w:val="22"/>
        </w:rPr>
      </w:pPr>
    </w:p>
    <w:p w:rsidR="00BE727E" w:rsidRPr="00C03B32" w:rsidRDefault="00B301C6">
      <w:pPr>
        <w:tabs>
          <w:tab w:val="left" w:pos="8222"/>
        </w:tabs>
        <w:ind w:left="851" w:right="1134"/>
        <w:jc w:val="center"/>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b/>
          <w:i/>
          <w:sz w:val="22"/>
          <w:szCs w:val="22"/>
        </w:rPr>
        <w:t>“Código de Procedimientos Administrativos del Estado de México</w:t>
      </w:r>
    </w:p>
    <w:p w:rsidR="00BE727E" w:rsidRPr="00C03B32" w:rsidRDefault="00B301C6">
      <w:pPr>
        <w:tabs>
          <w:tab w:val="left" w:pos="8222"/>
        </w:tabs>
        <w:ind w:left="851" w:right="1134"/>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w:t>
      </w:r>
      <w:r w:rsidRPr="00C03B32">
        <w:rPr>
          <w:rFonts w:ascii="Palatino Linotype" w:eastAsia="Palatino Linotype" w:hAnsi="Palatino Linotype" w:cs="Palatino Linotype"/>
          <w:b/>
          <w:i/>
          <w:sz w:val="22"/>
          <w:szCs w:val="22"/>
        </w:rPr>
        <w:t>Artículo 18</w:t>
      </w:r>
      <w:r w:rsidRPr="00C03B32">
        <w:rPr>
          <w:rFonts w:ascii="Palatino Linotype" w:eastAsia="Palatino Linotype" w:hAnsi="Palatino Linotype" w:cs="Palatino Linotype"/>
          <w:i/>
          <w:sz w:val="22"/>
          <w:szCs w:val="22"/>
        </w:rPr>
        <w:t xml:space="preserve">.- </w:t>
      </w:r>
      <w:r w:rsidRPr="00C03B32">
        <w:rPr>
          <w:rFonts w:ascii="Palatino Linotype" w:eastAsia="Palatino Linotype" w:hAnsi="Palatino Linotype" w:cs="Palatino Linotype"/>
          <w:b/>
          <w:i/>
          <w:sz w:val="22"/>
          <w:szCs w:val="22"/>
        </w:rPr>
        <w:t xml:space="preserve">La autoridad administrativa o el Tribunal </w:t>
      </w:r>
      <w:r w:rsidRPr="00C03B32">
        <w:rPr>
          <w:rFonts w:ascii="Palatino Linotype" w:eastAsia="Palatino Linotype" w:hAnsi="Palatino Linotype" w:cs="Palatino Linotype"/>
          <w:b/>
          <w:i/>
          <w:sz w:val="22"/>
          <w:szCs w:val="22"/>
          <w:u w:val="single"/>
        </w:rPr>
        <w:t>acordarán la acumulación de los expedientes</w:t>
      </w:r>
      <w:r w:rsidRPr="00C03B32">
        <w:rPr>
          <w:rFonts w:ascii="Palatino Linotype" w:eastAsia="Palatino Linotype" w:hAnsi="Palatino Linotype" w:cs="Palatino Linotype"/>
          <w:b/>
          <w:i/>
          <w:sz w:val="22"/>
          <w:szCs w:val="22"/>
        </w:rPr>
        <w:t xml:space="preserve"> del procedimiento y proceso administrativo que ante ellos se sigan, de oficio</w:t>
      </w:r>
      <w:r w:rsidRPr="00C03B32">
        <w:rPr>
          <w:rFonts w:ascii="Palatino Linotype" w:eastAsia="Palatino Linotype" w:hAnsi="Palatino Linotype" w:cs="Palatino Linotype"/>
          <w:i/>
          <w:sz w:val="22"/>
          <w:szCs w:val="22"/>
        </w:rPr>
        <w:t xml:space="preserve"> o a petición de parte, </w:t>
      </w:r>
      <w:r w:rsidRPr="00C03B32">
        <w:rPr>
          <w:rFonts w:ascii="Palatino Linotype" w:eastAsia="Palatino Linotype" w:hAnsi="Palatino Linotype" w:cs="Palatino Linotype"/>
          <w:b/>
          <w:i/>
          <w:sz w:val="22"/>
          <w:szCs w:val="22"/>
          <w:u w:val="single"/>
        </w:rPr>
        <w:t>cuando las partes</w:t>
      </w:r>
      <w:r w:rsidRPr="00C03B32">
        <w:rPr>
          <w:rFonts w:ascii="Palatino Linotype" w:eastAsia="Palatino Linotype" w:hAnsi="Palatino Linotype" w:cs="Palatino Linotype"/>
          <w:i/>
          <w:sz w:val="22"/>
          <w:szCs w:val="22"/>
        </w:rPr>
        <w:t xml:space="preserve"> o los actos administrativos </w:t>
      </w:r>
      <w:r w:rsidRPr="00C03B32">
        <w:rPr>
          <w:rFonts w:ascii="Palatino Linotype" w:eastAsia="Palatino Linotype" w:hAnsi="Palatino Linotype" w:cs="Palatino Linotype"/>
          <w:b/>
          <w:i/>
          <w:sz w:val="22"/>
          <w:szCs w:val="22"/>
          <w:u w:val="single"/>
        </w:rPr>
        <w:t>sean iguales</w:t>
      </w:r>
      <w:r w:rsidRPr="00C03B32">
        <w:rPr>
          <w:rFonts w:ascii="Palatino Linotype" w:eastAsia="Palatino Linotype" w:hAnsi="Palatino Linotype" w:cs="Palatino Linotype"/>
          <w:i/>
          <w:sz w:val="22"/>
          <w:szCs w:val="22"/>
        </w:rPr>
        <w:t xml:space="preserve">, se trate de actos conexos o </w:t>
      </w:r>
      <w:r w:rsidRPr="00C03B32">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C03B32">
        <w:rPr>
          <w:rFonts w:ascii="Palatino Linotype" w:eastAsia="Palatino Linotype" w:hAnsi="Palatino Linotype" w:cs="Palatino Linotype"/>
          <w:i/>
          <w:sz w:val="22"/>
          <w:szCs w:val="22"/>
        </w:rPr>
        <w:t>. La misma regla se aplicará, en lo conducente, para la separación de los expedientes.”</w:t>
      </w:r>
    </w:p>
    <w:p w:rsidR="00BE727E" w:rsidRPr="00C03B32" w:rsidRDefault="00B301C6">
      <w:pPr>
        <w:tabs>
          <w:tab w:val="left" w:pos="8222"/>
        </w:tabs>
        <w:ind w:left="851" w:right="1134"/>
        <w:jc w:val="center"/>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b/>
          <w:i/>
          <w:sz w:val="22"/>
          <w:szCs w:val="22"/>
        </w:rPr>
        <w:t xml:space="preserve">Ley de Transparencia y Acceso a la Información Pública del Estado de México y Municipios </w:t>
      </w:r>
    </w:p>
    <w:p w:rsidR="00BE727E" w:rsidRPr="00C03B32" w:rsidRDefault="00B301C6">
      <w:pPr>
        <w:tabs>
          <w:tab w:val="left" w:pos="8222"/>
        </w:tabs>
        <w:ind w:left="851" w:right="1134"/>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w:t>
      </w:r>
      <w:r w:rsidRPr="00C03B32">
        <w:rPr>
          <w:rFonts w:ascii="Palatino Linotype" w:eastAsia="Palatino Linotype" w:hAnsi="Palatino Linotype" w:cs="Palatino Linotype"/>
          <w:b/>
          <w:i/>
          <w:sz w:val="22"/>
          <w:szCs w:val="22"/>
        </w:rPr>
        <w:t xml:space="preserve">Artículo 195. </w:t>
      </w:r>
      <w:r w:rsidRPr="00C03B32">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rsidR="00BE727E" w:rsidRPr="00C03B32" w:rsidRDefault="00B301C6">
      <w:pPr>
        <w:tabs>
          <w:tab w:val="left" w:pos="8222"/>
        </w:tabs>
        <w:ind w:left="851" w:right="1134"/>
        <w:jc w:val="both"/>
        <w:rPr>
          <w:rFonts w:ascii="Palatino Linotype" w:eastAsia="Palatino Linotype" w:hAnsi="Palatino Linotype" w:cs="Palatino Linotype"/>
          <w:sz w:val="22"/>
          <w:szCs w:val="22"/>
        </w:rPr>
      </w:pPr>
      <w:r w:rsidRPr="00C03B32">
        <w:rPr>
          <w:rFonts w:ascii="Palatino Linotype" w:eastAsia="Palatino Linotype" w:hAnsi="Palatino Linotype" w:cs="Palatino Linotype"/>
          <w:sz w:val="22"/>
          <w:szCs w:val="22"/>
        </w:rPr>
        <w:t>(Énfasis añadido)</w:t>
      </w:r>
    </w:p>
    <w:p w:rsidR="00BE727E" w:rsidRPr="00C03B32" w:rsidRDefault="00BE727E">
      <w:pPr>
        <w:jc w:val="both"/>
        <w:rPr>
          <w:rFonts w:ascii="Palatino Linotype" w:eastAsia="Palatino Linotype" w:hAnsi="Palatino Linotype" w:cs="Palatino Linotype"/>
          <w:b/>
        </w:rPr>
      </w:pPr>
    </w:p>
    <w:p w:rsidR="00BE727E" w:rsidRPr="00C03B32" w:rsidRDefault="00B301C6">
      <w:pPr>
        <w:tabs>
          <w:tab w:val="center" w:pos="4252"/>
          <w:tab w:val="right" w:pos="8504"/>
        </w:tabs>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De lo dispuesto en los numerales citados en el párrafo que antecede, dicha acumulación procede cuando:</w:t>
      </w:r>
    </w:p>
    <w:p w:rsidR="00BE727E" w:rsidRPr="00C03B32" w:rsidRDefault="00B301C6">
      <w:pPr>
        <w:numPr>
          <w:ilvl w:val="0"/>
          <w:numId w:val="2"/>
        </w:numPr>
        <w:tabs>
          <w:tab w:val="center" w:pos="4252"/>
          <w:tab w:val="right" w:pos="8504"/>
        </w:tabs>
        <w:spacing w:line="360" w:lineRule="auto"/>
        <w:jc w:val="both"/>
      </w:pPr>
      <w:r w:rsidRPr="00C03B32">
        <w:rPr>
          <w:rFonts w:ascii="Palatino Linotype" w:eastAsia="Palatino Linotype" w:hAnsi="Palatino Linotype" w:cs="Palatino Linotype"/>
        </w:rPr>
        <w:t>El solicitante y la información referida sean las mismas;</w:t>
      </w:r>
    </w:p>
    <w:p w:rsidR="00BE727E" w:rsidRPr="00C03B32" w:rsidRDefault="00B301C6">
      <w:pPr>
        <w:numPr>
          <w:ilvl w:val="0"/>
          <w:numId w:val="2"/>
        </w:numPr>
        <w:tabs>
          <w:tab w:val="center" w:pos="4252"/>
          <w:tab w:val="right" w:pos="8504"/>
        </w:tabs>
        <w:spacing w:line="360" w:lineRule="auto"/>
        <w:jc w:val="both"/>
      </w:pPr>
      <w:r w:rsidRPr="00C03B32">
        <w:rPr>
          <w:rFonts w:ascii="Palatino Linotype" w:eastAsia="Palatino Linotype" w:hAnsi="Palatino Linotype" w:cs="Palatino Linotype"/>
        </w:rPr>
        <w:t>Las partes o los actos impugnados sean iguales;</w:t>
      </w:r>
    </w:p>
    <w:p w:rsidR="00BE727E" w:rsidRPr="00C03B32" w:rsidRDefault="00B301C6">
      <w:pPr>
        <w:numPr>
          <w:ilvl w:val="0"/>
          <w:numId w:val="2"/>
        </w:numPr>
        <w:tabs>
          <w:tab w:val="center" w:pos="4252"/>
          <w:tab w:val="right" w:pos="8504"/>
        </w:tabs>
        <w:spacing w:line="360" w:lineRule="auto"/>
        <w:jc w:val="both"/>
      </w:pPr>
      <w:r w:rsidRPr="00C03B32">
        <w:rPr>
          <w:rFonts w:ascii="Palatino Linotype" w:eastAsia="Palatino Linotype" w:hAnsi="Palatino Linotype" w:cs="Palatino Linotype"/>
        </w:rPr>
        <w:t>Cuando se trate del mismo solicitante, el mismo Sujeto Obligado, y</w:t>
      </w:r>
    </w:p>
    <w:p w:rsidR="00BE727E" w:rsidRPr="00C03B32" w:rsidRDefault="00B301C6">
      <w:pPr>
        <w:numPr>
          <w:ilvl w:val="0"/>
          <w:numId w:val="2"/>
        </w:numPr>
        <w:tabs>
          <w:tab w:val="center" w:pos="4252"/>
          <w:tab w:val="right" w:pos="8504"/>
        </w:tabs>
        <w:spacing w:line="360" w:lineRule="auto"/>
        <w:ind w:left="357"/>
        <w:jc w:val="both"/>
      </w:pPr>
      <w:r w:rsidRPr="00C03B32">
        <w:rPr>
          <w:rFonts w:ascii="Palatino Linotype" w:eastAsia="Palatino Linotype" w:hAnsi="Palatino Linotype" w:cs="Palatino Linotype"/>
        </w:rPr>
        <w:t>Aun tratándose de solicitudes diversas, resulte conveniente la resolución unificada de los asuntos</w:t>
      </w:r>
      <w:r w:rsidRPr="00C03B32">
        <w:rPr>
          <w:rFonts w:ascii="Palatino Linotype" w:eastAsia="Palatino Linotype" w:hAnsi="Palatino Linotype" w:cs="Palatino Linotype"/>
          <w:i/>
        </w:rPr>
        <w:t>.</w:t>
      </w:r>
    </w:p>
    <w:p w:rsidR="00BE727E" w:rsidRPr="00C03B32" w:rsidRDefault="00BE727E">
      <w:pPr>
        <w:widowControl w:val="0"/>
        <w:spacing w:line="360" w:lineRule="auto"/>
        <w:jc w:val="both"/>
        <w:rPr>
          <w:rFonts w:ascii="Palatino Linotype" w:eastAsia="Palatino Linotype" w:hAnsi="Palatino Linotype" w:cs="Palatino Linotype"/>
        </w:rPr>
      </w:pPr>
    </w:p>
    <w:p w:rsidR="00BE727E" w:rsidRPr="00C03B32" w:rsidRDefault="00B301C6">
      <w:pPr>
        <w:widowControl w:val="0"/>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De tal suerte que, como se mencionó anteriormente, los Recursos de Revisión que nos ocupa fueron interpuestos por el mismo </w:t>
      </w:r>
      <w:r w:rsidRPr="00C03B32">
        <w:rPr>
          <w:rFonts w:ascii="Palatino Linotype" w:eastAsia="Palatino Linotype" w:hAnsi="Palatino Linotype" w:cs="Palatino Linotype"/>
          <w:b/>
        </w:rPr>
        <w:t>RECURRENTE</w:t>
      </w:r>
      <w:r w:rsidRPr="00C03B32">
        <w:rPr>
          <w:rFonts w:ascii="Palatino Linotype" w:eastAsia="Palatino Linotype" w:hAnsi="Palatino Linotype" w:cs="Palatino Linotype"/>
        </w:rPr>
        <w:t xml:space="preserve"> ante el mismo </w:t>
      </w:r>
      <w:r w:rsidRPr="00C03B32">
        <w:rPr>
          <w:rFonts w:ascii="Palatino Linotype" w:eastAsia="Palatino Linotype" w:hAnsi="Palatino Linotype" w:cs="Palatino Linotype"/>
          <w:b/>
        </w:rPr>
        <w:t>SUJETO OBLIGADO</w:t>
      </w:r>
      <w:r w:rsidRPr="00C03B32">
        <w:rPr>
          <w:rFonts w:ascii="Palatino Linotype" w:eastAsia="Palatino Linotype" w:hAnsi="Palatino Linotype" w:cs="Palatino Linotype"/>
        </w:rPr>
        <w:t xml:space="preserve">, por lo que, resulta conveniente la resolución conjunta por economía </w:t>
      </w:r>
      <w:r w:rsidRPr="00C03B32">
        <w:rPr>
          <w:rFonts w:ascii="Palatino Linotype" w:eastAsia="Palatino Linotype" w:hAnsi="Palatino Linotype" w:cs="Palatino Linotype"/>
        </w:rPr>
        <w:lastRenderedPageBreak/>
        <w:t>procesal y con el fin de no emitir resoluciones contradictorias entre sí, en caso de resolverlos en forma separada por Ponentes diferentes.</w:t>
      </w:r>
    </w:p>
    <w:p w:rsidR="00BE727E" w:rsidRPr="00C03B32" w:rsidRDefault="00BE727E">
      <w:pPr>
        <w:tabs>
          <w:tab w:val="center" w:pos="4252"/>
          <w:tab w:val="right" w:pos="8504"/>
        </w:tabs>
        <w:spacing w:line="360" w:lineRule="auto"/>
        <w:ind w:left="-57"/>
        <w:jc w:val="both"/>
        <w:rPr>
          <w:rFonts w:ascii="Palatino Linotype" w:eastAsia="Palatino Linotype" w:hAnsi="Palatino Linotype" w:cs="Palatino Linotype"/>
          <w:b/>
        </w:rPr>
      </w:pPr>
    </w:p>
    <w:p w:rsidR="00BE727E" w:rsidRPr="00C03B32" w:rsidRDefault="00B301C6">
      <w:pPr>
        <w:tabs>
          <w:tab w:val="center" w:pos="4252"/>
          <w:tab w:val="right" w:pos="8504"/>
        </w:tabs>
        <w:spacing w:line="360" w:lineRule="auto"/>
        <w:ind w:left="-57"/>
        <w:jc w:val="both"/>
        <w:rPr>
          <w:rFonts w:ascii="Palatino Linotype" w:eastAsia="Palatino Linotype" w:hAnsi="Palatino Linotype" w:cs="Palatino Linotype"/>
          <w:color w:val="000000"/>
        </w:rPr>
      </w:pPr>
      <w:r w:rsidRPr="00C03B32">
        <w:rPr>
          <w:rFonts w:ascii="Palatino Linotype" w:eastAsia="Palatino Linotype" w:hAnsi="Palatino Linotype" w:cs="Palatino Linotype"/>
          <w:b/>
          <w:sz w:val="26"/>
          <w:szCs w:val="26"/>
        </w:rPr>
        <w:t>CUARTO.</w:t>
      </w:r>
      <w:r w:rsidRPr="00C03B32">
        <w:rPr>
          <w:rFonts w:ascii="Palatino Linotype" w:eastAsia="Palatino Linotype" w:hAnsi="Palatino Linotype" w:cs="Palatino Linotype"/>
          <w:b/>
        </w:rPr>
        <w:t xml:space="preserve"> </w:t>
      </w:r>
      <w:r w:rsidRPr="00C03B32">
        <w:rPr>
          <w:rFonts w:ascii="Palatino Linotype" w:eastAsia="Palatino Linotype" w:hAnsi="Palatino Linotype" w:cs="Palatino Linotype"/>
          <w:b/>
          <w:color w:val="000000"/>
        </w:rPr>
        <w:t>Oportunidad</w:t>
      </w:r>
      <w:r w:rsidRPr="00C03B32">
        <w:rPr>
          <w:rFonts w:ascii="Palatino Linotype" w:eastAsia="Palatino Linotype" w:hAnsi="Palatino Linotype" w:cs="Palatino Linotype"/>
          <w:color w:val="000000"/>
        </w:rPr>
        <w:t xml:space="preserve">. </w:t>
      </w:r>
    </w:p>
    <w:p w:rsidR="00BE727E" w:rsidRPr="00C03B32" w:rsidRDefault="00B301C6">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C03B32">
        <w:rPr>
          <w:rFonts w:ascii="Palatino Linotype" w:eastAsia="Palatino Linotype" w:hAnsi="Palatino Linotype" w:cs="Palatino Linotype"/>
        </w:rPr>
        <w:t>Los</w:t>
      </w:r>
      <w:r w:rsidRPr="00C03B32">
        <w:rPr>
          <w:rFonts w:ascii="Palatino Linotype" w:eastAsia="Palatino Linotype" w:hAnsi="Palatino Linotype" w:cs="Palatino Linotype"/>
          <w:color w:val="000000"/>
        </w:rPr>
        <w:t xml:space="preserve"> Recursos de Revisión fueron interpuestos dentro del plazo de quince días hábiles, contados a partir del día siguiente al que </w:t>
      </w:r>
      <w:r w:rsidRPr="00C03B32">
        <w:rPr>
          <w:rFonts w:ascii="Palatino Linotype" w:eastAsia="Palatino Linotype" w:hAnsi="Palatino Linotype" w:cs="Palatino Linotype"/>
          <w:b/>
        </w:rPr>
        <w:t xml:space="preserve">EL RECURRENTE </w:t>
      </w:r>
      <w:r w:rsidRPr="00C03B32">
        <w:rPr>
          <w:rFonts w:ascii="Palatino Linotype" w:eastAsia="Palatino Linotype" w:hAnsi="Palatino Linotype" w:cs="Palatino Linotype"/>
          <w:color w:val="000000"/>
        </w:rPr>
        <w:t>tuvo conocimiento de las respuestas impugnadas; tal y como, lo prevé el artículo 178 de la Ley de Transparencia y Acceso a la Información Pública del Estado de México y Municipios, que establece:</w:t>
      </w:r>
    </w:p>
    <w:p w:rsidR="00BE727E" w:rsidRPr="00C03B32" w:rsidRDefault="00BE727E">
      <w:pPr>
        <w:ind w:left="720" w:right="709"/>
        <w:jc w:val="both"/>
        <w:rPr>
          <w:rFonts w:ascii="Palatino Linotype" w:eastAsia="Palatino Linotype" w:hAnsi="Palatino Linotype" w:cs="Palatino Linotype"/>
          <w:i/>
          <w:sz w:val="22"/>
          <w:szCs w:val="22"/>
        </w:rPr>
      </w:pPr>
    </w:p>
    <w:p w:rsidR="00BE727E" w:rsidRPr="00C03B32" w:rsidRDefault="00B301C6">
      <w:pPr>
        <w:ind w:left="851"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w:t>
      </w:r>
      <w:r w:rsidRPr="00C03B32">
        <w:rPr>
          <w:rFonts w:ascii="Palatino Linotype" w:eastAsia="Palatino Linotype" w:hAnsi="Palatino Linotype" w:cs="Palatino Linotype"/>
          <w:b/>
          <w:i/>
          <w:sz w:val="22"/>
          <w:szCs w:val="22"/>
        </w:rPr>
        <w:t>Artículo 178.</w:t>
      </w:r>
      <w:r w:rsidRPr="00C03B32">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E727E" w:rsidRPr="00C03B32" w:rsidRDefault="00BE727E">
      <w:pPr>
        <w:ind w:left="851" w:right="899"/>
        <w:jc w:val="both"/>
        <w:rPr>
          <w:rFonts w:ascii="Palatino Linotype" w:eastAsia="Palatino Linotype" w:hAnsi="Palatino Linotype" w:cs="Palatino Linotype"/>
          <w:i/>
          <w:sz w:val="22"/>
          <w:szCs w:val="22"/>
        </w:rPr>
      </w:pPr>
    </w:p>
    <w:p w:rsidR="00BE727E" w:rsidRPr="00C03B32" w:rsidRDefault="00B301C6">
      <w:pPr>
        <w:ind w:left="851"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E727E" w:rsidRPr="00C03B32" w:rsidRDefault="00BE727E">
      <w:pPr>
        <w:ind w:left="851" w:right="899"/>
        <w:jc w:val="both"/>
        <w:rPr>
          <w:rFonts w:ascii="Palatino Linotype" w:eastAsia="Palatino Linotype" w:hAnsi="Palatino Linotype" w:cs="Palatino Linotype"/>
          <w:i/>
          <w:sz w:val="22"/>
          <w:szCs w:val="22"/>
        </w:rPr>
      </w:pPr>
    </w:p>
    <w:p w:rsidR="00BE727E" w:rsidRPr="00C03B32" w:rsidRDefault="00B301C6">
      <w:pPr>
        <w:ind w:left="851"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rsidR="00BE727E" w:rsidRPr="00C03B32" w:rsidRDefault="00BE727E">
      <w:pPr>
        <w:ind w:left="720" w:right="709"/>
        <w:jc w:val="both"/>
        <w:rPr>
          <w:rFonts w:ascii="Palatino Linotype" w:eastAsia="Palatino Linotype" w:hAnsi="Palatino Linotype" w:cs="Palatino Linotype"/>
          <w:i/>
          <w:sz w:val="22"/>
          <w:szCs w:val="22"/>
        </w:rPr>
      </w:pPr>
    </w:p>
    <w:p w:rsidR="00BE727E" w:rsidRPr="00C03B32" w:rsidRDefault="00B301C6">
      <w:pPr>
        <w:spacing w:line="360" w:lineRule="auto"/>
        <w:jc w:val="both"/>
        <w:rPr>
          <w:rFonts w:ascii="Palatino Linotype" w:eastAsia="Palatino Linotype" w:hAnsi="Palatino Linotype" w:cs="Palatino Linotype"/>
        </w:rPr>
      </w:pPr>
      <w:bookmarkStart w:id="4" w:name="_heading=h.2et92p0" w:colFirst="0" w:colLast="0"/>
      <w:bookmarkEnd w:id="4"/>
      <w:r w:rsidRPr="00C03B32">
        <w:rPr>
          <w:rFonts w:ascii="Palatino Linotype" w:eastAsia="Palatino Linotype" w:hAnsi="Palatino Linotype" w:cs="Palatino Linotype"/>
        </w:rPr>
        <w:t xml:space="preserve">En esa tesitura, atendiendo a que </w:t>
      </w:r>
      <w:r w:rsidRPr="00C03B32">
        <w:rPr>
          <w:rFonts w:ascii="Palatino Linotype" w:eastAsia="Palatino Linotype" w:hAnsi="Palatino Linotype" w:cs="Palatino Linotype"/>
          <w:b/>
        </w:rPr>
        <w:t>EL SUJETO OBLIGADO</w:t>
      </w:r>
      <w:r w:rsidRPr="00C03B32">
        <w:rPr>
          <w:rFonts w:ascii="Palatino Linotype" w:eastAsia="Palatino Linotype" w:hAnsi="Palatino Linotype" w:cs="Palatino Linotype"/>
        </w:rPr>
        <w:t xml:space="preserve"> notificó las respuestas a las solicitudes de Acceso a la Información Pública el día</w:t>
      </w:r>
      <w:r w:rsidRPr="00C03B32">
        <w:rPr>
          <w:rFonts w:ascii="Palatino Linotype" w:eastAsia="Palatino Linotype" w:hAnsi="Palatino Linotype" w:cs="Palatino Linotype"/>
          <w:b/>
        </w:rPr>
        <w:t xml:space="preserve"> cinco de septiembre de dos mil veintidós</w:t>
      </w:r>
      <w:r w:rsidRPr="00C03B32">
        <w:rPr>
          <w:rFonts w:ascii="Palatino Linotype" w:eastAsia="Palatino Linotype" w:hAnsi="Palatino Linotype" w:cs="Palatino Linotype"/>
        </w:rPr>
        <w:t xml:space="preserve">; así, el plazo de quince días hábiles que el artículo 178 de la Ley de la materia otorga a </w:t>
      </w:r>
      <w:r w:rsidRPr="00C03B32">
        <w:rPr>
          <w:rFonts w:ascii="Palatino Linotype" w:eastAsia="Palatino Linotype" w:hAnsi="Palatino Linotype" w:cs="Palatino Linotype"/>
          <w:b/>
        </w:rPr>
        <w:t xml:space="preserve">EL RECURRENTE </w:t>
      </w:r>
      <w:r w:rsidRPr="00C03B32">
        <w:rPr>
          <w:rFonts w:ascii="Palatino Linotype" w:eastAsia="Palatino Linotype" w:hAnsi="Palatino Linotype" w:cs="Palatino Linotype"/>
        </w:rPr>
        <w:t xml:space="preserve">para presentar el respectivo Recurso de Revisión, transcurrió del </w:t>
      </w:r>
      <w:r w:rsidRPr="00C03B32">
        <w:rPr>
          <w:rFonts w:ascii="Palatino Linotype" w:eastAsia="Palatino Linotype" w:hAnsi="Palatino Linotype" w:cs="Palatino Linotype"/>
          <w:b/>
        </w:rPr>
        <w:t>seis al veintisiete de septiembre de dos mil veintidós.</w:t>
      </w:r>
      <w:r w:rsidRPr="00C03B32">
        <w:rPr>
          <w:rFonts w:ascii="Palatino Linotype" w:eastAsia="Palatino Linotype" w:hAnsi="Palatino Linotype" w:cs="Palatino Linotype"/>
        </w:rPr>
        <w:t xml:space="preserve"> Sin contemplar en el cómputo los días diez, once, diecisiete, dieciocho, veinticuatro y veinticinco de </w:t>
      </w:r>
      <w:r w:rsidRPr="00C03B32">
        <w:rPr>
          <w:rFonts w:ascii="Palatino Linotype" w:eastAsia="Palatino Linotype" w:hAnsi="Palatino Linotype" w:cs="Palatino Linotype"/>
        </w:rPr>
        <w:lastRenderedPageBreak/>
        <w:t xml:space="preserve">septiembre de dos mil veintidós por corresponder a sábados y domingos, considerados como días inhábiles, en términos del artículo 3, fracción X de la Ley de Transparencia y Acceso a la Información Pública del Estado de México y Municipios. </w:t>
      </w:r>
    </w:p>
    <w:p w:rsidR="00BE727E" w:rsidRPr="00C03B32" w:rsidRDefault="00BE727E">
      <w:pPr>
        <w:spacing w:line="360" w:lineRule="auto"/>
        <w:jc w:val="both"/>
        <w:rPr>
          <w:rFonts w:ascii="Palatino Linotype" w:eastAsia="Palatino Linotype" w:hAnsi="Palatino Linotype" w:cs="Palatino Linotype"/>
        </w:rPr>
      </w:pPr>
      <w:bookmarkStart w:id="5" w:name="_heading=h.h0ttltmjqw5e" w:colFirst="0" w:colLast="0"/>
      <w:bookmarkEnd w:id="5"/>
    </w:p>
    <w:p w:rsidR="00BE727E" w:rsidRPr="00C03B32" w:rsidRDefault="00B301C6">
      <w:pPr>
        <w:spacing w:line="360" w:lineRule="auto"/>
        <w:jc w:val="both"/>
        <w:rPr>
          <w:rFonts w:ascii="Palatino Linotype" w:eastAsia="Palatino Linotype" w:hAnsi="Palatino Linotype" w:cs="Palatino Linotype"/>
        </w:rPr>
      </w:pPr>
      <w:bookmarkStart w:id="6" w:name="_heading=h.mt4h9iil4wqj" w:colFirst="0" w:colLast="0"/>
      <w:bookmarkEnd w:id="6"/>
      <w:r w:rsidRPr="00C03B32">
        <w:rPr>
          <w:rFonts w:ascii="Palatino Linotype" w:eastAsia="Palatino Linotype" w:hAnsi="Palatino Linotype" w:cs="Palatino Linotype"/>
        </w:rPr>
        <w:t>Además del dieciséis de septiembre de la anualidad,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Pr="00C03B32">
        <w:rPr>
          <w:rFonts w:ascii="Palatino Linotype" w:eastAsia="Palatino Linotype" w:hAnsi="Palatino Linotype" w:cs="Palatino Linotype"/>
          <w:vertAlign w:val="superscript"/>
        </w:rPr>
        <w:footnoteReference w:id="1"/>
      </w:r>
      <w:r w:rsidRPr="00C03B32">
        <w:rPr>
          <w:rFonts w:ascii="Palatino Linotype" w:eastAsia="Palatino Linotype" w:hAnsi="Palatino Linotype" w:cs="Palatino Linotype"/>
        </w:rPr>
        <w:t>.</w:t>
      </w:r>
    </w:p>
    <w:p w:rsidR="00BE727E" w:rsidRPr="00C03B32" w:rsidRDefault="00BE727E">
      <w:pPr>
        <w:spacing w:line="360" w:lineRule="auto"/>
        <w:jc w:val="both"/>
        <w:rPr>
          <w:rFonts w:ascii="Palatino Linotype" w:eastAsia="Palatino Linotype" w:hAnsi="Palatino Linotype" w:cs="Palatino Linotype"/>
        </w:rPr>
      </w:pPr>
      <w:bookmarkStart w:id="7" w:name="_heading=h.pams53xt1pwn" w:colFirst="0" w:colLast="0"/>
      <w:bookmarkEnd w:id="7"/>
    </w:p>
    <w:p w:rsidR="00BE727E" w:rsidRPr="00C03B32" w:rsidRDefault="00B301C6">
      <w:pPr>
        <w:spacing w:before="200" w:after="20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En ese tenor se advierte que </w:t>
      </w:r>
      <w:r w:rsidRPr="00C03B32">
        <w:rPr>
          <w:rFonts w:ascii="Palatino Linotype" w:eastAsia="Palatino Linotype" w:hAnsi="Palatino Linotype" w:cs="Palatino Linotype"/>
          <w:b/>
        </w:rPr>
        <w:t>EL RECURRENTE</w:t>
      </w:r>
      <w:r w:rsidRPr="00C03B32">
        <w:rPr>
          <w:rFonts w:ascii="Palatino Linotype" w:eastAsia="Palatino Linotype" w:hAnsi="Palatino Linotype" w:cs="Palatino Linotype"/>
        </w:rPr>
        <w:t xml:space="preserve"> presentó los medios de impugnación, día catorce de septiembre de dos mil veintidós y, en consecuencia, los Recursos de Revisión de mérito se encuentran dentro del plazo dispuesto en el artículo 178, de la Ley de Transparencia y Acceso a la Información Pública del Estado de México y Municipios. </w:t>
      </w:r>
    </w:p>
    <w:p w:rsidR="00BE727E" w:rsidRPr="00C03B32" w:rsidRDefault="00BE727E">
      <w:pPr>
        <w:spacing w:before="200" w:after="200" w:line="360" w:lineRule="auto"/>
        <w:jc w:val="both"/>
        <w:rPr>
          <w:rFonts w:ascii="Palatino Linotype" w:eastAsia="Palatino Linotype" w:hAnsi="Palatino Linotype" w:cs="Palatino Linotype"/>
        </w:rPr>
      </w:pPr>
    </w:p>
    <w:p w:rsidR="00BE727E" w:rsidRPr="00C03B32" w:rsidRDefault="00B301C6">
      <w:pPr>
        <w:spacing w:line="360" w:lineRule="auto"/>
        <w:ind w:right="49"/>
        <w:jc w:val="both"/>
        <w:rPr>
          <w:rFonts w:ascii="Palatino Linotype" w:eastAsia="Palatino Linotype" w:hAnsi="Palatino Linotype" w:cs="Palatino Linotype"/>
          <w:b/>
        </w:rPr>
      </w:pPr>
      <w:r w:rsidRPr="00C03B32">
        <w:rPr>
          <w:rFonts w:ascii="Palatino Linotype" w:eastAsia="Palatino Linotype" w:hAnsi="Palatino Linotype" w:cs="Palatino Linotype"/>
          <w:b/>
          <w:sz w:val="28"/>
          <w:szCs w:val="28"/>
        </w:rPr>
        <w:t>QUINTO</w:t>
      </w:r>
      <w:r w:rsidRPr="00C03B32">
        <w:rPr>
          <w:rFonts w:ascii="Palatino Linotype" w:eastAsia="Palatino Linotype" w:hAnsi="Palatino Linotype" w:cs="Palatino Linotype"/>
          <w:b/>
        </w:rPr>
        <w:t xml:space="preserve">. Procedibilidad. </w:t>
      </w:r>
    </w:p>
    <w:p w:rsidR="00BE727E" w:rsidRPr="00C03B32" w:rsidRDefault="00B301C6">
      <w:pPr>
        <w:spacing w:line="360" w:lineRule="auto"/>
        <w:ind w:right="49"/>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Este Órgano Garante considera importante precisar que conforme al artículo 180, fracción II, último párrafo de la Ley de Transparencia y Acceso a la Información </w:t>
      </w:r>
      <w:r w:rsidRPr="00C03B32">
        <w:rPr>
          <w:rFonts w:ascii="Palatino Linotype" w:eastAsia="Palatino Linotype" w:hAnsi="Palatino Linotype" w:cs="Palatino Linotype"/>
        </w:rPr>
        <w:lastRenderedPageBreak/>
        <w:t xml:space="preserve">Pública del Estado de México y Municipios, cuando las solicitudes se presenten de manera electrónica no es requisito indispensable el proporcionar el nombre, tal como se muestra a continuación: </w:t>
      </w:r>
    </w:p>
    <w:p w:rsidR="00BE727E" w:rsidRPr="00C03B32" w:rsidRDefault="00BE727E">
      <w:pPr>
        <w:spacing w:line="360" w:lineRule="auto"/>
        <w:ind w:right="49"/>
        <w:jc w:val="both"/>
        <w:rPr>
          <w:rFonts w:ascii="Palatino Linotype" w:eastAsia="Palatino Linotype" w:hAnsi="Palatino Linotype" w:cs="Palatino Linotype"/>
        </w:rPr>
      </w:pPr>
    </w:p>
    <w:p w:rsidR="00BE727E" w:rsidRPr="00C03B32" w:rsidRDefault="00B301C6">
      <w:pPr>
        <w:tabs>
          <w:tab w:val="left" w:pos="851"/>
        </w:tabs>
        <w:ind w:left="851" w:right="901"/>
        <w:jc w:val="both"/>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b/>
          <w:i/>
          <w:sz w:val="22"/>
          <w:szCs w:val="22"/>
        </w:rPr>
        <w:t xml:space="preserve">“Artículo 180. </w:t>
      </w:r>
      <w:r w:rsidRPr="00C03B32">
        <w:rPr>
          <w:rFonts w:ascii="Palatino Linotype" w:eastAsia="Palatino Linotype" w:hAnsi="Palatino Linotype" w:cs="Palatino Linotype"/>
          <w:i/>
          <w:sz w:val="22"/>
          <w:szCs w:val="22"/>
        </w:rPr>
        <w:t>El Recurso de Revisión contendrá:</w:t>
      </w:r>
      <w:r w:rsidRPr="00C03B32">
        <w:rPr>
          <w:rFonts w:ascii="Palatino Linotype" w:eastAsia="Palatino Linotype" w:hAnsi="Palatino Linotype" w:cs="Palatino Linotype"/>
          <w:b/>
          <w:i/>
          <w:sz w:val="22"/>
          <w:szCs w:val="22"/>
        </w:rPr>
        <w:t xml:space="preserve"> </w:t>
      </w:r>
    </w:p>
    <w:p w:rsidR="00BE727E" w:rsidRPr="00C03B32" w:rsidRDefault="00B301C6">
      <w:pPr>
        <w:tabs>
          <w:tab w:val="left" w:pos="851"/>
        </w:tabs>
        <w:ind w:left="851" w:right="901"/>
        <w:jc w:val="both"/>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b/>
          <w:i/>
          <w:sz w:val="22"/>
          <w:szCs w:val="22"/>
        </w:rPr>
        <w:t>…</w:t>
      </w:r>
    </w:p>
    <w:p w:rsidR="00BE727E" w:rsidRPr="00C03B32" w:rsidRDefault="00B301C6">
      <w:pPr>
        <w:tabs>
          <w:tab w:val="left" w:pos="851"/>
        </w:tabs>
        <w:ind w:left="851" w:right="901"/>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 xml:space="preserve">II. El nombre del solicitante </w:t>
      </w:r>
      <w:r w:rsidRPr="00C03B32">
        <w:rPr>
          <w:rFonts w:ascii="Palatino Linotype" w:eastAsia="Palatino Linotype" w:hAnsi="Palatino Linotype" w:cs="Palatino Linotype"/>
          <w:b/>
          <w:i/>
          <w:color w:val="222222"/>
          <w:sz w:val="22"/>
          <w:szCs w:val="22"/>
        </w:rPr>
        <w:t>que</w:t>
      </w:r>
      <w:r w:rsidRPr="00C03B32">
        <w:rPr>
          <w:rFonts w:ascii="Palatino Linotype" w:eastAsia="Palatino Linotype" w:hAnsi="Palatino Linotype" w:cs="Palatino Linotype"/>
          <w:b/>
          <w:i/>
          <w:sz w:val="22"/>
          <w:szCs w:val="22"/>
        </w:rPr>
        <w:t xml:space="preserve"> recurre </w:t>
      </w:r>
      <w:r w:rsidRPr="00C03B32">
        <w:rPr>
          <w:rFonts w:ascii="Palatino Linotype" w:eastAsia="Palatino Linotype" w:hAnsi="Palatino Linotype" w:cs="Palatino Linotype"/>
          <w:i/>
          <w:sz w:val="22"/>
          <w:szCs w:val="22"/>
        </w:rPr>
        <w:t>o de su representante y, en su caso, …</w:t>
      </w:r>
    </w:p>
    <w:p w:rsidR="00BE727E" w:rsidRPr="00C03B32" w:rsidRDefault="00B301C6">
      <w:pPr>
        <w:tabs>
          <w:tab w:val="left" w:pos="851"/>
        </w:tabs>
        <w:ind w:left="851" w:right="901"/>
        <w:jc w:val="both"/>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b/>
          <w:i/>
          <w:sz w:val="22"/>
          <w:szCs w:val="22"/>
        </w:rPr>
        <w:t xml:space="preserve">En caso de </w:t>
      </w:r>
      <w:r w:rsidRPr="00C03B32">
        <w:rPr>
          <w:rFonts w:ascii="Palatino Linotype" w:eastAsia="Palatino Linotype" w:hAnsi="Palatino Linotype" w:cs="Palatino Linotype"/>
          <w:b/>
          <w:i/>
          <w:color w:val="222222"/>
          <w:sz w:val="22"/>
          <w:szCs w:val="22"/>
        </w:rPr>
        <w:t>que</w:t>
      </w:r>
      <w:r w:rsidRPr="00C03B32">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C03B32">
        <w:rPr>
          <w:rFonts w:ascii="Palatino Linotype" w:eastAsia="Palatino Linotype" w:hAnsi="Palatino Linotype" w:cs="Palatino Linotype"/>
          <w:i/>
          <w:sz w:val="22"/>
          <w:szCs w:val="22"/>
        </w:rPr>
        <w:t>, IV, VII y VIII.</w:t>
      </w:r>
      <w:r w:rsidRPr="00C03B32">
        <w:rPr>
          <w:rFonts w:ascii="Palatino Linotype" w:eastAsia="Palatino Linotype" w:hAnsi="Palatino Linotype" w:cs="Palatino Linotype"/>
          <w:b/>
          <w:i/>
          <w:sz w:val="22"/>
          <w:szCs w:val="22"/>
        </w:rPr>
        <w:t>”</w:t>
      </w:r>
    </w:p>
    <w:p w:rsidR="00BE727E" w:rsidRPr="00C03B32" w:rsidRDefault="00B301C6">
      <w:pPr>
        <w:tabs>
          <w:tab w:val="left" w:pos="851"/>
        </w:tabs>
        <w:ind w:left="851" w:right="901"/>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(Énfasis añadido)</w:t>
      </w:r>
    </w:p>
    <w:p w:rsidR="00BE727E" w:rsidRPr="00C03B32" w:rsidRDefault="00BE727E">
      <w:pPr>
        <w:tabs>
          <w:tab w:val="left" w:pos="851"/>
        </w:tabs>
        <w:ind w:right="901"/>
        <w:jc w:val="both"/>
        <w:rPr>
          <w:rFonts w:ascii="Palatino Linotype" w:eastAsia="Palatino Linotype" w:hAnsi="Palatino Linotype" w:cs="Palatino Linotype"/>
          <w:i/>
          <w:sz w:val="22"/>
          <w:szCs w:val="22"/>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C03B32">
        <w:rPr>
          <w:rFonts w:ascii="Palatino Linotype" w:eastAsia="Palatino Linotype" w:hAnsi="Palatino Linotype" w:cs="Palatino Linotype"/>
          <w:b/>
        </w:rPr>
        <w:t>;</w:t>
      </w:r>
      <w:r w:rsidRPr="00C03B32">
        <w:rPr>
          <w:rFonts w:ascii="Palatino Linotype" w:eastAsia="Palatino Linotype" w:hAnsi="Palatino Linotype" w:cs="Palatino Linotype"/>
        </w:rPr>
        <w:t xml:space="preserve"> por lo que, en el presente caso, al haber sido presentado el Recurso de Revisión vía </w:t>
      </w:r>
      <w:r w:rsidRPr="00C03B32">
        <w:rPr>
          <w:rFonts w:ascii="Palatino Linotype" w:eastAsia="Palatino Linotype" w:hAnsi="Palatino Linotype" w:cs="Palatino Linotype"/>
          <w:b/>
        </w:rPr>
        <w:t>SAIMEX</w:t>
      </w:r>
      <w:r w:rsidRPr="00C03B32">
        <w:rPr>
          <w:rFonts w:ascii="Palatino Linotype" w:eastAsia="Palatino Linotype" w:hAnsi="Palatino Linotype" w:cs="Palatino Linotype"/>
        </w:rPr>
        <w:t>, dicho requisito resulta innecesario.</w:t>
      </w:r>
    </w:p>
    <w:p w:rsidR="00BE727E" w:rsidRPr="00C03B32" w:rsidRDefault="00BE727E">
      <w:pPr>
        <w:spacing w:line="360" w:lineRule="auto"/>
        <w:jc w:val="both"/>
        <w:rPr>
          <w:rFonts w:ascii="Palatino Linotype" w:eastAsia="Palatino Linotype" w:hAnsi="Palatino Linotype" w:cs="Palatino Linotype"/>
          <w:b/>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C03B32">
        <w:rPr>
          <w:rFonts w:ascii="Palatino Linotype" w:eastAsia="Palatino Linotype" w:hAnsi="Palatino Linotype" w:cs="Palatino Linotype"/>
          <w:b/>
          <w:u w:val="single"/>
        </w:rPr>
        <w:t xml:space="preserve">el nombre no es un requisito </w:t>
      </w:r>
      <w:r w:rsidRPr="00C03B32">
        <w:rPr>
          <w:rFonts w:ascii="Palatino Linotype" w:eastAsia="Palatino Linotype" w:hAnsi="Palatino Linotype" w:cs="Palatino Linotype"/>
          <w:b/>
          <w:i/>
          <w:u w:val="single"/>
        </w:rPr>
        <w:t>sine qua non</w:t>
      </w:r>
      <w:r w:rsidRPr="00C03B32">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sz w:val="22"/>
          <w:szCs w:val="22"/>
        </w:rPr>
      </w:pPr>
      <w:r w:rsidRPr="00C03B32">
        <w:rPr>
          <w:rFonts w:ascii="Palatino Linotype" w:eastAsia="Palatino Linotype" w:hAnsi="Palatino Linotype" w:cs="Palatino Linotype"/>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rsidR="00BE727E" w:rsidRPr="00C03B32" w:rsidRDefault="00BE727E">
      <w:pPr>
        <w:tabs>
          <w:tab w:val="left" w:pos="851"/>
        </w:tabs>
        <w:ind w:left="851" w:right="901"/>
        <w:jc w:val="both"/>
        <w:rPr>
          <w:rFonts w:ascii="Palatino Linotype" w:eastAsia="Palatino Linotype" w:hAnsi="Palatino Linotype" w:cs="Palatino Linotype"/>
          <w:sz w:val="22"/>
          <w:szCs w:val="22"/>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Asimismo, se estima que el requisito relativo al nombre de </w:t>
      </w:r>
      <w:r w:rsidRPr="00C03B32">
        <w:rPr>
          <w:rFonts w:ascii="Palatino Linotype" w:eastAsia="Palatino Linotype" w:hAnsi="Palatino Linotype" w:cs="Palatino Linotype"/>
          <w:b/>
        </w:rPr>
        <w:t>EL RECURRENTE</w:t>
      </w:r>
      <w:r w:rsidRPr="00C03B32">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C03B32">
        <w:rPr>
          <w:rFonts w:ascii="Palatino Linotype" w:eastAsia="Palatino Linotype" w:hAnsi="Palatino Linotype" w:cs="Palatino Linotype"/>
          <w:b/>
        </w:rPr>
        <w:t xml:space="preserve">EL RECURRENTE </w:t>
      </w:r>
      <w:r w:rsidRPr="00C03B32">
        <w:rPr>
          <w:rFonts w:ascii="Palatino Linotype" w:eastAsia="Palatino Linotype" w:hAnsi="Palatino Linotype" w:cs="Palatino Linotype"/>
        </w:rPr>
        <w:t xml:space="preserve"> es la misma persona que realizó la solicitud de Acceso a la Información Pública que ahora se impugna.</w:t>
      </w:r>
    </w:p>
    <w:p w:rsidR="00BE727E" w:rsidRPr="00C03B32" w:rsidRDefault="00BE727E">
      <w:pPr>
        <w:tabs>
          <w:tab w:val="left" w:pos="851"/>
        </w:tabs>
        <w:ind w:left="851" w:right="901"/>
        <w:jc w:val="both"/>
        <w:rPr>
          <w:rFonts w:ascii="Palatino Linotype" w:eastAsia="Palatino Linotype" w:hAnsi="Palatino Linotype" w:cs="Palatino Linotype"/>
          <w:sz w:val="22"/>
          <w:szCs w:val="22"/>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w:t>
      </w:r>
      <w:r w:rsidRPr="00C03B32">
        <w:rPr>
          <w:rFonts w:ascii="Palatino Linotype" w:eastAsia="Palatino Linotype" w:hAnsi="Palatino Linotype" w:cs="Palatino Linotype"/>
        </w:rPr>
        <w:lastRenderedPageBreak/>
        <w:t xml:space="preserve">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BE727E" w:rsidRPr="00C03B32" w:rsidRDefault="00BE727E">
      <w:pPr>
        <w:spacing w:line="360" w:lineRule="auto"/>
        <w:jc w:val="both"/>
        <w:rPr>
          <w:rFonts w:ascii="Palatino Linotype" w:eastAsia="Palatino Linotype" w:hAnsi="Palatino Linotype" w:cs="Palatino Linotype"/>
          <w:b/>
          <w:sz w:val="28"/>
          <w:szCs w:val="28"/>
        </w:rPr>
      </w:pPr>
    </w:p>
    <w:p w:rsidR="00BE727E" w:rsidRPr="00C03B32" w:rsidRDefault="00B301C6">
      <w:pPr>
        <w:spacing w:line="360" w:lineRule="auto"/>
        <w:jc w:val="both"/>
        <w:rPr>
          <w:rFonts w:ascii="Palatino Linotype" w:eastAsia="Palatino Linotype" w:hAnsi="Palatino Linotype" w:cs="Palatino Linotype"/>
          <w:b/>
        </w:rPr>
      </w:pPr>
      <w:r w:rsidRPr="00C03B32">
        <w:rPr>
          <w:rFonts w:ascii="Palatino Linotype" w:eastAsia="Palatino Linotype" w:hAnsi="Palatino Linotype" w:cs="Palatino Linotype"/>
          <w:b/>
          <w:sz w:val="28"/>
          <w:szCs w:val="28"/>
        </w:rPr>
        <w:t>SEXTO</w:t>
      </w:r>
      <w:r w:rsidRPr="00C03B32">
        <w:rPr>
          <w:rFonts w:ascii="Palatino Linotype" w:eastAsia="Palatino Linotype" w:hAnsi="Palatino Linotype" w:cs="Palatino Linotype"/>
          <w:b/>
        </w:rPr>
        <w:t xml:space="preserve">. Estudio y resolución del asunto. </w:t>
      </w:r>
    </w:p>
    <w:p w:rsidR="00BE727E" w:rsidRPr="00C03B32" w:rsidRDefault="00B301C6">
      <w:pPr>
        <w:spacing w:line="360" w:lineRule="auto"/>
        <w:ind w:right="49"/>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En primer lugar, es conveniente recordar que, en su conjunto, el particular solicitó del </w:t>
      </w:r>
      <w:r w:rsidRPr="00C03B32">
        <w:rPr>
          <w:rFonts w:ascii="Palatino Linotype" w:eastAsia="Palatino Linotype" w:hAnsi="Palatino Linotype" w:cs="Palatino Linotype"/>
          <w:b/>
        </w:rPr>
        <w:t>SUJETO OBLIGADO</w:t>
      </w:r>
      <w:r w:rsidRPr="00C03B32">
        <w:rPr>
          <w:rFonts w:ascii="Palatino Linotype" w:eastAsia="Palatino Linotype" w:hAnsi="Palatino Linotype" w:cs="Palatino Linotype"/>
        </w:rPr>
        <w:t xml:space="preserve"> lo siguiente: </w:t>
      </w:r>
    </w:p>
    <w:p w:rsidR="00BE727E" w:rsidRPr="00C03B32" w:rsidRDefault="00BE727E">
      <w:pPr>
        <w:spacing w:line="360" w:lineRule="auto"/>
        <w:jc w:val="both"/>
        <w:rPr>
          <w:rFonts w:ascii="Palatino Linotype" w:eastAsia="Palatino Linotype" w:hAnsi="Palatino Linotype" w:cs="Palatino Linotype"/>
        </w:rPr>
      </w:pPr>
    </w:p>
    <w:tbl>
      <w:tblPr>
        <w:tblStyle w:val="afffffffd"/>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5"/>
        <w:gridCol w:w="5640"/>
      </w:tblGrid>
      <w:tr w:rsidR="00BE727E" w:rsidRPr="00C03B32">
        <w:tc>
          <w:tcPr>
            <w:tcW w:w="3465" w:type="dxa"/>
            <w:shd w:val="clear" w:color="auto" w:fill="auto"/>
            <w:tcMar>
              <w:top w:w="100" w:type="dxa"/>
              <w:left w:w="100" w:type="dxa"/>
              <w:bottom w:w="100" w:type="dxa"/>
              <w:right w:w="100" w:type="dxa"/>
            </w:tcMar>
          </w:tcPr>
          <w:p w:rsidR="00BE727E" w:rsidRPr="00C03B32" w:rsidRDefault="00B301C6">
            <w:pPr>
              <w:widowControl w:val="0"/>
              <w:jc w:val="center"/>
              <w:rPr>
                <w:rFonts w:ascii="Palatino Linotype" w:eastAsia="Palatino Linotype" w:hAnsi="Palatino Linotype" w:cs="Palatino Linotype"/>
                <w:b/>
                <w:u w:val="single"/>
              </w:rPr>
            </w:pPr>
            <w:r w:rsidRPr="00C03B32">
              <w:rPr>
                <w:rFonts w:ascii="Palatino Linotype" w:eastAsia="Palatino Linotype" w:hAnsi="Palatino Linotype" w:cs="Palatino Linotype"/>
                <w:b/>
                <w:u w:val="single"/>
              </w:rPr>
              <w:t>Número de Folio de la Solicitud</w:t>
            </w:r>
          </w:p>
        </w:tc>
        <w:tc>
          <w:tcPr>
            <w:tcW w:w="5640" w:type="dxa"/>
            <w:shd w:val="clear" w:color="auto" w:fill="auto"/>
            <w:tcMar>
              <w:top w:w="100" w:type="dxa"/>
              <w:left w:w="100" w:type="dxa"/>
              <w:bottom w:w="100" w:type="dxa"/>
              <w:right w:w="100" w:type="dxa"/>
            </w:tcMar>
          </w:tcPr>
          <w:p w:rsidR="00BE727E" w:rsidRPr="00C03B32" w:rsidRDefault="00B301C6">
            <w:pPr>
              <w:widowControl w:val="0"/>
              <w:jc w:val="center"/>
              <w:rPr>
                <w:rFonts w:ascii="Palatino Linotype" w:eastAsia="Palatino Linotype" w:hAnsi="Palatino Linotype" w:cs="Palatino Linotype"/>
                <w:b/>
                <w:u w:val="single"/>
              </w:rPr>
            </w:pPr>
            <w:r w:rsidRPr="00C03B32">
              <w:rPr>
                <w:rFonts w:ascii="Palatino Linotype" w:eastAsia="Palatino Linotype" w:hAnsi="Palatino Linotype" w:cs="Palatino Linotype"/>
                <w:b/>
                <w:u w:val="single"/>
              </w:rPr>
              <w:t xml:space="preserve">Solicitud </w:t>
            </w:r>
          </w:p>
        </w:tc>
      </w:tr>
      <w:tr w:rsidR="00BE727E" w:rsidRPr="00C03B32">
        <w:tc>
          <w:tcPr>
            <w:tcW w:w="3465" w:type="dxa"/>
            <w:shd w:val="clear" w:color="auto" w:fill="auto"/>
            <w:tcMar>
              <w:top w:w="100" w:type="dxa"/>
              <w:left w:w="100" w:type="dxa"/>
              <w:bottom w:w="100" w:type="dxa"/>
              <w:right w:w="100" w:type="dxa"/>
            </w:tcMar>
          </w:tcPr>
          <w:p w:rsidR="00BE727E" w:rsidRPr="00C03B32" w:rsidRDefault="00B301C6">
            <w:pPr>
              <w:spacing w:line="360" w:lineRule="auto"/>
              <w:jc w:val="both"/>
              <w:rPr>
                <w:rFonts w:ascii="Palatino Linotype" w:eastAsia="Palatino Linotype" w:hAnsi="Palatino Linotype" w:cs="Palatino Linotype"/>
                <w:sz w:val="20"/>
                <w:szCs w:val="20"/>
              </w:rPr>
            </w:pPr>
            <w:r w:rsidRPr="00C03B32">
              <w:rPr>
                <w:rFonts w:ascii="Palatino Linotype" w:eastAsia="Palatino Linotype" w:hAnsi="Palatino Linotype" w:cs="Palatino Linotype"/>
                <w:b/>
                <w:sz w:val="24"/>
                <w:szCs w:val="24"/>
              </w:rPr>
              <w:t>01400/AMECAMEC/IP/2022</w:t>
            </w:r>
          </w:p>
        </w:tc>
        <w:tc>
          <w:tcPr>
            <w:tcW w:w="5640" w:type="dxa"/>
            <w:shd w:val="clear" w:color="auto" w:fill="auto"/>
            <w:tcMar>
              <w:top w:w="100" w:type="dxa"/>
              <w:left w:w="100" w:type="dxa"/>
              <w:bottom w:w="100" w:type="dxa"/>
              <w:right w:w="100" w:type="dxa"/>
            </w:tcMar>
          </w:tcPr>
          <w:p w:rsidR="00BE727E" w:rsidRPr="00C03B32" w:rsidRDefault="00B301C6">
            <w:pPr>
              <w:widowControl w:val="0"/>
              <w:jc w:val="both"/>
              <w:rPr>
                <w:rFonts w:ascii="Palatino Linotype" w:eastAsia="Palatino Linotype" w:hAnsi="Palatino Linotype" w:cs="Palatino Linotype"/>
                <w:i/>
                <w:sz w:val="20"/>
                <w:szCs w:val="20"/>
              </w:rPr>
            </w:pPr>
            <w:r w:rsidRPr="00C03B32">
              <w:rPr>
                <w:rFonts w:ascii="Palatino Linotype" w:eastAsia="Palatino Linotype" w:hAnsi="Palatino Linotype" w:cs="Palatino Linotype"/>
                <w:i/>
                <w:sz w:val="20"/>
                <w:szCs w:val="20"/>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Los certificados de plano manzanero generados en la segunda quincena de abril 2022. 2. Los recibos de pago generados por este trámite. 3. El diario de ingresos del mes solicitado. 4. La cédula de información REMTYS del trámite. 5. La cedula profesional del servidor público que da la atención.” (Sic)</w:t>
            </w:r>
          </w:p>
        </w:tc>
      </w:tr>
      <w:tr w:rsidR="00BE727E" w:rsidRPr="00C03B32">
        <w:tc>
          <w:tcPr>
            <w:tcW w:w="3465" w:type="dxa"/>
            <w:shd w:val="clear" w:color="auto" w:fill="auto"/>
            <w:tcMar>
              <w:top w:w="100" w:type="dxa"/>
              <w:left w:w="100" w:type="dxa"/>
              <w:bottom w:w="100" w:type="dxa"/>
              <w:right w:w="100" w:type="dxa"/>
            </w:tcMar>
          </w:tcPr>
          <w:p w:rsidR="00BE727E" w:rsidRPr="00C03B32" w:rsidRDefault="00B301C6">
            <w:pPr>
              <w:spacing w:line="360" w:lineRule="auto"/>
              <w:jc w:val="both"/>
              <w:rPr>
                <w:rFonts w:ascii="Palatino Linotype" w:eastAsia="Palatino Linotype" w:hAnsi="Palatino Linotype" w:cs="Palatino Linotype"/>
                <w:b/>
                <w:sz w:val="24"/>
                <w:szCs w:val="24"/>
              </w:rPr>
            </w:pPr>
            <w:r w:rsidRPr="00C03B32">
              <w:rPr>
                <w:rFonts w:ascii="Palatino Linotype" w:eastAsia="Palatino Linotype" w:hAnsi="Palatino Linotype" w:cs="Palatino Linotype"/>
                <w:b/>
                <w:sz w:val="24"/>
                <w:szCs w:val="24"/>
              </w:rPr>
              <w:t>01401/AMECAMEC/IP/2022</w:t>
            </w:r>
          </w:p>
        </w:tc>
        <w:tc>
          <w:tcPr>
            <w:tcW w:w="5640" w:type="dxa"/>
            <w:shd w:val="clear" w:color="auto" w:fill="auto"/>
            <w:tcMar>
              <w:top w:w="100" w:type="dxa"/>
              <w:left w:w="100" w:type="dxa"/>
              <w:bottom w:w="100" w:type="dxa"/>
              <w:right w:w="100" w:type="dxa"/>
            </w:tcMar>
          </w:tcPr>
          <w:p w:rsidR="00BE727E" w:rsidRPr="00C03B32" w:rsidRDefault="00B301C6">
            <w:pPr>
              <w:widowControl w:val="0"/>
              <w:jc w:val="both"/>
              <w:rPr>
                <w:rFonts w:ascii="Palatino Linotype" w:eastAsia="Palatino Linotype" w:hAnsi="Palatino Linotype" w:cs="Palatino Linotype"/>
                <w:i/>
                <w:sz w:val="20"/>
                <w:szCs w:val="20"/>
              </w:rPr>
            </w:pPr>
            <w:r w:rsidRPr="00C03B32">
              <w:rPr>
                <w:rFonts w:ascii="Palatino Linotype" w:eastAsia="Palatino Linotype" w:hAnsi="Palatino Linotype" w:cs="Palatino Linotype"/>
                <w:i/>
                <w:sz w:val="20"/>
                <w:szCs w:val="20"/>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Los certificados de plano manzanero generados en la primera quincena de mayo 2022. 2. Los recibos de pago generados por este trámite. 3. El diario de ingresos del mes solicitado. 4. La cédula de información REMTYS del trámite. 5. La cedula profesional del servidor público que da la atención.” (Sic)</w:t>
            </w:r>
          </w:p>
        </w:tc>
      </w:tr>
      <w:tr w:rsidR="00BE727E" w:rsidRPr="00C03B32">
        <w:tc>
          <w:tcPr>
            <w:tcW w:w="3465" w:type="dxa"/>
            <w:shd w:val="clear" w:color="auto" w:fill="auto"/>
            <w:tcMar>
              <w:top w:w="100" w:type="dxa"/>
              <w:left w:w="100" w:type="dxa"/>
              <w:bottom w:w="100" w:type="dxa"/>
              <w:right w:w="100" w:type="dxa"/>
            </w:tcMar>
          </w:tcPr>
          <w:p w:rsidR="00BE727E" w:rsidRPr="00C03B32" w:rsidRDefault="00B301C6">
            <w:pPr>
              <w:spacing w:line="360" w:lineRule="auto"/>
              <w:jc w:val="both"/>
              <w:rPr>
                <w:rFonts w:ascii="Palatino Linotype" w:eastAsia="Palatino Linotype" w:hAnsi="Palatino Linotype" w:cs="Palatino Linotype"/>
                <w:b/>
                <w:sz w:val="24"/>
                <w:szCs w:val="24"/>
              </w:rPr>
            </w:pPr>
            <w:r w:rsidRPr="00C03B32">
              <w:rPr>
                <w:rFonts w:ascii="Palatino Linotype" w:eastAsia="Palatino Linotype" w:hAnsi="Palatino Linotype" w:cs="Palatino Linotype"/>
                <w:b/>
                <w:sz w:val="24"/>
                <w:szCs w:val="24"/>
              </w:rPr>
              <w:lastRenderedPageBreak/>
              <w:t>01402/AMECAMEC/IP/2022</w:t>
            </w:r>
          </w:p>
        </w:tc>
        <w:tc>
          <w:tcPr>
            <w:tcW w:w="5640" w:type="dxa"/>
            <w:shd w:val="clear" w:color="auto" w:fill="auto"/>
            <w:tcMar>
              <w:top w:w="100" w:type="dxa"/>
              <w:left w:w="100" w:type="dxa"/>
              <w:bottom w:w="100" w:type="dxa"/>
              <w:right w:w="100" w:type="dxa"/>
            </w:tcMar>
          </w:tcPr>
          <w:p w:rsidR="00BE727E" w:rsidRPr="00C03B32" w:rsidRDefault="00B301C6">
            <w:pPr>
              <w:widowControl w:val="0"/>
              <w:jc w:val="both"/>
              <w:rPr>
                <w:rFonts w:ascii="Palatino Linotype" w:eastAsia="Palatino Linotype" w:hAnsi="Palatino Linotype" w:cs="Palatino Linotype"/>
                <w:i/>
                <w:sz w:val="20"/>
                <w:szCs w:val="20"/>
              </w:rPr>
            </w:pPr>
            <w:r w:rsidRPr="00C03B32">
              <w:rPr>
                <w:rFonts w:ascii="Palatino Linotype" w:eastAsia="Palatino Linotype" w:hAnsi="Palatino Linotype" w:cs="Palatino Linotype"/>
                <w:i/>
                <w:sz w:val="20"/>
                <w:szCs w:val="20"/>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Los certificados de plano manzanero generados en la primera quincena de mayo 2022. 2. Los recibos de pago generados por este trámite. 3. El diario de ingresos del mes solicitado. 4. La cédula de información REMTYS del trámite. 5. La cedula profesional del servidor público que da la atención..” (Sic)</w:t>
            </w:r>
          </w:p>
        </w:tc>
      </w:tr>
      <w:tr w:rsidR="00BE727E" w:rsidRPr="00C03B32">
        <w:tc>
          <w:tcPr>
            <w:tcW w:w="3465" w:type="dxa"/>
            <w:shd w:val="clear" w:color="auto" w:fill="auto"/>
            <w:tcMar>
              <w:top w:w="100" w:type="dxa"/>
              <w:left w:w="100" w:type="dxa"/>
              <w:bottom w:w="100" w:type="dxa"/>
              <w:right w:w="100" w:type="dxa"/>
            </w:tcMar>
          </w:tcPr>
          <w:p w:rsidR="00BE727E" w:rsidRPr="00C03B32" w:rsidRDefault="00B301C6">
            <w:pPr>
              <w:spacing w:line="360" w:lineRule="auto"/>
              <w:jc w:val="both"/>
              <w:rPr>
                <w:rFonts w:ascii="Palatino Linotype" w:eastAsia="Palatino Linotype" w:hAnsi="Palatino Linotype" w:cs="Palatino Linotype"/>
                <w:b/>
                <w:sz w:val="24"/>
                <w:szCs w:val="24"/>
              </w:rPr>
            </w:pPr>
            <w:r w:rsidRPr="00C03B32">
              <w:rPr>
                <w:rFonts w:ascii="Palatino Linotype" w:eastAsia="Palatino Linotype" w:hAnsi="Palatino Linotype" w:cs="Palatino Linotype"/>
                <w:b/>
                <w:sz w:val="24"/>
                <w:szCs w:val="24"/>
              </w:rPr>
              <w:t>01403/AMECAMEC/IP/2022</w:t>
            </w:r>
          </w:p>
        </w:tc>
        <w:tc>
          <w:tcPr>
            <w:tcW w:w="5640" w:type="dxa"/>
            <w:shd w:val="clear" w:color="auto" w:fill="auto"/>
            <w:tcMar>
              <w:top w:w="100" w:type="dxa"/>
              <w:left w:w="100" w:type="dxa"/>
              <w:bottom w:w="100" w:type="dxa"/>
              <w:right w:w="100" w:type="dxa"/>
            </w:tcMar>
          </w:tcPr>
          <w:p w:rsidR="00BE727E" w:rsidRPr="00C03B32" w:rsidRDefault="00B301C6">
            <w:pPr>
              <w:widowControl w:val="0"/>
              <w:jc w:val="both"/>
              <w:rPr>
                <w:rFonts w:ascii="Palatino Linotype" w:eastAsia="Palatino Linotype" w:hAnsi="Palatino Linotype" w:cs="Palatino Linotype"/>
                <w:i/>
                <w:sz w:val="20"/>
                <w:szCs w:val="20"/>
              </w:rPr>
            </w:pPr>
            <w:r w:rsidRPr="00C03B32">
              <w:rPr>
                <w:rFonts w:ascii="Palatino Linotype" w:eastAsia="Palatino Linotype" w:hAnsi="Palatino Linotype" w:cs="Palatino Linotype"/>
                <w:i/>
                <w:sz w:val="20"/>
                <w:szCs w:val="20"/>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Los certificados de plano manzanero generados en la primera quincena de junio 2022. 2. Los recibos de pago generados por este trámite. 3. El diario de ingresos del mes solicitado. 4. La cédula de información REMTYS del trámite. 5. La cedula profesional del servidor público que da la atención.” (Sic)</w:t>
            </w:r>
          </w:p>
        </w:tc>
      </w:tr>
      <w:tr w:rsidR="00BE727E" w:rsidRPr="00C03B32">
        <w:trPr>
          <w:trHeight w:val="2578"/>
        </w:trPr>
        <w:tc>
          <w:tcPr>
            <w:tcW w:w="3465" w:type="dxa"/>
            <w:shd w:val="clear" w:color="auto" w:fill="auto"/>
            <w:tcMar>
              <w:top w:w="100" w:type="dxa"/>
              <w:left w:w="100" w:type="dxa"/>
              <w:bottom w:w="100" w:type="dxa"/>
              <w:right w:w="100" w:type="dxa"/>
            </w:tcMar>
          </w:tcPr>
          <w:p w:rsidR="00BE727E" w:rsidRPr="00C03B32" w:rsidRDefault="00B301C6">
            <w:pPr>
              <w:spacing w:line="360" w:lineRule="auto"/>
              <w:jc w:val="both"/>
              <w:rPr>
                <w:rFonts w:ascii="Palatino Linotype" w:eastAsia="Palatino Linotype" w:hAnsi="Palatino Linotype" w:cs="Palatino Linotype"/>
                <w:b/>
                <w:sz w:val="24"/>
                <w:szCs w:val="24"/>
              </w:rPr>
            </w:pPr>
            <w:r w:rsidRPr="00C03B32">
              <w:rPr>
                <w:rFonts w:ascii="Palatino Linotype" w:eastAsia="Palatino Linotype" w:hAnsi="Palatino Linotype" w:cs="Palatino Linotype"/>
                <w:b/>
                <w:sz w:val="24"/>
                <w:szCs w:val="24"/>
              </w:rPr>
              <w:t>01404/AMECAMEC/IP/2022</w:t>
            </w:r>
          </w:p>
        </w:tc>
        <w:tc>
          <w:tcPr>
            <w:tcW w:w="5640" w:type="dxa"/>
            <w:shd w:val="clear" w:color="auto" w:fill="auto"/>
            <w:tcMar>
              <w:top w:w="100" w:type="dxa"/>
              <w:left w:w="100" w:type="dxa"/>
              <w:bottom w:w="100" w:type="dxa"/>
              <w:right w:w="100" w:type="dxa"/>
            </w:tcMar>
          </w:tcPr>
          <w:p w:rsidR="00BE727E" w:rsidRPr="00C03B32" w:rsidRDefault="00B301C6">
            <w:pPr>
              <w:widowControl w:val="0"/>
              <w:jc w:val="both"/>
              <w:rPr>
                <w:rFonts w:ascii="Palatino Linotype" w:eastAsia="Palatino Linotype" w:hAnsi="Palatino Linotype" w:cs="Palatino Linotype"/>
                <w:i/>
                <w:sz w:val="20"/>
                <w:szCs w:val="20"/>
              </w:rPr>
            </w:pPr>
            <w:r w:rsidRPr="00C03B32">
              <w:rPr>
                <w:rFonts w:ascii="Palatino Linotype" w:eastAsia="Palatino Linotype" w:hAnsi="Palatino Linotype" w:cs="Palatino Linotype"/>
                <w:i/>
                <w:sz w:val="20"/>
                <w:szCs w:val="20"/>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Los certificados de plano manzanero generados en la segunda quincena de junio 2022. 2. Los recibos de pago generados por este trámite. 3. El diario de ingresos del mes solicitado. 4. La cédula de información REMTYS del trámite. 5. La cedula profesional del servidor público que da la atención.” (Sic)</w:t>
            </w:r>
          </w:p>
        </w:tc>
      </w:tr>
    </w:tbl>
    <w:p w:rsidR="00BE727E" w:rsidRPr="00C03B32" w:rsidRDefault="00B301C6">
      <w:pPr>
        <w:spacing w:line="360" w:lineRule="auto"/>
        <w:ind w:right="49"/>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 </w:t>
      </w:r>
    </w:p>
    <w:p w:rsidR="00BE727E" w:rsidRPr="00C03B32" w:rsidRDefault="00B301C6">
      <w:pPr>
        <w:spacing w:line="360" w:lineRule="auto"/>
        <w:ind w:right="49"/>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A lo que en respuesta </w:t>
      </w:r>
      <w:r w:rsidRPr="00C03B32">
        <w:rPr>
          <w:rFonts w:ascii="Palatino Linotype" w:eastAsia="Palatino Linotype" w:hAnsi="Palatino Linotype" w:cs="Palatino Linotype"/>
          <w:b/>
        </w:rPr>
        <w:t>EL SUJETO OBLIGADO</w:t>
      </w:r>
      <w:r w:rsidRPr="00C03B32">
        <w:rPr>
          <w:rFonts w:ascii="Palatino Linotype" w:eastAsia="Palatino Linotype" w:hAnsi="Palatino Linotype" w:cs="Palatino Linotype"/>
        </w:rPr>
        <w:t xml:space="preserve"> </w:t>
      </w:r>
      <w:r w:rsidR="00607D90" w:rsidRPr="00C03B32">
        <w:rPr>
          <w:rFonts w:ascii="Palatino Linotype" w:eastAsia="Palatino Linotype" w:hAnsi="Palatino Linotype" w:cs="Palatino Linotype"/>
        </w:rPr>
        <w:t>remitió una</w:t>
      </w:r>
      <w:r w:rsidRPr="00C03B32">
        <w:rPr>
          <w:rFonts w:ascii="Palatino Linotype" w:eastAsia="Palatino Linotype" w:hAnsi="Palatino Linotype" w:cs="Palatino Linotype"/>
        </w:rPr>
        <w:t xml:space="preserve"> liga electrónica, la cantidad de certificaciones de plano manzanero otorgadas en los meses requeridos, la cantidad de recibos de pago, el diario de ingresos de los meses solicitados y la cédula profesional del servidor público que da atención al trámite. </w:t>
      </w:r>
    </w:p>
    <w:p w:rsidR="00BE727E" w:rsidRPr="00C03B32" w:rsidRDefault="00BE727E">
      <w:pPr>
        <w:tabs>
          <w:tab w:val="left" w:pos="709"/>
        </w:tabs>
        <w:spacing w:line="360" w:lineRule="auto"/>
        <w:jc w:val="both"/>
        <w:rPr>
          <w:rFonts w:ascii="Palatino Linotype" w:eastAsia="Palatino Linotype" w:hAnsi="Palatino Linotype" w:cs="Palatino Linotype"/>
        </w:rPr>
      </w:pPr>
    </w:p>
    <w:p w:rsidR="00BE727E" w:rsidRPr="00C03B32" w:rsidRDefault="00B301C6">
      <w:pPr>
        <w:tabs>
          <w:tab w:val="left" w:pos="709"/>
        </w:tabs>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lastRenderedPageBreak/>
        <w:t>Inconforme con la respuesta, el particular presentó el medio de impugnación en estudio, en el que se duele de que la información entregada consistente en el diario de ingresos, no sea legible y de la clasificación de la información.</w:t>
      </w:r>
    </w:p>
    <w:p w:rsidR="00BE727E" w:rsidRPr="00C03B32" w:rsidRDefault="00BE727E">
      <w:pPr>
        <w:tabs>
          <w:tab w:val="left" w:pos="2422"/>
        </w:tabs>
        <w:spacing w:before="280" w:after="280" w:line="360" w:lineRule="auto"/>
        <w:ind w:right="49"/>
        <w:jc w:val="both"/>
        <w:rPr>
          <w:rFonts w:ascii="Palatino Linotype" w:eastAsia="Palatino Linotype" w:hAnsi="Palatino Linotype" w:cs="Palatino Linotype"/>
        </w:rPr>
      </w:pPr>
    </w:p>
    <w:p w:rsidR="00BE727E" w:rsidRPr="00C03B32" w:rsidRDefault="00B301C6">
      <w:pPr>
        <w:tabs>
          <w:tab w:val="left" w:pos="2422"/>
        </w:tabs>
        <w:spacing w:before="280" w:after="280" w:line="360" w:lineRule="auto"/>
        <w:ind w:right="49"/>
        <w:jc w:val="both"/>
        <w:rPr>
          <w:rFonts w:ascii="Palatino Linotype" w:eastAsia="Palatino Linotype" w:hAnsi="Palatino Linotype" w:cs="Palatino Linotype"/>
        </w:rPr>
      </w:pPr>
      <w:r w:rsidRPr="00C03B32">
        <w:rPr>
          <w:rFonts w:ascii="Palatino Linotype" w:eastAsia="Palatino Linotype" w:hAnsi="Palatino Linotype" w:cs="Palatino Linotype"/>
        </w:rPr>
        <w:t>Lo cual en consecuencia actualiza las hipótesis de procedibilidad previstas en las fracciones II, y IX, del artículo 179 de la Ley de la materia, el cual a la letra dice:</w:t>
      </w:r>
    </w:p>
    <w:p w:rsidR="00BE727E" w:rsidRPr="00C03B32" w:rsidRDefault="00B301C6">
      <w:pPr>
        <w:ind w:left="851" w:right="901"/>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w:t>
      </w:r>
      <w:r w:rsidRPr="00C03B32">
        <w:rPr>
          <w:rFonts w:ascii="Palatino Linotype" w:eastAsia="Palatino Linotype" w:hAnsi="Palatino Linotype" w:cs="Palatino Linotype"/>
          <w:b/>
          <w:i/>
          <w:sz w:val="22"/>
          <w:szCs w:val="22"/>
        </w:rPr>
        <w:t>Artículo 179.</w:t>
      </w:r>
      <w:r w:rsidRPr="00C03B3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BE727E" w:rsidRPr="00C03B32" w:rsidRDefault="00B301C6">
      <w:pPr>
        <w:ind w:left="851" w:right="901"/>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I. La negativa a la información solicitada;</w:t>
      </w:r>
    </w:p>
    <w:p w:rsidR="00BE727E" w:rsidRPr="00C03B32" w:rsidRDefault="00B301C6">
      <w:pPr>
        <w:ind w:left="851" w:right="901"/>
        <w:jc w:val="both"/>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b/>
          <w:i/>
          <w:sz w:val="22"/>
          <w:szCs w:val="22"/>
        </w:rPr>
        <w:t>II. La clasificación de la información;</w:t>
      </w:r>
    </w:p>
    <w:p w:rsidR="00BE727E" w:rsidRPr="00C03B32" w:rsidRDefault="00B301C6">
      <w:pPr>
        <w:ind w:left="851" w:right="901"/>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III. La declaración de inexistencia de la información;</w:t>
      </w:r>
    </w:p>
    <w:p w:rsidR="00BE727E" w:rsidRPr="00C03B32" w:rsidRDefault="00B301C6">
      <w:pPr>
        <w:ind w:left="851" w:right="901"/>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IV. La declaración de incompetencia por el sujeto obligado;</w:t>
      </w:r>
    </w:p>
    <w:p w:rsidR="00BE727E" w:rsidRPr="00C03B32" w:rsidRDefault="00B301C6">
      <w:pPr>
        <w:ind w:left="851" w:right="901"/>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V. La entrega de información incompleta;</w:t>
      </w:r>
    </w:p>
    <w:p w:rsidR="00BE727E" w:rsidRPr="00C03B32" w:rsidRDefault="00B301C6">
      <w:pPr>
        <w:ind w:left="851" w:right="901"/>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VI. La entrega de información que no corresponda con lo solicitado;</w:t>
      </w:r>
    </w:p>
    <w:p w:rsidR="00BE727E" w:rsidRPr="00C03B32" w:rsidRDefault="00B301C6">
      <w:pPr>
        <w:ind w:left="851" w:right="901"/>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VII. La falta de respuesta a una solicitud de acceso a la información;</w:t>
      </w:r>
    </w:p>
    <w:p w:rsidR="00BE727E" w:rsidRPr="00C03B32" w:rsidRDefault="00B301C6">
      <w:pPr>
        <w:ind w:left="851" w:right="901"/>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VIII. La notificación, entrega o puesta a disposición de información en</w:t>
      </w:r>
    </w:p>
    <w:p w:rsidR="00BE727E" w:rsidRPr="00C03B32" w:rsidRDefault="00B301C6">
      <w:pPr>
        <w:ind w:left="851" w:right="901"/>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una modalidad o formato distinto al solicitado;</w:t>
      </w:r>
    </w:p>
    <w:p w:rsidR="00BE727E" w:rsidRPr="00C03B32" w:rsidRDefault="00B301C6">
      <w:pPr>
        <w:ind w:left="851" w:right="901"/>
        <w:jc w:val="both"/>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b/>
          <w:i/>
          <w:sz w:val="22"/>
          <w:szCs w:val="22"/>
        </w:rPr>
        <w:t>IX. La entrega o puesta a disposición de información en un formato</w:t>
      </w:r>
    </w:p>
    <w:p w:rsidR="00BE727E" w:rsidRPr="00C03B32" w:rsidRDefault="00B301C6">
      <w:pPr>
        <w:ind w:left="851" w:right="901"/>
        <w:jc w:val="both"/>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b/>
          <w:i/>
          <w:sz w:val="22"/>
          <w:szCs w:val="22"/>
        </w:rPr>
        <w:t>incomprensible y/o no accesible para el solicitante;</w:t>
      </w:r>
    </w:p>
    <w:p w:rsidR="00BE727E" w:rsidRPr="00C03B32" w:rsidRDefault="00B301C6">
      <w:pPr>
        <w:ind w:left="851" w:right="901"/>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X. Los costos o tiempos de entrega de la información;</w:t>
      </w:r>
    </w:p>
    <w:p w:rsidR="00BE727E" w:rsidRPr="00C03B32" w:rsidRDefault="00B301C6">
      <w:pPr>
        <w:ind w:left="851" w:right="901"/>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XI. La falta de trámite a una solicitud;</w:t>
      </w:r>
    </w:p>
    <w:p w:rsidR="00BE727E" w:rsidRPr="00C03B32" w:rsidRDefault="00B301C6">
      <w:pPr>
        <w:ind w:left="851" w:right="901"/>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XII. La negativa a permitir la consulta directa de la información;</w:t>
      </w:r>
    </w:p>
    <w:p w:rsidR="00BE727E" w:rsidRPr="00C03B32" w:rsidRDefault="00B301C6">
      <w:pPr>
        <w:ind w:left="851" w:right="901"/>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XIII. La falta, deficiencia o insuficiencia de la fundamentación y/o</w:t>
      </w:r>
    </w:p>
    <w:p w:rsidR="00BE727E" w:rsidRPr="00C03B32" w:rsidRDefault="00B301C6">
      <w:pPr>
        <w:ind w:left="851" w:right="901"/>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motivación en la respuesta; y</w:t>
      </w:r>
    </w:p>
    <w:p w:rsidR="00BE727E" w:rsidRPr="00C03B32" w:rsidRDefault="00B301C6">
      <w:pPr>
        <w:ind w:left="851" w:right="901"/>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XIV. La orientación a un trámite específico.;</w:t>
      </w:r>
    </w:p>
    <w:p w:rsidR="00BE727E" w:rsidRPr="00C03B32" w:rsidRDefault="00B301C6">
      <w:pPr>
        <w:ind w:left="851" w:right="901"/>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w:t>
      </w:r>
      <w:r w:rsidRPr="00C03B32">
        <w:rPr>
          <w:rFonts w:ascii="Palatino Linotype" w:eastAsia="Palatino Linotype" w:hAnsi="Palatino Linotype" w:cs="Palatino Linotype"/>
          <w:i/>
          <w:sz w:val="22"/>
          <w:szCs w:val="22"/>
        </w:rPr>
        <w:t>”</w:t>
      </w:r>
    </w:p>
    <w:p w:rsidR="00BE727E" w:rsidRPr="00C03B32" w:rsidRDefault="00B301C6">
      <w:pPr>
        <w:ind w:left="851" w:right="901"/>
        <w:jc w:val="both"/>
        <w:rPr>
          <w:rFonts w:ascii="Palatino Linotype" w:eastAsia="Palatino Linotype" w:hAnsi="Palatino Linotype" w:cs="Palatino Linotype"/>
        </w:rPr>
      </w:pPr>
      <w:r w:rsidRPr="00C03B32">
        <w:rPr>
          <w:rFonts w:ascii="Palatino Linotype" w:eastAsia="Palatino Linotype" w:hAnsi="Palatino Linotype" w:cs="Palatino Linotype"/>
          <w:i/>
          <w:sz w:val="22"/>
          <w:szCs w:val="22"/>
        </w:rPr>
        <w:t>(Énfasis añadido)</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tabs>
          <w:tab w:val="left" w:pos="2422"/>
        </w:tabs>
        <w:spacing w:before="280" w:after="280" w:line="360" w:lineRule="auto"/>
        <w:ind w:right="49"/>
        <w:jc w:val="both"/>
        <w:rPr>
          <w:rFonts w:ascii="Palatino Linotype" w:eastAsia="Palatino Linotype" w:hAnsi="Palatino Linotype" w:cs="Palatino Linotype"/>
        </w:rPr>
      </w:pPr>
      <w:r w:rsidRPr="00C03B32">
        <w:rPr>
          <w:rFonts w:ascii="Palatino Linotype" w:eastAsia="Palatino Linotype" w:hAnsi="Palatino Linotype" w:cs="Palatino Linotype"/>
        </w:rPr>
        <w:lastRenderedPageBreak/>
        <w:t xml:space="preserve">En primera instancia se advierte que la inconformidad del particular versa sobre un parte de la solicitud y no de la totalidad; por consiguiente, la parte de la petición y la respuesta otorgada a la misma que no fue impugnada debe declararse consentida por el hoy </w:t>
      </w:r>
      <w:r w:rsidRPr="00C03B32">
        <w:rPr>
          <w:rFonts w:ascii="Palatino Linotype" w:eastAsia="Palatino Linotype" w:hAnsi="Palatino Linotype" w:cs="Palatino Linotype"/>
          <w:b/>
        </w:rPr>
        <w:t>RECURRENTE;</w:t>
      </w:r>
      <w:r w:rsidRPr="00C03B32">
        <w:rPr>
          <w:rFonts w:ascii="Palatino Linotype" w:eastAsia="Palatino Linotype" w:hAnsi="Palatino Linotype" w:cs="Palatino Linotype"/>
        </w:rPr>
        <w:t xml:space="preserve"> pues por estos rubros no expresó manifestaciones de inconformidad, por lo que no pueden producirse efectos jurídicos tendentes a revocar, confirmar o modificar el acto reclamado, ya que se infiere un consentimiento del</w:t>
      </w:r>
      <w:r w:rsidRPr="00C03B32">
        <w:rPr>
          <w:rFonts w:ascii="Palatino Linotype" w:eastAsia="Palatino Linotype" w:hAnsi="Palatino Linotype" w:cs="Palatino Linotype"/>
          <w:b/>
        </w:rPr>
        <w:t xml:space="preserve"> RECURRENTE</w:t>
      </w:r>
      <w:r w:rsidRPr="00C03B32">
        <w:rPr>
          <w:rFonts w:ascii="Palatino Linotype" w:eastAsia="Palatino Linotype" w:hAnsi="Palatino Linotype" w:cs="Palatino Linotype"/>
        </w:rPr>
        <w:t xml:space="preserve"> ante la falta de impugnación eficaz. </w:t>
      </w:r>
    </w:p>
    <w:p w:rsidR="00BE727E" w:rsidRPr="00C03B32" w:rsidRDefault="00B301C6">
      <w:pPr>
        <w:spacing w:before="280" w:after="28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rsidR="00BE727E" w:rsidRPr="00C03B32" w:rsidRDefault="00B301C6">
      <w:pPr>
        <w:spacing w:before="200" w:after="20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“ACTOS CONSENTIDOS. SON LOS QUE NO SE IMPUGNAN MEDIANTE EL RECURSO IDÓNEO.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BE727E" w:rsidRPr="00C03B32" w:rsidRDefault="00BE727E">
      <w:pPr>
        <w:spacing w:before="200" w:after="200" w:line="360" w:lineRule="auto"/>
        <w:jc w:val="both"/>
        <w:rPr>
          <w:rFonts w:ascii="Palatino Linotype" w:eastAsia="Palatino Linotype" w:hAnsi="Palatino Linotype" w:cs="Palatino Linotype"/>
        </w:rPr>
      </w:pPr>
    </w:p>
    <w:p w:rsidR="00BE727E" w:rsidRPr="00C03B32" w:rsidRDefault="00B301C6">
      <w:pPr>
        <w:spacing w:before="200" w:after="20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Lo anterior es así, debido a que, cuando </w:t>
      </w:r>
      <w:r w:rsidRPr="00C03B32">
        <w:rPr>
          <w:rFonts w:ascii="Palatino Linotype" w:eastAsia="Palatino Linotype" w:hAnsi="Palatino Linotype" w:cs="Palatino Linotype"/>
          <w:b/>
        </w:rPr>
        <w:t xml:space="preserve">EL RECURRENTE </w:t>
      </w:r>
      <w:r w:rsidRPr="00C03B32">
        <w:rPr>
          <w:rFonts w:ascii="Palatino Linotype" w:eastAsia="Palatino Linotype" w:hAnsi="Palatino Linotype" w:cs="Palatino Linotype"/>
        </w:rPr>
        <w:t xml:space="preserve">impugnó la respuesta del </w:t>
      </w:r>
      <w:r w:rsidRPr="00C03B32">
        <w:rPr>
          <w:rFonts w:ascii="Palatino Linotype" w:eastAsia="Palatino Linotype" w:hAnsi="Palatino Linotype" w:cs="Palatino Linotype"/>
          <w:b/>
        </w:rPr>
        <w:t>SUJETO OBLIGADO</w:t>
      </w:r>
      <w:r w:rsidRPr="00C03B32">
        <w:rPr>
          <w:rFonts w:ascii="Palatino Linotype" w:eastAsia="Palatino Linotype" w:hAnsi="Palatino Linotype" w:cs="Palatino Linotype"/>
        </w:rPr>
        <w:t xml:space="preserve">, no expresó razón o motivo de inconformidad en contra de todos los rubros solicitados; por lo que, debe declararse atendido pues se entiende que </w:t>
      </w:r>
      <w:r w:rsidRPr="00C03B32">
        <w:rPr>
          <w:rFonts w:ascii="Palatino Linotype" w:eastAsia="Palatino Linotype" w:hAnsi="Palatino Linotype" w:cs="Palatino Linotype"/>
          <w:b/>
        </w:rPr>
        <w:t xml:space="preserve">EL RECURRENTE </w:t>
      </w:r>
      <w:r w:rsidRPr="00C03B32">
        <w:rPr>
          <w:rFonts w:ascii="Palatino Linotype" w:eastAsia="Palatino Linotype" w:hAnsi="Palatino Linotype" w:cs="Palatino Linotype"/>
        </w:rPr>
        <w:t>está conforme con la información al no contravenir la misma.</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Sirve como apoyo a lo anterior, por analogía, la Tesis Jurisprudencial Número 3ª./J.7/91, Publicada en el Semanario Judicial de la Federación y su Gaceta bajo el número de registro 174,177, que establece lo siguiente:</w:t>
      </w:r>
    </w:p>
    <w:p w:rsidR="00BE727E" w:rsidRPr="00C03B32" w:rsidRDefault="00B301C6">
      <w:pPr>
        <w:spacing w:before="200" w:after="200"/>
        <w:ind w:left="850" w:right="899"/>
        <w:jc w:val="both"/>
        <w:rPr>
          <w:rFonts w:ascii="Palatino Linotype" w:eastAsia="Palatino Linotype" w:hAnsi="Palatino Linotype" w:cs="Palatino Linotype"/>
        </w:rPr>
      </w:pPr>
      <w:r w:rsidRPr="00C03B32">
        <w:rPr>
          <w:rFonts w:ascii="Palatino Linotype" w:eastAsia="Palatino Linotype" w:hAnsi="Palatino Linotype" w:cs="Palatino Linotype"/>
          <w:i/>
          <w:sz w:val="22"/>
          <w:szCs w:val="22"/>
        </w:rPr>
        <w:t>“</w:t>
      </w:r>
      <w:r w:rsidRPr="00C03B32">
        <w:rPr>
          <w:rFonts w:ascii="Palatino Linotype" w:eastAsia="Palatino Linotype" w:hAnsi="Palatino Linotype" w:cs="Palatino Linotype"/>
          <w:b/>
          <w:i/>
          <w:sz w:val="22"/>
          <w:szCs w:val="22"/>
        </w:rPr>
        <w:t>REVISIÓN EN AMPARO. LOS RESOLUTIVOS NO COMBATIDOS DEBEN DECLARARSE FIRMES.</w:t>
      </w:r>
      <w:r w:rsidRPr="00C03B32">
        <w:rPr>
          <w:rFonts w:ascii="Palatino Linotype" w:eastAsia="Palatino Linotype" w:hAnsi="Palatino Linotype" w:cs="Palatino Linotype"/>
          <w:i/>
          <w:sz w:val="22"/>
          <w:szCs w:val="22"/>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BE727E" w:rsidRPr="00C03B32" w:rsidRDefault="00BE727E">
      <w:pPr>
        <w:spacing w:before="200" w:line="360" w:lineRule="auto"/>
        <w:jc w:val="both"/>
        <w:rPr>
          <w:rFonts w:ascii="Palatino Linotype" w:eastAsia="Palatino Linotype" w:hAnsi="Palatino Linotype" w:cs="Palatino Linotype"/>
        </w:rPr>
      </w:pPr>
    </w:p>
    <w:p w:rsidR="00BE727E" w:rsidRPr="00C03B32" w:rsidRDefault="00B301C6">
      <w:pPr>
        <w:spacing w:before="20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Atendiendo a lo anterior, toda vez que la inconformidad de la particular versa específicamente sobre el diario de ingresos otorgado en respuesta, así como de la clasificación de los certificados de planos manzaneros y los recibos de pago expedidos por dicho </w:t>
      </w:r>
      <w:r w:rsidR="00607D90" w:rsidRPr="00C03B32">
        <w:rPr>
          <w:rFonts w:ascii="Palatino Linotype" w:eastAsia="Palatino Linotype" w:hAnsi="Palatino Linotype" w:cs="Palatino Linotype"/>
        </w:rPr>
        <w:t>concepto esta</w:t>
      </w:r>
      <w:r w:rsidRPr="00C03B32">
        <w:rPr>
          <w:rFonts w:ascii="Palatino Linotype" w:eastAsia="Palatino Linotype" w:hAnsi="Palatino Linotype" w:cs="Palatino Linotype"/>
        </w:rPr>
        <w:t xml:space="preserve"> será la materia del presente estudio. </w:t>
      </w:r>
    </w:p>
    <w:p w:rsidR="00BE727E" w:rsidRPr="00C03B32" w:rsidRDefault="00BE727E">
      <w:pPr>
        <w:tabs>
          <w:tab w:val="left" w:pos="709"/>
        </w:tabs>
        <w:spacing w:line="360" w:lineRule="auto"/>
        <w:ind w:right="49"/>
        <w:jc w:val="both"/>
        <w:rPr>
          <w:rFonts w:ascii="Palatino Linotype" w:eastAsia="Palatino Linotype" w:hAnsi="Palatino Linotype" w:cs="Palatino Linotype"/>
        </w:rPr>
      </w:pPr>
    </w:p>
    <w:p w:rsidR="00BE727E" w:rsidRPr="00C03B32" w:rsidRDefault="00B301C6">
      <w:pPr>
        <w:tabs>
          <w:tab w:val="left" w:pos="709"/>
        </w:tabs>
        <w:spacing w:line="360" w:lineRule="auto"/>
        <w:ind w:right="49"/>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Una vez señalado lo anterior es conveniente mencionar que, la Ley de Transparencia y Acceso a la Información Pública del Estado de México y Municipios que en su artículo 4, refiere que toda la información generada, obtenida, adquirida, transformada, administrada o en posesión de los sujetos obligados es pública y accesible de manera permanente a cualquier persona, privilegiando el principio de </w:t>
      </w:r>
      <w:r w:rsidRPr="00C03B32">
        <w:rPr>
          <w:rFonts w:ascii="Palatino Linotype" w:eastAsia="Palatino Linotype" w:hAnsi="Palatino Linotype" w:cs="Palatino Linotype"/>
        </w:rPr>
        <w:lastRenderedPageBreak/>
        <w:t>máxima publicidad, como así lo establece dicha determinación, que a continuación se transcribe para un mejor entendimiento:</w:t>
      </w:r>
    </w:p>
    <w:p w:rsidR="00BE727E" w:rsidRPr="00C03B32" w:rsidRDefault="00B301C6">
      <w:pPr>
        <w:spacing w:before="240"/>
        <w:ind w:left="709" w:right="76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w:t>
      </w:r>
      <w:r w:rsidRPr="00C03B32">
        <w:rPr>
          <w:rFonts w:ascii="Palatino Linotype" w:eastAsia="Palatino Linotype" w:hAnsi="Palatino Linotype" w:cs="Palatino Linotype"/>
          <w:b/>
          <w:i/>
          <w:sz w:val="22"/>
          <w:szCs w:val="22"/>
        </w:rPr>
        <w:t>Artículo 4</w:t>
      </w:r>
      <w:r w:rsidRPr="00C03B3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BE727E" w:rsidRPr="00C03B32" w:rsidRDefault="00B301C6">
      <w:pPr>
        <w:ind w:left="709" w:right="76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03B3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BE727E" w:rsidRPr="00C03B32" w:rsidRDefault="00B301C6">
      <w:pPr>
        <w:ind w:left="709" w:right="76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C03B32">
        <w:rPr>
          <w:rFonts w:ascii="Palatino Linotype" w:eastAsia="Palatino Linotype" w:hAnsi="Palatino Linotype" w:cs="Palatino Linotype"/>
          <w:i/>
          <w:sz w:val="22"/>
          <w:szCs w:val="22"/>
        </w:rPr>
        <w:t>.”(Sic)</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Esto es, que los Sujetos Obligados tienen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BE727E" w:rsidRPr="00C03B32" w:rsidRDefault="00B301C6">
      <w:pPr>
        <w:ind w:left="567" w:right="758"/>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“Artículo 12.-</w:t>
      </w:r>
      <w:r w:rsidRPr="00C03B3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BE727E" w:rsidRPr="00C03B32" w:rsidRDefault="00BE727E">
      <w:pPr>
        <w:ind w:left="567" w:right="758"/>
        <w:jc w:val="both"/>
        <w:rPr>
          <w:rFonts w:ascii="Palatino Linotype" w:eastAsia="Palatino Linotype" w:hAnsi="Palatino Linotype" w:cs="Palatino Linotype"/>
          <w:i/>
          <w:sz w:val="22"/>
          <w:szCs w:val="22"/>
        </w:rPr>
      </w:pPr>
    </w:p>
    <w:p w:rsidR="00BE727E" w:rsidRPr="00C03B32" w:rsidRDefault="00B301C6">
      <w:pPr>
        <w:ind w:left="567" w:right="758"/>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03B32">
        <w:rPr>
          <w:rFonts w:ascii="Palatino Linotype" w:eastAsia="Palatino Linotype" w:hAnsi="Palatino Linotype" w:cs="Palatino Linotype"/>
          <w:i/>
          <w:sz w:val="22"/>
          <w:szCs w:val="22"/>
        </w:rPr>
        <w:t xml:space="preserve">. </w:t>
      </w:r>
      <w:r w:rsidRPr="00C03B32">
        <w:rPr>
          <w:rFonts w:ascii="Palatino Linotype" w:eastAsia="Palatino Linotype" w:hAnsi="Palatino Linotype" w:cs="Palatino Linotype"/>
          <w:b/>
          <w:i/>
          <w:sz w:val="22"/>
          <w:szCs w:val="22"/>
        </w:rPr>
        <w:t xml:space="preserve">La </w:t>
      </w:r>
      <w:r w:rsidRPr="00C03B32">
        <w:rPr>
          <w:rFonts w:ascii="Palatino Linotype" w:eastAsia="Palatino Linotype" w:hAnsi="Palatino Linotype" w:cs="Palatino Linotype"/>
          <w:b/>
          <w:i/>
          <w:sz w:val="22"/>
          <w:szCs w:val="22"/>
        </w:rPr>
        <w:lastRenderedPageBreak/>
        <w:t>obligación de proporcionar información no comprende el procesamiento de la misma, ni el presentarla conforme al interés del solicitante; no estarán obligados a generarla, resumirla, efectuar cálculos o practicar investigaciones.” (Sic)</w:t>
      </w:r>
    </w:p>
    <w:p w:rsidR="00BE727E" w:rsidRPr="00C03B32" w:rsidRDefault="00BE727E">
      <w:pPr>
        <w:spacing w:line="360" w:lineRule="auto"/>
        <w:ind w:right="-93"/>
        <w:jc w:val="both"/>
        <w:rPr>
          <w:rFonts w:ascii="Palatino Linotype" w:eastAsia="Palatino Linotype" w:hAnsi="Palatino Linotype" w:cs="Palatino Linotype"/>
        </w:rPr>
      </w:pPr>
    </w:p>
    <w:p w:rsidR="00BE727E" w:rsidRPr="00C03B32" w:rsidRDefault="00B301C6">
      <w:pPr>
        <w:spacing w:line="360" w:lineRule="auto"/>
        <w:ind w:right="-93"/>
        <w:jc w:val="both"/>
        <w:rPr>
          <w:rFonts w:ascii="Palatino Linotype" w:eastAsia="Palatino Linotype" w:hAnsi="Palatino Linotype" w:cs="Palatino Linotype"/>
        </w:rPr>
      </w:pPr>
      <w:r w:rsidRPr="00C03B32">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BE727E" w:rsidRPr="00C03B32" w:rsidRDefault="00BE727E">
      <w:pPr>
        <w:spacing w:line="360" w:lineRule="auto"/>
        <w:ind w:right="-93"/>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ind w:right="49"/>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Siempre y cuando no se trate de información reservada o clasificada, que el difundirla ponga en riesgo la seguridad jurídica y física del titular de la información, debiendo tener audacia los Sujetos Obligados para cuidar esta información a través del acuerdo clasificatorio del comité de transparencia y la versión pública que emita el servidor </w:t>
      </w:r>
      <w:r w:rsidRPr="00C03B32">
        <w:rPr>
          <w:rFonts w:ascii="Palatino Linotype" w:eastAsia="Palatino Linotype" w:hAnsi="Palatino Linotype" w:cs="Palatino Linotype"/>
        </w:rPr>
        <w:lastRenderedPageBreak/>
        <w:t>público habilitado de cada Sujeto Obligado; como así se establece en la Ley de Transparencia y Acceso a la Información Pública del Estado de México y Municipios.</w:t>
      </w:r>
    </w:p>
    <w:p w:rsidR="00BE727E" w:rsidRPr="00C03B32" w:rsidRDefault="00BE727E">
      <w:pPr>
        <w:spacing w:line="360" w:lineRule="auto"/>
        <w:ind w:right="49"/>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BE727E" w:rsidRPr="00C03B32" w:rsidRDefault="00BE727E">
      <w:pPr>
        <w:ind w:left="851" w:right="899"/>
        <w:jc w:val="both"/>
        <w:rPr>
          <w:rFonts w:ascii="Palatino Linotype" w:eastAsia="Palatino Linotype" w:hAnsi="Palatino Linotype" w:cs="Palatino Linotype"/>
          <w:i/>
          <w:sz w:val="22"/>
          <w:szCs w:val="22"/>
        </w:rPr>
      </w:pPr>
    </w:p>
    <w:p w:rsidR="00BE727E" w:rsidRPr="00C03B32" w:rsidRDefault="00B301C6">
      <w:pPr>
        <w:ind w:left="851"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w:t>
      </w:r>
      <w:r w:rsidRPr="00C03B32">
        <w:rPr>
          <w:rFonts w:ascii="Palatino Linotype" w:eastAsia="Palatino Linotype" w:hAnsi="Palatino Linotype" w:cs="Palatino Linotype"/>
          <w:b/>
          <w:i/>
          <w:sz w:val="22"/>
          <w:szCs w:val="22"/>
        </w:rPr>
        <w:t xml:space="preserve">Artículo 3. </w:t>
      </w:r>
      <w:r w:rsidRPr="00C03B32">
        <w:rPr>
          <w:rFonts w:ascii="Palatino Linotype" w:eastAsia="Palatino Linotype" w:hAnsi="Palatino Linotype" w:cs="Palatino Linotype"/>
          <w:i/>
          <w:sz w:val="22"/>
          <w:szCs w:val="22"/>
        </w:rPr>
        <w:t>Para los efectos de la presente Ley se entenderá por:</w:t>
      </w:r>
    </w:p>
    <w:p w:rsidR="00BE727E" w:rsidRPr="00C03B32" w:rsidRDefault="00B301C6">
      <w:pPr>
        <w:ind w:left="851"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w:t>
      </w:r>
    </w:p>
    <w:p w:rsidR="00BE727E" w:rsidRPr="00C03B32" w:rsidRDefault="00B301C6">
      <w:pPr>
        <w:ind w:left="851"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XI. Documento:</w:t>
      </w:r>
      <w:r w:rsidRPr="00C03B32">
        <w:rPr>
          <w:rFonts w:ascii="Palatino Linotype" w:eastAsia="Palatino Linotype" w:hAnsi="Palatino Linotype" w:cs="Palatino Linotype"/>
          <w:i/>
          <w:sz w:val="22"/>
          <w:szCs w:val="22"/>
        </w:rPr>
        <w:t xml:space="preserve"> Los expedientes, reportes, estudios, actas</w:t>
      </w:r>
      <w:r w:rsidRPr="00C03B32">
        <w:rPr>
          <w:rFonts w:ascii="Palatino Linotype" w:eastAsia="Palatino Linotype" w:hAnsi="Palatino Linotype" w:cs="Palatino Linotype"/>
          <w:b/>
          <w:i/>
          <w:sz w:val="22"/>
          <w:szCs w:val="22"/>
        </w:rPr>
        <w:t>,</w:t>
      </w:r>
      <w:r w:rsidRPr="00C03B3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BE727E" w:rsidRPr="00C03B32" w:rsidRDefault="00BE727E">
      <w:pPr>
        <w:ind w:left="851" w:right="899"/>
        <w:jc w:val="both"/>
        <w:rPr>
          <w:rFonts w:ascii="Palatino Linotype" w:eastAsia="Palatino Linotype" w:hAnsi="Palatino Linotype" w:cs="Palatino Linotype"/>
          <w:sz w:val="22"/>
          <w:szCs w:val="22"/>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C03B32">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rsidR="00BE727E" w:rsidRPr="00C03B32" w:rsidRDefault="00BE727E">
      <w:pPr>
        <w:ind w:left="851" w:right="899"/>
        <w:jc w:val="both"/>
        <w:rPr>
          <w:rFonts w:ascii="Palatino Linotype" w:eastAsia="Palatino Linotype" w:hAnsi="Palatino Linotype" w:cs="Palatino Linotype"/>
        </w:rPr>
      </w:pPr>
    </w:p>
    <w:p w:rsidR="00BE727E" w:rsidRPr="00C03B32" w:rsidRDefault="00B301C6">
      <w:pPr>
        <w:ind w:left="851" w:right="899"/>
        <w:jc w:val="both"/>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b/>
          <w:sz w:val="22"/>
          <w:szCs w:val="22"/>
        </w:rPr>
        <w:t>“</w:t>
      </w:r>
      <w:r w:rsidRPr="00C03B32">
        <w:rPr>
          <w:rFonts w:ascii="Palatino Linotype" w:eastAsia="Palatino Linotype" w:hAnsi="Palatino Linotype" w:cs="Palatino Linotype"/>
          <w:b/>
          <w:i/>
          <w:sz w:val="22"/>
          <w:szCs w:val="22"/>
        </w:rPr>
        <w:t>CRITERIO 0002-11</w:t>
      </w:r>
    </w:p>
    <w:p w:rsidR="00BE727E" w:rsidRPr="00C03B32" w:rsidRDefault="00B301C6">
      <w:pPr>
        <w:ind w:left="851"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03B3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E727E" w:rsidRPr="00C03B32" w:rsidRDefault="00B301C6">
      <w:pPr>
        <w:ind w:left="851"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En consecuencia el acceso a la información se refiere a que se cumplan cualquiera de los siguientes tres supuestos:</w:t>
      </w:r>
    </w:p>
    <w:p w:rsidR="00BE727E" w:rsidRPr="00C03B32" w:rsidRDefault="00B301C6">
      <w:pPr>
        <w:ind w:left="851"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BE727E" w:rsidRPr="00C03B32" w:rsidRDefault="00B301C6">
      <w:pPr>
        <w:ind w:left="851" w:right="899"/>
        <w:jc w:val="both"/>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BE727E" w:rsidRPr="00C03B32" w:rsidRDefault="00B301C6">
      <w:pPr>
        <w:ind w:left="851" w:right="899"/>
        <w:jc w:val="both"/>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Con lo anterior en mente, cabe señalar que el Código Financiero del Estado de México y Municipios refiere en su artículo 171 las atribuciones de los Ayuntamientos en materia catastral, de las cuales se resaltan las contenidas en las fracciones XVII y XVIII, mismas que versa sobre lo siguiente: </w:t>
      </w:r>
    </w:p>
    <w:p w:rsidR="00BE727E" w:rsidRPr="00C03B32" w:rsidRDefault="00B301C6">
      <w:pPr>
        <w:ind w:left="850" w:right="899"/>
        <w:jc w:val="both"/>
        <w:rPr>
          <w:rFonts w:ascii="Palatino Linotype" w:eastAsia="Palatino Linotype" w:hAnsi="Palatino Linotype" w:cs="Palatino Linotype"/>
          <w:sz w:val="22"/>
          <w:szCs w:val="22"/>
        </w:rPr>
      </w:pPr>
      <w:r w:rsidRPr="00C03B32">
        <w:rPr>
          <w:rFonts w:ascii="Palatino Linotype" w:eastAsia="Palatino Linotype" w:hAnsi="Palatino Linotype" w:cs="Palatino Linotype"/>
          <w:sz w:val="22"/>
          <w:szCs w:val="22"/>
        </w:rPr>
        <w:t xml:space="preserve"> </w:t>
      </w:r>
    </w:p>
    <w:p w:rsidR="00BE727E" w:rsidRPr="00C03B32" w:rsidRDefault="00B301C6">
      <w:pPr>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w:t>
      </w:r>
      <w:r w:rsidRPr="00C03B32">
        <w:rPr>
          <w:rFonts w:ascii="Palatino Linotype" w:eastAsia="Palatino Linotype" w:hAnsi="Palatino Linotype" w:cs="Palatino Linotype"/>
          <w:b/>
          <w:i/>
          <w:sz w:val="22"/>
          <w:szCs w:val="22"/>
        </w:rPr>
        <w:t>Artículo 171.</w:t>
      </w:r>
      <w:r w:rsidRPr="00C03B32">
        <w:rPr>
          <w:rFonts w:ascii="Palatino Linotype" w:eastAsia="Palatino Linotype" w:hAnsi="Palatino Linotype" w:cs="Palatino Linotype"/>
          <w:i/>
          <w:sz w:val="22"/>
          <w:szCs w:val="22"/>
        </w:rPr>
        <w:t>- Los Ayuntamientos y las autoridades catastrales municipales, además de las atribuciones que este Código y otros ordenamientos les confieran en materia catastral, tendrán las facultades y obligaciones siguientes:</w:t>
      </w:r>
    </w:p>
    <w:p w:rsidR="00BE727E" w:rsidRPr="00C03B32" w:rsidRDefault="00BE727E">
      <w:pPr>
        <w:ind w:left="850" w:right="899"/>
        <w:jc w:val="both"/>
        <w:rPr>
          <w:rFonts w:ascii="Palatino Linotype" w:eastAsia="Palatino Linotype" w:hAnsi="Palatino Linotype" w:cs="Palatino Linotype"/>
          <w:i/>
          <w:sz w:val="22"/>
          <w:szCs w:val="22"/>
        </w:rPr>
      </w:pPr>
    </w:p>
    <w:p w:rsidR="00BE727E" w:rsidRPr="00C03B32" w:rsidRDefault="00B301C6">
      <w:pPr>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lastRenderedPageBreak/>
        <w:t>XVII</w:t>
      </w:r>
      <w:r w:rsidRPr="00C03B32">
        <w:rPr>
          <w:rFonts w:ascii="Palatino Linotype" w:eastAsia="Palatino Linotype" w:hAnsi="Palatino Linotype" w:cs="Palatino Linotype"/>
          <w:i/>
          <w:sz w:val="22"/>
          <w:szCs w:val="22"/>
        </w:rPr>
        <w:t>. Solicitar los documentos con los que se acredite la propiedad o posesión de los inmuebles y demás documentación requerida para integrar los expedientes que soportan la inscripción o actualización en el padrón catastral municipal.</w:t>
      </w:r>
    </w:p>
    <w:p w:rsidR="00BE727E" w:rsidRPr="00C03B32" w:rsidRDefault="00BE727E">
      <w:pPr>
        <w:ind w:left="850" w:right="899"/>
        <w:jc w:val="both"/>
        <w:rPr>
          <w:rFonts w:ascii="Palatino Linotype" w:eastAsia="Palatino Linotype" w:hAnsi="Palatino Linotype" w:cs="Palatino Linotype"/>
          <w:i/>
          <w:sz w:val="22"/>
          <w:szCs w:val="22"/>
        </w:rPr>
      </w:pPr>
    </w:p>
    <w:p w:rsidR="00BE727E" w:rsidRPr="00C03B32" w:rsidRDefault="00B301C6">
      <w:pPr>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XVIII.</w:t>
      </w:r>
      <w:r w:rsidRPr="00C03B32">
        <w:rPr>
          <w:rFonts w:ascii="Palatino Linotype" w:eastAsia="Palatino Linotype" w:hAnsi="Palatino Linotype" w:cs="Palatino Linotype"/>
          <w:i/>
          <w:sz w:val="22"/>
          <w:szCs w:val="22"/>
        </w:rPr>
        <w:t xml:space="preserve"> Expedir las constancias o certificaciones catastrales en el ámbito de su competencia.” </w:t>
      </w:r>
    </w:p>
    <w:p w:rsidR="00BE727E" w:rsidRPr="00C03B32" w:rsidRDefault="00B301C6">
      <w:pPr>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(énfasis añadido)</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Del precepto en cita se desprende que dentro de sus atribuciones los Ayuntamientos podrán expedir las constancias o certificaciones catastrales. </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Situación que se robustece con el contenido del Manual Catastral del Estado de México, que prevé lo que a continuación se señala:</w:t>
      </w:r>
    </w:p>
    <w:p w:rsidR="00BE727E" w:rsidRPr="00C03B32" w:rsidRDefault="00B301C6">
      <w:pPr>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rPr>
        <w:t>“</w:t>
      </w:r>
      <w:r w:rsidRPr="00C03B32">
        <w:rPr>
          <w:rFonts w:ascii="Palatino Linotype" w:eastAsia="Palatino Linotype" w:hAnsi="Palatino Linotype" w:cs="Palatino Linotype"/>
          <w:b/>
          <w:i/>
          <w:sz w:val="22"/>
          <w:szCs w:val="22"/>
        </w:rPr>
        <w:t>ACGC014. Los servicios catastrales que presta el ayuntamiento son:</w:t>
      </w:r>
      <w:r w:rsidRPr="00C03B32">
        <w:rPr>
          <w:rFonts w:ascii="Palatino Linotype" w:eastAsia="Palatino Linotype" w:hAnsi="Palatino Linotype" w:cs="Palatino Linotype"/>
          <w:i/>
          <w:sz w:val="22"/>
          <w:szCs w:val="22"/>
        </w:rPr>
        <w:t xml:space="preserve"> </w:t>
      </w:r>
    </w:p>
    <w:p w:rsidR="00BE727E" w:rsidRPr="00C03B32" w:rsidRDefault="00BE727E">
      <w:pPr>
        <w:ind w:left="850" w:right="899"/>
        <w:jc w:val="both"/>
        <w:rPr>
          <w:rFonts w:ascii="Palatino Linotype" w:eastAsia="Palatino Linotype" w:hAnsi="Palatino Linotype" w:cs="Palatino Linotype"/>
          <w:i/>
          <w:sz w:val="22"/>
          <w:szCs w:val="22"/>
        </w:rPr>
      </w:pPr>
    </w:p>
    <w:p w:rsidR="00BE727E" w:rsidRPr="00C03B32" w:rsidRDefault="00B301C6">
      <w:pPr>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 xml:space="preserve">• Inscripción de inmuebles en el padrón catastral municipal. </w:t>
      </w:r>
    </w:p>
    <w:p w:rsidR="00BE727E" w:rsidRPr="00C03B32" w:rsidRDefault="00B301C6">
      <w:pPr>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 xml:space="preserve">• Registro de altas, bajas y modificaciones de construcciones. </w:t>
      </w:r>
    </w:p>
    <w:p w:rsidR="00BE727E" w:rsidRPr="00C03B32" w:rsidRDefault="00B301C6">
      <w:pPr>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 xml:space="preserve">• Actualización del padrón catastral derivada de subdivisión, fusión, lotificación, relotificación, conjuntos urbanos, afectaciones y modificación de linderos, previa autorización emitida por la autoridad competente. </w:t>
      </w:r>
    </w:p>
    <w:p w:rsidR="00BE727E" w:rsidRPr="00C03B32" w:rsidRDefault="00B301C6">
      <w:pPr>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 xml:space="preserve">• Actualización al padrón catastral derivada de cambios técnicos y administrativos. </w:t>
      </w:r>
    </w:p>
    <w:p w:rsidR="00BE727E" w:rsidRPr="00C03B32" w:rsidRDefault="00B301C6">
      <w:pPr>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 xml:space="preserve">• Asignación, baja y reasignación de clave catastral. </w:t>
      </w:r>
    </w:p>
    <w:p w:rsidR="00BE727E" w:rsidRPr="00C03B32" w:rsidRDefault="00B301C6">
      <w:pPr>
        <w:ind w:left="850" w:right="899"/>
        <w:jc w:val="both"/>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b/>
          <w:i/>
          <w:sz w:val="22"/>
          <w:szCs w:val="22"/>
        </w:rPr>
        <w:t xml:space="preserve">• Certificaciones de clave catastral, clave y valor catastral y plano manzanero. </w:t>
      </w:r>
    </w:p>
    <w:p w:rsidR="00BE727E" w:rsidRPr="00C03B32" w:rsidRDefault="00B301C6">
      <w:pPr>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 xml:space="preserve">• Constancia de identificación catastral. </w:t>
      </w:r>
    </w:p>
    <w:p w:rsidR="00BE727E" w:rsidRPr="00C03B32" w:rsidRDefault="00B301C6">
      <w:pPr>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 xml:space="preserve">• Levantamiento topográfico catastral, en los casos previstos por las disposiciones jurídicas aplicables. </w:t>
      </w:r>
    </w:p>
    <w:p w:rsidR="00BE727E" w:rsidRPr="00C03B32" w:rsidRDefault="00B301C6">
      <w:pPr>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 Verificación de linderos.”</w:t>
      </w:r>
    </w:p>
    <w:p w:rsidR="00BE727E" w:rsidRPr="00C03B32" w:rsidRDefault="00B301C6">
      <w:pPr>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(énfasis añadido)</w:t>
      </w:r>
    </w:p>
    <w:p w:rsidR="00BE727E" w:rsidRPr="00C03B32" w:rsidRDefault="00BE727E">
      <w:pPr>
        <w:spacing w:line="360" w:lineRule="auto"/>
        <w:ind w:right="899"/>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Dicho Manual regula el proceso de certificación, indicando que dicha certificación será una copia fiel de los documentos que existan en los archivos del Municipio y deberá </w:t>
      </w:r>
      <w:r w:rsidRPr="00C03B32">
        <w:rPr>
          <w:rFonts w:ascii="Palatino Linotype" w:eastAsia="Palatino Linotype" w:hAnsi="Palatino Linotype" w:cs="Palatino Linotype"/>
        </w:rPr>
        <w:lastRenderedPageBreak/>
        <w:t xml:space="preserve">contener las medidas y colindancias del predio, su superficie, ubicación de la manzana, clave catastral, y número del recibo que acredite el pago de la certificación. Se insertan las políticas generales antes </w:t>
      </w:r>
      <w:r w:rsidR="00607D90" w:rsidRPr="00C03B32">
        <w:rPr>
          <w:rFonts w:ascii="Palatino Linotype" w:eastAsia="Palatino Linotype" w:hAnsi="Palatino Linotype" w:cs="Palatino Linotype"/>
        </w:rPr>
        <w:t>descritas para</w:t>
      </w:r>
      <w:r w:rsidRPr="00C03B32">
        <w:rPr>
          <w:rFonts w:ascii="Palatino Linotype" w:eastAsia="Palatino Linotype" w:hAnsi="Palatino Linotype" w:cs="Palatino Linotype"/>
        </w:rPr>
        <w:t xml:space="preserve"> mayor referencia:</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w:t>
      </w:r>
      <w:r w:rsidRPr="00C03B32">
        <w:rPr>
          <w:rFonts w:ascii="Palatino Linotype" w:eastAsia="Palatino Linotype" w:hAnsi="Palatino Linotype" w:cs="Palatino Linotype"/>
          <w:b/>
          <w:i/>
          <w:sz w:val="22"/>
          <w:szCs w:val="22"/>
        </w:rPr>
        <w:t xml:space="preserve">ACGC008.- </w:t>
      </w:r>
      <w:r w:rsidRPr="00C03B32">
        <w:rPr>
          <w:rFonts w:ascii="Palatino Linotype" w:eastAsia="Palatino Linotype" w:hAnsi="Palatino Linotype" w:cs="Palatino Linotype"/>
          <w:i/>
          <w:sz w:val="22"/>
          <w:szCs w:val="22"/>
        </w:rPr>
        <w:t>Toda certificación de plano manzanero debe constar sobre copia del gráfico en escala 1:500 ó 1:1000, resaltando la configuración del predio de que se trate y anotando al reverso la leyenda siguiente: “lugar, fecha, nombre y cargo de la autoridad catastral, con fundamento en el artículo 173 del Código Financiero del Estado de México y Municipios, certifico que el presente plano es copia fiel del original que obra en el archivo del registro gráfico del padrón catastral municipal. Atentamente, nombre completo, cargo, firma y sello de la autoridad catastral.</w:t>
      </w:r>
    </w:p>
    <w:p w:rsidR="00BE727E" w:rsidRPr="00C03B32" w:rsidRDefault="00BE727E">
      <w:pPr>
        <w:ind w:left="850" w:right="899"/>
        <w:jc w:val="both"/>
        <w:rPr>
          <w:rFonts w:ascii="Palatino Linotype" w:eastAsia="Palatino Linotype" w:hAnsi="Palatino Linotype" w:cs="Palatino Linotype"/>
          <w:sz w:val="22"/>
          <w:szCs w:val="22"/>
        </w:rPr>
      </w:pPr>
    </w:p>
    <w:p w:rsidR="00BE727E" w:rsidRPr="00C03B32" w:rsidRDefault="00B301C6">
      <w:pPr>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ACGC009.</w:t>
      </w:r>
      <w:r w:rsidRPr="00C03B32">
        <w:rPr>
          <w:rFonts w:ascii="Palatino Linotype" w:eastAsia="Palatino Linotype" w:hAnsi="Palatino Linotype" w:cs="Palatino Linotype"/>
          <w:i/>
          <w:sz w:val="22"/>
          <w:szCs w:val="22"/>
        </w:rPr>
        <w:t xml:space="preserve">- En caso de que la autoridad catastral cuente con cartografía en medios digitales, la certificación de plano manzanero se plasmará dentro del formato que contenga la representación gráfica del inmueble de que se trate, que </w:t>
      </w:r>
      <w:r w:rsidRPr="00C03B32">
        <w:rPr>
          <w:rFonts w:ascii="Palatino Linotype" w:eastAsia="Palatino Linotype" w:hAnsi="Palatino Linotype" w:cs="Palatino Linotype"/>
          <w:b/>
          <w:i/>
          <w:sz w:val="22"/>
          <w:szCs w:val="22"/>
        </w:rPr>
        <w:t xml:space="preserve">deberá contener las medidas y colindancias, superficie, orientación y el nombre de las vialidades que en su caso colinden con el inmueble; </w:t>
      </w:r>
      <w:r w:rsidRPr="00C03B32">
        <w:rPr>
          <w:rFonts w:ascii="Palatino Linotype" w:eastAsia="Palatino Linotype" w:hAnsi="Palatino Linotype" w:cs="Palatino Linotype"/>
          <w:i/>
          <w:sz w:val="22"/>
          <w:szCs w:val="22"/>
        </w:rPr>
        <w:t>y la tira marginal deberá ilustrar la imagen institucional, el croquis con</w:t>
      </w:r>
      <w:r w:rsidRPr="00C03B32">
        <w:rPr>
          <w:rFonts w:ascii="Palatino Linotype" w:eastAsia="Palatino Linotype" w:hAnsi="Palatino Linotype" w:cs="Palatino Linotype"/>
          <w:b/>
          <w:i/>
          <w:sz w:val="22"/>
          <w:szCs w:val="22"/>
        </w:rPr>
        <w:t xml:space="preserve"> la ubicación dentro de la manzana a la que pertenezca, clave catastral, la leyenda de la certificación, número de recibo del pago del servicio, fecha de la expedición, nombre, firma y cargo de los responsables de la elaboración y autorización; y sello del área catastral</w:t>
      </w:r>
      <w:r w:rsidRPr="00C03B32">
        <w:rPr>
          <w:rFonts w:ascii="Palatino Linotype" w:eastAsia="Palatino Linotype" w:hAnsi="Palatino Linotype" w:cs="Palatino Linotype"/>
          <w:i/>
          <w:sz w:val="22"/>
          <w:szCs w:val="22"/>
        </w:rPr>
        <w:t>.”</w:t>
      </w:r>
    </w:p>
    <w:p w:rsidR="00BE727E" w:rsidRPr="00C03B32" w:rsidRDefault="00B301C6">
      <w:pPr>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(énfasis añadido)</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before="240" w:after="24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Así se puede señalar que el documento que el particular solicitó, se refiere a una copia fidedigna del plano manzanero de diversos predios que contiene información de carácter confidencial. </w:t>
      </w:r>
    </w:p>
    <w:p w:rsidR="00BE727E" w:rsidRPr="00C03B32" w:rsidRDefault="00BE727E">
      <w:pPr>
        <w:spacing w:before="240" w:after="240" w:line="360" w:lineRule="auto"/>
        <w:jc w:val="both"/>
        <w:rPr>
          <w:rFonts w:ascii="Palatino Linotype" w:eastAsia="Palatino Linotype" w:hAnsi="Palatino Linotype" w:cs="Palatino Linotype"/>
        </w:rPr>
      </w:pPr>
    </w:p>
    <w:p w:rsidR="00BE727E" w:rsidRPr="00C03B32" w:rsidRDefault="00B301C6">
      <w:pPr>
        <w:spacing w:before="240" w:after="24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lastRenderedPageBreak/>
        <w:t>Al respecto debe precisarse lo que  se entiende por información personal, información confidencial, datos personales, datos personales sensibles e información privada, cuyas acepciones legales las podemos encontrar en los artículos 3, fracciones XXI y XXIII de la Ley de Transparencia y Acceso a la Información Pública del Estado de México y Municipios y 4, fracciones XI y XII de la Ley de Protección de Datos Personales en Posesión de Sujetos Obligados del Estado de México y Municipios, los cuales se transcriben a continuación:</w:t>
      </w:r>
    </w:p>
    <w:p w:rsidR="00BE727E" w:rsidRPr="00C03B32" w:rsidRDefault="00B301C6">
      <w:pPr>
        <w:ind w:left="700" w:right="820"/>
        <w:jc w:val="center"/>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i/>
          <w:sz w:val="22"/>
          <w:szCs w:val="22"/>
        </w:rPr>
        <w:t>“</w:t>
      </w:r>
      <w:r w:rsidRPr="00C03B32">
        <w:rPr>
          <w:rFonts w:ascii="Palatino Linotype" w:eastAsia="Palatino Linotype" w:hAnsi="Palatino Linotype" w:cs="Palatino Linotype"/>
          <w:b/>
          <w:i/>
          <w:sz w:val="22"/>
          <w:szCs w:val="22"/>
        </w:rPr>
        <w:t>Ley de Transparencia y Acceso a la Información Pública del Estado de México y Municipios</w:t>
      </w:r>
    </w:p>
    <w:p w:rsidR="00BE727E" w:rsidRPr="00C03B32" w:rsidRDefault="00B301C6">
      <w:pPr>
        <w:ind w:left="700" w:right="82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 xml:space="preserve"> </w:t>
      </w:r>
    </w:p>
    <w:p w:rsidR="00BE727E" w:rsidRPr="00C03B32" w:rsidRDefault="00B301C6">
      <w:pPr>
        <w:ind w:left="700" w:right="82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Artículo 3</w:t>
      </w:r>
      <w:r w:rsidRPr="00C03B32">
        <w:rPr>
          <w:rFonts w:ascii="Palatino Linotype" w:eastAsia="Palatino Linotype" w:hAnsi="Palatino Linotype" w:cs="Palatino Linotype"/>
          <w:i/>
          <w:sz w:val="22"/>
          <w:szCs w:val="22"/>
        </w:rPr>
        <w:t>. Para los efectos de la presente Ley se entenderá por:</w:t>
      </w:r>
    </w:p>
    <w:p w:rsidR="00BE727E" w:rsidRPr="00C03B32" w:rsidRDefault="00B301C6">
      <w:pPr>
        <w:ind w:left="700" w:right="82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w:t>
      </w:r>
    </w:p>
    <w:p w:rsidR="00BE727E" w:rsidRPr="00C03B32" w:rsidRDefault="00B301C6">
      <w:pPr>
        <w:ind w:left="700" w:right="82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XXI.</w:t>
      </w:r>
      <w:r w:rsidRPr="00C03B32">
        <w:rPr>
          <w:rFonts w:ascii="Palatino Linotype" w:eastAsia="Palatino Linotype" w:hAnsi="Palatino Linotype" w:cs="Palatino Linotype"/>
          <w:b/>
          <w:i/>
          <w:sz w:val="22"/>
          <w:szCs w:val="22"/>
        </w:rPr>
        <w:tab/>
        <w:t>Información confidencial</w:t>
      </w:r>
      <w:r w:rsidRPr="00C03B32">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w:t>
      </w:r>
      <w:r w:rsidRPr="00C03B32">
        <w:rPr>
          <w:rFonts w:ascii="Palatino Linotype" w:eastAsia="Palatino Linotype" w:hAnsi="Palatino Linotype" w:cs="Palatino Linotype"/>
          <w:b/>
          <w:i/>
          <w:sz w:val="22"/>
          <w:szCs w:val="22"/>
        </w:rPr>
        <w:t>cuya titularidad corresponda a particulares</w:t>
      </w:r>
      <w:r w:rsidRPr="00C03B32">
        <w:rPr>
          <w:rFonts w:ascii="Palatino Linotype" w:eastAsia="Palatino Linotype" w:hAnsi="Palatino Linotype" w:cs="Palatino Linotype"/>
          <w:i/>
          <w:sz w:val="22"/>
          <w:szCs w:val="22"/>
        </w:rPr>
        <w:t xml:space="preserve">, sujetos de derecho internacional o a sujetos obligados cuando </w:t>
      </w:r>
      <w:r w:rsidRPr="00C03B32">
        <w:rPr>
          <w:rFonts w:ascii="Palatino Linotype" w:eastAsia="Palatino Linotype" w:hAnsi="Palatino Linotype" w:cs="Palatino Linotype"/>
          <w:b/>
          <w:i/>
          <w:sz w:val="22"/>
          <w:szCs w:val="22"/>
        </w:rPr>
        <w:t>no involucren el ejercicio de recursos públicos</w:t>
      </w:r>
      <w:r w:rsidRPr="00C03B32">
        <w:rPr>
          <w:rFonts w:ascii="Palatino Linotype" w:eastAsia="Palatino Linotype" w:hAnsi="Palatino Linotype" w:cs="Palatino Linotype"/>
          <w:i/>
          <w:sz w:val="22"/>
          <w:szCs w:val="22"/>
        </w:rPr>
        <w:t>;</w:t>
      </w:r>
    </w:p>
    <w:p w:rsidR="00BE727E" w:rsidRPr="00C03B32" w:rsidRDefault="00B301C6">
      <w:pPr>
        <w:ind w:left="700" w:right="82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w:t>
      </w:r>
    </w:p>
    <w:p w:rsidR="00BE727E" w:rsidRPr="00C03B32" w:rsidRDefault="00B301C6">
      <w:pPr>
        <w:ind w:left="700" w:right="82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XXIII. Información privada:</w:t>
      </w:r>
      <w:r w:rsidRPr="00C03B32">
        <w:rPr>
          <w:rFonts w:ascii="Palatino Linotype" w:eastAsia="Palatino Linotype" w:hAnsi="Palatino Linotype" w:cs="Palatino Linotype"/>
          <w:i/>
          <w:sz w:val="22"/>
          <w:szCs w:val="22"/>
        </w:rPr>
        <w:t xml:space="preserve"> La contenida en </w:t>
      </w:r>
      <w:r w:rsidRPr="00C03B32">
        <w:rPr>
          <w:rFonts w:ascii="Palatino Linotype" w:eastAsia="Palatino Linotype" w:hAnsi="Palatino Linotype" w:cs="Palatino Linotype"/>
          <w:b/>
          <w:i/>
          <w:sz w:val="22"/>
          <w:szCs w:val="22"/>
        </w:rPr>
        <w:t>documentos</w:t>
      </w:r>
      <w:r w:rsidRPr="00C03B32">
        <w:rPr>
          <w:rFonts w:ascii="Palatino Linotype" w:eastAsia="Palatino Linotype" w:hAnsi="Palatino Linotype" w:cs="Palatino Linotype"/>
          <w:i/>
          <w:sz w:val="22"/>
          <w:szCs w:val="22"/>
        </w:rPr>
        <w:t xml:space="preserve"> públicos o </w:t>
      </w:r>
      <w:r w:rsidRPr="00C03B32">
        <w:rPr>
          <w:rFonts w:ascii="Palatino Linotype" w:eastAsia="Palatino Linotype" w:hAnsi="Palatino Linotype" w:cs="Palatino Linotype"/>
          <w:b/>
          <w:i/>
          <w:sz w:val="22"/>
          <w:szCs w:val="22"/>
        </w:rPr>
        <w:t>privados</w:t>
      </w:r>
      <w:r w:rsidRPr="00C03B32">
        <w:rPr>
          <w:rFonts w:ascii="Palatino Linotype" w:eastAsia="Palatino Linotype" w:hAnsi="Palatino Linotype" w:cs="Palatino Linotype"/>
          <w:i/>
          <w:sz w:val="22"/>
          <w:szCs w:val="22"/>
        </w:rPr>
        <w:t xml:space="preserve"> que </w:t>
      </w:r>
      <w:r w:rsidRPr="00C03B32">
        <w:rPr>
          <w:rFonts w:ascii="Palatino Linotype" w:eastAsia="Palatino Linotype" w:hAnsi="Palatino Linotype" w:cs="Palatino Linotype"/>
          <w:b/>
          <w:i/>
          <w:sz w:val="22"/>
          <w:szCs w:val="22"/>
        </w:rPr>
        <w:t>refiera a la vida privada</w:t>
      </w:r>
      <w:r w:rsidRPr="00C03B32">
        <w:rPr>
          <w:rFonts w:ascii="Palatino Linotype" w:eastAsia="Palatino Linotype" w:hAnsi="Palatino Linotype" w:cs="Palatino Linotype"/>
          <w:i/>
          <w:sz w:val="22"/>
          <w:szCs w:val="22"/>
        </w:rPr>
        <w:t xml:space="preserve"> y/o los datos personales, que no son de acceso público;</w:t>
      </w:r>
    </w:p>
    <w:p w:rsidR="00BE727E" w:rsidRPr="00C03B32" w:rsidRDefault="00B301C6">
      <w:pPr>
        <w:ind w:left="700" w:right="82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 xml:space="preserve"> </w:t>
      </w:r>
    </w:p>
    <w:p w:rsidR="00BE727E" w:rsidRPr="00C03B32" w:rsidRDefault="00B301C6">
      <w:pPr>
        <w:ind w:left="700" w:right="82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 xml:space="preserve"> </w:t>
      </w:r>
    </w:p>
    <w:p w:rsidR="00BE727E" w:rsidRPr="00C03B32" w:rsidRDefault="00B301C6">
      <w:pPr>
        <w:ind w:left="700" w:right="820"/>
        <w:jc w:val="center"/>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b/>
          <w:i/>
          <w:sz w:val="22"/>
          <w:szCs w:val="22"/>
        </w:rPr>
        <w:t>Ley de Protección de Datos Personales en Posesión de Sujetos Obligados del Estado de México y Municipios</w:t>
      </w:r>
    </w:p>
    <w:p w:rsidR="00BE727E" w:rsidRPr="00C03B32" w:rsidRDefault="00B301C6">
      <w:pPr>
        <w:ind w:left="700" w:right="820"/>
        <w:jc w:val="both"/>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b/>
          <w:i/>
          <w:sz w:val="22"/>
          <w:szCs w:val="22"/>
        </w:rPr>
        <w:t xml:space="preserve"> </w:t>
      </w:r>
    </w:p>
    <w:p w:rsidR="00BE727E" w:rsidRPr="00C03B32" w:rsidRDefault="00B301C6">
      <w:pPr>
        <w:ind w:left="700" w:right="82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Artículo 4.- Para los efectos de esta Ley se entenderá por:</w:t>
      </w:r>
    </w:p>
    <w:p w:rsidR="00BE727E" w:rsidRPr="00C03B32" w:rsidRDefault="00B301C6">
      <w:pPr>
        <w:ind w:left="700" w:right="82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w:t>
      </w:r>
    </w:p>
    <w:p w:rsidR="00BE727E" w:rsidRPr="00C03B32" w:rsidRDefault="00B301C6">
      <w:pPr>
        <w:ind w:left="700" w:right="82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XI. Datos personales</w:t>
      </w:r>
      <w:r w:rsidRPr="00C03B32">
        <w:rPr>
          <w:rFonts w:ascii="Palatino Linotype" w:eastAsia="Palatino Linotype" w:hAnsi="Palatino Linotype" w:cs="Palatino Linotype"/>
          <w:i/>
          <w:sz w:val="22"/>
          <w:szCs w:val="22"/>
        </w:rPr>
        <w:t xml:space="preserve">: a la información concerniente a una persona física o jurídica colectiva identificada o identificable, establecida en cualquier formato o modalidad, y que esté </w:t>
      </w:r>
      <w:r w:rsidRPr="00C03B32">
        <w:rPr>
          <w:rFonts w:ascii="Palatino Linotype" w:eastAsia="Palatino Linotype" w:hAnsi="Palatino Linotype" w:cs="Palatino Linotype"/>
          <w:b/>
          <w:i/>
          <w:sz w:val="22"/>
          <w:szCs w:val="22"/>
        </w:rPr>
        <w:t>almacenada en los sistemas y bases de datos</w:t>
      </w:r>
      <w:r w:rsidRPr="00C03B32">
        <w:rPr>
          <w:rFonts w:ascii="Palatino Linotype" w:eastAsia="Palatino Linotype" w:hAnsi="Palatino Linotype" w:cs="Palatino Linotype"/>
          <w:i/>
          <w:sz w:val="22"/>
          <w:szCs w:val="22"/>
        </w:rPr>
        <w:t>, se considerará que una persona es identificable cuando su identidad pueda determinarse directa o indirectamente a través de cualquier documento informativo físico o electrónico.</w:t>
      </w:r>
    </w:p>
    <w:p w:rsidR="00BE727E" w:rsidRPr="00C03B32" w:rsidRDefault="00B301C6">
      <w:pPr>
        <w:ind w:left="700" w:right="82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 xml:space="preserve"> </w:t>
      </w:r>
    </w:p>
    <w:p w:rsidR="00BE727E" w:rsidRPr="00C03B32" w:rsidRDefault="00B301C6">
      <w:pPr>
        <w:ind w:left="700" w:right="82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lastRenderedPageBreak/>
        <w:t>XII. Datos personales sensibles</w:t>
      </w:r>
      <w:r w:rsidRPr="00C03B32">
        <w:rPr>
          <w:rFonts w:ascii="Palatino Linotype" w:eastAsia="Palatino Linotype" w:hAnsi="Palatino Linotype" w:cs="Palatino Linotype"/>
          <w:i/>
          <w:sz w:val="22"/>
          <w:szCs w:val="22"/>
        </w:rPr>
        <w:t>: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BE727E" w:rsidRPr="00C03B32" w:rsidRDefault="00B301C6">
      <w:pPr>
        <w:ind w:left="700" w:right="82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 xml:space="preserve"> </w:t>
      </w:r>
    </w:p>
    <w:p w:rsidR="00BE727E" w:rsidRPr="00C03B32" w:rsidRDefault="00B301C6">
      <w:pPr>
        <w:ind w:left="700" w:right="82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(Énfasis añadido)</w:t>
      </w:r>
    </w:p>
    <w:p w:rsidR="00BE727E" w:rsidRPr="00C03B32" w:rsidRDefault="00B301C6">
      <w:pPr>
        <w:spacing w:before="240" w:after="24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 De una interpretación armónica y sistemática de dichos preceptos jurídicos, podemos advertir que la información privada es aquella contenida en documentos de orden público que se refiera a la vida privada o contenga datos personales, los cuales no serán de acceso público. En ese mismo sentido, los datos personales son aquellos que conciernen a una persona, ya sea física o jurídica colectiva, que la hacen identificada o identificable, lo anterior, siempre que no involucren el ejercicio de recursos públicos.</w:t>
      </w:r>
    </w:p>
    <w:p w:rsidR="00BE727E" w:rsidRPr="00C03B32" w:rsidRDefault="00B301C6">
      <w:pPr>
        <w:spacing w:before="240" w:after="24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 </w:t>
      </w:r>
    </w:p>
    <w:p w:rsidR="00BE727E" w:rsidRPr="00C03B32" w:rsidRDefault="00B301C6">
      <w:pPr>
        <w:spacing w:before="240" w:after="24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En ese tenor, existe información personal que tiene un grado de sensibilidad tal, que su revelación puede poner en riesgo a las personas, las cuales, sin oponerse a lo anterior, son susceptibles de clasificarse como confidenciales, como lo son origen étnico o racial; características físicas; características morales; características emocionales; vida afectiva; vida familiar; domicilio particular; número telefónico particular; patrimonio; ideología; opinión política; creencia o convicción religiosa; creencia o convicción filosófica; estado de salud física; estado de salud mental; estado civil; preferencia sexual; y otras análogas que afecten su intimidad, que pongan en riesgo la vida, seguridad o salud de las </w:t>
      </w:r>
      <w:r w:rsidRPr="00C03B32">
        <w:rPr>
          <w:rFonts w:ascii="Palatino Linotype" w:eastAsia="Palatino Linotype" w:hAnsi="Palatino Linotype" w:cs="Palatino Linotype"/>
        </w:rPr>
        <w:lastRenderedPageBreak/>
        <w:t xml:space="preserve">mismas, aunado a que su publicidad en nada abona a la transparencia y a la rendición de cuentas. </w:t>
      </w:r>
    </w:p>
    <w:p w:rsidR="00BE727E" w:rsidRPr="00C03B32" w:rsidRDefault="00B301C6">
      <w:pPr>
        <w:spacing w:before="240" w:after="24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Por cuanto hace al </w:t>
      </w:r>
      <w:r w:rsidRPr="00C03B32">
        <w:rPr>
          <w:rFonts w:ascii="Palatino Linotype" w:eastAsia="Palatino Linotype" w:hAnsi="Palatino Linotype" w:cs="Palatino Linotype"/>
          <w:b/>
        </w:rPr>
        <w:t>domicilio</w:t>
      </w:r>
      <w:r w:rsidRPr="00C03B32">
        <w:rPr>
          <w:rFonts w:ascii="Palatino Linotype" w:eastAsia="Palatino Linotype" w:hAnsi="Palatino Linotype" w:cs="Palatino Linotype"/>
        </w:rPr>
        <w:t>, sirve de apoyo a lo anterior, la Tesis Aislada con número de registro 2000979, de la Décima Época de la Primera Sala de la Suprema Corte de Justicia de la Nación, publicada en la página 258 del Libro IX, Tomo 1 de junio de 2012, en el Semanario Judicial de la Federación, misma que refiere lo siguiente:</w:t>
      </w:r>
    </w:p>
    <w:p w:rsidR="00BE727E" w:rsidRPr="00C03B32" w:rsidRDefault="00B301C6">
      <w:pPr>
        <w:ind w:left="700" w:right="82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w:t>
      </w:r>
      <w:r w:rsidRPr="00C03B32">
        <w:rPr>
          <w:rFonts w:ascii="Palatino Linotype" w:eastAsia="Palatino Linotype" w:hAnsi="Palatino Linotype" w:cs="Palatino Linotype"/>
          <w:b/>
          <w:i/>
          <w:sz w:val="22"/>
          <w:szCs w:val="22"/>
        </w:rPr>
        <w:t>DOMICILIO. SU CONCEPTO PARA EFECTOS DE PROTECCIÓN CONSTITUCIONAL</w:t>
      </w:r>
      <w:r w:rsidRPr="00C03B32">
        <w:rPr>
          <w:rFonts w:ascii="Palatino Linotype" w:eastAsia="Palatino Linotype" w:hAnsi="Palatino Linotype" w:cs="Palatino Linotype"/>
          <w:i/>
          <w:sz w:val="22"/>
          <w:szCs w:val="22"/>
        </w:rPr>
        <w:t xml:space="preserve">. </w:t>
      </w:r>
    </w:p>
    <w:p w:rsidR="00BE727E" w:rsidRPr="00C03B32" w:rsidRDefault="00B301C6">
      <w:pPr>
        <w:ind w:left="700" w:right="82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 xml:space="preserve">El concepto de domicilio que contempla el artículo 16 de la Constitución Política de los Estados Unidos Mexicanos, no coincide plenamente con el utilizado en el derecho privado y en especial en los artículos 29, 30 y 31 del Código Civil Federal, como punto de localización de la persona o lugar de ejercicio de derechos y obligaciones. El concepto subyacente a los diversos párrafos del artículo 16 constitucional ha de entenderse de modo amplio y flexible, ya que se trata de defender los ámbitos en los que se desarrolla la vida privada de las personas, debiendo interpretarse -de conformidad con el segundo párrafo del artículo 1o. constitucional- a la luz de los principios que tienden a extender al máximo la protección a la dignidad y a la intimidad de la persona, ya que en el domicilio se concreta la posibilidad de cada individuo de erigir ámbitos privados que excluyen la observación de los demás y de las autoridades del Estado. Así las cosas, el domicilio, en el sentido de la Constitución, es cualquier lugar cerrado en el que pueda transcurrir la vida privada, individual o familiar, aun cuando sea ocupado temporal o accidentalmente. En este sentido, el destino o uso constituye el elemento esencial para la delimitación de los espacios constitucionalmente protegidos, de ahí que resulten irrelevantes la ubicación, la configuración física, su carácter de mueble o inmueble, el tipo de título jurídico que habilita su uso o la intensidad y periodicidad con la que se desarrolle la vida privada en el mismo. Así las cosas, la protección constitucional del domicilio exige que con independencia de la configuración del espacio, sus signos externos revelen la clara voluntad de su titular de excluir dicho espacio y la actividad en él desarrollada del conocimiento e intromisión de terceros. En el mismo sentido, la protección que dispensa el artículo 16 de la Constitución Política de los Estados Unidos Mexicanos ha de extenderse no solamente al domicilio entendido como aquel lugar en el que un individuo fija su residencia indefinidamente, sino a todo espacio cerrado en el </w:t>
      </w:r>
      <w:r w:rsidRPr="00C03B32">
        <w:rPr>
          <w:rFonts w:ascii="Palatino Linotype" w:eastAsia="Palatino Linotype" w:hAnsi="Palatino Linotype" w:cs="Palatino Linotype"/>
          <w:i/>
          <w:sz w:val="22"/>
          <w:szCs w:val="22"/>
        </w:rPr>
        <w:lastRenderedPageBreak/>
        <w:t>que el individuo pernocte y tenga guardadas las cosas pertenecientes a su intimidad, ya sea de manera permanente o esporádica o temporal, como puede ser la habitación de un hotel. Existen personas que por específicas actividades y dedicaciones, pasan la mayor parte de su tiempo en hoteles y no por ello se puede decir que pierden su derecho a la intimidad, pues sería tanto como privarles de un derecho inherente a su personalidad que no puede ser dividido por espacios temporales o locales. Ahora bien, no sobra señalar que las habitaciones de este tipo de establecimientos pueden ser utilizadas para realizar otro tipo de actividades de carácter profesional, mercantil o de otra naturaleza, en cuyo caso no se considerarán domicilio de quien las usa para tales fines. En el caso de los domicilios móviles, es importante señalar que -en principio- los automóviles no son domicilios para los efectos aquí expuestos, sin embargo, se puede dar el caso de aquellos habitáculos móviles remolcados, normalmente conocidos como roulottes, campers o autocaravanas, los cuales gozarán de protección constitucional cuando sean aptos para servir de auténtica vivienda.”</w:t>
      </w:r>
    </w:p>
    <w:p w:rsidR="00BE727E" w:rsidRPr="00C03B32" w:rsidRDefault="00BE727E">
      <w:pPr>
        <w:spacing w:before="240" w:after="240"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Así, el domicilio </w:t>
      </w:r>
      <w:r w:rsidR="00607D90" w:rsidRPr="00C03B32">
        <w:rPr>
          <w:rFonts w:ascii="Palatino Linotype" w:eastAsia="Palatino Linotype" w:hAnsi="Palatino Linotype" w:cs="Palatino Linotype"/>
        </w:rPr>
        <w:t>debe considerarse</w:t>
      </w:r>
      <w:r w:rsidRPr="00C03B32">
        <w:rPr>
          <w:rFonts w:ascii="Palatino Linotype" w:eastAsia="Palatino Linotype" w:hAnsi="Palatino Linotype" w:cs="Palatino Linotype"/>
        </w:rPr>
        <w:t xml:space="preserve"> como información confidencial, toda vez que representa el </w:t>
      </w:r>
      <w:r w:rsidR="00607D90" w:rsidRPr="00C03B32">
        <w:rPr>
          <w:rFonts w:ascii="Palatino Linotype" w:eastAsia="Palatino Linotype" w:hAnsi="Palatino Linotype" w:cs="Palatino Linotype"/>
        </w:rPr>
        <w:t>lugar en</w:t>
      </w:r>
      <w:r w:rsidRPr="00C03B32">
        <w:rPr>
          <w:rFonts w:ascii="Palatino Linotype" w:eastAsia="Palatino Linotype" w:hAnsi="Palatino Linotype" w:cs="Palatino Linotype"/>
        </w:rPr>
        <w:t xml:space="preserve"> el que pueda transcurrir la vida privada, individual o familiar de una persona y por tanto es parte de la esfera personal de los particulares y puede ser objeto del escrutinio público. </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En este orden de ideas, se advierte que el documento en comento, es invariablemente vinculado a una o varias claves catastrales correspondientes a predios determinados de uno o varios particulares.</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Por lo que, El “Diccionario de Datos catastrales Escala 1:1000” del Instituto Nacional de Estadística y Geografía (INEGI), contempla en su Glosario la definición de la Clave Catastral, la cual, apunta lo siguiente:</w:t>
      </w:r>
    </w:p>
    <w:p w:rsidR="00BE727E" w:rsidRPr="00C03B32" w:rsidRDefault="00BE727E">
      <w:pPr>
        <w:spacing w:line="360" w:lineRule="auto"/>
        <w:ind w:left="700" w:right="860"/>
        <w:jc w:val="both"/>
        <w:rPr>
          <w:rFonts w:ascii="Palatino Linotype" w:eastAsia="Palatino Linotype" w:hAnsi="Palatino Linotype" w:cs="Palatino Linotype"/>
          <w:i/>
          <w:sz w:val="22"/>
          <w:szCs w:val="22"/>
        </w:rPr>
      </w:pPr>
    </w:p>
    <w:p w:rsidR="00BE727E" w:rsidRPr="00C03B32" w:rsidRDefault="00B301C6">
      <w:pPr>
        <w:spacing w:line="360" w:lineRule="auto"/>
        <w:ind w:left="700" w:right="86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w:t>
      </w:r>
      <w:r w:rsidRPr="00C03B32">
        <w:rPr>
          <w:rFonts w:ascii="Palatino Linotype" w:eastAsia="Palatino Linotype" w:hAnsi="Palatino Linotype" w:cs="Palatino Linotype"/>
          <w:b/>
          <w:i/>
          <w:sz w:val="22"/>
          <w:szCs w:val="22"/>
        </w:rPr>
        <w:t>Clave Catastral</w:t>
      </w:r>
      <w:r w:rsidRPr="00C03B32">
        <w:rPr>
          <w:rFonts w:ascii="Palatino Linotype" w:eastAsia="Palatino Linotype" w:hAnsi="Palatino Linotype" w:cs="Palatino Linotype"/>
          <w:i/>
          <w:sz w:val="22"/>
          <w:szCs w:val="22"/>
        </w:rPr>
        <w:t>: El código que identifica al predio de forma única para su localización geográfica, mismo que es asignado a cada uno de ellos en el momento de su inscripción en el padrón catastral por las Unidades del Estado con atribuciones catastrales.”</w:t>
      </w: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 </w:t>
      </w: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Asimismo, dicho diccionario estipula dos tipos de Claves Catastrales, siendo estas la Estándar y la Original, cuyo Diccionario de Datos catastrales Escala 1:1000 del INEGI, las define como:</w:t>
      </w: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 </w:t>
      </w:r>
    </w:p>
    <w:p w:rsidR="00BE727E" w:rsidRPr="00C03B32" w:rsidRDefault="00B301C6">
      <w:pPr>
        <w:spacing w:line="360" w:lineRule="auto"/>
        <w:ind w:left="700" w:right="86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w:t>
      </w:r>
      <w:r w:rsidRPr="00C03B32">
        <w:rPr>
          <w:rFonts w:ascii="Palatino Linotype" w:eastAsia="Palatino Linotype" w:hAnsi="Palatino Linotype" w:cs="Palatino Linotype"/>
          <w:b/>
          <w:i/>
          <w:sz w:val="22"/>
          <w:szCs w:val="22"/>
        </w:rPr>
        <w:t>CLAVE CATASTRAL ESTÁNDAR</w:t>
      </w:r>
      <w:r w:rsidRPr="00C03B32">
        <w:rPr>
          <w:rFonts w:ascii="Palatino Linotype" w:eastAsia="Palatino Linotype" w:hAnsi="Palatino Linotype" w:cs="Palatino Linotype"/>
          <w:i/>
          <w:sz w:val="22"/>
          <w:szCs w:val="22"/>
        </w:rPr>
        <w:t>: Código de 31 caracteres conformado por elementos administrativos y que identifica al objeto espacial en forma única para su localización, compuesto por: Estado (2) + Región Catastral (3) + Municipio (3) + Zona Catastral (2) + Localidad (4) + Sector Catastral (3) + Manzana (3) + Predio (5) + Condominio: edificio (2) y unidad (4).</w:t>
      </w:r>
    </w:p>
    <w:p w:rsidR="00BE727E" w:rsidRPr="00C03B32" w:rsidRDefault="00B301C6">
      <w:pPr>
        <w:spacing w:line="360" w:lineRule="auto"/>
        <w:ind w:left="700" w:right="860"/>
        <w:jc w:val="both"/>
        <w:rPr>
          <w:rFonts w:ascii="Palatino Linotype" w:eastAsia="Palatino Linotype" w:hAnsi="Palatino Linotype" w:cs="Palatino Linotype"/>
          <w:sz w:val="22"/>
          <w:szCs w:val="22"/>
        </w:rPr>
      </w:pPr>
      <w:r w:rsidRPr="00C03B32">
        <w:rPr>
          <w:rFonts w:ascii="Palatino Linotype" w:eastAsia="Palatino Linotype" w:hAnsi="Palatino Linotype" w:cs="Palatino Linotype"/>
          <w:sz w:val="22"/>
          <w:szCs w:val="22"/>
        </w:rPr>
        <w:t xml:space="preserve"> </w:t>
      </w:r>
    </w:p>
    <w:p w:rsidR="00BE727E" w:rsidRPr="00C03B32" w:rsidRDefault="00B301C6">
      <w:pPr>
        <w:spacing w:line="360" w:lineRule="auto"/>
        <w:ind w:left="700" w:right="86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CLAVE CATASTRAL ORIGINAL</w:t>
      </w:r>
      <w:r w:rsidRPr="00C03B32">
        <w:rPr>
          <w:rFonts w:ascii="Palatino Linotype" w:eastAsia="Palatino Linotype" w:hAnsi="Palatino Linotype" w:cs="Palatino Linotype"/>
          <w:i/>
          <w:sz w:val="22"/>
          <w:szCs w:val="22"/>
        </w:rPr>
        <w:t>: Código que identifica al objeto espacial, el cual es asignado por el Catastro Estatal, Municipal o por el Registro Agrario Nacional.”</w:t>
      </w:r>
    </w:p>
    <w:p w:rsidR="00BE727E" w:rsidRPr="00C03B32" w:rsidRDefault="00BE727E">
      <w:pPr>
        <w:spacing w:line="360" w:lineRule="auto"/>
        <w:ind w:left="700" w:right="860"/>
        <w:jc w:val="both"/>
        <w:rPr>
          <w:rFonts w:ascii="Palatino Linotype" w:eastAsia="Palatino Linotype" w:hAnsi="Palatino Linotype" w:cs="Palatino Linotype"/>
          <w:i/>
          <w:sz w:val="22"/>
          <w:szCs w:val="22"/>
        </w:rPr>
      </w:pPr>
    </w:p>
    <w:p w:rsidR="00BE727E" w:rsidRPr="00C03B32" w:rsidRDefault="00B301C6">
      <w:pPr>
        <w:spacing w:before="240" w:after="24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Atento a lo anterior, la Ley de Transparencia y Acceso a la Información Pública del Estado de México y Municipios, refiere en su artículo 3°, fracción IX que se entiende como datos personales, a la información concerniente a una persona, identificada o identificable según lo dispuesto por la Ley de Protección de Datos Personales del Estado de México.</w:t>
      </w:r>
    </w:p>
    <w:p w:rsidR="00BE727E" w:rsidRPr="00C03B32" w:rsidRDefault="00B301C6">
      <w:pPr>
        <w:spacing w:before="240" w:after="24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lastRenderedPageBreak/>
        <w:t xml:space="preserve"> </w:t>
      </w:r>
    </w:p>
    <w:p w:rsidR="00BE727E" w:rsidRPr="00C03B32" w:rsidRDefault="00B301C6">
      <w:pPr>
        <w:spacing w:before="240" w:after="24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Tiene apoyo a lo expresado, lo contemplado en la siguiente tesis jurisprudencial.</w:t>
      </w:r>
    </w:p>
    <w:p w:rsidR="00BE727E" w:rsidRPr="00C03B32" w:rsidRDefault="00B301C6">
      <w:pPr>
        <w:ind w:left="700" w:right="86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w:t>
      </w:r>
      <w:r w:rsidRPr="00C03B32">
        <w:rPr>
          <w:rFonts w:ascii="Palatino Linotype" w:eastAsia="Palatino Linotype" w:hAnsi="Palatino Linotype" w:cs="Palatino Linotype"/>
          <w:b/>
          <w:i/>
          <w:sz w:val="22"/>
          <w:szCs w:val="22"/>
        </w:rPr>
        <w:t>DERECHO A LA VIDA PRIVADA. ALCANCE DE SU PROTECCIÓN POR EL ESTADO</w:t>
      </w:r>
      <w:r w:rsidRPr="00C03B32">
        <w:rPr>
          <w:rFonts w:ascii="Palatino Linotype" w:eastAsia="Palatino Linotype" w:hAnsi="Palatino Linotype" w:cs="Palatino Linotype"/>
          <w:i/>
          <w:sz w:val="22"/>
          <w:szCs w:val="22"/>
        </w:rPr>
        <w:t>. Al igual que otros derechos fundamentales, el derecho a la vida privada no es absoluto, sino que puede restringirse en la medida en que las injerencias en éste no sean abusivas o arbitrarias. Así, la Corte Interamericana de Derechos Humanos ha sostenido que el ámbito de la privacidad se caracteriza por quedar exento e inmune a las invasiones o agresiones abusivas o arbitrarias de terceros o de la autoridad pública, y prohíbe ese tipo de injerencias en la vida privada de las personas, enunciando diversos ámbitos de ésta, como la vida privada de sus familias. Ahora bien, el Estado debe adoptar medidas positivas para impedir que la intimidad personal y familiar se vulnere por personas ajenas, pero no puede impedir a quien decide difundir aspectos de su vida privada que lo haga, so pretexto de proteger a la familia, pues en ese caso, ya no se está frente a la difusión de la información por parte de un tercero, que es ajeno a ésta, sino que se estaría limitando el derecho de una persona de divulgar la información que le es propia. En resumen, lo que la Constitución Política de los Estados Unidos Mexicanos y las convenciones internacionales buscan impedir es que terceros difundan información de la vida privada ajena, sin consentimiento del titular; de ahí que si la injerencia en la vida privada de que se duele el tercero perjudicado, consiste en la difusión que hicieron otros miembros de su familia, sobre hechos que conciernen a la vida privada de ellas, y que involucran a éste, como causante de la afectación sufrida por ellas, entonces no puede considerarse que dicha difusión resulte arbitraria o abusiva, puesto que se realizó en ejercicio del legítimo derecho que les asiste de difundir información que les es propia, en la medida en que sea veraz, y que las expresiones utilizadas estén protegidas constitucionalmente, por no ser absolutamente vejatorias, esto es, ofensivas, oprobiosas o impertinentes, según el contexto.</w:t>
      </w:r>
    </w:p>
    <w:p w:rsidR="00BE727E" w:rsidRPr="00C03B32" w:rsidRDefault="00BE727E">
      <w:pPr>
        <w:ind w:right="860"/>
        <w:jc w:val="both"/>
        <w:rPr>
          <w:rFonts w:ascii="Palatino Linotype" w:eastAsia="Palatino Linotype" w:hAnsi="Palatino Linotype" w:cs="Palatino Linotype"/>
          <w:i/>
          <w:sz w:val="22"/>
          <w:szCs w:val="22"/>
        </w:rPr>
      </w:pPr>
    </w:p>
    <w:p w:rsidR="00BE727E" w:rsidRPr="00C03B32" w:rsidRDefault="00B301C6">
      <w:pPr>
        <w:ind w:left="700" w:right="860"/>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w:t>
      </w:r>
      <w:r w:rsidRPr="00C03B32">
        <w:rPr>
          <w:rFonts w:ascii="Palatino Linotype" w:eastAsia="Palatino Linotype" w:hAnsi="Palatino Linotype" w:cs="Palatino Linotype"/>
          <w:b/>
          <w:i/>
          <w:sz w:val="22"/>
          <w:szCs w:val="22"/>
        </w:rPr>
        <w:t>INFORMACIÓN CONFIDENCIAL. LÍMITE AL DERECHO DE ACCESO A LA INFORMACIÓN (LEY FEDERAL DE TRANSPARENCIA Y ACCESO A LA INFORMACIÓN PÚBLICA GUBERNAMENTAL)</w:t>
      </w:r>
      <w:r w:rsidRPr="00C03B32">
        <w:rPr>
          <w:rFonts w:ascii="Palatino Linotype" w:eastAsia="Palatino Linotype" w:hAnsi="Palatino Linotype" w:cs="Palatino Linotype"/>
          <w:i/>
          <w:sz w:val="22"/>
          <w:szCs w:val="22"/>
        </w:rPr>
        <w:t xml:space="preserve">. 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w:t>
      </w:r>
      <w:r w:rsidRPr="00C03B32">
        <w:rPr>
          <w:rFonts w:ascii="Palatino Linotype" w:eastAsia="Palatino Linotype" w:hAnsi="Palatino Linotype" w:cs="Palatino Linotype"/>
          <w:i/>
          <w:sz w:val="22"/>
          <w:szCs w:val="22"/>
        </w:rPr>
        <w:lastRenderedPageBreak/>
        <w:t>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vida privada y los datos personales, el artículo 18 de la ley estableció como criterio de clasificación el de información confidencial, el cual restringe el acceso a la información que contenga datos personales que requieran el consentimiento de los individuos para su difusión, distribución o comercialización. Lo anterior también tiene un sustento constitucional en lo dispuesto en el segundo párrafo del artículo 16 constitucional, el cual reconoce que el derecho a la protección de datos personales —así como al acceso, rectificación y cancelación de los mismos— debe ser tutelado por regla general, salvo los casos excepcionales que se prevean en la legislación secundaria; así como en la fracción V, del apartado C, del artículo 20 constitucional, que protege la identidad y datos personales de las víctimas y ofendidos que sean parte en procedimientos penales. 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 Adicionalmente, la información confidencial puede dar lugar a la clasificación de un documento en su totalidad o de ciertas partes o pasajes del mismo, pues puede darse el caso de un documento público que sólo en una sección contenga datos confidenciales. Por último, y conforme a lo dispuesto en el artículo 21 de la ley, la restricción de acceso a la información confidencial no es absoluta, pues puede permitirse su difusión, distribución o comercialización si se obtiene el consentimiento expreso de la persona a que haga referencia la información.”</w:t>
      </w:r>
    </w:p>
    <w:p w:rsidR="00BE727E" w:rsidRPr="00C03B32" w:rsidRDefault="00BE727E">
      <w:pPr>
        <w:ind w:left="700" w:right="860"/>
        <w:jc w:val="both"/>
        <w:rPr>
          <w:rFonts w:ascii="Palatino Linotype" w:eastAsia="Palatino Linotype" w:hAnsi="Palatino Linotype" w:cs="Palatino Linotype"/>
          <w:i/>
          <w:sz w:val="22"/>
          <w:szCs w:val="22"/>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Luego entonces, se advierte que la Clave Catastral es una serie de elementos que hacen identificable un inmueble para su localización geográfica y posterior inscripción al padrón catastral de cada Entidad Federativa e, integrada al Plano Manzanero quizá hasta podría revelar información inherente al patrimonio del propietario de dicho </w:t>
      </w:r>
      <w:r w:rsidRPr="00C03B32">
        <w:rPr>
          <w:rFonts w:ascii="Palatino Linotype" w:eastAsia="Palatino Linotype" w:hAnsi="Palatino Linotype" w:cs="Palatino Linotype"/>
        </w:rPr>
        <w:lastRenderedPageBreak/>
        <w:t xml:space="preserve">predio o inmueble, lo que no otorga ni certeza jurídica ni abona a la transparencia, ya que no se trata de actos de autoridad que ayuden a hacer público el quehacer de los servidores, por lo cual se considera que no es procedente la entrega de dicha información. </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rPr>
        <w:t xml:space="preserve">En ese tenor, se puede concluir que la información solicitada por el hoy </w:t>
      </w:r>
      <w:r w:rsidRPr="00C03B32">
        <w:rPr>
          <w:rFonts w:ascii="Palatino Linotype" w:eastAsia="Palatino Linotype" w:hAnsi="Palatino Linotype" w:cs="Palatino Linotype"/>
          <w:b/>
        </w:rPr>
        <w:t>RECURRENTE</w:t>
      </w:r>
      <w:r w:rsidRPr="00C03B32">
        <w:rPr>
          <w:rFonts w:ascii="Palatino Linotype" w:eastAsia="Palatino Linotype" w:hAnsi="Palatino Linotype" w:cs="Palatino Linotype"/>
        </w:rPr>
        <w:t xml:space="preserve"> consistente en las certificaciones de planos manzaneros, se trata de información privada que sólo le atañe a sus titulares, máxime que se trata de información que no es referente a servidores públicos sino de particulares.</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rPr>
        <w:t xml:space="preserve">Siendo importante señalar que aun cuando dicha situación fue referida en respuesta a la solicitud de acceso a la información, </w:t>
      </w:r>
      <w:r w:rsidRPr="00C03B32">
        <w:rPr>
          <w:rFonts w:ascii="Palatino Linotype" w:eastAsia="Palatino Linotype" w:hAnsi="Palatino Linotype" w:cs="Palatino Linotype"/>
          <w:b/>
        </w:rPr>
        <w:t>EL SUJETO OBLIGADO</w:t>
      </w:r>
      <w:r w:rsidRPr="00C03B32">
        <w:rPr>
          <w:rFonts w:ascii="Palatino Linotype" w:eastAsia="Palatino Linotype" w:hAnsi="Palatino Linotype" w:cs="Palatino Linotype"/>
        </w:rPr>
        <w:t>, no se advierte que haya procedido a su correcta clasificación en apego a las formalidades establecidas por la Ley</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Ahora bien, en términos del artículo 143 de la Ley de Transparencia y Acceso a la Información Pública del Estado de México y Municipios, se deberá proceder a clasificar la información requerida mediante las formalidades de Ley, es decir, que el Comité de Transparencia del </w:t>
      </w:r>
      <w:r w:rsidRPr="00C03B32">
        <w:rPr>
          <w:rFonts w:ascii="Palatino Linotype" w:eastAsia="Palatino Linotype" w:hAnsi="Palatino Linotype" w:cs="Palatino Linotype"/>
          <w:b/>
        </w:rPr>
        <w:t>SUJETO OBLIGADO</w:t>
      </w:r>
      <w:r w:rsidRPr="00C03B32">
        <w:rPr>
          <w:rFonts w:ascii="Palatino Linotype" w:eastAsia="Palatino Linotype" w:hAnsi="Palatino Linotype" w:cs="Palatino Linotype"/>
        </w:rPr>
        <w:t xml:space="preserve"> emita el Acuerdo de Clasificación correspondiente debidamente fundado y motivado, en términos de los numerales 49, fracción VIII y 132, fracción II de la Ley de Transparencia y Acceso a la Información Pública del Estado de México y Municipios; así como, los numerales Cuarto al Octavo, Décimo, Décimo Primero, Quincuagésimo y Quincuagésimo Tercero de los </w:t>
      </w:r>
      <w:r w:rsidRPr="00C03B32">
        <w:rPr>
          <w:rFonts w:ascii="Palatino Linotype" w:eastAsia="Palatino Linotype" w:hAnsi="Palatino Linotype" w:cs="Palatino Linotype"/>
        </w:rPr>
        <w:lastRenderedPageBreak/>
        <w:t>Lineamientos Generales en materia de Clasificación y Desclasificación de la Información, así como para la elaboración de Versiones Públicas, que literalmente expresan:</w:t>
      </w:r>
    </w:p>
    <w:p w:rsidR="00BE727E" w:rsidRPr="00C03B32" w:rsidRDefault="00B301C6">
      <w:pPr>
        <w:ind w:left="851" w:right="902"/>
        <w:jc w:val="center"/>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b/>
          <w:i/>
          <w:sz w:val="22"/>
          <w:szCs w:val="22"/>
        </w:rPr>
        <w:t>Ley de Transparencia y Acceso a la Información Pública del Estado de México y Municipios</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w:t>
      </w:r>
      <w:r w:rsidRPr="00C03B32">
        <w:rPr>
          <w:rFonts w:ascii="Palatino Linotype" w:eastAsia="Palatino Linotype" w:hAnsi="Palatino Linotype" w:cs="Palatino Linotype"/>
          <w:b/>
          <w:i/>
          <w:sz w:val="22"/>
          <w:szCs w:val="22"/>
        </w:rPr>
        <w:t xml:space="preserve">Artículo 49. </w:t>
      </w:r>
      <w:r w:rsidRPr="00C03B32">
        <w:rPr>
          <w:rFonts w:ascii="Palatino Linotype" w:eastAsia="Palatino Linotype" w:hAnsi="Palatino Linotype" w:cs="Palatino Linotype"/>
          <w:i/>
          <w:sz w:val="22"/>
          <w:szCs w:val="22"/>
        </w:rPr>
        <w:t>Los Comités de Transparencia tendrán las siguientes atribuciones:</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VIII.</w:t>
      </w:r>
      <w:r w:rsidRPr="00C03B32">
        <w:rPr>
          <w:rFonts w:ascii="Palatino Linotype" w:eastAsia="Palatino Linotype" w:hAnsi="Palatino Linotype" w:cs="Palatino Linotype"/>
          <w:i/>
          <w:sz w:val="22"/>
          <w:szCs w:val="22"/>
        </w:rPr>
        <w:t xml:space="preserve"> </w:t>
      </w:r>
      <w:r w:rsidRPr="00C03B32">
        <w:rPr>
          <w:rFonts w:ascii="Palatino Linotype" w:eastAsia="Palatino Linotype" w:hAnsi="Palatino Linotype" w:cs="Palatino Linotype"/>
          <w:b/>
          <w:i/>
          <w:sz w:val="22"/>
          <w:szCs w:val="22"/>
        </w:rPr>
        <w:t>Aprobar</w:t>
      </w:r>
      <w:r w:rsidRPr="00C03B32">
        <w:rPr>
          <w:rFonts w:ascii="Palatino Linotype" w:eastAsia="Palatino Linotype" w:hAnsi="Palatino Linotype" w:cs="Palatino Linotype"/>
          <w:i/>
          <w:sz w:val="22"/>
          <w:szCs w:val="22"/>
        </w:rPr>
        <w:t>, modificar o revocar la clasificación de la información;</w:t>
      </w:r>
    </w:p>
    <w:p w:rsidR="00BE727E" w:rsidRPr="00C03B32" w:rsidRDefault="00B301C6">
      <w:pPr>
        <w:ind w:left="851" w:right="902"/>
        <w:jc w:val="both"/>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b/>
          <w:i/>
          <w:sz w:val="22"/>
          <w:szCs w:val="22"/>
        </w:rPr>
        <w:t>Artículo 132.</w:t>
      </w:r>
      <w:r w:rsidRPr="00C03B32">
        <w:rPr>
          <w:rFonts w:ascii="Palatino Linotype" w:eastAsia="Palatino Linotype" w:hAnsi="Palatino Linotype" w:cs="Palatino Linotype"/>
          <w:i/>
          <w:sz w:val="22"/>
          <w:szCs w:val="22"/>
        </w:rPr>
        <w:t xml:space="preserve"> </w:t>
      </w:r>
      <w:r w:rsidRPr="00C03B32">
        <w:rPr>
          <w:rFonts w:ascii="Palatino Linotype" w:eastAsia="Palatino Linotype" w:hAnsi="Palatino Linotype" w:cs="Palatino Linotype"/>
          <w:b/>
          <w:i/>
          <w:sz w:val="22"/>
          <w:szCs w:val="22"/>
        </w:rPr>
        <w:t>La clasificación de la información se llevará a cabo en el momento en que:</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II.</w:t>
      </w:r>
      <w:r w:rsidRPr="00C03B32">
        <w:rPr>
          <w:rFonts w:ascii="Palatino Linotype" w:eastAsia="Palatino Linotype" w:hAnsi="Palatino Linotype" w:cs="Palatino Linotype"/>
          <w:i/>
          <w:sz w:val="22"/>
          <w:szCs w:val="22"/>
        </w:rPr>
        <w:t xml:space="preserve"> Se determine mediante resolución de autoridad competente; o</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III</w:t>
      </w:r>
      <w:r w:rsidRPr="00C03B32">
        <w:rPr>
          <w:rFonts w:ascii="Palatino Linotype" w:eastAsia="Palatino Linotype" w:hAnsi="Palatino Linotype" w:cs="Palatino Linotype"/>
          <w:i/>
          <w:sz w:val="22"/>
          <w:szCs w:val="22"/>
        </w:rPr>
        <w:t xml:space="preserve">. </w:t>
      </w:r>
      <w:r w:rsidRPr="00C03B32">
        <w:rPr>
          <w:rFonts w:ascii="Palatino Linotype" w:eastAsia="Palatino Linotype" w:hAnsi="Palatino Linotype" w:cs="Palatino Linotype"/>
          <w:b/>
          <w:i/>
          <w:sz w:val="22"/>
          <w:szCs w:val="22"/>
        </w:rPr>
        <w:t>Se generen versiones públicas para dar cumplimiento a las obligaciones de transparencia previstas en esta Ley</w:t>
      </w:r>
      <w:r w:rsidRPr="00C03B32">
        <w:rPr>
          <w:rFonts w:ascii="Palatino Linotype" w:eastAsia="Palatino Linotype" w:hAnsi="Palatino Linotype" w:cs="Palatino Linotype"/>
          <w:i/>
          <w:sz w:val="22"/>
          <w:szCs w:val="22"/>
        </w:rPr>
        <w:t>.”</w:t>
      </w:r>
    </w:p>
    <w:p w:rsidR="00BE727E" w:rsidRPr="00C03B32" w:rsidRDefault="00B301C6">
      <w:pPr>
        <w:ind w:left="851" w:right="902"/>
        <w:jc w:val="center"/>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b/>
          <w:i/>
          <w:sz w:val="22"/>
          <w:szCs w:val="22"/>
        </w:rPr>
        <w:t>Lineamientos Generales en materia de Clasificación y Desclasificación de la Información</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w:t>
      </w:r>
      <w:r w:rsidRPr="00C03B32">
        <w:rPr>
          <w:rFonts w:ascii="Palatino Linotype" w:eastAsia="Palatino Linotype" w:hAnsi="Palatino Linotype" w:cs="Palatino Linotype"/>
          <w:b/>
          <w:i/>
          <w:sz w:val="22"/>
          <w:szCs w:val="22"/>
        </w:rPr>
        <w:t>Segundo.-</w:t>
      </w:r>
      <w:r w:rsidRPr="00C03B32">
        <w:rPr>
          <w:rFonts w:ascii="Palatino Linotype" w:eastAsia="Palatino Linotype" w:hAnsi="Palatino Linotype" w:cs="Palatino Linotype"/>
          <w:i/>
          <w:sz w:val="22"/>
          <w:szCs w:val="22"/>
        </w:rPr>
        <w:t xml:space="preserve"> Para efectos de los presentes Lineamientos Generales, se entenderá por:</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XVIII.</w:t>
      </w:r>
      <w:r w:rsidRPr="00C03B32">
        <w:rPr>
          <w:rFonts w:ascii="Palatino Linotype" w:eastAsia="Palatino Linotype" w:hAnsi="Palatino Linotype" w:cs="Palatino Linotype"/>
          <w:i/>
          <w:sz w:val="22"/>
          <w:szCs w:val="22"/>
        </w:rPr>
        <w:t xml:space="preserve"> </w:t>
      </w:r>
      <w:r w:rsidRPr="00C03B32">
        <w:rPr>
          <w:rFonts w:ascii="Palatino Linotype" w:eastAsia="Palatino Linotype" w:hAnsi="Palatino Linotype" w:cs="Palatino Linotype"/>
          <w:b/>
          <w:i/>
          <w:sz w:val="22"/>
          <w:szCs w:val="22"/>
        </w:rPr>
        <w:t>Versión pública:</w:t>
      </w:r>
      <w:r w:rsidRPr="00C03B32">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C03B32">
        <w:rPr>
          <w:rFonts w:ascii="Palatino Linotype" w:eastAsia="Palatino Linotype" w:hAnsi="Palatino Linotype" w:cs="Palatino Linotype"/>
          <w:b/>
          <w:i/>
          <w:sz w:val="22"/>
          <w:szCs w:val="22"/>
        </w:rPr>
        <w:t>fundando y motivando la</w:t>
      </w:r>
      <w:r w:rsidRPr="00C03B32">
        <w:rPr>
          <w:rFonts w:ascii="Palatino Linotype" w:eastAsia="Palatino Linotype" w:hAnsi="Palatino Linotype" w:cs="Palatino Linotype"/>
          <w:i/>
          <w:sz w:val="22"/>
          <w:szCs w:val="22"/>
        </w:rPr>
        <w:t xml:space="preserve"> reserva o </w:t>
      </w:r>
      <w:r w:rsidRPr="00C03B32">
        <w:rPr>
          <w:rFonts w:ascii="Palatino Linotype" w:eastAsia="Palatino Linotype" w:hAnsi="Palatino Linotype" w:cs="Palatino Linotype"/>
          <w:b/>
          <w:i/>
          <w:sz w:val="22"/>
          <w:szCs w:val="22"/>
        </w:rPr>
        <w:t>confidencialidad</w:t>
      </w:r>
      <w:r w:rsidRPr="00C03B32">
        <w:rPr>
          <w:rFonts w:ascii="Palatino Linotype" w:eastAsia="Palatino Linotype" w:hAnsi="Palatino Linotype" w:cs="Palatino Linotype"/>
          <w:i/>
          <w:sz w:val="22"/>
          <w:szCs w:val="22"/>
        </w:rPr>
        <w:t>, a través de la resolución que para tal efecto emita el Comité de Transparencia.</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Cuarto.</w:t>
      </w:r>
      <w:r w:rsidRPr="00C03B32">
        <w:rPr>
          <w:rFonts w:ascii="Palatino Linotype" w:eastAsia="Palatino Linotype" w:hAnsi="Palatino Linotype" w:cs="Palatino Linotype"/>
          <w:i/>
          <w:sz w:val="22"/>
          <w:szCs w:val="22"/>
        </w:rPr>
        <w:t xml:space="preserve"> </w:t>
      </w:r>
      <w:r w:rsidRPr="00C03B32">
        <w:rPr>
          <w:rFonts w:ascii="Palatino Linotype" w:eastAsia="Palatino Linotype" w:hAnsi="Palatino Linotype" w:cs="Palatino Linotype"/>
          <w:b/>
          <w:i/>
          <w:sz w:val="22"/>
          <w:szCs w:val="22"/>
        </w:rPr>
        <w:t>Para clasificar la información como</w:t>
      </w:r>
      <w:r w:rsidRPr="00C03B32">
        <w:rPr>
          <w:rFonts w:ascii="Palatino Linotype" w:eastAsia="Palatino Linotype" w:hAnsi="Palatino Linotype" w:cs="Palatino Linotype"/>
          <w:i/>
          <w:sz w:val="22"/>
          <w:szCs w:val="22"/>
        </w:rPr>
        <w:t xml:space="preserve"> reservada o </w:t>
      </w:r>
      <w:r w:rsidRPr="00C03B32">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C03B32">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Quinto.</w:t>
      </w:r>
      <w:r w:rsidRPr="00C03B32">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C03B32">
        <w:rPr>
          <w:rFonts w:ascii="Palatino Linotype" w:eastAsia="Palatino Linotype" w:hAnsi="Palatino Linotype" w:cs="Palatino Linotype"/>
          <w:i/>
          <w:sz w:val="22"/>
          <w:szCs w:val="22"/>
        </w:rPr>
        <w:lastRenderedPageBreak/>
        <w:t>públicas para dar cumplimiento a las obligaciones de transparencia, observando lo dispuesto en la Ley General y las demás disposiciones aplicables en la materia.</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Sexto.</w:t>
      </w:r>
      <w:r w:rsidRPr="00C03B32">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Séptimo.</w:t>
      </w:r>
      <w:r w:rsidRPr="00C03B32">
        <w:rPr>
          <w:rFonts w:ascii="Palatino Linotype" w:eastAsia="Palatino Linotype" w:hAnsi="Palatino Linotype" w:cs="Palatino Linotype"/>
          <w:i/>
          <w:sz w:val="22"/>
          <w:szCs w:val="22"/>
        </w:rPr>
        <w:t xml:space="preserve"> La clasificación de la información se llevará a cabo en el momento en que:</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I.</w:t>
      </w:r>
      <w:r w:rsidRPr="00C03B32">
        <w:rPr>
          <w:rFonts w:ascii="Palatino Linotype" w:eastAsia="Palatino Linotype" w:hAnsi="Palatino Linotype" w:cs="Palatino Linotype"/>
          <w:i/>
          <w:sz w:val="22"/>
          <w:szCs w:val="22"/>
        </w:rPr>
        <w:t xml:space="preserve"> Se reciba una solicitud de acceso a la información;</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II.</w:t>
      </w:r>
      <w:r w:rsidRPr="00C03B32">
        <w:rPr>
          <w:rFonts w:ascii="Palatino Linotype" w:eastAsia="Palatino Linotype" w:hAnsi="Palatino Linotype" w:cs="Palatino Linotype"/>
          <w:i/>
          <w:sz w:val="22"/>
          <w:szCs w:val="22"/>
        </w:rPr>
        <w:t xml:space="preserve"> Se determine mediante resolución de autoridad competente, o</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III.</w:t>
      </w:r>
      <w:r w:rsidRPr="00C03B32">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Octavo.</w:t>
      </w:r>
      <w:r w:rsidRPr="00C03B32">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Noveno.</w:t>
      </w:r>
      <w:r w:rsidRPr="00C03B32">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lastRenderedPageBreak/>
        <w:t>Décimo.</w:t>
      </w:r>
      <w:r w:rsidRPr="00C03B32">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BE727E" w:rsidRPr="00C03B32" w:rsidRDefault="00B301C6">
      <w:pPr>
        <w:ind w:left="851" w:right="902"/>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Décimo primero.</w:t>
      </w:r>
      <w:r w:rsidRPr="00C03B32">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BE727E" w:rsidRPr="00C03B32" w:rsidRDefault="00BE727E">
      <w:pPr>
        <w:ind w:left="851" w:right="902"/>
        <w:jc w:val="both"/>
        <w:rPr>
          <w:rFonts w:ascii="Palatino Linotype" w:eastAsia="Palatino Linotype" w:hAnsi="Palatino Linotype" w:cs="Palatino Linotype"/>
          <w:i/>
          <w:sz w:val="22"/>
          <w:szCs w:val="22"/>
        </w:rPr>
      </w:pPr>
    </w:p>
    <w:p w:rsidR="00BE727E" w:rsidRPr="00C03B32" w:rsidRDefault="00B301C6">
      <w:pPr>
        <w:ind w:left="850" w:right="901"/>
        <w:jc w:val="center"/>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b/>
          <w:i/>
          <w:sz w:val="22"/>
          <w:szCs w:val="22"/>
        </w:rPr>
        <w:t>CAPÍTULO VIII</w:t>
      </w:r>
    </w:p>
    <w:p w:rsidR="00BE727E" w:rsidRPr="00C03B32" w:rsidRDefault="00B301C6">
      <w:pPr>
        <w:ind w:left="850" w:right="901"/>
        <w:jc w:val="center"/>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b/>
          <w:i/>
          <w:sz w:val="22"/>
          <w:szCs w:val="22"/>
        </w:rPr>
        <w:t>DE LA LEYENDA DE CLASIFICACIÓN</w:t>
      </w:r>
    </w:p>
    <w:p w:rsidR="00BE727E" w:rsidRPr="00C03B32" w:rsidRDefault="00B301C6">
      <w:pPr>
        <w:ind w:left="850" w:right="901"/>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 xml:space="preserve">Quincuagésimo. </w:t>
      </w:r>
      <w:r w:rsidRPr="00C03B32">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C03B32">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BE727E" w:rsidRPr="00C03B32" w:rsidRDefault="00B301C6">
      <w:pPr>
        <w:ind w:left="850" w:right="901"/>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w:t>
      </w:r>
    </w:p>
    <w:p w:rsidR="00BE727E" w:rsidRPr="00C03B32" w:rsidRDefault="00B301C6">
      <w:pPr>
        <w:ind w:left="850" w:right="901"/>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 xml:space="preserve">Quincuagésimo tercero. </w:t>
      </w:r>
      <w:r w:rsidRPr="00C03B32">
        <w:rPr>
          <w:rFonts w:ascii="Palatino Linotype" w:eastAsia="Palatino Linotype" w:hAnsi="Palatino Linotype" w:cs="Palatino Linotype"/>
          <w:b/>
          <w:i/>
          <w:sz w:val="22"/>
          <w:szCs w:val="22"/>
          <w:u w:val="single"/>
        </w:rPr>
        <w:t>El formato para señalar la clasificación parcial de un documento</w:t>
      </w:r>
      <w:r w:rsidRPr="00C03B32">
        <w:rPr>
          <w:rFonts w:ascii="Palatino Linotype" w:eastAsia="Palatino Linotype" w:hAnsi="Palatino Linotype" w:cs="Palatino Linotype"/>
          <w:i/>
          <w:sz w:val="22"/>
          <w:szCs w:val="22"/>
        </w:rPr>
        <w:t>, es el siguiente:</w:t>
      </w:r>
    </w:p>
    <w:p w:rsidR="00BE727E" w:rsidRPr="00C03B32" w:rsidRDefault="00BE727E">
      <w:pPr>
        <w:ind w:left="850" w:right="901"/>
        <w:jc w:val="both"/>
        <w:rPr>
          <w:rFonts w:ascii="Palatino Linotype" w:eastAsia="Palatino Linotype" w:hAnsi="Palatino Linotype" w:cs="Palatino Linotype"/>
          <w:i/>
          <w:sz w:val="22"/>
          <w:szCs w:val="22"/>
        </w:rPr>
      </w:pPr>
    </w:p>
    <w:tbl>
      <w:tblPr>
        <w:tblStyle w:val="afffffffe"/>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BE727E" w:rsidRPr="00C03B32">
        <w:trPr>
          <w:jc w:val="center"/>
        </w:trPr>
        <w:tc>
          <w:tcPr>
            <w:tcW w:w="1129" w:type="dxa"/>
            <w:tcBorders>
              <w:top w:val="single" w:sz="4" w:space="0" w:color="000000"/>
              <w:left w:val="single" w:sz="4" w:space="0" w:color="000000"/>
              <w:bottom w:val="single" w:sz="4" w:space="0" w:color="000000"/>
              <w:right w:val="single" w:sz="4" w:space="0" w:color="000000"/>
            </w:tcBorders>
          </w:tcPr>
          <w:p w:rsidR="00BE727E" w:rsidRPr="00C03B32" w:rsidRDefault="00BE727E">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E727E" w:rsidRPr="00C03B32" w:rsidRDefault="00B301C6">
            <w:pPr>
              <w:jc w:val="center"/>
              <w:rPr>
                <w:rFonts w:ascii="Palatino Linotype" w:eastAsia="Palatino Linotype" w:hAnsi="Palatino Linotype" w:cs="Palatino Linotype"/>
                <w:b/>
                <w:i/>
              </w:rPr>
            </w:pPr>
            <w:r w:rsidRPr="00C03B32">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BE727E" w:rsidRPr="00C03B32" w:rsidRDefault="00B301C6">
            <w:pPr>
              <w:jc w:val="center"/>
              <w:rPr>
                <w:rFonts w:ascii="Palatino Linotype" w:eastAsia="Palatino Linotype" w:hAnsi="Palatino Linotype" w:cs="Palatino Linotype"/>
                <w:b/>
                <w:i/>
              </w:rPr>
            </w:pPr>
            <w:r w:rsidRPr="00C03B32">
              <w:rPr>
                <w:rFonts w:ascii="Palatino Linotype" w:eastAsia="Palatino Linotype" w:hAnsi="Palatino Linotype" w:cs="Palatino Linotype"/>
                <w:b/>
                <w:i/>
              </w:rPr>
              <w:t>Dónde:</w:t>
            </w:r>
          </w:p>
        </w:tc>
      </w:tr>
      <w:tr w:rsidR="00BE727E" w:rsidRPr="00C03B32">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BE727E" w:rsidRPr="00C03B32" w:rsidRDefault="00B301C6">
            <w:pPr>
              <w:jc w:val="center"/>
              <w:rPr>
                <w:rFonts w:ascii="Palatino Linotype" w:eastAsia="Palatino Linotype" w:hAnsi="Palatino Linotype" w:cs="Palatino Linotype"/>
                <w:b/>
                <w:i/>
              </w:rPr>
            </w:pPr>
            <w:r w:rsidRPr="00C03B32">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BE727E" w:rsidRPr="00C03B32" w:rsidRDefault="00B301C6">
            <w:pPr>
              <w:jc w:val="center"/>
              <w:rPr>
                <w:rFonts w:ascii="Palatino Linotype" w:eastAsia="Palatino Linotype" w:hAnsi="Palatino Linotype" w:cs="Palatino Linotype"/>
                <w:i/>
              </w:rPr>
            </w:pPr>
            <w:r w:rsidRPr="00C03B32">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BE727E" w:rsidRPr="00C03B32" w:rsidRDefault="00B301C6">
            <w:pPr>
              <w:jc w:val="both"/>
              <w:rPr>
                <w:rFonts w:ascii="Palatino Linotype" w:eastAsia="Palatino Linotype" w:hAnsi="Palatino Linotype" w:cs="Palatino Linotype"/>
                <w:i/>
              </w:rPr>
            </w:pPr>
            <w:r w:rsidRPr="00C03B32">
              <w:rPr>
                <w:rFonts w:ascii="Palatino Linotype" w:eastAsia="Palatino Linotype" w:hAnsi="Palatino Linotype" w:cs="Palatino Linotype"/>
                <w:i/>
              </w:rPr>
              <w:t>Se anotará la fecha en la que el Comité de Transparencia confirmó la clasificación del documento, en su caso.</w:t>
            </w:r>
          </w:p>
        </w:tc>
      </w:tr>
      <w:tr w:rsidR="00BE727E" w:rsidRPr="00C03B32">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BE727E" w:rsidRPr="00C03B32" w:rsidRDefault="00BE727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E727E" w:rsidRPr="00C03B32" w:rsidRDefault="00B301C6">
            <w:pPr>
              <w:jc w:val="center"/>
              <w:rPr>
                <w:rFonts w:ascii="Palatino Linotype" w:eastAsia="Palatino Linotype" w:hAnsi="Palatino Linotype" w:cs="Palatino Linotype"/>
                <w:i/>
              </w:rPr>
            </w:pPr>
            <w:r w:rsidRPr="00C03B32">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BE727E" w:rsidRPr="00C03B32" w:rsidRDefault="00B301C6">
            <w:pPr>
              <w:jc w:val="both"/>
              <w:rPr>
                <w:rFonts w:ascii="Palatino Linotype" w:eastAsia="Palatino Linotype" w:hAnsi="Palatino Linotype" w:cs="Palatino Linotype"/>
                <w:i/>
              </w:rPr>
            </w:pPr>
            <w:r w:rsidRPr="00C03B32">
              <w:rPr>
                <w:rFonts w:ascii="Palatino Linotype" w:eastAsia="Palatino Linotype" w:hAnsi="Palatino Linotype" w:cs="Palatino Linotype"/>
                <w:i/>
              </w:rPr>
              <w:t>Se señalará el nombre del área del cual es titular quien clasifica.</w:t>
            </w:r>
          </w:p>
        </w:tc>
      </w:tr>
      <w:tr w:rsidR="00BE727E" w:rsidRPr="00C03B32">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BE727E" w:rsidRPr="00C03B32" w:rsidRDefault="00BE727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E727E" w:rsidRPr="00C03B32" w:rsidRDefault="00B301C6">
            <w:pPr>
              <w:jc w:val="center"/>
              <w:rPr>
                <w:rFonts w:ascii="Palatino Linotype" w:eastAsia="Palatino Linotype" w:hAnsi="Palatino Linotype" w:cs="Palatino Linotype"/>
                <w:i/>
              </w:rPr>
            </w:pPr>
            <w:r w:rsidRPr="00C03B32">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BE727E" w:rsidRPr="00C03B32" w:rsidRDefault="00B301C6">
            <w:pPr>
              <w:jc w:val="both"/>
              <w:rPr>
                <w:rFonts w:ascii="Palatino Linotype" w:eastAsia="Palatino Linotype" w:hAnsi="Palatino Linotype" w:cs="Palatino Linotype"/>
                <w:i/>
              </w:rPr>
            </w:pPr>
            <w:r w:rsidRPr="00C03B32">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anotarán todas las páginas que lo conforman. Si </w:t>
            </w:r>
            <w:r w:rsidRPr="00C03B32">
              <w:rPr>
                <w:rFonts w:ascii="Palatino Linotype" w:eastAsia="Palatino Linotype" w:hAnsi="Palatino Linotype" w:cs="Palatino Linotype"/>
                <w:i/>
              </w:rPr>
              <w:lastRenderedPageBreak/>
              <w:t>el documento no contiene información reservada, se tachará este apartado.</w:t>
            </w:r>
          </w:p>
        </w:tc>
      </w:tr>
      <w:tr w:rsidR="00BE727E" w:rsidRPr="00C03B32">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BE727E" w:rsidRPr="00C03B32" w:rsidRDefault="00BE727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E727E" w:rsidRPr="00C03B32" w:rsidRDefault="00B301C6">
            <w:pPr>
              <w:jc w:val="center"/>
              <w:rPr>
                <w:rFonts w:ascii="Palatino Linotype" w:eastAsia="Palatino Linotype" w:hAnsi="Palatino Linotype" w:cs="Palatino Linotype"/>
                <w:i/>
              </w:rPr>
            </w:pPr>
            <w:r w:rsidRPr="00C03B32">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BE727E" w:rsidRPr="00C03B32" w:rsidRDefault="00B301C6">
            <w:pPr>
              <w:jc w:val="both"/>
              <w:rPr>
                <w:rFonts w:ascii="Palatino Linotype" w:eastAsia="Palatino Linotype" w:hAnsi="Palatino Linotype" w:cs="Palatino Linotype"/>
                <w:i/>
              </w:rPr>
            </w:pPr>
            <w:r w:rsidRPr="00C03B32">
              <w:rPr>
                <w:rFonts w:ascii="Palatino Linotype" w:eastAsia="Palatino Linotype" w:hAnsi="Palatino Linotype" w:cs="Palatino Linotype"/>
                <w:i/>
              </w:rPr>
              <w:t>Se anotará el número de años o meses por los que se mantendrá el documento o las partes del mismo como reservado.</w:t>
            </w:r>
          </w:p>
        </w:tc>
      </w:tr>
      <w:tr w:rsidR="00BE727E" w:rsidRPr="00C03B32">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BE727E" w:rsidRPr="00C03B32" w:rsidRDefault="00BE727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E727E" w:rsidRPr="00C03B32" w:rsidRDefault="00B301C6">
            <w:pPr>
              <w:jc w:val="center"/>
              <w:rPr>
                <w:rFonts w:ascii="Palatino Linotype" w:eastAsia="Palatino Linotype" w:hAnsi="Palatino Linotype" w:cs="Palatino Linotype"/>
                <w:i/>
              </w:rPr>
            </w:pPr>
            <w:r w:rsidRPr="00C03B32">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BE727E" w:rsidRPr="00C03B32" w:rsidRDefault="00B301C6">
            <w:pPr>
              <w:jc w:val="both"/>
              <w:rPr>
                <w:rFonts w:ascii="Palatino Linotype" w:eastAsia="Palatino Linotype" w:hAnsi="Palatino Linotype" w:cs="Palatino Linotype"/>
                <w:i/>
              </w:rPr>
            </w:pPr>
            <w:r w:rsidRPr="00C03B32">
              <w:rPr>
                <w:rFonts w:ascii="Palatino Linotype" w:eastAsia="Palatino Linotype" w:hAnsi="Palatino Linotype" w:cs="Palatino Linotype"/>
                <w:i/>
              </w:rPr>
              <w:t>Se señalará el nombre del ordenamiento, el o los artículos, fracción(es), párrafo(s) con base en los cuales se sustente la reserva.</w:t>
            </w:r>
          </w:p>
        </w:tc>
      </w:tr>
      <w:tr w:rsidR="00BE727E" w:rsidRPr="00C03B32">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BE727E" w:rsidRPr="00C03B32" w:rsidRDefault="00BE727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E727E" w:rsidRPr="00C03B32" w:rsidRDefault="00B301C6">
            <w:pPr>
              <w:jc w:val="center"/>
              <w:rPr>
                <w:rFonts w:ascii="Palatino Linotype" w:eastAsia="Palatino Linotype" w:hAnsi="Palatino Linotype" w:cs="Palatino Linotype"/>
                <w:i/>
              </w:rPr>
            </w:pPr>
            <w:r w:rsidRPr="00C03B32">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BE727E" w:rsidRPr="00C03B32" w:rsidRDefault="00B301C6">
            <w:pPr>
              <w:jc w:val="both"/>
              <w:rPr>
                <w:rFonts w:ascii="Palatino Linotype" w:eastAsia="Palatino Linotype" w:hAnsi="Palatino Linotype" w:cs="Palatino Linotype"/>
                <w:i/>
              </w:rPr>
            </w:pPr>
            <w:r w:rsidRPr="00C03B32">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BE727E" w:rsidRPr="00C03B32">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BE727E" w:rsidRPr="00C03B32" w:rsidRDefault="00BE727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E727E" w:rsidRPr="00C03B32" w:rsidRDefault="00B301C6">
            <w:pPr>
              <w:jc w:val="center"/>
              <w:rPr>
                <w:rFonts w:ascii="Palatino Linotype" w:eastAsia="Palatino Linotype" w:hAnsi="Palatino Linotype" w:cs="Palatino Linotype"/>
                <w:b/>
                <w:i/>
                <w:u w:val="single"/>
              </w:rPr>
            </w:pPr>
            <w:r w:rsidRPr="00C03B32">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rsidR="00BE727E" w:rsidRPr="00C03B32" w:rsidRDefault="00B301C6">
            <w:pPr>
              <w:jc w:val="both"/>
              <w:rPr>
                <w:rFonts w:ascii="Palatino Linotype" w:eastAsia="Palatino Linotype" w:hAnsi="Palatino Linotype" w:cs="Palatino Linotype"/>
                <w:i/>
              </w:rPr>
            </w:pPr>
            <w:r w:rsidRPr="00C03B32">
              <w:rPr>
                <w:rFonts w:ascii="Palatino Linotype" w:eastAsia="Palatino Linotype" w:hAnsi="Palatino Linotype" w:cs="Palatino Linotype"/>
                <w:i/>
              </w:rPr>
              <w:t xml:space="preserve">Se indicarán, en su caso, </w:t>
            </w:r>
            <w:r w:rsidRPr="00C03B32">
              <w:rPr>
                <w:rFonts w:ascii="Palatino Linotype" w:eastAsia="Palatino Linotype" w:hAnsi="Palatino Linotype" w:cs="Palatino Linotype"/>
                <w:b/>
                <w:i/>
                <w:u w:val="single"/>
              </w:rPr>
              <w:t>las partes o páginas del documento que se clasifica como confidencial</w:t>
            </w:r>
            <w:r w:rsidRPr="00C03B32">
              <w:rPr>
                <w:rFonts w:ascii="Palatino Linotype" w:eastAsia="Palatino Linotype" w:hAnsi="Palatino Linotype" w:cs="Palatino Linotype"/>
                <w:i/>
              </w:rPr>
              <w:t xml:space="preserve">. </w:t>
            </w:r>
            <w:r w:rsidRPr="00C03B32">
              <w:rPr>
                <w:rFonts w:ascii="Palatino Linotype" w:eastAsia="Palatino Linotype" w:hAnsi="Palatino Linotype" w:cs="Palatino Linotype"/>
                <w:b/>
                <w:i/>
                <w:u w:val="single"/>
              </w:rPr>
              <w:t>Si el documento fuera confidencial en su totalidad, se anotarán todas las páginas que lo conforman</w:t>
            </w:r>
            <w:r w:rsidRPr="00C03B32">
              <w:rPr>
                <w:rFonts w:ascii="Palatino Linotype" w:eastAsia="Palatino Linotype" w:hAnsi="Palatino Linotype" w:cs="Palatino Linotype"/>
                <w:i/>
              </w:rPr>
              <w:t>. Si el documento no contiene información confidencial, se tachará este apartado.</w:t>
            </w:r>
          </w:p>
        </w:tc>
      </w:tr>
      <w:tr w:rsidR="00BE727E" w:rsidRPr="00C03B32">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BE727E" w:rsidRPr="00C03B32" w:rsidRDefault="00BE727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E727E" w:rsidRPr="00C03B32" w:rsidRDefault="00B301C6">
            <w:pPr>
              <w:jc w:val="center"/>
              <w:rPr>
                <w:rFonts w:ascii="Palatino Linotype" w:eastAsia="Palatino Linotype" w:hAnsi="Palatino Linotype" w:cs="Palatino Linotype"/>
                <w:i/>
              </w:rPr>
            </w:pPr>
            <w:r w:rsidRPr="00C03B32">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BE727E" w:rsidRPr="00C03B32" w:rsidRDefault="00B301C6">
            <w:pPr>
              <w:jc w:val="both"/>
              <w:rPr>
                <w:rFonts w:ascii="Palatino Linotype" w:eastAsia="Palatino Linotype" w:hAnsi="Palatino Linotype" w:cs="Palatino Linotype"/>
                <w:i/>
              </w:rPr>
            </w:pPr>
            <w:r w:rsidRPr="00C03B32">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BE727E" w:rsidRPr="00C03B32">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BE727E" w:rsidRPr="00C03B32" w:rsidRDefault="00BE727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E727E" w:rsidRPr="00C03B32" w:rsidRDefault="00B301C6">
            <w:pPr>
              <w:jc w:val="center"/>
              <w:rPr>
                <w:rFonts w:ascii="Palatino Linotype" w:eastAsia="Palatino Linotype" w:hAnsi="Palatino Linotype" w:cs="Palatino Linotype"/>
                <w:i/>
              </w:rPr>
            </w:pPr>
            <w:r w:rsidRPr="00C03B32">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BE727E" w:rsidRPr="00C03B32" w:rsidRDefault="00B301C6">
            <w:pPr>
              <w:jc w:val="both"/>
              <w:rPr>
                <w:rFonts w:ascii="Palatino Linotype" w:eastAsia="Palatino Linotype" w:hAnsi="Palatino Linotype" w:cs="Palatino Linotype"/>
                <w:i/>
              </w:rPr>
            </w:pPr>
            <w:r w:rsidRPr="00C03B32">
              <w:rPr>
                <w:rFonts w:ascii="Palatino Linotype" w:eastAsia="Palatino Linotype" w:hAnsi="Palatino Linotype" w:cs="Palatino Linotype"/>
                <w:i/>
              </w:rPr>
              <w:t>Rúbrica autógrafa de quien clasifica.</w:t>
            </w:r>
          </w:p>
        </w:tc>
      </w:tr>
      <w:tr w:rsidR="00BE727E" w:rsidRPr="00C03B32">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BE727E" w:rsidRPr="00C03B32" w:rsidRDefault="00BE727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E727E" w:rsidRPr="00C03B32" w:rsidRDefault="00B301C6">
            <w:pPr>
              <w:jc w:val="center"/>
              <w:rPr>
                <w:rFonts w:ascii="Palatino Linotype" w:eastAsia="Palatino Linotype" w:hAnsi="Palatino Linotype" w:cs="Palatino Linotype"/>
                <w:i/>
              </w:rPr>
            </w:pPr>
            <w:r w:rsidRPr="00C03B32">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BE727E" w:rsidRPr="00C03B32" w:rsidRDefault="00B301C6">
            <w:pPr>
              <w:jc w:val="both"/>
              <w:rPr>
                <w:rFonts w:ascii="Palatino Linotype" w:eastAsia="Palatino Linotype" w:hAnsi="Palatino Linotype" w:cs="Palatino Linotype"/>
                <w:i/>
              </w:rPr>
            </w:pPr>
            <w:r w:rsidRPr="00C03B32">
              <w:rPr>
                <w:rFonts w:ascii="Palatino Linotype" w:eastAsia="Palatino Linotype" w:hAnsi="Palatino Linotype" w:cs="Palatino Linotype"/>
                <w:i/>
              </w:rPr>
              <w:t>Se anotará la fecha en que se desclasifica el documento.</w:t>
            </w:r>
          </w:p>
        </w:tc>
      </w:tr>
      <w:tr w:rsidR="00BE727E" w:rsidRPr="00C03B32">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BE727E" w:rsidRPr="00C03B32" w:rsidRDefault="00BE727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E727E" w:rsidRPr="00C03B32" w:rsidRDefault="00B301C6">
            <w:pPr>
              <w:jc w:val="center"/>
              <w:rPr>
                <w:rFonts w:ascii="Palatino Linotype" w:eastAsia="Palatino Linotype" w:hAnsi="Palatino Linotype" w:cs="Palatino Linotype"/>
                <w:i/>
              </w:rPr>
            </w:pPr>
            <w:r w:rsidRPr="00C03B32">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BE727E" w:rsidRPr="00C03B32" w:rsidRDefault="00B301C6">
            <w:pPr>
              <w:rPr>
                <w:rFonts w:ascii="Palatino Linotype" w:eastAsia="Palatino Linotype" w:hAnsi="Palatino Linotype" w:cs="Palatino Linotype"/>
                <w:i/>
              </w:rPr>
            </w:pPr>
            <w:r w:rsidRPr="00C03B32">
              <w:rPr>
                <w:rFonts w:ascii="Palatino Linotype" w:eastAsia="Palatino Linotype" w:hAnsi="Palatino Linotype" w:cs="Palatino Linotype"/>
                <w:i/>
              </w:rPr>
              <w:t>Rúbrica autógrafa de quien desclasifica.</w:t>
            </w:r>
          </w:p>
        </w:tc>
      </w:tr>
    </w:tbl>
    <w:p w:rsidR="00BE727E" w:rsidRPr="00C03B32" w:rsidRDefault="00B301C6">
      <w:pPr>
        <w:ind w:left="709" w:right="709"/>
        <w:jc w:val="both"/>
        <w:rPr>
          <w:rFonts w:ascii="Palatino Linotype" w:eastAsia="Palatino Linotype" w:hAnsi="Palatino Linotype" w:cs="Palatino Linotype"/>
          <w:sz w:val="22"/>
          <w:szCs w:val="22"/>
        </w:rPr>
      </w:pPr>
      <w:r w:rsidRPr="00C03B32">
        <w:rPr>
          <w:rFonts w:ascii="Palatino Linotype" w:eastAsia="Palatino Linotype" w:hAnsi="Palatino Linotype" w:cs="Palatino Linotype"/>
          <w:sz w:val="22"/>
          <w:szCs w:val="22"/>
        </w:rPr>
        <w:t>(Énfasis Añadido)</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keepNext/>
        <w:spacing w:line="360" w:lineRule="auto"/>
        <w:ind w:right="49"/>
        <w:jc w:val="both"/>
        <w:rPr>
          <w:rFonts w:ascii="Palatino Linotype" w:eastAsia="Palatino Linotype" w:hAnsi="Palatino Linotype" w:cs="Palatino Linotype"/>
        </w:rPr>
      </w:pPr>
      <w:r w:rsidRPr="00C03B32">
        <w:rPr>
          <w:rFonts w:ascii="Palatino Linotype" w:eastAsia="Palatino Linotype" w:hAnsi="Palatino Linotype" w:cs="Palatino Linotype"/>
        </w:rPr>
        <w:lastRenderedPageBreak/>
        <w:t xml:space="preserve">Por lo tanto, es importante referir que </w:t>
      </w:r>
      <w:r w:rsidRPr="00C03B32">
        <w:rPr>
          <w:rFonts w:ascii="Palatino Linotype" w:eastAsia="Palatino Linotype" w:hAnsi="Palatino Linotype" w:cs="Palatino Linotype"/>
          <w:b/>
        </w:rPr>
        <w:t>EL SUJETO OBLIGADO</w:t>
      </w:r>
      <w:r w:rsidRPr="00C03B32">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antes citadas que la sustente, en el que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BE727E" w:rsidRPr="00C03B32" w:rsidRDefault="00BE727E">
      <w:pPr>
        <w:keepNext/>
        <w:spacing w:before="240" w:after="240" w:line="360" w:lineRule="auto"/>
        <w:jc w:val="both"/>
        <w:rPr>
          <w:rFonts w:ascii="Palatino Linotype" w:eastAsia="Palatino Linotype" w:hAnsi="Palatino Linotype" w:cs="Palatino Linotype"/>
        </w:rPr>
      </w:pPr>
    </w:p>
    <w:p w:rsidR="00BE727E" w:rsidRPr="00C03B32" w:rsidRDefault="00B301C6">
      <w:pPr>
        <w:keepNext/>
        <w:spacing w:before="240" w:after="24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En consecuencia, y en atención a las consideraciones antes señaladas, este Instituto, en términos del artículo 186, fracción III de la Ley de Transparencia y Acceso a la Información Pública del Estado de México y Municipios, determina ordenar al </w:t>
      </w:r>
      <w:r w:rsidRPr="00C03B32">
        <w:rPr>
          <w:rFonts w:ascii="Palatino Linotype" w:eastAsia="Palatino Linotype" w:hAnsi="Palatino Linotype" w:cs="Palatino Linotype"/>
          <w:b/>
        </w:rPr>
        <w:t>SUJETO OBLIGADO</w:t>
      </w:r>
      <w:r w:rsidRPr="00C03B32">
        <w:rPr>
          <w:rFonts w:ascii="Palatino Linotype" w:eastAsia="Palatino Linotype" w:hAnsi="Palatino Linotype" w:cs="Palatino Linotype"/>
        </w:rPr>
        <w:t xml:space="preserve"> la entrega del Acuerdo de Clasificación de la información requerida, en los términos precisados, puesto que como quedó asentado en los párrafos que anteceden, se trata de información susceptible de ser clasificada como confidencial, dado que para su obtención se deriva de un trámite al tratarse de información privada, que solo concierne a su titular.</w:t>
      </w:r>
    </w:p>
    <w:p w:rsidR="00BE727E" w:rsidRPr="00C03B32" w:rsidRDefault="00BE727E">
      <w:pPr>
        <w:keepNext/>
        <w:spacing w:before="240" w:after="240" w:line="360" w:lineRule="auto"/>
        <w:jc w:val="both"/>
        <w:rPr>
          <w:rFonts w:ascii="Palatino Linotype" w:eastAsia="Palatino Linotype" w:hAnsi="Palatino Linotype" w:cs="Palatino Linotype"/>
        </w:rPr>
      </w:pPr>
    </w:p>
    <w:p w:rsidR="00BE727E" w:rsidRPr="00C03B32" w:rsidRDefault="00B301C6">
      <w:pPr>
        <w:keepNext/>
        <w:spacing w:before="240" w:after="24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Por lo que hace al recibo que ampara el pago del trámite de certificación, a diferencia del plano, </w:t>
      </w:r>
      <w:r w:rsidR="00607D90" w:rsidRPr="00C03B32">
        <w:rPr>
          <w:rFonts w:ascii="Palatino Linotype" w:eastAsia="Palatino Linotype" w:hAnsi="Palatino Linotype" w:cs="Palatino Linotype"/>
        </w:rPr>
        <w:t>este no</w:t>
      </w:r>
      <w:r w:rsidRPr="00C03B32">
        <w:rPr>
          <w:rFonts w:ascii="Palatino Linotype" w:eastAsia="Palatino Linotype" w:hAnsi="Palatino Linotype" w:cs="Palatino Linotype"/>
        </w:rPr>
        <w:t xml:space="preserve"> puede ser clasificado como confidencial en su totalidad, sino que al </w:t>
      </w:r>
      <w:r w:rsidRPr="00C03B32">
        <w:rPr>
          <w:rFonts w:ascii="Palatino Linotype" w:eastAsia="Palatino Linotype" w:hAnsi="Palatino Linotype" w:cs="Palatino Linotype"/>
        </w:rPr>
        <w:lastRenderedPageBreak/>
        <w:t>tratarse de recursos públicos, es susceptible de ser entregado en versión pública, donde se teste la información confidencial como puede ser de forma enunciativa más no limitativa el nombre de los particulares, clave catastral, cuentas bancarias de particulares, RFC de particulares, entre otros.</w:t>
      </w:r>
    </w:p>
    <w:p w:rsidR="00BE727E" w:rsidRPr="00C03B32" w:rsidRDefault="00BE727E">
      <w:pPr>
        <w:spacing w:before="240" w:after="240" w:line="360" w:lineRule="auto"/>
        <w:jc w:val="both"/>
        <w:rPr>
          <w:rFonts w:ascii="Palatino Linotype" w:eastAsia="Palatino Linotype" w:hAnsi="Palatino Linotype" w:cs="Palatino Linotype"/>
        </w:rPr>
      </w:pPr>
    </w:p>
    <w:p w:rsidR="00BE727E" w:rsidRPr="00C03B32" w:rsidRDefault="00B301C6">
      <w:pPr>
        <w:spacing w:after="20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En cuanto al RFC, este constituye un dato personal, ya que para su obtención es necesario acreditar ante la autoridad fiscal previamente la identidad de la persona, su fecha de nacimiento, entre otros aspectos. </w:t>
      </w:r>
    </w:p>
    <w:p w:rsidR="00BE727E" w:rsidRPr="00C03B32" w:rsidRDefault="00BE727E">
      <w:pPr>
        <w:spacing w:after="200" w:line="360" w:lineRule="auto"/>
        <w:jc w:val="both"/>
        <w:rPr>
          <w:rFonts w:ascii="Palatino Linotype" w:eastAsia="Palatino Linotype" w:hAnsi="Palatino Linotype" w:cs="Palatino Linotype"/>
        </w:rPr>
      </w:pPr>
    </w:p>
    <w:p w:rsidR="00BE727E" w:rsidRPr="00C03B32" w:rsidRDefault="00B301C6">
      <w:pPr>
        <w:spacing w:after="20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Lo anterior es compartido por el Instituto Nacional de Transparencia, Acceso a la Información Pública y Protección de Datos Personales (INAI), a través del Criterio 19/17, el cual es del tenor literal siguiente: “</w:t>
      </w:r>
      <w:r w:rsidRPr="00C03B32">
        <w:rPr>
          <w:rFonts w:ascii="Palatino Linotype" w:eastAsia="Palatino Linotype" w:hAnsi="Palatino Linotype" w:cs="Palatino Linotype"/>
          <w:i/>
        </w:rPr>
        <w:t>Registro Federal de Contribuyentes (RFC) de personas físicas. El RFC es una clave de carácter fiscal, única e irrepetible, que permite identificar al titular, su edad y fecha de nacimiento, por lo que es un dato personal de carácter confidencial.</w:t>
      </w:r>
      <w:r w:rsidRPr="00C03B32">
        <w:rPr>
          <w:rFonts w:ascii="Palatino Linotype" w:eastAsia="Palatino Linotype" w:hAnsi="Palatino Linotype" w:cs="Palatino Linotype"/>
        </w:rPr>
        <w:t xml:space="preserve">” (Sic) </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lastRenderedPageBreak/>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tabs>
          <w:tab w:val="left" w:pos="709"/>
        </w:tabs>
        <w:spacing w:line="360" w:lineRule="auto"/>
        <w:ind w:right="49"/>
        <w:jc w:val="both"/>
        <w:rPr>
          <w:rFonts w:ascii="Palatino Linotype" w:eastAsia="Palatino Linotype" w:hAnsi="Palatino Linotype" w:cs="Palatino Linotype"/>
        </w:rPr>
      </w:pPr>
      <w:r w:rsidRPr="00C03B32">
        <w:rPr>
          <w:rFonts w:ascii="Palatino Linotype" w:eastAsia="Palatino Linotype" w:hAnsi="Palatino Linotype" w:cs="Palatino Linotype"/>
        </w:rPr>
        <w:t>Relativo al nombre de los particulares, este se considera un atributo de la personalidad conforme a lo dispuesto por el Código Civil del Estado de México en su artículo 2.3, mismo que se cita a continuación</w:t>
      </w:r>
    </w:p>
    <w:p w:rsidR="00BE727E" w:rsidRPr="00C03B32" w:rsidRDefault="00BE727E">
      <w:pPr>
        <w:tabs>
          <w:tab w:val="left" w:pos="709"/>
        </w:tabs>
        <w:spacing w:line="360" w:lineRule="auto"/>
        <w:ind w:left="850" w:right="49"/>
        <w:jc w:val="both"/>
        <w:rPr>
          <w:rFonts w:ascii="Palatino Linotype" w:eastAsia="Palatino Linotype" w:hAnsi="Palatino Linotype" w:cs="Palatino Linotype"/>
          <w:i/>
          <w:sz w:val="22"/>
          <w:szCs w:val="22"/>
        </w:rPr>
      </w:pPr>
    </w:p>
    <w:p w:rsidR="00BE727E" w:rsidRPr="00C03B32" w:rsidRDefault="00B301C6">
      <w:pPr>
        <w:tabs>
          <w:tab w:val="left" w:pos="709"/>
        </w:tabs>
        <w:spacing w:line="360" w:lineRule="auto"/>
        <w:ind w:left="850" w:right="49"/>
        <w:jc w:val="both"/>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i/>
          <w:sz w:val="22"/>
          <w:szCs w:val="22"/>
        </w:rPr>
        <w:t>“</w:t>
      </w:r>
      <w:r w:rsidRPr="00C03B32">
        <w:rPr>
          <w:rFonts w:ascii="Palatino Linotype" w:eastAsia="Palatino Linotype" w:hAnsi="Palatino Linotype" w:cs="Palatino Linotype"/>
          <w:b/>
          <w:i/>
          <w:sz w:val="22"/>
          <w:szCs w:val="22"/>
        </w:rPr>
        <w:t xml:space="preserve">De los Derechos de la Personalidad </w:t>
      </w:r>
    </w:p>
    <w:p w:rsidR="00BE727E" w:rsidRPr="00C03B32" w:rsidRDefault="00B301C6">
      <w:pPr>
        <w:tabs>
          <w:tab w:val="left" w:pos="709"/>
        </w:tabs>
        <w:ind w:left="850" w:right="899"/>
        <w:jc w:val="both"/>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b/>
          <w:i/>
          <w:sz w:val="22"/>
          <w:szCs w:val="22"/>
        </w:rPr>
        <w:t xml:space="preserve">Atributos de la personalidad </w:t>
      </w:r>
    </w:p>
    <w:p w:rsidR="00BE727E" w:rsidRPr="00C03B32" w:rsidRDefault="00B301C6">
      <w:pPr>
        <w:tabs>
          <w:tab w:val="left" w:pos="709"/>
        </w:tabs>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 xml:space="preserve">Artículo 2.3.- </w:t>
      </w:r>
      <w:r w:rsidRPr="00C03B32">
        <w:rPr>
          <w:rFonts w:ascii="Palatino Linotype" w:eastAsia="Palatino Linotype" w:hAnsi="Palatino Linotype" w:cs="Palatino Linotype"/>
          <w:i/>
          <w:sz w:val="22"/>
          <w:szCs w:val="22"/>
        </w:rPr>
        <w:t xml:space="preserve">Los atributos de la personalidad son el nombre, domicilio, </w:t>
      </w:r>
      <w:r w:rsidRPr="00C03B32">
        <w:rPr>
          <w:rFonts w:ascii="Palatino Linotype" w:eastAsia="Palatino Linotype" w:hAnsi="Palatino Linotype" w:cs="Palatino Linotype"/>
          <w:b/>
          <w:i/>
          <w:sz w:val="22"/>
          <w:szCs w:val="22"/>
        </w:rPr>
        <w:t xml:space="preserve">estado civil </w:t>
      </w:r>
      <w:r w:rsidRPr="00C03B32">
        <w:rPr>
          <w:rFonts w:ascii="Palatino Linotype" w:eastAsia="Palatino Linotype" w:hAnsi="Palatino Linotype" w:cs="Palatino Linotype"/>
          <w:i/>
          <w:sz w:val="22"/>
          <w:szCs w:val="22"/>
        </w:rPr>
        <w:t>y patrimonio.”</w:t>
      </w:r>
    </w:p>
    <w:p w:rsidR="00BE727E" w:rsidRPr="00C03B32" w:rsidRDefault="00B301C6">
      <w:pPr>
        <w:tabs>
          <w:tab w:val="left" w:pos="709"/>
        </w:tabs>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(Énfasis añadido)</w:t>
      </w:r>
    </w:p>
    <w:p w:rsidR="00BE727E" w:rsidRPr="00C03B32" w:rsidRDefault="00BE727E">
      <w:pPr>
        <w:tabs>
          <w:tab w:val="left" w:pos="709"/>
        </w:tabs>
        <w:spacing w:line="360" w:lineRule="auto"/>
        <w:ind w:right="49"/>
        <w:jc w:val="both"/>
        <w:rPr>
          <w:rFonts w:ascii="Palatino Linotype" w:eastAsia="Palatino Linotype" w:hAnsi="Palatino Linotype" w:cs="Palatino Linotype"/>
        </w:rPr>
      </w:pPr>
    </w:p>
    <w:p w:rsidR="00BE727E" w:rsidRPr="00C03B32" w:rsidRDefault="00B301C6">
      <w:pPr>
        <w:spacing w:before="240" w:after="24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En tal sentido, la divulgación de los nombres de los particulares, no es información que sea susceptible de ser divulgada, pues haría plenamente identificables a las personas, que además en el caso que nos ocupa puede estar directamente relacionado con su domicilio. </w:t>
      </w:r>
    </w:p>
    <w:p w:rsidR="00BE727E" w:rsidRPr="00C03B32" w:rsidRDefault="00B301C6">
      <w:pPr>
        <w:spacing w:before="240" w:after="24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 </w:t>
      </w:r>
    </w:p>
    <w:p w:rsidR="00BE727E" w:rsidRPr="00C03B32" w:rsidRDefault="00B301C6">
      <w:pPr>
        <w:spacing w:before="240" w:after="24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lastRenderedPageBreak/>
        <w:t>En relación a la cuenta bancaria, esta es información que sólo su titular o personas autorizadas poseen para el acceso o consulta de información patrimonial, o para la realización de operaciones bancarias de diversa naturaleza, por lo que la difusión pública del mismo facilita la afectación al patrimonio del titular de la cuenta.</w:t>
      </w:r>
    </w:p>
    <w:p w:rsidR="00BE727E" w:rsidRPr="00C03B32" w:rsidRDefault="00B301C6">
      <w:pPr>
        <w:spacing w:before="240" w:after="24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 </w:t>
      </w:r>
    </w:p>
    <w:p w:rsidR="00BE727E" w:rsidRPr="00C03B32" w:rsidRDefault="00B301C6">
      <w:pPr>
        <w:spacing w:before="240" w:after="240" w:line="360" w:lineRule="auto"/>
        <w:ind w:right="60"/>
        <w:jc w:val="both"/>
        <w:rPr>
          <w:rFonts w:ascii="Palatino Linotype" w:eastAsia="Palatino Linotype" w:hAnsi="Palatino Linotype" w:cs="Palatino Linotype"/>
        </w:rPr>
      </w:pPr>
      <w:r w:rsidRPr="00C03B32">
        <w:rPr>
          <w:rFonts w:ascii="Palatino Linotype" w:eastAsia="Palatino Linotype" w:hAnsi="Palatino Linotype" w:cs="Palatino Linotype"/>
        </w:rPr>
        <w:t>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w:t>
      </w:r>
    </w:p>
    <w:p w:rsidR="00BE727E" w:rsidRPr="00C03B32" w:rsidRDefault="00B301C6">
      <w:pPr>
        <w:spacing w:before="240" w:after="240" w:line="360" w:lineRule="auto"/>
        <w:ind w:right="40"/>
        <w:jc w:val="both"/>
        <w:rPr>
          <w:rFonts w:ascii="Palatino Linotype" w:eastAsia="Palatino Linotype" w:hAnsi="Palatino Linotype" w:cs="Palatino Linotype"/>
        </w:rPr>
      </w:pPr>
      <w:r w:rsidRPr="00C03B32">
        <w:rPr>
          <w:rFonts w:ascii="Palatino Linotype" w:eastAsia="Palatino Linotype" w:hAnsi="Palatino Linotype" w:cs="Palatino Linotype"/>
        </w:rPr>
        <w:t>Lo anterior encuentra sustento en el criterio 10/17 emitido por el Instituto Nacional de Transparencia y Acceso a la Información Pública del Estado de México y Municipios, que a la letra dicen:</w:t>
      </w:r>
    </w:p>
    <w:p w:rsidR="00BE727E" w:rsidRPr="00C03B32" w:rsidRDefault="00B301C6">
      <w:pPr>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rPr>
        <w:t xml:space="preserve"> </w:t>
      </w:r>
      <w:r w:rsidRPr="00C03B32">
        <w:rPr>
          <w:rFonts w:ascii="Palatino Linotype" w:eastAsia="Palatino Linotype" w:hAnsi="Palatino Linotype" w:cs="Palatino Linotype"/>
          <w:b/>
          <w:i/>
          <w:sz w:val="22"/>
          <w:szCs w:val="22"/>
        </w:rPr>
        <w:t>“Cuentas bancarias y/o CLABE interbancaria de personas físicas y morales privadas.</w:t>
      </w:r>
      <w:r w:rsidRPr="00C03B32">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w:t>
      </w:r>
      <w:r w:rsidRPr="00C03B32">
        <w:rPr>
          <w:rFonts w:ascii="Palatino Linotype" w:eastAsia="Palatino Linotype" w:hAnsi="Palatino Linotype" w:cs="Palatino Linotype"/>
          <w:i/>
          <w:sz w:val="22"/>
          <w:szCs w:val="22"/>
        </w:rPr>
        <w:lastRenderedPageBreak/>
        <w:t>Información Pública y 113 de la Ley Federal de Transparencia y Acceso a la Información Pública.</w:t>
      </w:r>
    </w:p>
    <w:p w:rsidR="00BE727E" w:rsidRPr="00C03B32" w:rsidRDefault="00B301C6">
      <w:pPr>
        <w:ind w:left="850" w:right="899"/>
        <w:jc w:val="both"/>
        <w:rPr>
          <w:rFonts w:ascii="Palatino Linotype" w:eastAsia="Palatino Linotype" w:hAnsi="Palatino Linotype" w:cs="Palatino Linotype"/>
        </w:rPr>
      </w:pPr>
      <w:r w:rsidRPr="00C03B32">
        <w:rPr>
          <w:rFonts w:ascii="Palatino Linotype" w:eastAsia="Palatino Linotype" w:hAnsi="Palatino Linotype" w:cs="Palatino Linotype"/>
          <w:i/>
          <w:sz w:val="22"/>
          <w:szCs w:val="22"/>
        </w:rPr>
        <w:t>(Énfasis añadido)</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Por último, con respecto de los diarios de ingresos entregados en respuesta, sobre el cual, el particular se inconformó señalando que la información  era ilegible, situación que fue constatada por este Instituto al verificar las documentales que obran en el expediente electrónico del SAIMEX materia del presente asunto, toda vez que la información contenida en ellos no puede ser leída, mientras que los diario de ingresos entregados mediante informe justificado se encuentran incompletos; pues conforme al Diario de Ingresos que debe entregar al Órgano Superior de Fiscalización del Estado de México (formato que más adelante se inserta), hacen falta las columnas correspondientes a los rubros de: multas, subsidios, descuentos, condonaciones e importe total, para mayor referencia se insertan las siguientes imágenes: </w:t>
      </w:r>
    </w:p>
    <w:p w:rsidR="00BE727E" w:rsidRPr="00C03B32" w:rsidRDefault="00B301C6">
      <w:pPr>
        <w:spacing w:line="360" w:lineRule="auto"/>
        <w:jc w:val="center"/>
        <w:rPr>
          <w:rFonts w:ascii="Palatino Linotype" w:eastAsia="Palatino Linotype" w:hAnsi="Palatino Linotype" w:cs="Palatino Linotype"/>
        </w:rPr>
      </w:pPr>
      <w:r w:rsidRPr="00C03B32">
        <w:rPr>
          <w:rFonts w:ascii="Palatino Linotype" w:eastAsia="Palatino Linotype" w:hAnsi="Palatino Linotype" w:cs="Palatino Linotype"/>
          <w:noProof/>
        </w:rPr>
        <w:drawing>
          <wp:inline distT="114300" distB="114300" distL="114300" distR="114300">
            <wp:extent cx="5048250" cy="2346118"/>
            <wp:effectExtent l="0" t="0" r="0" b="0"/>
            <wp:docPr id="1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7052"/>
                    <a:stretch>
                      <a:fillRect/>
                    </a:stretch>
                  </pic:blipFill>
                  <pic:spPr>
                    <a:xfrm>
                      <a:off x="0" y="0"/>
                      <a:ext cx="5048250" cy="2346118"/>
                    </a:xfrm>
                    <a:prstGeom prst="rect">
                      <a:avLst/>
                    </a:prstGeom>
                    <a:ln/>
                  </pic:spPr>
                </pic:pic>
              </a:graphicData>
            </a:graphic>
          </wp:inline>
        </w:drawing>
      </w:r>
    </w:p>
    <w:p w:rsidR="00BE727E" w:rsidRPr="00C03B32" w:rsidRDefault="00B301C6">
      <w:pPr>
        <w:spacing w:line="360" w:lineRule="auto"/>
        <w:jc w:val="center"/>
        <w:rPr>
          <w:rFonts w:ascii="Palatino Linotype" w:eastAsia="Palatino Linotype" w:hAnsi="Palatino Linotype" w:cs="Palatino Linotype"/>
        </w:rPr>
      </w:pPr>
      <w:r w:rsidRPr="00C03B32">
        <w:rPr>
          <w:rFonts w:ascii="Palatino Linotype" w:eastAsia="Palatino Linotype" w:hAnsi="Palatino Linotype" w:cs="Palatino Linotype"/>
          <w:noProof/>
        </w:rPr>
        <w:lastRenderedPageBreak/>
        <w:drawing>
          <wp:inline distT="114300" distB="114300" distL="114300" distR="114300">
            <wp:extent cx="5334953" cy="2342816"/>
            <wp:effectExtent l="0" t="0" r="0" b="0"/>
            <wp:docPr id="1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334953" cy="2342816"/>
                    </a:xfrm>
                    <a:prstGeom prst="rect">
                      <a:avLst/>
                    </a:prstGeom>
                    <a:ln/>
                  </pic:spPr>
                </pic:pic>
              </a:graphicData>
            </a:graphic>
          </wp:inline>
        </w:drawing>
      </w:r>
    </w:p>
    <w:p w:rsidR="00BE727E" w:rsidRPr="00C03B32" w:rsidRDefault="00B301C6">
      <w:pPr>
        <w:spacing w:line="360" w:lineRule="auto"/>
        <w:jc w:val="center"/>
        <w:rPr>
          <w:rFonts w:ascii="Palatino Linotype" w:eastAsia="Palatino Linotype" w:hAnsi="Palatino Linotype" w:cs="Palatino Linotype"/>
        </w:rPr>
      </w:pPr>
      <w:r w:rsidRPr="00C03B32">
        <w:rPr>
          <w:rFonts w:ascii="Palatino Linotype" w:eastAsia="Palatino Linotype" w:hAnsi="Palatino Linotype" w:cs="Palatino Linotype"/>
        </w:rPr>
        <w:t xml:space="preserve"> </w:t>
      </w: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En consecuencia, no se puede tener por colmado el derecho de acceso a la información, pues dicho Diario de Ingresos, forma parte de la información que </w:t>
      </w:r>
      <w:r w:rsidRPr="00C03B32">
        <w:rPr>
          <w:rFonts w:ascii="Palatino Linotype" w:eastAsia="Palatino Linotype" w:hAnsi="Palatino Linotype" w:cs="Palatino Linotype"/>
          <w:b/>
        </w:rPr>
        <w:t>EL SUJETO OBIGADO</w:t>
      </w:r>
      <w:r w:rsidRPr="00C03B32">
        <w:rPr>
          <w:rFonts w:ascii="Palatino Linotype" w:eastAsia="Palatino Linotype" w:hAnsi="Palatino Linotype" w:cs="Palatino Linotype"/>
        </w:rPr>
        <w:t xml:space="preserve"> se encuentra constreñido a entregar de manera trimestral al Órgano Superior de Fiscalización del Estado de México, ello conforme al Instructivo “Modulo 1, de Informe Trimestral Municipal 2022 , en el cual se puede observar que dicho diario debe contener los rubros de: cuenta, número de recibo, fecha, concepto del ingreso, monto, recargos, multas, subsidios, descuentos, condonaciones e importe total, para mayor referencia se inserta la siguiente imagen: </w:t>
      </w:r>
    </w:p>
    <w:p w:rsidR="00BE727E" w:rsidRPr="00C03B32" w:rsidRDefault="00B301C6">
      <w:pPr>
        <w:spacing w:line="360" w:lineRule="auto"/>
        <w:jc w:val="center"/>
        <w:rPr>
          <w:rFonts w:ascii="Palatino Linotype" w:eastAsia="Palatino Linotype" w:hAnsi="Palatino Linotype" w:cs="Palatino Linotype"/>
        </w:rPr>
      </w:pPr>
      <w:r w:rsidRPr="00C03B32">
        <w:rPr>
          <w:rFonts w:ascii="Palatino Linotype" w:eastAsia="Palatino Linotype" w:hAnsi="Palatino Linotype" w:cs="Palatino Linotype"/>
        </w:rPr>
        <w:lastRenderedPageBreak/>
        <w:t xml:space="preserve"> </w:t>
      </w:r>
      <w:r w:rsidRPr="00C03B32">
        <w:rPr>
          <w:rFonts w:ascii="Palatino Linotype" w:eastAsia="Palatino Linotype" w:hAnsi="Palatino Linotype" w:cs="Palatino Linotype"/>
          <w:noProof/>
        </w:rPr>
        <w:drawing>
          <wp:inline distT="114300" distB="114300" distL="114300" distR="114300">
            <wp:extent cx="4610735" cy="3285602"/>
            <wp:effectExtent l="0" t="0" r="0" b="0"/>
            <wp:docPr id="1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610735" cy="3285602"/>
                    </a:xfrm>
                    <a:prstGeom prst="rect">
                      <a:avLst/>
                    </a:prstGeom>
                    <a:ln/>
                  </pic:spPr>
                </pic:pic>
              </a:graphicData>
            </a:graphic>
          </wp:inline>
        </w:drawing>
      </w:r>
    </w:p>
    <w:p w:rsidR="00BE727E" w:rsidRPr="00C03B32" w:rsidRDefault="00B301C6">
      <w:pPr>
        <w:spacing w:line="360" w:lineRule="auto"/>
        <w:jc w:val="center"/>
        <w:rPr>
          <w:rFonts w:ascii="Palatino Linotype" w:eastAsia="Palatino Linotype" w:hAnsi="Palatino Linotype" w:cs="Palatino Linotype"/>
        </w:rPr>
      </w:pPr>
      <w:r w:rsidRPr="00C03B32">
        <w:rPr>
          <w:rFonts w:ascii="Palatino Linotype" w:eastAsia="Palatino Linotype" w:hAnsi="Palatino Linotype" w:cs="Palatino Linotype"/>
          <w:noProof/>
        </w:rPr>
        <w:lastRenderedPageBreak/>
        <w:drawing>
          <wp:inline distT="114300" distB="114300" distL="114300" distR="114300">
            <wp:extent cx="4953635" cy="5016681"/>
            <wp:effectExtent l="0" t="0" r="0" b="0"/>
            <wp:docPr id="1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953635" cy="5016681"/>
                    </a:xfrm>
                    <a:prstGeom prst="rect">
                      <a:avLst/>
                    </a:prstGeom>
                    <a:ln/>
                  </pic:spPr>
                </pic:pic>
              </a:graphicData>
            </a:graphic>
          </wp:inline>
        </w:drawing>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Derivado de lo anterior, es importante destacar que la información que proporcionen los Sujetos Obligados para dar cumplimiento al derecho de acceso a la información debe ser clara, precisa y sobre todo legible, puesto que de lo contrario se restringe de manera ilegítima el derecho de los particulares al impedirles conocer el contenido de los documentos.</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Sirve de sustento a lo anterior, el criterio orientador de la tesis número II. 1°. C.T. 55 C, publicada en el Semanario Judicial de la Federación y su Gaceta bajo el número de 3 registro 201,412, que a la letra dice:</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 xml:space="preserve">COTEJO DE COPIAS FOTOSTÁTICAS ILEGIBLES. AL NO SER POSIBLE CONSTATAR SU AUTENTICIDAD ES INÚTIL E INTRASCENDENTE SU PERFECCIONAMIENTO, POR LO QUE LA JUNTA ESTÁ IMPEDIDA PARA ORDENAR SU DESAHOGO. </w:t>
      </w:r>
      <w:r w:rsidRPr="00C03B32">
        <w:rPr>
          <w:rFonts w:ascii="Palatino Linotype" w:eastAsia="Palatino Linotype" w:hAnsi="Palatino Linotype" w:cs="Palatino Linotype"/>
          <w:i/>
          <w:sz w:val="22"/>
          <w:szCs w:val="22"/>
        </w:rPr>
        <w:t>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before="240" w:after="240"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Por lo que, en la entrega de la información, los Sujetos Obligados deben verificar que la información colme el derecho del particular, en términos del artículo 11 de la Ley de Transparencia y Acceso a la Información Pública del Estado de México y Municipios, el cual dispone lo siguiente:</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ind w:left="850" w:right="899"/>
        <w:jc w:val="both"/>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b/>
          <w:i/>
          <w:sz w:val="22"/>
          <w:szCs w:val="22"/>
        </w:rPr>
        <w:t xml:space="preserve">“Sección Segunda </w:t>
      </w:r>
    </w:p>
    <w:p w:rsidR="00BE727E" w:rsidRPr="00C03B32" w:rsidRDefault="00B301C6">
      <w:pPr>
        <w:ind w:left="850" w:right="899"/>
        <w:jc w:val="both"/>
        <w:rPr>
          <w:rFonts w:ascii="Palatino Linotype" w:eastAsia="Palatino Linotype" w:hAnsi="Palatino Linotype" w:cs="Palatino Linotype"/>
          <w:b/>
          <w:i/>
          <w:sz w:val="22"/>
          <w:szCs w:val="22"/>
        </w:rPr>
      </w:pPr>
      <w:r w:rsidRPr="00C03B32">
        <w:rPr>
          <w:rFonts w:ascii="Palatino Linotype" w:eastAsia="Palatino Linotype" w:hAnsi="Palatino Linotype" w:cs="Palatino Linotype"/>
          <w:b/>
          <w:i/>
          <w:sz w:val="22"/>
          <w:szCs w:val="22"/>
        </w:rPr>
        <w:lastRenderedPageBreak/>
        <w:t>De los Principios en Materia de Transparencia y Acceso a la Información Pública</w:t>
      </w:r>
    </w:p>
    <w:p w:rsidR="00BE727E" w:rsidRPr="00C03B32" w:rsidRDefault="00BE727E">
      <w:pPr>
        <w:ind w:left="850" w:right="899"/>
        <w:jc w:val="both"/>
        <w:rPr>
          <w:rFonts w:ascii="Palatino Linotype" w:eastAsia="Palatino Linotype" w:hAnsi="Palatino Linotype" w:cs="Palatino Linotype"/>
          <w:b/>
          <w:i/>
          <w:sz w:val="22"/>
          <w:szCs w:val="22"/>
        </w:rPr>
      </w:pPr>
    </w:p>
    <w:p w:rsidR="00BE727E" w:rsidRPr="00C03B32" w:rsidRDefault="00B301C6">
      <w:pPr>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b/>
          <w:i/>
          <w:sz w:val="22"/>
          <w:szCs w:val="22"/>
        </w:rPr>
        <w:t>Artículo 11.</w:t>
      </w:r>
      <w:r w:rsidRPr="00C03B32">
        <w:rPr>
          <w:rFonts w:ascii="Palatino Linotype" w:eastAsia="Palatino Linotype" w:hAnsi="Palatino Linotype" w:cs="Palatino Linotype"/>
          <w:i/>
          <w:sz w:val="22"/>
          <w:szCs w:val="22"/>
        </w:rPr>
        <w:t xml:space="preserve"> </w:t>
      </w:r>
      <w:r w:rsidRPr="00C03B32">
        <w:rPr>
          <w:rFonts w:ascii="Palatino Linotype" w:eastAsia="Palatino Linotype" w:hAnsi="Palatino Linotype" w:cs="Palatino Linotype"/>
          <w:b/>
          <w:i/>
          <w:sz w:val="22"/>
          <w:szCs w:val="22"/>
        </w:rPr>
        <w:t>En la generación, publicación y entrega de información se deberá garantizar que ésta sea accesible,</w:t>
      </w:r>
      <w:r w:rsidRPr="00C03B32">
        <w:rPr>
          <w:rFonts w:ascii="Palatino Linotype" w:eastAsia="Palatino Linotype" w:hAnsi="Palatino Linotype" w:cs="Palatino Linotype"/>
          <w:i/>
          <w:sz w:val="22"/>
          <w:szCs w:val="22"/>
        </w:rPr>
        <w:t xml:space="preserv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Los sujetos obligados buscarán en todo momento que la información generada tenga un lenguaje sencillo para cualquier persona y se procurará, en la medida de lo posible, traducción a lenguas indígenas, principalmente de aquellas con que se cuenta en el Estado de México. “</w:t>
      </w:r>
    </w:p>
    <w:p w:rsidR="00BE727E" w:rsidRPr="00C03B32" w:rsidRDefault="00B301C6">
      <w:pPr>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(Énfasis añadido)</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De manera que para que se pueda tener por cumplida la obligación de transparencia, es necesario que la información entregada sea accesible; es decir, que el particular pueda abrir el archivo y visualizar los datos contenidos en el mismo, situación que no aconteció en el caso que no ocupa.</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En consecuencia con la finalidad de privilegiar el derecho de acceso a la información pública del </w:t>
      </w:r>
      <w:r w:rsidRPr="00C03B32">
        <w:rPr>
          <w:rFonts w:ascii="Palatino Linotype" w:eastAsia="Palatino Linotype" w:hAnsi="Palatino Linotype" w:cs="Palatino Linotype"/>
          <w:b/>
        </w:rPr>
        <w:t xml:space="preserve">RECURRENTE, </w:t>
      </w:r>
      <w:r w:rsidRPr="00C03B32">
        <w:rPr>
          <w:rFonts w:ascii="Palatino Linotype" w:eastAsia="Palatino Linotype" w:hAnsi="Palatino Linotype" w:cs="Palatino Linotype"/>
        </w:rPr>
        <w:t xml:space="preserve">el Pleno de este Instituto, estima que las razones o motivos de inconformidad hechos valer por </w:t>
      </w:r>
      <w:r w:rsidRPr="00C03B32">
        <w:rPr>
          <w:rFonts w:ascii="Palatino Linotype" w:eastAsia="Palatino Linotype" w:hAnsi="Palatino Linotype" w:cs="Palatino Linotype"/>
          <w:b/>
        </w:rPr>
        <w:t>EL RECURRENTE</w:t>
      </w:r>
      <w:r w:rsidRPr="00C03B32">
        <w:rPr>
          <w:rFonts w:ascii="Palatino Linotype" w:eastAsia="Palatino Linotype" w:hAnsi="Palatino Linotype" w:cs="Palatino Linotype"/>
        </w:rPr>
        <w:t xml:space="preserve"> resultan parcialmente f</w:t>
      </w:r>
      <w:r w:rsidRPr="00C03B32">
        <w:rPr>
          <w:rFonts w:ascii="Palatino Linotype" w:eastAsia="Palatino Linotype" w:hAnsi="Palatino Linotype" w:cs="Palatino Linotype"/>
          <w:b/>
        </w:rPr>
        <w:t>undadas</w:t>
      </w:r>
      <w:r w:rsidRPr="00C03B32">
        <w:rPr>
          <w:rFonts w:ascii="Palatino Linotype" w:eastAsia="Palatino Linotype" w:hAnsi="Palatino Linotype" w:cs="Palatino Linotype"/>
        </w:rPr>
        <w:t xml:space="preserve"> y suficientes para </w:t>
      </w:r>
      <w:r w:rsidRPr="00C03B32">
        <w:rPr>
          <w:rFonts w:ascii="Palatino Linotype" w:eastAsia="Palatino Linotype" w:hAnsi="Palatino Linotype" w:cs="Palatino Linotype"/>
          <w:b/>
        </w:rPr>
        <w:t xml:space="preserve">MODIFICAR </w:t>
      </w:r>
      <w:r w:rsidRPr="00C03B32">
        <w:rPr>
          <w:rFonts w:ascii="Palatino Linotype" w:eastAsia="Palatino Linotype" w:hAnsi="Palatino Linotype" w:cs="Palatino Linotype"/>
        </w:rPr>
        <w:t xml:space="preserve"> las respuestas del </w:t>
      </w:r>
      <w:r w:rsidRPr="00C03B32">
        <w:rPr>
          <w:rFonts w:ascii="Palatino Linotype" w:eastAsia="Palatino Linotype" w:hAnsi="Palatino Linotype" w:cs="Palatino Linotype"/>
          <w:b/>
        </w:rPr>
        <w:t xml:space="preserve">SUJETO OBLIGADO </w:t>
      </w:r>
      <w:r w:rsidRPr="00C03B32">
        <w:rPr>
          <w:rFonts w:ascii="Palatino Linotype" w:eastAsia="Palatino Linotype" w:hAnsi="Palatino Linotype" w:cs="Palatino Linotype"/>
        </w:rPr>
        <w:t xml:space="preserve">a las solicitudes de información recaídas en los Recursos de Revisión número </w:t>
      </w:r>
      <w:r w:rsidRPr="00C03B32">
        <w:rPr>
          <w:rFonts w:ascii="Palatino Linotype" w:eastAsia="Palatino Linotype" w:hAnsi="Palatino Linotype" w:cs="Palatino Linotype"/>
          <w:b/>
        </w:rPr>
        <w:t>14782/INFOEM/IP/RR/2022, 14783/INFOEM/IP/RR/2022, 14784/INFOEM/IP/RR/2022 14785/INFOEM/IP/RR/2022 y 14786/INFOEM/IP/RR/2022</w:t>
      </w:r>
      <w:r w:rsidRPr="00C03B32">
        <w:rPr>
          <w:rFonts w:ascii="Palatino Linotype" w:eastAsia="Palatino Linotype" w:hAnsi="Palatino Linotype" w:cs="Palatino Linotype"/>
        </w:rPr>
        <w:t xml:space="preserve"> y ordenar al</w:t>
      </w:r>
      <w:r w:rsidRPr="00C03B32">
        <w:rPr>
          <w:rFonts w:ascii="Palatino Linotype" w:eastAsia="Palatino Linotype" w:hAnsi="Palatino Linotype" w:cs="Palatino Linotype"/>
          <w:b/>
        </w:rPr>
        <w:t xml:space="preserve"> SUJETO OBLIGADO</w:t>
      </w:r>
      <w:r w:rsidRPr="00C03B32">
        <w:rPr>
          <w:rFonts w:ascii="Palatino Linotype" w:eastAsia="Palatino Linotype" w:hAnsi="Palatino Linotype" w:cs="Palatino Linotype"/>
        </w:rPr>
        <w:t xml:space="preserve"> haga entrega de lo siguiente: </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pPr>
        <w:numPr>
          <w:ilvl w:val="0"/>
          <w:numId w:val="3"/>
        </w:num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lastRenderedPageBreak/>
        <w:t xml:space="preserve">El Acuerdo que emita el Comité de Transparencia, donde clasifique como Confidencial la totalidad de los certificados de plano manzanero generados en el periodo transcurrido del 16 al 30 de abril, 1 al 15 de mayo y el mes de junio de dos mil veintidós </w:t>
      </w:r>
    </w:p>
    <w:p w:rsidR="00BE727E" w:rsidRPr="00C03B32" w:rsidRDefault="00B301C6">
      <w:pPr>
        <w:numPr>
          <w:ilvl w:val="0"/>
          <w:numId w:val="3"/>
        </w:num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Los recibos de pago en versión pública generados por concepto de certificación de plano manzanero en el periodo transcurrido del 16 al 30 de abril, 1 al 15 de mayo y el mes de junio de dos mil veintidós </w:t>
      </w:r>
    </w:p>
    <w:p w:rsidR="00BE727E" w:rsidRPr="00C03B32" w:rsidRDefault="00B301C6">
      <w:pPr>
        <w:numPr>
          <w:ilvl w:val="0"/>
          <w:numId w:val="3"/>
        </w:num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El diario de ingresos de ser necesario en versión pública de los meses de abril , mayo y junio de dos mil veintidós</w:t>
      </w:r>
    </w:p>
    <w:p w:rsidR="00BE727E" w:rsidRPr="00C03B32" w:rsidRDefault="00BE727E">
      <w:pPr>
        <w:spacing w:line="360" w:lineRule="auto"/>
        <w:ind w:left="720"/>
        <w:jc w:val="both"/>
        <w:rPr>
          <w:rFonts w:ascii="Palatino Linotype" w:eastAsia="Palatino Linotype" w:hAnsi="Palatino Linotype" w:cs="Palatino Linotype"/>
        </w:rPr>
      </w:pPr>
    </w:p>
    <w:p w:rsidR="00BE727E" w:rsidRPr="00C03B32" w:rsidRDefault="00B301C6">
      <w:pPr>
        <w:spacing w:line="360" w:lineRule="auto"/>
        <w:ind w:right="49"/>
        <w:jc w:val="both"/>
        <w:rPr>
          <w:rFonts w:ascii="Palatino Linotype" w:eastAsia="Palatino Linotype" w:hAnsi="Palatino Linotype" w:cs="Palatino Linotype"/>
        </w:rPr>
      </w:pPr>
      <w:r w:rsidRPr="00C03B32">
        <w:rPr>
          <w:rFonts w:ascii="Palatino Linotype" w:eastAsia="Palatino Linotype" w:hAnsi="Palatino Linotype" w:cs="Palatino Linotype"/>
        </w:rPr>
        <w:t xml:space="preserve">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rsidR="00BE727E" w:rsidRPr="00C03B32" w:rsidRDefault="00BE727E">
      <w:pPr>
        <w:spacing w:line="360" w:lineRule="auto"/>
        <w:jc w:val="both"/>
        <w:rPr>
          <w:rFonts w:ascii="Palatino Linotype" w:eastAsia="Palatino Linotype" w:hAnsi="Palatino Linotype" w:cs="Palatino Linotype"/>
        </w:rPr>
      </w:pPr>
    </w:p>
    <w:p w:rsidR="00BE727E" w:rsidRPr="00C03B32" w:rsidRDefault="00B301C6" w:rsidP="00AB23B6">
      <w:pPr>
        <w:spacing w:line="360" w:lineRule="auto"/>
        <w:jc w:val="center"/>
        <w:rPr>
          <w:rFonts w:ascii="Palatino Linotype" w:eastAsia="Palatino Linotype" w:hAnsi="Palatino Linotype" w:cs="Palatino Linotype"/>
          <w:b/>
          <w:sz w:val="26"/>
          <w:szCs w:val="26"/>
        </w:rPr>
      </w:pPr>
      <w:r w:rsidRPr="00C03B32">
        <w:rPr>
          <w:rFonts w:ascii="Palatino Linotype" w:eastAsia="Palatino Linotype" w:hAnsi="Palatino Linotype" w:cs="Palatino Linotype"/>
          <w:b/>
          <w:sz w:val="26"/>
          <w:szCs w:val="26"/>
        </w:rPr>
        <w:t>RESUELVE</w:t>
      </w:r>
    </w:p>
    <w:p w:rsidR="00BE727E" w:rsidRPr="00C03B32" w:rsidRDefault="00B301C6">
      <w:pPr>
        <w:spacing w:line="360" w:lineRule="auto"/>
        <w:ind w:right="49"/>
        <w:jc w:val="both"/>
        <w:rPr>
          <w:rFonts w:ascii="Palatino Linotype" w:eastAsia="Palatino Linotype" w:hAnsi="Palatino Linotype" w:cs="Palatino Linotype"/>
        </w:rPr>
      </w:pPr>
      <w:r w:rsidRPr="00C03B32">
        <w:rPr>
          <w:rFonts w:ascii="Palatino Linotype" w:eastAsia="Palatino Linotype" w:hAnsi="Palatino Linotype" w:cs="Palatino Linotype"/>
          <w:b/>
        </w:rPr>
        <w:t xml:space="preserve">PRIMERO. </w:t>
      </w:r>
      <w:r w:rsidRPr="00C03B32">
        <w:rPr>
          <w:rFonts w:ascii="Palatino Linotype" w:eastAsia="Palatino Linotype" w:hAnsi="Palatino Linotype" w:cs="Palatino Linotype"/>
        </w:rPr>
        <w:t xml:space="preserve">Resultan </w:t>
      </w:r>
      <w:r w:rsidRPr="00C03B32">
        <w:rPr>
          <w:rFonts w:ascii="Palatino Linotype" w:eastAsia="Palatino Linotype" w:hAnsi="Palatino Linotype" w:cs="Palatino Linotype"/>
          <w:b/>
        </w:rPr>
        <w:t>parcialmente fundados</w:t>
      </w:r>
      <w:r w:rsidRPr="00C03B32">
        <w:rPr>
          <w:rFonts w:ascii="Palatino Linotype" w:eastAsia="Palatino Linotype" w:hAnsi="Palatino Linotype" w:cs="Palatino Linotype"/>
        </w:rPr>
        <w:t xml:space="preserve"> los motivos de inconformidad hechos valer por </w:t>
      </w:r>
      <w:r w:rsidRPr="00C03B32">
        <w:rPr>
          <w:rFonts w:ascii="Palatino Linotype" w:eastAsia="Palatino Linotype" w:hAnsi="Palatino Linotype" w:cs="Palatino Linotype"/>
          <w:b/>
        </w:rPr>
        <w:t>EL RECURRENTE</w:t>
      </w:r>
      <w:r w:rsidRPr="00C03B32">
        <w:rPr>
          <w:rFonts w:ascii="Palatino Linotype" w:eastAsia="Palatino Linotype" w:hAnsi="Palatino Linotype" w:cs="Palatino Linotype"/>
        </w:rPr>
        <w:t xml:space="preserve"> en los Recursos de Revisión  </w:t>
      </w:r>
      <w:r w:rsidRPr="00C03B32">
        <w:rPr>
          <w:rFonts w:ascii="Palatino Linotype" w:eastAsia="Palatino Linotype" w:hAnsi="Palatino Linotype" w:cs="Palatino Linotype"/>
          <w:b/>
        </w:rPr>
        <w:t>14782/INFOEM/IP/RR/2022, 14783/INFOEM/IP/RR/2022, 14784/INFOEM/IP/RR/2022 14785/INFOEM/IP/RR/2022 y 14786/INFOEM/IP/RR/2022</w:t>
      </w:r>
      <w:r w:rsidRPr="00C03B32">
        <w:rPr>
          <w:rFonts w:ascii="Palatino Linotype" w:eastAsia="Palatino Linotype" w:hAnsi="Palatino Linotype" w:cs="Palatino Linotype"/>
        </w:rPr>
        <w:t xml:space="preserve">  en términos del considerando </w:t>
      </w:r>
      <w:r w:rsidRPr="00C03B32">
        <w:rPr>
          <w:rFonts w:ascii="Palatino Linotype" w:eastAsia="Palatino Linotype" w:hAnsi="Palatino Linotype" w:cs="Palatino Linotype"/>
          <w:b/>
        </w:rPr>
        <w:t>SEXTO</w:t>
      </w:r>
      <w:r w:rsidRPr="00C03B32">
        <w:rPr>
          <w:rFonts w:ascii="Palatino Linotype" w:eastAsia="Palatino Linotype" w:hAnsi="Palatino Linotype" w:cs="Palatino Linotype"/>
        </w:rPr>
        <w:t>.</w:t>
      </w:r>
    </w:p>
    <w:p w:rsidR="00BE727E" w:rsidRPr="00C03B32" w:rsidRDefault="00BE727E">
      <w:pPr>
        <w:widowControl w:val="0"/>
        <w:spacing w:line="360" w:lineRule="auto"/>
        <w:jc w:val="both"/>
        <w:rPr>
          <w:rFonts w:ascii="Palatino Linotype" w:eastAsia="Palatino Linotype" w:hAnsi="Palatino Linotype" w:cs="Palatino Linotype"/>
          <w:b/>
        </w:rPr>
      </w:pPr>
    </w:p>
    <w:p w:rsidR="00BE727E" w:rsidRPr="00C03B32" w:rsidRDefault="00B301C6">
      <w:pPr>
        <w:widowControl w:val="0"/>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b/>
        </w:rPr>
        <w:t xml:space="preserve">SEGUNDO. </w:t>
      </w:r>
      <w:r w:rsidRPr="00C03B32">
        <w:rPr>
          <w:rFonts w:ascii="Palatino Linotype" w:eastAsia="Palatino Linotype" w:hAnsi="Palatino Linotype" w:cs="Palatino Linotype"/>
        </w:rPr>
        <w:t xml:space="preserve"> Se </w:t>
      </w:r>
      <w:r w:rsidRPr="00C03B32">
        <w:rPr>
          <w:rFonts w:ascii="Palatino Linotype" w:eastAsia="Palatino Linotype" w:hAnsi="Palatino Linotype" w:cs="Palatino Linotype"/>
          <w:b/>
        </w:rPr>
        <w:t xml:space="preserve">MODIFICAN </w:t>
      </w:r>
      <w:r w:rsidRPr="00C03B32">
        <w:rPr>
          <w:rFonts w:ascii="Palatino Linotype" w:eastAsia="Palatino Linotype" w:hAnsi="Palatino Linotype" w:cs="Palatino Linotype"/>
        </w:rPr>
        <w:t xml:space="preserve">las respuestas emitidas por </w:t>
      </w:r>
      <w:r w:rsidRPr="00C03B32">
        <w:rPr>
          <w:rFonts w:ascii="Palatino Linotype" w:eastAsia="Palatino Linotype" w:hAnsi="Palatino Linotype" w:cs="Palatino Linotype"/>
          <w:b/>
        </w:rPr>
        <w:t>EL</w:t>
      </w:r>
      <w:r w:rsidRPr="00C03B32">
        <w:rPr>
          <w:rFonts w:ascii="Palatino Linotype" w:eastAsia="Palatino Linotype" w:hAnsi="Palatino Linotype" w:cs="Palatino Linotype"/>
        </w:rPr>
        <w:t xml:space="preserve"> </w:t>
      </w:r>
      <w:r w:rsidRPr="00C03B32">
        <w:rPr>
          <w:rFonts w:ascii="Palatino Linotype" w:eastAsia="Palatino Linotype" w:hAnsi="Palatino Linotype" w:cs="Palatino Linotype"/>
          <w:b/>
        </w:rPr>
        <w:t>SUJETO OBLIGADO</w:t>
      </w:r>
      <w:r w:rsidRPr="00C03B32">
        <w:rPr>
          <w:rFonts w:ascii="Palatino Linotype" w:eastAsia="Palatino Linotype" w:hAnsi="Palatino Linotype" w:cs="Palatino Linotype"/>
        </w:rPr>
        <w:t xml:space="preserve"> </w:t>
      </w:r>
      <w:r w:rsidRPr="00C03B32">
        <w:rPr>
          <w:rFonts w:ascii="Palatino Linotype" w:eastAsia="Palatino Linotype" w:hAnsi="Palatino Linotype" w:cs="Palatino Linotype"/>
        </w:rPr>
        <w:lastRenderedPageBreak/>
        <w:t xml:space="preserve">y se ordena que en términos del Considerando </w:t>
      </w:r>
      <w:r w:rsidRPr="00C03B32">
        <w:rPr>
          <w:rFonts w:ascii="Palatino Linotype" w:eastAsia="Palatino Linotype" w:hAnsi="Palatino Linotype" w:cs="Palatino Linotype"/>
          <w:b/>
        </w:rPr>
        <w:t>SEXTO</w:t>
      </w:r>
      <w:r w:rsidRPr="00C03B32">
        <w:rPr>
          <w:rFonts w:ascii="Palatino Linotype" w:eastAsia="Palatino Linotype" w:hAnsi="Palatino Linotype" w:cs="Palatino Linotype"/>
        </w:rPr>
        <w:t xml:space="preserve"> haga entrega al</w:t>
      </w:r>
      <w:r w:rsidRPr="00C03B32">
        <w:rPr>
          <w:rFonts w:ascii="Palatino Linotype" w:eastAsia="Palatino Linotype" w:hAnsi="Palatino Linotype" w:cs="Palatino Linotype"/>
          <w:b/>
        </w:rPr>
        <w:t xml:space="preserve"> RECURRENTE </w:t>
      </w:r>
      <w:r w:rsidRPr="00C03B32">
        <w:rPr>
          <w:rFonts w:ascii="Palatino Linotype" w:eastAsia="Palatino Linotype" w:hAnsi="Palatino Linotype" w:cs="Palatino Linotype"/>
        </w:rPr>
        <w:t xml:space="preserve">mediante el Sistema de Acceso a la Información Mexiquense (SAIMEX), en versión pública de lo siguiente: </w:t>
      </w:r>
    </w:p>
    <w:p w:rsidR="00BE727E" w:rsidRPr="00C03B32" w:rsidRDefault="00BE727E">
      <w:pPr>
        <w:tabs>
          <w:tab w:val="left" w:pos="709"/>
        </w:tabs>
        <w:ind w:left="1440" w:right="899"/>
        <w:jc w:val="both"/>
        <w:rPr>
          <w:rFonts w:ascii="Palatino Linotype" w:eastAsia="Palatino Linotype" w:hAnsi="Palatino Linotype" w:cs="Palatino Linotype"/>
          <w:i/>
          <w:sz w:val="22"/>
          <w:szCs w:val="22"/>
        </w:rPr>
      </w:pPr>
    </w:p>
    <w:p w:rsidR="00BE727E" w:rsidRPr="00C03B32" w:rsidRDefault="00B301C6">
      <w:pPr>
        <w:tabs>
          <w:tab w:val="left" w:pos="709"/>
        </w:tabs>
        <w:ind w:left="850" w:right="899"/>
        <w:jc w:val="both"/>
        <w:rPr>
          <w:rFonts w:ascii="Palatino Linotype" w:eastAsia="Palatino Linotype" w:hAnsi="Palatino Linotype" w:cs="Palatino Linotype"/>
          <w:i/>
          <w:sz w:val="22"/>
          <w:szCs w:val="22"/>
        </w:rPr>
      </w:pPr>
      <w:bookmarkStart w:id="8" w:name="_heading=h.30j0zll" w:colFirst="0" w:colLast="0"/>
      <w:bookmarkEnd w:id="8"/>
      <w:r w:rsidRPr="00C03B32">
        <w:rPr>
          <w:rFonts w:ascii="Palatino Linotype" w:eastAsia="Palatino Linotype" w:hAnsi="Palatino Linotype" w:cs="Palatino Linotype"/>
          <w:i/>
          <w:sz w:val="22"/>
          <w:szCs w:val="22"/>
        </w:rPr>
        <w:t xml:space="preserve">El soporte documental en donde consten los recibos de pago generados por concepto de certificación de plano manzanero en el periodo transcurrido del 16 al 30 de abril, 1 al 15 de mayo y el mes de junio de dos mil veintidós </w:t>
      </w:r>
    </w:p>
    <w:p w:rsidR="00BE727E" w:rsidRPr="00C03B32" w:rsidRDefault="00BE727E">
      <w:pPr>
        <w:tabs>
          <w:tab w:val="left" w:pos="709"/>
        </w:tabs>
        <w:ind w:left="850" w:right="899"/>
        <w:jc w:val="both"/>
        <w:rPr>
          <w:rFonts w:ascii="Palatino Linotype" w:eastAsia="Palatino Linotype" w:hAnsi="Palatino Linotype" w:cs="Palatino Linotype"/>
          <w:i/>
          <w:sz w:val="22"/>
          <w:szCs w:val="22"/>
        </w:rPr>
      </w:pPr>
      <w:bookmarkStart w:id="9" w:name="_heading=h.ucao0xrd1x2" w:colFirst="0" w:colLast="0"/>
      <w:bookmarkEnd w:id="9"/>
    </w:p>
    <w:p w:rsidR="00BE727E" w:rsidRPr="00C03B32" w:rsidRDefault="00B301C6">
      <w:pPr>
        <w:tabs>
          <w:tab w:val="left" w:pos="709"/>
        </w:tabs>
        <w:ind w:left="850" w:right="899"/>
        <w:jc w:val="both"/>
        <w:rPr>
          <w:rFonts w:ascii="Palatino Linotype" w:eastAsia="Palatino Linotype" w:hAnsi="Palatino Linotype" w:cs="Palatino Linotype"/>
          <w:i/>
          <w:sz w:val="22"/>
          <w:szCs w:val="22"/>
        </w:rPr>
      </w:pPr>
      <w:bookmarkStart w:id="10" w:name="_heading=h.tuqefx3apllb" w:colFirst="0" w:colLast="0"/>
      <w:bookmarkEnd w:id="10"/>
      <w:r w:rsidRPr="00C03B32">
        <w:rPr>
          <w:rFonts w:ascii="Palatino Linotype" w:eastAsia="Palatino Linotype" w:hAnsi="Palatino Linotype" w:cs="Palatino Linotype"/>
          <w:i/>
          <w:sz w:val="22"/>
          <w:szCs w:val="22"/>
        </w:rPr>
        <w:t>El diario de ingresos de ser necesario en versión pública de los meses de abril, mayo y junio de dos mil veintidós</w:t>
      </w:r>
    </w:p>
    <w:p w:rsidR="00BE727E" w:rsidRPr="00C03B32" w:rsidRDefault="00BE727E">
      <w:pPr>
        <w:tabs>
          <w:tab w:val="left" w:pos="709"/>
        </w:tabs>
        <w:ind w:left="850" w:right="899"/>
        <w:jc w:val="both"/>
        <w:rPr>
          <w:rFonts w:ascii="Palatino Linotype" w:eastAsia="Palatino Linotype" w:hAnsi="Palatino Linotype" w:cs="Palatino Linotype"/>
          <w:i/>
          <w:sz w:val="22"/>
          <w:szCs w:val="22"/>
        </w:rPr>
      </w:pPr>
    </w:p>
    <w:p w:rsidR="00BE727E" w:rsidRPr="00C03B32" w:rsidRDefault="00B301C6">
      <w:pPr>
        <w:tabs>
          <w:tab w:val="left" w:pos="709"/>
        </w:tabs>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 xml:space="preserve">Debiendo notificar al </w:t>
      </w:r>
      <w:r w:rsidRPr="00C03B32">
        <w:rPr>
          <w:rFonts w:ascii="Palatino Linotype" w:eastAsia="Palatino Linotype" w:hAnsi="Palatino Linotype" w:cs="Palatino Linotype"/>
          <w:b/>
          <w:i/>
          <w:sz w:val="22"/>
          <w:szCs w:val="22"/>
        </w:rPr>
        <w:t>RECURRENTE</w:t>
      </w:r>
      <w:r w:rsidRPr="00C03B32">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rsidR="00BE727E" w:rsidRPr="00C03B32" w:rsidRDefault="00BE727E">
      <w:pPr>
        <w:tabs>
          <w:tab w:val="left" w:pos="709"/>
        </w:tabs>
        <w:ind w:left="850" w:right="899"/>
        <w:jc w:val="both"/>
        <w:rPr>
          <w:rFonts w:ascii="Palatino Linotype" w:eastAsia="Palatino Linotype" w:hAnsi="Palatino Linotype" w:cs="Palatino Linotype"/>
          <w:i/>
          <w:sz w:val="22"/>
          <w:szCs w:val="22"/>
        </w:rPr>
      </w:pPr>
    </w:p>
    <w:p w:rsidR="00BE727E" w:rsidRPr="00C03B32" w:rsidRDefault="00B301C6">
      <w:pPr>
        <w:tabs>
          <w:tab w:val="left" w:pos="709"/>
        </w:tabs>
        <w:ind w:left="850" w:right="899"/>
        <w:jc w:val="both"/>
        <w:rPr>
          <w:rFonts w:ascii="Palatino Linotype" w:eastAsia="Palatino Linotype" w:hAnsi="Palatino Linotype" w:cs="Palatino Linotype"/>
          <w:i/>
          <w:sz w:val="22"/>
          <w:szCs w:val="22"/>
        </w:rPr>
      </w:pPr>
      <w:r w:rsidRPr="00C03B32">
        <w:rPr>
          <w:rFonts w:ascii="Palatino Linotype" w:eastAsia="Palatino Linotype" w:hAnsi="Palatino Linotype" w:cs="Palatino Linotype"/>
          <w:i/>
          <w:sz w:val="22"/>
          <w:szCs w:val="22"/>
        </w:rPr>
        <w:t>El Acuerdo emita el Comité de Transparencia, donde clasifique como Confidencial la totalidad de los certificados de plano manzanero generados en el periodo transcurrido del 16 al 30 de abril, 1 al 15 de mayo y el mes de junio de dos mil veintidós</w:t>
      </w:r>
    </w:p>
    <w:p w:rsidR="00BE727E" w:rsidRPr="00C03B32" w:rsidRDefault="00BE727E">
      <w:pPr>
        <w:tabs>
          <w:tab w:val="left" w:pos="709"/>
        </w:tabs>
        <w:ind w:right="899"/>
        <w:jc w:val="both"/>
        <w:rPr>
          <w:rFonts w:ascii="Palatino Linotype" w:eastAsia="Palatino Linotype" w:hAnsi="Palatino Linotype" w:cs="Palatino Linotype"/>
          <w:i/>
          <w:sz w:val="22"/>
          <w:szCs w:val="22"/>
        </w:rPr>
      </w:pPr>
    </w:p>
    <w:p w:rsidR="00BE727E" w:rsidRPr="00C03B32" w:rsidRDefault="00BE727E">
      <w:pPr>
        <w:tabs>
          <w:tab w:val="left" w:pos="709"/>
        </w:tabs>
        <w:ind w:right="899"/>
        <w:jc w:val="both"/>
        <w:rPr>
          <w:rFonts w:ascii="Palatino Linotype" w:eastAsia="Palatino Linotype" w:hAnsi="Palatino Linotype" w:cs="Palatino Linotype"/>
          <w:b/>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b/>
        </w:rPr>
        <w:t>TERCERO. Notifíquese</w:t>
      </w:r>
      <w:r w:rsidRPr="00C03B32">
        <w:rPr>
          <w:rFonts w:ascii="Palatino Linotype" w:eastAsia="Palatino Linotype" w:hAnsi="Palatino Linotype" w:cs="Palatino Linotype"/>
          <w:b/>
          <w:i/>
        </w:rPr>
        <w:t xml:space="preserve"> </w:t>
      </w:r>
      <w:r w:rsidRPr="00C03B32">
        <w:rPr>
          <w:rFonts w:ascii="Palatino Linotype" w:eastAsia="Palatino Linotype" w:hAnsi="Palatino Linotype" w:cs="Palatino Linotype"/>
        </w:rPr>
        <w:t>al Titular de la Unidad de Transparencia del</w:t>
      </w:r>
      <w:r w:rsidRPr="00C03B32">
        <w:rPr>
          <w:rFonts w:ascii="Palatino Linotype" w:eastAsia="Palatino Linotype" w:hAnsi="Palatino Linotype" w:cs="Palatino Linotype"/>
          <w:b/>
        </w:rPr>
        <w:t xml:space="preserve"> </w:t>
      </w:r>
      <w:r w:rsidRPr="00C03B32">
        <w:rPr>
          <w:rFonts w:ascii="Palatino Linotype" w:eastAsia="Palatino Linotype" w:hAnsi="Palatino Linotype" w:cs="Palatino Linotype"/>
        </w:rPr>
        <w:t>Sujeto Obligado por medio del Sistema de Acceso a la Información Mexiquense (</w:t>
      </w:r>
      <w:r w:rsidRPr="00C03B32">
        <w:rPr>
          <w:rFonts w:ascii="Palatino Linotype" w:eastAsia="Palatino Linotype" w:hAnsi="Palatino Linotype" w:cs="Palatino Linotype"/>
          <w:b/>
        </w:rPr>
        <w:t>SAIMEX),</w:t>
      </w:r>
      <w:r w:rsidRPr="00C03B32">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w:t>
      </w:r>
    </w:p>
    <w:p w:rsidR="00BE727E" w:rsidRPr="00C03B32" w:rsidRDefault="00BE727E">
      <w:pPr>
        <w:spacing w:line="360" w:lineRule="auto"/>
        <w:jc w:val="both"/>
        <w:rPr>
          <w:rFonts w:ascii="Palatino Linotype" w:eastAsia="Palatino Linotype" w:hAnsi="Palatino Linotype" w:cs="Palatino Linotype"/>
          <w:b/>
        </w:rPr>
      </w:pPr>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b/>
        </w:rPr>
        <w:t xml:space="preserve">CUARTO. </w:t>
      </w:r>
      <w:r w:rsidRPr="00C03B3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C03B32">
        <w:rPr>
          <w:rFonts w:ascii="Palatino Linotype" w:eastAsia="Palatino Linotype" w:hAnsi="Palatino Linotype" w:cs="Palatino Linotype"/>
        </w:rPr>
        <w:lastRenderedPageBreak/>
        <w:t>el Sujeto Obligado, de manera fundada y motivada, podrá solicitar una ampliación de plazo para el cumplimiento de la presente resolución.</w:t>
      </w:r>
    </w:p>
    <w:p w:rsidR="00BE727E" w:rsidRPr="00C03B32" w:rsidRDefault="00AB23B6" w:rsidP="00AB23B6">
      <w:pPr>
        <w:tabs>
          <w:tab w:val="left" w:pos="3756"/>
        </w:tabs>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rPr>
        <w:tab/>
      </w:r>
    </w:p>
    <w:p w:rsidR="00BE727E" w:rsidRPr="00C03B32" w:rsidRDefault="00B301C6">
      <w:pPr>
        <w:spacing w:line="360" w:lineRule="auto"/>
        <w:jc w:val="both"/>
        <w:rPr>
          <w:rFonts w:ascii="Palatino Linotype" w:eastAsia="Palatino Linotype" w:hAnsi="Palatino Linotype" w:cs="Palatino Linotype"/>
          <w:b/>
        </w:rPr>
      </w:pPr>
      <w:r w:rsidRPr="00C03B32">
        <w:rPr>
          <w:rFonts w:ascii="Palatino Linotype" w:eastAsia="Palatino Linotype" w:hAnsi="Palatino Linotype" w:cs="Palatino Linotype"/>
          <w:b/>
        </w:rPr>
        <w:t xml:space="preserve">QUINTO. Notifíquese </w:t>
      </w:r>
      <w:r w:rsidRPr="00C03B32">
        <w:rPr>
          <w:rFonts w:ascii="Palatino Linotype" w:eastAsia="Palatino Linotype" w:hAnsi="Palatino Linotype" w:cs="Palatino Linotype"/>
        </w:rPr>
        <w:t>la presente resolución al Recurrente mediante el Sistema de Acceso a la Información Mexiquense (SAIMEX) y hágase de su conocimiento que, de conformidad con lo establecido en el artículo 196 de la Ley de Transparencia y Acceso a la Información Pública del Estado de México y Municipios, y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 podrá promover el Juicio de Amparo en los términos de las leyes aplicables.</w:t>
      </w:r>
    </w:p>
    <w:p w:rsidR="00BE727E" w:rsidRPr="00C03B32" w:rsidRDefault="00BE727E" w:rsidP="00AB23B6">
      <w:pPr>
        <w:widowControl w:val="0"/>
        <w:spacing w:line="276" w:lineRule="auto"/>
        <w:jc w:val="both"/>
        <w:rPr>
          <w:rFonts w:ascii="Palatino Linotype" w:eastAsia="Palatino Linotype" w:hAnsi="Palatino Linotype" w:cs="Palatino Linotype"/>
        </w:rPr>
      </w:pPr>
      <w:bookmarkStart w:id="11" w:name="_GoBack"/>
      <w:bookmarkEnd w:id="11"/>
    </w:p>
    <w:p w:rsidR="00BE727E" w:rsidRPr="00C03B32" w:rsidRDefault="00B301C6">
      <w:pPr>
        <w:spacing w:line="360" w:lineRule="auto"/>
        <w:jc w:val="both"/>
        <w:rPr>
          <w:rFonts w:ascii="Palatino Linotype" w:eastAsia="Palatino Linotype" w:hAnsi="Palatino Linotype" w:cs="Palatino Linotype"/>
        </w:rPr>
      </w:pPr>
      <w:r w:rsidRPr="00C03B3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VEINTINUEVE DE MARZO DE DOS MIL VEINTITRÉS, ANTE EL SECRETARIO TÉCNICO DEL PLENO, ALEXIS TAPIA RAMÍREZ.</w:t>
      </w:r>
    </w:p>
    <w:p w:rsidR="00BE727E" w:rsidRDefault="00B301C6">
      <w:pPr>
        <w:spacing w:line="360" w:lineRule="auto"/>
        <w:jc w:val="both"/>
        <w:rPr>
          <w:rFonts w:ascii="Palatino Linotype" w:eastAsia="Palatino Linotype" w:hAnsi="Palatino Linotype" w:cs="Palatino Linotype"/>
          <w:sz w:val="14"/>
          <w:szCs w:val="14"/>
        </w:rPr>
      </w:pPr>
      <w:r w:rsidRPr="00C03B32">
        <w:rPr>
          <w:rFonts w:ascii="Palatino Linotype" w:eastAsia="Palatino Linotype" w:hAnsi="Palatino Linotype" w:cs="Palatino Linotype"/>
          <w:sz w:val="14"/>
          <w:szCs w:val="14"/>
        </w:rPr>
        <w:t>SCMM/BLA/DEMF/PMRE</w:t>
      </w:r>
    </w:p>
    <w:p w:rsidR="00BE727E" w:rsidRDefault="00B301C6">
      <w:pPr>
        <w:rPr>
          <w:rFonts w:ascii="Palatino Linotype" w:eastAsia="Palatino Linotype" w:hAnsi="Palatino Linotype" w:cs="Palatino Linotype"/>
        </w:rPr>
      </w:pPr>
      <w:r>
        <w:lastRenderedPageBreak/>
        <w:br w:type="page"/>
      </w:r>
    </w:p>
    <w:p w:rsidR="00BE727E" w:rsidRDefault="00BE727E">
      <w:pPr>
        <w:spacing w:line="360" w:lineRule="auto"/>
        <w:jc w:val="both"/>
        <w:rPr>
          <w:rFonts w:ascii="Palatino Linotype" w:eastAsia="Palatino Linotype" w:hAnsi="Palatino Linotype" w:cs="Palatino Linotype"/>
        </w:rPr>
      </w:pPr>
    </w:p>
    <w:p w:rsidR="00BE727E" w:rsidRDefault="00BE727E">
      <w:pPr>
        <w:spacing w:line="360" w:lineRule="auto"/>
        <w:jc w:val="both"/>
        <w:rPr>
          <w:rFonts w:ascii="Palatino Linotype" w:eastAsia="Palatino Linotype" w:hAnsi="Palatino Linotype" w:cs="Palatino Linotype"/>
        </w:rPr>
      </w:pPr>
    </w:p>
    <w:p w:rsidR="00BE727E" w:rsidRDefault="00BE727E">
      <w:pPr>
        <w:spacing w:line="360" w:lineRule="auto"/>
        <w:jc w:val="both"/>
        <w:rPr>
          <w:rFonts w:ascii="Palatino Linotype" w:eastAsia="Palatino Linotype" w:hAnsi="Palatino Linotype" w:cs="Palatino Linotype"/>
        </w:rPr>
      </w:pPr>
    </w:p>
    <w:p w:rsidR="00BE727E" w:rsidRDefault="00BE727E">
      <w:pPr>
        <w:spacing w:line="360" w:lineRule="auto"/>
        <w:jc w:val="both"/>
        <w:rPr>
          <w:rFonts w:ascii="Palatino Linotype" w:eastAsia="Palatino Linotype" w:hAnsi="Palatino Linotype" w:cs="Palatino Linotype"/>
        </w:rPr>
      </w:pPr>
    </w:p>
    <w:p w:rsidR="00BE727E" w:rsidRDefault="00BE727E">
      <w:pPr>
        <w:spacing w:line="360" w:lineRule="auto"/>
        <w:jc w:val="both"/>
        <w:rPr>
          <w:rFonts w:ascii="Palatino Linotype" w:eastAsia="Palatino Linotype" w:hAnsi="Palatino Linotype" w:cs="Palatino Linotype"/>
        </w:rPr>
      </w:pPr>
    </w:p>
    <w:p w:rsidR="00BE727E" w:rsidRDefault="00BE727E">
      <w:pPr>
        <w:spacing w:line="360" w:lineRule="auto"/>
        <w:jc w:val="both"/>
        <w:rPr>
          <w:rFonts w:ascii="Palatino Linotype" w:eastAsia="Palatino Linotype" w:hAnsi="Palatino Linotype" w:cs="Palatino Linotype"/>
        </w:rPr>
      </w:pPr>
    </w:p>
    <w:p w:rsidR="00BE727E" w:rsidRDefault="00BE727E">
      <w:pPr>
        <w:spacing w:line="360" w:lineRule="auto"/>
        <w:jc w:val="both"/>
        <w:rPr>
          <w:rFonts w:ascii="Palatino Linotype" w:eastAsia="Palatino Linotype" w:hAnsi="Palatino Linotype" w:cs="Palatino Linotype"/>
        </w:rPr>
      </w:pPr>
    </w:p>
    <w:p w:rsidR="00BE727E" w:rsidRDefault="00BE727E">
      <w:pPr>
        <w:spacing w:line="360" w:lineRule="auto"/>
        <w:jc w:val="both"/>
        <w:rPr>
          <w:rFonts w:ascii="Palatino Linotype" w:eastAsia="Palatino Linotype" w:hAnsi="Palatino Linotype" w:cs="Palatino Linotype"/>
        </w:rPr>
      </w:pPr>
    </w:p>
    <w:p w:rsidR="00BE727E" w:rsidRDefault="00BE727E">
      <w:pPr>
        <w:spacing w:line="360" w:lineRule="auto"/>
        <w:jc w:val="both"/>
        <w:rPr>
          <w:rFonts w:ascii="Palatino Linotype" w:eastAsia="Palatino Linotype" w:hAnsi="Palatino Linotype" w:cs="Palatino Linotype"/>
        </w:rPr>
      </w:pPr>
    </w:p>
    <w:p w:rsidR="00BE727E" w:rsidRDefault="00BE727E">
      <w:pPr>
        <w:spacing w:line="360" w:lineRule="auto"/>
        <w:jc w:val="both"/>
        <w:rPr>
          <w:rFonts w:ascii="Palatino Linotype" w:eastAsia="Palatino Linotype" w:hAnsi="Palatino Linotype" w:cs="Palatino Linotype"/>
        </w:rPr>
      </w:pPr>
    </w:p>
    <w:p w:rsidR="00BE727E" w:rsidRDefault="00BE727E">
      <w:pPr>
        <w:spacing w:line="360" w:lineRule="auto"/>
        <w:jc w:val="both"/>
        <w:rPr>
          <w:rFonts w:ascii="Palatino Linotype" w:eastAsia="Palatino Linotype" w:hAnsi="Palatino Linotype" w:cs="Palatino Linotype"/>
        </w:rPr>
      </w:pPr>
    </w:p>
    <w:p w:rsidR="00BE727E" w:rsidRDefault="00BE727E">
      <w:pPr>
        <w:spacing w:line="360" w:lineRule="auto"/>
        <w:jc w:val="both"/>
        <w:rPr>
          <w:rFonts w:ascii="Palatino Linotype" w:eastAsia="Palatino Linotype" w:hAnsi="Palatino Linotype" w:cs="Palatino Linotype"/>
        </w:rPr>
      </w:pPr>
    </w:p>
    <w:p w:rsidR="00BE727E" w:rsidRDefault="00BE727E">
      <w:pPr>
        <w:spacing w:line="360" w:lineRule="auto"/>
        <w:jc w:val="both"/>
        <w:rPr>
          <w:rFonts w:ascii="Palatino Linotype" w:eastAsia="Palatino Linotype" w:hAnsi="Palatino Linotype" w:cs="Palatino Linotype"/>
        </w:rPr>
      </w:pPr>
    </w:p>
    <w:p w:rsidR="00BE727E" w:rsidRDefault="00BE727E">
      <w:pPr>
        <w:spacing w:line="360" w:lineRule="auto"/>
        <w:jc w:val="both"/>
        <w:rPr>
          <w:rFonts w:ascii="Palatino Linotype" w:eastAsia="Palatino Linotype" w:hAnsi="Palatino Linotype" w:cs="Palatino Linotype"/>
        </w:rPr>
      </w:pPr>
    </w:p>
    <w:p w:rsidR="00BE727E" w:rsidRDefault="00BE727E">
      <w:pPr>
        <w:spacing w:line="360" w:lineRule="auto"/>
        <w:jc w:val="both"/>
        <w:rPr>
          <w:rFonts w:ascii="Palatino Linotype" w:eastAsia="Palatino Linotype" w:hAnsi="Palatino Linotype" w:cs="Palatino Linotype"/>
        </w:rPr>
      </w:pPr>
    </w:p>
    <w:p w:rsidR="00BE727E" w:rsidRDefault="00BE727E">
      <w:pPr>
        <w:spacing w:line="360" w:lineRule="auto"/>
        <w:jc w:val="both"/>
        <w:rPr>
          <w:rFonts w:ascii="Palatino Linotype" w:eastAsia="Palatino Linotype" w:hAnsi="Palatino Linotype" w:cs="Palatino Linotype"/>
        </w:rPr>
      </w:pPr>
    </w:p>
    <w:p w:rsidR="00BE727E" w:rsidRDefault="00BE727E">
      <w:pPr>
        <w:spacing w:line="360" w:lineRule="auto"/>
        <w:jc w:val="both"/>
        <w:rPr>
          <w:rFonts w:ascii="Palatino Linotype" w:eastAsia="Palatino Linotype" w:hAnsi="Palatino Linotype" w:cs="Palatino Linotype"/>
        </w:rPr>
      </w:pPr>
    </w:p>
    <w:p w:rsidR="00BE727E" w:rsidRDefault="00BE727E">
      <w:pPr>
        <w:spacing w:line="360" w:lineRule="auto"/>
        <w:jc w:val="both"/>
        <w:rPr>
          <w:rFonts w:ascii="Palatino Linotype" w:eastAsia="Palatino Linotype" w:hAnsi="Palatino Linotype" w:cs="Palatino Linotype"/>
        </w:rPr>
      </w:pPr>
    </w:p>
    <w:sectPr w:rsidR="00BE727E">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DD8" w:rsidRDefault="00252DD8">
      <w:r>
        <w:separator/>
      </w:r>
    </w:p>
  </w:endnote>
  <w:endnote w:type="continuationSeparator" w:id="0">
    <w:p w:rsidR="00252DD8" w:rsidRDefault="00252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27E" w:rsidRDefault="00B301C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B23B6">
      <w:rPr>
        <w:rFonts w:ascii="Palatino Linotype" w:eastAsia="Palatino Linotype" w:hAnsi="Palatino Linotype" w:cs="Palatino Linotype"/>
        <w:noProof/>
        <w:color w:val="000000"/>
        <w:sz w:val="22"/>
        <w:szCs w:val="22"/>
      </w:rPr>
      <w:t>57</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B23B6">
      <w:rPr>
        <w:rFonts w:ascii="Palatino Linotype" w:eastAsia="Palatino Linotype" w:hAnsi="Palatino Linotype" w:cs="Palatino Linotype"/>
        <w:noProof/>
        <w:color w:val="000000"/>
        <w:sz w:val="22"/>
        <w:szCs w:val="22"/>
      </w:rPr>
      <w:t>58</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27E" w:rsidRDefault="00B301C6">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B23B6">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B23B6">
      <w:rPr>
        <w:rFonts w:ascii="Palatino Linotype" w:eastAsia="Palatino Linotype" w:hAnsi="Palatino Linotype" w:cs="Palatino Linotype"/>
        <w:noProof/>
        <w:color w:val="000000"/>
        <w:sz w:val="22"/>
        <w:szCs w:val="22"/>
      </w:rPr>
      <w:t>58</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DD8" w:rsidRDefault="00252DD8">
      <w:r>
        <w:separator/>
      </w:r>
    </w:p>
  </w:footnote>
  <w:footnote w:type="continuationSeparator" w:id="0">
    <w:p w:rsidR="00252DD8" w:rsidRDefault="00252DD8">
      <w:r>
        <w:continuationSeparator/>
      </w:r>
    </w:p>
  </w:footnote>
  <w:footnote w:id="1">
    <w:p w:rsidR="00BE727E" w:rsidRDefault="00B301C6">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27E" w:rsidRDefault="00AB23B6">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27E" w:rsidRDefault="00AB23B6">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138.05pt;margin-top:-111.95pt;width:540pt;height:10in;z-index:-251659776;mso-position-horizontal:absolute;mso-position-horizontal-relative:margin;mso-position-vertical:absolute;mso-position-vertical-relative:margin">
          <v:imagedata r:id="rId1" o:title="image1" croptop="-8531f" cropbottom="8531f" cropleft="19205f" cropright="-19205f"/>
          <w10:wrap anchorx="margin" anchory="margin"/>
        </v:shape>
      </w:pict>
    </w:r>
  </w:p>
  <w:tbl>
    <w:tblPr>
      <w:tblStyle w:val="affffffff"/>
      <w:tblW w:w="9534" w:type="dxa"/>
      <w:tblInd w:w="-142" w:type="dxa"/>
      <w:tblLayout w:type="fixed"/>
      <w:tblLook w:val="0400" w:firstRow="0" w:lastRow="0" w:firstColumn="0" w:lastColumn="0" w:noHBand="0" w:noVBand="1"/>
    </w:tblPr>
    <w:tblGrid>
      <w:gridCol w:w="3261"/>
      <w:gridCol w:w="2551"/>
      <w:gridCol w:w="3722"/>
    </w:tblGrid>
    <w:tr w:rsidR="00BE727E">
      <w:tc>
        <w:tcPr>
          <w:tcW w:w="3261" w:type="dxa"/>
          <w:vMerge w:val="restart"/>
        </w:tcPr>
        <w:p w:rsidR="00BE727E" w:rsidRDefault="00B301C6">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extent cx="1692162" cy="852673"/>
                <wp:effectExtent l="0" t="0" r="0" b="0"/>
                <wp:docPr id="1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rsidR="00BE727E" w:rsidRDefault="00B301C6">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rsidR="00BE727E" w:rsidRDefault="00B301C6">
          <w:pPr>
            <w:jc w:val="both"/>
            <w:rPr>
              <w:rFonts w:ascii="Palatino Linotype" w:eastAsia="Palatino Linotype" w:hAnsi="Palatino Linotype" w:cs="Palatino Linotype"/>
              <w:b/>
            </w:rPr>
          </w:pPr>
          <w:r>
            <w:rPr>
              <w:rFonts w:ascii="Palatino Linotype" w:eastAsia="Palatino Linotype" w:hAnsi="Palatino Linotype" w:cs="Palatino Linotype"/>
              <w:b/>
            </w:rPr>
            <w:t>14782/INFOEM/IP/RR/2022 y acumulados</w:t>
          </w:r>
        </w:p>
      </w:tc>
    </w:tr>
    <w:tr w:rsidR="00BE727E">
      <w:tc>
        <w:tcPr>
          <w:tcW w:w="3261" w:type="dxa"/>
          <w:vMerge/>
        </w:tcPr>
        <w:p w:rsidR="00BE727E" w:rsidRDefault="00BE727E">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BE727E" w:rsidRDefault="00B301C6">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rsidR="00BE727E" w:rsidRDefault="00B301C6">
          <w:pPr>
            <w:jc w:val="both"/>
            <w:rPr>
              <w:rFonts w:ascii="Palatino Linotype" w:eastAsia="Palatino Linotype" w:hAnsi="Palatino Linotype" w:cs="Palatino Linotype"/>
              <w:b/>
            </w:rPr>
          </w:pPr>
          <w:r>
            <w:rPr>
              <w:rFonts w:ascii="Palatino Linotype" w:eastAsia="Palatino Linotype" w:hAnsi="Palatino Linotype" w:cs="Palatino Linotype"/>
              <w:b/>
            </w:rPr>
            <w:t>Ayuntamiento de Amecameca</w:t>
          </w:r>
        </w:p>
      </w:tc>
    </w:tr>
    <w:tr w:rsidR="00BE727E">
      <w:trPr>
        <w:trHeight w:val="228"/>
      </w:trPr>
      <w:tc>
        <w:tcPr>
          <w:tcW w:w="3261" w:type="dxa"/>
          <w:vMerge/>
        </w:tcPr>
        <w:p w:rsidR="00BE727E" w:rsidRDefault="00BE727E">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BE727E" w:rsidRDefault="00B301C6">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rsidR="00BE727E" w:rsidRDefault="00B301C6">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rsidR="00BE727E" w:rsidRDefault="00BE727E">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27E" w:rsidRDefault="00AB23B6">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1"/>
          <w10:wrap anchorx="margin" anchory="margin"/>
        </v:shape>
      </w:pict>
    </w:r>
  </w:p>
  <w:tbl>
    <w:tblPr>
      <w:tblStyle w:val="affffffff0"/>
      <w:tblW w:w="9900" w:type="dxa"/>
      <w:tblInd w:w="-833" w:type="dxa"/>
      <w:tblLayout w:type="fixed"/>
      <w:tblLook w:val="0400" w:firstRow="0" w:lastRow="0" w:firstColumn="0" w:lastColumn="0" w:noHBand="0" w:noVBand="1"/>
    </w:tblPr>
    <w:tblGrid>
      <w:gridCol w:w="3805"/>
      <w:gridCol w:w="3000"/>
      <w:gridCol w:w="3095"/>
    </w:tblGrid>
    <w:tr w:rsidR="00BE727E">
      <w:tc>
        <w:tcPr>
          <w:tcW w:w="3805" w:type="dxa"/>
          <w:vMerge w:val="restart"/>
          <w:shd w:val="clear" w:color="auto" w:fill="auto"/>
        </w:tcPr>
        <w:p w:rsidR="00BE727E" w:rsidRDefault="00B301C6">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extent cx="1692162" cy="852673"/>
                <wp:effectExtent l="0" t="0" r="0" b="0"/>
                <wp:docPr id="1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rsidR="00BE727E" w:rsidRDefault="00B301C6">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rsidR="00BE727E" w:rsidRDefault="00B301C6">
          <w:pPr>
            <w:jc w:val="both"/>
            <w:rPr>
              <w:rFonts w:ascii="Palatino Linotype" w:eastAsia="Palatino Linotype" w:hAnsi="Palatino Linotype" w:cs="Palatino Linotype"/>
              <w:b/>
            </w:rPr>
          </w:pPr>
          <w:r>
            <w:rPr>
              <w:rFonts w:ascii="Palatino Linotype" w:eastAsia="Palatino Linotype" w:hAnsi="Palatino Linotype" w:cs="Palatino Linotype"/>
              <w:b/>
            </w:rPr>
            <w:t>14782/INFOEM/IP/RR/2022 y acumulados</w:t>
          </w:r>
        </w:p>
      </w:tc>
    </w:tr>
    <w:tr w:rsidR="00BE727E">
      <w:tc>
        <w:tcPr>
          <w:tcW w:w="3805" w:type="dxa"/>
          <w:vMerge/>
          <w:shd w:val="clear" w:color="auto" w:fill="auto"/>
        </w:tcPr>
        <w:p w:rsidR="00BE727E" w:rsidRDefault="00BE727E">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BE727E" w:rsidRDefault="00B301C6">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rsidR="00BE727E" w:rsidRDefault="00BE727E">
          <w:pPr>
            <w:jc w:val="both"/>
            <w:rPr>
              <w:rFonts w:ascii="Palatino Linotype" w:eastAsia="Palatino Linotype" w:hAnsi="Palatino Linotype" w:cs="Palatino Linotype"/>
              <w:b/>
            </w:rPr>
          </w:pPr>
        </w:p>
      </w:tc>
    </w:tr>
    <w:tr w:rsidR="00BE727E">
      <w:trPr>
        <w:trHeight w:val="228"/>
      </w:trPr>
      <w:tc>
        <w:tcPr>
          <w:tcW w:w="3805" w:type="dxa"/>
          <w:vMerge/>
          <w:shd w:val="clear" w:color="auto" w:fill="auto"/>
        </w:tcPr>
        <w:p w:rsidR="00BE727E" w:rsidRDefault="00BE727E">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BE727E" w:rsidRDefault="00B301C6">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rsidR="00BE727E" w:rsidRDefault="00B301C6">
          <w:pPr>
            <w:jc w:val="both"/>
            <w:rPr>
              <w:rFonts w:ascii="Palatino Linotype" w:eastAsia="Palatino Linotype" w:hAnsi="Palatino Linotype" w:cs="Palatino Linotype"/>
              <w:b/>
            </w:rPr>
          </w:pPr>
          <w:r>
            <w:rPr>
              <w:rFonts w:ascii="Palatino Linotype" w:eastAsia="Palatino Linotype" w:hAnsi="Palatino Linotype" w:cs="Palatino Linotype"/>
              <w:b/>
            </w:rPr>
            <w:t>Ayuntamiento de Amecameca</w:t>
          </w:r>
        </w:p>
      </w:tc>
    </w:tr>
    <w:tr w:rsidR="00BE727E">
      <w:tc>
        <w:tcPr>
          <w:tcW w:w="3805" w:type="dxa"/>
          <w:vMerge/>
          <w:shd w:val="clear" w:color="auto" w:fill="auto"/>
        </w:tcPr>
        <w:p w:rsidR="00BE727E" w:rsidRDefault="00BE727E">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BE727E" w:rsidRDefault="00B301C6">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rsidR="00BE727E" w:rsidRDefault="00B301C6">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rsidR="00BE727E" w:rsidRDefault="00BE727E">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D6317"/>
    <w:multiLevelType w:val="multilevel"/>
    <w:tmpl w:val="5F467CAC"/>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1">
    <w:nsid w:val="23BD4006"/>
    <w:multiLevelType w:val="multilevel"/>
    <w:tmpl w:val="E2185F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ADD0286"/>
    <w:multiLevelType w:val="multilevel"/>
    <w:tmpl w:val="DB88A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74B17933"/>
    <w:multiLevelType w:val="multilevel"/>
    <w:tmpl w:val="B2CA813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27E"/>
    <w:rsid w:val="00252DD8"/>
    <w:rsid w:val="002602E4"/>
    <w:rsid w:val="00607D90"/>
    <w:rsid w:val="00AB23B6"/>
    <w:rsid w:val="00B301C6"/>
    <w:rsid w:val="00BE727E"/>
    <w:rsid w:val="00C03B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CBC9346-1DE0-41A7-98F2-48C7EA3AA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8"/>
    <w:tblPr>
      <w:tblStyleRowBandSize w:val="1"/>
      <w:tblStyleColBandSize w:val="1"/>
      <w:tblCellMar>
        <w:top w:w="100" w:type="dxa"/>
        <w:left w:w="100" w:type="dxa"/>
        <w:bottom w:w="100" w:type="dxa"/>
        <w:right w:w="100" w:type="dxa"/>
      </w:tblCellMar>
    </w:tblPr>
  </w:style>
  <w:style w:type="table" w:customStyle="1" w:styleId="a0">
    <w:basedOn w:val="TableNormalf8"/>
    <w:tblPr>
      <w:tblStyleRowBandSize w:val="1"/>
      <w:tblStyleColBandSize w:val="1"/>
      <w:tblCellMar>
        <w:top w:w="0" w:type="dxa"/>
        <w:left w:w="115" w:type="dxa"/>
        <w:bottom w:w="0" w:type="dxa"/>
        <w:right w:w="115" w:type="dxa"/>
      </w:tblCellMar>
    </w:tblPr>
  </w:style>
  <w:style w:type="table" w:customStyle="1" w:styleId="a1">
    <w:basedOn w:val="TableNormalf8"/>
    <w:tblPr>
      <w:tblStyleRowBandSize w:val="1"/>
      <w:tblStyleColBandSize w:val="1"/>
      <w:tblCellMar>
        <w:top w:w="0" w:type="dxa"/>
        <w:left w:w="115" w:type="dxa"/>
        <w:bottom w:w="0" w:type="dxa"/>
        <w:right w:w="115" w:type="dxa"/>
      </w:tblCellMar>
    </w:tblPr>
  </w:style>
  <w:style w:type="table" w:customStyle="1" w:styleId="a2">
    <w:basedOn w:val="TableNormalf8"/>
    <w:tblPr>
      <w:tblStyleRowBandSize w:val="1"/>
      <w:tblStyleColBandSize w:val="1"/>
      <w:tblCellMar>
        <w:top w:w="0" w:type="dxa"/>
        <w:left w:w="115" w:type="dxa"/>
        <w:bottom w:w="0" w:type="dxa"/>
        <w:right w:w="115" w:type="dxa"/>
      </w:tblCellMar>
    </w:tblPr>
  </w:style>
  <w:style w:type="table" w:customStyle="1" w:styleId="a3">
    <w:basedOn w:val="TableNormalf8"/>
    <w:tblPr>
      <w:tblStyleRowBandSize w:val="1"/>
      <w:tblStyleColBandSize w:val="1"/>
      <w:tblCellMar>
        <w:top w:w="0" w:type="dxa"/>
        <w:left w:w="115" w:type="dxa"/>
        <w:bottom w:w="0" w:type="dxa"/>
        <w:right w:w="115" w:type="dxa"/>
      </w:tblCellMar>
    </w:tblPr>
  </w:style>
  <w:style w:type="table" w:customStyle="1" w:styleId="a4">
    <w:basedOn w:val="TableNormalf8"/>
    <w:tblPr>
      <w:tblStyleRowBandSize w:val="1"/>
      <w:tblStyleColBandSize w:val="1"/>
      <w:tblCellMar>
        <w:top w:w="0" w:type="dxa"/>
        <w:left w:w="115" w:type="dxa"/>
        <w:bottom w:w="0" w:type="dxa"/>
        <w:right w:w="115" w:type="dxa"/>
      </w:tblCellMar>
    </w:tblPr>
  </w:style>
  <w:style w:type="table" w:customStyle="1" w:styleId="a5">
    <w:basedOn w:val="TableNormalf8"/>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6">
    <w:basedOn w:val="TableNormalf8"/>
    <w:tblPr>
      <w:tblStyleRowBandSize w:val="1"/>
      <w:tblStyleColBandSize w:val="1"/>
      <w:tblCellMar>
        <w:top w:w="0" w:type="dxa"/>
        <w:left w:w="115" w:type="dxa"/>
        <w:bottom w:w="0" w:type="dxa"/>
        <w:right w:w="115" w:type="dxa"/>
      </w:tblCellMar>
    </w:tblPr>
  </w:style>
  <w:style w:type="table" w:customStyle="1" w:styleId="a7">
    <w:basedOn w:val="TableNormalf8"/>
    <w:tblPr>
      <w:tblStyleRowBandSize w:val="1"/>
      <w:tblStyleColBandSize w:val="1"/>
      <w:tblCellMar>
        <w:top w:w="0" w:type="dxa"/>
        <w:left w:w="115" w:type="dxa"/>
        <w:bottom w:w="0" w:type="dxa"/>
        <w:right w:w="115" w:type="dxa"/>
      </w:tblCellMar>
    </w:tblPr>
  </w:style>
  <w:style w:type="table" w:customStyle="1" w:styleId="a8">
    <w:basedOn w:val="TableNormalf8"/>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9">
    <w:basedOn w:val="TableNormalf8"/>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a">
    <w:basedOn w:val="TableNormalf5"/>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b">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5"/>
    <w:tblPr>
      <w:tblStyleRowBandSize w:val="1"/>
      <w:tblStyleColBandSize w:val="1"/>
      <w:tblCellMar>
        <w:top w:w="100" w:type="dxa"/>
        <w:left w:w="100" w:type="dxa"/>
        <w:bottom w:w="100" w:type="dxa"/>
        <w:right w:w="100" w:type="dxa"/>
      </w:tblCellMar>
    </w:tblPr>
  </w:style>
  <w:style w:type="table" w:customStyle="1" w:styleId="af4">
    <w:basedOn w:val="TableNormalf5"/>
    <w:tblPr>
      <w:tblStyleRowBandSize w:val="1"/>
      <w:tblStyleColBandSize w:val="1"/>
      <w:tblCellMar>
        <w:top w:w="100" w:type="dxa"/>
        <w:left w:w="100" w:type="dxa"/>
        <w:bottom w:w="100" w:type="dxa"/>
        <w:right w:w="100" w:type="dxa"/>
      </w:tblCellMar>
    </w:tblPr>
  </w:style>
  <w:style w:type="table" w:customStyle="1" w:styleId="af5">
    <w:basedOn w:val="TableNormalf5"/>
    <w:tblPr>
      <w:tblStyleRowBandSize w:val="1"/>
      <w:tblStyleColBandSize w:val="1"/>
      <w:tblCellMar>
        <w:top w:w="100" w:type="dxa"/>
        <w:left w:w="100" w:type="dxa"/>
        <w:bottom w:w="100" w:type="dxa"/>
        <w:right w:w="100" w:type="dxa"/>
      </w:tblCellMar>
    </w:tblPr>
  </w:style>
  <w:style w:type="table" w:customStyle="1" w:styleId="af6">
    <w:basedOn w:val="TableNormalf5"/>
    <w:tblPr>
      <w:tblStyleRowBandSize w:val="1"/>
      <w:tblStyleColBandSize w:val="1"/>
      <w:tblCellMar>
        <w:top w:w="100" w:type="dxa"/>
        <w:left w:w="100" w:type="dxa"/>
        <w:bottom w:w="100" w:type="dxa"/>
        <w:right w:w="100" w:type="dxa"/>
      </w:tblCellMar>
    </w:tblPr>
  </w:style>
  <w:style w:type="table" w:customStyle="1" w:styleId="af7">
    <w:basedOn w:val="TableNormalf5"/>
    <w:tblPr>
      <w:tblStyleRowBandSize w:val="1"/>
      <w:tblStyleColBandSize w:val="1"/>
      <w:tblCellMar>
        <w:top w:w="100" w:type="dxa"/>
        <w:left w:w="100" w:type="dxa"/>
        <w:bottom w:w="100" w:type="dxa"/>
        <w:right w:w="100" w:type="dxa"/>
      </w:tblCellMar>
    </w:tblPr>
  </w:style>
  <w:style w:type="table" w:customStyle="1" w:styleId="af8">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0"/>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fb">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3">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4">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7">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c">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0">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1">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G417/ej67aTFdt7rlLZu8fFpACQ==">AMUW2mUWguuPkbecys7mX+X22ad5heOdtImzcRretM9ifhAIDtiL5SHSdbeGC5z6RCI1xzG0JfrYUir8ZJH2Ow85oC47FWbwxtECjEPhkQkIV2JnIZrTkor++VZEzvAweqvzWBF4X0M54AUvGeY5w04W0Bc68skKWaJQ9Z8fYnM1eqz0LlA9FwpIdBQknhJBFPBOUWozXah1tutmycsbzgkuGzdERrNwCAuUhs2aGz61kPsDOsMvuA17dA61O/WhVzV9I7rFy8hL1WhkKkAUqn20ryeir4ZBwI6HqcrHA9m8dw+EoRPcXtlKxxX4iYkpzUL+Uu0pQB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58</Pages>
  <Words>13524</Words>
  <Characters>74382</Characters>
  <Application>Microsoft Office Word</Application>
  <DocSecurity>0</DocSecurity>
  <Lines>619</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6</cp:revision>
  <cp:lastPrinted>2023-03-31T16:50:00Z</cp:lastPrinted>
  <dcterms:created xsi:type="dcterms:W3CDTF">2023-03-23T18:40:00Z</dcterms:created>
  <dcterms:modified xsi:type="dcterms:W3CDTF">2023-03-31T16:50:00Z</dcterms:modified>
</cp:coreProperties>
</file>