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36730A" w:rsidRDefault="009F09BC" w:rsidP="0046287B">
      <w:pPr>
        <w:tabs>
          <w:tab w:val="left" w:pos="3465"/>
        </w:tabs>
        <w:spacing w:line="360" w:lineRule="auto"/>
        <w:jc w:val="both"/>
        <w:rPr>
          <w:rFonts w:ascii="Palatino Linotype" w:hAnsi="Palatino Linotype"/>
        </w:rPr>
      </w:pPr>
      <w:r w:rsidRPr="0036730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F67B5" w:rsidRPr="0036730A">
        <w:rPr>
          <w:rFonts w:ascii="Palatino Linotype" w:hAnsi="Palatino Linotype"/>
        </w:rPr>
        <w:t>doce</w:t>
      </w:r>
      <w:r w:rsidR="0036730A">
        <w:rPr>
          <w:rFonts w:ascii="Palatino Linotype" w:hAnsi="Palatino Linotype"/>
        </w:rPr>
        <w:t xml:space="preserve"> (12)</w:t>
      </w:r>
      <w:r w:rsidR="00C75EA7" w:rsidRPr="0036730A">
        <w:rPr>
          <w:rFonts w:ascii="Palatino Linotype" w:hAnsi="Palatino Linotype"/>
        </w:rPr>
        <w:t xml:space="preserve"> </w:t>
      </w:r>
      <w:r w:rsidRPr="0036730A">
        <w:rPr>
          <w:rFonts w:ascii="Palatino Linotype" w:hAnsi="Palatino Linotype"/>
        </w:rPr>
        <w:t xml:space="preserve">de </w:t>
      </w:r>
      <w:r w:rsidR="002F52FA" w:rsidRPr="0036730A">
        <w:rPr>
          <w:rFonts w:ascii="Palatino Linotype" w:hAnsi="Palatino Linotype"/>
        </w:rPr>
        <w:t>ju</w:t>
      </w:r>
      <w:r w:rsidR="007B2375" w:rsidRPr="0036730A">
        <w:rPr>
          <w:rFonts w:ascii="Palatino Linotype" w:hAnsi="Palatino Linotype"/>
        </w:rPr>
        <w:t>l</w:t>
      </w:r>
      <w:r w:rsidR="002F52FA" w:rsidRPr="0036730A">
        <w:rPr>
          <w:rFonts w:ascii="Palatino Linotype" w:hAnsi="Palatino Linotype"/>
        </w:rPr>
        <w:t>io</w:t>
      </w:r>
      <w:r w:rsidR="00E61C13" w:rsidRPr="0036730A">
        <w:rPr>
          <w:rFonts w:ascii="Palatino Linotype" w:hAnsi="Palatino Linotype"/>
        </w:rPr>
        <w:t xml:space="preserve"> de dos mil </w:t>
      </w:r>
      <w:r w:rsidR="00DF7F47" w:rsidRPr="0036730A">
        <w:rPr>
          <w:rFonts w:ascii="Palatino Linotype" w:hAnsi="Palatino Linotype"/>
        </w:rPr>
        <w:t>veintitrés</w:t>
      </w:r>
      <w:r w:rsidRPr="0036730A">
        <w:rPr>
          <w:rFonts w:ascii="Palatino Linotype" w:hAnsi="Palatino Linotype"/>
        </w:rPr>
        <w:t>.</w:t>
      </w:r>
    </w:p>
    <w:p w:rsidR="00915E6B" w:rsidRPr="0036730A" w:rsidRDefault="00915E6B" w:rsidP="0046287B">
      <w:pPr>
        <w:tabs>
          <w:tab w:val="left" w:pos="3465"/>
        </w:tabs>
        <w:spacing w:line="360" w:lineRule="auto"/>
        <w:jc w:val="both"/>
        <w:rPr>
          <w:rFonts w:ascii="Palatino Linotype" w:hAnsi="Palatino Linotype"/>
        </w:rPr>
      </w:pPr>
    </w:p>
    <w:p w:rsidR="003F69AE" w:rsidRPr="0036730A" w:rsidRDefault="009F09BC" w:rsidP="0046287B">
      <w:pPr>
        <w:spacing w:line="360" w:lineRule="auto"/>
        <w:jc w:val="both"/>
        <w:rPr>
          <w:rFonts w:ascii="Palatino Linotype" w:hAnsi="Palatino Linotype"/>
        </w:rPr>
      </w:pPr>
      <w:r w:rsidRPr="0036730A">
        <w:rPr>
          <w:rFonts w:ascii="Palatino Linotype" w:hAnsi="Palatino Linotype"/>
          <w:b/>
        </w:rPr>
        <w:t>VISTO</w:t>
      </w:r>
      <w:r w:rsidRPr="0036730A">
        <w:rPr>
          <w:rFonts w:ascii="Palatino Linotype" w:hAnsi="Palatino Linotype"/>
        </w:rPr>
        <w:t xml:space="preserve"> </w:t>
      </w:r>
      <w:r w:rsidR="008A699B" w:rsidRPr="0036730A">
        <w:rPr>
          <w:rFonts w:ascii="Palatino Linotype" w:hAnsi="Palatino Linotype"/>
        </w:rPr>
        <w:t>e</w:t>
      </w:r>
      <w:r w:rsidRPr="0036730A">
        <w:rPr>
          <w:rFonts w:ascii="Palatino Linotype" w:hAnsi="Palatino Linotype"/>
        </w:rPr>
        <w:t xml:space="preserve">l expediente electrónico formado con motivo del recurso de revisión </w:t>
      </w:r>
      <w:bookmarkStart w:id="0" w:name="_GoBack"/>
      <w:bookmarkEnd w:id="0"/>
      <w:r w:rsidR="006F1ABE" w:rsidRPr="0036730A">
        <w:rPr>
          <w:rFonts w:ascii="Palatino Linotype" w:hAnsi="Palatino Linotype"/>
          <w:b/>
        </w:rPr>
        <w:t>01603/INFOEM/IP/RR/2023</w:t>
      </w:r>
      <w:r w:rsidRPr="0036730A">
        <w:rPr>
          <w:rFonts w:ascii="Palatino Linotype" w:hAnsi="Palatino Linotype"/>
        </w:rPr>
        <w:t>,</w:t>
      </w:r>
      <w:r w:rsidRPr="0036730A">
        <w:rPr>
          <w:rFonts w:ascii="Palatino Linotype" w:hAnsi="Palatino Linotype" w:cs="Arial"/>
          <w:b/>
          <w:bCs/>
        </w:rPr>
        <w:t xml:space="preserve"> </w:t>
      </w:r>
      <w:r w:rsidRPr="0036730A">
        <w:rPr>
          <w:rFonts w:ascii="Palatino Linotype" w:hAnsi="Palatino Linotype"/>
        </w:rPr>
        <w:t xml:space="preserve">promovido por </w:t>
      </w:r>
      <w:r w:rsidR="00133F66">
        <w:rPr>
          <w:rFonts w:ascii="Palatino Linotype" w:hAnsi="Palatino Linotype"/>
          <w:b/>
        </w:rPr>
        <w:t xml:space="preserve">XXX </w:t>
      </w:r>
      <w:proofErr w:type="spellStart"/>
      <w:r w:rsidR="00133F66">
        <w:rPr>
          <w:rFonts w:ascii="Palatino Linotype" w:hAnsi="Palatino Linotype"/>
          <w:b/>
        </w:rPr>
        <w:t>XXX</w:t>
      </w:r>
      <w:proofErr w:type="spellEnd"/>
      <w:r w:rsidR="00133F66">
        <w:rPr>
          <w:rFonts w:ascii="Palatino Linotype" w:hAnsi="Palatino Linotype"/>
          <w:b/>
        </w:rPr>
        <w:t xml:space="preserve"> </w:t>
      </w:r>
      <w:proofErr w:type="spellStart"/>
      <w:r w:rsidR="00133F66">
        <w:rPr>
          <w:rFonts w:ascii="Palatino Linotype" w:hAnsi="Palatino Linotype"/>
          <w:b/>
        </w:rPr>
        <w:t>XXX</w:t>
      </w:r>
      <w:proofErr w:type="spellEnd"/>
      <w:r w:rsidRPr="0036730A">
        <w:rPr>
          <w:rFonts w:ascii="Palatino Linotype" w:hAnsi="Palatino Linotype"/>
        </w:rPr>
        <w:t xml:space="preserve">, a quien en lo sucesivo se le identificará como </w:t>
      </w:r>
      <w:r w:rsidR="00C75EA7" w:rsidRPr="0036730A">
        <w:rPr>
          <w:rFonts w:ascii="Palatino Linotype" w:hAnsi="Palatino Linotype"/>
          <w:b/>
        </w:rPr>
        <w:t>EL RECURRENTE</w:t>
      </w:r>
      <w:r w:rsidRPr="0036730A">
        <w:rPr>
          <w:rFonts w:ascii="Palatino Linotype" w:hAnsi="Palatino Linotype" w:cs="Arial"/>
        </w:rPr>
        <w:t xml:space="preserve">, en contra de la respuesta </w:t>
      </w:r>
      <w:r w:rsidR="0036730A">
        <w:rPr>
          <w:rFonts w:ascii="Palatino Linotype" w:hAnsi="Palatino Linotype" w:cs="Arial"/>
        </w:rPr>
        <w:t>de la</w:t>
      </w:r>
      <w:r w:rsidR="00652937" w:rsidRPr="0036730A">
        <w:rPr>
          <w:rFonts w:ascii="Palatino Linotype" w:hAnsi="Palatino Linotype" w:cs="Arial"/>
        </w:rPr>
        <w:t xml:space="preserve"> </w:t>
      </w:r>
      <w:r w:rsidR="006F1ABE" w:rsidRPr="0036730A">
        <w:rPr>
          <w:rFonts w:ascii="Palatino Linotype" w:hAnsi="Palatino Linotype" w:cs="Arial"/>
          <w:b/>
        </w:rPr>
        <w:t>Secretaría de Cultura y Turismo</w:t>
      </w:r>
      <w:r w:rsidRPr="0036730A">
        <w:rPr>
          <w:rFonts w:ascii="Palatino Linotype" w:hAnsi="Palatino Linotype" w:cs="Arial"/>
          <w:b/>
        </w:rPr>
        <w:t>,</w:t>
      </w:r>
      <w:r w:rsidRPr="0036730A">
        <w:rPr>
          <w:rFonts w:ascii="Palatino Linotype" w:hAnsi="Palatino Linotype"/>
          <w:b/>
        </w:rPr>
        <w:t xml:space="preserve"> </w:t>
      </w:r>
      <w:r w:rsidRPr="0036730A">
        <w:rPr>
          <w:rFonts w:ascii="Palatino Linotype" w:hAnsi="Palatino Linotype"/>
        </w:rPr>
        <w:t xml:space="preserve">en </w:t>
      </w:r>
      <w:r w:rsidR="0036730A">
        <w:rPr>
          <w:rFonts w:ascii="Palatino Linotype" w:hAnsi="Palatino Linotype"/>
        </w:rPr>
        <w:t>adelante</w:t>
      </w:r>
      <w:r w:rsidRPr="0036730A">
        <w:rPr>
          <w:rFonts w:ascii="Palatino Linotype" w:hAnsi="Palatino Linotype"/>
        </w:rPr>
        <w:t xml:space="preserve"> el</w:t>
      </w:r>
      <w:r w:rsidRPr="0036730A">
        <w:rPr>
          <w:rFonts w:ascii="Palatino Linotype" w:hAnsi="Palatino Linotype"/>
          <w:b/>
        </w:rPr>
        <w:t xml:space="preserve"> SUJETO OBLIGADO</w:t>
      </w:r>
      <w:r w:rsidRPr="0036730A">
        <w:rPr>
          <w:rFonts w:ascii="Palatino Linotype" w:hAnsi="Palatino Linotype"/>
        </w:rPr>
        <w:t>, se procede a dictar la presente resolución, con base en los siguientes:</w:t>
      </w:r>
    </w:p>
    <w:p w:rsidR="003F69AE" w:rsidRPr="0036730A" w:rsidRDefault="003F69AE" w:rsidP="0046287B">
      <w:pPr>
        <w:spacing w:line="360" w:lineRule="auto"/>
        <w:jc w:val="both"/>
        <w:rPr>
          <w:rFonts w:ascii="Palatino Linotype" w:hAnsi="Palatino Linotype"/>
        </w:rPr>
      </w:pPr>
    </w:p>
    <w:p w:rsidR="009F09BC" w:rsidRPr="0036730A" w:rsidRDefault="009F09BC" w:rsidP="0046287B">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36730A">
        <w:rPr>
          <w:rFonts w:ascii="Palatino Linotype" w:hAnsi="Palatino Linotype"/>
          <w:b/>
          <w:color w:val="000000" w:themeColor="text1"/>
          <w:sz w:val="24"/>
          <w:szCs w:val="24"/>
        </w:rPr>
        <w:t>ANTECEDENTES</w:t>
      </w:r>
      <w:bookmarkEnd w:id="1"/>
      <w:bookmarkEnd w:id="2"/>
      <w:bookmarkEnd w:id="3"/>
    </w:p>
    <w:p w:rsidR="003F69AE" w:rsidRPr="0036730A" w:rsidRDefault="003F69AE" w:rsidP="0046287B">
      <w:pPr>
        <w:spacing w:line="360" w:lineRule="auto"/>
        <w:rPr>
          <w:rFonts w:ascii="Palatino Linotype" w:hAnsi="Palatino Linotype"/>
        </w:rPr>
      </w:pPr>
    </w:p>
    <w:p w:rsidR="009F09BC" w:rsidRPr="0036730A" w:rsidRDefault="009F09BC" w:rsidP="006E2F0C">
      <w:pPr>
        <w:pStyle w:val="Prrafodelista"/>
        <w:numPr>
          <w:ilvl w:val="0"/>
          <w:numId w:val="1"/>
        </w:numPr>
        <w:spacing w:line="360" w:lineRule="auto"/>
        <w:ind w:left="0" w:firstLine="0"/>
        <w:jc w:val="both"/>
        <w:rPr>
          <w:rFonts w:ascii="Palatino Linotype" w:eastAsia="Calibri" w:hAnsi="Palatino Linotype" w:cs="Arial"/>
          <w:lang w:val="es-ES"/>
        </w:rPr>
      </w:pPr>
      <w:r w:rsidRPr="0036730A">
        <w:rPr>
          <w:rFonts w:ascii="Palatino Linotype" w:eastAsia="Calibri" w:hAnsi="Palatino Linotype" w:cs="Arial"/>
          <w:lang w:val="es-ES"/>
        </w:rPr>
        <w:t xml:space="preserve">El día </w:t>
      </w:r>
      <w:r w:rsidR="00EB4E64" w:rsidRPr="0036730A">
        <w:rPr>
          <w:rFonts w:ascii="Palatino Linotype" w:eastAsia="Calibri" w:hAnsi="Palatino Linotype" w:cs="Arial"/>
          <w:lang w:val="es-ES"/>
        </w:rPr>
        <w:t>siete</w:t>
      </w:r>
      <w:r w:rsidR="002F52FA" w:rsidRPr="0036730A">
        <w:rPr>
          <w:rFonts w:ascii="Palatino Linotype" w:eastAsia="Calibri" w:hAnsi="Palatino Linotype" w:cs="Arial"/>
          <w:lang w:val="es-ES"/>
        </w:rPr>
        <w:t xml:space="preserve"> de </w:t>
      </w:r>
      <w:r w:rsidR="00EB4E64" w:rsidRPr="0036730A">
        <w:rPr>
          <w:rFonts w:ascii="Palatino Linotype" w:eastAsia="Calibri" w:hAnsi="Palatino Linotype" w:cs="Arial"/>
          <w:lang w:val="es-ES"/>
        </w:rPr>
        <w:t>febrero de dos mil veintitrés</w:t>
      </w:r>
      <w:r w:rsidRPr="0036730A">
        <w:rPr>
          <w:rFonts w:ascii="Palatino Linotype" w:hAnsi="Palatino Linotype"/>
          <w:b/>
        </w:rPr>
        <w:t xml:space="preserve">, </w:t>
      </w:r>
      <w:r w:rsidRPr="0036730A">
        <w:rPr>
          <w:rFonts w:ascii="Palatino Linotype" w:eastAsia="Calibri" w:hAnsi="Palatino Linotype" w:cs="Arial"/>
          <w:lang w:val="es-ES"/>
        </w:rPr>
        <w:t xml:space="preserve">se presentó ante el </w:t>
      </w:r>
      <w:r w:rsidRPr="0036730A">
        <w:rPr>
          <w:rFonts w:ascii="Palatino Linotype" w:eastAsia="Calibri" w:hAnsi="Palatino Linotype" w:cs="Arial"/>
          <w:b/>
          <w:lang w:val="es-ES"/>
        </w:rPr>
        <w:t>SUJETO OBLIGADO</w:t>
      </w:r>
      <w:r w:rsidRPr="0036730A">
        <w:rPr>
          <w:rFonts w:ascii="Palatino Linotype" w:eastAsia="Calibri" w:hAnsi="Palatino Linotype" w:cs="Arial"/>
        </w:rPr>
        <w:t xml:space="preserve"> vía </w:t>
      </w:r>
      <w:r w:rsidR="008A699B" w:rsidRPr="0036730A">
        <w:rPr>
          <w:rFonts w:ascii="Palatino Linotype" w:eastAsia="Calibri" w:hAnsi="Palatino Linotype" w:cs="Arial"/>
          <w:lang w:val="es-ES"/>
        </w:rPr>
        <w:t>SAIMEX, la solicitud</w:t>
      </w:r>
      <w:r w:rsidRPr="0036730A">
        <w:rPr>
          <w:rFonts w:ascii="Palatino Linotype" w:eastAsia="Calibri" w:hAnsi="Palatino Linotype" w:cs="Arial"/>
          <w:lang w:val="es-ES"/>
        </w:rPr>
        <w:t xml:space="preserve"> de información pública</w:t>
      </w:r>
      <w:r w:rsidR="007B2375" w:rsidRPr="0036730A">
        <w:rPr>
          <w:rFonts w:ascii="Palatino Linotype" w:eastAsia="Calibri" w:hAnsi="Palatino Linotype" w:cs="Arial"/>
          <w:lang w:val="es-ES"/>
        </w:rPr>
        <w:t>s</w:t>
      </w:r>
      <w:r w:rsidR="008A699B" w:rsidRPr="0036730A">
        <w:rPr>
          <w:rFonts w:ascii="Palatino Linotype" w:eastAsia="Calibri" w:hAnsi="Palatino Linotype" w:cs="Arial"/>
          <w:lang w:val="es-ES"/>
        </w:rPr>
        <w:t xml:space="preserve"> registrada</w:t>
      </w:r>
      <w:r w:rsidR="007B2375" w:rsidRPr="0036730A">
        <w:rPr>
          <w:rFonts w:ascii="Palatino Linotype" w:eastAsia="Calibri" w:hAnsi="Palatino Linotype" w:cs="Arial"/>
          <w:lang w:val="es-ES"/>
        </w:rPr>
        <w:t>s</w:t>
      </w:r>
      <w:r w:rsidRPr="0036730A">
        <w:rPr>
          <w:rFonts w:ascii="Palatino Linotype" w:eastAsia="Calibri" w:hAnsi="Palatino Linotype" w:cs="Arial"/>
          <w:lang w:val="es-ES"/>
        </w:rPr>
        <w:t xml:space="preserve"> con </w:t>
      </w:r>
      <w:r w:rsidR="00EB4E64" w:rsidRPr="0036730A">
        <w:rPr>
          <w:rFonts w:ascii="Palatino Linotype" w:eastAsia="Calibri" w:hAnsi="Palatino Linotype" w:cs="Arial"/>
          <w:lang w:val="es-ES"/>
        </w:rPr>
        <w:t>e</w:t>
      </w:r>
      <w:r w:rsidR="008A699B" w:rsidRPr="0036730A">
        <w:rPr>
          <w:rFonts w:ascii="Palatino Linotype" w:eastAsia="Calibri" w:hAnsi="Palatino Linotype" w:cs="Arial"/>
          <w:lang w:val="es-ES"/>
        </w:rPr>
        <w:t xml:space="preserve">l </w:t>
      </w:r>
      <w:r w:rsidRPr="0036730A">
        <w:rPr>
          <w:rFonts w:ascii="Palatino Linotype" w:eastAsia="Calibri" w:hAnsi="Palatino Linotype" w:cs="Arial"/>
          <w:lang w:val="es-ES"/>
        </w:rPr>
        <w:t>número</w:t>
      </w:r>
      <w:r w:rsidRPr="0036730A">
        <w:rPr>
          <w:rFonts w:ascii="Palatino Linotype" w:hAnsi="Palatino Linotype"/>
          <w:b/>
          <w:bCs/>
          <w:color w:val="000000" w:themeColor="text1"/>
        </w:rPr>
        <w:t xml:space="preserve"> </w:t>
      </w:r>
      <w:r w:rsidR="00EB4E64" w:rsidRPr="0036730A">
        <w:rPr>
          <w:rFonts w:ascii="Palatino Linotype" w:hAnsi="Palatino Linotype"/>
          <w:b/>
          <w:bCs/>
          <w:color w:val="000000" w:themeColor="text1"/>
        </w:rPr>
        <w:t>00033/SCTUR/IP/2023</w:t>
      </w:r>
      <w:r w:rsidRPr="0036730A">
        <w:rPr>
          <w:rFonts w:ascii="Palatino Linotype" w:hAnsi="Palatino Linotype"/>
          <w:b/>
          <w:bCs/>
          <w:color w:val="000000" w:themeColor="text1"/>
        </w:rPr>
        <w:t xml:space="preserve">; </w:t>
      </w:r>
      <w:r w:rsidR="0036730A">
        <w:rPr>
          <w:rFonts w:ascii="Palatino Linotype" w:eastAsia="Calibri" w:hAnsi="Palatino Linotype" w:cs="Arial"/>
          <w:lang w:val="es-ES"/>
        </w:rPr>
        <w:t>en la que</w:t>
      </w:r>
      <w:r w:rsidRPr="0036730A">
        <w:rPr>
          <w:rFonts w:ascii="Palatino Linotype" w:eastAsia="Calibri" w:hAnsi="Palatino Linotype" w:cs="Arial"/>
          <w:lang w:val="es-ES"/>
        </w:rPr>
        <w:t xml:space="preserve"> se solicitó la siguiente información:</w:t>
      </w:r>
    </w:p>
    <w:p w:rsidR="00EB4E64" w:rsidRPr="0036730A" w:rsidRDefault="00EB4E64" w:rsidP="00EB4E64">
      <w:pPr>
        <w:pStyle w:val="Prrafodelista"/>
        <w:spacing w:line="360" w:lineRule="auto"/>
        <w:ind w:left="0"/>
        <w:jc w:val="both"/>
        <w:rPr>
          <w:rFonts w:ascii="Palatino Linotype" w:eastAsia="Calibri" w:hAnsi="Palatino Linotype" w:cs="Arial"/>
          <w:lang w:val="es-ES"/>
        </w:rPr>
      </w:pPr>
    </w:p>
    <w:p w:rsidR="00EB4E64" w:rsidRPr="0036730A" w:rsidRDefault="00EB4E64" w:rsidP="00357E3D">
      <w:pPr>
        <w:pStyle w:val="Prrafodelista"/>
        <w:spacing w:line="360" w:lineRule="auto"/>
        <w:ind w:left="426" w:right="474"/>
        <w:jc w:val="both"/>
        <w:rPr>
          <w:rFonts w:ascii="Palatino Linotype" w:eastAsia="Calibri" w:hAnsi="Palatino Linotype" w:cs="Arial"/>
          <w:i/>
          <w:lang w:val="es-ES"/>
        </w:rPr>
      </w:pPr>
      <w:r w:rsidRPr="0036730A">
        <w:rPr>
          <w:rFonts w:ascii="Palatino Linotype" w:eastAsia="Calibri" w:hAnsi="Palatino Linotype" w:cs="Arial"/>
          <w:i/>
          <w:lang w:val="es-ES"/>
        </w:rPr>
        <w:t>“oficios que se emitieron y recibieron, en el área de la Coordinación de Relaciones Públicas y Comunicación Social del primer semestre 2020”</w:t>
      </w:r>
    </w:p>
    <w:p w:rsidR="00EB4E64" w:rsidRPr="0036730A" w:rsidRDefault="00EB4E64" w:rsidP="00EB4E64">
      <w:pPr>
        <w:pStyle w:val="Prrafodelista"/>
        <w:spacing w:line="360" w:lineRule="auto"/>
        <w:ind w:left="0"/>
        <w:jc w:val="both"/>
        <w:rPr>
          <w:rFonts w:ascii="Palatino Linotype" w:eastAsia="Calibri" w:hAnsi="Palatino Linotype" w:cs="Arial"/>
          <w:lang w:val="es-ES"/>
        </w:rPr>
      </w:pPr>
    </w:p>
    <w:p w:rsidR="009F09BC" w:rsidRPr="0036730A" w:rsidRDefault="009F09BC" w:rsidP="006E2F0C">
      <w:pPr>
        <w:pStyle w:val="Prrafodelista"/>
        <w:numPr>
          <w:ilvl w:val="0"/>
          <w:numId w:val="2"/>
        </w:numPr>
        <w:spacing w:line="360" w:lineRule="auto"/>
        <w:ind w:left="709" w:right="34"/>
        <w:jc w:val="both"/>
        <w:rPr>
          <w:rFonts w:ascii="Palatino Linotype" w:hAnsi="Palatino Linotype"/>
        </w:rPr>
      </w:pPr>
      <w:r w:rsidRPr="0036730A">
        <w:rPr>
          <w:rFonts w:ascii="Palatino Linotype" w:eastAsia="Times New Roman" w:hAnsi="Palatino Linotype" w:cs="Arial"/>
          <w:lang w:val="es-ES"/>
        </w:rPr>
        <w:t>Se eligió como modalidad de entrega de la información</w:t>
      </w:r>
      <w:r w:rsidRPr="0036730A">
        <w:rPr>
          <w:rFonts w:ascii="Palatino Linotype" w:hAnsi="Palatino Linotype"/>
        </w:rPr>
        <w:t xml:space="preserve">: A través del </w:t>
      </w:r>
      <w:r w:rsidRPr="0036730A">
        <w:rPr>
          <w:rFonts w:ascii="Palatino Linotype" w:hAnsi="Palatino Linotype"/>
          <w:b/>
        </w:rPr>
        <w:t>SAIMEX</w:t>
      </w:r>
    </w:p>
    <w:p w:rsidR="00BF2769" w:rsidRPr="0036730A" w:rsidRDefault="00BF2769" w:rsidP="0046287B">
      <w:pPr>
        <w:pStyle w:val="Prrafodelista"/>
        <w:tabs>
          <w:tab w:val="left" w:pos="0"/>
        </w:tabs>
        <w:spacing w:line="360" w:lineRule="auto"/>
        <w:ind w:left="0" w:right="51"/>
        <w:jc w:val="center"/>
        <w:rPr>
          <w:rFonts w:ascii="Palatino Linotype" w:hAnsi="Palatino Linotype" w:cs="Arial"/>
          <w:i/>
          <w:color w:val="000000" w:themeColor="text1"/>
        </w:rPr>
      </w:pPr>
    </w:p>
    <w:p w:rsidR="00034978" w:rsidRPr="0036730A" w:rsidRDefault="00EB4E64" w:rsidP="006E2F0C">
      <w:pPr>
        <w:pStyle w:val="Prrafodelista"/>
        <w:numPr>
          <w:ilvl w:val="0"/>
          <w:numId w:val="1"/>
        </w:numPr>
        <w:tabs>
          <w:tab w:val="left" w:pos="0"/>
        </w:tabs>
        <w:spacing w:line="360" w:lineRule="auto"/>
        <w:ind w:left="0" w:right="51" w:firstLine="0"/>
        <w:jc w:val="both"/>
        <w:rPr>
          <w:rFonts w:ascii="Palatino Linotype" w:hAnsi="Palatino Linotype" w:cs="Arial"/>
          <w:i/>
          <w:color w:val="000000" w:themeColor="text1"/>
        </w:rPr>
      </w:pPr>
      <w:r w:rsidRPr="0036730A">
        <w:rPr>
          <w:rFonts w:ascii="Palatino Linotype" w:hAnsi="Palatino Linotype" w:cs="Arial"/>
          <w:color w:val="000000" w:themeColor="text1"/>
        </w:rPr>
        <w:lastRenderedPageBreak/>
        <w:t>El día veintiocho del mismo mes y año</w:t>
      </w:r>
      <w:r w:rsidR="00D05111" w:rsidRPr="0036730A">
        <w:rPr>
          <w:rFonts w:ascii="Palatino Linotype" w:hAnsi="Palatino Linotype" w:cs="Arial"/>
          <w:color w:val="000000" w:themeColor="text1"/>
        </w:rPr>
        <w:t xml:space="preserve"> el </w:t>
      </w:r>
      <w:r w:rsidR="00D05111" w:rsidRPr="0036730A">
        <w:rPr>
          <w:rFonts w:ascii="Palatino Linotype" w:hAnsi="Palatino Linotype" w:cs="Arial"/>
          <w:b/>
          <w:color w:val="000000" w:themeColor="text1"/>
        </w:rPr>
        <w:t>SUJETO OBLIGADO</w:t>
      </w:r>
      <w:r w:rsidR="0036730A">
        <w:rPr>
          <w:rFonts w:ascii="Palatino Linotype" w:hAnsi="Palatino Linotype" w:cs="Arial"/>
          <w:b/>
          <w:color w:val="000000" w:themeColor="text1"/>
        </w:rPr>
        <w:t>,</w:t>
      </w:r>
      <w:r w:rsidR="00D05111" w:rsidRPr="0036730A">
        <w:rPr>
          <w:rFonts w:ascii="Palatino Linotype" w:hAnsi="Palatino Linotype" w:cs="Arial"/>
          <w:color w:val="000000" w:themeColor="text1"/>
        </w:rPr>
        <w:t xml:space="preserve"> </w:t>
      </w:r>
      <w:r w:rsidRPr="0036730A">
        <w:rPr>
          <w:rFonts w:ascii="Palatino Linotype" w:hAnsi="Palatino Linotype" w:cs="Arial"/>
          <w:color w:val="000000" w:themeColor="text1"/>
        </w:rPr>
        <w:t xml:space="preserve">dio respuesta a través del documento denominado </w:t>
      </w:r>
      <w:r w:rsidRPr="0036730A">
        <w:rPr>
          <w:rFonts w:ascii="Palatino Linotype" w:hAnsi="Palatino Linotype" w:cs="Arial"/>
          <w:b/>
          <w:i/>
          <w:color w:val="000000" w:themeColor="text1"/>
        </w:rPr>
        <w:t>6a. Sesion28-02-2023-124656.pdf</w:t>
      </w:r>
      <w:r w:rsidRPr="0036730A">
        <w:rPr>
          <w:rFonts w:ascii="Palatino Linotype" w:hAnsi="Palatino Linotype" w:cs="Arial"/>
          <w:color w:val="000000" w:themeColor="text1"/>
        </w:rPr>
        <w:t>, cuyo contenido medular es el siguiente</w:t>
      </w:r>
      <w:r w:rsidR="00D05111" w:rsidRPr="0036730A">
        <w:rPr>
          <w:rFonts w:ascii="Palatino Linotype" w:hAnsi="Palatino Linotype" w:cs="Arial"/>
          <w:color w:val="000000" w:themeColor="text1"/>
        </w:rPr>
        <w:t>:</w:t>
      </w:r>
    </w:p>
    <w:p w:rsidR="00D05111" w:rsidRPr="0036730A" w:rsidRDefault="00D05111" w:rsidP="0046287B">
      <w:pPr>
        <w:pStyle w:val="Prrafodelista"/>
        <w:tabs>
          <w:tab w:val="left" w:pos="0"/>
        </w:tabs>
        <w:spacing w:line="360" w:lineRule="auto"/>
        <w:ind w:left="0" w:right="51"/>
        <w:jc w:val="both"/>
        <w:rPr>
          <w:rFonts w:ascii="Palatino Linotype" w:hAnsi="Palatino Linotype" w:cs="Arial"/>
          <w:color w:val="000000" w:themeColor="text1"/>
        </w:rPr>
      </w:pPr>
    </w:p>
    <w:p w:rsidR="00D05111" w:rsidRPr="0036730A" w:rsidRDefault="00EB4E64" w:rsidP="0046287B">
      <w:pPr>
        <w:pStyle w:val="Prrafodelista"/>
        <w:tabs>
          <w:tab w:val="left" w:pos="0"/>
        </w:tabs>
        <w:spacing w:line="360" w:lineRule="auto"/>
        <w:ind w:left="0" w:right="51"/>
        <w:jc w:val="both"/>
        <w:rPr>
          <w:rFonts w:ascii="Palatino Linotype" w:hAnsi="Palatino Linotype" w:cs="Arial"/>
          <w:color w:val="000000" w:themeColor="text1"/>
        </w:rPr>
      </w:pPr>
      <w:r w:rsidRPr="0036730A">
        <w:rPr>
          <w:rFonts w:ascii="Palatino Linotype" w:hAnsi="Palatino Linotype" w:cs="Arial"/>
          <w:noProof/>
          <w:color w:val="000000" w:themeColor="text1"/>
          <w:lang w:val="es-MX" w:eastAsia="es-MX"/>
        </w:rPr>
        <w:drawing>
          <wp:inline distT="0" distB="0" distL="0" distR="0" wp14:anchorId="064CC80A" wp14:editId="3093A734">
            <wp:extent cx="5612130" cy="5441315"/>
            <wp:effectExtent l="19050" t="19050" r="26670"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5441315"/>
                    </a:xfrm>
                    <a:prstGeom prst="rect">
                      <a:avLst/>
                    </a:prstGeom>
                    <a:ln>
                      <a:solidFill>
                        <a:schemeClr val="tx1"/>
                      </a:solidFill>
                    </a:ln>
                  </pic:spPr>
                </pic:pic>
              </a:graphicData>
            </a:graphic>
          </wp:inline>
        </w:drawing>
      </w:r>
    </w:p>
    <w:p w:rsidR="00EB4E64" w:rsidRPr="0036730A" w:rsidRDefault="00EB4E64" w:rsidP="00EB4E64">
      <w:pPr>
        <w:pStyle w:val="Prrafodelista"/>
        <w:tabs>
          <w:tab w:val="left" w:pos="0"/>
        </w:tabs>
        <w:spacing w:line="360" w:lineRule="auto"/>
        <w:ind w:left="0" w:right="51"/>
        <w:jc w:val="center"/>
        <w:rPr>
          <w:rFonts w:ascii="Palatino Linotype" w:hAnsi="Palatino Linotype" w:cs="Arial"/>
          <w:color w:val="000000" w:themeColor="text1"/>
        </w:rPr>
      </w:pPr>
      <w:r w:rsidRPr="0036730A">
        <w:rPr>
          <w:rFonts w:ascii="Palatino Linotype" w:hAnsi="Palatino Linotype" w:cs="Arial"/>
          <w:noProof/>
          <w:color w:val="000000" w:themeColor="text1"/>
          <w:lang w:val="es-MX" w:eastAsia="es-MX"/>
        </w:rPr>
        <w:lastRenderedPageBreak/>
        <w:drawing>
          <wp:inline distT="0" distB="0" distL="0" distR="0" wp14:anchorId="22234D2B" wp14:editId="745D2CBD">
            <wp:extent cx="5612130" cy="7221855"/>
            <wp:effectExtent l="19050" t="19050" r="26670"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221855"/>
                    </a:xfrm>
                    <a:prstGeom prst="rect">
                      <a:avLst/>
                    </a:prstGeom>
                    <a:ln>
                      <a:solidFill>
                        <a:schemeClr val="tx1"/>
                      </a:solidFill>
                    </a:ln>
                  </pic:spPr>
                </pic:pic>
              </a:graphicData>
            </a:graphic>
          </wp:inline>
        </w:drawing>
      </w:r>
    </w:p>
    <w:p w:rsidR="00EB4E64" w:rsidRPr="0036730A" w:rsidRDefault="00EB4E64" w:rsidP="00EB4E64">
      <w:pPr>
        <w:pStyle w:val="Prrafodelista"/>
        <w:tabs>
          <w:tab w:val="left" w:pos="0"/>
        </w:tabs>
        <w:spacing w:line="360" w:lineRule="auto"/>
        <w:ind w:left="0" w:right="51"/>
        <w:jc w:val="center"/>
        <w:rPr>
          <w:rFonts w:ascii="Palatino Linotype" w:hAnsi="Palatino Linotype" w:cs="Arial"/>
          <w:color w:val="000000" w:themeColor="text1"/>
        </w:rPr>
      </w:pPr>
      <w:r w:rsidRPr="0036730A">
        <w:rPr>
          <w:rFonts w:ascii="Palatino Linotype" w:hAnsi="Palatino Linotype" w:cs="Arial"/>
          <w:noProof/>
          <w:color w:val="000000" w:themeColor="text1"/>
          <w:lang w:val="es-MX" w:eastAsia="es-MX"/>
        </w:rPr>
        <w:lastRenderedPageBreak/>
        <w:drawing>
          <wp:inline distT="0" distB="0" distL="0" distR="0" wp14:anchorId="7688EB45" wp14:editId="52AA0B45">
            <wp:extent cx="5612130" cy="5971540"/>
            <wp:effectExtent l="19050" t="19050" r="26670" b="101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971540"/>
                    </a:xfrm>
                    <a:prstGeom prst="rect">
                      <a:avLst/>
                    </a:prstGeom>
                    <a:ln>
                      <a:solidFill>
                        <a:schemeClr val="tx1"/>
                      </a:solidFill>
                    </a:ln>
                  </pic:spPr>
                </pic:pic>
              </a:graphicData>
            </a:graphic>
          </wp:inline>
        </w:drawing>
      </w:r>
    </w:p>
    <w:p w:rsidR="00EB4E64" w:rsidRPr="0036730A" w:rsidRDefault="00EB4E64" w:rsidP="00EB4E64">
      <w:pPr>
        <w:pStyle w:val="Prrafodelista"/>
        <w:tabs>
          <w:tab w:val="left" w:pos="0"/>
        </w:tabs>
        <w:spacing w:line="360" w:lineRule="auto"/>
        <w:ind w:left="0" w:right="51"/>
        <w:jc w:val="center"/>
        <w:rPr>
          <w:rFonts w:ascii="Palatino Linotype" w:hAnsi="Palatino Linotype" w:cs="Arial"/>
          <w:color w:val="000000" w:themeColor="text1"/>
        </w:rPr>
      </w:pPr>
      <w:r w:rsidRPr="0036730A">
        <w:rPr>
          <w:rFonts w:ascii="Palatino Linotype" w:hAnsi="Palatino Linotype" w:cs="Arial"/>
          <w:noProof/>
          <w:color w:val="000000" w:themeColor="text1"/>
          <w:lang w:val="es-MX" w:eastAsia="es-MX"/>
        </w:rPr>
        <w:lastRenderedPageBreak/>
        <w:drawing>
          <wp:inline distT="0" distB="0" distL="0" distR="0" wp14:anchorId="47E357BD" wp14:editId="21A60E43">
            <wp:extent cx="5612130" cy="6725920"/>
            <wp:effectExtent l="19050" t="19050" r="26670"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725920"/>
                    </a:xfrm>
                    <a:prstGeom prst="rect">
                      <a:avLst/>
                    </a:prstGeom>
                    <a:ln>
                      <a:solidFill>
                        <a:schemeClr val="tx1"/>
                      </a:solidFill>
                    </a:ln>
                  </pic:spPr>
                </pic:pic>
              </a:graphicData>
            </a:graphic>
          </wp:inline>
        </w:drawing>
      </w:r>
    </w:p>
    <w:p w:rsidR="00EB4E64" w:rsidRPr="0036730A" w:rsidRDefault="00EB4E64" w:rsidP="00EB4E64">
      <w:pPr>
        <w:pStyle w:val="Prrafodelista"/>
        <w:tabs>
          <w:tab w:val="left" w:pos="0"/>
        </w:tabs>
        <w:spacing w:line="360" w:lineRule="auto"/>
        <w:ind w:left="0" w:right="51"/>
        <w:jc w:val="center"/>
        <w:rPr>
          <w:rFonts w:ascii="Palatino Linotype" w:hAnsi="Palatino Linotype" w:cs="Arial"/>
          <w:color w:val="000000" w:themeColor="text1"/>
        </w:rPr>
      </w:pPr>
      <w:r w:rsidRPr="0036730A">
        <w:rPr>
          <w:rFonts w:ascii="Palatino Linotype" w:hAnsi="Palatino Linotype" w:cs="Arial"/>
          <w:noProof/>
          <w:color w:val="000000" w:themeColor="text1"/>
          <w:lang w:val="es-MX" w:eastAsia="es-MX"/>
        </w:rPr>
        <w:lastRenderedPageBreak/>
        <w:drawing>
          <wp:inline distT="0" distB="0" distL="0" distR="0" wp14:anchorId="14903FA5" wp14:editId="2FDDC888">
            <wp:extent cx="5612130" cy="6684645"/>
            <wp:effectExtent l="19050" t="19050" r="26670" b="209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684645"/>
                    </a:xfrm>
                    <a:prstGeom prst="rect">
                      <a:avLst/>
                    </a:prstGeom>
                    <a:ln>
                      <a:solidFill>
                        <a:schemeClr val="tx1"/>
                      </a:solidFill>
                    </a:ln>
                  </pic:spPr>
                </pic:pic>
              </a:graphicData>
            </a:graphic>
          </wp:inline>
        </w:drawing>
      </w:r>
    </w:p>
    <w:p w:rsidR="00EB4E64" w:rsidRPr="0036730A" w:rsidRDefault="00EB4E64" w:rsidP="00EB4E64">
      <w:pPr>
        <w:pStyle w:val="Prrafodelista"/>
        <w:tabs>
          <w:tab w:val="left" w:pos="0"/>
        </w:tabs>
        <w:spacing w:line="360" w:lineRule="auto"/>
        <w:ind w:left="0" w:right="51"/>
        <w:jc w:val="center"/>
        <w:rPr>
          <w:rFonts w:ascii="Palatino Linotype" w:hAnsi="Palatino Linotype" w:cs="Arial"/>
          <w:color w:val="000000" w:themeColor="text1"/>
        </w:rPr>
      </w:pPr>
      <w:r w:rsidRPr="0036730A">
        <w:rPr>
          <w:rFonts w:ascii="Palatino Linotype" w:hAnsi="Palatino Linotype" w:cs="Arial"/>
          <w:noProof/>
          <w:color w:val="000000" w:themeColor="text1"/>
          <w:lang w:val="es-MX" w:eastAsia="es-MX"/>
        </w:rPr>
        <w:lastRenderedPageBreak/>
        <w:drawing>
          <wp:inline distT="0" distB="0" distL="0" distR="0" wp14:anchorId="4183460E" wp14:editId="4FCA7729">
            <wp:extent cx="5612130" cy="3251835"/>
            <wp:effectExtent l="19050" t="19050" r="26670" b="247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251835"/>
                    </a:xfrm>
                    <a:prstGeom prst="rect">
                      <a:avLst/>
                    </a:prstGeom>
                    <a:ln>
                      <a:solidFill>
                        <a:schemeClr val="tx1"/>
                      </a:solidFill>
                    </a:ln>
                  </pic:spPr>
                </pic:pic>
              </a:graphicData>
            </a:graphic>
          </wp:inline>
        </w:drawing>
      </w:r>
    </w:p>
    <w:p w:rsidR="00BF2769" w:rsidRPr="0036730A" w:rsidRDefault="00BF2769" w:rsidP="0046287B">
      <w:pPr>
        <w:pStyle w:val="Prrafodelista"/>
        <w:tabs>
          <w:tab w:val="left" w:pos="0"/>
        </w:tabs>
        <w:spacing w:line="360" w:lineRule="auto"/>
        <w:ind w:left="0" w:right="51"/>
        <w:jc w:val="both"/>
        <w:rPr>
          <w:rFonts w:ascii="Palatino Linotype" w:hAnsi="Palatino Linotype" w:cs="Arial"/>
          <w:color w:val="000000" w:themeColor="text1"/>
        </w:rPr>
      </w:pPr>
    </w:p>
    <w:p w:rsidR="009F09BC" w:rsidRPr="0036730A" w:rsidRDefault="00D4593B" w:rsidP="006E2F0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6730A">
        <w:rPr>
          <w:rFonts w:ascii="Palatino Linotype" w:eastAsia="Times New Roman" w:hAnsi="Palatino Linotype" w:cs="Arial"/>
          <w:color w:val="000000" w:themeColor="text1"/>
          <w:lang w:val="es-ES"/>
        </w:rPr>
        <w:t xml:space="preserve">El </w:t>
      </w:r>
      <w:r w:rsidR="00170980" w:rsidRPr="0036730A">
        <w:rPr>
          <w:rFonts w:ascii="Palatino Linotype" w:eastAsia="Times New Roman" w:hAnsi="Palatino Linotype" w:cs="Arial"/>
          <w:color w:val="000000" w:themeColor="text1"/>
          <w:lang w:val="es-ES"/>
        </w:rPr>
        <w:t xml:space="preserve">veinticuatro </w:t>
      </w:r>
      <w:r w:rsidRPr="0036730A">
        <w:rPr>
          <w:rFonts w:ascii="Palatino Linotype" w:eastAsia="Times New Roman" w:hAnsi="Palatino Linotype" w:cs="Arial"/>
          <w:color w:val="000000" w:themeColor="text1"/>
          <w:lang w:val="es-ES"/>
        </w:rPr>
        <w:t xml:space="preserve">de </w:t>
      </w:r>
      <w:r w:rsidR="00170980" w:rsidRPr="0036730A">
        <w:rPr>
          <w:rFonts w:ascii="Palatino Linotype" w:eastAsia="Times New Roman" w:hAnsi="Palatino Linotype" w:cs="Arial"/>
          <w:color w:val="000000" w:themeColor="text1"/>
          <w:lang w:val="es-ES"/>
        </w:rPr>
        <w:t xml:space="preserve">marzo </w:t>
      </w:r>
      <w:r w:rsidRPr="0036730A">
        <w:rPr>
          <w:rFonts w:ascii="Palatino Linotype" w:eastAsia="Times New Roman" w:hAnsi="Palatino Linotype" w:cs="Arial"/>
          <w:color w:val="000000" w:themeColor="text1"/>
          <w:lang w:val="es-ES"/>
        </w:rPr>
        <w:t>dos mil veintidós</w:t>
      </w:r>
      <w:r w:rsidR="009F09BC" w:rsidRPr="0036730A">
        <w:rPr>
          <w:rFonts w:ascii="Palatino Linotype" w:eastAsia="Times New Roman" w:hAnsi="Palatino Linotype" w:cs="Arial"/>
          <w:color w:val="000000" w:themeColor="text1"/>
          <w:lang w:val="es-ES"/>
        </w:rPr>
        <w:t xml:space="preserve">, el particular interpuso </w:t>
      </w:r>
      <w:r w:rsidR="00170980" w:rsidRPr="0036730A">
        <w:rPr>
          <w:rFonts w:ascii="Palatino Linotype" w:eastAsia="Times New Roman" w:hAnsi="Palatino Linotype" w:cs="Arial"/>
          <w:color w:val="000000" w:themeColor="text1"/>
          <w:lang w:val="es-ES"/>
        </w:rPr>
        <w:t>e</w:t>
      </w:r>
      <w:r w:rsidR="009F09BC" w:rsidRPr="0036730A">
        <w:rPr>
          <w:rFonts w:ascii="Palatino Linotype" w:eastAsia="Times New Roman" w:hAnsi="Palatino Linotype" w:cs="Arial"/>
          <w:color w:val="000000" w:themeColor="text1"/>
          <w:lang w:val="es-ES"/>
        </w:rPr>
        <w:t>l recurso de revisión en contra de la respuesta, manifestando l</w:t>
      </w:r>
      <w:r w:rsidR="002C4997" w:rsidRPr="0036730A">
        <w:rPr>
          <w:rFonts w:ascii="Palatino Linotype" w:eastAsia="Times New Roman" w:hAnsi="Palatino Linotype" w:cs="Arial"/>
          <w:color w:val="000000" w:themeColor="text1"/>
          <w:lang w:val="es-ES"/>
        </w:rPr>
        <w:t>a</w:t>
      </w:r>
      <w:r w:rsidR="009F09BC" w:rsidRPr="0036730A">
        <w:rPr>
          <w:rFonts w:ascii="Palatino Linotype" w:eastAsia="Times New Roman" w:hAnsi="Palatino Linotype" w:cs="Arial"/>
          <w:color w:val="000000" w:themeColor="text1"/>
          <w:lang w:val="es-ES"/>
        </w:rPr>
        <w:t xml:space="preserve">s </w:t>
      </w:r>
      <w:r w:rsidR="002C4997" w:rsidRPr="0036730A">
        <w:rPr>
          <w:rFonts w:ascii="Palatino Linotype" w:eastAsia="Times New Roman" w:hAnsi="Palatino Linotype" w:cs="Arial"/>
          <w:color w:val="000000" w:themeColor="text1"/>
          <w:lang w:val="es-ES"/>
        </w:rPr>
        <w:t>siguientes</w:t>
      </w:r>
      <w:r w:rsidR="009F09BC" w:rsidRPr="0036730A">
        <w:rPr>
          <w:rFonts w:ascii="Palatino Linotype" w:eastAsia="Times New Roman" w:hAnsi="Palatino Linotype" w:cs="Arial"/>
          <w:color w:val="000000" w:themeColor="text1"/>
          <w:lang w:val="es-ES"/>
        </w:rPr>
        <w:t xml:space="preserve"> razones o motivos de inconformidad:</w:t>
      </w:r>
    </w:p>
    <w:p w:rsidR="009F09BC" w:rsidRPr="0036730A" w:rsidRDefault="009F09BC" w:rsidP="0046287B">
      <w:pPr>
        <w:pStyle w:val="Prrafodelista"/>
        <w:tabs>
          <w:tab w:val="left" w:pos="0"/>
        </w:tabs>
        <w:spacing w:line="360" w:lineRule="auto"/>
        <w:ind w:left="0" w:right="49"/>
        <w:jc w:val="both"/>
        <w:rPr>
          <w:rFonts w:ascii="Palatino Linotype" w:hAnsi="Palatino Linotype" w:cs="Arial"/>
          <w:i/>
          <w:color w:val="000000" w:themeColor="text1"/>
        </w:rPr>
      </w:pPr>
    </w:p>
    <w:p w:rsidR="009F09BC" w:rsidRPr="0036730A" w:rsidRDefault="009F09BC" w:rsidP="006E2F0C">
      <w:pPr>
        <w:pStyle w:val="Prrafodelista"/>
        <w:numPr>
          <w:ilvl w:val="0"/>
          <w:numId w:val="2"/>
        </w:numPr>
        <w:spacing w:line="360" w:lineRule="auto"/>
        <w:jc w:val="both"/>
        <w:rPr>
          <w:rStyle w:val="Ttulo2Car"/>
          <w:rFonts w:ascii="Palatino Linotype" w:eastAsiaTheme="minorEastAsia" w:hAnsi="Palatino Linotype" w:cstheme="minorBidi"/>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36730A">
        <w:rPr>
          <w:rStyle w:val="Ttulo2Car"/>
          <w:rFonts w:ascii="Palatino Linotype" w:hAnsi="Palatino Linotype"/>
          <w:b/>
          <w:color w:val="auto"/>
          <w:sz w:val="24"/>
          <w:szCs w:val="24"/>
        </w:rPr>
        <w:t>Acto impugnado</w:t>
      </w:r>
      <w:bookmarkEnd w:id="4"/>
      <w:r w:rsidRPr="0036730A">
        <w:rPr>
          <w:rStyle w:val="Ttulo2Car"/>
          <w:rFonts w:ascii="Palatino Linotype" w:hAnsi="Palatino Linotype"/>
          <w:b/>
          <w:color w:val="000000" w:themeColor="text1"/>
          <w:sz w:val="24"/>
          <w:szCs w:val="24"/>
        </w:rPr>
        <w:t xml:space="preserve">: </w:t>
      </w:r>
      <w:r w:rsidRPr="0036730A">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170980" w:rsidRPr="0036730A">
        <w:rPr>
          <w:rStyle w:val="Ttulo2Car"/>
          <w:rFonts w:ascii="Palatino Linotype" w:hAnsi="Palatino Linotype"/>
          <w:i/>
          <w:color w:val="000000" w:themeColor="text1"/>
          <w:sz w:val="24"/>
          <w:szCs w:val="24"/>
        </w:rPr>
        <w:t>Respuesta que se otorga a conveniencia de la Secretaría de Cultura y Turismo y de área que se solicita la información.</w:t>
      </w:r>
      <w:r w:rsidR="00652937" w:rsidRPr="0036730A">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E46BAB" w:rsidRPr="0036730A" w:rsidRDefault="00E46BAB" w:rsidP="0046287B">
      <w:pPr>
        <w:pStyle w:val="Prrafodelista"/>
        <w:spacing w:line="360" w:lineRule="auto"/>
        <w:ind w:left="1004"/>
        <w:jc w:val="both"/>
        <w:rPr>
          <w:rFonts w:ascii="Palatino Linotype" w:hAnsi="Palatino Linotype"/>
          <w:i/>
          <w:color w:val="000000" w:themeColor="text1"/>
        </w:rPr>
      </w:pPr>
    </w:p>
    <w:p w:rsidR="009F09BC" w:rsidRPr="0036730A" w:rsidRDefault="009F09BC" w:rsidP="006E2F0C">
      <w:pPr>
        <w:pStyle w:val="Prrafodelista"/>
        <w:numPr>
          <w:ilvl w:val="0"/>
          <w:numId w:val="2"/>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36730A">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36730A">
        <w:rPr>
          <w:rFonts w:ascii="Palatino Linotype" w:hAnsi="Palatino Linotype"/>
          <w:b/>
          <w:color w:val="000000" w:themeColor="text1"/>
        </w:rPr>
        <w:t xml:space="preserve"> </w:t>
      </w:r>
      <w:r w:rsidRPr="0036730A">
        <w:rPr>
          <w:rFonts w:ascii="Palatino Linotype" w:hAnsi="Palatino Linotype"/>
          <w:i/>
          <w:color w:val="000000" w:themeColor="text1"/>
        </w:rPr>
        <w:t>“</w:t>
      </w:r>
      <w:r w:rsidR="00170980" w:rsidRPr="0036730A">
        <w:rPr>
          <w:rFonts w:ascii="Palatino Linotype" w:hAnsi="Palatino Linotype"/>
          <w:i/>
          <w:color w:val="000000" w:themeColor="text1"/>
        </w:rPr>
        <w:t xml:space="preserve">Al pedir asesoría con el </w:t>
      </w:r>
      <w:proofErr w:type="spellStart"/>
      <w:r w:rsidR="00170980" w:rsidRPr="0036730A">
        <w:rPr>
          <w:rFonts w:ascii="Palatino Linotype" w:hAnsi="Palatino Linotype"/>
          <w:i/>
          <w:color w:val="000000" w:themeColor="text1"/>
        </w:rPr>
        <w:t>infoem</w:t>
      </w:r>
      <w:proofErr w:type="spellEnd"/>
      <w:r w:rsidR="00170980" w:rsidRPr="0036730A">
        <w:rPr>
          <w:rFonts w:ascii="Palatino Linotype" w:hAnsi="Palatino Linotype"/>
          <w:i/>
          <w:color w:val="000000" w:themeColor="text1"/>
        </w:rPr>
        <w:t xml:space="preserve"> por la respuesta que nos entregan, se </w:t>
      </w:r>
      <w:proofErr w:type="spellStart"/>
      <w:r w:rsidR="00170980" w:rsidRPr="0036730A">
        <w:rPr>
          <w:rFonts w:ascii="Palatino Linotype" w:hAnsi="Palatino Linotype"/>
          <w:i/>
          <w:color w:val="000000" w:themeColor="text1"/>
        </w:rPr>
        <w:t>estan</w:t>
      </w:r>
      <w:proofErr w:type="spellEnd"/>
      <w:r w:rsidR="00170980" w:rsidRPr="0036730A">
        <w:rPr>
          <w:rFonts w:ascii="Palatino Linotype" w:hAnsi="Palatino Linotype"/>
          <w:i/>
          <w:color w:val="000000" w:themeColor="text1"/>
        </w:rPr>
        <w:t xml:space="preserve"> violentando los derechos de acceso a la información, el Comité de Transparencia </w:t>
      </w:r>
      <w:proofErr w:type="spellStart"/>
      <w:r w:rsidR="00170980" w:rsidRPr="0036730A">
        <w:rPr>
          <w:rFonts w:ascii="Palatino Linotype" w:hAnsi="Palatino Linotype"/>
          <w:i/>
          <w:color w:val="000000" w:themeColor="text1"/>
        </w:rPr>
        <w:t>esta</w:t>
      </w:r>
      <w:proofErr w:type="spellEnd"/>
      <w:r w:rsidR="00170980" w:rsidRPr="0036730A">
        <w:rPr>
          <w:rFonts w:ascii="Palatino Linotype" w:hAnsi="Palatino Linotype"/>
          <w:i/>
          <w:color w:val="000000" w:themeColor="text1"/>
        </w:rPr>
        <w:t xml:space="preserve"> protegiendo a un servidor público que no quiere entregar la información. Siendo así que en el acta que presentan, protegen al servidor público para que no entregue su información, de una manera </w:t>
      </w:r>
      <w:r w:rsidR="00170980" w:rsidRPr="0036730A">
        <w:rPr>
          <w:rFonts w:ascii="Palatino Linotype" w:hAnsi="Palatino Linotype"/>
          <w:i/>
          <w:color w:val="000000" w:themeColor="text1"/>
        </w:rPr>
        <w:lastRenderedPageBreak/>
        <w:t xml:space="preserve">en que dicen que se consulte en el lugar pero no mencionan cuánta información es la correspondiente, con la asesoría del </w:t>
      </w:r>
      <w:proofErr w:type="spellStart"/>
      <w:r w:rsidR="00170980" w:rsidRPr="0036730A">
        <w:rPr>
          <w:rFonts w:ascii="Palatino Linotype" w:hAnsi="Palatino Linotype"/>
          <w:i/>
          <w:color w:val="000000" w:themeColor="text1"/>
        </w:rPr>
        <w:t>infoem</w:t>
      </w:r>
      <w:proofErr w:type="spellEnd"/>
      <w:r w:rsidR="00170980" w:rsidRPr="0036730A">
        <w:rPr>
          <w:rFonts w:ascii="Palatino Linotype" w:hAnsi="Palatino Linotype"/>
          <w:i/>
          <w:color w:val="000000" w:themeColor="text1"/>
        </w:rPr>
        <w:t xml:space="preserve"> nos comentaron muy amablemente en el área de informática que su capacidad de sistema es tan amplio para poder otorgar información y al mencionarles la respuesta del acta igual nos dicen que posiblemente no quieren dar la información. Otro punto es que en la ley establece que no se procesa la información y se puede entregar como se disponga en el área, tal es así que ni siquiera se menciona nuevamente cómo se tiene ni cuánta información es. Otro punto es la mención de que no cuentan con la capacidad técnica administrativa, acaso la Secretaría de Cultura y Turismo y más el área de la Coordinación de Relaciones Públicas y Comunicación Social es tan pobre que no tienen para un </w:t>
      </w:r>
      <w:proofErr w:type="spellStart"/>
      <w:r w:rsidR="00170980" w:rsidRPr="0036730A">
        <w:rPr>
          <w:rFonts w:ascii="Palatino Linotype" w:hAnsi="Palatino Linotype"/>
          <w:i/>
          <w:color w:val="000000" w:themeColor="text1"/>
        </w:rPr>
        <w:t>escaner</w:t>
      </w:r>
      <w:proofErr w:type="spellEnd"/>
      <w:r w:rsidR="00170980" w:rsidRPr="0036730A">
        <w:rPr>
          <w:rFonts w:ascii="Palatino Linotype" w:hAnsi="Palatino Linotype"/>
          <w:i/>
          <w:color w:val="000000" w:themeColor="text1"/>
        </w:rPr>
        <w:t xml:space="preserve"> o personal suficiente para escanear?? Espero que el </w:t>
      </w:r>
      <w:proofErr w:type="spellStart"/>
      <w:r w:rsidR="00170980" w:rsidRPr="0036730A">
        <w:rPr>
          <w:rFonts w:ascii="Palatino Linotype" w:hAnsi="Palatino Linotype"/>
          <w:i/>
          <w:color w:val="000000" w:themeColor="text1"/>
        </w:rPr>
        <w:t>Infoem</w:t>
      </w:r>
      <w:proofErr w:type="spellEnd"/>
      <w:r w:rsidR="00170980" w:rsidRPr="0036730A">
        <w:rPr>
          <w:rFonts w:ascii="Palatino Linotype" w:hAnsi="Palatino Linotype"/>
          <w:i/>
          <w:color w:val="000000" w:themeColor="text1"/>
        </w:rPr>
        <w:t xml:space="preserve"> tome cartas en el asunto y obligue a la dependencia a entregar su información y que hagan bien las cosas, estamos cansados de que se protejan a servidores públicos que ganan mucho dinero de nuestros impuestos.</w:t>
      </w:r>
      <w:r w:rsidRPr="0036730A">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3F69AE" w:rsidRPr="0036730A" w:rsidRDefault="003F69AE" w:rsidP="0046287B">
      <w:pPr>
        <w:pStyle w:val="Prrafodelista"/>
        <w:spacing w:line="360" w:lineRule="auto"/>
        <w:rPr>
          <w:rFonts w:ascii="Palatino Linotype" w:hAnsi="Palatino Linotype"/>
          <w:i/>
          <w:color w:val="000000" w:themeColor="text1"/>
        </w:rPr>
      </w:pPr>
    </w:p>
    <w:p w:rsidR="00170980" w:rsidRPr="0036730A" w:rsidRDefault="00170980" w:rsidP="006E2F0C">
      <w:pPr>
        <w:numPr>
          <w:ilvl w:val="0"/>
          <w:numId w:val="1"/>
        </w:numPr>
        <w:spacing w:line="360" w:lineRule="auto"/>
        <w:ind w:left="0" w:firstLine="0"/>
        <w:contextualSpacing/>
        <w:jc w:val="both"/>
        <w:rPr>
          <w:rFonts w:ascii="Palatino Linotype" w:hAnsi="Palatino Linotype"/>
          <w:i/>
        </w:rPr>
      </w:pPr>
      <w:r w:rsidRPr="0036730A">
        <w:rPr>
          <w:rFonts w:ascii="Palatino Linotype" w:hAnsi="Palatino Linotype" w:cs="Arial"/>
          <w:lang w:val="es-ES"/>
        </w:rPr>
        <w:t xml:space="preserve">Se registró el recurso de revisión bajo el número de expediente </w:t>
      </w:r>
      <w:r w:rsidRPr="0036730A">
        <w:rPr>
          <w:rFonts w:ascii="Palatino Linotype" w:hAnsi="Palatino Linotype" w:cs="Arial"/>
          <w:bCs/>
        </w:rPr>
        <w:t xml:space="preserve">al rubro indicado; asimismo con fundamento en lo dispuesto por el </w:t>
      </w:r>
      <w:r w:rsidRPr="0036730A">
        <w:rPr>
          <w:rFonts w:ascii="Palatino Linotype" w:eastAsia="Calibri" w:hAnsi="Palatino Linotype" w:cs="Arial"/>
          <w:lang w:val="es-ES"/>
        </w:rPr>
        <w:t xml:space="preserve">artículo 185 fracción I de la </w:t>
      </w:r>
      <w:r w:rsidRPr="0036730A">
        <w:rPr>
          <w:rFonts w:ascii="Palatino Linotype" w:eastAsia="Calibri" w:hAnsi="Palatino Linotype" w:cs="Arial"/>
          <w:b/>
          <w:lang w:val="es-ES"/>
        </w:rPr>
        <w:t xml:space="preserve">Ley de Transparencia y Acceso a la Información Pública del Estado de México y Municipios </w:t>
      </w:r>
      <w:r w:rsidRPr="0036730A">
        <w:rPr>
          <w:rFonts w:ascii="Palatino Linotype" w:hAnsi="Palatino Linotype" w:cs="Arial"/>
          <w:lang w:val="es-ES"/>
        </w:rPr>
        <w:t xml:space="preserve">se turnó a la </w:t>
      </w:r>
      <w:r w:rsidRPr="0036730A">
        <w:rPr>
          <w:rFonts w:ascii="Palatino Linotype" w:hAnsi="Palatino Linotype" w:cs="Arial"/>
          <w:b/>
          <w:lang w:val="es-ES"/>
        </w:rPr>
        <w:t xml:space="preserve">Comisionada María del Rosario Mejía Ayala, </w:t>
      </w:r>
      <w:r w:rsidR="0036730A">
        <w:rPr>
          <w:rFonts w:ascii="Palatino Linotype" w:hAnsi="Palatino Linotype" w:cs="Arial"/>
          <w:lang w:val="es-ES"/>
        </w:rPr>
        <w:t xml:space="preserve">para </w:t>
      </w:r>
      <w:r w:rsidRPr="0036730A">
        <w:rPr>
          <w:rFonts w:ascii="Palatino Linotype" w:hAnsi="Palatino Linotype" w:cs="Arial"/>
        </w:rPr>
        <w:t>su análisis.</w:t>
      </w:r>
    </w:p>
    <w:p w:rsidR="00170980" w:rsidRPr="0036730A" w:rsidRDefault="00170980" w:rsidP="00170980">
      <w:pPr>
        <w:spacing w:line="360" w:lineRule="auto"/>
        <w:contextualSpacing/>
        <w:rPr>
          <w:rFonts w:ascii="Palatino Linotype" w:hAnsi="Palatino Linotype"/>
          <w:i/>
        </w:rPr>
      </w:pPr>
    </w:p>
    <w:p w:rsidR="00170980" w:rsidRPr="0036730A" w:rsidRDefault="00170980" w:rsidP="006E2F0C">
      <w:pPr>
        <w:numPr>
          <w:ilvl w:val="0"/>
          <w:numId w:val="1"/>
        </w:numPr>
        <w:spacing w:line="360" w:lineRule="auto"/>
        <w:ind w:left="0" w:firstLine="0"/>
        <w:contextualSpacing/>
        <w:jc w:val="both"/>
        <w:rPr>
          <w:rFonts w:ascii="Palatino Linotype" w:hAnsi="Palatino Linotype"/>
          <w:i/>
        </w:rPr>
      </w:pPr>
      <w:r w:rsidRPr="0036730A">
        <w:rPr>
          <w:rFonts w:ascii="Palatino Linotype" w:eastAsia="Calibri" w:hAnsi="Palatino Linotype" w:cs="Arial"/>
          <w:lang w:val="es-ES"/>
        </w:rPr>
        <w:t xml:space="preserve">La </w:t>
      </w:r>
      <w:r w:rsidR="0036730A">
        <w:rPr>
          <w:rFonts w:ascii="Palatino Linotype" w:eastAsia="Calibri" w:hAnsi="Palatino Linotype" w:cs="Arial"/>
          <w:lang w:val="es-ES"/>
        </w:rPr>
        <w:t>comisionada p</w:t>
      </w:r>
      <w:r w:rsidRPr="0036730A">
        <w:rPr>
          <w:rFonts w:ascii="Palatino Linotype" w:eastAsia="Calibri" w:hAnsi="Palatino Linotype" w:cs="Arial"/>
          <w:lang w:val="es-ES"/>
        </w:rPr>
        <w:t xml:space="preserve">onente con fundamento en lo dispuesto por el artículo 185 fracción II de la ley de la materia, a través del Acuerdo de Admisión de fecha </w:t>
      </w:r>
      <w:r w:rsidRPr="0036730A">
        <w:rPr>
          <w:rFonts w:ascii="Palatino Linotype" w:eastAsia="Calibri" w:hAnsi="Palatino Linotype" w:cs="Arial"/>
          <w:b/>
          <w:lang w:val="es-ES"/>
        </w:rPr>
        <w:t>veintisiete de marzo de dos mil veintitrés</w:t>
      </w:r>
      <w:r w:rsidRPr="0036730A">
        <w:rPr>
          <w:rFonts w:ascii="Palatino Linotype" w:eastAsia="Calibri" w:hAnsi="Palatino Linotype" w:cs="Arial"/>
          <w:lang w:val="es-ES"/>
        </w:rPr>
        <w:t xml:space="preserve">, puso a disposición de las partes el </w:t>
      </w:r>
      <w:r w:rsidRPr="0036730A">
        <w:rPr>
          <w:rFonts w:ascii="Palatino Linotype" w:eastAsia="Calibri" w:hAnsi="Palatino Linotype" w:cs="Arial"/>
          <w:lang w:val="es-ES"/>
        </w:rPr>
        <w:lastRenderedPageBreak/>
        <w:t xml:space="preserve">expediente electrónico </w:t>
      </w:r>
      <w:r w:rsidRPr="0036730A">
        <w:rPr>
          <w:rFonts w:ascii="Palatino Linotype" w:eastAsia="Calibri" w:hAnsi="Palatino Linotype" w:cs="Arial"/>
        </w:rPr>
        <w:t xml:space="preserve">vía </w:t>
      </w:r>
      <w:r w:rsidRPr="0036730A">
        <w:rPr>
          <w:rFonts w:ascii="Palatino Linotype" w:eastAsia="Calibri" w:hAnsi="Palatino Linotype" w:cs="Arial"/>
          <w:lang w:val="es-ES"/>
        </w:rPr>
        <w:t>Sistema de Acceso a la Información Mexiquense (</w:t>
      </w:r>
      <w:r w:rsidRPr="0036730A">
        <w:rPr>
          <w:rFonts w:ascii="Palatino Linotype" w:eastAsia="Calibri" w:hAnsi="Palatino Linotype" w:cs="Arial"/>
          <w:b/>
          <w:lang w:val="es-ES"/>
        </w:rPr>
        <w:t>SAIMEX)</w:t>
      </w:r>
      <w:r w:rsidR="0036730A">
        <w:rPr>
          <w:rFonts w:ascii="Palatino Linotype" w:eastAsia="Calibri" w:hAnsi="Palatino Linotype" w:cs="Arial"/>
          <w:b/>
          <w:lang w:val="es-ES"/>
        </w:rPr>
        <w:t>,</w:t>
      </w:r>
      <w:r w:rsidRPr="0036730A">
        <w:rPr>
          <w:rFonts w:ascii="Palatino Linotype" w:eastAsia="Calibri" w:hAnsi="Palatino Linotype" w:cs="Arial"/>
          <w:b/>
          <w:lang w:val="es-ES"/>
        </w:rPr>
        <w:t xml:space="preserve"> </w:t>
      </w:r>
      <w:r w:rsidRPr="0036730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36730A">
        <w:rPr>
          <w:rFonts w:ascii="Palatino Linotype" w:eastAsia="Calibri" w:hAnsi="Palatino Linotype" w:cs="Arial"/>
          <w:b/>
          <w:lang w:val="es-ES"/>
        </w:rPr>
        <w:t>SUJETO OBLIGADO</w:t>
      </w:r>
      <w:r w:rsidR="0036730A">
        <w:rPr>
          <w:rFonts w:ascii="Palatino Linotype" w:eastAsia="Calibri" w:hAnsi="Palatino Linotype" w:cs="Arial"/>
          <w:b/>
          <w:lang w:val="es-ES"/>
        </w:rPr>
        <w:t>,</w:t>
      </w:r>
      <w:r w:rsidRPr="0036730A">
        <w:rPr>
          <w:rFonts w:ascii="Palatino Linotype" w:eastAsia="Calibri" w:hAnsi="Palatino Linotype" w:cs="Arial"/>
          <w:lang w:val="es-ES"/>
        </w:rPr>
        <w:t xml:space="preserve"> presentará el Informe Justificado correspondiente.</w:t>
      </w:r>
    </w:p>
    <w:p w:rsidR="00170980" w:rsidRPr="0036730A" w:rsidRDefault="00170980" w:rsidP="00170980">
      <w:pPr>
        <w:pStyle w:val="Prrafodelista"/>
        <w:spacing w:line="360" w:lineRule="auto"/>
        <w:ind w:left="0"/>
        <w:jc w:val="both"/>
        <w:rPr>
          <w:rFonts w:ascii="Palatino Linotype" w:hAnsi="Palatino Linotype"/>
        </w:rPr>
      </w:pPr>
    </w:p>
    <w:p w:rsidR="006D1970" w:rsidRPr="0036730A" w:rsidRDefault="009F09BC"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color w:val="000000"/>
        </w:rPr>
        <w:t xml:space="preserve">El </w:t>
      </w:r>
      <w:r w:rsidRPr="0036730A">
        <w:rPr>
          <w:rFonts w:ascii="Palatino Linotype" w:hAnsi="Palatino Linotype"/>
          <w:b/>
          <w:color w:val="000000"/>
        </w:rPr>
        <w:t xml:space="preserve">SUJETO </w:t>
      </w:r>
      <w:r w:rsidRPr="0036730A">
        <w:rPr>
          <w:rFonts w:ascii="Palatino Linotype" w:eastAsia="Calibri" w:hAnsi="Palatino Linotype" w:cs="Arial"/>
          <w:b/>
          <w:lang w:val="es-ES"/>
        </w:rPr>
        <w:t>OBLIGADO</w:t>
      </w:r>
      <w:r w:rsidR="0036730A">
        <w:rPr>
          <w:rFonts w:ascii="Palatino Linotype" w:eastAsia="Calibri" w:hAnsi="Palatino Linotype" w:cs="Arial"/>
          <w:b/>
          <w:lang w:val="es-ES"/>
        </w:rPr>
        <w:t>,</w:t>
      </w:r>
      <w:r w:rsidR="007A6A1A" w:rsidRPr="0036730A">
        <w:rPr>
          <w:rFonts w:ascii="Palatino Linotype" w:hAnsi="Palatino Linotype"/>
          <w:color w:val="000000"/>
        </w:rPr>
        <w:t xml:space="preserve"> </w:t>
      </w:r>
      <w:r w:rsidR="006D1970" w:rsidRPr="0036730A">
        <w:rPr>
          <w:rFonts w:ascii="Palatino Linotype" w:hAnsi="Palatino Linotype"/>
          <w:color w:val="000000"/>
        </w:rPr>
        <w:t>el día trece de abril de dos mil veintitrés, rindió su informe justificado, argumentado lo siguiente:</w:t>
      </w:r>
    </w:p>
    <w:p w:rsidR="006D1970" w:rsidRPr="0036730A" w:rsidRDefault="006D1970" w:rsidP="006D1970">
      <w:pPr>
        <w:pStyle w:val="Prrafodelista"/>
        <w:rPr>
          <w:rFonts w:ascii="Palatino Linotype" w:hAnsi="Palatino Linotype"/>
          <w:color w:val="000000"/>
        </w:rPr>
      </w:pPr>
    </w:p>
    <w:p w:rsidR="006D1970" w:rsidRPr="0036730A" w:rsidRDefault="006D1970" w:rsidP="006D1970">
      <w:pPr>
        <w:pStyle w:val="Prrafodelista"/>
        <w:spacing w:line="360" w:lineRule="auto"/>
        <w:ind w:left="0"/>
        <w:jc w:val="center"/>
        <w:rPr>
          <w:rFonts w:ascii="Palatino Linotype" w:hAnsi="Palatino Linotype"/>
        </w:rPr>
      </w:pPr>
      <w:r w:rsidRPr="0036730A">
        <w:rPr>
          <w:rFonts w:ascii="Palatino Linotype" w:hAnsi="Palatino Linotype"/>
          <w:noProof/>
          <w:lang w:val="es-MX" w:eastAsia="es-MX"/>
        </w:rPr>
        <w:drawing>
          <wp:inline distT="0" distB="0" distL="0" distR="0" wp14:anchorId="7C570799" wp14:editId="32F63D50">
            <wp:extent cx="4577715" cy="4800600"/>
            <wp:effectExtent l="19050" t="19050" r="1333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9933" cy="4802926"/>
                    </a:xfrm>
                    <a:prstGeom prst="rect">
                      <a:avLst/>
                    </a:prstGeom>
                    <a:ln>
                      <a:solidFill>
                        <a:schemeClr val="tx1"/>
                      </a:solidFill>
                    </a:ln>
                  </pic:spPr>
                </pic:pic>
              </a:graphicData>
            </a:graphic>
          </wp:inline>
        </w:drawing>
      </w:r>
    </w:p>
    <w:p w:rsidR="009F09BC" w:rsidRPr="0036730A" w:rsidRDefault="006D1970"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color w:val="000000"/>
        </w:rPr>
        <w:lastRenderedPageBreak/>
        <w:t>P</w:t>
      </w:r>
      <w:r w:rsidR="009F09BC" w:rsidRPr="0036730A">
        <w:rPr>
          <w:rFonts w:ascii="Palatino Linotype" w:hAnsi="Palatino Linotype"/>
          <w:color w:val="000000"/>
        </w:rPr>
        <w:t xml:space="preserve">or su </w:t>
      </w:r>
      <w:r w:rsidR="009F09BC" w:rsidRPr="0036730A">
        <w:rPr>
          <w:rFonts w:ascii="Palatino Linotype" w:eastAsia="Calibri" w:hAnsi="Palatino Linotype" w:cs="Arial"/>
          <w:lang w:val="es-ES"/>
        </w:rPr>
        <w:t>parte</w:t>
      </w:r>
      <w:r w:rsidR="009F09BC" w:rsidRPr="0036730A">
        <w:rPr>
          <w:rFonts w:ascii="Palatino Linotype" w:hAnsi="Palatino Linotype"/>
          <w:color w:val="000000"/>
        </w:rPr>
        <w:t xml:space="preserve"> </w:t>
      </w:r>
      <w:r w:rsidR="00FD6CAD" w:rsidRPr="0036730A">
        <w:rPr>
          <w:rFonts w:ascii="Palatino Linotype" w:hAnsi="Palatino Linotype"/>
          <w:b/>
          <w:color w:val="000000"/>
        </w:rPr>
        <w:t>EL PARTICULAR</w:t>
      </w:r>
      <w:r w:rsidR="009F09BC" w:rsidRPr="0036730A">
        <w:rPr>
          <w:rFonts w:ascii="Palatino Linotype" w:hAnsi="Palatino Linotype"/>
          <w:b/>
          <w:color w:val="000000"/>
        </w:rPr>
        <w:t xml:space="preserve"> </w:t>
      </w:r>
      <w:r w:rsidR="00A305ED" w:rsidRPr="0036730A">
        <w:rPr>
          <w:rFonts w:ascii="Palatino Linotype" w:hAnsi="Palatino Linotype"/>
          <w:color w:val="000000"/>
        </w:rPr>
        <w:t>dejó de realizar manifestaciones que a su derecho conviniera y asistiera</w:t>
      </w:r>
      <w:r w:rsidR="009F09BC" w:rsidRPr="0036730A">
        <w:rPr>
          <w:rFonts w:ascii="Palatino Linotype" w:hAnsi="Palatino Linotype"/>
          <w:color w:val="000000"/>
        </w:rPr>
        <w:t>.</w:t>
      </w:r>
    </w:p>
    <w:p w:rsidR="00ED6E75" w:rsidRPr="0036730A" w:rsidRDefault="00ED6E75" w:rsidP="0046287B">
      <w:pPr>
        <w:pStyle w:val="Prrafodelista"/>
        <w:spacing w:line="360" w:lineRule="auto"/>
        <w:ind w:left="0"/>
        <w:jc w:val="both"/>
        <w:rPr>
          <w:rFonts w:ascii="Palatino Linotype" w:hAnsi="Palatino Linotype"/>
        </w:rPr>
      </w:pPr>
    </w:p>
    <w:p w:rsidR="00BF4D5B" w:rsidRPr="0036730A" w:rsidRDefault="00482245" w:rsidP="006E2F0C">
      <w:pPr>
        <w:pStyle w:val="Prrafodelista"/>
        <w:numPr>
          <w:ilvl w:val="0"/>
          <w:numId w:val="1"/>
        </w:numPr>
        <w:spacing w:line="360" w:lineRule="auto"/>
        <w:ind w:left="0" w:firstLine="0"/>
        <w:jc w:val="both"/>
        <w:rPr>
          <w:rFonts w:ascii="Palatino Linotype" w:hAnsi="Palatino Linotype"/>
          <w:b/>
          <w:color w:val="000000" w:themeColor="text1"/>
        </w:rPr>
      </w:pPr>
      <w:r w:rsidRPr="0036730A">
        <w:rPr>
          <w:rFonts w:ascii="Palatino Linotype" w:hAnsi="Palatino Linotype"/>
          <w:color w:val="000000"/>
        </w:rPr>
        <w:t>Mediante</w:t>
      </w:r>
      <w:r w:rsidRPr="0036730A">
        <w:rPr>
          <w:rFonts w:ascii="Palatino Linotype" w:hAnsi="Palatino Linotype"/>
        </w:rPr>
        <w:t xml:space="preserve"> acuerdo de fecha </w:t>
      </w:r>
      <w:r w:rsidR="006D1970" w:rsidRPr="0036730A">
        <w:rPr>
          <w:rFonts w:ascii="Palatino Linotype" w:hAnsi="Palatino Linotype"/>
        </w:rPr>
        <w:t>veintiséis</w:t>
      </w:r>
      <w:r w:rsidRPr="0036730A">
        <w:rPr>
          <w:rFonts w:ascii="Palatino Linotype" w:hAnsi="Palatino Linotype"/>
        </w:rPr>
        <w:t xml:space="preserve"> de </w:t>
      </w:r>
      <w:r w:rsidR="006D1970" w:rsidRPr="0036730A">
        <w:rPr>
          <w:rFonts w:ascii="Palatino Linotype" w:hAnsi="Palatino Linotype"/>
        </w:rPr>
        <w:t>mayo de dos mil veintitrés</w:t>
      </w:r>
      <w:r w:rsidRPr="0036730A">
        <w:rPr>
          <w:rFonts w:ascii="Palatino Linotype" w:hAnsi="Palatino Linotype"/>
        </w:rPr>
        <w:t xml:space="preserve"> se amplió el </w:t>
      </w:r>
      <w:r w:rsidR="00BF4D5B" w:rsidRPr="0036730A">
        <w:rPr>
          <w:rFonts w:ascii="Palatino Linotype" w:hAnsi="Palatino Linotype"/>
        </w:rPr>
        <w:t>término</w:t>
      </w:r>
      <w:r w:rsidRPr="0036730A">
        <w:rPr>
          <w:rFonts w:ascii="Palatino Linotype" w:hAnsi="Palatino Linotype"/>
        </w:rPr>
        <w:t xml:space="preserve"> para resolver;</w:t>
      </w:r>
      <w:r w:rsidR="00BF4D5B" w:rsidRPr="0036730A">
        <w:rPr>
          <w:rFonts w:ascii="Palatino Linotype" w:hAnsi="Palatino Linotype"/>
        </w:rPr>
        <w:t xml:space="preserve"> al respecto es menester realizar las siguientes precisiones.</w:t>
      </w:r>
    </w:p>
    <w:p w:rsidR="00BF4D5B" w:rsidRPr="0036730A" w:rsidRDefault="00BF4D5B" w:rsidP="00BF4D5B">
      <w:pPr>
        <w:rPr>
          <w:rFonts w:ascii="Palatino Linotype" w:hAnsi="Palatino Linotype"/>
        </w:rPr>
      </w:pPr>
    </w:p>
    <w:p w:rsidR="00BF4D5B" w:rsidRPr="0036730A" w:rsidRDefault="00BF4D5B" w:rsidP="006E2F0C">
      <w:pPr>
        <w:pStyle w:val="Prrafodelista"/>
        <w:numPr>
          <w:ilvl w:val="0"/>
          <w:numId w:val="6"/>
        </w:numPr>
        <w:spacing w:before="240" w:after="240" w:line="360" w:lineRule="auto"/>
        <w:jc w:val="both"/>
        <w:rPr>
          <w:rFonts w:ascii="Palatino Linotype" w:hAnsi="Palatino Linotype"/>
          <w:b/>
          <w:color w:val="000000" w:themeColor="text1"/>
        </w:rPr>
      </w:pPr>
      <w:r w:rsidRPr="0036730A">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rsidR="00BF4D5B" w:rsidRPr="0036730A" w:rsidRDefault="00BF4D5B" w:rsidP="00BF4D5B">
      <w:pPr>
        <w:spacing w:line="360" w:lineRule="auto"/>
        <w:rPr>
          <w:rFonts w:ascii="Palatino Linotype" w:hAnsi="Palatino Linotype"/>
        </w:rPr>
      </w:pPr>
    </w:p>
    <w:p w:rsidR="00BF4D5B" w:rsidRPr="0036730A" w:rsidRDefault="00BF4D5B"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rPr>
        <w:t xml:space="preserve">Este organismo garante no pasa por alto justificar, que la dilación en la resolución del </w:t>
      </w:r>
      <w:r w:rsidRPr="0036730A">
        <w:rPr>
          <w:rFonts w:ascii="Palatino Linotype" w:hAnsi="Palatino Linotype"/>
          <w:color w:val="000000"/>
        </w:rPr>
        <w:t>presente</w:t>
      </w:r>
      <w:r w:rsidRPr="0036730A">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F4D5B" w:rsidRPr="0036730A" w:rsidRDefault="00BF4D5B" w:rsidP="00BF4D5B">
      <w:pPr>
        <w:pStyle w:val="Prrafodelista"/>
        <w:spacing w:line="360" w:lineRule="auto"/>
        <w:ind w:left="0"/>
        <w:jc w:val="both"/>
        <w:rPr>
          <w:rFonts w:ascii="Palatino Linotype" w:hAnsi="Palatino Linotype"/>
        </w:rPr>
      </w:pPr>
    </w:p>
    <w:p w:rsidR="00BF4D5B" w:rsidRPr="0036730A" w:rsidRDefault="00BF4D5B"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36730A">
        <w:rPr>
          <w:rFonts w:ascii="Palatino Linotype" w:hAnsi="Palatino Linotype"/>
        </w:rPr>
        <w:lastRenderedPageBreak/>
        <w:t>parámetros establecidos por diversos órganos jurisdiccionales federales, aplicables también en procedimientos análogos, como el que nos ocupa.</w:t>
      </w:r>
    </w:p>
    <w:p w:rsidR="00BF4D5B" w:rsidRPr="0036730A" w:rsidRDefault="00BF4D5B" w:rsidP="00BF4D5B">
      <w:pPr>
        <w:pStyle w:val="Prrafodelista"/>
        <w:rPr>
          <w:rFonts w:ascii="Palatino Linotype" w:hAnsi="Palatino Linotype"/>
        </w:rPr>
      </w:pPr>
    </w:p>
    <w:p w:rsidR="00BF4D5B" w:rsidRPr="0036730A" w:rsidRDefault="00BF4D5B"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F4D5B" w:rsidRPr="0036730A" w:rsidRDefault="00BF4D5B" w:rsidP="00BF4D5B">
      <w:pPr>
        <w:pStyle w:val="Prrafodelista"/>
        <w:rPr>
          <w:rFonts w:ascii="Palatino Linotype" w:hAnsi="Palatino Linotype"/>
        </w:rPr>
      </w:pPr>
    </w:p>
    <w:p w:rsidR="00BF4D5B" w:rsidRPr="0036730A" w:rsidRDefault="00BF4D5B"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F4D5B" w:rsidRPr="0036730A" w:rsidRDefault="00BF4D5B" w:rsidP="00BF4D5B">
      <w:pPr>
        <w:spacing w:line="360" w:lineRule="auto"/>
        <w:jc w:val="both"/>
        <w:rPr>
          <w:rFonts w:ascii="Palatino Linotype" w:hAnsi="Palatino Linotype"/>
        </w:rPr>
      </w:pPr>
    </w:p>
    <w:p w:rsidR="00BF4D5B" w:rsidRPr="0036730A" w:rsidRDefault="00BF4D5B"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BF4D5B" w:rsidRPr="0036730A" w:rsidRDefault="00BF4D5B" w:rsidP="00BF4D5B">
      <w:pPr>
        <w:spacing w:line="360" w:lineRule="auto"/>
        <w:jc w:val="both"/>
        <w:rPr>
          <w:rFonts w:ascii="Palatino Linotype" w:hAnsi="Palatino Linotype"/>
        </w:rPr>
      </w:pPr>
    </w:p>
    <w:p w:rsidR="00BF4D5B" w:rsidRPr="0036730A" w:rsidRDefault="00BF4D5B" w:rsidP="006E2F0C">
      <w:pPr>
        <w:pStyle w:val="Prrafodelista"/>
        <w:numPr>
          <w:ilvl w:val="0"/>
          <w:numId w:val="5"/>
        </w:numPr>
        <w:spacing w:line="360" w:lineRule="auto"/>
        <w:jc w:val="both"/>
        <w:rPr>
          <w:rFonts w:ascii="Palatino Linotype" w:hAnsi="Palatino Linotype"/>
        </w:rPr>
      </w:pPr>
      <w:r w:rsidRPr="0036730A">
        <w:rPr>
          <w:rFonts w:ascii="Palatino Linotype" w:hAnsi="Palatino Linotype"/>
        </w:rPr>
        <w:t xml:space="preserve">Complejidad del Asunto: La complejidad de la prueba, la pluralidad de sujetos procesales, el tiempo transcurrido, las características y contexto del recurso. </w:t>
      </w:r>
    </w:p>
    <w:p w:rsidR="00BF4D5B" w:rsidRPr="0036730A" w:rsidRDefault="00BF4D5B" w:rsidP="006E2F0C">
      <w:pPr>
        <w:pStyle w:val="Prrafodelista"/>
        <w:numPr>
          <w:ilvl w:val="0"/>
          <w:numId w:val="5"/>
        </w:numPr>
        <w:spacing w:line="360" w:lineRule="auto"/>
        <w:jc w:val="both"/>
        <w:rPr>
          <w:rFonts w:ascii="Palatino Linotype" w:hAnsi="Palatino Linotype"/>
        </w:rPr>
      </w:pPr>
      <w:r w:rsidRPr="0036730A">
        <w:rPr>
          <w:rFonts w:ascii="Palatino Linotype" w:hAnsi="Palatino Linotype"/>
        </w:rPr>
        <w:t>Actividad Procesal del interesado. Acciones u omisiones del interesado.</w:t>
      </w:r>
    </w:p>
    <w:p w:rsidR="00BF4D5B" w:rsidRPr="0036730A" w:rsidRDefault="00BF4D5B" w:rsidP="006E2F0C">
      <w:pPr>
        <w:pStyle w:val="Prrafodelista"/>
        <w:numPr>
          <w:ilvl w:val="0"/>
          <w:numId w:val="5"/>
        </w:numPr>
        <w:spacing w:line="360" w:lineRule="auto"/>
        <w:jc w:val="both"/>
        <w:rPr>
          <w:rFonts w:ascii="Palatino Linotype" w:hAnsi="Palatino Linotype"/>
        </w:rPr>
      </w:pPr>
      <w:r w:rsidRPr="0036730A">
        <w:rPr>
          <w:rFonts w:ascii="Palatino Linotype" w:hAnsi="Palatino Linotype"/>
        </w:rPr>
        <w:t>Conducta de la Autoridad: Las Acciones u omisiones realizadas en el procedimiento. Así como si la autoridad actuó con la debida diligencia.</w:t>
      </w:r>
    </w:p>
    <w:p w:rsidR="00BF4D5B" w:rsidRPr="0036730A" w:rsidRDefault="00BF4D5B" w:rsidP="00BF4D5B">
      <w:pPr>
        <w:spacing w:line="360" w:lineRule="auto"/>
        <w:ind w:left="851" w:hanging="284"/>
        <w:jc w:val="both"/>
        <w:rPr>
          <w:rFonts w:ascii="Palatino Linotype" w:hAnsi="Palatino Linotype"/>
        </w:rPr>
      </w:pPr>
      <w:r w:rsidRPr="0036730A">
        <w:rPr>
          <w:rFonts w:ascii="Palatino Linotype" w:hAnsi="Palatino Linotype"/>
        </w:rPr>
        <w:t xml:space="preserve">d) </w:t>
      </w:r>
      <w:r w:rsidR="0036730A">
        <w:rPr>
          <w:rFonts w:ascii="Palatino Linotype" w:hAnsi="Palatino Linotype"/>
        </w:rPr>
        <w:t xml:space="preserve"> </w:t>
      </w:r>
      <w:r w:rsidRPr="0036730A">
        <w:rPr>
          <w:rFonts w:ascii="Palatino Linotype" w:hAnsi="Palatino Linotype"/>
        </w:rPr>
        <w:t>La afectación generada en la situación jurídica de la persona involucrada en el proceso: Violación a sus derechos humanos.</w:t>
      </w:r>
    </w:p>
    <w:p w:rsidR="00BF4D5B" w:rsidRPr="0036730A" w:rsidRDefault="00BF4D5B"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F4D5B" w:rsidRPr="0036730A" w:rsidRDefault="00BF4D5B" w:rsidP="00BF4D5B">
      <w:pPr>
        <w:pStyle w:val="Prrafodelista"/>
        <w:spacing w:line="360" w:lineRule="auto"/>
        <w:ind w:left="0"/>
        <w:jc w:val="both"/>
        <w:rPr>
          <w:rFonts w:ascii="Palatino Linotype" w:hAnsi="Palatino Linotype"/>
        </w:rPr>
      </w:pPr>
    </w:p>
    <w:p w:rsidR="00BF4D5B" w:rsidRPr="0036730A" w:rsidRDefault="00BF4D5B" w:rsidP="006E2F0C">
      <w:pPr>
        <w:pStyle w:val="Prrafodelista"/>
        <w:numPr>
          <w:ilvl w:val="0"/>
          <w:numId w:val="1"/>
        </w:numPr>
        <w:spacing w:line="360" w:lineRule="auto"/>
        <w:ind w:left="0" w:firstLine="0"/>
        <w:jc w:val="both"/>
        <w:rPr>
          <w:rFonts w:ascii="Palatino Linotype" w:hAnsi="Palatino Linotype"/>
          <w:b/>
        </w:rPr>
      </w:pPr>
      <w:r w:rsidRPr="0036730A">
        <w:rPr>
          <w:rFonts w:ascii="Palatino Linotype" w:hAnsi="Palatino Linotype"/>
        </w:rPr>
        <w:t>Argumento que encuentra sustento en la jurisprudencia P</w:t>
      </w:r>
      <w:proofErr w:type="gramStart"/>
      <w:r w:rsidRPr="0036730A">
        <w:rPr>
          <w:rFonts w:ascii="Palatino Linotype" w:hAnsi="Palatino Linotype"/>
        </w:rPr>
        <w:t>./</w:t>
      </w:r>
      <w:proofErr w:type="gramEnd"/>
      <w:r w:rsidRPr="0036730A">
        <w:rPr>
          <w:rFonts w:ascii="Palatino Linotype" w:hAnsi="Palatino Linotype"/>
        </w:rPr>
        <w:t xml:space="preserve">J. 32/92 emitida por el Pleno de la Suprema Corte de Justicia de la Nación de rubro </w:t>
      </w:r>
      <w:r w:rsidRPr="0036730A">
        <w:rPr>
          <w:rFonts w:ascii="Palatino Linotype" w:hAnsi="Palatino Linotype"/>
          <w:i/>
        </w:rPr>
        <w:t xml:space="preserve">“TÉRMINOS PROCESALES. PARA DETERMINAR SI UN FUNCIONARIO JUDICIAL ACTUÓ </w:t>
      </w:r>
      <w:r w:rsidRPr="0036730A">
        <w:rPr>
          <w:rFonts w:ascii="Palatino Linotype" w:hAnsi="Palatino Linotype"/>
        </w:rPr>
        <w:t>INDEBIDAMENTE</w:t>
      </w:r>
      <w:r w:rsidRPr="0036730A">
        <w:rPr>
          <w:rFonts w:ascii="Palatino Linotype" w:hAnsi="Palatino Linotype"/>
          <w:i/>
        </w:rPr>
        <w:t xml:space="preserve"> POR NO RESPETARLOS SE DEBE ATENDER AL PRESUPUESTO QUE CONSIDERÓ EL LEGISLADOR AL FIJARLOS Y LAS CARACTERÍSTICAS DEL CASO.”</w:t>
      </w:r>
      <w:r w:rsidRPr="0036730A">
        <w:rPr>
          <w:rFonts w:ascii="Palatino Linotype" w:hAnsi="Palatino Linotype"/>
        </w:rPr>
        <w:t>, visible en la Gaceta del Seminario Judicial de la Federación con el registro digital 205635.</w:t>
      </w:r>
    </w:p>
    <w:p w:rsidR="00BF4D5B" w:rsidRPr="0036730A" w:rsidRDefault="00BF4D5B" w:rsidP="00BF4D5B">
      <w:pPr>
        <w:spacing w:line="360" w:lineRule="auto"/>
        <w:jc w:val="both"/>
        <w:rPr>
          <w:rFonts w:ascii="Palatino Linotype" w:hAnsi="Palatino Linotype"/>
        </w:rPr>
      </w:pPr>
    </w:p>
    <w:p w:rsidR="00BF4D5B" w:rsidRPr="0036730A" w:rsidRDefault="00BF4D5B"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36730A">
        <w:rPr>
          <w:rFonts w:ascii="Palatino Linotype" w:hAnsi="Palatino Linotype"/>
        </w:rPr>
        <w:lastRenderedPageBreak/>
        <w:t>los términos legales previamente establecidos por la Ley, por tratarse de causas de fuerza mayor.</w:t>
      </w:r>
    </w:p>
    <w:p w:rsidR="00BF4D5B" w:rsidRPr="0036730A" w:rsidRDefault="00BF4D5B"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BF4D5B" w:rsidRPr="0036730A" w:rsidRDefault="00BF4D5B" w:rsidP="00BF4D5B">
      <w:pPr>
        <w:spacing w:line="360" w:lineRule="auto"/>
        <w:jc w:val="both"/>
        <w:rPr>
          <w:rFonts w:ascii="Palatino Linotype" w:hAnsi="Palatino Linotype"/>
        </w:rPr>
      </w:pPr>
    </w:p>
    <w:p w:rsidR="00BF4D5B" w:rsidRPr="0036730A" w:rsidRDefault="00BF4D5B"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BF4D5B" w:rsidRPr="0036730A" w:rsidRDefault="00BF4D5B" w:rsidP="00BF4D5B">
      <w:pPr>
        <w:spacing w:line="360" w:lineRule="auto"/>
        <w:jc w:val="both"/>
        <w:rPr>
          <w:rFonts w:ascii="Palatino Linotype" w:hAnsi="Palatino Linotype"/>
        </w:rPr>
      </w:pPr>
    </w:p>
    <w:p w:rsidR="00BF4D5B" w:rsidRPr="0036730A" w:rsidRDefault="00BF4D5B" w:rsidP="00BF4D5B">
      <w:pPr>
        <w:ind w:left="425" w:right="476"/>
        <w:jc w:val="both"/>
        <w:rPr>
          <w:rFonts w:ascii="Palatino Linotype" w:hAnsi="Palatino Linotype"/>
        </w:rPr>
      </w:pPr>
      <w:r w:rsidRPr="0036730A">
        <w:rPr>
          <w:rFonts w:ascii="Palatino Linotype" w:hAnsi="Palatino Linotype"/>
        </w:rPr>
        <w:t xml:space="preserve"> </w:t>
      </w:r>
      <w:r w:rsidRPr="0036730A">
        <w:rPr>
          <w:rFonts w:ascii="Palatino Linotype" w:hAnsi="Palatino Linotype"/>
          <w:i/>
        </w:rPr>
        <w:t>“PLAZO RAZONABLE PARA RESOLVER. DIMENSIÓN Y EFECTOS DE ESTE CONCEPTO CUANDO SE ADUCE EXCESIVA CARGA DE TRABAJO.”</w:t>
      </w:r>
      <w:r w:rsidRPr="0036730A">
        <w:rPr>
          <w:rFonts w:ascii="Palatino Linotype" w:hAnsi="Palatino Linotype"/>
        </w:rPr>
        <w:t xml:space="preserve"> consultable en el Seminario Judicial de la Federación y su gaceta, con el registro digital 2002351.</w:t>
      </w:r>
    </w:p>
    <w:p w:rsidR="00BF4D5B" w:rsidRPr="0036730A" w:rsidRDefault="00BF4D5B" w:rsidP="00BF4D5B">
      <w:pPr>
        <w:ind w:left="425" w:right="476"/>
        <w:jc w:val="both"/>
        <w:rPr>
          <w:rFonts w:ascii="Palatino Linotype" w:hAnsi="Palatino Linotype"/>
          <w:b/>
        </w:rPr>
      </w:pPr>
    </w:p>
    <w:p w:rsidR="00BF4D5B" w:rsidRPr="0036730A" w:rsidRDefault="00BF4D5B" w:rsidP="00BF4D5B">
      <w:pPr>
        <w:ind w:left="425" w:right="476"/>
        <w:jc w:val="both"/>
        <w:rPr>
          <w:rFonts w:ascii="Palatino Linotype" w:hAnsi="Palatino Linotype"/>
        </w:rPr>
      </w:pPr>
      <w:r w:rsidRPr="0036730A">
        <w:rPr>
          <w:rFonts w:ascii="Palatino Linotype" w:hAnsi="Palatino Linotype"/>
          <w:i/>
        </w:rPr>
        <w:t>“PLAZO RAZONABLE PARA RESOLVER. CONCEPTO Y ELEMENTOS QUE LO INTEGRAN A LA LUZ DEL DERECHO INTERNACIONAL DE LOS DERECHOS HUMANOS.”</w:t>
      </w:r>
      <w:r w:rsidRPr="0036730A">
        <w:rPr>
          <w:rFonts w:ascii="Palatino Linotype" w:hAnsi="Palatino Linotype"/>
        </w:rPr>
        <w:t>, visible en el Seminario Judicial de la Federación y su gaceta, con el registro digital 2002350.”</w:t>
      </w:r>
    </w:p>
    <w:p w:rsidR="00BF4D5B" w:rsidRPr="0036730A" w:rsidRDefault="00BF4D5B" w:rsidP="00BF4D5B">
      <w:pPr>
        <w:pStyle w:val="Prrafodelista"/>
        <w:spacing w:line="360" w:lineRule="auto"/>
        <w:ind w:left="0"/>
        <w:jc w:val="both"/>
        <w:rPr>
          <w:rFonts w:ascii="Palatino Linotype" w:hAnsi="Palatino Linotype"/>
        </w:rPr>
      </w:pPr>
    </w:p>
    <w:p w:rsidR="00D6651B" w:rsidRPr="0036730A" w:rsidRDefault="00482245" w:rsidP="006E2F0C">
      <w:pPr>
        <w:pStyle w:val="Prrafodelista"/>
        <w:numPr>
          <w:ilvl w:val="0"/>
          <w:numId w:val="1"/>
        </w:numPr>
        <w:spacing w:line="360" w:lineRule="auto"/>
        <w:ind w:left="0" w:firstLine="0"/>
        <w:jc w:val="both"/>
        <w:rPr>
          <w:rFonts w:ascii="Palatino Linotype" w:hAnsi="Palatino Linotype"/>
          <w:b/>
          <w:color w:val="000000" w:themeColor="text1"/>
        </w:rPr>
      </w:pPr>
      <w:r w:rsidRPr="0036730A">
        <w:rPr>
          <w:rFonts w:ascii="Palatino Linotype" w:hAnsi="Palatino Linotype"/>
        </w:rPr>
        <w:t xml:space="preserve"> </w:t>
      </w:r>
      <w:r w:rsidR="00BF4D5B" w:rsidRPr="0036730A">
        <w:rPr>
          <w:rFonts w:ascii="Palatino Linotype" w:hAnsi="Palatino Linotype"/>
        </w:rPr>
        <w:t>P</w:t>
      </w:r>
      <w:r w:rsidR="006672E1" w:rsidRPr="0036730A">
        <w:rPr>
          <w:rFonts w:ascii="Palatino Linotype" w:hAnsi="Palatino Linotype"/>
        </w:rPr>
        <w:t xml:space="preserve">osteriormente </w:t>
      </w:r>
      <w:r w:rsidR="0001674C" w:rsidRPr="0036730A">
        <w:rPr>
          <w:rFonts w:ascii="Palatino Linotype" w:hAnsi="Palatino Linotype"/>
        </w:rPr>
        <w:t>se d</w:t>
      </w:r>
      <w:r w:rsidR="006672E1" w:rsidRPr="0036730A">
        <w:rPr>
          <w:rFonts w:ascii="Palatino Linotype" w:hAnsi="Palatino Linotype"/>
        </w:rPr>
        <w:t>ecretó el cierre de instrucción</w:t>
      </w:r>
      <w:r w:rsidR="00D6651B" w:rsidRPr="0036730A">
        <w:rPr>
          <w:rFonts w:ascii="Palatino Linotype" w:hAnsi="Palatino Linotype"/>
        </w:rPr>
        <w:t xml:space="preserve"> </w:t>
      </w:r>
      <w:r w:rsidR="00E12356">
        <w:rPr>
          <w:rFonts w:ascii="Palatino Linotype" w:hAnsi="Palatino Linotype"/>
        </w:rPr>
        <w:t>en</w:t>
      </w:r>
      <w:r w:rsidR="00FD6CAD" w:rsidRPr="0036730A">
        <w:rPr>
          <w:rFonts w:ascii="Palatino Linotype" w:hAnsi="Palatino Linotype"/>
        </w:rPr>
        <w:t xml:space="preserve"> fecha </w:t>
      </w:r>
      <w:r w:rsidR="00E12356">
        <w:rPr>
          <w:rFonts w:ascii="Palatino Linotype" w:hAnsi="Palatino Linotype"/>
        </w:rPr>
        <w:t>doce (12)</w:t>
      </w:r>
      <w:r w:rsidR="00FD6CAD" w:rsidRPr="0036730A">
        <w:rPr>
          <w:rFonts w:ascii="Palatino Linotype" w:hAnsi="Palatino Linotype"/>
        </w:rPr>
        <w:t xml:space="preserve"> de ju</w:t>
      </w:r>
      <w:r w:rsidR="00BF4D5B" w:rsidRPr="0036730A">
        <w:rPr>
          <w:rFonts w:ascii="Palatino Linotype" w:hAnsi="Palatino Linotype"/>
        </w:rPr>
        <w:t>l</w:t>
      </w:r>
      <w:r w:rsidR="00FD6CAD" w:rsidRPr="0036730A">
        <w:rPr>
          <w:rFonts w:ascii="Palatino Linotype" w:hAnsi="Palatino Linotype"/>
        </w:rPr>
        <w:t>io de dos mil veintitrés</w:t>
      </w:r>
      <w:r w:rsidR="0001674C" w:rsidRPr="0036730A">
        <w:rPr>
          <w:rFonts w:ascii="Palatino Linotype" w:hAnsi="Palatino Linotype"/>
        </w:rPr>
        <w:t xml:space="preserve">, </w:t>
      </w:r>
      <w:r w:rsidR="009F09BC" w:rsidRPr="0036730A">
        <w:rPr>
          <w:rFonts w:ascii="Palatino Linotype" w:hAnsi="Palatino Linotype" w:cs="Arial"/>
        </w:rPr>
        <w:t>por lo que no ha</w:t>
      </w:r>
      <w:bookmarkStart w:id="134" w:name="_Toc491791302"/>
      <w:bookmarkStart w:id="135" w:name="_Toc83128578"/>
      <w:r w:rsidR="00BF4D5B" w:rsidRPr="0036730A">
        <w:rPr>
          <w:rFonts w:ascii="Palatino Linotype" w:hAnsi="Palatino Linotype" w:cs="Arial"/>
        </w:rPr>
        <w:t>biendo más que hacer constar, y-</w:t>
      </w:r>
    </w:p>
    <w:p w:rsidR="00BF4D5B" w:rsidRPr="0036730A" w:rsidRDefault="00BF4D5B" w:rsidP="00BF4D5B">
      <w:pPr>
        <w:pStyle w:val="Prrafodelista"/>
        <w:spacing w:line="360" w:lineRule="auto"/>
        <w:ind w:left="0"/>
        <w:jc w:val="both"/>
        <w:rPr>
          <w:rFonts w:ascii="Palatino Linotype" w:hAnsi="Palatino Linotype"/>
          <w:b/>
          <w:color w:val="000000" w:themeColor="text1"/>
        </w:rPr>
      </w:pPr>
    </w:p>
    <w:p w:rsidR="009F09BC" w:rsidRPr="0036730A" w:rsidRDefault="009F09BC" w:rsidP="0046287B">
      <w:pPr>
        <w:pStyle w:val="Prrafodelista"/>
        <w:spacing w:line="360" w:lineRule="auto"/>
        <w:ind w:left="0"/>
        <w:jc w:val="center"/>
        <w:rPr>
          <w:rFonts w:ascii="Palatino Linotype" w:hAnsi="Palatino Linotype"/>
          <w:b/>
          <w:color w:val="000000" w:themeColor="text1"/>
        </w:rPr>
      </w:pPr>
      <w:r w:rsidRPr="0036730A">
        <w:rPr>
          <w:rFonts w:ascii="Palatino Linotype" w:hAnsi="Palatino Linotype"/>
          <w:b/>
          <w:color w:val="000000" w:themeColor="text1"/>
        </w:rPr>
        <w:t>CONSIDERANDO</w:t>
      </w:r>
      <w:bookmarkEnd w:id="134"/>
      <w:bookmarkEnd w:id="135"/>
    </w:p>
    <w:p w:rsidR="00BF4D5B" w:rsidRPr="0036730A" w:rsidRDefault="00BF4D5B" w:rsidP="0046287B">
      <w:pPr>
        <w:pStyle w:val="Prrafodelista"/>
        <w:spacing w:line="360" w:lineRule="auto"/>
        <w:ind w:left="0"/>
        <w:jc w:val="center"/>
        <w:rPr>
          <w:rFonts w:ascii="Palatino Linotype" w:hAnsi="Palatino Linotype"/>
          <w:b/>
          <w:color w:val="000000" w:themeColor="text1"/>
        </w:rPr>
      </w:pPr>
    </w:p>
    <w:p w:rsidR="009F09BC" w:rsidRPr="0036730A" w:rsidRDefault="009F09BC" w:rsidP="0046287B">
      <w:pPr>
        <w:pStyle w:val="Ttulo2"/>
        <w:spacing w:before="0" w:line="360" w:lineRule="auto"/>
        <w:rPr>
          <w:rFonts w:ascii="Palatino Linotype" w:hAnsi="Palatino Linotype"/>
          <w:b/>
          <w:color w:val="auto"/>
          <w:sz w:val="24"/>
          <w:szCs w:val="24"/>
        </w:rPr>
      </w:pPr>
      <w:bookmarkStart w:id="136" w:name="_Toc491791303"/>
      <w:bookmarkStart w:id="137" w:name="_Toc83128579"/>
      <w:r w:rsidRPr="0036730A">
        <w:rPr>
          <w:rFonts w:ascii="Palatino Linotype" w:hAnsi="Palatino Linotype"/>
          <w:b/>
          <w:color w:val="auto"/>
          <w:sz w:val="24"/>
          <w:szCs w:val="24"/>
        </w:rPr>
        <w:t>PRIMERO. De la competencia</w:t>
      </w:r>
      <w:bookmarkEnd w:id="136"/>
      <w:bookmarkEnd w:id="137"/>
    </w:p>
    <w:p w:rsidR="009F09BC" w:rsidRPr="0036730A" w:rsidRDefault="009F09BC" w:rsidP="0046287B">
      <w:pPr>
        <w:spacing w:line="360" w:lineRule="auto"/>
        <w:rPr>
          <w:rFonts w:ascii="Palatino Linotype" w:hAnsi="Palatino Linotype"/>
          <w:lang w:val="es-MX" w:eastAsia="en-US"/>
        </w:rPr>
      </w:pPr>
    </w:p>
    <w:p w:rsidR="00353F1D" w:rsidRPr="0036730A" w:rsidRDefault="00875788" w:rsidP="006E2F0C">
      <w:pPr>
        <w:pStyle w:val="Prrafodelista"/>
        <w:numPr>
          <w:ilvl w:val="0"/>
          <w:numId w:val="1"/>
        </w:numPr>
        <w:spacing w:line="360" w:lineRule="auto"/>
        <w:ind w:left="0" w:firstLine="0"/>
        <w:jc w:val="both"/>
        <w:rPr>
          <w:rFonts w:ascii="Palatino Linotype" w:hAnsi="Palatino Linotype"/>
          <w:color w:val="000000" w:themeColor="text1"/>
        </w:rPr>
      </w:pPr>
      <w:r w:rsidRPr="0036730A">
        <w:rPr>
          <w:rFonts w:ascii="Palatino Linotype" w:hAnsi="Palatino Linotype"/>
          <w:color w:val="000000" w:themeColor="text1"/>
        </w:rPr>
        <w:lastRenderedPageBreak/>
        <w:t xml:space="preserve">Este Instituto de Transparencia, Acceso a la Información Pública y Protección de Datos Personales del </w:t>
      </w:r>
      <w:r w:rsidRPr="0036730A">
        <w:rPr>
          <w:rFonts w:ascii="Palatino Linotype" w:hAnsi="Palatino Linotype"/>
        </w:rPr>
        <w:t>Estado</w:t>
      </w:r>
      <w:r w:rsidRPr="0036730A">
        <w:rPr>
          <w:rFonts w:ascii="Palatino Linotype" w:hAnsi="Palatino Linotype"/>
          <w:color w:val="000000" w:themeColor="text1"/>
        </w:rPr>
        <w:t xml:space="preserve">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BF4D5B" w:rsidRPr="0036730A" w:rsidRDefault="00BF4D5B" w:rsidP="00BF4D5B">
      <w:pPr>
        <w:pStyle w:val="Prrafodelista"/>
        <w:spacing w:line="360" w:lineRule="auto"/>
        <w:ind w:left="0"/>
        <w:jc w:val="both"/>
        <w:rPr>
          <w:rFonts w:ascii="Palatino Linotype" w:hAnsi="Palatino Linotype"/>
          <w:color w:val="000000" w:themeColor="text1"/>
        </w:rPr>
      </w:pPr>
    </w:p>
    <w:p w:rsidR="009F09BC" w:rsidRPr="0036730A" w:rsidRDefault="009F09BC" w:rsidP="0046287B">
      <w:pPr>
        <w:pStyle w:val="Ttulo2"/>
        <w:spacing w:before="0" w:line="360" w:lineRule="auto"/>
        <w:rPr>
          <w:rFonts w:ascii="Palatino Linotype" w:hAnsi="Palatino Linotype"/>
          <w:b/>
          <w:color w:val="auto"/>
          <w:sz w:val="24"/>
          <w:szCs w:val="24"/>
        </w:rPr>
      </w:pPr>
      <w:bookmarkStart w:id="138" w:name="_Toc491791304"/>
      <w:bookmarkStart w:id="139" w:name="_Toc83128580"/>
      <w:r w:rsidRPr="0036730A">
        <w:rPr>
          <w:rFonts w:ascii="Palatino Linotype" w:hAnsi="Palatino Linotype"/>
          <w:b/>
          <w:color w:val="auto"/>
          <w:sz w:val="24"/>
          <w:szCs w:val="24"/>
        </w:rPr>
        <w:t>SEGUNDO. De la oportunidad y procedencia.</w:t>
      </w:r>
      <w:bookmarkEnd w:id="138"/>
      <w:bookmarkEnd w:id="139"/>
    </w:p>
    <w:p w:rsidR="009F09BC" w:rsidRPr="0036730A" w:rsidRDefault="009F09BC" w:rsidP="0046287B">
      <w:pPr>
        <w:spacing w:line="360" w:lineRule="auto"/>
        <w:rPr>
          <w:rFonts w:ascii="Palatino Linotype" w:hAnsi="Palatino Linotype"/>
          <w:lang w:val="es-MX" w:eastAsia="en-US"/>
        </w:rPr>
      </w:pPr>
    </w:p>
    <w:p w:rsidR="009F09BC" w:rsidRPr="0036730A" w:rsidRDefault="00425842"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eastAsia="Calibri" w:hAnsi="Palatino Linotype" w:cs="Arial"/>
        </w:rPr>
        <w:t>El</w:t>
      </w:r>
      <w:r w:rsidR="00AD63B4" w:rsidRPr="0036730A">
        <w:rPr>
          <w:rFonts w:ascii="Palatino Linotype" w:eastAsia="Calibri" w:hAnsi="Palatino Linotype" w:cs="Arial"/>
        </w:rPr>
        <w:t xml:space="preserve"> </w:t>
      </w:r>
      <w:r w:rsidR="009F09BC" w:rsidRPr="0036730A">
        <w:rPr>
          <w:rFonts w:ascii="Palatino Linotype" w:eastAsia="Calibri" w:hAnsi="Palatino Linotype" w:cs="Arial"/>
        </w:rPr>
        <w:t xml:space="preserve">medio de impugnación fue presentado a través del </w:t>
      </w:r>
      <w:r w:rsidR="009F09BC" w:rsidRPr="0036730A">
        <w:rPr>
          <w:rFonts w:ascii="Palatino Linotype" w:eastAsia="Calibri" w:hAnsi="Palatino Linotype" w:cs="Arial"/>
          <w:b/>
        </w:rPr>
        <w:t>SAIMEX,</w:t>
      </w:r>
      <w:r w:rsidR="009F09BC" w:rsidRPr="0036730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36730A">
        <w:rPr>
          <w:rFonts w:ascii="Palatino Linotype" w:eastAsia="Calibri" w:hAnsi="Palatino Linotype" w:cs="Arial"/>
          <w:b/>
        </w:rPr>
        <w:t>SUJETO OBLIGADO</w:t>
      </w:r>
      <w:r w:rsidR="0036730A">
        <w:rPr>
          <w:rFonts w:ascii="Palatino Linotype" w:eastAsia="Calibri" w:hAnsi="Palatino Linotype" w:cs="Arial"/>
          <w:b/>
        </w:rPr>
        <w:t>,</w:t>
      </w:r>
      <w:r w:rsidRPr="0036730A">
        <w:rPr>
          <w:rFonts w:ascii="Palatino Linotype" w:eastAsia="Calibri" w:hAnsi="Palatino Linotype" w:cs="Arial"/>
        </w:rPr>
        <w:t xml:space="preserve"> entregó su</w:t>
      </w:r>
      <w:r w:rsidR="009F09BC" w:rsidRPr="0036730A">
        <w:rPr>
          <w:rFonts w:ascii="Palatino Linotype" w:eastAsia="Calibri" w:hAnsi="Palatino Linotype" w:cs="Arial"/>
        </w:rPr>
        <w:t xml:space="preserve"> respuesta </w:t>
      </w:r>
      <w:r w:rsidRPr="0036730A">
        <w:rPr>
          <w:rFonts w:ascii="Palatino Linotype" w:eastAsia="Calibri" w:hAnsi="Palatino Linotype" w:cs="Arial"/>
        </w:rPr>
        <w:t>e</w:t>
      </w:r>
      <w:r w:rsidR="009F09BC" w:rsidRPr="0036730A">
        <w:rPr>
          <w:rFonts w:ascii="Palatino Linotype" w:eastAsia="Calibri" w:hAnsi="Palatino Linotype" w:cs="Arial"/>
        </w:rPr>
        <w:t xml:space="preserve">l </w:t>
      </w:r>
      <w:r w:rsidR="00961E73" w:rsidRPr="0036730A">
        <w:rPr>
          <w:rFonts w:ascii="Palatino Linotype" w:eastAsia="Calibri" w:hAnsi="Palatino Linotype" w:cs="Arial"/>
        </w:rPr>
        <w:t>veintiocho de febrero</w:t>
      </w:r>
      <w:r w:rsidRPr="0036730A">
        <w:rPr>
          <w:rFonts w:ascii="Palatino Linotype" w:eastAsia="Calibri" w:hAnsi="Palatino Linotype" w:cs="Arial"/>
        </w:rPr>
        <w:t xml:space="preserve"> de </w:t>
      </w:r>
      <w:r w:rsidR="00961E73" w:rsidRPr="0036730A">
        <w:rPr>
          <w:rFonts w:ascii="Palatino Linotype" w:eastAsia="Calibri" w:hAnsi="Palatino Linotype" w:cs="Arial"/>
        </w:rPr>
        <w:t>dos mil veintitrés</w:t>
      </w:r>
      <w:r w:rsidR="009F09BC" w:rsidRPr="0036730A">
        <w:rPr>
          <w:rFonts w:ascii="Palatino Linotype" w:eastAsia="Calibri" w:hAnsi="Palatino Linotype" w:cs="Arial"/>
        </w:rPr>
        <w:t xml:space="preserve">, </w:t>
      </w:r>
      <w:r w:rsidR="009F09BC" w:rsidRPr="0036730A">
        <w:rPr>
          <w:rFonts w:ascii="Palatino Linotype" w:hAnsi="Palatino Linotype" w:cs="Arial"/>
        </w:rPr>
        <w:t xml:space="preserve">de tal forma que </w:t>
      </w:r>
      <w:r w:rsidRPr="0036730A">
        <w:rPr>
          <w:rFonts w:ascii="Palatino Linotype" w:hAnsi="Palatino Linotype" w:cs="Arial"/>
        </w:rPr>
        <w:t>e</w:t>
      </w:r>
      <w:r w:rsidR="009F09BC" w:rsidRPr="0036730A">
        <w:rPr>
          <w:rFonts w:ascii="Palatino Linotype" w:hAnsi="Palatino Linotype" w:cs="Arial"/>
        </w:rPr>
        <w:t xml:space="preserve">l plazo para interponer </w:t>
      </w:r>
      <w:r w:rsidRPr="0036730A">
        <w:rPr>
          <w:rFonts w:ascii="Palatino Linotype" w:hAnsi="Palatino Linotype" w:cs="Arial"/>
        </w:rPr>
        <w:t>e</w:t>
      </w:r>
      <w:r w:rsidR="009F09BC" w:rsidRPr="0036730A">
        <w:rPr>
          <w:rFonts w:ascii="Palatino Linotype" w:hAnsi="Palatino Linotype" w:cs="Arial"/>
        </w:rPr>
        <w:t xml:space="preserve">l recurso de revisión </w:t>
      </w:r>
      <w:r w:rsidRPr="0036730A">
        <w:rPr>
          <w:rFonts w:ascii="Palatino Linotype" w:hAnsi="Palatino Linotype" w:cs="Arial"/>
        </w:rPr>
        <w:t>transcurrió</w:t>
      </w:r>
      <w:r w:rsidR="009F09BC" w:rsidRPr="0036730A">
        <w:rPr>
          <w:rFonts w:ascii="Palatino Linotype" w:hAnsi="Palatino Linotype" w:cs="Arial"/>
        </w:rPr>
        <w:t xml:space="preserve"> del día </w:t>
      </w:r>
      <w:r w:rsidR="00961E73" w:rsidRPr="0036730A">
        <w:rPr>
          <w:rFonts w:ascii="Palatino Linotype" w:hAnsi="Palatino Linotype" w:cs="Arial"/>
        </w:rPr>
        <w:t xml:space="preserve">uno al veintitrés de marzo </w:t>
      </w:r>
      <w:r w:rsidR="0001674C" w:rsidRPr="0036730A">
        <w:rPr>
          <w:rFonts w:ascii="Palatino Linotype" w:hAnsi="Palatino Linotype" w:cs="Arial"/>
        </w:rPr>
        <w:t xml:space="preserve">de </w:t>
      </w:r>
      <w:r w:rsidR="008B2608" w:rsidRPr="0036730A">
        <w:rPr>
          <w:rFonts w:ascii="Palatino Linotype" w:hAnsi="Palatino Linotype" w:cs="Arial"/>
        </w:rPr>
        <w:t>dos mil veintitrés</w:t>
      </w:r>
      <w:r w:rsidR="0001674C" w:rsidRPr="0036730A">
        <w:rPr>
          <w:rFonts w:ascii="Palatino Linotype" w:hAnsi="Palatino Linotype" w:cs="Arial"/>
        </w:rPr>
        <w:t>; e</w:t>
      </w:r>
      <w:r w:rsidR="009F09BC" w:rsidRPr="0036730A">
        <w:rPr>
          <w:rFonts w:ascii="Palatino Linotype" w:hAnsi="Palatino Linotype" w:cs="Arial"/>
        </w:rPr>
        <w:t xml:space="preserve">n consecuencia, el ahora </w:t>
      </w:r>
      <w:r w:rsidR="009F09BC" w:rsidRPr="0036730A">
        <w:rPr>
          <w:rFonts w:ascii="Palatino Linotype" w:hAnsi="Palatino Linotype" w:cs="Arial"/>
          <w:b/>
        </w:rPr>
        <w:t>RECURRENTE</w:t>
      </w:r>
      <w:r w:rsidR="009F09BC" w:rsidRPr="0036730A">
        <w:rPr>
          <w:rFonts w:ascii="Palatino Linotype" w:hAnsi="Palatino Linotype" w:cs="Arial"/>
        </w:rPr>
        <w:t xml:space="preserve"> presentó </w:t>
      </w:r>
      <w:r w:rsidR="00CA1063" w:rsidRPr="0036730A">
        <w:rPr>
          <w:rFonts w:ascii="Palatino Linotype" w:hAnsi="Palatino Linotype" w:cs="Arial"/>
        </w:rPr>
        <w:t xml:space="preserve">su inconformidad el día </w:t>
      </w:r>
      <w:r w:rsidR="00961E73" w:rsidRPr="0036730A">
        <w:rPr>
          <w:rFonts w:ascii="Palatino Linotype" w:hAnsi="Palatino Linotype" w:cs="Arial"/>
        </w:rPr>
        <w:t>veinticuatro</w:t>
      </w:r>
      <w:r w:rsidR="00FD6CAD" w:rsidRPr="0036730A">
        <w:rPr>
          <w:rFonts w:ascii="Palatino Linotype" w:hAnsi="Palatino Linotype" w:cs="Arial"/>
        </w:rPr>
        <w:t xml:space="preserve"> de </w:t>
      </w:r>
      <w:r w:rsidR="00961E73" w:rsidRPr="0036730A">
        <w:rPr>
          <w:rFonts w:ascii="Palatino Linotype" w:hAnsi="Palatino Linotype" w:cs="Arial"/>
        </w:rPr>
        <w:t>marz</w:t>
      </w:r>
      <w:r w:rsidR="00704273" w:rsidRPr="0036730A">
        <w:rPr>
          <w:rFonts w:ascii="Palatino Linotype" w:hAnsi="Palatino Linotype" w:cs="Arial"/>
        </w:rPr>
        <w:t>o</w:t>
      </w:r>
      <w:r w:rsidR="007142D6" w:rsidRPr="0036730A">
        <w:rPr>
          <w:rFonts w:ascii="Palatino Linotype" w:hAnsi="Palatino Linotype" w:cs="Arial"/>
        </w:rPr>
        <w:t xml:space="preserve"> de </w:t>
      </w:r>
      <w:r w:rsidR="00961E73" w:rsidRPr="0036730A">
        <w:rPr>
          <w:rFonts w:ascii="Palatino Linotype" w:hAnsi="Palatino Linotype" w:cs="Arial"/>
        </w:rPr>
        <w:t>dos mil veintitrés</w:t>
      </w:r>
      <w:r w:rsidR="009F09BC" w:rsidRPr="0036730A">
        <w:rPr>
          <w:rFonts w:ascii="Palatino Linotype" w:hAnsi="Palatino Linotype" w:cs="Arial"/>
        </w:rPr>
        <w:t xml:space="preserve">; </w:t>
      </w:r>
      <w:r w:rsidR="0062406B" w:rsidRPr="0036730A">
        <w:rPr>
          <w:rFonts w:ascii="Palatino Linotype" w:hAnsi="Palatino Linotype" w:cs="Arial"/>
        </w:rPr>
        <w:t xml:space="preserve">es decir </w:t>
      </w:r>
      <w:r w:rsidR="00F06C03" w:rsidRPr="0036730A">
        <w:rPr>
          <w:rFonts w:ascii="Palatino Linotype" w:hAnsi="Palatino Linotype" w:cs="Arial"/>
        </w:rPr>
        <w:t xml:space="preserve">fuera </w:t>
      </w:r>
      <w:r w:rsidR="0082142B" w:rsidRPr="0036730A">
        <w:rPr>
          <w:rFonts w:ascii="Palatino Linotype" w:hAnsi="Palatino Linotype" w:cs="Arial"/>
        </w:rPr>
        <w:t>d</w:t>
      </w:r>
      <w:r w:rsidR="009F09BC" w:rsidRPr="0036730A">
        <w:rPr>
          <w:rFonts w:ascii="Palatino Linotype" w:hAnsi="Palatino Linotype" w:cs="Arial"/>
        </w:rPr>
        <w:t>el lapso legalmente establecido para tal efecto.</w:t>
      </w:r>
    </w:p>
    <w:p w:rsidR="0046287B" w:rsidRPr="0036730A" w:rsidRDefault="0046287B" w:rsidP="0046287B">
      <w:pPr>
        <w:pStyle w:val="Prrafodelista"/>
        <w:spacing w:line="360" w:lineRule="auto"/>
        <w:ind w:left="0"/>
        <w:jc w:val="both"/>
        <w:rPr>
          <w:rFonts w:ascii="Palatino Linotype" w:hAnsi="Palatino Linotype"/>
        </w:rPr>
      </w:pPr>
    </w:p>
    <w:p w:rsidR="009F09BC" w:rsidRPr="0036730A" w:rsidRDefault="00F06C03" w:rsidP="006E2F0C">
      <w:pPr>
        <w:pStyle w:val="Prrafodelista"/>
        <w:numPr>
          <w:ilvl w:val="0"/>
          <w:numId w:val="1"/>
        </w:numPr>
        <w:spacing w:line="360" w:lineRule="auto"/>
        <w:ind w:left="0" w:firstLine="0"/>
        <w:jc w:val="both"/>
        <w:rPr>
          <w:rFonts w:ascii="Palatino Linotype" w:hAnsi="Palatino Linotype"/>
        </w:rPr>
      </w:pPr>
      <w:r w:rsidRPr="0036730A">
        <w:rPr>
          <w:rFonts w:ascii="Palatino Linotype" w:eastAsia="Calibri" w:hAnsi="Palatino Linotype" w:cs="Arial"/>
        </w:rPr>
        <w:lastRenderedPageBreak/>
        <w:t>Por otro lado</w:t>
      </w:r>
      <w:r w:rsidR="009F09BC" w:rsidRPr="0036730A">
        <w:rPr>
          <w:rFonts w:ascii="Palatino Linotype" w:eastAsia="Calibri" w:hAnsi="Palatino Linotype" w:cs="Arial"/>
        </w:rPr>
        <w:t xml:space="preserve">, </w:t>
      </w:r>
      <w:r w:rsidR="00CF0D2B" w:rsidRPr="0036730A">
        <w:rPr>
          <w:rFonts w:ascii="Palatino Linotype" w:eastAsia="Calibri" w:hAnsi="Palatino Linotype" w:cs="Arial"/>
        </w:rPr>
        <w:t>e</w:t>
      </w:r>
      <w:r w:rsidR="009F09BC" w:rsidRPr="0036730A">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8112D" w:rsidRPr="0036730A" w:rsidRDefault="0038112D" w:rsidP="0046287B">
      <w:pPr>
        <w:pStyle w:val="Prrafodelista"/>
        <w:spacing w:line="360" w:lineRule="auto"/>
        <w:rPr>
          <w:rFonts w:ascii="Palatino Linotype" w:hAnsi="Palatino Linotype"/>
        </w:rPr>
      </w:pPr>
    </w:p>
    <w:p w:rsidR="009F09BC" w:rsidRPr="0036730A" w:rsidRDefault="0038112D" w:rsidP="0046287B">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36730A">
        <w:rPr>
          <w:rFonts w:ascii="Palatino Linotype" w:hAnsi="Palatino Linotype"/>
          <w:b/>
          <w:color w:val="auto"/>
          <w:sz w:val="24"/>
          <w:szCs w:val="24"/>
        </w:rPr>
        <w:t xml:space="preserve">TERCERO. </w:t>
      </w:r>
      <w:bookmarkEnd w:id="140"/>
      <w:bookmarkEnd w:id="141"/>
      <w:r w:rsidR="000E4B16" w:rsidRPr="0036730A">
        <w:rPr>
          <w:rFonts w:ascii="Palatino Linotype" w:hAnsi="Palatino Linotype"/>
          <w:b/>
          <w:color w:val="auto"/>
          <w:sz w:val="24"/>
          <w:szCs w:val="24"/>
        </w:rPr>
        <w:t>De las causales de sobreseimiento.</w:t>
      </w:r>
    </w:p>
    <w:p w:rsidR="009F09BC" w:rsidRPr="0036730A" w:rsidRDefault="009F09BC" w:rsidP="0046287B">
      <w:pPr>
        <w:spacing w:line="360" w:lineRule="auto"/>
        <w:rPr>
          <w:rFonts w:ascii="Palatino Linotype" w:hAnsi="Palatino Linotype"/>
          <w:lang w:val="es-MX" w:eastAsia="en-US"/>
        </w:rPr>
      </w:pPr>
    </w:p>
    <w:p w:rsidR="009F09BC" w:rsidRPr="0036730A" w:rsidRDefault="009F09BC" w:rsidP="006E2F0C">
      <w:pPr>
        <w:pStyle w:val="Prrafodelista"/>
        <w:numPr>
          <w:ilvl w:val="0"/>
          <w:numId w:val="1"/>
        </w:numPr>
        <w:spacing w:line="360" w:lineRule="auto"/>
        <w:ind w:left="0" w:firstLine="0"/>
        <w:jc w:val="both"/>
        <w:rPr>
          <w:rFonts w:ascii="Palatino Linotype" w:hAnsi="Palatino Linotype" w:cs="Arial"/>
        </w:rPr>
      </w:pPr>
      <w:r w:rsidRPr="0036730A">
        <w:rPr>
          <w:rFonts w:ascii="Palatino Linotype" w:hAnsi="Palatino Linotype" w:cs="Arial"/>
        </w:rPr>
        <w:t xml:space="preserve">Se </w:t>
      </w:r>
      <w:r w:rsidRPr="0036730A">
        <w:rPr>
          <w:rFonts w:ascii="Palatino Linotype" w:eastAsia="Calibri" w:hAnsi="Palatino Linotype" w:cs="Arial"/>
        </w:rPr>
        <w:t>solicitó</w:t>
      </w:r>
      <w:r w:rsidRPr="0036730A">
        <w:rPr>
          <w:rFonts w:ascii="Palatino Linotype" w:hAnsi="Palatino Linotype" w:cs="Arial"/>
        </w:rPr>
        <w:t xml:space="preserve"> </w:t>
      </w:r>
      <w:r w:rsidR="00AD63B4" w:rsidRPr="0036730A">
        <w:rPr>
          <w:rFonts w:ascii="Palatino Linotype" w:hAnsi="Palatino Linotype" w:cs="Arial"/>
        </w:rPr>
        <w:t xml:space="preserve">tener acceso, a la </w:t>
      </w:r>
      <w:r w:rsidRPr="0036730A">
        <w:rPr>
          <w:rFonts w:ascii="Palatino Linotype" w:hAnsi="Palatino Linotype" w:cs="Arial"/>
        </w:rPr>
        <w:t>información que a continuación se desagrega:</w:t>
      </w:r>
    </w:p>
    <w:p w:rsidR="0046287B" w:rsidRPr="0036730A" w:rsidRDefault="0046287B" w:rsidP="0046287B">
      <w:pPr>
        <w:pStyle w:val="Prrafodelista"/>
        <w:spacing w:line="360" w:lineRule="auto"/>
        <w:ind w:left="0"/>
        <w:jc w:val="both"/>
        <w:rPr>
          <w:rFonts w:ascii="Palatino Linotype" w:hAnsi="Palatino Linotype" w:cs="Arial"/>
        </w:rPr>
      </w:pPr>
    </w:p>
    <w:p w:rsidR="008C42B4" w:rsidRPr="0036730A" w:rsidRDefault="00DE3560" w:rsidP="006E2F0C">
      <w:pPr>
        <w:pStyle w:val="Prrafodelista"/>
        <w:numPr>
          <w:ilvl w:val="1"/>
          <w:numId w:val="4"/>
        </w:numPr>
        <w:spacing w:line="360" w:lineRule="auto"/>
        <w:ind w:left="1276"/>
        <w:jc w:val="both"/>
        <w:rPr>
          <w:rFonts w:ascii="Palatino Linotype" w:hAnsi="Palatino Linotype" w:cs="Arial"/>
        </w:rPr>
      </w:pPr>
      <w:r w:rsidRPr="0036730A">
        <w:rPr>
          <w:rFonts w:ascii="Palatino Linotype" w:hAnsi="Palatino Linotype" w:cs="Arial"/>
          <w:b/>
        </w:rPr>
        <w:t>Oficios emitidos y recibidos, de la Coordinación de Relaciones Públicas y Comunicación Social del primer semestre de 2020</w:t>
      </w:r>
      <w:r w:rsidR="00D94226" w:rsidRPr="0036730A">
        <w:rPr>
          <w:rFonts w:ascii="Palatino Linotype" w:hAnsi="Palatino Linotype" w:cs="Arial"/>
          <w:b/>
        </w:rPr>
        <w:t>.</w:t>
      </w:r>
    </w:p>
    <w:p w:rsidR="007142D6" w:rsidRPr="0036730A" w:rsidRDefault="007142D6" w:rsidP="0046287B">
      <w:pPr>
        <w:pStyle w:val="Prrafodelista"/>
        <w:spacing w:line="360" w:lineRule="auto"/>
        <w:ind w:left="709"/>
        <w:jc w:val="both"/>
        <w:rPr>
          <w:rFonts w:ascii="Palatino Linotype" w:hAnsi="Palatino Linotype" w:cs="Arial"/>
        </w:rPr>
      </w:pPr>
    </w:p>
    <w:p w:rsidR="009F09BC" w:rsidRPr="0036730A" w:rsidRDefault="0036730A" w:rsidP="006E2F0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En respuesta</w:t>
      </w:r>
      <w:r w:rsidR="000F1081" w:rsidRPr="0036730A">
        <w:rPr>
          <w:rFonts w:ascii="Palatino Linotype" w:hAnsi="Palatino Linotype" w:cs="Arial"/>
        </w:rPr>
        <w:t xml:space="preserve"> el </w:t>
      </w:r>
      <w:r w:rsidR="000F1081" w:rsidRPr="0036730A">
        <w:rPr>
          <w:rFonts w:ascii="Palatino Linotype" w:hAnsi="Palatino Linotype" w:cs="Arial"/>
          <w:b/>
        </w:rPr>
        <w:t>SUJETO OBLIGADO</w:t>
      </w:r>
      <w:r>
        <w:rPr>
          <w:rFonts w:ascii="Palatino Linotype" w:hAnsi="Palatino Linotype" w:cs="Arial"/>
          <w:b/>
        </w:rPr>
        <w:t>,</w:t>
      </w:r>
      <w:r w:rsidR="000F1081" w:rsidRPr="0036730A">
        <w:rPr>
          <w:rFonts w:ascii="Palatino Linotype" w:hAnsi="Palatino Linotype" w:cs="Arial"/>
          <w:b/>
        </w:rPr>
        <w:t xml:space="preserve"> </w:t>
      </w:r>
      <w:r w:rsidR="00C47D9C" w:rsidRPr="0036730A">
        <w:rPr>
          <w:rFonts w:ascii="Palatino Linotype" w:hAnsi="Palatino Linotype" w:cs="Arial"/>
        </w:rPr>
        <w:t xml:space="preserve">remitió </w:t>
      </w:r>
      <w:r w:rsidR="00903B2E" w:rsidRPr="0036730A">
        <w:rPr>
          <w:rFonts w:ascii="Palatino Linotype" w:hAnsi="Palatino Linotype" w:cs="Arial"/>
        </w:rPr>
        <w:t xml:space="preserve">un Acta del Comité de Transparencia donde establece que la documentación que estima daría respuesta a las solicitudes de información, sobrepasan las capacidades humanas del </w:t>
      </w:r>
      <w:r w:rsidR="00DE3560" w:rsidRPr="0036730A">
        <w:rPr>
          <w:rFonts w:ascii="Palatino Linotype" w:hAnsi="Palatino Linotype" w:cs="Arial"/>
          <w:b/>
        </w:rPr>
        <w:t>SUJETO OBLIGADO;</w:t>
      </w:r>
      <w:r w:rsidR="00C41E57" w:rsidRPr="0036730A">
        <w:rPr>
          <w:rFonts w:ascii="Palatino Linotype" w:hAnsi="Palatino Linotype" w:cs="Arial"/>
        </w:rPr>
        <w:t xml:space="preserve"> </w:t>
      </w:r>
      <w:r w:rsidR="009F09BC" w:rsidRPr="0036730A">
        <w:rPr>
          <w:rFonts w:ascii="Palatino Linotype" w:hAnsi="Palatino Linotype" w:cs="Arial"/>
        </w:rPr>
        <w:t>inconforme con la respuesta</w:t>
      </w:r>
      <w:r w:rsidR="00DE3560" w:rsidRPr="0036730A">
        <w:rPr>
          <w:rFonts w:ascii="Palatino Linotype" w:hAnsi="Palatino Linotype" w:cs="Arial"/>
        </w:rPr>
        <w:t xml:space="preserve"> al ahora recurrente</w:t>
      </w:r>
      <w:r w:rsidR="009F09BC" w:rsidRPr="0036730A">
        <w:rPr>
          <w:rFonts w:ascii="Palatino Linotype" w:hAnsi="Palatino Linotype" w:cs="Arial"/>
        </w:rPr>
        <w:t xml:space="preserve">, expuso </w:t>
      </w:r>
      <w:r w:rsidR="00CF0D2B" w:rsidRPr="0036730A">
        <w:rPr>
          <w:rFonts w:ascii="Palatino Linotype" w:hAnsi="Palatino Linotype" w:cs="Arial"/>
          <w:i/>
        </w:rPr>
        <w:t>grosso modo</w:t>
      </w:r>
      <w:r w:rsidR="00CF0D2B" w:rsidRPr="0036730A">
        <w:rPr>
          <w:rFonts w:ascii="Palatino Linotype" w:hAnsi="Palatino Linotype" w:cs="Arial"/>
        </w:rPr>
        <w:t xml:space="preserve"> </w:t>
      </w:r>
      <w:r w:rsidR="009F09BC" w:rsidRPr="0036730A">
        <w:rPr>
          <w:rFonts w:ascii="Palatino Linotype" w:hAnsi="Palatino Linotype" w:cs="Arial"/>
        </w:rPr>
        <w:t xml:space="preserve">su </w:t>
      </w:r>
      <w:r w:rsidR="00403D64" w:rsidRPr="0036730A">
        <w:rPr>
          <w:rFonts w:ascii="Palatino Linotype" w:hAnsi="Palatino Linotype" w:cs="Arial"/>
        </w:rPr>
        <w:t xml:space="preserve">inconformidad </w:t>
      </w:r>
      <w:r w:rsidR="00C47D9C" w:rsidRPr="0036730A">
        <w:rPr>
          <w:rFonts w:ascii="Palatino Linotype" w:hAnsi="Palatino Linotype" w:cs="Arial"/>
        </w:rPr>
        <w:t xml:space="preserve">por </w:t>
      </w:r>
      <w:r w:rsidR="00704273" w:rsidRPr="0036730A">
        <w:rPr>
          <w:rFonts w:ascii="Palatino Linotype" w:hAnsi="Palatino Linotype" w:cs="Arial"/>
        </w:rPr>
        <w:t>el cambio de modalidad de entrega de la información</w:t>
      </w:r>
      <w:r w:rsidR="00903B2E" w:rsidRPr="0036730A">
        <w:rPr>
          <w:rFonts w:ascii="Palatino Linotype" w:hAnsi="Palatino Linotype" w:cs="Arial"/>
        </w:rPr>
        <w:t xml:space="preserve">, así como la falta de </w:t>
      </w:r>
      <w:r w:rsidR="00DE3560" w:rsidRPr="0036730A">
        <w:rPr>
          <w:rFonts w:ascii="Palatino Linotype" w:hAnsi="Palatino Linotype" w:cs="Arial"/>
        </w:rPr>
        <w:t>motivación y fundamentación en la respuesta.</w:t>
      </w:r>
    </w:p>
    <w:p w:rsidR="0074110E" w:rsidRPr="0036730A" w:rsidRDefault="0074110E" w:rsidP="0046287B">
      <w:pPr>
        <w:spacing w:line="360" w:lineRule="auto"/>
        <w:contextualSpacing/>
        <w:jc w:val="both"/>
        <w:rPr>
          <w:rFonts w:ascii="Palatino Linotype" w:hAnsi="Palatino Linotype" w:cs="Arial"/>
        </w:rPr>
      </w:pPr>
    </w:p>
    <w:p w:rsidR="00D94226" w:rsidRPr="0036730A" w:rsidRDefault="009F09BC" w:rsidP="006E2F0C">
      <w:pPr>
        <w:numPr>
          <w:ilvl w:val="0"/>
          <w:numId w:val="1"/>
        </w:numPr>
        <w:spacing w:line="360" w:lineRule="auto"/>
        <w:ind w:left="0" w:firstLine="0"/>
        <w:contextualSpacing/>
        <w:jc w:val="both"/>
        <w:rPr>
          <w:rFonts w:ascii="Palatino Linotype" w:eastAsia="MS Mincho" w:hAnsi="Palatino Linotype" w:cs="Arial"/>
        </w:rPr>
      </w:pPr>
      <w:r w:rsidRPr="0036730A">
        <w:rPr>
          <w:rFonts w:ascii="Palatino Linotype" w:eastAsia="MS Mincho" w:hAnsi="Palatino Linotype" w:cs="Arial"/>
        </w:rPr>
        <w:t xml:space="preserve">En </w:t>
      </w:r>
      <w:r w:rsidRPr="0036730A">
        <w:rPr>
          <w:rFonts w:ascii="Palatino Linotype" w:hAnsi="Palatino Linotype" w:cs="Arial"/>
          <w:lang w:eastAsia="es-MX"/>
        </w:rPr>
        <w:t>dichas</w:t>
      </w:r>
      <w:r w:rsidRPr="0036730A">
        <w:rPr>
          <w:rFonts w:ascii="Palatino Linotype" w:eastAsia="Times New Roman" w:hAnsi="Palatino Linotype" w:cs="Arial"/>
        </w:rPr>
        <w:t xml:space="preserve"> condiciones, la </w:t>
      </w:r>
      <w:r w:rsidRPr="0036730A">
        <w:rPr>
          <w:rFonts w:ascii="Palatino Linotype" w:eastAsia="Times New Roman" w:hAnsi="Palatino Linotype" w:cs="Arial"/>
          <w:i/>
        </w:rPr>
        <w:t>Litis</w:t>
      </w:r>
      <w:r w:rsidRPr="0036730A">
        <w:rPr>
          <w:rFonts w:ascii="Palatino Linotype" w:eastAsia="Times New Roman" w:hAnsi="Palatino Linotype" w:cs="Arial"/>
        </w:rPr>
        <w:t xml:space="preserve"> a resolver en este recurso se circunscribe a determinar si </w:t>
      </w:r>
      <w:r w:rsidR="007142AB" w:rsidRPr="0036730A">
        <w:rPr>
          <w:rFonts w:ascii="Palatino Linotype" w:eastAsia="MS Mincho" w:hAnsi="Palatino Linotype" w:cs="Arial"/>
        </w:rPr>
        <w:t>se actualiza</w:t>
      </w:r>
      <w:r w:rsidRPr="0036730A">
        <w:rPr>
          <w:rFonts w:ascii="Palatino Linotype" w:eastAsia="MS Mincho" w:hAnsi="Palatino Linotype" w:cs="Arial"/>
        </w:rPr>
        <w:t xml:space="preserve"> la causal de procedencia prevista en el artículo 179, </w:t>
      </w:r>
      <w:r w:rsidR="00903B2E" w:rsidRPr="0036730A">
        <w:rPr>
          <w:rFonts w:ascii="Palatino Linotype" w:eastAsia="MS Mincho" w:hAnsi="Palatino Linotype" w:cs="Arial"/>
        </w:rPr>
        <w:t>fracciones</w:t>
      </w:r>
      <w:r w:rsidRPr="0036730A">
        <w:rPr>
          <w:rFonts w:ascii="Palatino Linotype" w:eastAsia="MS Mincho" w:hAnsi="Palatino Linotype" w:cs="Arial"/>
        </w:rPr>
        <w:t xml:space="preserve"> </w:t>
      </w:r>
      <w:r w:rsidR="00D94226" w:rsidRPr="0036730A">
        <w:rPr>
          <w:rFonts w:ascii="Palatino Linotype" w:eastAsia="MS Mincho" w:hAnsi="Palatino Linotype" w:cs="Arial"/>
        </w:rPr>
        <w:t>V</w:t>
      </w:r>
      <w:r w:rsidR="00155B02" w:rsidRPr="0036730A">
        <w:rPr>
          <w:rFonts w:ascii="Palatino Linotype" w:eastAsia="MS Mincho" w:hAnsi="Palatino Linotype" w:cs="Arial"/>
        </w:rPr>
        <w:t>II</w:t>
      </w:r>
      <w:r w:rsidR="00C41E57" w:rsidRPr="0036730A">
        <w:rPr>
          <w:rFonts w:ascii="Palatino Linotype" w:eastAsia="MS Mincho" w:hAnsi="Palatino Linotype" w:cs="Arial"/>
        </w:rPr>
        <w:t>I</w:t>
      </w:r>
      <w:r w:rsidRPr="0036730A">
        <w:rPr>
          <w:rFonts w:ascii="Palatino Linotype" w:eastAsia="MS Mincho" w:hAnsi="Palatino Linotype" w:cs="Arial"/>
        </w:rPr>
        <w:t xml:space="preserve"> de la Ley de Transparencia y Acceso a la Información Pública del Estado de México y </w:t>
      </w:r>
      <w:r w:rsidRPr="0036730A">
        <w:rPr>
          <w:rFonts w:ascii="Palatino Linotype" w:hAnsi="Palatino Linotype" w:cs="Arial"/>
        </w:rPr>
        <w:t>Municipios</w:t>
      </w:r>
      <w:r w:rsidRPr="0036730A">
        <w:rPr>
          <w:rFonts w:ascii="Palatino Linotype" w:eastAsia="MS Mincho" w:hAnsi="Palatino Linotype" w:cs="Arial"/>
        </w:rPr>
        <w:t xml:space="preserve">; </w:t>
      </w:r>
      <w:r w:rsidR="000E4B16" w:rsidRPr="0036730A">
        <w:rPr>
          <w:rFonts w:ascii="Palatino Linotype" w:eastAsia="Times New Roman" w:hAnsi="Palatino Linotype" w:cs="Arial"/>
          <w:color w:val="000000" w:themeColor="text1"/>
          <w:lang w:val="es-ES" w:eastAsia="es-MX"/>
        </w:rPr>
        <w:t>fracción</w:t>
      </w:r>
      <w:r w:rsidRPr="0036730A">
        <w:rPr>
          <w:rFonts w:ascii="Palatino Linotype" w:eastAsia="Times New Roman" w:hAnsi="Palatino Linotype" w:cs="Arial"/>
          <w:color w:val="000000" w:themeColor="text1"/>
          <w:lang w:val="es-ES" w:eastAsia="es-MX"/>
        </w:rPr>
        <w:t xml:space="preserve"> que determina </w:t>
      </w:r>
      <w:r w:rsidR="005B6702" w:rsidRPr="0036730A">
        <w:rPr>
          <w:rFonts w:ascii="Palatino Linotype" w:eastAsia="Times New Roman" w:hAnsi="Palatino Linotype" w:cs="Arial"/>
          <w:color w:val="000000" w:themeColor="text1"/>
          <w:lang w:val="es-ES" w:eastAsia="es-MX"/>
        </w:rPr>
        <w:t>la hipótesis jurídica</w:t>
      </w:r>
      <w:r w:rsidRPr="0036730A">
        <w:rPr>
          <w:rFonts w:ascii="Palatino Linotype" w:eastAsia="Times New Roman" w:hAnsi="Palatino Linotype" w:cs="Arial"/>
          <w:color w:val="000000" w:themeColor="text1"/>
          <w:lang w:val="es-ES" w:eastAsia="es-MX"/>
        </w:rPr>
        <w:t xml:space="preserve"> relativa</w:t>
      </w:r>
      <w:r w:rsidR="00D94226" w:rsidRPr="0036730A">
        <w:rPr>
          <w:rFonts w:ascii="Palatino Linotype" w:eastAsia="Times New Roman" w:hAnsi="Palatino Linotype" w:cs="Arial"/>
          <w:color w:val="000000" w:themeColor="text1"/>
          <w:lang w:val="es-ES" w:eastAsia="es-MX"/>
        </w:rPr>
        <w:t xml:space="preserve"> </w:t>
      </w:r>
      <w:r w:rsidR="00D94226" w:rsidRPr="0036730A">
        <w:rPr>
          <w:rFonts w:ascii="Palatino Linotype" w:eastAsia="Times New Roman" w:hAnsi="Palatino Linotype" w:cs="Arial"/>
          <w:color w:val="000000" w:themeColor="text1"/>
          <w:lang w:val="es-ES" w:eastAsia="es-MX"/>
        </w:rPr>
        <w:lastRenderedPageBreak/>
        <w:t xml:space="preserve">a </w:t>
      </w:r>
      <w:r w:rsidR="00155B02" w:rsidRPr="0036730A">
        <w:rPr>
          <w:rFonts w:ascii="Palatino Linotype" w:eastAsia="Times New Roman" w:hAnsi="Palatino Linotype" w:cs="Arial"/>
          <w:color w:val="000000" w:themeColor="text1"/>
          <w:lang w:val="es-ES" w:eastAsia="es-MX"/>
        </w:rPr>
        <w:t>la notificación, entrega o puesta a disposición de información en una modalidad o formato distinto al solicitado</w:t>
      </w:r>
      <w:r w:rsidRPr="0036730A">
        <w:rPr>
          <w:rFonts w:ascii="Palatino Linotype" w:eastAsia="Times New Roman" w:hAnsi="Palatino Linotype" w:cs="Arial"/>
          <w:color w:val="000000" w:themeColor="text1"/>
          <w:lang w:val="es-ES" w:eastAsia="es-MX"/>
        </w:rPr>
        <w:t xml:space="preserve">; </w:t>
      </w:r>
      <w:r w:rsidRPr="0036730A">
        <w:rPr>
          <w:rFonts w:ascii="Palatino Linotype" w:eastAsia="MS Mincho" w:hAnsi="Palatino Linotype" w:cs="Arial"/>
        </w:rPr>
        <w:t xml:space="preserve">contexto del cual se dolió </w:t>
      </w:r>
      <w:r w:rsidR="00C75EA7" w:rsidRPr="0036730A">
        <w:rPr>
          <w:rFonts w:ascii="Palatino Linotype" w:eastAsia="MS Mincho" w:hAnsi="Palatino Linotype" w:cs="Arial"/>
          <w:b/>
        </w:rPr>
        <w:t>EL RECURRENTE</w:t>
      </w:r>
      <w:r w:rsidRPr="0036730A">
        <w:rPr>
          <w:rFonts w:ascii="Palatino Linotype" w:eastAsia="MS Mincho" w:hAnsi="Palatino Linotype" w:cs="Arial"/>
          <w:b/>
        </w:rPr>
        <w:t xml:space="preserve"> </w:t>
      </w:r>
      <w:r w:rsidRPr="0036730A">
        <w:rPr>
          <w:rFonts w:ascii="Palatino Linotype" w:eastAsia="MS Mincho" w:hAnsi="Palatino Linotype" w:cs="Arial"/>
        </w:rPr>
        <w:t>al momento de interponer su inconformidad.</w:t>
      </w:r>
    </w:p>
    <w:p w:rsidR="009F09BC" w:rsidRPr="0036730A" w:rsidRDefault="009F09BC" w:rsidP="006E2F0C">
      <w:pPr>
        <w:numPr>
          <w:ilvl w:val="0"/>
          <w:numId w:val="1"/>
        </w:numPr>
        <w:spacing w:line="360" w:lineRule="auto"/>
        <w:ind w:left="0" w:firstLine="0"/>
        <w:contextualSpacing/>
        <w:jc w:val="both"/>
        <w:rPr>
          <w:rFonts w:ascii="Palatino Linotype" w:eastAsia="MS Mincho" w:hAnsi="Palatino Linotype" w:cs="Arial"/>
        </w:rPr>
      </w:pPr>
      <w:r w:rsidRPr="0036730A">
        <w:rPr>
          <w:rFonts w:ascii="Palatino Linotype" w:eastAsia="Times New Roman" w:hAnsi="Palatino Linotype" w:cs="Arial"/>
          <w:color w:val="000000" w:themeColor="text1"/>
          <w:lang w:val="es-ES" w:eastAsia="es-MX"/>
        </w:rPr>
        <w:t xml:space="preserve">De modo tal </w:t>
      </w:r>
      <w:r w:rsidRPr="0036730A">
        <w:rPr>
          <w:rFonts w:ascii="Palatino Linotype" w:hAnsi="Palatino Linotype" w:cs="Arial"/>
          <w:color w:val="000000" w:themeColor="text1"/>
        </w:rPr>
        <w:t xml:space="preserve">que el presente recurso de revisión </w:t>
      </w:r>
      <w:r w:rsidR="000E4B16" w:rsidRPr="0036730A">
        <w:rPr>
          <w:rFonts w:ascii="Palatino Linotype" w:hAnsi="Palatino Linotype" w:cs="Arial"/>
          <w:color w:val="000000" w:themeColor="text1"/>
        </w:rPr>
        <w:t>debiera</w:t>
      </w:r>
      <w:r w:rsidRPr="0036730A">
        <w:rPr>
          <w:rFonts w:ascii="Palatino Linotype" w:hAnsi="Palatino Linotype" w:cs="Arial"/>
          <w:color w:val="000000" w:themeColor="text1"/>
        </w:rPr>
        <w:t xml:space="preserve"> determinar si el </w:t>
      </w:r>
      <w:r w:rsidRPr="0036730A">
        <w:rPr>
          <w:rFonts w:ascii="Palatino Linotype" w:hAnsi="Palatino Linotype" w:cs="Arial"/>
          <w:b/>
          <w:color w:val="000000" w:themeColor="text1"/>
        </w:rPr>
        <w:t>SUJETO</w:t>
      </w:r>
      <w:r w:rsidRPr="0036730A">
        <w:rPr>
          <w:rFonts w:ascii="Palatino Linotype" w:hAnsi="Palatino Linotype" w:cs="Arial"/>
          <w:color w:val="000000" w:themeColor="text1"/>
        </w:rPr>
        <w:t xml:space="preserve"> </w:t>
      </w:r>
      <w:r w:rsidRPr="0036730A">
        <w:rPr>
          <w:rFonts w:ascii="Palatino Linotype" w:hAnsi="Palatino Linotype" w:cs="Arial"/>
          <w:b/>
          <w:color w:val="000000" w:themeColor="text1"/>
        </w:rPr>
        <w:t>OBLIGADO</w:t>
      </w:r>
      <w:r w:rsidRPr="0036730A">
        <w:rPr>
          <w:rFonts w:ascii="Palatino Linotype" w:hAnsi="Palatino Linotype" w:cs="Arial"/>
          <w:color w:val="000000" w:themeColor="text1"/>
        </w:rPr>
        <w:t xml:space="preserve"> con su respuesta ciertamente </w:t>
      </w:r>
      <w:r w:rsidRPr="0036730A">
        <w:rPr>
          <w:rFonts w:ascii="Palatino Linotype" w:eastAsia="Times New Roman" w:hAnsi="Palatino Linotype"/>
          <w:color w:val="000000" w:themeColor="text1"/>
        </w:rPr>
        <w:t>actualiza la</w:t>
      </w:r>
      <w:r w:rsidR="00903B2E" w:rsidRPr="0036730A">
        <w:rPr>
          <w:rFonts w:ascii="Palatino Linotype" w:eastAsia="Times New Roman" w:hAnsi="Palatino Linotype"/>
          <w:color w:val="000000" w:themeColor="text1"/>
        </w:rPr>
        <w:t>s</w:t>
      </w:r>
      <w:r w:rsidRPr="0036730A">
        <w:rPr>
          <w:rFonts w:ascii="Palatino Linotype" w:eastAsia="Times New Roman" w:hAnsi="Palatino Linotype"/>
          <w:color w:val="000000" w:themeColor="text1"/>
        </w:rPr>
        <w:t xml:space="preserve"> causal</w:t>
      </w:r>
      <w:r w:rsidR="00903B2E" w:rsidRPr="0036730A">
        <w:rPr>
          <w:rFonts w:ascii="Palatino Linotype" w:eastAsia="Times New Roman" w:hAnsi="Palatino Linotype"/>
          <w:color w:val="000000" w:themeColor="text1"/>
        </w:rPr>
        <w:t>es</w:t>
      </w:r>
      <w:r w:rsidRPr="0036730A">
        <w:rPr>
          <w:rFonts w:ascii="Palatino Linotype" w:eastAsia="Times New Roman" w:hAnsi="Palatino Linotype"/>
          <w:color w:val="000000" w:themeColor="text1"/>
        </w:rPr>
        <w:t xml:space="preserve"> de procedencia</w:t>
      </w:r>
      <w:r w:rsidRPr="0036730A">
        <w:rPr>
          <w:rFonts w:ascii="Palatino Linotype" w:eastAsia="Times New Roman" w:hAnsi="Palatino Linotype"/>
          <w:b/>
          <w:color w:val="000000" w:themeColor="text1"/>
        </w:rPr>
        <w:t xml:space="preserve"> </w:t>
      </w:r>
      <w:r w:rsidRPr="0036730A">
        <w:rPr>
          <w:rFonts w:ascii="Palatino Linotype" w:eastAsia="Times New Roman" w:hAnsi="Palatino Linotype" w:cs="Arial"/>
          <w:color w:val="000000" w:themeColor="text1"/>
          <w:lang w:eastAsia="es-MX"/>
        </w:rPr>
        <w:t>antes señalada</w:t>
      </w:r>
      <w:r w:rsidR="00903B2E" w:rsidRPr="0036730A">
        <w:rPr>
          <w:rFonts w:ascii="Palatino Linotype" w:eastAsia="Times New Roman" w:hAnsi="Palatino Linotype" w:cs="Arial"/>
          <w:color w:val="000000" w:themeColor="text1"/>
          <w:lang w:eastAsia="es-MX"/>
        </w:rPr>
        <w:t>s</w:t>
      </w:r>
      <w:r w:rsidRPr="0036730A">
        <w:rPr>
          <w:rFonts w:ascii="Palatino Linotype" w:eastAsia="Times New Roman" w:hAnsi="Palatino Linotype" w:cs="Arial"/>
          <w:color w:val="000000" w:themeColor="text1"/>
          <w:lang w:eastAsia="es-MX"/>
        </w:rPr>
        <w:t>. Así como comprobar si la respuesta emitida resulta congruente e integral en términos del artículo 11 de la ley de la materia.</w:t>
      </w:r>
    </w:p>
    <w:p w:rsidR="000E4B16" w:rsidRPr="0036730A" w:rsidRDefault="000E4B16" w:rsidP="000E4B16">
      <w:pPr>
        <w:spacing w:line="360" w:lineRule="auto"/>
        <w:contextualSpacing/>
        <w:jc w:val="both"/>
        <w:rPr>
          <w:rFonts w:ascii="Palatino Linotype" w:eastAsia="MS Mincho" w:hAnsi="Palatino Linotype" w:cs="Arial"/>
        </w:rPr>
      </w:pPr>
    </w:p>
    <w:p w:rsidR="000E4B16" w:rsidRPr="0036730A" w:rsidRDefault="000E4B16"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rPr>
        <w:t xml:space="preserve">En esa tesitura, el </w:t>
      </w:r>
      <w:r w:rsidRPr="0036730A">
        <w:rPr>
          <w:rFonts w:ascii="Palatino Linotype" w:eastAsia="Times New Roman" w:hAnsi="Palatino Linotype" w:cs="Arial"/>
          <w:color w:val="000000" w:themeColor="text1"/>
          <w:lang w:val="es-ES" w:eastAsia="es-MX"/>
        </w:rPr>
        <w:t>recurso</w:t>
      </w:r>
      <w:r w:rsidRPr="0036730A">
        <w:rPr>
          <w:rFonts w:ascii="Palatino Linotype" w:eastAsia="Calibri" w:hAnsi="Palatino Linotype" w:cs="Arial"/>
          <w:color w:val="000000" w:themeColor="text1"/>
        </w:rPr>
        <w:t xml:space="preserve"> de revisión </w:t>
      </w:r>
      <w:r w:rsidRPr="0036730A">
        <w:rPr>
          <w:rFonts w:ascii="Palatino Linotype" w:hAnsi="Palatino Linotype" w:cs="Arial"/>
        </w:rPr>
        <w:t xml:space="preserve">tiene como finalidad reparar cualquier posible afectación al derecho de acceso a la información pública en términos del Título Octavo de la Ley de </w:t>
      </w:r>
      <w:r w:rsidRPr="0036730A">
        <w:rPr>
          <w:rFonts w:ascii="Palatino Linotype" w:eastAsia="Calibri" w:hAnsi="Palatino Linotype" w:cs="Arial"/>
        </w:rPr>
        <w:t>Transparencia, Acceso a la Información Pública del Estado de México y Municipios</w:t>
      </w:r>
      <w:r w:rsidRPr="0036730A">
        <w:rPr>
          <w:rFonts w:ascii="Palatino Linotype" w:hAnsi="Palatino Linotype" w:cs="Arial"/>
        </w:rPr>
        <w:t xml:space="preserve">, y determinar la confirmación; revocación o modificación; </w:t>
      </w:r>
      <w:proofErr w:type="spellStart"/>
      <w:r w:rsidRPr="0036730A">
        <w:rPr>
          <w:rFonts w:ascii="Palatino Linotype" w:hAnsi="Palatino Linotype" w:cs="Arial"/>
        </w:rPr>
        <w:t>desechamiento</w:t>
      </w:r>
      <w:proofErr w:type="spellEnd"/>
      <w:r w:rsidRPr="0036730A">
        <w:rPr>
          <w:rFonts w:ascii="Palatino Linotype" w:hAnsi="Palatino Linotype" w:cs="Arial"/>
        </w:rPr>
        <w:t xml:space="preserve"> o </w:t>
      </w:r>
      <w:r w:rsidRPr="007B5497">
        <w:rPr>
          <w:rFonts w:ascii="Palatino Linotype" w:hAnsi="Palatino Linotype" w:cs="Arial"/>
        </w:rPr>
        <w:t>sobreseimiento;</w:t>
      </w:r>
      <w:r w:rsidRPr="0036730A">
        <w:rPr>
          <w:rFonts w:ascii="Palatino Linotype" w:hAnsi="Palatino Linotype" w:cs="Arial"/>
        </w:rPr>
        <w:t xml:space="preserve"> y en su caso ordenar la entrega de la información con respecto a la respuesta emitida por el </w:t>
      </w:r>
      <w:r w:rsidRPr="0036730A">
        <w:rPr>
          <w:rFonts w:ascii="Palatino Linotype" w:hAnsi="Palatino Linotype" w:cs="Arial"/>
          <w:b/>
        </w:rPr>
        <w:t>SUJETO</w:t>
      </w:r>
      <w:r w:rsidRPr="0036730A">
        <w:rPr>
          <w:rFonts w:ascii="Palatino Linotype" w:hAnsi="Palatino Linotype" w:cs="Arial"/>
        </w:rPr>
        <w:t xml:space="preserve"> </w:t>
      </w:r>
      <w:r w:rsidRPr="0036730A">
        <w:rPr>
          <w:rFonts w:ascii="Palatino Linotype" w:hAnsi="Palatino Linotype" w:cs="Arial"/>
          <w:b/>
        </w:rPr>
        <w:t>OBLIGADO</w:t>
      </w:r>
      <w:r w:rsidRPr="0036730A">
        <w:rPr>
          <w:rFonts w:ascii="Palatino Linotype" w:hAnsi="Palatino Linotype" w:cs="Arial"/>
        </w:rPr>
        <w:t>.</w:t>
      </w:r>
    </w:p>
    <w:p w:rsidR="000E4B16" w:rsidRPr="0036730A" w:rsidRDefault="000E4B16" w:rsidP="000E4B16">
      <w:pPr>
        <w:spacing w:line="360" w:lineRule="auto"/>
        <w:contextualSpacing/>
        <w:jc w:val="both"/>
        <w:rPr>
          <w:rFonts w:ascii="Palatino Linotype" w:eastAsia="Calibri" w:hAnsi="Palatino Linotype" w:cs="Arial"/>
          <w:color w:val="000000" w:themeColor="text1"/>
          <w:lang w:val="es-ES"/>
        </w:rPr>
      </w:pPr>
    </w:p>
    <w:p w:rsidR="000E4B16" w:rsidRPr="0036730A" w:rsidRDefault="000E4B16"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rPr>
        <w:t xml:space="preserve">De </w:t>
      </w:r>
      <w:r w:rsidRPr="0036730A">
        <w:rPr>
          <w:rFonts w:ascii="Palatino Linotype" w:eastAsia="Calibri" w:hAnsi="Palatino Linotype" w:cs="Times New Roman"/>
          <w:lang w:val="es-MX"/>
        </w:rPr>
        <w:t>acuerdo al precepto legal contenido</w:t>
      </w:r>
      <w:r w:rsidRPr="0036730A">
        <w:rPr>
          <w:rFonts w:ascii="Palatino Linotype" w:eastAsia="Calibri" w:hAnsi="Palatino Linotype" w:cs="Times New Roman"/>
        </w:rPr>
        <w:t xml:space="preserve"> en la fracción IV del artículo 192 de la Ley de Transparencia y </w:t>
      </w:r>
      <w:r w:rsidRPr="0036730A">
        <w:rPr>
          <w:rFonts w:ascii="Palatino Linotype" w:eastAsia="Calibri" w:hAnsi="Palatino Linotype" w:cs="Arial"/>
          <w:color w:val="000000" w:themeColor="text1"/>
        </w:rPr>
        <w:t>Acceso</w:t>
      </w:r>
      <w:r w:rsidRPr="0036730A">
        <w:rPr>
          <w:rFonts w:ascii="Palatino Linotype" w:eastAsia="Calibri" w:hAnsi="Palatino Linotype" w:cs="Times New Roman"/>
        </w:rPr>
        <w:t xml:space="preserve"> a la Información Pública del Estado de México y Municipios, el recurso será sobreseído, cuando una vez admitido el recurso de revisión, aparezca alguna causal de improcedencia en </w:t>
      </w:r>
      <w:r w:rsidRPr="0036730A">
        <w:rPr>
          <w:rFonts w:ascii="Palatino Linotype" w:eastAsia="Calibri" w:hAnsi="Palatino Linotype" w:cs="Arial"/>
          <w:color w:val="000000" w:themeColor="text1"/>
        </w:rPr>
        <w:t>los</w:t>
      </w:r>
      <w:r w:rsidRPr="0036730A">
        <w:rPr>
          <w:rFonts w:ascii="Palatino Linotype" w:eastAsia="Calibri" w:hAnsi="Palatino Linotype" w:cs="Times New Roman"/>
        </w:rPr>
        <w:t xml:space="preserve"> términos de la presente Ley; de ahí que la actualización de alguno de éste trae como consecuencia que el medio de impugnación se concluya sin que se analice el objeto de estudio </w:t>
      </w:r>
      <w:r w:rsidR="008F3B45" w:rsidRPr="0036730A">
        <w:rPr>
          <w:rFonts w:ascii="Palatino Linotype" w:eastAsia="Calibri" w:hAnsi="Palatino Linotype" w:cs="Times New Roman"/>
        </w:rPr>
        <w:t>planteado, es decir se sobresea, como se observa:</w:t>
      </w:r>
    </w:p>
    <w:p w:rsidR="008F3B45" w:rsidRPr="0036730A" w:rsidRDefault="008F3B45" w:rsidP="008F3B45">
      <w:pPr>
        <w:pStyle w:val="Prrafodelista"/>
        <w:rPr>
          <w:rFonts w:ascii="Palatino Linotype" w:eastAsia="Calibri" w:hAnsi="Palatino Linotype" w:cs="Arial"/>
          <w:color w:val="000000" w:themeColor="text1"/>
          <w:lang w:val="es-ES"/>
        </w:rPr>
      </w:pPr>
    </w:p>
    <w:p w:rsidR="008F3B45" w:rsidRPr="0036730A" w:rsidRDefault="008F3B45" w:rsidP="008F3B45">
      <w:pPr>
        <w:ind w:left="425" w:right="476"/>
        <w:contextualSpacing/>
        <w:jc w:val="both"/>
        <w:rPr>
          <w:rFonts w:ascii="Palatino Linotype" w:eastAsia="Calibri" w:hAnsi="Palatino Linotype" w:cs="Arial"/>
          <w:i/>
          <w:color w:val="000000" w:themeColor="text1"/>
          <w:lang w:val="es-ES"/>
        </w:rPr>
      </w:pPr>
      <w:r w:rsidRPr="0036730A">
        <w:rPr>
          <w:rFonts w:ascii="Palatino Linotype" w:eastAsia="Calibri" w:hAnsi="Palatino Linotype" w:cs="Arial"/>
          <w:i/>
          <w:color w:val="000000" w:themeColor="text1"/>
          <w:lang w:val="es-ES"/>
        </w:rPr>
        <w:t xml:space="preserve">“Artículo 192. </w:t>
      </w:r>
      <w:r w:rsidRPr="0036730A">
        <w:rPr>
          <w:rFonts w:ascii="Palatino Linotype" w:eastAsia="Calibri" w:hAnsi="Palatino Linotype" w:cs="Arial"/>
          <w:b/>
          <w:i/>
          <w:color w:val="000000" w:themeColor="text1"/>
          <w:lang w:val="es-ES"/>
        </w:rPr>
        <w:t>El recurso será sobreseído</w:t>
      </w:r>
      <w:r w:rsidRPr="0036730A">
        <w:rPr>
          <w:rFonts w:ascii="Palatino Linotype" w:eastAsia="Calibri" w:hAnsi="Palatino Linotype" w:cs="Arial"/>
          <w:i/>
          <w:color w:val="000000" w:themeColor="text1"/>
          <w:lang w:val="es-ES"/>
        </w:rPr>
        <w:t>, en todo o en parte, cuando una vez admitido, se actualicen alguno de los siguientes supuestos:</w:t>
      </w:r>
    </w:p>
    <w:p w:rsidR="008F3B45" w:rsidRPr="0036730A" w:rsidRDefault="008F3B45" w:rsidP="008F3B45">
      <w:pPr>
        <w:ind w:left="425" w:right="476"/>
        <w:contextualSpacing/>
        <w:jc w:val="both"/>
        <w:rPr>
          <w:rFonts w:ascii="Palatino Linotype" w:eastAsia="Calibri" w:hAnsi="Palatino Linotype" w:cs="Arial"/>
          <w:i/>
          <w:color w:val="000000" w:themeColor="text1"/>
          <w:lang w:val="es-ES"/>
        </w:rPr>
      </w:pPr>
      <w:r w:rsidRPr="0036730A">
        <w:rPr>
          <w:rFonts w:ascii="Palatino Linotype" w:eastAsia="Calibri" w:hAnsi="Palatino Linotype" w:cs="Arial"/>
          <w:i/>
          <w:color w:val="000000" w:themeColor="text1"/>
          <w:lang w:val="es-ES"/>
        </w:rPr>
        <w:lastRenderedPageBreak/>
        <w:t>...</w:t>
      </w:r>
    </w:p>
    <w:p w:rsidR="008F3B45" w:rsidRPr="0036730A" w:rsidRDefault="008F3B45" w:rsidP="008F3B45">
      <w:pPr>
        <w:ind w:left="425" w:right="476"/>
        <w:contextualSpacing/>
        <w:jc w:val="both"/>
        <w:rPr>
          <w:rFonts w:ascii="Palatino Linotype" w:eastAsia="Calibri" w:hAnsi="Palatino Linotype" w:cs="Arial"/>
          <w:i/>
          <w:color w:val="000000" w:themeColor="text1"/>
          <w:lang w:val="es-ES"/>
        </w:rPr>
      </w:pPr>
      <w:r w:rsidRPr="0036730A">
        <w:rPr>
          <w:rFonts w:ascii="Palatino Linotype" w:eastAsia="Calibri" w:hAnsi="Palatino Linotype" w:cs="Arial"/>
          <w:i/>
          <w:color w:val="000000" w:themeColor="text1"/>
          <w:lang w:val="es-ES"/>
        </w:rPr>
        <w:t xml:space="preserve">IV. Admitido el recurso de revisión, </w:t>
      </w:r>
      <w:r w:rsidRPr="0036730A">
        <w:rPr>
          <w:rFonts w:ascii="Palatino Linotype" w:eastAsia="Calibri" w:hAnsi="Palatino Linotype" w:cs="Arial"/>
          <w:b/>
          <w:i/>
          <w:color w:val="000000" w:themeColor="text1"/>
          <w:lang w:val="es-ES"/>
        </w:rPr>
        <w:t xml:space="preserve">aparezca alguna causal de </w:t>
      </w:r>
      <w:r w:rsidRPr="0036730A">
        <w:rPr>
          <w:rFonts w:ascii="Palatino Linotype" w:eastAsia="Calibri" w:hAnsi="Palatino Linotype" w:cs="Arial"/>
          <w:b/>
          <w:i/>
          <w:color w:val="000000" w:themeColor="text1"/>
          <w:u w:val="single"/>
          <w:lang w:val="es-ES"/>
        </w:rPr>
        <w:t>improcedencia</w:t>
      </w:r>
      <w:r w:rsidRPr="0036730A">
        <w:rPr>
          <w:rFonts w:ascii="Palatino Linotype" w:eastAsia="Calibri" w:hAnsi="Palatino Linotype" w:cs="Arial"/>
          <w:i/>
          <w:color w:val="000000" w:themeColor="text1"/>
          <w:u w:val="single"/>
          <w:lang w:val="es-ES"/>
        </w:rPr>
        <w:t xml:space="preserve"> </w:t>
      </w:r>
      <w:r w:rsidRPr="0036730A">
        <w:rPr>
          <w:rFonts w:ascii="Palatino Linotype" w:eastAsia="Calibri" w:hAnsi="Palatino Linotype" w:cs="Arial"/>
          <w:i/>
          <w:color w:val="000000" w:themeColor="text1"/>
          <w:lang w:val="es-ES"/>
        </w:rPr>
        <w:t>en los términos de la presente Ley; y</w:t>
      </w:r>
    </w:p>
    <w:p w:rsidR="008F3B45" w:rsidRPr="0036730A" w:rsidRDefault="008F3B45" w:rsidP="008F3B45">
      <w:pPr>
        <w:ind w:left="425" w:right="476"/>
        <w:contextualSpacing/>
        <w:jc w:val="both"/>
        <w:rPr>
          <w:rFonts w:ascii="Palatino Linotype" w:eastAsia="Calibri" w:hAnsi="Palatino Linotype" w:cs="Arial"/>
          <w:i/>
          <w:color w:val="000000" w:themeColor="text1"/>
          <w:lang w:val="es-ES"/>
        </w:rPr>
      </w:pPr>
      <w:r w:rsidRPr="0036730A">
        <w:rPr>
          <w:rFonts w:ascii="Palatino Linotype" w:eastAsia="Calibri" w:hAnsi="Palatino Linotype" w:cs="Arial"/>
          <w:i/>
          <w:color w:val="000000" w:themeColor="text1"/>
          <w:lang w:val="es-ES"/>
        </w:rPr>
        <w:t>...”</w:t>
      </w:r>
    </w:p>
    <w:p w:rsidR="000E4B16" w:rsidRPr="0036730A" w:rsidRDefault="002B67D7" w:rsidP="002B67D7">
      <w:pPr>
        <w:ind w:left="426"/>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lang w:val="es-ES"/>
        </w:rPr>
        <w:t>Énfasis añadido</w:t>
      </w:r>
    </w:p>
    <w:p w:rsidR="000E4B16" w:rsidRPr="0036730A" w:rsidRDefault="000E4B16"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lang w:val="es-ES"/>
        </w:rPr>
        <w:t xml:space="preserve">Para </w:t>
      </w:r>
      <w:r w:rsidRPr="0036730A">
        <w:rPr>
          <w:rFonts w:ascii="Palatino Linotype" w:eastAsia="Calibri" w:hAnsi="Palatino Linotype" w:cs="Times New Roman"/>
        </w:rPr>
        <w:t>los efectos de esta resolución, es oportuno precisar los alcan</w:t>
      </w:r>
      <w:r w:rsidR="008F3B45" w:rsidRPr="0036730A">
        <w:rPr>
          <w:rFonts w:ascii="Palatino Linotype" w:eastAsia="Calibri" w:hAnsi="Palatino Linotype" w:cs="Times New Roman"/>
        </w:rPr>
        <w:t>ces jurídicos de la fracción IV</w:t>
      </w:r>
      <w:r w:rsidRPr="0036730A">
        <w:rPr>
          <w:rFonts w:ascii="Palatino Linotype" w:eastAsia="Calibri" w:hAnsi="Palatino Linotype" w:cs="Times New Roman"/>
        </w:rPr>
        <w:t xml:space="preserve"> de la disposición legal transcrita. </w:t>
      </w:r>
      <w:r w:rsidR="002B67D7" w:rsidRPr="0036730A">
        <w:rPr>
          <w:rFonts w:ascii="Palatino Linotype" w:eastAsia="Calibri" w:hAnsi="Palatino Linotype" w:cs="Times New Roman"/>
        </w:rPr>
        <w:t>Ya que la misma estima</w:t>
      </w:r>
      <w:r w:rsidRPr="0036730A">
        <w:rPr>
          <w:rFonts w:ascii="Palatino Linotype" w:eastAsia="Calibri" w:hAnsi="Palatino Linotype" w:cs="Times New Roman"/>
        </w:rPr>
        <w:t xml:space="preserve"> procede</w:t>
      </w:r>
      <w:r w:rsidR="002B67D7" w:rsidRPr="0036730A">
        <w:rPr>
          <w:rFonts w:ascii="Palatino Linotype" w:eastAsia="Calibri" w:hAnsi="Palatino Linotype" w:cs="Times New Roman"/>
        </w:rPr>
        <w:t>nte</w:t>
      </w:r>
      <w:r w:rsidRPr="0036730A">
        <w:rPr>
          <w:rFonts w:ascii="Palatino Linotype" w:eastAsia="Calibri" w:hAnsi="Palatino Linotype" w:cs="Times New Roman"/>
        </w:rPr>
        <w:t xml:space="preserve"> el sobreseimiento del </w:t>
      </w:r>
      <w:r w:rsidR="002B67D7" w:rsidRPr="0036730A">
        <w:rPr>
          <w:rFonts w:ascii="Palatino Linotype" w:eastAsia="Calibri" w:hAnsi="Palatino Linotype" w:cs="Times New Roman"/>
        </w:rPr>
        <w:t xml:space="preserve">presente </w:t>
      </w:r>
      <w:r w:rsidRPr="0036730A">
        <w:rPr>
          <w:rFonts w:ascii="Palatino Linotype" w:eastAsia="Calibri" w:hAnsi="Palatino Linotype" w:cs="Times New Roman"/>
        </w:rPr>
        <w:t xml:space="preserve">recurso de revisión </w:t>
      </w:r>
      <w:r w:rsidRPr="0036730A">
        <w:rPr>
          <w:rFonts w:ascii="Palatino Linotype" w:eastAsia="Calibri" w:hAnsi="Palatino Linotype" w:cs="Arial"/>
          <w:color w:val="000000" w:themeColor="text1"/>
        </w:rPr>
        <w:t>cuando</w:t>
      </w:r>
      <w:r w:rsidRPr="0036730A">
        <w:rPr>
          <w:rFonts w:ascii="Palatino Linotype" w:eastAsia="Calibri" w:hAnsi="Palatino Linotype" w:cs="Times New Roman"/>
        </w:rPr>
        <w:t xml:space="preserve"> admitido el recurso de revisión, aparezca alguna causal de improcedencia en los términos de la Ley de Transparencia y Acceso a la Información Pública del Estado de México y Municipios.</w:t>
      </w:r>
    </w:p>
    <w:p w:rsidR="00F70ADD" w:rsidRPr="0036730A" w:rsidRDefault="00F70ADD" w:rsidP="00F70ADD">
      <w:pPr>
        <w:spacing w:line="360" w:lineRule="auto"/>
        <w:contextualSpacing/>
        <w:jc w:val="both"/>
        <w:rPr>
          <w:rFonts w:ascii="Palatino Linotype" w:eastAsia="Calibri" w:hAnsi="Palatino Linotype" w:cs="Arial"/>
          <w:color w:val="000000" w:themeColor="text1"/>
          <w:lang w:val="es-ES"/>
        </w:rPr>
      </w:pPr>
    </w:p>
    <w:p w:rsidR="000E4B16" w:rsidRPr="0036730A" w:rsidRDefault="00695DAD"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lang w:val="es-ES"/>
        </w:rPr>
        <w:t xml:space="preserve">Lo anterior </w:t>
      </w:r>
      <w:r w:rsidR="00F70ADD" w:rsidRPr="0036730A">
        <w:rPr>
          <w:rFonts w:ascii="Palatino Linotype" w:eastAsia="Calibri" w:hAnsi="Palatino Linotype" w:cs="Arial"/>
          <w:color w:val="000000" w:themeColor="text1"/>
          <w:lang w:val="es-ES"/>
        </w:rPr>
        <w:t>a colación</w:t>
      </w:r>
      <w:r w:rsidRPr="0036730A">
        <w:rPr>
          <w:rFonts w:ascii="Palatino Linotype" w:eastAsia="Calibri" w:hAnsi="Palatino Linotype" w:cs="Arial"/>
          <w:color w:val="000000" w:themeColor="text1"/>
          <w:lang w:val="es-ES"/>
        </w:rPr>
        <w:t>, que como quedó señalado en el apartado de antecedentes, la</w:t>
      </w:r>
      <w:r w:rsidR="00F70ADD" w:rsidRPr="0036730A">
        <w:rPr>
          <w:rFonts w:ascii="Palatino Linotype" w:eastAsia="Calibri" w:hAnsi="Palatino Linotype" w:cs="Arial"/>
          <w:color w:val="000000" w:themeColor="text1"/>
          <w:lang w:val="es-ES"/>
        </w:rPr>
        <w:t xml:space="preserve"> interposición del recurso de revisión</w:t>
      </w:r>
      <w:r w:rsidRPr="0036730A">
        <w:rPr>
          <w:rFonts w:ascii="Palatino Linotype" w:eastAsia="Calibri" w:hAnsi="Palatino Linotype" w:cs="Arial"/>
          <w:color w:val="000000" w:themeColor="text1"/>
          <w:lang w:val="es-ES"/>
        </w:rPr>
        <w:t xml:space="preserve"> se emitió fuera del plazo legal para tal efecto como se desprende de la siguiente captura de pantalla:</w:t>
      </w:r>
    </w:p>
    <w:p w:rsidR="005156FF" w:rsidRDefault="005156FF" w:rsidP="00695DAD">
      <w:pPr>
        <w:spacing w:line="360" w:lineRule="auto"/>
        <w:contextualSpacing/>
        <w:jc w:val="center"/>
        <w:rPr>
          <w:noProof/>
          <w:lang w:val="es-MX" w:eastAsia="es-MX"/>
        </w:rPr>
      </w:pPr>
    </w:p>
    <w:p w:rsidR="00695DAD" w:rsidRPr="0036730A" w:rsidRDefault="005156FF" w:rsidP="00695DAD">
      <w:pPr>
        <w:spacing w:line="360" w:lineRule="auto"/>
        <w:contextualSpacing/>
        <w:jc w:val="center"/>
        <w:rPr>
          <w:rFonts w:ascii="Palatino Linotype" w:eastAsia="Calibri" w:hAnsi="Palatino Linotype" w:cs="Arial"/>
          <w:color w:val="000000" w:themeColor="text1"/>
          <w:lang w:val="es-ES"/>
        </w:rPr>
      </w:pPr>
      <w:r>
        <w:rPr>
          <w:noProof/>
          <w:lang w:val="es-MX" w:eastAsia="es-MX"/>
        </w:rPr>
        <w:drawing>
          <wp:inline distT="0" distB="0" distL="0" distR="0" wp14:anchorId="0DDFFF55" wp14:editId="0777E50C">
            <wp:extent cx="5313872" cy="159697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87" t="59303" r="34212" b="24026"/>
                    <a:stretch/>
                  </pic:blipFill>
                  <pic:spPr bwMode="auto">
                    <a:xfrm>
                      <a:off x="0" y="0"/>
                      <a:ext cx="5396084" cy="1621682"/>
                    </a:xfrm>
                    <a:prstGeom prst="rect">
                      <a:avLst/>
                    </a:prstGeom>
                    <a:ln>
                      <a:noFill/>
                    </a:ln>
                    <a:extLst>
                      <a:ext uri="{53640926-AAD7-44D8-BBD7-CCE9431645EC}">
                        <a14:shadowObscured xmlns:a14="http://schemas.microsoft.com/office/drawing/2010/main"/>
                      </a:ext>
                    </a:extLst>
                  </pic:spPr>
                </pic:pic>
              </a:graphicData>
            </a:graphic>
          </wp:inline>
        </w:drawing>
      </w:r>
    </w:p>
    <w:p w:rsidR="00695DAD" w:rsidRPr="0036730A" w:rsidRDefault="00695DAD" w:rsidP="00695DAD">
      <w:pPr>
        <w:spacing w:line="360" w:lineRule="auto"/>
        <w:contextualSpacing/>
        <w:jc w:val="both"/>
        <w:rPr>
          <w:rFonts w:ascii="Palatino Linotype" w:eastAsia="Calibri" w:hAnsi="Palatino Linotype" w:cs="Arial"/>
          <w:color w:val="000000" w:themeColor="text1"/>
          <w:lang w:val="es-ES"/>
        </w:rPr>
      </w:pPr>
    </w:p>
    <w:p w:rsidR="00695DAD" w:rsidRPr="0036730A" w:rsidRDefault="00695DAD"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lang w:val="es-ES"/>
        </w:rPr>
        <w:t>En ese sentido, los quince días hábiles</w:t>
      </w:r>
      <w:r w:rsidRPr="0036730A">
        <w:rPr>
          <w:rFonts w:ascii="Palatino Linotype" w:hAnsi="Palatino Linotype"/>
        </w:rPr>
        <w:t xml:space="preserve"> </w:t>
      </w:r>
      <w:r w:rsidRPr="0036730A">
        <w:rPr>
          <w:rFonts w:ascii="Palatino Linotype" w:eastAsia="Calibri" w:hAnsi="Palatino Linotype" w:cs="Arial"/>
          <w:color w:val="000000" w:themeColor="text1"/>
          <w:lang w:val="es-ES"/>
        </w:rPr>
        <w:t>siguientes a la fecha de la notificación de la respuesta</w:t>
      </w:r>
      <w:r w:rsidR="00B313DC" w:rsidRPr="0036730A">
        <w:rPr>
          <w:rFonts w:ascii="Palatino Linotype" w:eastAsia="Calibri" w:hAnsi="Palatino Linotype" w:cs="Arial"/>
          <w:color w:val="000000" w:themeColor="text1"/>
          <w:lang w:val="es-ES"/>
        </w:rPr>
        <w:t xml:space="preserve"> que establece el artículo 178 Ley de Transparencia y Acceso a la Información Pública del Estado de México y Municipios</w:t>
      </w:r>
      <w:r w:rsidR="00F70ADD" w:rsidRPr="0036730A">
        <w:rPr>
          <w:rFonts w:ascii="Palatino Linotype" w:eastAsia="Calibri" w:hAnsi="Palatino Linotype" w:cs="Arial"/>
          <w:color w:val="000000" w:themeColor="text1"/>
          <w:lang w:val="es-ES"/>
        </w:rPr>
        <w:t>, iniciaron del día uno</w:t>
      </w:r>
      <w:r w:rsidR="00357E3D" w:rsidRPr="0036730A">
        <w:rPr>
          <w:rFonts w:ascii="Palatino Linotype" w:eastAsia="Calibri" w:hAnsi="Palatino Linotype" w:cs="Arial"/>
          <w:color w:val="000000" w:themeColor="text1"/>
          <w:lang w:val="es-ES"/>
        </w:rPr>
        <w:t xml:space="preserve"> de marzo</w:t>
      </w:r>
      <w:r w:rsidR="00F70ADD" w:rsidRPr="0036730A">
        <w:rPr>
          <w:rFonts w:ascii="Palatino Linotype" w:eastAsia="Calibri" w:hAnsi="Palatino Linotype" w:cs="Arial"/>
          <w:color w:val="000000" w:themeColor="text1"/>
          <w:lang w:val="es-ES"/>
        </w:rPr>
        <w:t xml:space="preserve"> </w:t>
      </w:r>
      <w:r w:rsidR="00357E3D" w:rsidRPr="0036730A">
        <w:rPr>
          <w:rFonts w:ascii="Palatino Linotype" w:eastAsia="Calibri" w:hAnsi="Palatino Linotype" w:cs="Arial"/>
          <w:color w:val="000000" w:themeColor="text1"/>
          <w:lang w:val="es-ES"/>
        </w:rPr>
        <w:t xml:space="preserve">y fenecieron el </w:t>
      </w:r>
      <w:r w:rsidR="00F70ADD" w:rsidRPr="0036730A">
        <w:rPr>
          <w:rFonts w:ascii="Palatino Linotype" w:eastAsia="Calibri" w:hAnsi="Palatino Linotype" w:cs="Arial"/>
          <w:color w:val="000000" w:themeColor="text1"/>
          <w:lang w:val="es-ES"/>
        </w:rPr>
        <w:t xml:space="preserve">veintitrés de marzo del año en curso; toda vez que los días dos </w:t>
      </w:r>
      <w:r w:rsidR="00F70ADD" w:rsidRPr="0036730A">
        <w:rPr>
          <w:rFonts w:ascii="Palatino Linotype" w:eastAsia="Calibri" w:hAnsi="Palatino Linotype" w:cs="Arial"/>
          <w:color w:val="000000" w:themeColor="text1"/>
          <w:lang w:val="es-ES"/>
        </w:rPr>
        <w:lastRenderedPageBreak/>
        <w:t>y veinte del mismo mes y año, fueron inhábiles de conformidad al Calendario Oficial en materia de Transparencia, Acceso a la Información Pública y Protección de Datos Personales del Estado de México, a saber:</w:t>
      </w:r>
    </w:p>
    <w:p w:rsidR="00695DAD" w:rsidRPr="0036730A" w:rsidRDefault="00695DAD" w:rsidP="00695DAD">
      <w:pPr>
        <w:spacing w:line="360" w:lineRule="auto"/>
        <w:contextualSpacing/>
        <w:jc w:val="center"/>
        <w:rPr>
          <w:rFonts w:ascii="Palatino Linotype" w:eastAsia="Calibri" w:hAnsi="Palatino Linotype" w:cs="Arial"/>
          <w:color w:val="000000" w:themeColor="text1"/>
          <w:lang w:val="es-ES"/>
        </w:rPr>
      </w:pPr>
      <w:r w:rsidRPr="0036730A">
        <w:rPr>
          <w:rFonts w:ascii="Palatino Linotype" w:eastAsia="Calibri" w:hAnsi="Palatino Linotype" w:cs="Arial"/>
          <w:noProof/>
          <w:color w:val="000000" w:themeColor="text1"/>
          <w:lang w:val="es-MX" w:eastAsia="es-MX"/>
        </w:rPr>
        <w:drawing>
          <wp:inline distT="0" distB="0" distL="0" distR="0" wp14:anchorId="5B807284" wp14:editId="26B29AC0">
            <wp:extent cx="5020730" cy="1830368"/>
            <wp:effectExtent l="19050" t="19050" r="27940" b="177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6305" cy="1836046"/>
                    </a:xfrm>
                    <a:prstGeom prst="rect">
                      <a:avLst/>
                    </a:prstGeom>
                    <a:ln>
                      <a:solidFill>
                        <a:schemeClr val="tx1"/>
                      </a:solidFill>
                    </a:ln>
                  </pic:spPr>
                </pic:pic>
              </a:graphicData>
            </a:graphic>
          </wp:inline>
        </w:drawing>
      </w:r>
    </w:p>
    <w:p w:rsidR="008F3B45" w:rsidRPr="0036730A" w:rsidRDefault="008F3B45" w:rsidP="00695DAD">
      <w:pPr>
        <w:spacing w:line="360" w:lineRule="auto"/>
        <w:contextualSpacing/>
        <w:jc w:val="center"/>
        <w:rPr>
          <w:rFonts w:ascii="Palatino Linotype" w:eastAsia="Calibri" w:hAnsi="Palatino Linotype" w:cs="Arial"/>
          <w:color w:val="000000" w:themeColor="text1"/>
          <w:lang w:val="es-ES"/>
        </w:rPr>
      </w:pPr>
    </w:p>
    <w:p w:rsidR="00695DAD" w:rsidRPr="0036730A" w:rsidRDefault="00F70ADD"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lang w:val="es-ES"/>
        </w:rPr>
        <w:t>Luego entonces</w:t>
      </w:r>
      <w:r w:rsidR="002A4208" w:rsidRPr="0036730A">
        <w:rPr>
          <w:rFonts w:ascii="Palatino Linotype" w:eastAsia="Calibri" w:hAnsi="Palatino Linotype" w:cs="Arial"/>
          <w:color w:val="000000" w:themeColor="text1"/>
          <w:lang w:val="es-ES"/>
        </w:rPr>
        <w:t>, si la interposición del recurso de mérito fue el día veinticuatro de marzo de dos mil veintitrés, resulta evidente que se interpuso fuera del plazo legalmente establecido para tal efecto, por lo que si bien es cierto el recurso fue admitido mediante acuerdo de fecha veintiséis de mayo de dos mil veintitrés, y el sistema SAIMEX de acuerdo a su categorización de colores que a continuación se inserta, lo divide como interpuest</w:t>
      </w:r>
      <w:r w:rsidR="002B67D7" w:rsidRPr="0036730A">
        <w:rPr>
          <w:rFonts w:ascii="Palatino Linotype" w:eastAsia="Calibri" w:hAnsi="Palatino Linotype" w:cs="Arial"/>
          <w:color w:val="000000" w:themeColor="text1"/>
          <w:lang w:val="es-ES"/>
        </w:rPr>
        <w:t>o</w:t>
      </w:r>
      <w:r w:rsidR="002A4208" w:rsidRPr="0036730A">
        <w:rPr>
          <w:rFonts w:ascii="Palatino Linotype" w:eastAsia="Calibri" w:hAnsi="Palatino Linotype" w:cs="Arial"/>
          <w:color w:val="000000" w:themeColor="text1"/>
          <w:lang w:val="es-ES"/>
        </w:rPr>
        <w:t xml:space="preserve"> en tiempo y forma:</w:t>
      </w:r>
    </w:p>
    <w:p w:rsidR="002A4208" w:rsidRPr="0036730A" w:rsidRDefault="002A4208" w:rsidP="002A4208">
      <w:pPr>
        <w:spacing w:line="360" w:lineRule="auto"/>
        <w:contextualSpacing/>
        <w:jc w:val="both"/>
        <w:rPr>
          <w:rFonts w:ascii="Palatino Linotype" w:eastAsia="Calibri" w:hAnsi="Palatino Linotype" w:cs="Arial"/>
          <w:color w:val="000000" w:themeColor="text1"/>
          <w:lang w:val="es-ES"/>
        </w:rPr>
      </w:pPr>
    </w:p>
    <w:p w:rsidR="002A4208" w:rsidRPr="0036730A" w:rsidRDefault="002A4208" w:rsidP="002A4208">
      <w:pPr>
        <w:spacing w:line="360" w:lineRule="auto"/>
        <w:contextualSpacing/>
        <w:jc w:val="center"/>
        <w:rPr>
          <w:rFonts w:ascii="Palatino Linotype" w:eastAsia="Calibri" w:hAnsi="Palatino Linotype" w:cs="Arial"/>
          <w:color w:val="000000" w:themeColor="text1"/>
          <w:lang w:val="es-ES"/>
        </w:rPr>
      </w:pPr>
      <w:r w:rsidRPr="0036730A">
        <w:rPr>
          <w:rFonts w:ascii="Palatino Linotype" w:eastAsia="Calibri" w:hAnsi="Palatino Linotype" w:cs="Arial"/>
          <w:noProof/>
          <w:color w:val="000000" w:themeColor="text1"/>
          <w:lang w:val="es-MX" w:eastAsia="es-MX"/>
        </w:rPr>
        <w:drawing>
          <wp:inline distT="0" distB="0" distL="0" distR="0" wp14:anchorId="1AE167F8" wp14:editId="4E4D2644">
            <wp:extent cx="4448585" cy="1490915"/>
            <wp:effectExtent l="19050" t="19050" r="9525" b="14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6486" cy="1496914"/>
                    </a:xfrm>
                    <a:prstGeom prst="rect">
                      <a:avLst/>
                    </a:prstGeom>
                    <a:ln>
                      <a:solidFill>
                        <a:schemeClr val="tx1"/>
                      </a:solidFill>
                    </a:ln>
                  </pic:spPr>
                </pic:pic>
              </a:graphicData>
            </a:graphic>
          </wp:inline>
        </w:drawing>
      </w:r>
    </w:p>
    <w:p w:rsidR="008F3B45" w:rsidRPr="0036730A" w:rsidRDefault="008F3B45" w:rsidP="008F3B45">
      <w:pPr>
        <w:spacing w:line="360" w:lineRule="auto"/>
        <w:contextualSpacing/>
        <w:jc w:val="both"/>
        <w:rPr>
          <w:rFonts w:ascii="Palatino Linotype" w:eastAsia="Calibri" w:hAnsi="Palatino Linotype" w:cs="Arial"/>
          <w:color w:val="000000" w:themeColor="text1"/>
          <w:lang w:val="es-ES"/>
        </w:rPr>
      </w:pPr>
    </w:p>
    <w:p w:rsidR="008F3B45" w:rsidRPr="0036730A" w:rsidRDefault="002A4208"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lang w:val="es-ES"/>
        </w:rPr>
        <w:lastRenderedPageBreak/>
        <w:t xml:space="preserve">También lo es que de la contabilización antes referida, el recurso de revisión indubitablemente fue interpuesto </w:t>
      </w:r>
      <w:r w:rsidR="002B67D7" w:rsidRPr="0036730A">
        <w:rPr>
          <w:rFonts w:ascii="Palatino Linotype" w:eastAsia="Calibri" w:hAnsi="Palatino Linotype" w:cs="Arial"/>
          <w:color w:val="000000" w:themeColor="text1"/>
          <w:lang w:val="es-ES"/>
        </w:rPr>
        <w:t>de manera extemporánea, por lo que se actualiza una casual de improcedencia, como lo es la contenida en la fracción I del artículo 191, como se observa:</w:t>
      </w:r>
    </w:p>
    <w:p w:rsidR="002B67D7" w:rsidRPr="0036730A" w:rsidRDefault="002B67D7" w:rsidP="002B67D7">
      <w:pPr>
        <w:spacing w:line="360" w:lineRule="auto"/>
        <w:ind w:left="284" w:right="474"/>
        <w:contextualSpacing/>
        <w:jc w:val="both"/>
        <w:rPr>
          <w:rFonts w:ascii="Palatino Linotype" w:eastAsia="Calibri" w:hAnsi="Palatino Linotype" w:cs="Arial"/>
          <w:i/>
          <w:color w:val="000000" w:themeColor="text1"/>
          <w:lang w:val="es-ES"/>
        </w:rPr>
      </w:pPr>
      <w:r w:rsidRPr="0036730A">
        <w:rPr>
          <w:rFonts w:ascii="Palatino Linotype" w:eastAsia="Calibri" w:hAnsi="Palatino Linotype" w:cs="Arial"/>
          <w:i/>
          <w:color w:val="000000" w:themeColor="text1"/>
          <w:lang w:val="es-ES"/>
        </w:rPr>
        <w:t xml:space="preserve">“Artículo 191. El recurso </w:t>
      </w:r>
      <w:r w:rsidRPr="0036730A">
        <w:rPr>
          <w:rFonts w:ascii="Palatino Linotype" w:eastAsia="Calibri" w:hAnsi="Palatino Linotype" w:cs="Arial"/>
          <w:b/>
          <w:i/>
          <w:color w:val="000000" w:themeColor="text1"/>
          <w:lang w:val="es-ES"/>
        </w:rPr>
        <w:t>será desechado</w:t>
      </w:r>
      <w:r w:rsidRPr="0036730A">
        <w:rPr>
          <w:rFonts w:ascii="Palatino Linotype" w:eastAsia="Calibri" w:hAnsi="Palatino Linotype" w:cs="Arial"/>
          <w:i/>
          <w:color w:val="000000" w:themeColor="text1"/>
          <w:lang w:val="es-ES"/>
        </w:rPr>
        <w:t xml:space="preserve"> por </w:t>
      </w:r>
      <w:r w:rsidRPr="0036730A">
        <w:rPr>
          <w:rFonts w:ascii="Palatino Linotype" w:eastAsia="Calibri" w:hAnsi="Palatino Linotype" w:cs="Arial"/>
          <w:b/>
          <w:i/>
          <w:color w:val="000000" w:themeColor="text1"/>
          <w:u w:val="single"/>
          <w:lang w:val="es-ES"/>
        </w:rPr>
        <w:t>improcedente</w:t>
      </w:r>
      <w:r w:rsidRPr="0036730A">
        <w:rPr>
          <w:rFonts w:ascii="Palatino Linotype" w:eastAsia="Calibri" w:hAnsi="Palatino Linotype" w:cs="Arial"/>
          <w:i/>
          <w:color w:val="000000" w:themeColor="text1"/>
          <w:lang w:val="es-ES"/>
        </w:rPr>
        <w:t xml:space="preserve"> cuando:</w:t>
      </w:r>
    </w:p>
    <w:p w:rsidR="002B67D7" w:rsidRPr="0036730A" w:rsidRDefault="002B67D7" w:rsidP="002B67D7">
      <w:pPr>
        <w:spacing w:line="360" w:lineRule="auto"/>
        <w:ind w:left="284" w:right="474"/>
        <w:contextualSpacing/>
        <w:jc w:val="both"/>
        <w:rPr>
          <w:rFonts w:ascii="Palatino Linotype" w:eastAsia="Calibri" w:hAnsi="Palatino Linotype" w:cs="Arial"/>
          <w:i/>
          <w:color w:val="000000" w:themeColor="text1"/>
          <w:lang w:val="es-ES"/>
        </w:rPr>
      </w:pPr>
      <w:r w:rsidRPr="0036730A">
        <w:rPr>
          <w:rFonts w:ascii="Palatino Linotype" w:eastAsia="Calibri" w:hAnsi="Palatino Linotype" w:cs="Arial"/>
          <w:i/>
          <w:color w:val="000000" w:themeColor="text1"/>
          <w:lang w:val="es-ES"/>
        </w:rPr>
        <w:t xml:space="preserve">I. </w:t>
      </w:r>
      <w:r w:rsidRPr="0036730A">
        <w:rPr>
          <w:rFonts w:ascii="Palatino Linotype" w:eastAsia="Calibri" w:hAnsi="Palatino Linotype" w:cs="Arial"/>
          <w:b/>
          <w:i/>
          <w:color w:val="000000" w:themeColor="text1"/>
          <w:lang w:val="es-ES"/>
        </w:rPr>
        <w:t>Sea extemporáneo</w:t>
      </w:r>
      <w:r w:rsidRPr="0036730A">
        <w:rPr>
          <w:rFonts w:ascii="Palatino Linotype" w:eastAsia="Calibri" w:hAnsi="Palatino Linotype" w:cs="Arial"/>
          <w:i/>
          <w:color w:val="000000" w:themeColor="text1"/>
          <w:lang w:val="es-ES"/>
        </w:rPr>
        <w:t xml:space="preserve"> por haber transcurrido el plazo establecido en la presente Ley, a partir de la respuesta;</w:t>
      </w:r>
    </w:p>
    <w:p w:rsidR="002B67D7" w:rsidRPr="0036730A" w:rsidRDefault="002B67D7" w:rsidP="002B67D7">
      <w:pPr>
        <w:spacing w:line="360" w:lineRule="auto"/>
        <w:ind w:left="284" w:right="474"/>
        <w:contextualSpacing/>
        <w:jc w:val="both"/>
        <w:rPr>
          <w:rFonts w:ascii="Palatino Linotype" w:eastAsia="Calibri" w:hAnsi="Palatino Linotype" w:cs="Arial"/>
          <w:i/>
          <w:color w:val="000000" w:themeColor="text1"/>
          <w:lang w:val="es-ES"/>
        </w:rPr>
      </w:pPr>
      <w:r w:rsidRPr="0036730A">
        <w:rPr>
          <w:rFonts w:ascii="Palatino Linotype" w:eastAsia="Calibri" w:hAnsi="Palatino Linotype" w:cs="Arial"/>
          <w:i/>
          <w:color w:val="000000" w:themeColor="text1"/>
          <w:lang w:val="es-ES"/>
        </w:rPr>
        <w:t>…”</w:t>
      </w:r>
    </w:p>
    <w:p w:rsidR="002B67D7" w:rsidRPr="0036730A" w:rsidRDefault="002B67D7" w:rsidP="002B67D7">
      <w:pPr>
        <w:spacing w:line="360" w:lineRule="auto"/>
        <w:ind w:left="284" w:right="474"/>
        <w:contextualSpacing/>
        <w:jc w:val="both"/>
        <w:rPr>
          <w:rFonts w:ascii="Palatino Linotype" w:eastAsia="Calibri" w:hAnsi="Palatino Linotype" w:cs="Arial"/>
          <w:i/>
          <w:color w:val="000000" w:themeColor="text1"/>
          <w:lang w:val="es-ES"/>
        </w:rPr>
      </w:pPr>
    </w:p>
    <w:p w:rsidR="00E6558B" w:rsidRPr="0036730A" w:rsidRDefault="002B67D7"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lang w:val="es-ES"/>
        </w:rPr>
        <w:t xml:space="preserve">Luego entonces, se concluye con claridad que el presente recurso de revisión es improcedente </w:t>
      </w:r>
      <w:r w:rsidR="00357E3D" w:rsidRPr="0036730A">
        <w:rPr>
          <w:rFonts w:ascii="Palatino Linotype" w:eastAsia="Calibri" w:hAnsi="Palatino Linotype" w:cs="Arial"/>
          <w:color w:val="000000" w:themeColor="text1"/>
          <w:lang w:val="es-ES"/>
        </w:rPr>
        <w:t>y consecuentemente el sentido</w:t>
      </w:r>
      <w:r w:rsidRPr="0036730A">
        <w:rPr>
          <w:rFonts w:ascii="Palatino Linotype" w:eastAsia="Calibri" w:hAnsi="Palatino Linotype" w:cs="Arial"/>
          <w:color w:val="000000" w:themeColor="text1"/>
          <w:lang w:val="es-ES"/>
        </w:rPr>
        <w:t xml:space="preserve"> corresponde a un sobreseimiento</w:t>
      </w:r>
      <w:r w:rsidR="00E6558B" w:rsidRPr="0036730A">
        <w:rPr>
          <w:rFonts w:ascii="Palatino Linotype" w:eastAsia="Calibri" w:hAnsi="Palatino Linotype" w:cs="Arial"/>
          <w:color w:val="000000" w:themeColor="text1"/>
          <w:lang w:val="es-ES"/>
        </w:rPr>
        <w:t xml:space="preserve">, al respecto, </w:t>
      </w:r>
      <w:r w:rsidR="00E6558B" w:rsidRPr="0036730A">
        <w:rPr>
          <w:rFonts w:ascii="Palatino Linotype" w:eastAsia="Calibri" w:hAnsi="Palatino Linotype" w:cs="Times New Roman"/>
        </w:rPr>
        <w:t>para la doctrina el sobreseimiento provoca que un procedimiento se suspenda o se resuelva en definitiva sin que se entre al estudio de los agravios o motivos de inconformidad.</w:t>
      </w:r>
      <w:r w:rsidR="00E6558B" w:rsidRPr="0036730A">
        <w:rPr>
          <w:rFonts w:ascii="Palatino Linotype" w:eastAsia="Calibri" w:hAnsi="Palatino Linotype" w:cs="Times New Roman"/>
          <w:b/>
        </w:rPr>
        <w:t xml:space="preserve"> </w:t>
      </w:r>
      <w:r w:rsidR="00E6558B" w:rsidRPr="0036730A">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rsidR="00E6558B" w:rsidRPr="0036730A" w:rsidRDefault="00E6558B" w:rsidP="00E6558B">
      <w:pPr>
        <w:rPr>
          <w:rFonts w:ascii="Palatino Linotype" w:eastAsia="Calibri" w:hAnsi="Palatino Linotype" w:cs="Arial"/>
          <w:color w:val="000000" w:themeColor="text1"/>
          <w:lang w:val="es-ES"/>
        </w:rPr>
      </w:pPr>
    </w:p>
    <w:p w:rsidR="00E6558B" w:rsidRPr="0036730A" w:rsidRDefault="00E6558B" w:rsidP="00E6558B">
      <w:pPr>
        <w:spacing w:line="360" w:lineRule="auto"/>
        <w:ind w:left="567" w:right="565"/>
        <w:contextualSpacing/>
        <w:jc w:val="both"/>
        <w:rPr>
          <w:rFonts w:ascii="Palatino Linotype" w:eastAsia="Calibri" w:hAnsi="Palatino Linotype"/>
          <w:i/>
          <w:lang w:val="es-AR"/>
        </w:rPr>
      </w:pPr>
      <w:r w:rsidRPr="0036730A">
        <w:rPr>
          <w:rFonts w:ascii="Palatino Linotype" w:eastAsia="Calibri" w:hAnsi="Palatino Linotype"/>
          <w:b/>
          <w:i/>
          <w:lang w:val="es-AR"/>
        </w:rPr>
        <w:t>SOBRESEIMIENTO EN EL JUICIO DE AMPARO DIRECTO. IMPIDE EL ESTUDIO DE LAS VIOLACIONES PROCESALES PLANTEADAS EN LOS CONCEPTOS DE VIOLACIÓN. El sobreseimiento</w:t>
      </w:r>
      <w:r w:rsidRPr="0036730A">
        <w:rPr>
          <w:rFonts w:ascii="Palatino Linotype" w:eastAsia="Calibri" w:hAnsi="Palatino Linotype"/>
          <w:i/>
          <w:lang w:val="es-AR"/>
        </w:rPr>
        <w:t xml:space="preserve"> en el juicio de amparo directo </w:t>
      </w:r>
      <w:r w:rsidRPr="0036730A">
        <w:rPr>
          <w:rFonts w:ascii="Palatino Linotype" w:eastAsia="Calibri" w:hAnsi="Palatino Linotype"/>
          <w:b/>
          <w:i/>
          <w:lang w:val="es-AR"/>
        </w:rPr>
        <w:t>provoca la terminación de la controversia planteada</w:t>
      </w:r>
      <w:r w:rsidRPr="0036730A">
        <w:rPr>
          <w:rFonts w:ascii="Palatino Linotype" w:eastAsia="Calibri" w:hAnsi="Palatino Linotype"/>
          <w:i/>
          <w:lang w:val="es-AR"/>
        </w:rPr>
        <w:t xml:space="preserve"> por el quejoso en la demanda de amparo</w:t>
      </w:r>
      <w:r w:rsidRPr="0036730A">
        <w:rPr>
          <w:rFonts w:ascii="Palatino Linotype" w:eastAsia="Calibri" w:hAnsi="Palatino Linotype"/>
          <w:b/>
          <w:i/>
          <w:lang w:val="es-AR"/>
        </w:rPr>
        <w:t>, sin hacer un pronunciamiento de fondo sobre la legalidad o ilegalidad de la sentencia reclamada</w:t>
      </w:r>
      <w:r w:rsidRPr="0036730A">
        <w:rPr>
          <w:rFonts w:ascii="Palatino Linotype" w:eastAsia="Calibri" w:hAnsi="Palatino Linotype"/>
          <w:i/>
          <w:lang w:val="es-AR"/>
        </w:rPr>
        <w:t xml:space="preserve">. </w:t>
      </w:r>
      <w:r w:rsidRPr="0036730A">
        <w:rPr>
          <w:rFonts w:ascii="Palatino Linotype" w:eastAsia="Calibri" w:hAnsi="Palatino Linotype"/>
          <w:b/>
          <w:i/>
          <w:lang w:val="es-AR"/>
        </w:rPr>
        <w:t xml:space="preserve">Por consiguiente, si al sobreseerse en el juicio de amparo no se pueden estudiar los planteamientos que se hacen valer en contra del fallo </w:t>
      </w:r>
      <w:r w:rsidRPr="0036730A">
        <w:rPr>
          <w:rFonts w:ascii="Palatino Linotype" w:eastAsia="Calibri" w:hAnsi="Palatino Linotype"/>
          <w:b/>
          <w:i/>
          <w:lang w:val="es-AR"/>
        </w:rPr>
        <w:lastRenderedPageBreak/>
        <w:t>reclamado, tampoco se deben analizar las violaciones procesales propuestas en los conceptos de violación, dado que, la principal consecuencia del sobreseimiento es poner fin al juicio de amparo sin resolver la controversia en sus méritos</w:t>
      </w:r>
      <w:r w:rsidRPr="0036730A">
        <w:rPr>
          <w:rFonts w:ascii="Palatino Linotype" w:eastAsia="Calibri" w:hAnsi="Palatino Linotype"/>
          <w:i/>
          <w:lang w:val="es-AR"/>
        </w:rPr>
        <w:t>.</w:t>
      </w:r>
    </w:p>
    <w:p w:rsidR="00E6558B" w:rsidRPr="0036730A" w:rsidRDefault="00E6558B" w:rsidP="00E6558B">
      <w:pPr>
        <w:spacing w:line="360" w:lineRule="auto"/>
        <w:ind w:left="567" w:right="565"/>
        <w:contextualSpacing/>
        <w:jc w:val="both"/>
        <w:rPr>
          <w:rFonts w:ascii="Palatino Linotype" w:eastAsia="Calibri" w:hAnsi="Palatino Linotype"/>
          <w:i/>
          <w:lang w:val="es-AR"/>
        </w:rPr>
      </w:pPr>
      <w:r w:rsidRPr="0036730A">
        <w:rPr>
          <w:rFonts w:ascii="Palatino Linotype" w:eastAsia="Calibri" w:hAnsi="Palatino Linotype"/>
          <w:i/>
          <w:lang w:val="es-AR"/>
        </w:rPr>
        <w:t>SÉPTIMO TRIBUNAL COLEGIADO EN MATERIA CIVIL DEL PRIMER CIRCUITO.</w:t>
      </w:r>
    </w:p>
    <w:p w:rsidR="00E6558B" w:rsidRPr="0036730A" w:rsidRDefault="00E6558B" w:rsidP="00E6558B">
      <w:pPr>
        <w:spacing w:line="360" w:lineRule="auto"/>
        <w:ind w:left="567" w:right="565"/>
        <w:contextualSpacing/>
        <w:jc w:val="both"/>
        <w:rPr>
          <w:rFonts w:ascii="Palatino Linotype" w:eastAsia="Calibri" w:hAnsi="Palatino Linotype"/>
          <w:b/>
          <w:i/>
          <w:lang w:val="es-AR"/>
        </w:rPr>
      </w:pPr>
      <w:r w:rsidRPr="0036730A">
        <w:rPr>
          <w:rFonts w:ascii="Palatino Linotype" w:eastAsia="Calibri" w:hAnsi="Palatino Linotype"/>
          <w:i/>
          <w:lang w:val="es-AR"/>
        </w:rPr>
        <w:t xml:space="preserve">Amparo directo 699/2008. Mariana Leticia González </w:t>
      </w:r>
      <w:proofErr w:type="spellStart"/>
      <w:r w:rsidRPr="0036730A">
        <w:rPr>
          <w:rFonts w:ascii="Palatino Linotype" w:eastAsia="Calibri" w:hAnsi="Palatino Linotype"/>
          <w:i/>
          <w:lang w:val="es-AR"/>
        </w:rPr>
        <w:t>Steele</w:t>
      </w:r>
      <w:proofErr w:type="spellEnd"/>
      <w:r w:rsidRPr="0036730A">
        <w:rPr>
          <w:rFonts w:ascii="Palatino Linotype" w:eastAsia="Calibri" w:hAnsi="Palatino Linotype"/>
          <w:i/>
          <w:lang w:val="es-AR"/>
        </w:rPr>
        <w:t>. 13 de noviembre de 2008. Unanimidad de votos. Ponente: Sara Judith Montalvo Trejo. Secretario: Arnulfo Mateos García.</w:t>
      </w:r>
    </w:p>
    <w:p w:rsidR="00E6558B" w:rsidRPr="0036730A" w:rsidRDefault="00E6558B" w:rsidP="00E6558B">
      <w:pPr>
        <w:spacing w:line="360" w:lineRule="auto"/>
        <w:ind w:right="565"/>
        <w:contextualSpacing/>
        <w:jc w:val="both"/>
        <w:rPr>
          <w:rFonts w:ascii="Palatino Linotype" w:eastAsia="Calibri" w:hAnsi="Palatino Linotype"/>
          <w:b/>
          <w:i/>
          <w:lang w:val="es-AR"/>
        </w:rPr>
      </w:pPr>
    </w:p>
    <w:p w:rsidR="00E6558B" w:rsidRPr="0036730A" w:rsidRDefault="00E6558B"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lang w:val="es-ES"/>
        </w:rPr>
        <w:t xml:space="preserve">Consecuentemente, </w:t>
      </w:r>
      <w:r w:rsidRPr="0036730A">
        <w:rPr>
          <w:rFonts w:ascii="Palatino Linotype" w:eastAsia="Calibri" w:hAnsi="Palatino Linotype" w:cs="Times New Roman"/>
        </w:rPr>
        <w:t xml:space="preserve">por lo que hace a los motivos de inconformidad, los mismos devienen </w:t>
      </w:r>
      <w:r w:rsidRPr="0036730A">
        <w:rPr>
          <w:rFonts w:ascii="Palatino Linotype" w:eastAsia="Calibri" w:hAnsi="Palatino Linotype" w:cs="Arial"/>
          <w:color w:val="000000" w:themeColor="text1"/>
          <w:lang w:val="es-ES"/>
        </w:rPr>
        <w:t>inatendibles</w:t>
      </w:r>
      <w:r w:rsidRPr="0036730A">
        <w:rPr>
          <w:rFonts w:ascii="Palatino Linotype" w:eastAsia="Calibri" w:hAnsi="Palatino Linotype" w:cs="Times New Roman"/>
        </w:rPr>
        <w:t xml:space="preserve"> por actualizarse la figura del sobreseimiento, misma que impide el estudio de los agravios planteados.</w:t>
      </w:r>
    </w:p>
    <w:p w:rsidR="00E6558B" w:rsidRPr="0036730A" w:rsidRDefault="00E6558B" w:rsidP="00E6558B">
      <w:pPr>
        <w:spacing w:line="360" w:lineRule="auto"/>
        <w:contextualSpacing/>
        <w:jc w:val="both"/>
        <w:rPr>
          <w:rFonts w:ascii="Palatino Linotype" w:eastAsia="Calibri" w:hAnsi="Palatino Linotype" w:cs="Arial"/>
          <w:color w:val="000000" w:themeColor="text1"/>
          <w:lang w:val="es-ES"/>
        </w:rPr>
      </w:pPr>
    </w:p>
    <w:p w:rsidR="00E6558B" w:rsidRPr="0036730A" w:rsidRDefault="00E6558B"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Arial"/>
          <w:color w:val="000000" w:themeColor="text1"/>
          <w:lang w:val="es-ES"/>
        </w:rPr>
        <w:t xml:space="preserve">No obstante, informar al ahora </w:t>
      </w:r>
      <w:r w:rsidRPr="0036730A">
        <w:rPr>
          <w:rFonts w:ascii="Palatino Linotype" w:eastAsia="Calibri" w:hAnsi="Palatino Linotype" w:cs="Arial"/>
          <w:b/>
          <w:color w:val="000000" w:themeColor="text1"/>
          <w:lang w:val="es-ES"/>
        </w:rPr>
        <w:t>RECURRENTE</w:t>
      </w:r>
      <w:r w:rsidRPr="0036730A">
        <w:rPr>
          <w:rFonts w:ascii="Palatino Linotype" w:eastAsia="Calibri" w:hAnsi="Palatino Linotype" w:cs="Arial"/>
          <w:color w:val="000000" w:themeColor="text1"/>
          <w:lang w:val="es-ES"/>
        </w:rPr>
        <w:t xml:space="preserve"> que se dejan a salvo sus derechos para interponer nuevas solicitudes de información ante el </w:t>
      </w:r>
      <w:r w:rsidRPr="0036730A">
        <w:rPr>
          <w:rFonts w:ascii="Palatino Linotype" w:eastAsia="Calibri" w:hAnsi="Palatino Linotype" w:cs="Arial"/>
          <w:b/>
          <w:color w:val="000000" w:themeColor="text1"/>
          <w:lang w:val="es-ES"/>
        </w:rPr>
        <w:t xml:space="preserve">SUJETO OBLIGADO </w:t>
      </w:r>
      <w:r w:rsidRPr="0036730A">
        <w:rPr>
          <w:rFonts w:ascii="Palatino Linotype" w:eastAsia="Calibri" w:hAnsi="Palatino Linotype" w:cs="Arial"/>
          <w:color w:val="000000" w:themeColor="text1"/>
          <w:lang w:val="es-ES"/>
        </w:rPr>
        <w:t>o ante los que considere competentes, a efecto de que obtenga la información que a sus intereses convenga.</w:t>
      </w:r>
    </w:p>
    <w:p w:rsidR="00E6558B" w:rsidRPr="0036730A" w:rsidRDefault="00E6558B" w:rsidP="00E6558B">
      <w:pPr>
        <w:pStyle w:val="Prrafodelista"/>
        <w:rPr>
          <w:rFonts w:ascii="Palatino Linotype" w:eastAsia="Calibri" w:hAnsi="Palatino Linotype" w:cs="Arial"/>
          <w:color w:val="000000" w:themeColor="text1"/>
          <w:lang w:val="es-ES"/>
        </w:rPr>
      </w:pPr>
    </w:p>
    <w:p w:rsidR="00E6558B" w:rsidRPr="0036730A" w:rsidRDefault="00E6558B" w:rsidP="006E2F0C">
      <w:pPr>
        <w:numPr>
          <w:ilvl w:val="0"/>
          <w:numId w:val="1"/>
        </w:numPr>
        <w:spacing w:line="360" w:lineRule="auto"/>
        <w:ind w:left="0" w:firstLine="0"/>
        <w:contextualSpacing/>
        <w:jc w:val="both"/>
        <w:rPr>
          <w:rFonts w:ascii="Palatino Linotype" w:hAnsi="Palatino Linotype"/>
          <w:color w:val="000000" w:themeColor="text1"/>
        </w:rPr>
      </w:pPr>
      <w:r w:rsidRPr="0036730A">
        <w:rPr>
          <w:rFonts w:ascii="Palatino Linotype" w:hAnsi="Palatino Linotype"/>
          <w:color w:val="000000" w:themeColor="text1"/>
        </w:rPr>
        <w:t>En el entendido que</w:t>
      </w:r>
      <w:r w:rsidRPr="0036730A">
        <w:rPr>
          <w:rFonts w:ascii="Palatino Linotype" w:hAnsi="Palatino Linotype"/>
          <w:bCs/>
          <w:color w:val="000000" w:themeColor="text1"/>
          <w:lang w:val="es-MX"/>
        </w:rPr>
        <w:t xml:space="preserve"> </w:t>
      </w:r>
      <w:r w:rsidRPr="0036730A">
        <w:rPr>
          <w:rFonts w:ascii="Palatino Linotype" w:hAnsi="Palatino Linotype"/>
          <w:color w:val="000000" w:themeColor="text1"/>
          <w:lang w:val="es-MX"/>
        </w:rPr>
        <w:t xml:space="preserve">el derecho de acceso a la información pública es un </w:t>
      </w:r>
      <w:r w:rsidRPr="0036730A">
        <w:rPr>
          <w:rFonts w:ascii="Palatino Linotype" w:hAnsi="Palatino Linotype"/>
          <w:color w:val="000000" w:themeColor="text1"/>
        </w:rPr>
        <w:t>derecho</w:t>
      </w:r>
      <w:r w:rsidRPr="0036730A">
        <w:rPr>
          <w:rFonts w:ascii="Palatino Linotype" w:hAnsi="Palatino Linotype"/>
          <w:color w:val="000000" w:themeColor="text1"/>
          <w:lang w:val="es-MX"/>
        </w:rPr>
        <w:t xml:space="preserve"> humano convencional y constitucionalmente reconocido; en </w:t>
      </w:r>
      <w:r w:rsidRPr="0036730A">
        <w:rPr>
          <w:rFonts w:ascii="Palatino Linotype" w:hAnsi="Palatino Linotype"/>
          <w:color w:val="000000" w:themeColor="text1"/>
        </w:rPr>
        <w:t>consecuencia</w:t>
      </w:r>
      <w:r w:rsidRPr="0036730A">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EF67B5" w:rsidRPr="0036730A" w:rsidRDefault="00EF67B5" w:rsidP="00EF67B5">
      <w:pPr>
        <w:pStyle w:val="Prrafodelista"/>
        <w:rPr>
          <w:rFonts w:ascii="Palatino Linotype" w:hAnsi="Palatino Linotype"/>
          <w:color w:val="000000" w:themeColor="text1"/>
        </w:rPr>
      </w:pPr>
    </w:p>
    <w:p w:rsidR="00EF67B5" w:rsidRPr="0036730A" w:rsidRDefault="00EF67B5" w:rsidP="006E2F0C">
      <w:pPr>
        <w:numPr>
          <w:ilvl w:val="0"/>
          <w:numId w:val="1"/>
        </w:numPr>
        <w:spacing w:line="360" w:lineRule="auto"/>
        <w:ind w:left="0" w:firstLine="0"/>
        <w:contextualSpacing/>
        <w:jc w:val="both"/>
        <w:rPr>
          <w:rFonts w:ascii="Palatino Linotype" w:eastAsia="Arial Unicode MS" w:hAnsi="Palatino Linotype" w:cs="Arial"/>
        </w:rPr>
      </w:pPr>
      <w:r w:rsidRPr="0036730A">
        <w:rPr>
          <w:rFonts w:ascii="Palatino Linotype" w:eastAsia="Arial Unicode MS" w:hAnsi="Palatino Linotype" w:cs="Arial"/>
        </w:rPr>
        <w:lastRenderedPageBreak/>
        <w:t>En ese contexto es de señalar que el artículo 4, párrafo segundo de la Ley de Transparencia y Acceso a la Información Pública del Estado de México y Municipios, dispone:</w:t>
      </w:r>
    </w:p>
    <w:p w:rsidR="00EF67B5" w:rsidRPr="0036730A" w:rsidRDefault="00EF67B5" w:rsidP="00EF67B5">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rPr>
      </w:pPr>
      <w:r w:rsidRPr="0036730A">
        <w:rPr>
          <w:rFonts w:ascii="Palatino Linotype" w:eastAsia="Arial Unicode MS" w:hAnsi="Palatino Linotype" w:cs="Arial"/>
          <w:b/>
          <w:i/>
        </w:rPr>
        <w:t>“Artículo 4.</w:t>
      </w:r>
      <w:r w:rsidRPr="0036730A">
        <w:rPr>
          <w:rFonts w:ascii="Palatino Linotype" w:eastAsia="Arial Unicode MS" w:hAnsi="Palatino Linotype" w:cs="Arial"/>
          <w:i/>
        </w:rPr>
        <w:t xml:space="preserve"> … </w:t>
      </w:r>
    </w:p>
    <w:p w:rsidR="00EF67B5" w:rsidRPr="0036730A" w:rsidRDefault="00EF67B5" w:rsidP="00EF67B5">
      <w:pPr>
        <w:widowControl w:val="0"/>
        <w:autoSpaceDE w:val="0"/>
        <w:autoSpaceDN w:val="0"/>
        <w:adjustRightInd w:val="0"/>
        <w:spacing w:line="360" w:lineRule="auto"/>
        <w:ind w:left="709" w:right="760"/>
        <w:jc w:val="both"/>
        <w:rPr>
          <w:rFonts w:ascii="Palatino Linotype" w:eastAsia="Arial Unicode MS" w:hAnsi="Palatino Linotype" w:cs="Arial"/>
          <w:i/>
        </w:rPr>
      </w:pPr>
      <w:r w:rsidRPr="0036730A">
        <w:rPr>
          <w:rFonts w:ascii="Palatino Linotype" w:eastAsia="Arial Unicode MS"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F67B5" w:rsidRPr="0036730A" w:rsidRDefault="00EF67B5" w:rsidP="00EF67B5">
      <w:pPr>
        <w:widowControl w:val="0"/>
        <w:autoSpaceDE w:val="0"/>
        <w:autoSpaceDN w:val="0"/>
        <w:adjustRightInd w:val="0"/>
        <w:spacing w:line="360" w:lineRule="auto"/>
        <w:ind w:left="709" w:right="760"/>
        <w:jc w:val="both"/>
        <w:rPr>
          <w:rFonts w:ascii="Palatino Linotype" w:eastAsia="Arial Unicode MS" w:hAnsi="Palatino Linotype" w:cs="Arial"/>
          <w:i/>
        </w:rPr>
      </w:pPr>
    </w:p>
    <w:p w:rsidR="00EF67B5" w:rsidRPr="0036730A" w:rsidRDefault="00EF67B5" w:rsidP="006E2F0C">
      <w:pPr>
        <w:numPr>
          <w:ilvl w:val="0"/>
          <w:numId w:val="1"/>
        </w:numPr>
        <w:spacing w:line="360" w:lineRule="auto"/>
        <w:ind w:left="0" w:firstLine="0"/>
        <w:contextualSpacing/>
        <w:jc w:val="both"/>
        <w:rPr>
          <w:rFonts w:ascii="Palatino Linotype" w:eastAsia="Arial Unicode MS" w:hAnsi="Palatino Linotype" w:cs="Arial"/>
        </w:rPr>
      </w:pPr>
      <w:r w:rsidRPr="0036730A">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EF67B5" w:rsidRPr="0036730A" w:rsidRDefault="00EF67B5" w:rsidP="00EF67B5">
      <w:pPr>
        <w:spacing w:line="360" w:lineRule="auto"/>
        <w:contextualSpacing/>
        <w:jc w:val="both"/>
        <w:rPr>
          <w:rFonts w:ascii="Palatino Linotype" w:eastAsia="Arial Unicode MS" w:hAnsi="Palatino Linotype" w:cs="Arial"/>
        </w:rPr>
      </w:pPr>
    </w:p>
    <w:p w:rsidR="00EF67B5" w:rsidRPr="0036730A" w:rsidRDefault="00EF67B5" w:rsidP="006E2F0C">
      <w:pPr>
        <w:numPr>
          <w:ilvl w:val="0"/>
          <w:numId w:val="1"/>
        </w:numPr>
        <w:spacing w:line="360" w:lineRule="auto"/>
        <w:ind w:left="0" w:firstLine="0"/>
        <w:contextualSpacing/>
        <w:jc w:val="both"/>
        <w:rPr>
          <w:rFonts w:ascii="Palatino Linotype" w:hAnsi="Palatino Linotype" w:cs="Arial"/>
        </w:rPr>
      </w:pPr>
      <w:r w:rsidRPr="0036730A">
        <w:rPr>
          <w:rFonts w:ascii="Palatino Linotype" w:hAnsi="Palatino Linotype" w:cs="Arial"/>
        </w:rPr>
        <w:t xml:space="preserve">En esta </w:t>
      </w:r>
      <w:r w:rsidRPr="0036730A">
        <w:rPr>
          <w:rFonts w:ascii="Palatino Linotype" w:eastAsia="Arial Unicode MS" w:hAnsi="Palatino Linotype" w:cs="Arial"/>
        </w:rPr>
        <w:t>misma</w:t>
      </w:r>
      <w:r w:rsidRPr="0036730A">
        <w:rPr>
          <w:rFonts w:ascii="Palatino Linotype" w:hAnsi="Palatino Linotype" w:cs="Arial"/>
        </w:rPr>
        <w:t xml:space="preserve">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w:t>
      </w:r>
      <w:r w:rsidRPr="0036730A">
        <w:rPr>
          <w:rFonts w:ascii="Palatino Linotype" w:hAnsi="Palatino Linotype" w:cs="Arial"/>
        </w:rPr>
        <w:lastRenderedPageBreak/>
        <w:t>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rsidR="00EF67B5" w:rsidRPr="0036730A" w:rsidRDefault="00EF67B5" w:rsidP="00EF67B5">
      <w:pPr>
        <w:spacing w:before="100" w:beforeAutospacing="1" w:after="100" w:afterAutospacing="1"/>
        <w:ind w:left="851" w:right="901"/>
        <w:jc w:val="both"/>
        <w:rPr>
          <w:rFonts w:ascii="Palatino Linotype" w:hAnsi="Palatino Linotype" w:cs="Arial"/>
          <w:i/>
        </w:rPr>
      </w:pPr>
      <w:r w:rsidRPr="0036730A">
        <w:rPr>
          <w:rFonts w:ascii="Palatino Linotype" w:hAnsi="Palatino Linotype" w:cs="Arial"/>
          <w:i/>
        </w:rPr>
        <w:t xml:space="preserve"> “</w:t>
      </w:r>
      <w:r w:rsidRPr="0036730A">
        <w:rPr>
          <w:rFonts w:ascii="Palatino Linotype" w:hAnsi="Palatino Linotype" w:cs="Arial"/>
          <w:b/>
          <w:i/>
        </w:rPr>
        <w:t xml:space="preserve">Artículo 3. </w:t>
      </w:r>
      <w:r w:rsidRPr="0036730A">
        <w:rPr>
          <w:rFonts w:ascii="Palatino Linotype" w:hAnsi="Palatino Linotype" w:cs="Arial"/>
          <w:i/>
        </w:rPr>
        <w:t>Para los efectos de la presente Ley se entenderá por:</w:t>
      </w:r>
    </w:p>
    <w:p w:rsidR="00EF67B5" w:rsidRPr="0036730A" w:rsidRDefault="00EF67B5" w:rsidP="00EF67B5">
      <w:pPr>
        <w:tabs>
          <w:tab w:val="left" w:pos="1981"/>
        </w:tabs>
        <w:spacing w:line="360" w:lineRule="auto"/>
        <w:ind w:left="851" w:right="902"/>
        <w:jc w:val="both"/>
        <w:rPr>
          <w:rFonts w:ascii="Palatino Linotype" w:hAnsi="Palatino Linotype" w:cs="Arial"/>
          <w:i/>
        </w:rPr>
      </w:pPr>
      <w:r w:rsidRPr="0036730A">
        <w:rPr>
          <w:rFonts w:ascii="Palatino Linotype" w:hAnsi="Palatino Linotype" w:cs="Arial"/>
          <w:b/>
          <w:i/>
        </w:rPr>
        <w:t>XI. Documento:</w:t>
      </w:r>
      <w:r w:rsidRPr="0036730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F67B5" w:rsidRPr="0036730A" w:rsidRDefault="00EF67B5" w:rsidP="00EF67B5">
      <w:pPr>
        <w:spacing w:line="360" w:lineRule="auto"/>
        <w:contextualSpacing/>
        <w:jc w:val="both"/>
        <w:rPr>
          <w:rFonts w:ascii="Palatino Linotype" w:hAnsi="Palatino Linotype"/>
          <w:color w:val="000000" w:themeColor="text1"/>
        </w:rPr>
      </w:pPr>
    </w:p>
    <w:p w:rsidR="00E6558B" w:rsidRPr="0036730A" w:rsidRDefault="00E6558B" w:rsidP="006E2F0C">
      <w:pPr>
        <w:numPr>
          <w:ilvl w:val="0"/>
          <w:numId w:val="1"/>
        </w:numPr>
        <w:spacing w:line="360" w:lineRule="auto"/>
        <w:ind w:left="0" w:firstLine="0"/>
        <w:contextualSpacing/>
        <w:jc w:val="both"/>
        <w:rPr>
          <w:rFonts w:ascii="Palatino Linotype" w:hAnsi="Palatino Linotype"/>
          <w:color w:val="000000" w:themeColor="text1"/>
        </w:rPr>
      </w:pPr>
      <w:r w:rsidRPr="0036730A">
        <w:rPr>
          <w:rFonts w:ascii="Palatino Linotype" w:hAnsi="Palatino Linotype"/>
          <w:color w:val="000000" w:themeColor="text1"/>
        </w:rPr>
        <w:t xml:space="preserve">Así las cosas, </w:t>
      </w:r>
      <w:r w:rsidRPr="0036730A">
        <w:rPr>
          <w:rFonts w:ascii="Palatino Linotype" w:hAnsi="Palatino Linotype"/>
          <w:color w:val="000000" w:themeColor="text1"/>
          <w:lang w:val="es-MX"/>
        </w:rPr>
        <w:t xml:space="preserve">podemos definir el Derecho de Acceso a la Información Pública como: </w:t>
      </w:r>
      <w:r w:rsidRPr="0036730A">
        <w:rPr>
          <w:rFonts w:ascii="Palatino Linotype" w:hAnsi="Palatino Linotype"/>
          <w:i/>
          <w:color w:val="000000" w:themeColor="text1"/>
          <w:lang w:val="es-MX"/>
        </w:rPr>
        <w:t>La igualdad de oportunidades para recibir, buscar e impartir información</w:t>
      </w:r>
      <w:r w:rsidRPr="0036730A">
        <w:rPr>
          <w:rFonts w:ascii="Palatino Linotype" w:hAnsi="Palatino Linotype"/>
          <w:i/>
          <w:color w:val="000000" w:themeColor="text1"/>
          <w:vertAlign w:val="superscript"/>
          <w:lang w:val="es-MX"/>
        </w:rPr>
        <w:footnoteReference w:id="1"/>
      </w:r>
      <w:r w:rsidRPr="0036730A">
        <w:rPr>
          <w:rFonts w:ascii="Palatino Linotype" w:hAnsi="Palatino Linotype"/>
          <w:i/>
          <w:color w:val="000000" w:themeColor="text1"/>
          <w:lang w:val="es-MX"/>
        </w:rPr>
        <w:t xml:space="preserve">en posesión de </w:t>
      </w:r>
      <w:r w:rsidRPr="0036730A">
        <w:rPr>
          <w:rFonts w:ascii="Palatino Linotype" w:hAnsi="Palatino Linotype"/>
          <w:color w:val="000000" w:themeColor="text1"/>
        </w:rPr>
        <w:t>cualquier</w:t>
      </w:r>
      <w:r w:rsidRPr="0036730A">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w:t>
      </w:r>
      <w:r w:rsidRPr="0036730A">
        <w:rPr>
          <w:rFonts w:ascii="Palatino Linotype" w:hAnsi="Palatino Linotype"/>
          <w:i/>
          <w:color w:val="000000" w:themeColor="text1"/>
          <w:lang w:val="es-MX"/>
        </w:rPr>
        <w:lastRenderedPageBreak/>
        <w:t>de autoridad en el ámbito federal, estatal y municipal,</w:t>
      </w:r>
      <w:r w:rsidRPr="0036730A">
        <w:rPr>
          <w:rFonts w:ascii="Palatino Linotype" w:hAnsi="Palatino Linotype"/>
          <w:i/>
          <w:color w:val="000000" w:themeColor="text1"/>
          <w:vertAlign w:val="superscript"/>
          <w:lang w:val="es-MX"/>
        </w:rPr>
        <w:footnoteReference w:id="2"/>
      </w:r>
      <w:r w:rsidRPr="0036730A">
        <w:rPr>
          <w:rFonts w:ascii="Palatino Linotype" w:hAnsi="Palatino Linotype"/>
          <w:color w:val="000000" w:themeColor="text1"/>
          <w:lang w:val="es-MX"/>
        </w:rPr>
        <w:t>que se constituye como una herramienta fundamental para ejercer</w:t>
      </w:r>
      <w:r w:rsidRPr="0036730A">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36730A">
        <w:rPr>
          <w:rFonts w:ascii="Palatino Linotype" w:hAnsi="Palatino Linotype"/>
          <w:i/>
          <w:color w:val="000000" w:themeColor="text1"/>
          <w:vertAlign w:val="superscript"/>
          <w:lang w:val="es-MX"/>
        </w:rPr>
        <w:footnoteReference w:id="3"/>
      </w:r>
      <w:r w:rsidRPr="0036730A">
        <w:rPr>
          <w:rFonts w:ascii="Palatino Linotype" w:hAnsi="Palatino Linotype"/>
          <w:i/>
          <w:color w:val="000000" w:themeColor="text1"/>
          <w:lang w:val="es-MX"/>
        </w:rPr>
        <w:t xml:space="preserve"> </w:t>
      </w:r>
      <w:r w:rsidRPr="0036730A">
        <w:rPr>
          <w:rFonts w:ascii="Palatino Linotype" w:hAnsi="Palatino Linotype"/>
          <w:color w:val="000000" w:themeColor="text1"/>
          <w:lang w:val="es-MX"/>
        </w:rPr>
        <w:t>fomentando</w:t>
      </w:r>
      <w:r w:rsidRPr="0036730A">
        <w:rPr>
          <w:rFonts w:ascii="Palatino Linotype" w:hAnsi="Palatino Linotype"/>
          <w:i/>
          <w:color w:val="000000" w:themeColor="text1"/>
          <w:lang w:val="es-MX"/>
        </w:rPr>
        <w:t xml:space="preserve"> la transparencia de las actividades estatales y </w:t>
      </w:r>
      <w:r w:rsidRPr="0036730A">
        <w:rPr>
          <w:rFonts w:ascii="Palatino Linotype" w:hAnsi="Palatino Linotype"/>
          <w:color w:val="000000" w:themeColor="text1"/>
          <w:lang w:val="es-MX"/>
        </w:rPr>
        <w:t>promoviendo</w:t>
      </w:r>
      <w:r w:rsidRPr="0036730A">
        <w:rPr>
          <w:rFonts w:ascii="Palatino Linotype" w:hAnsi="Palatino Linotype"/>
          <w:i/>
          <w:color w:val="000000" w:themeColor="text1"/>
          <w:lang w:val="es-MX"/>
        </w:rPr>
        <w:t xml:space="preserve"> la responsabilidad de los funcionarios sobre su gestión pública,</w:t>
      </w:r>
      <w:r w:rsidRPr="0036730A">
        <w:rPr>
          <w:rFonts w:ascii="Palatino Linotype" w:hAnsi="Palatino Linotype"/>
          <w:i/>
          <w:color w:val="000000" w:themeColor="text1"/>
          <w:vertAlign w:val="superscript"/>
          <w:lang w:val="es-MX"/>
        </w:rPr>
        <w:footnoteReference w:id="4"/>
      </w:r>
      <w:r w:rsidRPr="0036730A">
        <w:rPr>
          <w:rFonts w:ascii="Palatino Linotype" w:hAnsi="Palatino Linotype"/>
          <w:color w:val="000000" w:themeColor="text1"/>
          <w:lang w:val="es-MX"/>
        </w:rPr>
        <w:t>que permite</w:t>
      </w:r>
      <w:r w:rsidRPr="0036730A">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E6558B" w:rsidRPr="0036730A" w:rsidRDefault="00E6558B" w:rsidP="00E6558B">
      <w:pPr>
        <w:pStyle w:val="Prrafodelista"/>
        <w:spacing w:line="360" w:lineRule="auto"/>
        <w:rPr>
          <w:rFonts w:ascii="Palatino Linotype" w:hAnsi="Palatino Linotype"/>
          <w:color w:val="000000" w:themeColor="text1"/>
        </w:rPr>
      </w:pPr>
    </w:p>
    <w:p w:rsidR="00E6558B" w:rsidRPr="0036730A" w:rsidRDefault="00E6558B" w:rsidP="00E6558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rsidR="00E6558B" w:rsidRPr="0036730A" w:rsidRDefault="00EF67B5" w:rsidP="006E2F0C">
      <w:pPr>
        <w:numPr>
          <w:ilvl w:val="0"/>
          <w:numId w:val="1"/>
        </w:numPr>
        <w:spacing w:line="360" w:lineRule="auto"/>
        <w:ind w:left="0" w:firstLine="0"/>
        <w:contextualSpacing/>
        <w:jc w:val="both"/>
        <w:rPr>
          <w:rFonts w:ascii="Palatino Linotype" w:eastAsia="Calibri" w:hAnsi="Palatino Linotype" w:cs="Arial"/>
          <w:color w:val="000000" w:themeColor="text1"/>
          <w:lang w:val="es-ES"/>
        </w:rPr>
      </w:pPr>
      <w:r w:rsidRPr="0036730A">
        <w:rPr>
          <w:rFonts w:ascii="Palatino Linotype" w:eastAsia="Calibri" w:hAnsi="Palatino Linotype" w:cs="Times New Roman"/>
        </w:rPr>
        <w:t>Así las cosas y de conformidad a lo anteriormente expuesto;</w:t>
      </w:r>
      <w:r w:rsidR="00E6558B" w:rsidRPr="0036730A">
        <w:rPr>
          <w:rFonts w:ascii="Palatino Linotype" w:eastAsia="Calibri" w:hAnsi="Palatino Linotype" w:cs="Times New Roman"/>
          <w:lang w:val="es-CO"/>
        </w:rPr>
        <w:t xml:space="preserve"> y en términos del artículo 186 fracción I este Pleno determina el </w:t>
      </w:r>
      <w:r w:rsidR="00E6558B" w:rsidRPr="0036730A">
        <w:rPr>
          <w:rFonts w:ascii="Palatino Linotype" w:eastAsia="Calibri" w:hAnsi="Palatino Linotype" w:cs="Arial"/>
          <w:b/>
          <w:color w:val="000000" w:themeColor="text1"/>
          <w:lang w:val="es-ES"/>
        </w:rPr>
        <w:t>SOBRESEIMIENTO</w:t>
      </w:r>
      <w:r w:rsidR="00E6558B" w:rsidRPr="0036730A">
        <w:rPr>
          <w:rFonts w:ascii="Palatino Linotype" w:eastAsia="Calibri" w:hAnsi="Palatino Linotype" w:cs="Times New Roman"/>
          <w:b/>
          <w:lang w:val="es-CO"/>
        </w:rPr>
        <w:t xml:space="preserve"> </w:t>
      </w:r>
      <w:r w:rsidR="00E6558B" w:rsidRPr="0036730A">
        <w:rPr>
          <w:rFonts w:ascii="Palatino Linotype" w:eastAsia="Calibri" w:hAnsi="Palatino Linotype" w:cs="Times New Roman"/>
          <w:lang w:val="es-CO"/>
        </w:rPr>
        <w:t>de</w:t>
      </w:r>
      <w:r w:rsidRPr="0036730A">
        <w:rPr>
          <w:rFonts w:ascii="Palatino Linotype" w:eastAsia="Calibri" w:hAnsi="Palatino Linotype" w:cs="Times New Roman"/>
          <w:lang w:val="es-CO"/>
        </w:rPr>
        <w:t>l R</w:t>
      </w:r>
      <w:r w:rsidR="00E6558B" w:rsidRPr="0036730A">
        <w:rPr>
          <w:rFonts w:ascii="Palatino Linotype" w:eastAsia="Calibri" w:hAnsi="Palatino Linotype" w:cs="Times New Roman"/>
          <w:lang w:val="es-CO"/>
        </w:rPr>
        <w:t>ecurso</w:t>
      </w:r>
      <w:r w:rsidRPr="0036730A">
        <w:rPr>
          <w:rFonts w:ascii="Palatino Linotype" w:eastAsia="Calibri" w:hAnsi="Palatino Linotype" w:cs="Times New Roman"/>
          <w:lang w:val="es-CO"/>
        </w:rPr>
        <w:t xml:space="preserve"> de R</w:t>
      </w:r>
      <w:r w:rsidR="00E6558B" w:rsidRPr="0036730A">
        <w:rPr>
          <w:rFonts w:ascii="Palatino Linotype" w:eastAsia="Calibri" w:hAnsi="Palatino Linotype" w:cs="Times New Roman"/>
          <w:lang w:val="es-CO"/>
        </w:rPr>
        <w:t xml:space="preserve">evisión </w:t>
      </w:r>
      <w:r w:rsidR="00E6558B" w:rsidRPr="0036730A">
        <w:rPr>
          <w:rFonts w:ascii="Palatino Linotype" w:hAnsi="Palatino Linotype" w:cs="Arial"/>
          <w:b/>
          <w:bCs/>
          <w:lang w:eastAsia="es-MX"/>
        </w:rPr>
        <w:t>01603/INFOEM/IP/RR/2023</w:t>
      </w:r>
      <w:r w:rsidR="00E6558B" w:rsidRPr="0036730A">
        <w:rPr>
          <w:rFonts w:ascii="Palatino Linotype" w:eastAsia="Calibri" w:hAnsi="Palatino Linotype" w:cs="Times New Roman"/>
          <w:lang w:val="es-CO"/>
        </w:rPr>
        <w:t xml:space="preserve">, toda vez que </w:t>
      </w:r>
      <w:r w:rsidRPr="0036730A">
        <w:rPr>
          <w:rFonts w:ascii="Palatino Linotype" w:eastAsia="Calibri" w:hAnsi="Palatino Linotype" w:cs="Times New Roman"/>
          <w:lang w:val="es-CO"/>
        </w:rPr>
        <w:t>una vez admitido apareció una causal de sobreseimiento por improcedente, al ser extemporáneo</w:t>
      </w:r>
      <w:r w:rsidR="00E6558B" w:rsidRPr="0036730A">
        <w:rPr>
          <w:rFonts w:ascii="Palatino Linotype" w:eastAsia="Calibri" w:hAnsi="Palatino Linotype" w:cs="Times New Roman"/>
          <w:lang w:val="es-CO"/>
        </w:rPr>
        <w:t>.</w:t>
      </w:r>
    </w:p>
    <w:p w:rsidR="00DB2DDA" w:rsidRPr="0036730A" w:rsidRDefault="00DB2DDA" w:rsidP="0046287B">
      <w:pPr>
        <w:pStyle w:val="Prrafodelista"/>
        <w:tabs>
          <w:tab w:val="left" w:pos="284"/>
        </w:tabs>
        <w:spacing w:line="360" w:lineRule="auto"/>
        <w:ind w:left="0"/>
        <w:jc w:val="both"/>
        <w:rPr>
          <w:rFonts w:ascii="Palatino Linotype" w:hAnsi="Palatino Linotype" w:cs="Arial"/>
          <w:color w:val="000000"/>
        </w:rPr>
      </w:pPr>
    </w:p>
    <w:p w:rsidR="00DB2DDA" w:rsidRPr="0036730A" w:rsidRDefault="00DB2DDA" w:rsidP="006E2F0C">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36730A">
        <w:rPr>
          <w:rFonts w:ascii="Palatino Linotype" w:hAnsi="Palatino Linotype" w:cs="Arial"/>
          <w:color w:val="000000" w:themeColor="text1"/>
          <w:lang w:eastAsia="es-MX"/>
        </w:rPr>
        <w:t xml:space="preserve">Por lo anteriormente expuesto y fundado, este </w:t>
      </w:r>
      <w:r w:rsidRPr="0036730A">
        <w:rPr>
          <w:rFonts w:ascii="Palatino Linotype" w:hAnsi="Palatino Linotype" w:cs="Arial"/>
          <w:b/>
          <w:bCs/>
          <w:color w:val="000000" w:themeColor="text1"/>
          <w:lang w:eastAsia="es-MX"/>
        </w:rPr>
        <w:t>ÓRGANO GARANTE</w:t>
      </w:r>
      <w:r w:rsidRPr="0036730A">
        <w:rPr>
          <w:rFonts w:ascii="Palatino Linotype" w:hAnsi="Palatino Linotype" w:cs="Arial"/>
          <w:color w:val="000000" w:themeColor="text1"/>
          <w:lang w:eastAsia="es-MX"/>
        </w:rPr>
        <w:t xml:space="preserve"> emite los siguientes:</w:t>
      </w:r>
    </w:p>
    <w:p w:rsidR="006705FF" w:rsidRPr="0036730A" w:rsidRDefault="006705FF" w:rsidP="006705FF">
      <w:pPr>
        <w:pStyle w:val="Prrafodelista"/>
        <w:rPr>
          <w:rFonts w:ascii="Palatino Linotype" w:hAnsi="Palatino Linotype"/>
          <w:color w:val="000000" w:themeColor="text1"/>
        </w:rPr>
      </w:pPr>
    </w:p>
    <w:p w:rsidR="00DB2DDA" w:rsidRPr="0036730A" w:rsidRDefault="00DB2DDA" w:rsidP="0046287B">
      <w:pPr>
        <w:pStyle w:val="Ttulo1"/>
        <w:spacing w:before="0" w:line="360" w:lineRule="auto"/>
        <w:jc w:val="center"/>
        <w:rPr>
          <w:rFonts w:ascii="Palatino Linotype" w:eastAsia="Calibri" w:hAnsi="Palatino Linotype"/>
          <w:b/>
          <w:color w:val="000000" w:themeColor="text1"/>
          <w:sz w:val="24"/>
          <w:szCs w:val="24"/>
          <w:lang w:val="es-ES"/>
        </w:rPr>
      </w:pPr>
      <w:bookmarkStart w:id="142" w:name="_Toc504500693"/>
      <w:bookmarkStart w:id="143" w:name="_Toc534742545"/>
      <w:bookmarkStart w:id="144" w:name="_Toc2248738"/>
      <w:bookmarkStart w:id="145" w:name="_Toc34819440"/>
      <w:bookmarkStart w:id="146" w:name="_Toc51259595"/>
      <w:bookmarkStart w:id="147" w:name="_Toc83128595"/>
      <w:r w:rsidRPr="0036730A">
        <w:rPr>
          <w:rFonts w:ascii="Palatino Linotype" w:eastAsia="Calibri" w:hAnsi="Palatino Linotype"/>
          <w:b/>
          <w:color w:val="000000" w:themeColor="text1"/>
          <w:sz w:val="24"/>
          <w:szCs w:val="24"/>
          <w:lang w:val="es-ES"/>
        </w:rPr>
        <w:t>R E S O L U T I V O S</w:t>
      </w:r>
      <w:bookmarkEnd w:id="142"/>
      <w:bookmarkEnd w:id="143"/>
      <w:bookmarkEnd w:id="144"/>
      <w:bookmarkEnd w:id="145"/>
      <w:bookmarkEnd w:id="146"/>
      <w:bookmarkEnd w:id="147"/>
    </w:p>
    <w:p w:rsidR="00DB2DDA" w:rsidRPr="0036730A" w:rsidRDefault="00DB2DDA" w:rsidP="0046287B">
      <w:pPr>
        <w:spacing w:line="360" w:lineRule="auto"/>
        <w:rPr>
          <w:rFonts w:ascii="Palatino Linotype" w:hAnsi="Palatino Linotype"/>
          <w:lang w:val="es-ES"/>
        </w:rPr>
      </w:pPr>
    </w:p>
    <w:p w:rsidR="00E6558B" w:rsidRPr="0036730A" w:rsidRDefault="00E6558B" w:rsidP="00E6558B">
      <w:pPr>
        <w:pStyle w:val="Sinespaciado"/>
        <w:spacing w:line="360" w:lineRule="auto"/>
        <w:ind w:right="-2"/>
        <w:jc w:val="both"/>
        <w:rPr>
          <w:rFonts w:ascii="Palatino Linotype" w:hAnsi="Palatino Linotype"/>
        </w:rPr>
      </w:pPr>
      <w:bookmarkStart w:id="148" w:name="_Toc450120669"/>
      <w:bookmarkStart w:id="149" w:name="_Toc460947011"/>
      <w:r w:rsidRPr="0036730A">
        <w:rPr>
          <w:rFonts w:ascii="Palatino Linotype" w:hAnsi="Palatino Linotype" w:cs="Arial"/>
          <w:b/>
        </w:rPr>
        <w:t xml:space="preserve">PRIMERO. </w:t>
      </w:r>
      <w:r w:rsidRPr="0036730A">
        <w:rPr>
          <w:rFonts w:ascii="Palatino Linotype" w:hAnsi="Palatino Linotype"/>
        </w:rPr>
        <w:t xml:space="preserve">Se </w:t>
      </w:r>
      <w:r w:rsidRPr="0036730A">
        <w:rPr>
          <w:rFonts w:ascii="Palatino Linotype" w:hAnsi="Palatino Linotype"/>
          <w:b/>
        </w:rPr>
        <w:t>SOBRESEE</w:t>
      </w:r>
      <w:r w:rsidRPr="0036730A">
        <w:rPr>
          <w:rFonts w:ascii="Palatino Linotype" w:hAnsi="Palatino Linotype"/>
        </w:rPr>
        <w:t xml:space="preserve"> el recurso de revisión número </w:t>
      </w:r>
      <w:r w:rsidRPr="0036730A">
        <w:rPr>
          <w:rFonts w:ascii="Palatino Linotype" w:eastAsia="Calibri" w:hAnsi="Palatino Linotype" w:cs="Tahoma"/>
          <w:b/>
          <w:bCs/>
          <w:lang w:eastAsia="en-US"/>
        </w:rPr>
        <w:t>01603/INFOEM/IP/RR/2023</w:t>
      </w:r>
      <w:r w:rsidRPr="0036730A">
        <w:rPr>
          <w:rFonts w:ascii="Palatino Linotype" w:hAnsi="Palatino Linotype"/>
          <w:b/>
        </w:rPr>
        <w:t xml:space="preserve">, </w:t>
      </w:r>
      <w:r w:rsidRPr="0036730A">
        <w:rPr>
          <w:rFonts w:ascii="Palatino Linotype" w:hAnsi="Palatino Linotype"/>
        </w:rPr>
        <w:t>conforme al artículo 192</w:t>
      </w:r>
      <w:r w:rsidR="008E35F8">
        <w:rPr>
          <w:rFonts w:ascii="Palatino Linotype" w:hAnsi="Palatino Linotype"/>
        </w:rPr>
        <w:t>,</w:t>
      </w:r>
      <w:r w:rsidRPr="0036730A">
        <w:rPr>
          <w:rFonts w:ascii="Palatino Linotype" w:hAnsi="Palatino Linotype"/>
        </w:rPr>
        <w:t xml:space="preserve"> fracción IV</w:t>
      </w:r>
      <w:r w:rsidR="008E35F8">
        <w:rPr>
          <w:rFonts w:ascii="Palatino Linotype" w:hAnsi="Palatino Linotype"/>
        </w:rPr>
        <w:t>,</w:t>
      </w:r>
      <w:r w:rsidRPr="0036730A">
        <w:rPr>
          <w:rFonts w:ascii="Palatino Linotype" w:hAnsi="Palatino Linotype"/>
        </w:rPr>
        <w:t xml:space="preserve"> de la Ley de Transparencia y Acceso a la Información Pública del Estado de México y Municipios, </w:t>
      </w:r>
      <w:bookmarkStart w:id="150" w:name="_Toc461648590"/>
      <w:bookmarkStart w:id="151" w:name="_Toc461648682"/>
      <w:bookmarkStart w:id="152" w:name="_Toc462228049"/>
      <w:bookmarkStart w:id="153" w:name="_Toc462228129"/>
      <w:bookmarkStart w:id="154" w:name="_Toc496099789"/>
      <w:bookmarkStart w:id="155" w:name="_Toc496100166"/>
      <w:bookmarkStart w:id="156" w:name="_Toc499756977"/>
      <w:bookmarkStart w:id="157" w:name="_Toc499757020"/>
      <w:bookmarkStart w:id="158" w:name="_Toc504377974"/>
      <w:r w:rsidRPr="0036730A">
        <w:rPr>
          <w:rFonts w:ascii="Palatino Linotype" w:hAnsi="Palatino Linotype"/>
        </w:rPr>
        <w:lastRenderedPageBreak/>
        <w:t>porque una vez admitido el recurso de revisión, apareció una causal de improcedencia</w:t>
      </w:r>
      <w:r w:rsidR="0036730A">
        <w:rPr>
          <w:rFonts w:ascii="Palatino Linotype" w:hAnsi="Palatino Linotype"/>
        </w:rPr>
        <w:t xml:space="preserve"> en términos del c</w:t>
      </w:r>
      <w:r w:rsidRPr="0036730A">
        <w:rPr>
          <w:rFonts w:ascii="Palatino Linotype" w:hAnsi="Palatino Linotype"/>
        </w:rPr>
        <w:t xml:space="preserve">onsiderando </w:t>
      </w:r>
      <w:r w:rsidRPr="0036730A">
        <w:rPr>
          <w:rFonts w:ascii="Palatino Linotype" w:hAnsi="Palatino Linotype"/>
          <w:b/>
        </w:rPr>
        <w:t>TERCERO</w:t>
      </w:r>
      <w:r w:rsidR="0036730A">
        <w:rPr>
          <w:rFonts w:ascii="Palatino Linotype" w:hAnsi="Palatino Linotype"/>
        </w:rPr>
        <w:t xml:space="preserve"> de la presente r</w:t>
      </w:r>
      <w:r w:rsidRPr="0036730A">
        <w:rPr>
          <w:rFonts w:ascii="Palatino Linotype" w:hAnsi="Palatino Linotype"/>
        </w:rPr>
        <w:t>esolución.</w:t>
      </w:r>
    </w:p>
    <w:p w:rsidR="00E6558B" w:rsidRPr="0036730A" w:rsidRDefault="00E6558B" w:rsidP="00E6558B">
      <w:pPr>
        <w:pStyle w:val="Sinespaciado"/>
        <w:spacing w:line="360" w:lineRule="auto"/>
        <w:ind w:right="-2"/>
        <w:jc w:val="both"/>
        <w:rPr>
          <w:rFonts w:ascii="Palatino Linotype" w:hAnsi="Palatino Linotype"/>
          <w:bCs/>
        </w:rPr>
      </w:pPr>
    </w:p>
    <w:p w:rsidR="00E6558B" w:rsidRPr="0036730A" w:rsidRDefault="00E6558B" w:rsidP="00E6558B">
      <w:pPr>
        <w:pStyle w:val="Prrafodelista"/>
        <w:widowControl w:val="0"/>
        <w:tabs>
          <w:tab w:val="left" w:pos="1701"/>
        </w:tabs>
        <w:autoSpaceDE w:val="0"/>
        <w:autoSpaceDN w:val="0"/>
        <w:adjustRightInd w:val="0"/>
        <w:spacing w:before="120" w:line="360" w:lineRule="auto"/>
        <w:ind w:left="0"/>
        <w:jc w:val="both"/>
        <w:rPr>
          <w:rFonts w:ascii="Palatino Linotype" w:eastAsia="MS Mincho" w:hAnsi="Palatino Linotype"/>
          <w:color w:val="000000" w:themeColor="text1"/>
          <w:shd w:val="clear" w:color="auto" w:fill="FFFFFF"/>
        </w:rPr>
      </w:pPr>
      <w:r w:rsidRPr="0036730A">
        <w:rPr>
          <w:rFonts w:ascii="Palatino Linotype" w:hAnsi="Palatino Linotype" w:cs="Arial"/>
          <w:b/>
        </w:rPr>
        <w:t>SEGUNDO.</w:t>
      </w:r>
      <w:bookmarkEnd w:id="150"/>
      <w:bookmarkEnd w:id="151"/>
      <w:bookmarkEnd w:id="152"/>
      <w:bookmarkEnd w:id="153"/>
      <w:bookmarkEnd w:id="154"/>
      <w:bookmarkEnd w:id="155"/>
      <w:bookmarkEnd w:id="156"/>
      <w:bookmarkEnd w:id="157"/>
      <w:bookmarkEnd w:id="158"/>
      <w:r w:rsidRPr="0036730A">
        <w:rPr>
          <w:rStyle w:val="Ttulo2Car"/>
          <w:rFonts w:ascii="Palatino Linotype" w:hAnsi="Palatino Linotype"/>
          <w:b/>
          <w:color w:val="000000" w:themeColor="text1"/>
          <w:sz w:val="24"/>
          <w:szCs w:val="24"/>
        </w:rPr>
        <w:t xml:space="preserve"> </w:t>
      </w:r>
      <w:r w:rsidR="006863E3" w:rsidRPr="0036730A">
        <w:rPr>
          <w:rFonts w:ascii="Palatino Linotype" w:hAnsi="Palatino Linotype"/>
          <w:b/>
          <w:bCs/>
          <w:color w:val="222222"/>
          <w:lang w:val="es-ES"/>
        </w:rPr>
        <w:t>Notifíquese</w:t>
      </w:r>
      <w:r w:rsidRPr="0036730A">
        <w:rPr>
          <w:rFonts w:ascii="Palatino Linotype" w:eastAsia="MS Mincho" w:hAnsi="Palatino Linotype" w:cs="Arial"/>
          <w:b/>
          <w:bCs/>
          <w:color w:val="000000" w:themeColor="text1"/>
          <w:shd w:val="clear" w:color="auto" w:fill="FFFFFF"/>
        </w:rPr>
        <w:t xml:space="preserve"> </w:t>
      </w:r>
      <w:r w:rsidRPr="0036730A">
        <w:rPr>
          <w:rFonts w:ascii="Palatino Linotype" w:eastAsia="MS Mincho" w:hAnsi="Palatino Linotype"/>
          <w:color w:val="000000" w:themeColor="text1"/>
          <w:shd w:val="clear" w:color="auto" w:fill="FFFFFF"/>
        </w:rPr>
        <w:t>al Titular de la Unidad de Transparencia del</w:t>
      </w:r>
      <w:r w:rsidRPr="0036730A">
        <w:rPr>
          <w:rFonts w:ascii="Palatino Linotype" w:eastAsia="MS Mincho" w:hAnsi="Palatino Linotype"/>
          <w:b/>
          <w:bCs/>
          <w:color w:val="000000" w:themeColor="text1"/>
          <w:shd w:val="clear" w:color="auto" w:fill="FFFFFF"/>
        </w:rPr>
        <w:t xml:space="preserve"> SUJETO OBLIGADO</w:t>
      </w:r>
      <w:r w:rsidR="007B5497">
        <w:rPr>
          <w:rFonts w:ascii="Palatino Linotype" w:eastAsia="MS Mincho" w:hAnsi="Palatino Linotype"/>
          <w:b/>
          <w:bCs/>
          <w:color w:val="000000" w:themeColor="text1"/>
          <w:shd w:val="clear" w:color="auto" w:fill="FFFFFF"/>
        </w:rPr>
        <w:t>,</w:t>
      </w:r>
      <w:r w:rsidRPr="0036730A">
        <w:rPr>
          <w:rFonts w:ascii="Palatino Linotype" w:eastAsia="MS Mincho" w:hAnsi="Palatino Linotype"/>
          <w:color w:val="000000" w:themeColor="text1"/>
          <w:shd w:val="clear" w:color="auto" w:fill="FFFFFF"/>
        </w:rPr>
        <w:t xml:space="preserve"> vía SAIMEX, la presente resolución. </w:t>
      </w:r>
    </w:p>
    <w:p w:rsidR="00E6558B" w:rsidRPr="0036730A" w:rsidRDefault="00E6558B" w:rsidP="00E6558B">
      <w:pPr>
        <w:pStyle w:val="Prrafodelista"/>
        <w:widowControl w:val="0"/>
        <w:tabs>
          <w:tab w:val="left" w:pos="1701"/>
        </w:tabs>
        <w:autoSpaceDE w:val="0"/>
        <w:autoSpaceDN w:val="0"/>
        <w:adjustRightInd w:val="0"/>
        <w:spacing w:before="120" w:line="360" w:lineRule="auto"/>
        <w:ind w:left="0"/>
        <w:jc w:val="both"/>
        <w:rPr>
          <w:rStyle w:val="Ttulo2Car"/>
          <w:rFonts w:ascii="Palatino Linotype" w:hAnsi="Palatino Linotype"/>
          <w:b/>
          <w:color w:val="000000" w:themeColor="text1"/>
          <w:sz w:val="24"/>
          <w:szCs w:val="24"/>
        </w:rPr>
      </w:pPr>
    </w:p>
    <w:p w:rsidR="00E6558B" w:rsidRPr="0036730A" w:rsidRDefault="00E6558B" w:rsidP="00E6558B">
      <w:pPr>
        <w:spacing w:line="360" w:lineRule="auto"/>
        <w:jc w:val="both"/>
        <w:rPr>
          <w:rFonts w:ascii="Palatino Linotype" w:hAnsi="Palatino Linotype"/>
        </w:rPr>
      </w:pPr>
      <w:bookmarkStart w:id="159" w:name="_Toc460947013"/>
      <w:bookmarkEnd w:id="148"/>
      <w:bookmarkEnd w:id="149"/>
      <w:r w:rsidRPr="0036730A">
        <w:rPr>
          <w:rFonts w:ascii="Palatino Linotype" w:hAnsi="Palatino Linotype" w:cs="Arial"/>
          <w:b/>
        </w:rPr>
        <w:t xml:space="preserve">TERCERO. </w:t>
      </w:r>
      <w:r w:rsidRPr="0036730A">
        <w:rPr>
          <w:rFonts w:ascii="Palatino Linotype" w:hAnsi="Palatino Linotype"/>
          <w:b/>
          <w:bCs/>
          <w:color w:val="222222"/>
          <w:lang w:val="es-ES"/>
        </w:rPr>
        <w:t xml:space="preserve">Notifíquese </w:t>
      </w:r>
      <w:r w:rsidRPr="0036730A">
        <w:rPr>
          <w:rFonts w:ascii="Palatino Linotype" w:hAnsi="Palatino Linotype"/>
          <w:bCs/>
          <w:color w:val="222222"/>
          <w:lang w:val="es-ES"/>
        </w:rPr>
        <w:t>a</w:t>
      </w:r>
      <w:r w:rsidRPr="0036730A">
        <w:rPr>
          <w:rFonts w:ascii="Palatino Linotype" w:hAnsi="Palatino Linotype"/>
        </w:rPr>
        <w:t xml:space="preserve">l </w:t>
      </w:r>
      <w:r w:rsidRPr="0036730A">
        <w:rPr>
          <w:rFonts w:ascii="Palatino Linotype" w:hAnsi="Palatino Linotype"/>
          <w:b/>
        </w:rPr>
        <w:t xml:space="preserve">RECURRENTE </w:t>
      </w:r>
      <w:r w:rsidRPr="0036730A">
        <w:rPr>
          <w:rFonts w:ascii="Palatino Linotype" w:hAnsi="Palatino Linotype"/>
        </w:rPr>
        <w:t>la presente resolución</w:t>
      </w:r>
      <w:r w:rsidR="006863E3" w:rsidRPr="0036730A">
        <w:rPr>
          <w:rFonts w:ascii="Palatino Linotype" w:hAnsi="Palatino Linotype"/>
        </w:rPr>
        <w:t xml:space="preserve">, vía </w:t>
      </w:r>
      <w:r w:rsidR="006863E3" w:rsidRPr="0036730A">
        <w:rPr>
          <w:rFonts w:ascii="Palatino Linotype" w:hAnsi="Palatino Linotype"/>
          <w:b/>
        </w:rPr>
        <w:t>SAIMEX</w:t>
      </w:r>
      <w:r w:rsidRPr="0036730A">
        <w:rPr>
          <w:rFonts w:ascii="Palatino Linotype" w:hAnsi="Palatino Linotype"/>
        </w:rPr>
        <w:t>.</w:t>
      </w:r>
    </w:p>
    <w:p w:rsidR="00E6558B" w:rsidRPr="0036730A" w:rsidRDefault="00E6558B" w:rsidP="00E6558B">
      <w:pPr>
        <w:jc w:val="center"/>
        <w:rPr>
          <w:rFonts w:ascii="Palatino Linotype" w:hAnsi="Palatino Linotype"/>
        </w:rPr>
      </w:pPr>
    </w:p>
    <w:bookmarkEnd w:id="159"/>
    <w:p w:rsidR="00E6558B" w:rsidRPr="0036730A" w:rsidRDefault="00E6558B" w:rsidP="00E6558B">
      <w:pPr>
        <w:spacing w:line="360" w:lineRule="auto"/>
        <w:jc w:val="both"/>
        <w:rPr>
          <w:rFonts w:ascii="Palatino Linotype" w:eastAsia="MS Mincho" w:hAnsi="Palatino Linotype"/>
          <w:lang w:val="es-ES"/>
        </w:rPr>
      </w:pPr>
      <w:r w:rsidRPr="0036730A">
        <w:rPr>
          <w:rFonts w:ascii="Palatino Linotype" w:eastAsia="MS Mincho" w:hAnsi="Palatino Linotype"/>
          <w:b/>
        </w:rPr>
        <w:t>CUARTO.</w:t>
      </w:r>
      <w:r w:rsidRPr="0036730A">
        <w:rPr>
          <w:rFonts w:ascii="Palatino Linotype" w:eastAsia="MS Mincho" w:hAnsi="Palatino Linotype"/>
        </w:rPr>
        <w:t xml:space="preserve"> </w:t>
      </w:r>
      <w:r w:rsidRPr="0036730A">
        <w:rPr>
          <w:rFonts w:ascii="Palatino Linotype" w:eastAsia="MS Mincho" w:hAnsi="Palatino Linotype"/>
          <w:lang w:val="es-ES"/>
        </w:rPr>
        <w:t xml:space="preserve">Se hace del conocimiento </w:t>
      </w:r>
      <w:r w:rsidR="00EF67B5" w:rsidRPr="0036730A">
        <w:rPr>
          <w:rFonts w:ascii="Palatino Linotype" w:eastAsia="MS Mincho" w:hAnsi="Palatino Linotype"/>
          <w:lang w:val="es-ES"/>
        </w:rPr>
        <w:t>del</w:t>
      </w:r>
      <w:r w:rsidRPr="0036730A">
        <w:rPr>
          <w:rFonts w:ascii="Palatino Linotype" w:eastAsia="MS Mincho" w:hAnsi="Palatino Linotype"/>
          <w:lang w:val="es-ES"/>
        </w:rPr>
        <w:t xml:space="preserve"> </w:t>
      </w:r>
      <w:r w:rsidRPr="0036730A">
        <w:rPr>
          <w:rFonts w:ascii="Palatino Linotype" w:eastAsia="Calibri" w:hAnsi="Palatino Linotype" w:cs="Tahoma"/>
          <w:b/>
          <w:lang w:eastAsia="en-US"/>
        </w:rPr>
        <w:t>RECURRENTE</w:t>
      </w:r>
      <w:r w:rsidRPr="0036730A">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6730A">
        <w:rPr>
          <w:rFonts w:ascii="Palatino Linotype" w:eastAsia="MS Mincho" w:hAnsi="Palatino Linotype"/>
          <w:bCs/>
          <w:lang w:val="es-ES"/>
        </w:rPr>
        <w:t>vía juicio de amparo</w:t>
      </w:r>
      <w:r w:rsidRPr="0036730A">
        <w:rPr>
          <w:rFonts w:ascii="Palatino Linotype" w:eastAsia="MS Mincho" w:hAnsi="Palatino Linotype"/>
          <w:lang w:val="es-ES"/>
        </w:rPr>
        <w:t> en los términos de las leyes aplicables.</w:t>
      </w:r>
    </w:p>
    <w:p w:rsidR="00053FB7" w:rsidRPr="0036730A" w:rsidRDefault="00053FB7" w:rsidP="0046287B">
      <w:pPr>
        <w:shd w:val="clear" w:color="auto" w:fill="FFFFFF"/>
        <w:spacing w:line="360" w:lineRule="auto"/>
        <w:jc w:val="both"/>
        <w:rPr>
          <w:rFonts w:ascii="Palatino Linotype" w:eastAsia="Times New Roman" w:hAnsi="Palatino Linotype" w:cs="Times New Roman"/>
          <w:lang w:val="es-ES" w:eastAsia="es-MX"/>
        </w:rPr>
      </w:pPr>
    </w:p>
    <w:p w:rsidR="007B5497" w:rsidRPr="007B5497" w:rsidRDefault="007B5497" w:rsidP="007B5497">
      <w:pPr>
        <w:spacing w:before="240" w:after="240" w:line="360" w:lineRule="auto"/>
        <w:ind w:firstLine="1"/>
        <w:jc w:val="both"/>
        <w:rPr>
          <w:rFonts w:ascii="Palatino Linotype" w:hAnsi="Palatino Linotype"/>
          <w:smallCaps/>
        </w:rPr>
      </w:pPr>
      <w:bookmarkStart w:id="160" w:name="_Hlk129792997"/>
      <w:r w:rsidRPr="007B5497">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DOCE (12) DE JULIO DE DOS MIL VEINTITRÉS, ANTE EL SECRETARIO TÉCNICO DEL PLENO ALEXIS TAPIA RAMÍREZ. </w:t>
      </w:r>
      <w:bookmarkEnd w:id="160"/>
    </w:p>
    <w:p w:rsidR="009F09BC" w:rsidRPr="0036730A" w:rsidRDefault="009F09BC" w:rsidP="0046287B">
      <w:pPr>
        <w:spacing w:line="360" w:lineRule="auto"/>
        <w:jc w:val="both"/>
        <w:rPr>
          <w:rFonts w:ascii="Palatino Linotype" w:hAnsi="Palatino Linotype"/>
        </w:rPr>
      </w:pPr>
    </w:p>
    <w:p w:rsidR="009F09BC" w:rsidRPr="0036730A" w:rsidRDefault="009F09BC" w:rsidP="0046287B">
      <w:pPr>
        <w:spacing w:line="360" w:lineRule="auto"/>
        <w:jc w:val="both"/>
        <w:rPr>
          <w:rFonts w:ascii="Palatino Linotype" w:hAnsi="Palatino Linotype"/>
        </w:rPr>
      </w:pPr>
    </w:p>
    <w:p w:rsidR="009F09BC" w:rsidRPr="0036730A" w:rsidRDefault="009F09BC" w:rsidP="0046287B">
      <w:pPr>
        <w:spacing w:line="360" w:lineRule="auto"/>
        <w:jc w:val="both"/>
        <w:rPr>
          <w:rFonts w:ascii="Palatino Linotype" w:hAnsi="Palatino Linotype"/>
        </w:rPr>
      </w:pPr>
    </w:p>
    <w:p w:rsidR="009F09BC" w:rsidRPr="0036730A" w:rsidRDefault="009F09BC" w:rsidP="0046287B">
      <w:pPr>
        <w:spacing w:line="360" w:lineRule="auto"/>
        <w:jc w:val="both"/>
        <w:rPr>
          <w:rFonts w:ascii="Palatino Linotype" w:hAnsi="Palatino Linotype"/>
        </w:rPr>
      </w:pPr>
    </w:p>
    <w:p w:rsidR="009F09BC" w:rsidRPr="0036730A" w:rsidRDefault="009F09BC" w:rsidP="0046287B">
      <w:pPr>
        <w:spacing w:line="360" w:lineRule="auto"/>
        <w:jc w:val="both"/>
        <w:rPr>
          <w:rFonts w:ascii="Palatino Linotype" w:hAnsi="Palatino Linotype"/>
        </w:rPr>
      </w:pPr>
    </w:p>
    <w:p w:rsidR="009F09BC" w:rsidRPr="0036730A" w:rsidRDefault="009F09BC" w:rsidP="0046287B">
      <w:pPr>
        <w:spacing w:line="360" w:lineRule="auto"/>
        <w:jc w:val="both"/>
        <w:rPr>
          <w:rFonts w:ascii="Palatino Linotype" w:hAnsi="Palatino Linotype"/>
        </w:rPr>
      </w:pPr>
    </w:p>
    <w:p w:rsidR="009F09BC" w:rsidRPr="0036730A" w:rsidRDefault="009F09BC" w:rsidP="0046287B">
      <w:pPr>
        <w:spacing w:line="360" w:lineRule="auto"/>
        <w:jc w:val="both"/>
        <w:rPr>
          <w:rFonts w:ascii="Palatino Linotype" w:hAnsi="Palatino Linotype"/>
        </w:rPr>
      </w:pPr>
    </w:p>
    <w:p w:rsidR="009F09BC" w:rsidRPr="0036730A" w:rsidRDefault="009F09BC" w:rsidP="0046287B">
      <w:pPr>
        <w:spacing w:line="360" w:lineRule="auto"/>
        <w:jc w:val="both"/>
        <w:rPr>
          <w:rFonts w:ascii="Palatino Linotype" w:hAnsi="Palatino Linotype"/>
        </w:rPr>
      </w:pPr>
    </w:p>
    <w:p w:rsidR="009F09BC" w:rsidRPr="0036730A" w:rsidRDefault="009F09BC" w:rsidP="0046287B">
      <w:pPr>
        <w:spacing w:line="360" w:lineRule="auto"/>
        <w:jc w:val="both"/>
        <w:rPr>
          <w:rFonts w:ascii="Palatino Linotype" w:hAnsi="Palatino Linotype"/>
        </w:rPr>
      </w:pPr>
    </w:p>
    <w:p w:rsidR="009F09BC" w:rsidRPr="0036730A" w:rsidRDefault="009F09BC" w:rsidP="0046287B">
      <w:pPr>
        <w:spacing w:line="360" w:lineRule="auto"/>
        <w:rPr>
          <w:rFonts w:ascii="Palatino Linotype" w:hAnsi="Palatino Linotype"/>
        </w:rPr>
      </w:pPr>
    </w:p>
    <w:p w:rsidR="009F09BC" w:rsidRPr="0036730A" w:rsidRDefault="009F09BC" w:rsidP="0046287B">
      <w:pPr>
        <w:spacing w:line="360" w:lineRule="auto"/>
        <w:rPr>
          <w:rFonts w:ascii="Palatino Linotype" w:hAnsi="Palatino Linotype"/>
        </w:rPr>
      </w:pPr>
    </w:p>
    <w:p w:rsidR="009F09BC" w:rsidRPr="0036730A" w:rsidRDefault="009F09BC" w:rsidP="0046287B">
      <w:pPr>
        <w:spacing w:line="360" w:lineRule="auto"/>
        <w:rPr>
          <w:rFonts w:ascii="Palatino Linotype" w:hAnsi="Palatino Linotype"/>
        </w:rPr>
      </w:pPr>
    </w:p>
    <w:p w:rsidR="009F09BC" w:rsidRPr="0036730A" w:rsidRDefault="009F09BC" w:rsidP="0046287B">
      <w:pPr>
        <w:spacing w:line="360" w:lineRule="auto"/>
        <w:rPr>
          <w:rFonts w:ascii="Palatino Linotype" w:hAnsi="Palatino Linotype"/>
        </w:rPr>
      </w:pPr>
    </w:p>
    <w:p w:rsidR="009F09BC" w:rsidRPr="0036730A" w:rsidRDefault="009F09BC" w:rsidP="0046287B">
      <w:pPr>
        <w:spacing w:line="360" w:lineRule="auto"/>
        <w:rPr>
          <w:rFonts w:ascii="Palatino Linotype" w:hAnsi="Palatino Linotype"/>
        </w:rPr>
      </w:pPr>
    </w:p>
    <w:p w:rsidR="009F09BC" w:rsidRPr="0036730A" w:rsidRDefault="009F09BC" w:rsidP="0046287B">
      <w:pPr>
        <w:spacing w:line="360" w:lineRule="auto"/>
        <w:rPr>
          <w:rFonts w:ascii="Palatino Linotype" w:hAnsi="Palatino Linotype"/>
        </w:rPr>
      </w:pPr>
    </w:p>
    <w:p w:rsidR="009F09BC" w:rsidRPr="0036730A" w:rsidRDefault="009F09BC" w:rsidP="0046287B">
      <w:pPr>
        <w:spacing w:line="360" w:lineRule="auto"/>
        <w:rPr>
          <w:rFonts w:ascii="Palatino Linotype" w:hAnsi="Palatino Linotype"/>
        </w:rPr>
      </w:pPr>
    </w:p>
    <w:p w:rsidR="009F09BC" w:rsidRPr="0036730A" w:rsidRDefault="009F09BC" w:rsidP="0046287B">
      <w:pPr>
        <w:tabs>
          <w:tab w:val="left" w:pos="3374"/>
        </w:tabs>
        <w:spacing w:line="360" w:lineRule="auto"/>
        <w:rPr>
          <w:rFonts w:ascii="Palatino Linotype" w:hAnsi="Palatino Linotype"/>
        </w:rPr>
      </w:pPr>
      <w:r w:rsidRPr="0036730A">
        <w:rPr>
          <w:rFonts w:ascii="Palatino Linotype" w:hAnsi="Palatino Linotype"/>
        </w:rPr>
        <w:tab/>
      </w:r>
    </w:p>
    <w:p w:rsidR="0074110E" w:rsidRPr="0036730A" w:rsidRDefault="0074110E" w:rsidP="0046287B">
      <w:pPr>
        <w:tabs>
          <w:tab w:val="left" w:pos="3374"/>
        </w:tabs>
        <w:spacing w:line="360" w:lineRule="auto"/>
        <w:rPr>
          <w:rFonts w:ascii="Palatino Linotype" w:hAnsi="Palatino Linotype"/>
        </w:rPr>
      </w:pPr>
    </w:p>
    <w:p w:rsidR="0074110E" w:rsidRPr="0036730A" w:rsidRDefault="0074110E" w:rsidP="0046287B">
      <w:pPr>
        <w:tabs>
          <w:tab w:val="left" w:pos="3374"/>
        </w:tabs>
        <w:spacing w:line="360" w:lineRule="auto"/>
        <w:rPr>
          <w:rFonts w:ascii="Palatino Linotype" w:hAnsi="Palatino Linotype"/>
        </w:rPr>
      </w:pPr>
    </w:p>
    <w:p w:rsidR="0074110E" w:rsidRPr="0036730A" w:rsidRDefault="0074110E" w:rsidP="0046287B">
      <w:pPr>
        <w:tabs>
          <w:tab w:val="left" w:pos="3374"/>
        </w:tabs>
        <w:spacing w:line="360" w:lineRule="auto"/>
        <w:rPr>
          <w:rFonts w:ascii="Palatino Linotype" w:hAnsi="Palatino Linotype"/>
        </w:rPr>
      </w:pPr>
    </w:p>
    <w:p w:rsidR="0074110E" w:rsidRPr="0036730A" w:rsidRDefault="0074110E" w:rsidP="0046287B">
      <w:pPr>
        <w:tabs>
          <w:tab w:val="left" w:pos="3374"/>
        </w:tabs>
        <w:spacing w:line="360" w:lineRule="auto"/>
        <w:rPr>
          <w:rFonts w:ascii="Palatino Linotype" w:hAnsi="Palatino Linotype"/>
        </w:rPr>
      </w:pPr>
    </w:p>
    <w:p w:rsidR="0074110E" w:rsidRPr="0036730A" w:rsidRDefault="0074110E" w:rsidP="0046287B">
      <w:pPr>
        <w:tabs>
          <w:tab w:val="left" w:pos="3374"/>
        </w:tabs>
        <w:spacing w:line="360" w:lineRule="auto"/>
        <w:rPr>
          <w:rFonts w:ascii="Palatino Linotype" w:hAnsi="Palatino Linotype"/>
        </w:rPr>
      </w:pPr>
    </w:p>
    <w:p w:rsidR="0074110E" w:rsidRPr="0036730A" w:rsidRDefault="0074110E" w:rsidP="0046287B">
      <w:pPr>
        <w:tabs>
          <w:tab w:val="left" w:pos="3374"/>
        </w:tabs>
        <w:spacing w:line="360" w:lineRule="auto"/>
        <w:rPr>
          <w:rFonts w:ascii="Palatino Linotype" w:hAnsi="Palatino Linotype"/>
        </w:rPr>
      </w:pPr>
    </w:p>
    <w:p w:rsidR="0074110E" w:rsidRPr="0036730A" w:rsidRDefault="0074110E" w:rsidP="0046287B">
      <w:pPr>
        <w:tabs>
          <w:tab w:val="left" w:pos="3374"/>
        </w:tabs>
        <w:spacing w:line="360" w:lineRule="auto"/>
        <w:rPr>
          <w:rFonts w:ascii="Palatino Linotype" w:hAnsi="Palatino Linotype"/>
        </w:rPr>
      </w:pPr>
    </w:p>
    <w:p w:rsidR="0074110E" w:rsidRPr="0036730A" w:rsidRDefault="0074110E"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p w:rsidR="00053FB7" w:rsidRPr="0036730A" w:rsidRDefault="00053FB7" w:rsidP="0046287B">
      <w:pPr>
        <w:tabs>
          <w:tab w:val="left" w:pos="3374"/>
        </w:tabs>
        <w:spacing w:line="360" w:lineRule="auto"/>
        <w:rPr>
          <w:rFonts w:ascii="Palatino Linotype" w:hAnsi="Palatino Linotype"/>
        </w:rPr>
      </w:pPr>
    </w:p>
    <w:sectPr w:rsidR="00053FB7" w:rsidRPr="0036730A" w:rsidSect="00E61C13">
      <w:headerReference w:type="even" r:id="rId18"/>
      <w:headerReference w:type="default" r:id="rId19"/>
      <w:footerReference w:type="default" r:id="rId20"/>
      <w:headerReference w:type="first" r:id="rId21"/>
      <w:footerReference w:type="first" r:id="rId22"/>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7B3" w:rsidRDefault="00AB77B3" w:rsidP="003B7751">
      <w:r>
        <w:separator/>
      </w:r>
    </w:p>
  </w:endnote>
  <w:endnote w:type="continuationSeparator" w:id="0">
    <w:p w:rsidR="00AB77B3" w:rsidRDefault="00AB77B3"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FD02C3" w:rsidRPr="002D6DD8" w:rsidRDefault="00FD02C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3F66">
              <w:rPr>
                <w:rFonts w:ascii="Palatino Linotype" w:hAnsi="Palatino Linotype"/>
                <w:bCs/>
                <w:noProof/>
                <w:sz w:val="20"/>
              </w:rPr>
              <w:t>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33F66">
              <w:rPr>
                <w:rFonts w:ascii="Palatino Linotype" w:hAnsi="Palatino Linotype"/>
                <w:bCs/>
                <w:noProof/>
                <w:sz w:val="20"/>
              </w:rPr>
              <w:t>26</w:t>
            </w:r>
            <w:r>
              <w:rPr>
                <w:rFonts w:ascii="Palatino Linotype" w:hAnsi="Palatino Linotype"/>
                <w:bCs/>
                <w:noProof/>
                <w:sz w:val="20"/>
              </w:rPr>
              <w:fldChar w:fldCharType="end"/>
            </w:r>
          </w:p>
        </w:sdtContent>
      </w:sdt>
    </w:sdtContent>
  </w:sdt>
  <w:p w:rsidR="00FD02C3" w:rsidRDefault="00FD02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C3" w:rsidRPr="000B69FA" w:rsidRDefault="00FD02C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3F6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33F66">
      <w:rPr>
        <w:rFonts w:ascii="Palatino Linotype" w:hAnsi="Palatino Linotype"/>
        <w:bCs/>
        <w:noProof/>
        <w:sz w:val="20"/>
      </w:rPr>
      <w:t>26</w:t>
    </w:r>
    <w:r>
      <w:rPr>
        <w:rFonts w:ascii="Palatino Linotype" w:hAnsi="Palatino Linotype"/>
        <w:bCs/>
        <w:noProof/>
        <w:sz w:val="20"/>
      </w:rPr>
      <w:fldChar w:fldCharType="end"/>
    </w:r>
  </w:p>
  <w:p w:rsidR="00FD02C3" w:rsidRDefault="00FD02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7B3" w:rsidRDefault="00AB77B3" w:rsidP="003B7751">
      <w:r>
        <w:separator/>
      </w:r>
    </w:p>
  </w:footnote>
  <w:footnote w:type="continuationSeparator" w:id="0">
    <w:p w:rsidR="00AB77B3" w:rsidRDefault="00AB77B3" w:rsidP="003B7751">
      <w:r>
        <w:continuationSeparator/>
      </w:r>
    </w:p>
  </w:footnote>
  <w:footnote w:id="1">
    <w:p w:rsidR="00E6558B" w:rsidRPr="009C43C2" w:rsidRDefault="00E6558B" w:rsidP="00E6558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E6558B" w:rsidRPr="009C43C2" w:rsidRDefault="00E6558B" w:rsidP="00E6558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E6558B" w:rsidRPr="009C43C2" w:rsidRDefault="00E6558B" w:rsidP="00E6558B">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E6558B" w:rsidRDefault="00E6558B" w:rsidP="00E6558B">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C3" w:rsidRDefault="00AB77B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FD02C3" w:rsidTr="006A04B6">
      <w:trPr>
        <w:trHeight w:val="227"/>
      </w:trPr>
      <w:tc>
        <w:tcPr>
          <w:tcW w:w="2976" w:type="dxa"/>
          <w:vAlign w:val="center"/>
          <w:hideMark/>
        </w:tcPr>
        <w:p w:rsidR="00FD02C3" w:rsidRPr="00674A46" w:rsidRDefault="00FD02C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FD02C3" w:rsidRPr="00485ED8" w:rsidRDefault="00EB4E64" w:rsidP="00EB4E64">
          <w:pPr>
            <w:pStyle w:val="Encabezado"/>
            <w:rPr>
              <w:rFonts w:ascii="Palatino Linotype" w:hAnsi="Palatino Linotype"/>
              <w:b/>
              <w:sz w:val="22"/>
              <w:szCs w:val="22"/>
            </w:rPr>
          </w:pPr>
          <w:r>
            <w:rPr>
              <w:rFonts w:ascii="Palatino Linotype" w:hAnsi="Palatino Linotype" w:cs="Arial"/>
              <w:b/>
              <w:bCs/>
              <w:sz w:val="22"/>
              <w:szCs w:val="22"/>
              <w:lang w:eastAsia="es-MX"/>
            </w:rPr>
            <w:t>01603</w:t>
          </w:r>
          <w:r w:rsidR="00EF67B5">
            <w:rPr>
              <w:rFonts w:ascii="Palatino Linotype" w:hAnsi="Palatino Linotype" w:cs="Arial"/>
              <w:b/>
              <w:bCs/>
              <w:sz w:val="22"/>
              <w:szCs w:val="22"/>
              <w:lang w:eastAsia="es-MX"/>
            </w:rPr>
            <w:t>/</w:t>
          </w:r>
          <w:r>
            <w:rPr>
              <w:rFonts w:ascii="Palatino Linotype" w:hAnsi="Palatino Linotype" w:cs="Arial"/>
              <w:b/>
              <w:bCs/>
              <w:sz w:val="22"/>
              <w:szCs w:val="22"/>
              <w:lang w:eastAsia="es-MX"/>
            </w:rPr>
            <w:t>INFOEM/IP/RR/2023</w:t>
          </w:r>
        </w:p>
      </w:tc>
    </w:tr>
    <w:tr w:rsidR="00FD02C3" w:rsidTr="006A04B6">
      <w:trPr>
        <w:trHeight w:val="242"/>
      </w:trPr>
      <w:tc>
        <w:tcPr>
          <w:tcW w:w="2976" w:type="dxa"/>
          <w:vAlign w:val="center"/>
          <w:hideMark/>
        </w:tcPr>
        <w:p w:rsidR="00FD02C3" w:rsidRPr="00674A46" w:rsidRDefault="00FD02C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FD02C3" w:rsidRPr="00485ED8" w:rsidRDefault="00EB4E64" w:rsidP="00A02CF4">
          <w:pPr>
            <w:pStyle w:val="Encabezado"/>
            <w:jc w:val="both"/>
            <w:rPr>
              <w:rFonts w:ascii="Palatino Linotype" w:hAnsi="Palatino Linotype"/>
              <w:b/>
              <w:sz w:val="22"/>
              <w:szCs w:val="22"/>
            </w:rPr>
          </w:pPr>
          <w:r w:rsidRPr="006F1ABE">
            <w:rPr>
              <w:rFonts w:ascii="Palatino Linotype" w:hAnsi="Palatino Linotype"/>
              <w:b/>
              <w:bCs/>
              <w:color w:val="000000"/>
              <w:sz w:val="22"/>
              <w:szCs w:val="22"/>
            </w:rPr>
            <w:t>Secretaría de Cultura y Turismo</w:t>
          </w:r>
        </w:p>
      </w:tc>
    </w:tr>
    <w:tr w:rsidR="00FD02C3" w:rsidTr="006A04B6">
      <w:trPr>
        <w:trHeight w:val="342"/>
      </w:trPr>
      <w:tc>
        <w:tcPr>
          <w:tcW w:w="2976" w:type="dxa"/>
          <w:vAlign w:val="center"/>
          <w:hideMark/>
        </w:tcPr>
        <w:p w:rsidR="00FD02C3" w:rsidRPr="00674A46" w:rsidRDefault="00FD02C3"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FD02C3" w:rsidRPr="00485ED8" w:rsidRDefault="00FD02C3"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FD02C3" w:rsidRPr="00AE046A" w:rsidRDefault="00AB77B3"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FD02C3" w:rsidTr="006A04B6">
      <w:trPr>
        <w:trHeight w:val="227"/>
      </w:trPr>
      <w:tc>
        <w:tcPr>
          <w:tcW w:w="2977" w:type="dxa"/>
          <w:vAlign w:val="center"/>
          <w:hideMark/>
        </w:tcPr>
        <w:p w:rsidR="00FD02C3" w:rsidRPr="00674A46" w:rsidRDefault="00FD02C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FD02C3" w:rsidRPr="00485ED8" w:rsidRDefault="006F1ABE" w:rsidP="00F37A19">
          <w:pPr>
            <w:pStyle w:val="Encabezado"/>
            <w:rPr>
              <w:rFonts w:ascii="Palatino Linotype" w:hAnsi="Palatino Linotype"/>
              <w:b/>
              <w:sz w:val="22"/>
              <w:szCs w:val="22"/>
            </w:rPr>
          </w:pPr>
          <w:r w:rsidRPr="006F1ABE">
            <w:rPr>
              <w:rFonts w:ascii="Palatino Linotype" w:hAnsi="Palatino Linotype" w:cs="Arial"/>
              <w:b/>
              <w:bCs/>
              <w:sz w:val="22"/>
              <w:szCs w:val="22"/>
              <w:lang w:eastAsia="es-MX"/>
            </w:rPr>
            <w:t>01603/INFOEM/IP/RR/2023</w:t>
          </w:r>
        </w:p>
      </w:tc>
    </w:tr>
    <w:tr w:rsidR="00FD02C3" w:rsidTr="00652937">
      <w:trPr>
        <w:trHeight w:val="242"/>
      </w:trPr>
      <w:tc>
        <w:tcPr>
          <w:tcW w:w="2977" w:type="dxa"/>
          <w:vAlign w:val="center"/>
          <w:hideMark/>
        </w:tcPr>
        <w:p w:rsidR="00FD02C3" w:rsidRPr="00674A46" w:rsidRDefault="00FD02C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FD02C3" w:rsidRPr="00B75F20" w:rsidRDefault="005156FF"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 xml:space="preserve">XXX </w:t>
          </w:r>
          <w:proofErr w:type="spellStart"/>
          <w:r>
            <w:rPr>
              <w:rFonts w:ascii="Palatino Linotype" w:hAnsi="Palatino Linotype"/>
              <w:b/>
              <w:color w:val="000000" w:themeColor="text1"/>
              <w:sz w:val="22"/>
              <w:szCs w:val="22"/>
            </w:rPr>
            <w:t>XXX</w:t>
          </w:r>
          <w:proofErr w:type="spellEnd"/>
          <w:r>
            <w:rPr>
              <w:rFonts w:ascii="Palatino Linotype" w:hAnsi="Palatino Linotype"/>
              <w:b/>
              <w:color w:val="000000" w:themeColor="text1"/>
              <w:sz w:val="22"/>
              <w:szCs w:val="22"/>
            </w:rPr>
            <w:t xml:space="preserve"> </w:t>
          </w:r>
          <w:proofErr w:type="spellStart"/>
          <w:r>
            <w:rPr>
              <w:rFonts w:ascii="Palatino Linotype" w:hAnsi="Palatino Linotype"/>
              <w:b/>
              <w:color w:val="000000" w:themeColor="text1"/>
              <w:sz w:val="22"/>
              <w:szCs w:val="22"/>
            </w:rPr>
            <w:t>XXX</w:t>
          </w:r>
          <w:proofErr w:type="spellEnd"/>
        </w:p>
      </w:tc>
    </w:tr>
    <w:tr w:rsidR="00FD02C3" w:rsidTr="006A04B6">
      <w:trPr>
        <w:trHeight w:val="342"/>
      </w:trPr>
      <w:tc>
        <w:tcPr>
          <w:tcW w:w="2977" w:type="dxa"/>
          <w:vAlign w:val="center"/>
        </w:tcPr>
        <w:p w:rsidR="00FD02C3" w:rsidRPr="00674A46" w:rsidRDefault="00FD02C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FD02C3" w:rsidRPr="00674A46" w:rsidRDefault="006F1ABE" w:rsidP="009F09BC">
          <w:pPr>
            <w:pStyle w:val="Encabezado"/>
            <w:jc w:val="both"/>
            <w:rPr>
              <w:rFonts w:ascii="Palatino Linotype" w:hAnsi="Palatino Linotype"/>
              <w:b/>
              <w:sz w:val="22"/>
              <w:szCs w:val="22"/>
            </w:rPr>
          </w:pPr>
          <w:r w:rsidRPr="006F1ABE">
            <w:rPr>
              <w:rFonts w:ascii="Palatino Linotype" w:hAnsi="Palatino Linotype"/>
              <w:b/>
              <w:bCs/>
              <w:color w:val="000000"/>
              <w:sz w:val="22"/>
              <w:szCs w:val="22"/>
            </w:rPr>
            <w:t>Secretaría de Cultura y Turismo</w:t>
          </w:r>
        </w:p>
      </w:tc>
    </w:tr>
    <w:tr w:rsidR="00FD02C3" w:rsidTr="006A04B6">
      <w:trPr>
        <w:trHeight w:val="342"/>
      </w:trPr>
      <w:tc>
        <w:tcPr>
          <w:tcW w:w="2977" w:type="dxa"/>
          <w:vAlign w:val="center"/>
        </w:tcPr>
        <w:p w:rsidR="00FD02C3" w:rsidRPr="00674A46" w:rsidRDefault="00FD02C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FD02C3" w:rsidRPr="00674A46" w:rsidRDefault="00FD02C3"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FD02C3" w:rsidRPr="00C222C0" w:rsidRDefault="00AB77B3">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62F1B34"/>
    <w:multiLevelType w:val="hybridMultilevel"/>
    <w:tmpl w:val="8334D23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4">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4"/>
  </w:num>
  <w:num w:numId="3">
    <w:abstractNumId w:val="1"/>
  </w:num>
  <w:num w:numId="4">
    <w:abstractNumId w:val="0"/>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C53"/>
    <w:rsid w:val="00027359"/>
    <w:rsid w:val="00027BE0"/>
    <w:rsid w:val="00030FBC"/>
    <w:rsid w:val="00034978"/>
    <w:rsid w:val="00036137"/>
    <w:rsid w:val="000373F6"/>
    <w:rsid w:val="00040E8E"/>
    <w:rsid w:val="00051287"/>
    <w:rsid w:val="00053FB7"/>
    <w:rsid w:val="000664EA"/>
    <w:rsid w:val="00067559"/>
    <w:rsid w:val="0007639B"/>
    <w:rsid w:val="000803F7"/>
    <w:rsid w:val="0008243D"/>
    <w:rsid w:val="000C38DF"/>
    <w:rsid w:val="000E1A02"/>
    <w:rsid w:val="000E4891"/>
    <w:rsid w:val="000E4B16"/>
    <w:rsid w:val="000F1081"/>
    <w:rsid w:val="00106A0F"/>
    <w:rsid w:val="00114502"/>
    <w:rsid w:val="00121C0D"/>
    <w:rsid w:val="00124FD1"/>
    <w:rsid w:val="00133F66"/>
    <w:rsid w:val="001352F5"/>
    <w:rsid w:val="00155B02"/>
    <w:rsid w:val="0015679E"/>
    <w:rsid w:val="0016698F"/>
    <w:rsid w:val="00170980"/>
    <w:rsid w:val="00170D82"/>
    <w:rsid w:val="00173F2B"/>
    <w:rsid w:val="00190D8B"/>
    <w:rsid w:val="0019239D"/>
    <w:rsid w:val="001A18E7"/>
    <w:rsid w:val="001C4290"/>
    <w:rsid w:val="001D23C1"/>
    <w:rsid w:val="001D373F"/>
    <w:rsid w:val="001D5404"/>
    <w:rsid w:val="001D630C"/>
    <w:rsid w:val="001E755B"/>
    <w:rsid w:val="001F0C0B"/>
    <w:rsid w:val="00216E80"/>
    <w:rsid w:val="00220982"/>
    <w:rsid w:val="00223C06"/>
    <w:rsid w:val="00237FA4"/>
    <w:rsid w:val="002453DA"/>
    <w:rsid w:val="00255ECA"/>
    <w:rsid w:val="00264C9A"/>
    <w:rsid w:val="002650A0"/>
    <w:rsid w:val="00272CA2"/>
    <w:rsid w:val="00276F86"/>
    <w:rsid w:val="00277FAC"/>
    <w:rsid w:val="002901F4"/>
    <w:rsid w:val="00291500"/>
    <w:rsid w:val="002A3B71"/>
    <w:rsid w:val="002A4208"/>
    <w:rsid w:val="002B67D7"/>
    <w:rsid w:val="002C0D3C"/>
    <w:rsid w:val="002C3821"/>
    <w:rsid w:val="002C4997"/>
    <w:rsid w:val="002C7E1F"/>
    <w:rsid w:val="002D22E9"/>
    <w:rsid w:val="002D294C"/>
    <w:rsid w:val="002F349B"/>
    <w:rsid w:val="002F52FA"/>
    <w:rsid w:val="0030094A"/>
    <w:rsid w:val="00312281"/>
    <w:rsid w:val="00323FFD"/>
    <w:rsid w:val="003437D9"/>
    <w:rsid w:val="00353F1D"/>
    <w:rsid w:val="00357E3D"/>
    <w:rsid w:val="0036730A"/>
    <w:rsid w:val="0037157C"/>
    <w:rsid w:val="0038112D"/>
    <w:rsid w:val="003833B3"/>
    <w:rsid w:val="003928F2"/>
    <w:rsid w:val="003933C4"/>
    <w:rsid w:val="003A15C8"/>
    <w:rsid w:val="003B7751"/>
    <w:rsid w:val="003C13F1"/>
    <w:rsid w:val="003E66D2"/>
    <w:rsid w:val="003F02A3"/>
    <w:rsid w:val="003F69AE"/>
    <w:rsid w:val="00403D64"/>
    <w:rsid w:val="00407FDA"/>
    <w:rsid w:val="004118FA"/>
    <w:rsid w:val="00425842"/>
    <w:rsid w:val="00434485"/>
    <w:rsid w:val="00437672"/>
    <w:rsid w:val="00441022"/>
    <w:rsid w:val="00456CFF"/>
    <w:rsid w:val="0046287B"/>
    <w:rsid w:val="00482245"/>
    <w:rsid w:val="004A4250"/>
    <w:rsid w:val="004A4F69"/>
    <w:rsid w:val="004E4EE6"/>
    <w:rsid w:val="004E5C7A"/>
    <w:rsid w:val="004E6CE4"/>
    <w:rsid w:val="004E7CC5"/>
    <w:rsid w:val="004F34D1"/>
    <w:rsid w:val="004F7DEA"/>
    <w:rsid w:val="0050702D"/>
    <w:rsid w:val="00510AE9"/>
    <w:rsid w:val="005156FF"/>
    <w:rsid w:val="0051715A"/>
    <w:rsid w:val="00521DE8"/>
    <w:rsid w:val="005257EB"/>
    <w:rsid w:val="005331D8"/>
    <w:rsid w:val="00541549"/>
    <w:rsid w:val="005432D0"/>
    <w:rsid w:val="00546076"/>
    <w:rsid w:val="00547ACE"/>
    <w:rsid w:val="005507B0"/>
    <w:rsid w:val="00554A21"/>
    <w:rsid w:val="00556E0A"/>
    <w:rsid w:val="00560A6B"/>
    <w:rsid w:val="00563F2E"/>
    <w:rsid w:val="0057514F"/>
    <w:rsid w:val="00575E75"/>
    <w:rsid w:val="00583A39"/>
    <w:rsid w:val="005B076D"/>
    <w:rsid w:val="005B34E4"/>
    <w:rsid w:val="005B6702"/>
    <w:rsid w:val="005B7EB1"/>
    <w:rsid w:val="005C5021"/>
    <w:rsid w:val="005C6456"/>
    <w:rsid w:val="005D2F1C"/>
    <w:rsid w:val="005D4C57"/>
    <w:rsid w:val="00621274"/>
    <w:rsid w:val="0062406B"/>
    <w:rsid w:val="00647F7C"/>
    <w:rsid w:val="00652937"/>
    <w:rsid w:val="00657639"/>
    <w:rsid w:val="006672E1"/>
    <w:rsid w:val="006705FF"/>
    <w:rsid w:val="00680C93"/>
    <w:rsid w:val="006863E3"/>
    <w:rsid w:val="00695DAD"/>
    <w:rsid w:val="006A04B6"/>
    <w:rsid w:val="006A6390"/>
    <w:rsid w:val="006D15D0"/>
    <w:rsid w:val="006D1970"/>
    <w:rsid w:val="006D6CC1"/>
    <w:rsid w:val="006E2F0C"/>
    <w:rsid w:val="006E7397"/>
    <w:rsid w:val="006E7C94"/>
    <w:rsid w:val="006F1ABE"/>
    <w:rsid w:val="00704273"/>
    <w:rsid w:val="00711062"/>
    <w:rsid w:val="007142AB"/>
    <w:rsid w:val="007142D6"/>
    <w:rsid w:val="00716BCA"/>
    <w:rsid w:val="00720371"/>
    <w:rsid w:val="0074110E"/>
    <w:rsid w:val="00742823"/>
    <w:rsid w:val="007573CE"/>
    <w:rsid w:val="00775EB2"/>
    <w:rsid w:val="00782A12"/>
    <w:rsid w:val="007851DB"/>
    <w:rsid w:val="007901B5"/>
    <w:rsid w:val="007943A3"/>
    <w:rsid w:val="007A33A8"/>
    <w:rsid w:val="007A460E"/>
    <w:rsid w:val="007A6A1A"/>
    <w:rsid w:val="007B2375"/>
    <w:rsid w:val="007B5497"/>
    <w:rsid w:val="007F0225"/>
    <w:rsid w:val="00804DAA"/>
    <w:rsid w:val="008051C0"/>
    <w:rsid w:val="0081159D"/>
    <w:rsid w:val="00816A17"/>
    <w:rsid w:val="008213C3"/>
    <w:rsid w:val="0082142B"/>
    <w:rsid w:val="008227A9"/>
    <w:rsid w:val="008468BF"/>
    <w:rsid w:val="008526F4"/>
    <w:rsid w:val="008563C8"/>
    <w:rsid w:val="008573BF"/>
    <w:rsid w:val="00866B99"/>
    <w:rsid w:val="0086792A"/>
    <w:rsid w:val="00873EB6"/>
    <w:rsid w:val="00875788"/>
    <w:rsid w:val="008A699B"/>
    <w:rsid w:val="008B0637"/>
    <w:rsid w:val="008B2608"/>
    <w:rsid w:val="008C1ED7"/>
    <w:rsid w:val="008C42B4"/>
    <w:rsid w:val="008E330F"/>
    <w:rsid w:val="008E35F8"/>
    <w:rsid w:val="008E6574"/>
    <w:rsid w:val="008F3B45"/>
    <w:rsid w:val="008F5B26"/>
    <w:rsid w:val="008F6998"/>
    <w:rsid w:val="008F6D18"/>
    <w:rsid w:val="00903B2E"/>
    <w:rsid w:val="00911A75"/>
    <w:rsid w:val="009126F1"/>
    <w:rsid w:val="00915E6B"/>
    <w:rsid w:val="009212C5"/>
    <w:rsid w:val="009335F9"/>
    <w:rsid w:val="00945135"/>
    <w:rsid w:val="0095509E"/>
    <w:rsid w:val="00955B91"/>
    <w:rsid w:val="00960808"/>
    <w:rsid w:val="00961E73"/>
    <w:rsid w:val="00963943"/>
    <w:rsid w:val="009972BB"/>
    <w:rsid w:val="009A2251"/>
    <w:rsid w:val="009D5A32"/>
    <w:rsid w:val="009E47CF"/>
    <w:rsid w:val="009E68D3"/>
    <w:rsid w:val="009F09BC"/>
    <w:rsid w:val="00A02CF4"/>
    <w:rsid w:val="00A23E82"/>
    <w:rsid w:val="00A24C19"/>
    <w:rsid w:val="00A305ED"/>
    <w:rsid w:val="00A5798F"/>
    <w:rsid w:val="00A626EB"/>
    <w:rsid w:val="00A65687"/>
    <w:rsid w:val="00A83F17"/>
    <w:rsid w:val="00AB77B3"/>
    <w:rsid w:val="00AD316E"/>
    <w:rsid w:val="00AD483D"/>
    <w:rsid w:val="00AD63B4"/>
    <w:rsid w:val="00AF4BBC"/>
    <w:rsid w:val="00B00A9E"/>
    <w:rsid w:val="00B057CF"/>
    <w:rsid w:val="00B06A42"/>
    <w:rsid w:val="00B07BF8"/>
    <w:rsid w:val="00B11CDD"/>
    <w:rsid w:val="00B313DC"/>
    <w:rsid w:val="00B530E8"/>
    <w:rsid w:val="00B77BFE"/>
    <w:rsid w:val="00B8010B"/>
    <w:rsid w:val="00B86242"/>
    <w:rsid w:val="00BA27CA"/>
    <w:rsid w:val="00BA4537"/>
    <w:rsid w:val="00BA7065"/>
    <w:rsid w:val="00BD5AAD"/>
    <w:rsid w:val="00BE0A62"/>
    <w:rsid w:val="00BE2A9D"/>
    <w:rsid w:val="00BF2769"/>
    <w:rsid w:val="00BF3FB5"/>
    <w:rsid w:val="00BF4D5B"/>
    <w:rsid w:val="00C03BA3"/>
    <w:rsid w:val="00C0715F"/>
    <w:rsid w:val="00C105CC"/>
    <w:rsid w:val="00C14F2A"/>
    <w:rsid w:val="00C21FAE"/>
    <w:rsid w:val="00C242A7"/>
    <w:rsid w:val="00C41B2B"/>
    <w:rsid w:val="00C41E57"/>
    <w:rsid w:val="00C47C3D"/>
    <w:rsid w:val="00C47D9C"/>
    <w:rsid w:val="00C53B63"/>
    <w:rsid w:val="00C54D99"/>
    <w:rsid w:val="00C75EA7"/>
    <w:rsid w:val="00C85E64"/>
    <w:rsid w:val="00C87396"/>
    <w:rsid w:val="00C90814"/>
    <w:rsid w:val="00C91F0F"/>
    <w:rsid w:val="00CA1063"/>
    <w:rsid w:val="00CB757D"/>
    <w:rsid w:val="00CC5B2F"/>
    <w:rsid w:val="00CE7B83"/>
    <w:rsid w:val="00CF0D2B"/>
    <w:rsid w:val="00D021A5"/>
    <w:rsid w:val="00D05111"/>
    <w:rsid w:val="00D0705B"/>
    <w:rsid w:val="00D16FC7"/>
    <w:rsid w:val="00D30C5D"/>
    <w:rsid w:val="00D31FC8"/>
    <w:rsid w:val="00D41237"/>
    <w:rsid w:val="00D4593B"/>
    <w:rsid w:val="00D47231"/>
    <w:rsid w:val="00D6224B"/>
    <w:rsid w:val="00D65A7F"/>
    <w:rsid w:val="00D6651B"/>
    <w:rsid w:val="00D7269C"/>
    <w:rsid w:val="00D812DB"/>
    <w:rsid w:val="00D81329"/>
    <w:rsid w:val="00D84DEA"/>
    <w:rsid w:val="00D94226"/>
    <w:rsid w:val="00D96104"/>
    <w:rsid w:val="00DA6D37"/>
    <w:rsid w:val="00DB2DDA"/>
    <w:rsid w:val="00DB753F"/>
    <w:rsid w:val="00DC1A9A"/>
    <w:rsid w:val="00DE2F5A"/>
    <w:rsid w:val="00DE3560"/>
    <w:rsid w:val="00DE5BF3"/>
    <w:rsid w:val="00DF03A5"/>
    <w:rsid w:val="00DF67B7"/>
    <w:rsid w:val="00DF7F47"/>
    <w:rsid w:val="00E118BA"/>
    <w:rsid w:val="00E12356"/>
    <w:rsid w:val="00E17429"/>
    <w:rsid w:val="00E46BAB"/>
    <w:rsid w:val="00E56172"/>
    <w:rsid w:val="00E5636B"/>
    <w:rsid w:val="00E566C9"/>
    <w:rsid w:val="00E61C13"/>
    <w:rsid w:val="00E61DA9"/>
    <w:rsid w:val="00E6558B"/>
    <w:rsid w:val="00E77717"/>
    <w:rsid w:val="00E92E04"/>
    <w:rsid w:val="00EB4E64"/>
    <w:rsid w:val="00ED1D6B"/>
    <w:rsid w:val="00ED3A35"/>
    <w:rsid w:val="00ED6E75"/>
    <w:rsid w:val="00EF67B5"/>
    <w:rsid w:val="00F06C03"/>
    <w:rsid w:val="00F24A04"/>
    <w:rsid w:val="00F35B0C"/>
    <w:rsid w:val="00F37A19"/>
    <w:rsid w:val="00F42ADB"/>
    <w:rsid w:val="00F474CE"/>
    <w:rsid w:val="00F52E40"/>
    <w:rsid w:val="00F55C6C"/>
    <w:rsid w:val="00F61A71"/>
    <w:rsid w:val="00F70ADD"/>
    <w:rsid w:val="00F70DA7"/>
    <w:rsid w:val="00F72588"/>
    <w:rsid w:val="00F7371C"/>
    <w:rsid w:val="00F946B5"/>
    <w:rsid w:val="00FA1F21"/>
    <w:rsid w:val="00FA32CE"/>
    <w:rsid w:val="00FB6D42"/>
    <w:rsid w:val="00FD02C3"/>
    <w:rsid w:val="00FD2FA4"/>
    <w:rsid w:val="00FD6CAD"/>
    <w:rsid w:val="00FE3FBE"/>
    <w:rsid w:val="00FE62AF"/>
    <w:rsid w:val="00FE6761"/>
    <w:rsid w:val="00FF1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BA706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7B549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617B9-A86B-4B49-9988-6AA383DE2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26</Pages>
  <Words>3681</Words>
  <Characters>20246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dcterms:created xsi:type="dcterms:W3CDTF">2023-07-04T23:01:00Z</dcterms:created>
  <dcterms:modified xsi:type="dcterms:W3CDTF">2023-07-31T18:44:00Z</dcterms:modified>
</cp:coreProperties>
</file>