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74" w:rsidRDefault="00243E2F">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color w:val="000000"/>
        </w:rPr>
        <w:t xml:space="preserve">a </w:t>
      </w:r>
      <w:r>
        <w:rPr>
          <w:rFonts w:ascii="Palatino Linotype" w:eastAsia="Palatino Linotype" w:hAnsi="Palatino Linotype" w:cs="Palatino Linotype"/>
          <w:b/>
        </w:rPr>
        <w:t>veinticinc</w:t>
      </w:r>
      <w:r>
        <w:rPr>
          <w:rFonts w:ascii="Palatino Linotype" w:eastAsia="Palatino Linotype" w:hAnsi="Palatino Linotype" w:cs="Palatino Linotype"/>
          <w:b/>
          <w:color w:val="000000"/>
        </w:rPr>
        <w:t xml:space="preserve">o de octubre </w:t>
      </w:r>
      <w:r>
        <w:rPr>
          <w:rFonts w:ascii="Palatino Linotype" w:eastAsia="Palatino Linotype" w:hAnsi="Palatino Linotype" w:cs="Palatino Linotype"/>
          <w:b/>
        </w:rPr>
        <w:t>de dos mil veintitrés</w:t>
      </w:r>
      <w:r>
        <w:rPr>
          <w:rFonts w:ascii="Palatino Linotype" w:eastAsia="Palatino Linotype" w:hAnsi="Palatino Linotype" w:cs="Palatino Linotype"/>
        </w:rPr>
        <w:t xml:space="preserve">.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formados con motivo de los recursos de revisión </w:t>
      </w:r>
      <w:r>
        <w:rPr>
          <w:rFonts w:ascii="Palatino Linotype" w:eastAsia="Palatino Linotype" w:hAnsi="Palatino Linotype" w:cs="Palatino Linotype"/>
          <w:b/>
        </w:rPr>
        <w:t xml:space="preserve">05734/INFOEM/IP/RR/2023 y 05735/INFOEM/IP/RR/2023 acumulados, </w:t>
      </w:r>
      <w:r>
        <w:rPr>
          <w:rFonts w:ascii="Palatino Linotype" w:eastAsia="Palatino Linotype" w:hAnsi="Palatino Linotype" w:cs="Palatino Linotype"/>
        </w:rPr>
        <w:t>interpuestos por</w:t>
      </w:r>
      <w:r>
        <w:rPr>
          <w:rFonts w:ascii="Palatino Linotype" w:eastAsia="Palatino Linotype" w:hAnsi="Palatino Linotype" w:cs="Palatino Linotype"/>
          <w:b/>
        </w:rPr>
        <w:t xml:space="preserve"> un particular de manera anónima,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como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las respuestas en las solicitudes de información con número de folio </w:t>
      </w:r>
      <w:r>
        <w:rPr>
          <w:rFonts w:ascii="Palatino Linotype" w:eastAsia="Palatino Linotype" w:hAnsi="Palatino Linotype" w:cs="Palatino Linotype"/>
          <w:b/>
        </w:rPr>
        <w:t xml:space="preserve">00135/OASIXTAPAL/IP/2023 y 00137/OASIXTAPAL/IP/2023, </w:t>
      </w:r>
      <w:r>
        <w:rPr>
          <w:rFonts w:ascii="Palatino Linotype" w:eastAsia="Palatino Linotype" w:hAnsi="Palatino Linotype" w:cs="Palatino Linotype"/>
        </w:rPr>
        <w:t>por parte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Organismo Descentralizado de Agua Potable Alcantarillado y Saneamiento del Municipio de Ixtapaluca,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622B74" w:rsidRDefault="00243E2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622B74" w:rsidRDefault="00243E2F">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diecisiete de agosto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formuló solicitudes de acceso a información pública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w:t>
      </w:r>
      <w:proofErr w:type="gramStart"/>
      <w:r>
        <w:rPr>
          <w:rFonts w:ascii="Palatino Linotype" w:eastAsia="Palatino Linotype" w:hAnsi="Palatino Linotype" w:cs="Palatino Linotype"/>
        </w:rPr>
        <w:t>requirió</w:t>
      </w:r>
      <w:proofErr w:type="gramEnd"/>
      <w:r>
        <w:rPr>
          <w:rFonts w:ascii="Palatino Linotype" w:eastAsia="Palatino Linotype" w:hAnsi="Palatino Linotype" w:cs="Palatino Linotype"/>
        </w:rPr>
        <w:t xml:space="preserve"> lo siguiente:</w:t>
      </w:r>
    </w:p>
    <w:tbl>
      <w:tblPr>
        <w:tblStyle w:val="affc"/>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622B74">
        <w:tc>
          <w:tcPr>
            <w:tcW w:w="3823" w:type="dxa"/>
            <w:shd w:val="clear" w:color="auto" w:fill="DDD9C4"/>
          </w:tcPr>
          <w:p w:rsidR="00622B74" w:rsidRDefault="00243E2F">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Número de solicitud y recurso de revisión</w:t>
            </w:r>
          </w:p>
        </w:tc>
        <w:tc>
          <w:tcPr>
            <w:tcW w:w="5098"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Información requerida</w:t>
            </w:r>
          </w:p>
        </w:tc>
      </w:tr>
      <w:tr w:rsidR="00622B74">
        <w:tc>
          <w:tcPr>
            <w:tcW w:w="3823" w:type="dxa"/>
          </w:tcPr>
          <w:p w:rsidR="00622B74" w:rsidRDefault="00243E2F">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00135/OASIXTAPAL/IP/2023,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05734/INFOEM/IP/RR/2023</w:t>
            </w:r>
          </w:p>
        </w:tc>
        <w:tc>
          <w:tcPr>
            <w:tcW w:w="5098" w:type="dxa"/>
          </w:tcPr>
          <w:p w:rsidR="00622B74" w:rsidRDefault="00243E2F">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rPr>
              <w:t xml:space="preserve">“Solicito </w:t>
            </w:r>
            <w:r>
              <w:rPr>
                <w:rFonts w:ascii="Palatino Linotype" w:eastAsia="Palatino Linotype" w:hAnsi="Palatino Linotype" w:cs="Palatino Linotype"/>
                <w:b/>
                <w:i/>
                <w:u w:val="single"/>
              </w:rPr>
              <w:t xml:space="preserve">el recibo de nómina testado y protegiendo sus datos personales y entregado en versión pública del periodo 01 al 15 de agosto del 2023 del titular de la coordinación de </w:t>
            </w:r>
            <w:proofErr w:type="gramStart"/>
            <w:r>
              <w:rPr>
                <w:rFonts w:ascii="Palatino Linotype" w:eastAsia="Palatino Linotype" w:hAnsi="Palatino Linotype" w:cs="Palatino Linotype"/>
                <w:b/>
                <w:i/>
                <w:u w:val="single"/>
              </w:rPr>
              <w:t>Finanzas ,</w:t>
            </w:r>
            <w:proofErr w:type="gramEnd"/>
            <w:r>
              <w:rPr>
                <w:rFonts w:ascii="Palatino Linotype" w:eastAsia="Palatino Linotype" w:hAnsi="Palatino Linotype" w:cs="Palatino Linotype"/>
                <w:b/>
                <w:i/>
                <w:u w:val="single"/>
              </w:rPr>
              <w:t xml:space="preserve"> con fundamento </w:t>
            </w:r>
            <w:proofErr w:type="spellStart"/>
            <w:r>
              <w:rPr>
                <w:rFonts w:ascii="Palatino Linotype" w:eastAsia="Palatino Linotype" w:hAnsi="Palatino Linotype" w:cs="Palatino Linotype"/>
                <w:b/>
                <w:i/>
                <w:u w:val="single"/>
              </w:rPr>
              <w:t>el</w:t>
            </w:r>
            <w:proofErr w:type="spellEnd"/>
            <w:r>
              <w:rPr>
                <w:rFonts w:ascii="Palatino Linotype" w:eastAsia="Palatino Linotype" w:hAnsi="Palatino Linotype" w:cs="Palatino Linotype"/>
                <w:b/>
                <w:i/>
                <w:u w:val="single"/>
              </w:rPr>
              <w:t xml:space="preserve"> </w:t>
            </w:r>
            <w:proofErr w:type="spellStart"/>
            <w:r>
              <w:rPr>
                <w:rFonts w:ascii="Palatino Linotype" w:eastAsia="Palatino Linotype" w:hAnsi="Palatino Linotype" w:cs="Palatino Linotype"/>
                <w:b/>
                <w:i/>
                <w:u w:val="single"/>
              </w:rPr>
              <w:t>el</w:t>
            </w:r>
            <w:proofErr w:type="spellEnd"/>
            <w:r>
              <w:rPr>
                <w:rFonts w:ascii="Palatino Linotype" w:eastAsia="Palatino Linotype" w:hAnsi="Palatino Linotype" w:cs="Palatino Linotype"/>
                <w:b/>
                <w:i/>
                <w:u w:val="single"/>
              </w:rPr>
              <w:t xml:space="preserve"> artículo 92 fracción </w:t>
            </w:r>
            <w:proofErr w:type="spellStart"/>
            <w:r>
              <w:rPr>
                <w:rFonts w:ascii="Palatino Linotype" w:eastAsia="Palatino Linotype" w:hAnsi="Palatino Linotype" w:cs="Palatino Linotype"/>
                <w:b/>
                <w:i/>
                <w:u w:val="single"/>
              </w:rPr>
              <w:t>Vlll</w:t>
            </w:r>
            <w:proofErr w:type="spellEnd"/>
            <w:r>
              <w:rPr>
                <w:rFonts w:ascii="Palatino Linotype" w:eastAsia="Palatino Linotype" w:hAnsi="Palatino Linotype" w:cs="Palatino Linotype"/>
                <w:b/>
                <w:i/>
                <w:u w:val="single"/>
              </w:rPr>
              <w:t xml:space="preserve"> de</w:t>
            </w:r>
            <w:r>
              <w:rPr>
                <w:rFonts w:ascii="Palatino Linotype" w:eastAsia="Palatino Linotype" w:hAnsi="Palatino Linotype" w:cs="Palatino Linotype"/>
                <w:i/>
              </w:rPr>
              <w:t xml:space="preserve"> la Ley de Transparencia y Acceso a la Información Pública del Estado de México y Municipios.” (Sic) (Énfasis añadido)</w:t>
            </w:r>
          </w:p>
        </w:tc>
      </w:tr>
      <w:tr w:rsidR="00622B74">
        <w:tc>
          <w:tcPr>
            <w:tcW w:w="3823" w:type="dxa"/>
          </w:tcPr>
          <w:p w:rsidR="00622B74" w:rsidRDefault="00243E2F">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00137/OASIXTAPAL/IP/2023,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05735/INFOEM/IP/RR/2023</w:t>
            </w:r>
          </w:p>
        </w:tc>
        <w:tc>
          <w:tcPr>
            <w:tcW w:w="5098" w:type="dxa"/>
          </w:tcPr>
          <w:p w:rsidR="00622B74" w:rsidRDefault="00243E2F">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rPr>
              <w:t>“</w:t>
            </w:r>
            <w:r>
              <w:rPr>
                <w:rFonts w:ascii="Palatino Linotype" w:eastAsia="Palatino Linotype" w:hAnsi="Palatino Linotype" w:cs="Palatino Linotype"/>
                <w:b/>
                <w:i/>
                <w:u w:val="single"/>
              </w:rPr>
              <w:t xml:space="preserve">Solicito el recibo de nómina testado y protegiendo sus datos personales y entregado en versión pública del periodo 01 al 15 de agosto del 2023 del titular de la coordinación de </w:t>
            </w:r>
            <w:proofErr w:type="gramStart"/>
            <w:r>
              <w:rPr>
                <w:rFonts w:ascii="Palatino Linotype" w:eastAsia="Palatino Linotype" w:hAnsi="Palatino Linotype" w:cs="Palatino Linotype"/>
                <w:b/>
                <w:i/>
                <w:u w:val="single"/>
              </w:rPr>
              <w:t>Recaudación</w:t>
            </w:r>
            <w:r>
              <w:rPr>
                <w:rFonts w:ascii="Palatino Linotype" w:eastAsia="Palatino Linotype" w:hAnsi="Palatino Linotype" w:cs="Palatino Linotype"/>
                <w:i/>
              </w:rPr>
              <w:t xml:space="preserve"> ,</w:t>
            </w:r>
            <w:proofErr w:type="gramEnd"/>
            <w:r>
              <w:rPr>
                <w:rFonts w:ascii="Palatino Linotype" w:eastAsia="Palatino Linotype" w:hAnsi="Palatino Linotype" w:cs="Palatino Linotype"/>
                <w:i/>
              </w:rPr>
              <w:t xml:space="preserve"> con fundamento </w:t>
            </w:r>
            <w:proofErr w:type="spellStart"/>
            <w:r>
              <w:rPr>
                <w:rFonts w:ascii="Palatino Linotype" w:eastAsia="Palatino Linotype" w:hAnsi="Palatino Linotype" w:cs="Palatino Linotype"/>
                <w:i/>
              </w:rPr>
              <w:t>el</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el</w:t>
            </w:r>
            <w:proofErr w:type="spellEnd"/>
            <w:r>
              <w:rPr>
                <w:rFonts w:ascii="Palatino Linotype" w:eastAsia="Palatino Linotype" w:hAnsi="Palatino Linotype" w:cs="Palatino Linotype"/>
                <w:i/>
              </w:rPr>
              <w:t xml:space="preserve"> artículo 92 fracción </w:t>
            </w:r>
            <w:proofErr w:type="spellStart"/>
            <w:r>
              <w:rPr>
                <w:rFonts w:ascii="Palatino Linotype" w:eastAsia="Palatino Linotype" w:hAnsi="Palatino Linotype" w:cs="Palatino Linotype"/>
                <w:i/>
              </w:rPr>
              <w:t>Vlll</w:t>
            </w:r>
            <w:proofErr w:type="spellEnd"/>
            <w:r>
              <w:rPr>
                <w:rFonts w:ascii="Palatino Linotype" w:eastAsia="Palatino Linotype" w:hAnsi="Palatino Linotype" w:cs="Palatino Linotype"/>
                <w:i/>
              </w:rPr>
              <w:t xml:space="preserve"> de la Ley de Transparencia y Acceso a la Información Pública del Estado de México y Municipios.” (Sic) (Énfasis añadido)</w:t>
            </w:r>
          </w:p>
        </w:tc>
      </w:tr>
    </w:tbl>
    <w:p w:rsidR="00622B74" w:rsidRDefault="00243E2F">
      <w:pPr>
        <w:spacing w:before="240" w:after="24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cinco de septiembre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las respuestas a sus solicitudes de información en los términos siguientes: </w:t>
      </w:r>
    </w:p>
    <w:tbl>
      <w:tblPr>
        <w:tblStyle w:val="affd"/>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622B74">
        <w:tc>
          <w:tcPr>
            <w:tcW w:w="3823" w:type="dxa"/>
            <w:shd w:val="clear" w:color="auto" w:fill="DDD9C4"/>
          </w:tcPr>
          <w:p w:rsidR="00622B74" w:rsidRDefault="00243E2F">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Número de solicitud y recurso de revisión</w:t>
            </w:r>
          </w:p>
        </w:tc>
        <w:tc>
          <w:tcPr>
            <w:tcW w:w="5098"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Respuesta</w:t>
            </w:r>
          </w:p>
        </w:tc>
      </w:tr>
      <w:tr w:rsidR="00622B74">
        <w:tc>
          <w:tcPr>
            <w:tcW w:w="3823" w:type="dxa"/>
          </w:tcPr>
          <w:p w:rsidR="00622B74" w:rsidRDefault="00243E2F">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00135/OASIXTAPAL/IP/2023,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05734/INFOEM/IP/RR/2023</w:t>
            </w:r>
          </w:p>
        </w:tc>
        <w:tc>
          <w:tcPr>
            <w:tcW w:w="5098" w:type="dxa"/>
          </w:tcPr>
          <w:p w:rsidR="00622B74" w:rsidRDefault="00243E2F">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2B74" w:rsidRDefault="00243E2F">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Sea este el medio indicado por el cual le envío un cordial saludo, así mismo se anexa al presente el oficio de respuesta que otorgó la Coordinación de Recursos Humanos como poseedora de la información para atender la solicitud en turno. Sin más por el momento, quedo de Usted.</w:t>
            </w:r>
          </w:p>
          <w:p w:rsidR="00622B74" w:rsidRDefault="00243E2F">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ATENTAMENTE</w:t>
            </w:r>
          </w:p>
          <w:p w:rsidR="00622B74" w:rsidRDefault="00243E2F">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C. PERLA IVETH HERRERA VILLEGAS</w:t>
            </w:r>
          </w:p>
          <w:p w:rsidR="00622B74" w:rsidRDefault="00243E2F">
            <w:pPr>
              <w:spacing w:before="240" w:after="240"/>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Archivos adjuntos: </w:t>
            </w:r>
          </w:p>
          <w:p w:rsidR="00622B74" w:rsidRDefault="00243E2F">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b/>
                <w:i/>
                <w:sz w:val="18"/>
                <w:szCs w:val="18"/>
              </w:rPr>
              <w:t>“</w:t>
            </w:r>
            <w:proofErr w:type="spellStart"/>
            <w:r>
              <w:rPr>
                <w:rFonts w:ascii="Palatino Linotype" w:eastAsia="Palatino Linotype" w:hAnsi="Palatino Linotype" w:cs="Palatino Linotype"/>
                <w:b/>
                <w:i/>
                <w:sz w:val="18"/>
                <w:szCs w:val="18"/>
              </w:rPr>
              <w:t>CamScanner</w:t>
            </w:r>
            <w:proofErr w:type="spellEnd"/>
            <w:r>
              <w:rPr>
                <w:rFonts w:ascii="Palatino Linotype" w:eastAsia="Palatino Linotype" w:hAnsi="Palatino Linotype" w:cs="Palatino Linotype"/>
                <w:b/>
                <w:i/>
                <w:sz w:val="18"/>
                <w:szCs w:val="18"/>
              </w:rPr>
              <w:t xml:space="preserve"> 05-09-2023 16.45.pdf”: </w:t>
            </w:r>
            <w:r>
              <w:rPr>
                <w:rFonts w:ascii="Palatino Linotype" w:eastAsia="Palatino Linotype" w:hAnsi="Palatino Linotype" w:cs="Palatino Linotype"/>
                <w:sz w:val="18"/>
                <w:szCs w:val="18"/>
              </w:rPr>
              <w:t>Oficio signado por la Coordinadora de Recursos Humanos, quien requiere al solicitante que especifique el área administrativa a la cual se hace referencia, esto con base en el organigrama del Organismo y para que dicha Coordinación esté en posibilidades de brindar la información exacta.</w:t>
            </w:r>
          </w:p>
        </w:tc>
      </w:tr>
      <w:tr w:rsidR="00622B74">
        <w:tc>
          <w:tcPr>
            <w:tcW w:w="3823" w:type="dxa"/>
          </w:tcPr>
          <w:p w:rsidR="00622B74" w:rsidRDefault="00243E2F">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00137/OASIXTAPAL/IP/2023,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05735/INFOEM/IP/RR/2023</w:t>
            </w:r>
          </w:p>
        </w:tc>
        <w:tc>
          <w:tcPr>
            <w:tcW w:w="5098" w:type="dxa"/>
          </w:tcPr>
          <w:p w:rsidR="00622B74" w:rsidRDefault="00243E2F">
            <w:pPr>
              <w:spacing w:before="240" w:after="24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2B74" w:rsidRDefault="00243E2F">
            <w:pPr>
              <w:spacing w:before="240" w:after="240"/>
              <w:jc w:val="both"/>
              <w:rPr>
                <w:rFonts w:ascii="Palatino Linotype" w:eastAsia="Palatino Linotype" w:hAnsi="Palatino Linotype" w:cs="Palatino Linotype"/>
                <w:i/>
              </w:rPr>
            </w:pPr>
            <w:r>
              <w:rPr>
                <w:rFonts w:ascii="Palatino Linotype" w:eastAsia="Palatino Linotype" w:hAnsi="Palatino Linotype" w:cs="Palatino Linotype"/>
                <w:i/>
              </w:rPr>
              <w:t>Sea este el medio indicado por el cual le envío un cordial saludo, así mismo se anexa al presente el oficio de respuesta que otorgó la Coordinación de Recursos Humanos como poseedora de la información para atender la solicitud en turno. Sin más por el momento, quedo de Usted.</w:t>
            </w:r>
          </w:p>
          <w:p w:rsidR="00622B74" w:rsidRDefault="00243E2F">
            <w:pPr>
              <w:spacing w:before="240" w:after="24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ATENTAMENTE</w:t>
            </w:r>
          </w:p>
          <w:p w:rsidR="00622B74" w:rsidRDefault="00243E2F">
            <w:pPr>
              <w:spacing w:before="240" w:after="240"/>
              <w:jc w:val="both"/>
              <w:rPr>
                <w:rFonts w:ascii="Palatino Linotype" w:eastAsia="Palatino Linotype" w:hAnsi="Palatino Linotype" w:cs="Palatino Linotype"/>
                <w:i/>
              </w:rPr>
            </w:pPr>
            <w:r>
              <w:rPr>
                <w:rFonts w:ascii="Palatino Linotype" w:eastAsia="Palatino Linotype" w:hAnsi="Palatino Linotype" w:cs="Palatino Linotype"/>
                <w:i/>
              </w:rPr>
              <w:t>C. PERLA IVETH HERRERA VILLEGAS</w:t>
            </w:r>
          </w:p>
          <w:p w:rsidR="00622B74" w:rsidRDefault="00243E2F">
            <w:pPr>
              <w:spacing w:before="240" w:after="240"/>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Archivos adjuntos: </w:t>
            </w:r>
          </w:p>
          <w:p w:rsidR="00622B74" w:rsidRDefault="00243E2F">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18"/>
                <w:szCs w:val="18"/>
              </w:rPr>
              <w:t>“</w:t>
            </w:r>
            <w:proofErr w:type="spellStart"/>
            <w:r>
              <w:rPr>
                <w:rFonts w:ascii="Palatino Linotype" w:eastAsia="Palatino Linotype" w:hAnsi="Palatino Linotype" w:cs="Palatino Linotype"/>
                <w:b/>
                <w:i/>
                <w:sz w:val="18"/>
                <w:szCs w:val="18"/>
              </w:rPr>
              <w:t>CamScanner</w:t>
            </w:r>
            <w:proofErr w:type="spellEnd"/>
            <w:r>
              <w:rPr>
                <w:rFonts w:ascii="Palatino Linotype" w:eastAsia="Palatino Linotype" w:hAnsi="Palatino Linotype" w:cs="Palatino Linotype"/>
                <w:b/>
                <w:i/>
                <w:sz w:val="18"/>
                <w:szCs w:val="18"/>
              </w:rPr>
              <w:t xml:space="preserve"> 05-09-2023 16.45.pdf”: </w:t>
            </w:r>
            <w:r>
              <w:rPr>
                <w:rFonts w:ascii="Palatino Linotype" w:eastAsia="Palatino Linotype" w:hAnsi="Palatino Linotype" w:cs="Palatino Linotype"/>
                <w:sz w:val="18"/>
                <w:szCs w:val="18"/>
              </w:rPr>
              <w:t>Oficio signado por la Coordinadora de Recursos Humanos, quien requiere al solicitante que especifique el área administrativa a la cual se hace referencia, esto con base en el organigrama del Organismo y para que dicha Coordinación esté en posibilidades de brindar la información exacta.</w:t>
            </w:r>
          </w:p>
        </w:tc>
      </w:tr>
    </w:tbl>
    <w:p w:rsidR="00622B74" w:rsidRDefault="00243E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 los recursos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ocho de septiembre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dos mil veintitrés, la parte Recurrente, </w:t>
      </w:r>
      <w:r>
        <w:rPr>
          <w:rFonts w:ascii="Palatino Linotype" w:eastAsia="Palatino Linotype" w:hAnsi="Palatino Linotype" w:cs="Palatino Linotype"/>
        </w:rPr>
        <w:t>inconforme con las respuestas, interpuso los recursos de revisión que nos ocupan, expresando lo siguiente:</w:t>
      </w:r>
    </w:p>
    <w:tbl>
      <w:tblPr>
        <w:tblStyle w:val="a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622B74">
        <w:tc>
          <w:tcPr>
            <w:tcW w:w="2942"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w:t>
            </w:r>
          </w:p>
        </w:tc>
        <w:tc>
          <w:tcPr>
            <w:tcW w:w="2943"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tc>
        <w:tc>
          <w:tcPr>
            <w:tcW w:w="2943"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Motivos de inconformidad</w:t>
            </w:r>
          </w:p>
        </w:tc>
      </w:tr>
      <w:tr w:rsidR="00622B74">
        <w:tc>
          <w:tcPr>
            <w:tcW w:w="2942" w:type="dxa"/>
          </w:tcPr>
          <w:p w:rsidR="00622B74" w:rsidRDefault="00243E2F">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05734/INFOEM/IP/RR/2023</w:t>
            </w:r>
          </w:p>
        </w:tc>
        <w:tc>
          <w:tcPr>
            <w:tcW w:w="2943" w:type="dxa"/>
          </w:tcPr>
          <w:p w:rsidR="00622B74" w:rsidRDefault="00243E2F">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Entrega de información incompleta</w:t>
            </w:r>
          </w:p>
        </w:tc>
        <w:tc>
          <w:tcPr>
            <w:tcW w:w="2943" w:type="dxa"/>
          </w:tcPr>
          <w:p w:rsidR="00622B74" w:rsidRDefault="00243E2F">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Buenas tardes, En el oficio enviado por parte del sujeto obligado </w:t>
            </w:r>
            <w:proofErr w:type="spellStart"/>
            <w:r>
              <w:rPr>
                <w:rFonts w:ascii="Palatino Linotype" w:eastAsia="Palatino Linotype" w:hAnsi="Palatino Linotype" w:cs="Palatino Linotype"/>
                <w:i/>
                <w:sz w:val="18"/>
                <w:szCs w:val="18"/>
              </w:rPr>
              <w:t>opdapas</w:t>
            </w:r>
            <w:proofErr w:type="spellEnd"/>
            <w:r>
              <w:rPr>
                <w:rFonts w:ascii="Palatino Linotype" w:eastAsia="Palatino Linotype" w:hAnsi="Palatino Linotype" w:cs="Palatino Linotype"/>
                <w:i/>
                <w:sz w:val="18"/>
                <w:szCs w:val="18"/>
              </w:rPr>
              <w:t xml:space="preserve"> Ixtapaluca, me comentan que están en toda la disposición a entregarme la información solicitada solo que aclare lo que solicite y gracias de antemano, </w:t>
            </w:r>
            <w:r>
              <w:rPr>
                <w:rFonts w:ascii="Palatino Linotype" w:eastAsia="Palatino Linotype" w:hAnsi="Palatino Linotype" w:cs="Palatino Linotype"/>
                <w:b/>
                <w:i/>
                <w:sz w:val="18"/>
                <w:szCs w:val="18"/>
                <w:u w:val="single"/>
              </w:rPr>
              <w:t xml:space="preserve">Solicito el recibo de nómina del periodo 01 de agosto al 15 de agosto del 2023 testado y protegiendo sus datos personales del C. Víctor Hugo Bravo </w:t>
            </w:r>
            <w:proofErr w:type="spellStart"/>
            <w:r>
              <w:rPr>
                <w:rFonts w:ascii="Palatino Linotype" w:eastAsia="Palatino Linotype" w:hAnsi="Palatino Linotype" w:cs="Palatino Linotype"/>
                <w:b/>
                <w:i/>
                <w:sz w:val="18"/>
                <w:szCs w:val="18"/>
                <w:u w:val="single"/>
              </w:rPr>
              <w:t>Ramires</w:t>
            </w:r>
            <w:proofErr w:type="spellEnd"/>
            <w:r>
              <w:rPr>
                <w:rFonts w:ascii="Palatino Linotype" w:eastAsia="Palatino Linotype" w:hAnsi="Palatino Linotype" w:cs="Palatino Linotype"/>
                <w:b/>
                <w:i/>
                <w:sz w:val="18"/>
                <w:szCs w:val="18"/>
                <w:u w:val="single"/>
              </w:rPr>
              <w:t xml:space="preserve"> Titular de la Gerencia de Finanzas y Administración del </w:t>
            </w:r>
            <w:proofErr w:type="spellStart"/>
            <w:r>
              <w:rPr>
                <w:rFonts w:ascii="Palatino Linotype" w:eastAsia="Palatino Linotype" w:hAnsi="Palatino Linotype" w:cs="Palatino Linotype"/>
                <w:b/>
                <w:i/>
                <w:sz w:val="18"/>
                <w:szCs w:val="18"/>
                <w:u w:val="single"/>
              </w:rPr>
              <w:t>opdapas</w:t>
            </w:r>
            <w:proofErr w:type="spellEnd"/>
            <w:r>
              <w:rPr>
                <w:rFonts w:ascii="Palatino Linotype" w:eastAsia="Palatino Linotype" w:hAnsi="Palatino Linotype" w:cs="Palatino Linotype"/>
                <w:b/>
                <w:i/>
                <w:sz w:val="18"/>
                <w:szCs w:val="18"/>
                <w:u w:val="single"/>
              </w:rPr>
              <w:t xml:space="preserve"> Ixtapaluca</w:t>
            </w:r>
            <w:r>
              <w:rPr>
                <w:rFonts w:ascii="Palatino Linotype" w:eastAsia="Palatino Linotype" w:hAnsi="Palatino Linotype" w:cs="Palatino Linotype"/>
                <w:i/>
                <w:sz w:val="18"/>
                <w:szCs w:val="18"/>
              </w:rPr>
              <w:t xml:space="preserve">, con fundamento en el artículo 92 fracción </w:t>
            </w:r>
            <w:proofErr w:type="spellStart"/>
            <w:r>
              <w:rPr>
                <w:rFonts w:ascii="Palatino Linotype" w:eastAsia="Palatino Linotype" w:hAnsi="Palatino Linotype" w:cs="Palatino Linotype"/>
                <w:i/>
                <w:sz w:val="18"/>
                <w:szCs w:val="18"/>
              </w:rPr>
              <w:t>Vlll</w:t>
            </w:r>
            <w:proofErr w:type="spellEnd"/>
            <w:r>
              <w:rPr>
                <w:rFonts w:ascii="Palatino Linotype" w:eastAsia="Palatino Linotype" w:hAnsi="Palatino Linotype" w:cs="Palatino Linotype"/>
                <w:i/>
                <w:sz w:val="18"/>
                <w:szCs w:val="18"/>
              </w:rPr>
              <w:t xml:space="preserve"> de la ley de transparencia y acceso a la </w:t>
            </w:r>
            <w:r>
              <w:rPr>
                <w:rFonts w:ascii="Palatino Linotype" w:eastAsia="Palatino Linotype" w:hAnsi="Palatino Linotype" w:cs="Palatino Linotype"/>
                <w:i/>
                <w:sz w:val="18"/>
                <w:szCs w:val="18"/>
              </w:rPr>
              <w:lastRenderedPageBreak/>
              <w:t>información pública del Estado de México y municipios</w:t>
            </w:r>
          </w:p>
        </w:tc>
      </w:tr>
      <w:tr w:rsidR="00622B74">
        <w:tc>
          <w:tcPr>
            <w:tcW w:w="2942" w:type="dxa"/>
          </w:tcPr>
          <w:p w:rsidR="00622B74" w:rsidRDefault="00243E2F">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05735/INFOEM/IP/RR/2023</w:t>
            </w:r>
          </w:p>
        </w:tc>
        <w:tc>
          <w:tcPr>
            <w:tcW w:w="2943" w:type="dxa"/>
          </w:tcPr>
          <w:p w:rsidR="00622B74" w:rsidRDefault="00243E2F">
            <w:pPr>
              <w:spacing w:before="240" w:after="240"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Entrega de la información incompleta</w:t>
            </w:r>
          </w:p>
        </w:tc>
        <w:tc>
          <w:tcPr>
            <w:tcW w:w="2943" w:type="dxa"/>
          </w:tcPr>
          <w:p w:rsidR="00622B74" w:rsidRDefault="00243E2F">
            <w:pPr>
              <w:spacing w:before="240" w:after="240"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Buenas tardes, En el oficio enviado por parte del sujeto obligado OPDAPAS Ixtapaluca, me comentan que están en toda la disposición a entregarme la información solicitada solo que aclare lo que solicite y gracias de antemano, </w:t>
            </w:r>
            <w:r>
              <w:rPr>
                <w:rFonts w:ascii="Palatino Linotype" w:eastAsia="Palatino Linotype" w:hAnsi="Palatino Linotype" w:cs="Palatino Linotype"/>
                <w:b/>
                <w:i/>
                <w:sz w:val="18"/>
                <w:szCs w:val="18"/>
                <w:u w:val="single"/>
              </w:rPr>
              <w:t>Solicito el recibo de nómina del periodo 01 de agosto al 15 de agosto del 2023 testado y protegiendo sus datos personales del C. José Felipe de la O Rosales Titular de la Coordinación de Ingresos del OPDAPAS Ixtapaluca</w:t>
            </w:r>
            <w:r>
              <w:rPr>
                <w:rFonts w:ascii="Palatino Linotype" w:eastAsia="Palatino Linotype" w:hAnsi="Palatino Linotype" w:cs="Palatino Linotype"/>
                <w:i/>
                <w:sz w:val="18"/>
                <w:szCs w:val="18"/>
              </w:rPr>
              <w:t xml:space="preserve">, con fundamento en el artículo 92 fracción </w:t>
            </w:r>
            <w:proofErr w:type="spellStart"/>
            <w:r>
              <w:rPr>
                <w:rFonts w:ascii="Palatino Linotype" w:eastAsia="Palatino Linotype" w:hAnsi="Palatino Linotype" w:cs="Palatino Linotype"/>
                <w:i/>
                <w:sz w:val="18"/>
                <w:szCs w:val="18"/>
              </w:rPr>
              <w:t>Vlll</w:t>
            </w:r>
            <w:proofErr w:type="spellEnd"/>
            <w:r>
              <w:rPr>
                <w:rFonts w:ascii="Palatino Linotype" w:eastAsia="Palatino Linotype" w:hAnsi="Palatino Linotype" w:cs="Palatino Linotype"/>
                <w:i/>
                <w:sz w:val="18"/>
                <w:szCs w:val="18"/>
              </w:rPr>
              <w:t xml:space="preserve"> de la ley de transparencia y acceso a la información pública del Estado de México y municipios</w:t>
            </w:r>
          </w:p>
        </w:tc>
      </w:tr>
    </w:tbl>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Transparencia y Acceso a la Información Pública, los recursos de revisión fueron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ff"/>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622B74">
        <w:tc>
          <w:tcPr>
            <w:tcW w:w="4460"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461" w:type="dxa"/>
            <w:shd w:val="clear" w:color="auto" w:fill="DDD9C4"/>
          </w:tcPr>
          <w:p w:rsidR="00622B74" w:rsidRDefault="00243E2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Comisionada/o</w:t>
            </w:r>
          </w:p>
        </w:tc>
      </w:tr>
      <w:tr w:rsidR="00622B74">
        <w:tc>
          <w:tcPr>
            <w:tcW w:w="4460" w:type="dxa"/>
          </w:tcPr>
          <w:p w:rsidR="00622B74" w:rsidRDefault="00243E2F">
            <w:pPr>
              <w:spacing w:before="240" w:after="240" w:line="276" w:lineRule="auto"/>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05734/INFOEM/IP/RR/2023</w:t>
            </w:r>
          </w:p>
        </w:tc>
        <w:tc>
          <w:tcPr>
            <w:tcW w:w="4461" w:type="dxa"/>
          </w:tcPr>
          <w:p w:rsidR="00622B74" w:rsidRDefault="00243E2F">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Comisionada Guadalupe Ramírez Peña</w:t>
            </w:r>
          </w:p>
        </w:tc>
      </w:tr>
      <w:tr w:rsidR="00622B74">
        <w:tc>
          <w:tcPr>
            <w:tcW w:w="4460" w:type="dxa"/>
          </w:tcPr>
          <w:p w:rsidR="00622B74" w:rsidRDefault="00243E2F">
            <w:pPr>
              <w:spacing w:before="240" w:after="24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05735/INFOEM/IP/RR/2023</w:t>
            </w:r>
          </w:p>
        </w:tc>
        <w:tc>
          <w:tcPr>
            <w:tcW w:w="4461" w:type="dxa"/>
          </w:tcPr>
          <w:p w:rsidR="00622B74" w:rsidRDefault="00243E2F">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Comisionado Presidente José Martínez Vilchis </w:t>
            </w:r>
          </w:p>
        </w:tc>
      </w:tr>
    </w:tbl>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Admisiones. </w:t>
      </w:r>
      <w:proofErr w:type="gramStart"/>
      <w:r>
        <w:rPr>
          <w:rFonts w:ascii="Palatino Linotype" w:eastAsia="Palatino Linotype" w:hAnsi="Palatino Linotype" w:cs="Palatino Linotype"/>
        </w:rPr>
        <w:t>Los</w:t>
      </w:r>
      <w:proofErr w:type="gramEnd"/>
      <w:r>
        <w:rPr>
          <w:rFonts w:ascii="Palatino Linotype" w:eastAsia="Palatino Linotype" w:hAnsi="Palatino Linotype" w:cs="Palatino Linotype"/>
        </w:rPr>
        <w:t xml:space="preserve"> días </w:t>
      </w:r>
      <w:r>
        <w:rPr>
          <w:rFonts w:ascii="Palatino Linotype" w:eastAsia="Palatino Linotype" w:hAnsi="Palatino Linotype" w:cs="Palatino Linotype"/>
          <w:b/>
        </w:rPr>
        <w:t>doce y trece</w:t>
      </w:r>
      <w:r>
        <w:rPr>
          <w:rFonts w:ascii="Palatino Linotype" w:eastAsia="Palatino Linotype" w:hAnsi="Palatino Linotype" w:cs="Palatino Linotype"/>
        </w:rPr>
        <w:t xml:space="preserve"> </w:t>
      </w:r>
      <w:r>
        <w:rPr>
          <w:rFonts w:ascii="Palatino Linotype" w:eastAsia="Palatino Linotype" w:hAnsi="Palatino Linotype" w:cs="Palatino Linotype"/>
          <w:b/>
        </w:rPr>
        <w:t>de septiembre de dos mil veintitrés,</w:t>
      </w:r>
      <w:r>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Trigésima Cuarta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veinte de septiembre de dos mil veintitrés</w:t>
      </w:r>
      <w:r>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que mediante acuerdo se notificó a las partes vía SAIMEX.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sus informes justificados, el </w:t>
      </w:r>
      <w:r>
        <w:rPr>
          <w:rFonts w:ascii="Palatino Linotype" w:eastAsia="Palatino Linotype" w:hAnsi="Palatino Linotype" w:cs="Palatino Linotype"/>
          <w:b/>
        </w:rPr>
        <w:t>veintiséis de septiembre de dos mil veintitrés</w:t>
      </w:r>
      <w:r>
        <w:rPr>
          <w:rFonts w:ascii="Palatino Linotype" w:eastAsia="Palatino Linotype" w:hAnsi="Palatino Linotype" w:cs="Palatino Linotype"/>
        </w:rPr>
        <w:t xml:space="preserve">, mediante los archivos electrónicos </w:t>
      </w:r>
      <w:r>
        <w:rPr>
          <w:rFonts w:ascii="Palatino Linotype" w:eastAsia="Palatino Linotype" w:hAnsi="Palatino Linotype" w:cs="Palatino Linotype"/>
          <w:b/>
          <w:i/>
        </w:rPr>
        <w:t>“</w:t>
      </w:r>
      <w:proofErr w:type="spellStart"/>
      <w:r>
        <w:rPr>
          <w:rFonts w:ascii="Palatino Linotype" w:eastAsia="Palatino Linotype" w:hAnsi="Palatino Linotype" w:cs="Palatino Linotype"/>
          <w:b/>
          <w:i/>
        </w:rPr>
        <w:t>CamScanner</w:t>
      </w:r>
      <w:proofErr w:type="spellEnd"/>
      <w:r>
        <w:rPr>
          <w:rFonts w:ascii="Palatino Linotype" w:eastAsia="Palatino Linotype" w:hAnsi="Palatino Linotype" w:cs="Palatino Linotype"/>
          <w:b/>
          <w:i/>
        </w:rPr>
        <w:t xml:space="preserve"> 05-09-2023 16.45.pdf”, “INFORME 05734 2023.pdf”, “INFORME 05735 2023.pdf” y “</w:t>
      </w:r>
      <w:proofErr w:type="spellStart"/>
      <w:r>
        <w:rPr>
          <w:rFonts w:ascii="Palatino Linotype" w:eastAsia="Palatino Linotype" w:hAnsi="Palatino Linotype" w:cs="Palatino Linotype"/>
          <w:b/>
          <w:i/>
        </w:rPr>
        <w:t>CamScanner</w:t>
      </w:r>
      <w:proofErr w:type="spellEnd"/>
      <w:r>
        <w:rPr>
          <w:rFonts w:ascii="Palatino Linotype" w:eastAsia="Palatino Linotype" w:hAnsi="Palatino Linotype" w:cs="Palatino Linotype"/>
          <w:b/>
          <w:i/>
        </w:rPr>
        <w:t xml:space="preserve"> 05-09-2023 16.43.pdf”, </w:t>
      </w:r>
      <w:r>
        <w:rPr>
          <w:rFonts w:ascii="Palatino Linotype" w:eastAsia="Palatino Linotype" w:hAnsi="Palatino Linotype" w:cs="Palatino Linotype"/>
        </w:rPr>
        <w:t>mismos que medularmente ratifican la respuesta inicial y contienen lo siguiente:</w:t>
      </w:r>
    </w:p>
    <w:p w:rsidR="00622B74" w:rsidRDefault="00243E2F">
      <w:pPr>
        <w:spacing w:before="240" w:after="240" w:line="360" w:lineRule="auto"/>
        <w:ind w:left="567" w:right="900"/>
        <w:jc w:val="both"/>
        <w:rPr>
          <w:rFonts w:ascii="Palatino Linotype" w:eastAsia="Palatino Linotype" w:hAnsi="Palatino Linotype" w:cs="Palatino Linotype"/>
          <w:b/>
          <w:i/>
          <w:sz w:val="32"/>
          <w:szCs w:val="32"/>
        </w:rPr>
      </w:pPr>
      <w:r>
        <w:rPr>
          <w:rFonts w:ascii="Palatino Linotype" w:eastAsia="Palatino Linotype" w:hAnsi="Palatino Linotype" w:cs="Palatino Linotype"/>
          <w:b/>
          <w:i/>
        </w:rPr>
        <w:lastRenderedPageBreak/>
        <w:t>“</w:t>
      </w:r>
      <w:proofErr w:type="spellStart"/>
      <w:r>
        <w:rPr>
          <w:rFonts w:ascii="Palatino Linotype" w:eastAsia="Palatino Linotype" w:hAnsi="Palatino Linotype" w:cs="Palatino Linotype"/>
          <w:b/>
          <w:i/>
        </w:rPr>
        <w:t>CamScanner</w:t>
      </w:r>
      <w:proofErr w:type="spellEnd"/>
      <w:r>
        <w:rPr>
          <w:rFonts w:ascii="Palatino Linotype" w:eastAsia="Palatino Linotype" w:hAnsi="Palatino Linotype" w:cs="Palatino Linotype"/>
          <w:b/>
          <w:i/>
        </w:rPr>
        <w:t xml:space="preserve"> 05-09-2023 16.45.pdf” y “</w:t>
      </w:r>
      <w:proofErr w:type="spellStart"/>
      <w:r>
        <w:rPr>
          <w:rFonts w:ascii="Palatino Linotype" w:eastAsia="Palatino Linotype" w:hAnsi="Palatino Linotype" w:cs="Palatino Linotype"/>
          <w:b/>
          <w:i/>
        </w:rPr>
        <w:t>CamScanner</w:t>
      </w:r>
      <w:proofErr w:type="spellEnd"/>
      <w:r>
        <w:rPr>
          <w:rFonts w:ascii="Palatino Linotype" w:eastAsia="Palatino Linotype" w:hAnsi="Palatino Linotype" w:cs="Palatino Linotype"/>
          <w:b/>
          <w:i/>
        </w:rPr>
        <w:t xml:space="preserve"> 05-09-2023 16.43.pdf”: </w:t>
      </w:r>
      <w:r>
        <w:rPr>
          <w:rFonts w:ascii="Palatino Linotype" w:eastAsia="Palatino Linotype" w:hAnsi="Palatino Linotype" w:cs="Palatino Linotype"/>
          <w:sz w:val="22"/>
          <w:szCs w:val="22"/>
        </w:rPr>
        <w:t>Oficios signados por la Coordinadora de Recursos Humanos, quien requiere al solicitante que especifique el área administrativa a la cual se hace referencia, esto con base en el organigrama del Organismo y para que dicha Coordinación esté en posibilidades de brindar la información exacta, remitidos en respuesta inicial.</w:t>
      </w:r>
    </w:p>
    <w:p w:rsidR="00622B74" w:rsidRDefault="00243E2F">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“INFORME 05734 2023.pdf” e “INFORME 05735 2023.pdf”:</w:t>
      </w:r>
      <w:r>
        <w:rPr>
          <w:rFonts w:ascii="Palatino Linotype" w:eastAsia="Palatino Linotype" w:hAnsi="Palatino Linotype" w:cs="Palatino Linotype"/>
          <w:b/>
          <w:i/>
        </w:rPr>
        <w:t xml:space="preserve"> </w:t>
      </w:r>
      <w:r>
        <w:rPr>
          <w:rFonts w:ascii="Palatino Linotype" w:eastAsia="Palatino Linotype" w:hAnsi="Palatino Linotype" w:cs="Palatino Linotype"/>
          <w:sz w:val="22"/>
          <w:szCs w:val="22"/>
        </w:rPr>
        <w:t>Archivos electrónicos que se componen de tres hojas cada uno y en ambos se advierte que se ratifica la respuesta.</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precisar que una vez analizada la documentación, se determinó ponerla a la vista de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mediante acuerdo signado por la Comisionada Ponente el </w:t>
      </w:r>
      <w:r>
        <w:rPr>
          <w:rFonts w:ascii="Palatino Linotype" w:eastAsia="Palatino Linotype" w:hAnsi="Palatino Linotype" w:cs="Palatino Linotype"/>
          <w:b/>
        </w:rPr>
        <w:t>diez de octubre de dos mil veintitrés</w:t>
      </w:r>
      <w:r>
        <w:rPr>
          <w:rFonts w:ascii="Palatino Linotype" w:eastAsia="Palatino Linotype" w:hAnsi="Palatino Linotype" w:cs="Palatino Linotype"/>
        </w:rPr>
        <w:t xml:space="preserve">, quien fue omisa en remitir sus manifestaciones, por lo que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 efecto.</w:t>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drawing>
          <wp:inline distT="0" distB="0" distL="0" distR="0">
            <wp:extent cx="5612130" cy="2096135"/>
            <wp:effectExtent l="0" t="0" r="0" b="0"/>
            <wp:docPr id="3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612130" cy="2096135"/>
                    </a:xfrm>
                    <a:prstGeom prst="rect">
                      <a:avLst/>
                    </a:prstGeom>
                    <a:ln/>
                  </pic:spPr>
                </pic:pic>
              </a:graphicData>
            </a:graphic>
          </wp:inline>
        </w:drawing>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lastRenderedPageBreak/>
        <w:drawing>
          <wp:inline distT="0" distB="0" distL="0" distR="0">
            <wp:extent cx="5612130" cy="2045970"/>
            <wp:effectExtent l="0" t="0" r="0" b="0"/>
            <wp:docPr id="3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2130" cy="2045970"/>
                    </a:xfrm>
                    <a:prstGeom prst="rect">
                      <a:avLst/>
                    </a:prstGeom>
                    <a:ln/>
                  </pic:spPr>
                </pic:pic>
              </a:graphicData>
            </a:graphic>
          </wp:inline>
        </w:drawing>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Cierres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Pr>
          <w:rFonts w:ascii="Palatino Linotype" w:eastAsia="Palatino Linotype" w:hAnsi="Palatino Linotype" w:cs="Palatino Linotype"/>
          <w:b/>
        </w:rPr>
        <w:t>dieci</w:t>
      </w:r>
      <w:r>
        <w:rPr>
          <w:rFonts w:ascii="Palatino Linotype" w:eastAsia="Palatino Linotype" w:hAnsi="Palatino Linotype" w:cs="Palatino Linotype"/>
          <w:b/>
          <w:color w:val="000000"/>
        </w:rPr>
        <w:t xml:space="preserve">séis de octubre </w:t>
      </w:r>
      <w:r>
        <w:rPr>
          <w:rFonts w:ascii="Palatino Linotype" w:eastAsia="Palatino Linotype" w:hAnsi="Palatino Linotype" w:cs="Palatino Linotype"/>
          <w:b/>
        </w:rPr>
        <w:t>de dos mil veintitrés</w:t>
      </w:r>
      <w:r>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existen diligencias pendientes de desahogo, se emite la Resolución que conforme a Derecho proceda, de acuerdo con los siguientes: </w:t>
      </w:r>
    </w:p>
    <w:p w:rsidR="00622B74" w:rsidRDefault="00243E2F">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Pr>
          <w:rFonts w:ascii="Palatino Linotype" w:eastAsia="Palatino Linotype" w:hAnsi="Palatino Linotype" w:cs="Palatino Linotype"/>
        </w:rPr>
        <w:lastRenderedPageBreak/>
        <w:t xml:space="preserve">competente para conocer y resolver los presentes recursos de revisión interpuestos por </w:t>
      </w:r>
      <w:r>
        <w:rPr>
          <w:rFonts w:ascii="Palatino Linotype" w:eastAsia="Palatino Linotype" w:hAnsi="Palatino Linotype" w:cs="Palatino Linotype"/>
          <w:b/>
        </w:rPr>
        <w:t>la parte Recurrente</w:t>
      </w:r>
      <w:r>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w:t>
      </w:r>
      <w:r>
        <w:rPr>
          <w:rFonts w:ascii="Palatino Linotype" w:eastAsia="Palatino Linotype" w:hAnsi="Palatino Linotype" w:cs="Palatino Linotype"/>
          <w:color w:val="000000"/>
        </w:rPr>
        <w:t xml:space="preserve">, fracciones I, XXIII y XXIV  y </w:t>
      </w:r>
      <w:r>
        <w:rPr>
          <w:rFonts w:ascii="Palatino Linotype" w:eastAsia="Palatino Linotype" w:hAnsi="Palatino Linotype" w:cs="Palatino Linotype"/>
        </w:rPr>
        <w:t>11 del Reglamento Interior del Instituto de Transparencia, Acceso a la Información Pública y Protección de Datos Personales del Estado de México y Municipios.</w:t>
      </w:r>
    </w:p>
    <w:p w:rsidR="00622B74" w:rsidRDefault="00243E2F">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 los Recursos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 de información que </w:t>
      </w:r>
      <w:proofErr w:type="spellStart"/>
      <w:r>
        <w:rPr>
          <w:rFonts w:ascii="Palatino Linotype" w:eastAsia="Palatino Linotype" w:hAnsi="Palatino Linotype" w:cs="Palatino Linotype"/>
        </w:rPr>
        <w:t>aperturaron</w:t>
      </w:r>
      <w:proofErr w:type="spellEnd"/>
      <w:r>
        <w:rPr>
          <w:rFonts w:ascii="Palatino Linotype" w:eastAsia="Palatino Linotype" w:hAnsi="Palatino Linotype" w:cs="Palatino Linotype"/>
        </w:rPr>
        <w:t xml:space="preserve"> los recursos de revisión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cinco de septiembre de dos mil veintitrés</w:t>
      </w:r>
      <w:r>
        <w:rPr>
          <w:rFonts w:ascii="Palatino Linotype" w:eastAsia="Palatino Linotype" w:hAnsi="Palatino Linotype" w:cs="Palatino Linotype"/>
        </w:rPr>
        <w:t xml:space="preserve">, por su parte, los recursos de revisión </w:t>
      </w:r>
      <w:r>
        <w:rPr>
          <w:rFonts w:ascii="Palatino Linotype" w:eastAsia="Palatino Linotype" w:hAnsi="Palatino Linotype" w:cs="Palatino Linotype"/>
        </w:rPr>
        <w:lastRenderedPageBreak/>
        <w:t xml:space="preserve">se interpusieron el día </w:t>
      </w:r>
      <w:r>
        <w:rPr>
          <w:rFonts w:ascii="Palatino Linotype" w:eastAsia="Palatino Linotype" w:hAnsi="Palatino Linotype" w:cs="Palatino Linotype"/>
          <w:b/>
        </w:rPr>
        <w:t>ocho de septiembre de dos mil veintitrés</w:t>
      </w:r>
      <w:r>
        <w:rPr>
          <w:rFonts w:ascii="Palatino Linotype" w:eastAsia="Palatino Linotype" w:hAnsi="Palatino Linotype" w:cs="Palatino Linotype"/>
        </w:rPr>
        <w:t xml:space="preserve">, esto es en el </w:t>
      </w:r>
      <w:r>
        <w:rPr>
          <w:rFonts w:ascii="Palatino Linotype" w:eastAsia="Palatino Linotype" w:hAnsi="Palatino Linotype" w:cs="Palatino Linotype"/>
          <w:b/>
        </w:rPr>
        <w:t>tercer día hábil después de conocerse las respuestas</w:t>
      </w:r>
      <w:r>
        <w:rPr>
          <w:rFonts w:ascii="Palatino Linotype" w:eastAsia="Palatino Linotype" w:hAnsi="Palatino Linotype" w:cs="Palatino Linotype"/>
        </w:rPr>
        <w:t>.</w:t>
      </w:r>
    </w:p>
    <w:p w:rsidR="00622B74" w:rsidRDefault="00243E2F">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rsidR="00622B74" w:rsidRDefault="00243E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w:t>
      </w:r>
      <w:r>
        <w:rPr>
          <w:rFonts w:ascii="Palatino Linotype" w:eastAsia="Palatino Linotype" w:hAnsi="Palatino Linotype" w:cs="Palatino Linotype"/>
        </w:rPr>
        <w:t xml:space="preserve">l </w:t>
      </w:r>
      <w:r>
        <w:rPr>
          <w:rFonts w:ascii="Palatino Linotype" w:eastAsia="Palatino Linotype" w:hAnsi="Palatino Linotype" w:cs="Palatino Linotype"/>
          <w:color w:val="000000"/>
        </w:rPr>
        <w:t xml:space="preserve"> recurso de </w:t>
      </w:r>
      <w:r>
        <w:rPr>
          <w:rFonts w:ascii="Palatino Linotype" w:eastAsia="Palatino Linotype" w:hAnsi="Palatino Linotype" w:cs="Palatino Linotype"/>
        </w:rPr>
        <w:t>revisión</w:t>
      </w:r>
      <w:r>
        <w:rPr>
          <w:rFonts w:ascii="Palatino Linotype" w:eastAsia="Palatino Linotype" w:hAnsi="Palatino Linotype" w:cs="Palatino Linotype"/>
          <w:color w:val="000000"/>
        </w:rPr>
        <w:t xml:space="preserve">,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omitió señalar nombre o seudónimo con el que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22B74" w:rsidRDefault="00243E2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 los recursos de revisión, una vez realizado el análisis de los formatos de interposición de los recursos, se concluye la acreditación </w:t>
      </w:r>
      <w:r>
        <w:rPr>
          <w:rFonts w:ascii="Palatino Linotype" w:eastAsia="Palatino Linotype" w:hAnsi="Palatino Linotype" w:cs="Palatino Linotype"/>
        </w:rPr>
        <w:lastRenderedPageBreak/>
        <w:t>plena de los elementos formales precisados por el artículo 180 de la Ley de Transparencia y Acceso a la Información Pública del Estado de México y Municipios, en atención a que fueron presentados mediante el formato visible en el SAIMEX.</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 los recursos, según lo manifestado por el recurrente en sus motivos de inconformidad, de acuerdo al artículo 179, fracción I del ordenamiento legal citado, que a la letra dice: </w:t>
      </w:r>
    </w:p>
    <w:p w:rsidR="00622B74" w:rsidRDefault="00243E2F">
      <w:pPr>
        <w:tabs>
          <w:tab w:val="left" w:pos="7088"/>
        </w:tabs>
        <w:spacing w:before="240" w:after="24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622B74" w:rsidRDefault="00243E2F">
      <w:pPr>
        <w:tabs>
          <w:tab w:val="left" w:pos="7088"/>
        </w:tabs>
        <w:spacing w:before="240" w:after="24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tabs>
          <w:tab w:val="left" w:pos="7088"/>
        </w:tabs>
        <w:spacing w:before="240" w:after="240"/>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La entrega de información incompleta;” </w:t>
      </w:r>
      <w:r>
        <w:rPr>
          <w:rFonts w:ascii="Palatino Linotype" w:eastAsia="Palatino Linotype" w:hAnsi="Palatino Linotype" w:cs="Palatino Linotype"/>
          <w:i/>
          <w:sz w:val="22"/>
          <w:szCs w:val="22"/>
        </w:rPr>
        <w:t>(Énfasis añadido)</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 en su defecto, en caso de ser procedente, ordenar la entrega de información.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primer término, se estima pertinente mencionar que el derecho de acceso a la información está consagrado en instrumentos </w:t>
      </w:r>
      <w:r>
        <w:rPr>
          <w:rFonts w:ascii="Palatino Linotype" w:eastAsia="Palatino Linotype" w:hAnsi="Palatino Linotype" w:cs="Palatino Linotype"/>
        </w:rPr>
        <w:lastRenderedPageBreak/>
        <w:t>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22B74" w:rsidRDefault="00243E2F">
      <w:pPr>
        <w:tabs>
          <w:tab w:val="left" w:pos="709"/>
        </w:tabs>
        <w:spacing w:before="240" w:after="24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622B74" w:rsidRDefault="00243E2F">
      <w:pPr>
        <w:tabs>
          <w:tab w:val="left" w:pos="709"/>
        </w:tabs>
        <w:spacing w:before="240" w:after="240"/>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622B74" w:rsidRDefault="00243E2F">
      <w:pPr>
        <w:tabs>
          <w:tab w:val="left" w:pos="709"/>
        </w:tabs>
        <w:spacing w:before="240" w:after="24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622B74" w:rsidRDefault="00243E2F">
      <w:pPr>
        <w:tabs>
          <w:tab w:val="left" w:pos="709"/>
        </w:tabs>
        <w:spacing w:before="240" w:after="24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before="240" w:after="24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622B74" w:rsidRDefault="00243E2F">
      <w:pPr>
        <w:spacing w:before="240" w:after="24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22B74" w:rsidRDefault="00243E2F">
      <w:pPr>
        <w:spacing w:before="240" w:after="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622B74" w:rsidRDefault="00243E2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dichos dispositivos legales.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22B74" w:rsidRDefault="00243E2F">
      <w:pPr>
        <w:spacing w:before="240" w:after="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22B74" w:rsidRDefault="00243E2F">
      <w:pPr>
        <w:spacing w:before="240" w:after="240"/>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22B74" w:rsidRDefault="00243E2F">
      <w:pPr>
        <w:spacing w:before="240" w:after="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del Estado de México y Municipios, el cual a la letra dice:</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rsidR="00622B74" w:rsidRDefault="00243E2F">
      <w:pPr>
        <w:spacing w:before="240" w:after="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rsidR="00622B74" w:rsidRDefault="00243E2F">
      <w:pPr>
        <w:spacing w:before="240" w:after="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22B74" w:rsidRDefault="00243E2F">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obligaciones y competencias de los Sujetos Obligados</w:t>
      </w:r>
      <w:r>
        <w:rPr>
          <w:rFonts w:ascii="Palatino Linotype" w:eastAsia="Palatino Linotype" w:hAnsi="Palatino Linotype" w:cs="Palatino Linotype"/>
        </w:rPr>
        <w:t xml:space="preserve">; </w:t>
      </w:r>
      <w:r>
        <w:rPr>
          <w:rFonts w:ascii="Palatino Linotype" w:eastAsia="Palatino Linotype" w:hAnsi="Palatino Linotype" w:cs="Palatino Linotype"/>
          <w:b/>
        </w:rPr>
        <w:t>los que, podrán estar en cualquier medio</w:t>
      </w:r>
      <w:r>
        <w:rPr>
          <w:rFonts w:ascii="Palatino Linotype" w:eastAsia="Palatino Linotype" w:hAnsi="Palatino Linotype" w:cs="Palatino Linotype"/>
        </w:rPr>
        <w:t xml:space="preserve">, sea escrito, impreso, sonoro, visual, </w:t>
      </w:r>
      <w:r>
        <w:rPr>
          <w:rFonts w:ascii="Palatino Linotype" w:eastAsia="Palatino Linotype" w:hAnsi="Palatino Linotype" w:cs="Palatino Linotype"/>
          <w:b/>
        </w:rPr>
        <w:t>electrónico</w:t>
      </w:r>
      <w:r>
        <w:rPr>
          <w:rFonts w:ascii="Palatino Linotype" w:eastAsia="Palatino Linotype" w:hAnsi="Palatino Linotype" w:cs="Palatino Linotype"/>
        </w:rPr>
        <w:t xml:space="preserve">, informático u holográfico, esto es, </w:t>
      </w:r>
      <w:r>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w:t>
      </w:r>
      <w:r>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97, fracción I de la Ley de la Materia.</w:t>
      </w:r>
    </w:p>
    <w:p w:rsidR="00622B74" w:rsidRDefault="00243E2F">
      <w:pPr>
        <w:tabs>
          <w:tab w:val="left" w:pos="709"/>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este sentido, cabe reiterar que la persona solicitante requirió al </w:t>
      </w:r>
      <w:r>
        <w:rPr>
          <w:rFonts w:ascii="Palatino Linotype" w:eastAsia="Palatino Linotype" w:hAnsi="Palatino Linotype" w:cs="Palatino Linotype"/>
          <w:b/>
        </w:rPr>
        <w:t xml:space="preserve">Sujeto Obligado, lo siguiente: </w:t>
      </w:r>
    </w:p>
    <w:p w:rsidR="00622B74" w:rsidRDefault="00243E2F">
      <w:pPr>
        <w:numPr>
          <w:ilvl w:val="0"/>
          <w:numId w:val="2"/>
        </w:numPr>
        <w:pBdr>
          <w:top w:val="nil"/>
          <w:left w:val="nil"/>
          <w:bottom w:val="nil"/>
          <w:right w:val="nil"/>
          <w:between w:val="nil"/>
        </w:pBdr>
        <w:tabs>
          <w:tab w:val="left" w:pos="567"/>
        </w:tabs>
        <w:spacing w:before="240" w:after="240" w:line="360" w:lineRule="auto"/>
        <w:ind w:left="567" w:right="900" w:hanging="14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Los recibos de nómina de la primera quincena de agosto de 2023, del titular de la coordinación de Finanzas y del titular de la coordinación de Recaudación.</w:t>
      </w:r>
    </w:p>
    <w:p w:rsidR="00622B74" w:rsidRDefault="00243E2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sus respuestas,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conducto la Coordinadora de Recursos Humanos, requirió al solicitante que especifique el área administrativa a la cual se hace referencia, esto con base en el organigrama del Organismo y para que dicha Coordinación esté en posibilidades de brindar la información exacta.</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conocidas las respuestas,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los recursos de revisión que nos ocupan, inconformándose en ambos expedientes por la entrega de </w:t>
      </w:r>
      <w:r>
        <w:rPr>
          <w:rFonts w:ascii="Palatino Linotype" w:eastAsia="Palatino Linotype" w:hAnsi="Palatino Linotype" w:cs="Palatino Linotype"/>
        </w:rPr>
        <w:lastRenderedPageBreak/>
        <w:t xml:space="preserve">información incompleta; asimismo es de mencionar que puntualizó los nombres y cargos de los titulares de quienes requiere la información, siendo estos, el  C. Víctor Hugo Bravo Ramírez </w:t>
      </w:r>
      <w:r>
        <w:rPr>
          <w:rFonts w:ascii="Palatino Linotype" w:eastAsia="Palatino Linotype" w:hAnsi="Palatino Linotype" w:cs="Palatino Linotype"/>
          <w:b/>
        </w:rPr>
        <w:t>Titular de la Gerencia de Finanzas y Administración</w:t>
      </w:r>
      <w:r>
        <w:rPr>
          <w:rFonts w:ascii="Palatino Linotype" w:eastAsia="Palatino Linotype" w:hAnsi="Palatino Linotype" w:cs="Palatino Linotype"/>
        </w:rPr>
        <w:t xml:space="preserve"> del OPDAPAS Ixtapaluca y el  C. José Felipe de la O Rosales </w:t>
      </w:r>
      <w:r>
        <w:rPr>
          <w:rFonts w:ascii="Palatino Linotype" w:eastAsia="Palatino Linotype" w:hAnsi="Palatino Linotype" w:cs="Palatino Linotype"/>
          <w:b/>
        </w:rPr>
        <w:t xml:space="preserve">Titular de la Coordinación de Ingresos </w:t>
      </w:r>
      <w:r>
        <w:rPr>
          <w:rFonts w:ascii="Palatino Linotype" w:eastAsia="Palatino Linotype" w:hAnsi="Palatino Linotype" w:cs="Palatino Linotype"/>
        </w:rPr>
        <w:t>del OPDAPAS Ixtapaluca.</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Tras la admisión de los medios de impugnación que ahora se resuelven, se concedió un plazo de siete días hábiles a las partes para efecto de que remitieran su informe justificado o cualquier manifestación que a su derecho conviniera, es de mencionar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diversos soportes documentales con los que medularmente ratifica los términos de su respuesta inicial, mientras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omitió emitir pronunciamiento alguno, por lo tanto, se procedió al cierre de instrucción.</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expuestas las posturas de las partes, resulta pertinente iniciar el presente análisis señalando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respuesta a la a solicitud de información a través de la Coordinadora de Recursos Humanos, mediante la cual </w:t>
      </w:r>
      <w:r>
        <w:rPr>
          <w:rFonts w:ascii="Palatino Linotype" w:eastAsia="Palatino Linotype" w:hAnsi="Palatino Linotype" w:cs="Palatino Linotype"/>
          <w:color w:val="000000"/>
        </w:rPr>
        <w:t>requirió</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 la persona solicitante, al décimo tercer día hábil posterior a la presentación de la solicitud, a efecto de que, especificara el área administrativa a la que hace referencia para brindar la información exacta, sin embargo, resulta importante hacer del conocimiento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para los casos en que requiera que los solicitantes amplíen, aclaren o corrijan sus requerimientos de información, podrán </w:t>
      </w:r>
      <w:r>
        <w:rPr>
          <w:rFonts w:ascii="Palatino Linotype" w:eastAsia="Palatino Linotype" w:hAnsi="Palatino Linotype" w:cs="Palatino Linotype"/>
        </w:rPr>
        <w:lastRenderedPageBreak/>
        <w:t>realizarlos en ejercicio de la facultad conferida en el artículo 159 primer párrafo de la Ley de Transparencia y Acceso a la Información Pública del Estado de México.</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para aplicar dicha facultad, debe actualizarse el supuesto jurídico que consiste en que los términos de la solicitud sean vagos o imprecisos, o que los datos proporcionados sean insuficientes o incompletos, impidiendo a los Sujetos Obligados tener certeza de que información deben ubicar y entregar.</w:t>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tal tesitura, es evidente que el derecho humano de acceso a la información pública accionado por la persona solicitante se vulneró, pues la respuesta vertida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consiste propiamente en un requerimiento de aclaración, lo que propició que fuera hasta la etapa de las interposiciones de los recursos de revisión que en este acto se resuelven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corrigiera  las denominaciones de las unidades administrativas de los que requería la información y también pr</w:t>
      </w:r>
      <w:r>
        <w:rPr>
          <w:rFonts w:ascii="Palatino Linotype" w:eastAsia="Palatino Linotype" w:hAnsi="Palatino Linotype" w:cs="Palatino Linotype"/>
          <w:color w:val="000000"/>
        </w:rPr>
        <w:t xml:space="preserve">ecisó </w:t>
      </w:r>
      <w:r>
        <w:rPr>
          <w:rFonts w:ascii="Palatino Linotype" w:eastAsia="Palatino Linotype" w:hAnsi="Palatino Linotype" w:cs="Palatino Linotype"/>
        </w:rPr>
        <w:t>los nombres de los titulares de las mismas.</w:t>
      </w:r>
      <w:r>
        <w:rPr>
          <w:rFonts w:ascii="Palatino Linotype" w:eastAsia="Palatino Linotype" w:hAnsi="Palatino Linotype" w:cs="Palatino Linotype"/>
          <w:b/>
        </w:rPr>
        <w:t xml:space="preserve">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tesitura, pese a que existió una aclaración por parte de la persona solicitante,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informe justificado reiteró su respuesta, requiriendo al particular de nueva cuenta que precisara las áreas de las que requiere la información.</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de una consulta al Organigrama del </w:t>
      </w:r>
      <w:r>
        <w:rPr>
          <w:rFonts w:ascii="Palatino Linotype" w:eastAsia="Palatino Linotype" w:hAnsi="Palatino Linotype" w:cs="Palatino Linotype"/>
          <w:b/>
        </w:rPr>
        <w:t>Sujeto Obligado</w:t>
      </w:r>
      <w:r>
        <w:rPr>
          <w:rFonts w:ascii="Palatino Linotype" w:eastAsia="Palatino Linotype" w:hAnsi="Palatino Linotype" w:cs="Palatino Linotype"/>
        </w:rPr>
        <w:t>, se desprende que efectivamente dentro de su estructura obra la Gerencia de Finanzas y la Coordinación de Ingresos, sirve de referencia la siguiente impresión de pantalla:</w:t>
      </w:r>
      <w:r>
        <w:rPr>
          <w:noProof/>
          <w:lang w:val="es-MX"/>
        </w:rPr>
        <w:drawing>
          <wp:anchor distT="0" distB="0" distL="114300" distR="114300" simplePos="0" relativeHeight="251658240" behindDoc="0" locked="0" layoutInCell="1" hidden="0" allowOverlap="1">
            <wp:simplePos x="0" y="0"/>
            <wp:positionH relativeFrom="column">
              <wp:posOffset>-146683</wp:posOffset>
            </wp:positionH>
            <wp:positionV relativeFrom="paragraph">
              <wp:posOffset>1029335</wp:posOffset>
            </wp:positionV>
            <wp:extent cx="6317615" cy="3506470"/>
            <wp:effectExtent l="0" t="0" r="0" b="0"/>
            <wp:wrapTopAndBottom distT="0" distB="0"/>
            <wp:docPr id="3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6317615" cy="3506470"/>
                    </a:xfrm>
                    <a:prstGeom prst="rect">
                      <a:avLst/>
                    </a:prstGeom>
                    <a:ln/>
                  </pic:spPr>
                </pic:pic>
              </a:graphicData>
            </a:graphic>
          </wp:anchor>
        </w:drawing>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1384300</wp:posOffset>
                </wp:positionH>
                <wp:positionV relativeFrom="paragraph">
                  <wp:posOffset>1841500</wp:posOffset>
                </wp:positionV>
                <wp:extent cx="819150" cy="571500"/>
                <wp:effectExtent l="0" t="0" r="0" b="0"/>
                <wp:wrapNone/>
                <wp:docPr id="350" name="Elipse 350"/>
                <wp:cNvGraphicFramePr/>
                <a:graphic xmlns:a="http://schemas.openxmlformats.org/drawingml/2006/main">
                  <a:graphicData uri="http://schemas.microsoft.com/office/word/2010/wordprocessingShape">
                    <wps:wsp>
                      <wps:cNvSpPr/>
                      <wps:spPr>
                        <a:xfrm>
                          <a:off x="4955475" y="3513300"/>
                          <a:ext cx="781050" cy="533400"/>
                        </a:xfrm>
                        <a:prstGeom prst="ellipse">
                          <a:avLst/>
                        </a:prstGeom>
                        <a:noFill/>
                        <a:ln w="38100" cap="flat" cmpd="sng">
                          <a:solidFill>
                            <a:srgbClr val="0000CC"/>
                          </a:solidFill>
                          <a:prstDash val="solid"/>
                          <a:round/>
                          <a:headEnd type="none" w="sm" len="sm"/>
                          <a:tailEnd type="none" w="sm" len="sm"/>
                        </a:ln>
                      </wps:spPr>
                      <wps:txbx>
                        <w:txbxContent>
                          <w:p w:rsidR="00622B74" w:rsidRDefault="00622B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1841500</wp:posOffset>
                </wp:positionV>
                <wp:extent cx="819150" cy="571500"/>
                <wp:effectExtent b="0" l="0" r="0" t="0"/>
                <wp:wrapNone/>
                <wp:docPr id="35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819150" cy="571500"/>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0288" behindDoc="0" locked="0" layoutInCell="1" hidden="0" allowOverlap="1">
                <wp:simplePos x="0" y="0"/>
                <wp:positionH relativeFrom="column">
                  <wp:posOffset>635000</wp:posOffset>
                </wp:positionH>
                <wp:positionV relativeFrom="paragraph">
                  <wp:posOffset>3568700</wp:posOffset>
                </wp:positionV>
                <wp:extent cx="790575" cy="590550"/>
                <wp:effectExtent l="0" t="0" r="0" b="0"/>
                <wp:wrapNone/>
                <wp:docPr id="348" name="Elipse 348"/>
                <wp:cNvGraphicFramePr/>
                <a:graphic xmlns:a="http://schemas.openxmlformats.org/drawingml/2006/main">
                  <a:graphicData uri="http://schemas.microsoft.com/office/word/2010/wordprocessingShape">
                    <wps:wsp>
                      <wps:cNvSpPr/>
                      <wps:spPr>
                        <a:xfrm>
                          <a:off x="4969763" y="3503775"/>
                          <a:ext cx="752475" cy="552450"/>
                        </a:xfrm>
                        <a:prstGeom prst="ellipse">
                          <a:avLst/>
                        </a:prstGeom>
                        <a:noFill/>
                        <a:ln w="38100" cap="flat" cmpd="sng">
                          <a:solidFill>
                            <a:srgbClr val="0000CC"/>
                          </a:solidFill>
                          <a:prstDash val="solid"/>
                          <a:round/>
                          <a:headEnd type="none" w="sm" len="sm"/>
                          <a:tailEnd type="none" w="sm" len="sm"/>
                        </a:ln>
                      </wps:spPr>
                      <wps:txbx>
                        <w:txbxContent>
                          <w:p w:rsidR="00622B74" w:rsidRDefault="00622B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3568700</wp:posOffset>
                </wp:positionV>
                <wp:extent cx="790575" cy="590550"/>
                <wp:effectExtent b="0" l="0" r="0" t="0"/>
                <wp:wrapNone/>
                <wp:docPr id="34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790575" cy="590550"/>
                        </a:xfrm>
                        <a:prstGeom prst="rect"/>
                        <a:ln/>
                      </pic:spPr>
                    </pic:pic>
                  </a:graphicData>
                </a:graphic>
              </wp:anchor>
            </w:drawing>
          </mc:Fallback>
        </mc:AlternateContent>
      </w:r>
    </w:p>
    <w:p w:rsidR="00622B74" w:rsidRDefault="00622B74">
      <w:pPr>
        <w:spacing w:before="240" w:after="240" w:line="360" w:lineRule="auto"/>
        <w:jc w:val="both"/>
        <w:rPr>
          <w:rFonts w:ascii="Palatino Linotype" w:eastAsia="Palatino Linotype" w:hAnsi="Palatino Linotype" w:cs="Palatino Linotype"/>
        </w:rPr>
      </w:pP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no pasa desapercibido para este Instituto que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señaló en sus escritos </w:t>
      </w:r>
      <w:proofErr w:type="spellStart"/>
      <w:r>
        <w:rPr>
          <w:rFonts w:ascii="Palatino Linotype" w:eastAsia="Palatino Linotype" w:hAnsi="Palatino Linotype" w:cs="Palatino Linotype"/>
        </w:rPr>
        <w:t>recursales</w:t>
      </w:r>
      <w:proofErr w:type="spellEnd"/>
      <w:r>
        <w:rPr>
          <w:rFonts w:ascii="Palatino Linotype" w:eastAsia="Palatino Linotype" w:hAnsi="Palatino Linotype" w:cs="Palatino Linotype"/>
        </w:rPr>
        <w:t xml:space="preserve">, los nombres de los titulares de la </w:t>
      </w:r>
      <w:r>
        <w:rPr>
          <w:rFonts w:ascii="Palatino Linotype" w:eastAsia="Palatino Linotype" w:hAnsi="Palatino Linotype" w:cs="Palatino Linotype"/>
        </w:rPr>
        <w:lastRenderedPageBreak/>
        <w:t xml:space="preserve">Gerencia de Finanzas y Administración, así como el Titular de la Coordinación de Ingresos, los cuales son coincidentes con los que reporta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el portal de Información Pública de Oficio Mexiquense (IPOMEX):</w:t>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drawing>
          <wp:inline distT="0" distB="0" distL="0" distR="0">
            <wp:extent cx="5994005" cy="2963092"/>
            <wp:effectExtent l="0" t="0" r="0" b="0"/>
            <wp:docPr id="3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994005" cy="2963092"/>
                    </a:xfrm>
                    <a:prstGeom prst="rect">
                      <a:avLst/>
                    </a:prstGeom>
                    <a:ln/>
                  </pic:spPr>
                </pic:pic>
              </a:graphicData>
            </a:graphic>
          </wp:inline>
        </w:drawing>
      </w:r>
      <w:r>
        <w:rPr>
          <w:noProof/>
          <w:lang w:val="es-MX"/>
        </w:rPr>
        <mc:AlternateContent>
          <mc:Choice Requires="wpg">
            <w:drawing>
              <wp:anchor distT="0" distB="0" distL="114300" distR="114300" simplePos="0" relativeHeight="251661312" behindDoc="0" locked="0" layoutInCell="1" hidden="0" allowOverlap="1">
                <wp:simplePos x="0" y="0"/>
                <wp:positionH relativeFrom="column">
                  <wp:posOffset>12701</wp:posOffset>
                </wp:positionH>
                <wp:positionV relativeFrom="paragraph">
                  <wp:posOffset>1016000</wp:posOffset>
                </wp:positionV>
                <wp:extent cx="6020435" cy="209550"/>
                <wp:effectExtent l="0" t="0" r="0" b="0"/>
                <wp:wrapNone/>
                <wp:docPr id="349" name="Rectángulo 349"/>
                <wp:cNvGraphicFramePr/>
                <a:graphic xmlns:a="http://schemas.openxmlformats.org/drawingml/2006/main">
                  <a:graphicData uri="http://schemas.microsoft.com/office/word/2010/wordprocessingShape">
                    <wps:wsp>
                      <wps:cNvSpPr/>
                      <wps:spPr>
                        <a:xfrm>
                          <a:off x="2350070" y="3689513"/>
                          <a:ext cx="5991860" cy="180975"/>
                        </a:xfrm>
                        <a:prstGeom prst="rect">
                          <a:avLst/>
                        </a:prstGeom>
                        <a:noFill/>
                        <a:ln w="28575" cap="flat" cmpd="sng">
                          <a:solidFill>
                            <a:srgbClr val="0000CC"/>
                          </a:solidFill>
                          <a:prstDash val="solid"/>
                          <a:round/>
                          <a:headEnd type="none" w="sm" len="sm"/>
                          <a:tailEnd type="none" w="sm" len="sm"/>
                        </a:ln>
                      </wps:spPr>
                      <wps:txbx>
                        <w:txbxContent>
                          <w:p w:rsidR="00622B74" w:rsidRDefault="00622B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1016000</wp:posOffset>
                </wp:positionV>
                <wp:extent cx="6020435" cy="209550"/>
                <wp:effectExtent b="0" l="0" r="0" t="0"/>
                <wp:wrapNone/>
                <wp:docPr id="34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6020435" cy="209550"/>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2730500</wp:posOffset>
                </wp:positionV>
                <wp:extent cx="6020435" cy="266700"/>
                <wp:effectExtent l="0" t="0" r="0" b="0"/>
                <wp:wrapNone/>
                <wp:docPr id="347" name="Rectángulo 347"/>
                <wp:cNvGraphicFramePr/>
                <a:graphic xmlns:a="http://schemas.openxmlformats.org/drawingml/2006/main">
                  <a:graphicData uri="http://schemas.microsoft.com/office/word/2010/wordprocessingShape">
                    <wps:wsp>
                      <wps:cNvSpPr/>
                      <wps:spPr>
                        <a:xfrm>
                          <a:off x="2350070" y="3660938"/>
                          <a:ext cx="5991860" cy="238125"/>
                        </a:xfrm>
                        <a:prstGeom prst="rect">
                          <a:avLst/>
                        </a:prstGeom>
                        <a:noFill/>
                        <a:ln w="28575" cap="flat" cmpd="sng">
                          <a:solidFill>
                            <a:srgbClr val="0000CC"/>
                          </a:solidFill>
                          <a:prstDash val="solid"/>
                          <a:round/>
                          <a:headEnd type="none" w="sm" len="sm"/>
                          <a:tailEnd type="none" w="sm" len="sm"/>
                        </a:ln>
                      </wps:spPr>
                      <wps:txbx>
                        <w:txbxContent>
                          <w:p w:rsidR="00622B74" w:rsidRDefault="00622B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2730500</wp:posOffset>
                </wp:positionV>
                <wp:extent cx="6020435" cy="266700"/>
                <wp:effectExtent b="0" l="0" r="0" t="0"/>
                <wp:wrapNone/>
                <wp:docPr id="347"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6020435" cy="266700"/>
                        </a:xfrm>
                        <a:prstGeom prst="rect"/>
                        <a:ln/>
                      </pic:spPr>
                    </pic:pic>
                  </a:graphicData>
                </a:graphic>
              </wp:anchor>
            </w:drawing>
          </mc:Fallback>
        </mc:AlternateContent>
      </w: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como se visualiza en la ilustración previamente insertada, los servidores públicos referidos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efectivamente ostentan los cargos de titular de la Gerencia de Finanzas y Administración, así como titular de la Coordinación de Ingresos. </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Atentos a lo anterior, debemos recordar que quien se pronunció en los asuntos que en este acto se resuelven, es la Coordinadora de Recursos Humanos, la cual de conformidad con el Reglamento Interno del Organismo Público Descentralizado </w:t>
      </w:r>
      <w:r>
        <w:rPr>
          <w:rFonts w:ascii="Palatino Linotype" w:eastAsia="Palatino Linotype" w:hAnsi="Palatino Linotype" w:cs="Palatino Linotype"/>
        </w:rPr>
        <w:lastRenderedPageBreak/>
        <w:t xml:space="preserve">para la Prestación de los Servicios de Agua Potable, Alcantarillado y Saneamiento del Municipio de Ixtapaluca, Estado de México, cuenta con las siguientes atribuciones: </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37.- </w:t>
      </w:r>
      <w:r>
        <w:rPr>
          <w:rFonts w:ascii="Palatino Linotype" w:eastAsia="Palatino Linotype" w:hAnsi="Palatino Linotype" w:cs="Palatino Linotype"/>
          <w:b/>
          <w:i/>
          <w:sz w:val="22"/>
          <w:szCs w:val="22"/>
        </w:rPr>
        <w:t>De la Coordinación de Recursos Humanos</w:t>
      </w:r>
      <w:r>
        <w:rPr>
          <w:rFonts w:ascii="Palatino Linotype" w:eastAsia="Palatino Linotype" w:hAnsi="Palatino Linotype" w:cs="Palatino Linotype"/>
          <w:i/>
          <w:sz w:val="22"/>
          <w:szCs w:val="22"/>
        </w:rPr>
        <w:t xml:space="preserve"> tendrá las siguientes atribuciones:</w:t>
      </w:r>
    </w:p>
    <w:p w:rsidR="00622B74" w:rsidRDefault="00243E2F">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Elaborar la nómina con base al sistema de remuneraciones y en coordinación con la Gerencia de Finanzas y Administración para efectuar el pago del salario de los servidores públicos;” </w:t>
      </w:r>
      <w:r>
        <w:rPr>
          <w:rFonts w:ascii="Palatino Linotype" w:eastAsia="Palatino Linotype" w:hAnsi="Palatino Linotype" w:cs="Palatino Linotype"/>
          <w:i/>
          <w:sz w:val="22"/>
          <w:szCs w:val="22"/>
        </w:rPr>
        <w:t>(Énfasis añadido)</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Ahora bien, sobre la naturaleza de la información solicitada, conviene precisar que si bien el término “</w:t>
      </w:r>
      <w:r>
        <w:rPr>
          <w:rFonts w:ascii="Palatino Linotype" w:eastAsia="Palatino Linotype" w:hAnsi="Palatino Linotype" w:cs="Palatino Linotype"/>
          <w:i/>
        </w:rPr>
        <w:t xml:space="preserve">nómina” </w:t>
      </w:r>
      <w:r>
        <w:rPr>
          <w:rFonts w:ascii="Palatino Linotype" w:eastAsia="Palatino Linotype" w:hAnsi="Palatino Linotype" w:cs="Palatino Linotype"/>
        </w:rPr>
        <w:t xml:space="preserve">no está definido en nuestra legislación, también lo es que el “Glosario de Términos para el Proceso de Planeación, Programación, </w:t>
      </w:r>
      <w:proofErr w:type="spellStart"/>
      <w:r>
        <w:rPr>
          <w:rFonts w:ascii="Palatino Linotype" w:eastAsia="Palatino Linotype" w:hAnsi="Palatino Linotype" w:cs="Palatino Linotype"/>
        </w:rPr>
        <w:t>Presupuestación</w:t>
      </w:r>
      <w:proofErr w:type="spellEnd"/>
      <w:r>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Pr>
          <w:rFonts w:ascii="Palatino Linotype" w:eastAsia="Palatino Linotype" w:hAnsi="Palatino Linotype" w:cs="Palatino Linotype"/>
          <w:i/>
        </w:rPr>
        <w:t>listado general de los trabajadores de una institución, en</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el cual se </w:t>
      </w:r>
      <w:r>
        <w:rPr>
          <w:rFonts w:ascii="Palatino Linotype" w:eastAsia="Palatino Linotype" w:hAnsi="Palatino Linotype" w:cs="Palatino Linotype"/>
          <w:b/>
          <w:i/>
        </w:rPr>
        <w:t xml:space="preserve">asientan las </w:t>
      </w:r>
      <w:r>
        <w:rPr>
          <w:rFonts w:ascii="Palatino Linotype" w:eastAsia="Palatino Linotype" w:hAnsi="Palatino Linotype" w:cs="Palatino Linotype"/>
          <w:b/>
          <w:i/>
          <w:u w:val="single"/>
        </w:rPr>
        <w:t>percepciones brutas, deducciones y alcance neto de las mismas</w:t>
      </w:r>
      <w:r>
        <w:rPr>
          <w:rFonts w:ascii="Palatino Linotype" w:eastAsia="Palatino Linotype" w:hAnsi="Palatino Linotype" w:cs="Palatino Linotype"/>
          <w:i/>
        </w:rPr>
        <w:t>; la nómina es utilizada para</w:t>
      </w:r>
      <w:r>
        <w:rPr>
          <w:rFonts w:ascii="Palatino Linotype" w:eastAsia="Palatino Linotype" w:hAnsi="Palatino Linotype" w:cs="Palatino Linotype"/>
          <w:b/>
          <w:i/>
        </w:rPr>
        <w:t xml:space="preserve"> efectuar los pagos periódicos</w:t>
      </w:r>
      <w:r>
        <w:rPr>
          <w:rFonts w:ascii="Palatino Linotype" w:eastAsia="Palatino Linotype" w:hAnsi="Palatino Linotype" w:cs="Palatino Linotype"/>
          <w:i/>
        </w:rPr>
        <w:t xml:space="preserve"> (semanales, quincenales o</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mensuales) a los trabajadores por concepto de </w:t>
      </w:r>
      <w:r>
        <w:rPr>
          <w:rFonts w:ascii="Palatino Linotype" w:eastAsia="Palatino Linotype" w:hAnsi="Palatino Linotype" w:cs="Palatino Linotype"/>
          <w:b/>
          <w:i/>
        </w:rPr>
        <w:t>sueldos y salarios</w:t>
      </w:r>
      <w:r>
        <w:rPr>
          <w:rFonts w:ascii="Palatino Linotype" w:eastAsia="Palatino Linotype" w:hAnsi="Palatino Linotype" w:cs="Palatino Linotype"/>
          <w:i/>
        </w:rPr>
        <w:t>.</w:t>
      </w:r>
    </w:p>
    <w:p w:rsidR="00622B74" w:rsidRDefault="00622B74">
      <w:pPr>
        <w:spacing w:line="360" w:lineRule="auto"/>
        <w:jc w:val="both"/>
        <w:rPr>
          <w:rFonts w:ascii="Palatino Linotype" w:eastAsia="Palatino Linotype" w:hAnsi="Palatino Linotype" w:cs="Palatino Linotype"/>
          <w:i/>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Documento o término que ha sido mencionado en diferentes ordenamientos legales, tal es el caso, de la </w:t>
      </w:r>
      <w:r>
        <w:rPr>
          <w:rFonts w:ascii="Palatino Linotype" w:eastAsia="Palatino Linotype" w:hAnsi="Palatino Linotype" w:cs="Palatino Linotype"/>
          <w:i/>
        </w:rPr>
        <w:t>Ley Federal del Trabajo</w:t>
      </w:r>
      <w:r>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rsidR="00622B74" w:rsidRDefault="00622B74">
      <w:pPr>
        <w:spacing w:line="360" w:lineRule="auto"/>
        <w:jc w:val="both"/>
        <w:rPr>
          <w:rFonts w:ascii="Palatino Linotype" w:eastAsia="Palatino Linotype" w:hAnsi="Palatino Linotype" w:cs="Palatino Linotype"/>
          <w:i/>
          <w:sz w:val="22"/>
          <w:szCs w:val="22"/>
        </w:rPr>
      </w:pPr>
    </w:p>
    <w:p w:rsidR="00622B74" w:rsidRDefault="00243E2F">
      <w:pPr>
        <w:pBdr>
          <w:top w:val="nil"/>
          <w:left w:val="nil"/>
          <w:bottom w:val="nil"/>
          <w:right w:val="nil"/>
          <w:between w:val="nil"/>
        </w:pBdr>
        <w:spacing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804.-</w:t>
      </w:r>
      <w:r>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rsidR="00622B74" w:rsidRDefault="00243E2F">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622B74" w:rsidRDefault="00243E2F">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Listas de raya o nómina de personal</w:t>
      </w:r>
      <w:r>
        <w:rPr>
          <w:rFonts w:ascii="Palatino Linotype" w:eastAsia="Palatino Linotype" w:hAnsi="Palatino Linotype" w:cs="Palatino Linotype"/>
          <w:i/>
          <w:sz w:val="22"/>
          <w:szCs w:val="22"/>
        </w:rPr>
        <w:t xml:space="preserve">, cuando se lleven en el centro de trabajo; </w:t>
      </w:r>
      <w:r>
        <w:rPr>
          <w:rFonts w:ascii="Palatino Linotype" w:eastAsia="Palatino Linotype" w:hAnsi="Palatino Linotype" w:cs="Palatino Linotype"/>
          <w:b/>
          <w:i/>
          <w:sz w:val="22"/>
          <w:szCs w:val="22"/>
        </w:rPr>
        <w:t>o recibos de pagos de salarios;</w:t>
      </w:r>
    </w:p>
    <w:p w:rsidR="00622B74" w:rsidRDefault="00243E2F">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pBdr>
          <w:top w:val="nil"/>
          <w:left w:val="nil"/>
          <w:bottom w:val="nil"/>
          <w:right w:val="nil"/>
          <w:between w:val="nil"/>
        </w:pBdr>
        <w:spacing w:after="120" w:line="259" w:lineRule="auto"/>
        <w:ind w:left="855"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rsidR="00622B74" w:rsidRDefault="00243E2F">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6">
        <w:r>
          <w:rPr>
            <w:rFonts w:ascii="Palatino Linotype" w:eastAsia="Palatino Linotype" w:hAnsi="Palatino Linotype" w:cs="Palatino Linotype"/>
          </w:rPr>
          <w:t>servicios</w:t>
        </w:r>
      </w:hyperlink>
      <w:r>
        <w:rPr>
          <w:rFonts w:ascii="Palatino Linotype" w:eastAsia="Palatino Linotype" w:hAnsi="Palatino Linotype" w:cs="Palatino Linotype"/>
        </w:rPr>
        <w:t xml:space="preserve"> que éstos le prestan al patrón, en el cual </w:t>
      </w:r>
      <w:r>
        <w:rPr>
          <w:rFonts w:ascii="Palatino Linotype" w:eastAsia="Palatino Linotype" w:hAnsi="Palatino Linotype" w:cs="Palatino Linotype"/>
          <w:b/>
        </w:rPr>
        <w:t>se asientan las percepciones brutas, deducciones y el neto</w:t>
      </w:r>
      <w:r>
        <w:rPr>
          <w:rFonts w:ascii="Palatino Linotype" w:eastAsia="Palatino Linotype" w:hAnsi="Palatino Linotype" w:cs="Palatino Linotype"/>
        </w:rPr>
        <w:t xml:space="preserve"> a recibir de dichos trabajadores.</w:t>
      </w: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relativo a los </w:t>
      </w:r>
      <w:r>
        <w:rPr>
          <w:rFonts w:ascii="Palatino Linotype" w:eastAsia="Palatino Linotype" w:hAnsi="Palatino Linotype" w:cs="Palatino Linotype"/>
          <w:b/>
        </w:rPr>
        <w:t>recibos de nómina</w:t>
      </w:r>
      <w:r>
        <w:rPr>
          <w:rFonts w:ascii="Palatino Linotype" w:eastAsia="Palatino Linotype" w:hAnsi="Palatino Linotype" w:cs="Palatino Linotype"/>
        </w:rPr>
        <w:t xml:space="preserve">, la Ley del Trabajo de los Servidores Públicos del Estado y Municipios hace referencia a los comprobantes que las instituciones públicas realizan para documentar el pago de salarios, prima vacacional, aguinaldo y demás prestaciones otorgadas a un servidor público, </w:t>
      </w:r>
      <w:r>
        <w:rPr>
          <w:rFonts w:ascii="Palatino Linotype" w:eastAsia="Palatino Linotype" w:hAnsi="Palatino Linotype" w:cs="Palatino Linotype"/>
        </w:rPr>
        <w:lastRenderedPageBreak/>
        <w:t>denominándose "recibos o comprobantes de pago", los cuales constituyen un instrumento mediante el cual el sujeto obligado acredita las remuneraciones al personal y, que de acuerdo al uso implantado en la colectividad se denominan "recibos de nómina".</w:t>
      </w:r>
    </w:p>
    <w:p w:rsidR="00622B74" w:rsidRDefault="00622B74">
      <w:pPr>
        <w:spacing w:line="360" w:lineRule="auto"/>
        <w:jc w:val="both"/>
        <w:rPr>
          <w:rFonts w:ascii="Palatino Linotype" w:eastAsia="Palatino Linotype" w:hAnsi="Palatino Linotype" w:cs="Palatino Linotype"/>
        </w:rPr>
      </w:pPr>
      <w:bookmarkStart w:id="3" w:name="_heading=h.3znysh7" w:colFirst="0" w:colLast="0"/>
      <w:bookmarkEnd w:id="3"/>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robustecer lo anterior, es preciso hacer alusión, en primera instancia, a lo establecido en las normas de carácter general del </w:t>
      </w:r>
      <w:r>
        <w:rPr>
          <w:rFonts w:ascii="Palatino Linotype" w:eastAsia="Palatino Linotype" w:hAnsi="Palatino Linotype" w:cs="Palatino Linotype"/>
          <w:b/>
        </w:rPr>
        <w:t>Manual Único de Contabilidad Gubernamental para las Dependencias y Entidades Públicas del Gobierno y Municipios del Estado de México</w:t>
      </w:r>
      <w:r>
        <w:rPr>
          <w:rFonts w:ascii="Palatino Linotype" w:eastAsia="Palatino Linotype" w:hAnsi="Palatino Linotype" w:cs="Palatino Linotype"/>
          <w:b/>
          <w:vertAlign w:val="superscript"/>
        </w:rPr>
        <w:footnoteReference w:id="3"/>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en donde se señala que el Régimen Fiscal para las entidades públicas es el correspondiente a </w:t>
      </w:r>
      <w:r>
        <w:rPr>
          <w:rFonts w:ascii="Palatino Linotype" w:eastAsia="Palatino Linotype" w:hAnsi="Palatino Linotype" w:cs="Palatino Linotype"/>
          <w:i/>
        </w:rPr>
        <w:t xml:space="preserve">personas morales con fines no lucrativos, </w:t>
      </w:r>
      <w:r>
        <w:rPr>
          <w:rFonts w:ascii="Palatino Linotype" w:eastAsia="Palatino Linotype" w:hAnsi="Palatino Linotype" w:cs="Palatino Linotype"/>
        </w:rPr>
        <w:t xml:space="preserve">y en segundo lugar remitirnos al párrafo séptimo del artículo 86 del Título III del Régimen de las Personas Morales con fines no lucrativos, de la </w:t>
      </w:r>
      <w:r>
        <w:rPr>
          <w:rFonts w:ascii="Palatino Linotype" w:eastAsia="Palatino Linotype" w:hAnsi="Palatino Linotype" w:cs="Palatino Linotype"/>
          <w:b/>
        </w:rPr>
        <w:t>Ley del Impuesto Sobre la Renta</w:t>
      </w:r>
      <w:r>
        <w:rPr>
          <w:rFonts w:ascii="Palatino Linotype" w:eastAsia="Palatino Linotype" w:hAnsi="Palatino Linotype" w:cs="Palatino Linotype"/>
          <w:i/>
        </w:rPr>
        <w:t xml:space="preserve">, </w:t>
      </w:r>
      <w:r>
        <w:rPr>
          <w:rFonts w:ascii="Palatino Linotype" w:eastAsia="Palatino Linotype" w:hAnsi="Palatino Linotype" w:cs="Palatino Linotype"/>
        </w:rPr>
        <w:t>que a la letra señala lo siguiente:</w:t>
      </w:r>
    </w:p>
    <w:p w:rsidR="00622B74" w:rsidRDefault="00243E2F">
      <w:pPr>
        <w:spacing w:before="240" w:after="240"/>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Artículo.- 86 </w:t>
      </w:r>
    </w:p>
    <w:p w:rsidR="00622B74" w:rsidRDefault="00243E2F">
      <w:pPr>
        <w:spacing w:before="240" w:after="24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622B74" w:rsidRDefault="00243E2F">
      <w:pPr>
        <w:spacing w:before="240"/>
        <w:ind w:left="567" w:right="53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Los partidos y asociaciones políticas, legalmente reconocidos, la Federación, las entidades federativas, </w:t>
      </w:r>
      <w:r>
        <w:rPr>
          <w:rFonts w:ascii="Palatino Linotype" w:eastAsia="Palatino Linotype" w:hAnsi="Palatino Linotype" w:cs="Palatino Linotype"/>
          <w:b/>
          <w:i/>
          <w:sz w:val="22"/>
          <w:szCs w:val="22"/>
        </w:rPr>
        <w:t>los municipios</w:t>
      </w:r>
      <w:r>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Pr>
          <w:rFonts w:ascii="Palatino Linotype" w:eastAsia="Palatino Linotype" w:hAnsi="Palatino Linotype" w:cs="Palatino Linotype"/>
          <w:b/>
          <w:i/>
          <w:sz w:val="22"/>
          <w:szCs w:val="22"/>
        </w:rPr>
        <w:t xml:space="preserve">están obligados a expedir y entregar comprobantes fiscales a las personas que reciban pagos por concepto de salarios y, en general, por la prestación de un servicio personal subordinado, en la fecha en que se realice la erogación correspondiente, los </w:t>
      </w:r>
      <w:r>
        <w:rPr>
          <w:rFonts w:ascii="Palatino Linotype" w:eastAsia="Palatino Linotype" w:hAnsi="Palatino Linotype" w:cs="Palatino Linotype"/>
          <w:b/>
          <w:i/>
          <w:sz w:val="22"/>
          <w:szCs w:val="22"/>
        </w:rPr>
        <w:lastRenderedPageBreak/>
        <w:t>cuales podrán utilizarse como constancia o recibo de pago</w:t>
      </w:r>
      <w:r>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Pr>
          <w:rFonts w:ascii="Palatino Linotype" w:eastAsia="Palatino Linotype" w:hAnsi="Palatino Linotype" w:cs="Palatino Linotype"/>
          <w:sz w:val="22"/>
          <w:szCs w:val="22"/>
        </w:rPr>
        <w:t xml:space="preserve">” </w:t>
      </w:r>
    </w:p>
    <w:p w:rsidR="00622B74" w:rsidRDefault="00622B74">
      <w:pPr>
        <w:spacing w:after="240"/>
        <w:ind w:right="539"/>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w:t>
      </w:r>
      <w:r>
        <w:rPr>
          <w:rFonts w:ascii="Palatino Linotype" w:eastAsia="Palatino Linotype" w:hAnsi="Palatino Linotype" w:cs="Palatino Linotype"/>
          <w:color w:val="000000"/>
        </w:rPr>
        <w:t xml:space="preserve">precepto citado, </w:t>
      </w:r>
      <w:r>
        <w:rPr>
          <w:rFonts w:ascii="Palatino Linotype" w:eastAsia="Palatino Linotype" w:hAnsi="Palatino Linotype" w:cs="Palatino Linotype"/>
        </w:rPr>
        <w:t xml:space="preserve">se advierte que los municipios al ser entes públicos se encuentran constreñidos a expedir y entregar los </w:t>
      </w:r>
      <w:r>
        <w:rPr>
          <w:rFonts w:ascii="Palatino Linotype" w:eastAsia="Palatino Linotype" w:hAnsi="Palatino Linotype" w:cs="Palatino Linotype"/>
          <w:b/>
        </w:rPr>
        <w:t xml:space="preserve">comprobantes fiscales correspondientes a las personas que reciban pagos por conceptos de salarios, </w:t>
      </w:r>
      <w:r>
        <w:rPr>
          <w:rFonts w:ascii="Palatino Linotype" w:eastAsia="Palatino Linotype" w:hAnsi="Palatino Linotype" w:cs="Palatino Linotype"/>
        </w:rPr>
        <w:t xml:space="preserve">mismos que pueden ser utilizados como </w:t>
      </w:r>
      <w:r>
        <w:rPr>
          <w:rFonts w:ascii="Palatino Linotype" w:eastAsia="Palatino Linotype" w:hAnsi="Palatino Linotype" w:cs="Palatino Linotype"/>
          <w:b/>
        </w:rPr>
        <w:t>constancia o</w:t>
      </w:r>
      <w:r>
        <w:rPr>
          <w:rFonts w:ascii="Palatino Linotype" w:eastAsia="Palatino Linotype" w:hAnsi="Palatino Linotype" w:cs="Palatino Linotype"/>
        </w:rPr>
        <w:t xml:space="preserve"> </w:t>
      </w:r>
      <w:r>
        <w:rPr>
          <w:rFonts w:ascii="Palatino Linotype" w:eastAsia="Palatino Linotype" w:hAnsi="Palatino Linotype" w:cs="Palatino Linotype"/>
          <w:b/>
        </w:rPr>
        <w:t>recibo de pago</w:t>
      </w:r>
      <w:r>
        <w:rPr>
          <w:rFonts w:ascii="Palatino Linotype" w:eastAsia="Palatino Linotype" w:hAnsi="Palatino Linotype" w:cs="Palatino Linotype"/>
        </w:rPr>
        <w:t xml:space="preserve">, de conformidad con los artículos 132 fracciones VII y VIII de la </w:t>
      </w:r>
      <w:r>
        <w:rPr>
          <w:rFonts w:ascii="Palatino Linotype" w:eastAsia="Palatino Linotype" w:hAnsi="Palatino Linotype" w:cs="Palatino Linotype"/>
          <w:b/>
        </w:rPr>
        <w:t>Ley Federal del Trabajo</w:t>
      </w:r>
      <w:r>
        <w:rPr>
          <w:rFonts w:ascii="Palatino Linotype" w:eastAsia="Palatino Linotype" w:hAnsi="Palatino Linotype" w:cs="Palatino Linotype"/>
        </w:rPr>
        <w:t>, que a la letra señalan lo siguiente:</w:t>
      </w:r>
    </w:p>
    <w:p w:rsidR="00622B74" w:rsidRDefault="00243E2F">
      <w:pPr>
        <w:spacing w:before="120" w:after="12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Son </w:t>
      </w:r>
      <w:r>
        <w:rPr>
          <w:rFonts w:ascii="Palatino Linotype" w:eastAsia="Palatino Linotype" w:hAnsi="Palatino Linotype" w:cs="Palatino Linotype"/>
          <w:b/>
          <w:i/>
          <w:sz w:val="22"/>
          <w:szCs w:val="22"/>
        </w:rPr>
        <w:t>obligaciones de los patrones</w:t>
      </w:r>
      <w:r>
        <w:rPr>
          <w:rFonts w:ascii="Palatino Linotype" w:eastAsia="Palatino Linotype" w:hAnsi="Palatino Linotype" w:cs="Palatino Linotype"/>
          <w:i/>
          <w:sz w:val="22"/>
          <w:szCs w:val="22"/>
        </w:rPr>
        <w:t>:</w:t>
      </w:r>
    </w:p>
    <w:p w:rsidR="00622B74" w:rsidRDefault="00243E2F">
      <w:pPr>
        <w:spacing w:before="120" w:after="12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before="120" w:after="12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w:t>
      </w:r>
      <w:r>
        <w:rPr>
          <w:rFonts w:ascii="Palatino Linotype" w:eastAsia="Palatino Linotype" w:hAnsi="Palatino Linotype" w:cs="Palatino Linotype"/>
          <w:b/>
          <w:i/>
          <w:sz w:val="22"/>
          <w:szCs w:val="22"/>
        </w:rPr>
        <w:t>Expedir</w:t>
      </w:r>
      <w:r>
        <w:rPr>
          <w:rFonts w:ascii="Palatino Linotype" w:eastAsia="Palatino Linotype" w:hAnsi="Palatino Linotype" w:cs="Palatino Linotype"/>
          <w:i/>
          <w:sz w:val="22"/>
          <w:szCs w:val="22"/>
        </w:rPr>
        <w:t xml:space="preserve"> cada quince días, a solicitud de los trabajadores, una </w:t>
      </w:r>
      <w:r>
        <w:rPr>
          <w:rFonts w:ascii="Palatino Linotype" w:eastAsia="Palatino Linotype" w:hAnsi="Palatino Linotype" w:cs="Palatino Linotype"/>
          <w:b/>
          <w:i/>
          <w:sz w:val="22"/>
          <w:szCs w:val="22"/>
        </w:rPr>
        <w:t>constancia</w:t>
      </w:r>
      <w:r>
        <w:rPr>
          <w:rFonts w:ascii="Palatino Linotype" w:eastAsia="Palatino Linotype" w:hAnsi="Palatino Linotype" w:cs="Palatino Linotype"/>
          <w:i/>
          <w:sz w:val="22"/>
          <w:szCs w:val="22"/>
        </w:rPr>
        <w:t xml:space="preserve"> escrita del número de días trabajados y </w:t>
      </w:r>
      <w:r>
        <w:rPr>
          <w:rFonts w:ascii="Palatino Linotype" w:eastAsia="Palatino Linotype" w:hAnsi="Palatino Linotype" w:cs="Palatino Linotype"/>
          <w:b/>
          <w:i/>
          <w:sz w:val="22"/>
          <w:szCs w:val="22"/>
        </w:rPr>
        <w:t>del salario percibido</w:t>
      </w:r>
      <w:r>
        <w:rPr>
          <w:rFonts w:ascii="Palatino Linotype" w:eastAsia="Palatino Linotype" w:hAnsi="Palatino Linotype" w:cs="Palatino Linotype"/>
          <w:i/>
          <w:sz w:val="22"/>
          <w:szCs w:val="22"/>
        </w:rPr>
        <w:t xml:space="preserve">; </w:t>
      </w:r>
    </w:p>
    <w:p w:rsidR="00622B74" w:rsidRDefault="00243E2F">
      <w:pPr>
        <w:spacing w:before="120" w:after="120"/>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rsidR="00622B74" w:rsidRDefault="00243E2F">
      <w:pPr>
        <w:ind w:left="567" w:right="539"/>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622B74" w:rsidRDefault="00243E2F">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w:t>
      </w:r>
      <w:r>
        <w:rPr>
          <w:rFonts w:ascii="Palatino Linotype" w:eastAsia="Palatino Linotype" w:hAnsi="Palatino Linotype" w:cs="Palatino Linotype"/>
          <w:b/>
          <w:i/>
          <w:sz w:val="22"/>
          <w:szCs w:val="22"/>
        </w:rPr>
        <w:t>Recibos de pagos de salarios</w:t>
      </w:r>
      <w:r>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622B74">
      <w:pPr>
        <w:tabs>
          <w:tab w:val="left" w:pos="9072"/>
        </w:tabs>
        <w:spacing w:after="160" w:line="259" w:lineRule="auto"/>
        <w:ind w:left="567" w:right="902"/>
        <w:jc w:val="both"/>
        <w:rPr>
          <w:rFonts w:ascii="Palatino Linotype" w:eastAsia="Palatino Linotype" w:hAnsi="Palatino Linotype" w:cs="Palatino Linotype"/>
          <w:i/>
          <w:sz w:val="22"/>
          <w:szCs w:val="22"/>
        </w:rPr>
      </w:pP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622B74" w:rsidRDefault="00243E2F">
      <w:pPr>
        <w:tabs>
          <w:tab w:val="left" w:pos="9072"/>
        </w:tabs>
        <w:spacing w:after="16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622B74" w:rsidRDefault="00622B74">
      <w:pPr>
        <w:tabs>
          <w:tab w:val="left" w:pos="9072"/>
        </w:tabs>
        <w:spacing w:after="160" w:line="259" w:lineRule="auto"/>
        <w:ind w:left="851" w:right="902"/>
        <w:jc w:val="both"/>
        <w:rPr>
          <w:rFonts w:ascii="Palatino Linotype" w:eastAsia="Palatino Linotype" w:hAnsi="Palatino Linotype" w:cs="Palatino Linotype"/>
          <w:i/>
          <w:sz w:val="22"/>
          <w:szCs w:val="22"/>
        </w:rPr>
      </w:pPr>
    </w:p>
    <w:p w:rsidR="00622B74" w:rsidRDefault="00243E2F">
      <w:pPr>
        <w:spacing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rsidR="00622B74" w:rsidRDefault="00243E2F">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w:t>
      </w:r>
      <w:r>
        <w:rPr>
          <w:rFonts w:ascii="Palatino Linotype" w:eastAsia="Palatino Linotype" w:hAnsi="Palatino Linotype" w:cs="Palatino Linotype"/>
        </w:rPr>
        <w:lastRenderedPageBreak/>
        <w:t>y un año después de que se extingue la relación laboral a través de los sistemas de digitalización o de información magnética o electrónica.</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tanto, los </w:t>
      </w:r>
      <w:r>
        <w:rPr>
          <w:rFonts w:ascii="Palatino Linotype" w:eastAsia="Palatino Linotype" w:hAnsi="Palatino Linotype" w:cs="Palatino Linotype"/>
          <w:i/>
        </w:rPr>
        <w:t xml:space="preserve">recibos de nómina o comprobantes digitales por concepto de nómina </w:t>
      </w:r>
      <w:r>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estas condiciones, resulta claro que la información de mérito es generada en ejercicio de las atribuciones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w:t>
      </w:r>
      <w:r>
        <w:rPr>
          <w:rFonts w:ascii="Palatino Linotype" w:eastAsia="Palatino Linotype" w:hAnsi="Palatino Linotype" w:cs="Palatino Linotype"/>
        </w:rPr>
        <w:lastRenderedPageBreak/>
        <w:t>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622B74" w:rsidRDefault="00622B74">
      <w:pPr>
        <w:spacing w:after="160" w:line="259" w:lineRule="auto"/>
        <w:ind w:left="851" w:right="851"/>
        <w:jc w:val="both"/>
        <w:rPr>
          <w:rFonts w:ascii="Palatino Linotype" w:eastAsia="Palatino Linotype" w:hAnsi="Palatino Linotype" w:cs="Palatino Linotype"/>
          <w:b/>
          <w:i/>
          <w:sz w:val="22"/>
          <w:szCs w:val="22"/>
          <w:u w:val="single"/>
        </w:rPr>
      </w:pPr>
    </w:p>
    <w:p w:rsidR="00622B74" w:rsidRDefault="00243E2F">
      <w:pPr>
        <w:spacing w:after="160" w:line="259" w:lineRule="auto"/>
        <w:ind w:left="851" w:right="851"/>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Pr>
          <w:rFonts w:ascii="Palatino Linotype" w:eastAsia="Palatino Linotype" w:hAnsi="Palatino Linotype" w:cs="Palatino Linotype"/>
          <w:b/>
          <w:i/>
          <w:sz w:val="22"/>
          <w:szCs w:val="22"/>
          <w:u w:val="single"/>
        </w:rPr>
        <w:t>que reciba y ejerza recursos públicos</w:t>
      </w:r>
      <w:r>
        <w:rPr>
          <w:rFonts w:ascii="Palatino Linotype" w:eastAsia="Palatino Linotype" w:hAnsi="Palatino Linotype" w:cs="Palatino Linotype"/>
          <w:i/>
          <w:sz w:val="22"/>
          <w:szCs w:val="22"/>
        </w:rPr>
        <w:t xml:space="preserve"> o realice actos de autoridad </w:t>
      </w:r>
      <w:r>
        <w:rPr>
          <w:rFonts w:ascii="Palatino Linotype" w:eastAsia="Palatino Linotype" w:hAnsi="Palatino Linotype" w:cs="Palatino Linotype"/>
          <w:b/>
          <w:i/>
          <w:sz w:val="22"/>
          <w:szCs w:val="22"/>
          <w:u w:val="single"/>
        </w:rPr>
        <w:t>en el ámbito de competencia del Estado de México y sus municipios</w:t>
      </w:r>
      <w:r>
        <w:rPr>
          <w:rFonts w:ascii="Palatino Linotype" w:eastAsia="Palatino Linotype" w:hAnsi="Palatino Linotype" w:cs="Palatino Linotype"/>
          <w:i/>
          <w:sz w:val="22"/>
          <w:szCs w:val="22"/>
          <w:u w:val="single"/>
        </w:rPr>
        <w:t>.</w:t>
      </w:r>
    </w:p>
    <w:p w:rsidR="00622B74" w:rsidRDefault="00243E2F">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rsidR="00622B74" w:rsidRDefault="00243E2F">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after="160" w:line="259" w:lineRule="auto"/>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IV. Los ayuntamientos y las dependencias, organismos, órganos y entidades de la administración municipal;</w:t>
      </w:r>
    </w:p>
    <w:p w:rsidR="00622B74" w:rsidRDefault="00243E2F">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after="160" w:line="259" w:lineRule="auto"/>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22B74" w:rsidRDefault="00243E2F">
      <w:pPr>
        <w:spacing w:after="160" w:line="259"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Los servidores públicos deberán transparentar sus acciones así como garantizar y respetar el derecho de acceso a la información pública.”</w:t>
      </w:r>
      <w:r>
        <w:rPr>
          <w:rFonts w:ascii="Palatino Linotype" w:eastAsia="Palatino Linotype" w:hAnsi="Palatino Linotype" w:cs="Palatino Linotype"/>
          <w:b/>
          <w:i/>
          <w:sz w:val="22"/>
          <w:szCs w:val="22"/>
        </w:rPr>
        <w:t xml:space="preserve"> [Sic]</w:t>
      </w:r>
    </w:p>
    <w:p w:rsidR="00622B74" w:rsidRDefault="00622B74">
      <w:pPr>
        <w:spacing w:after="160" w:line="360" w:lineRule="auto"/>
        <w:jc w:val="both"/>
        <w:rPr>
          <w:rFonts w:ascii="Palatino Linotype" w:eastAsia="Palatino Linotype" w:hAnsi="Palatino Linotype" w:cs="Palatino Linotype"/>
          <w:sz w:val="22"/>
          <w:szCs w:val="22"/>
        </w:rPr>
      </w:pPr>
    </w:p>
    <w:p w:rsidR="00622B74" w:rsidRDefault="00243E2F">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Pr>
          <w:rFonts w:ascii="Palatino Linotype" w:eastAsia="Palatino Linotype" w:hAnsi="Palatino Linotype" w:cs="Palatino Linotype"/>
          <w:b/>
        </w:rPr>
        <w:t>01/2003</w:t>
      </w:r>
      <w:r>
        <w:rPr>
          <w:rFonts w:ascii="Palatino Linotype" w:eastAsia="Palatino Linotype" w:hAnsi="Palatino Linotype" w:cs="Palatino Linotype"/>
        </w:rPr>
        <w:t xml:space="preserve"> y </w:t>
      </w:r>
      <w:r>
        <w:rPr>
          <w:rFonts w:ascii="Palatino Linotype" w:eastAsia="Palatino Linotype" w:hAnsi="Palatino Linotype" w:cs="Palatino Linotype"/>
          <w:b/>
        </w:rPr>
        <w:t>02/2003</w:t>
      </w:r>
      <w:r>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622B74" w:rsidRDefault="00243E2F">
      <w:pPr>
        <w:spacing w:after="160" w:line="259" w:lineRule="auto"/>
        <w:ind w:left="851" w:right="85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01/2003.</w:t>
      </w:r>
    </w:p>
    <w:p w:rsidR="00622B74" w:rsidRDefault="00243E2F">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Pr>
          <w:rFonts w:ascii="Palatino Linotype" w:eastAsia="Palatino Linotype" w:hAnsi="Palatino Linotype" w:cs="Palatino Linotype"/>
          <w:i/>
          <w:sz w:val="22"/>
          <w:szCs w:val="22"/>
        </w:rPr>
        <w:t xml:space="preserve"> </w:t>
      </w:r>
    </w:p>
    <w:p w:rsidR="00622B74" w:rsidRDefault="00243E2F">
      <w:pPr>
        <w:spacing w:after="160" w:line="259" w:lineRule="auto"/>
        <w:ind w:left="851" w:right="851"/>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Pr>
          <w:rFonts w:ascii="Palatino Linotype" w:eastAsia="Palatino Linotype" w:hAnsi="Palatino Linotype" w:cs="Palatino Linotype"/>
          <w:b/>
          <w:i/>
          <w:sz w:val="22"/>
          <w:szCs w:val="22"/>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Pr>
          <w:rFonts w:ascii="Palatino Linotype" w:eastAsia="Palatino Linotype" w:hAnsi="Palatino Linotype" w:cs="Palatino Linotype"/>
          <w:b/>
          <w:i/>
          <w:sz w:val="22"/>
          <w:szCs w:val="22"/>
          <w:u w:val="single"/>
        </w:rPr>
        <w:lastRenderedPageBreak/>
        <w:t>encuentran su origen en mayor medida en las contribuciones aportados por los gobernados</w:t>
      </w:r>
      <w:r>
        <w:rPr>
          <w:rFonts w:ascii="Palatino Linotype" w:eastAsia="Palatino Linotype" w:hAnsi="Palatino Linotype" w:cs="Palatino Linotype"/>
          <w:i/>
          <w:sz w:val="22"/>
          <w:szCs w:val="22"/>
          <w:u w:val="single"/>
        </w:rPr>
        <w:t>…”</w:t>
      </w:r>
    </w:p>
    <w:p w:rsidR="00622B74" w:rsidRDefault="00622B74">
      <w:pPr>
        <w:spacing w:after="160" w:line="259" w:lineRule="auto"/>
        <w:ind w:left="851" w:right="851"/>
        <w:jc w:val="both"/>
        <w:rPr>
          <w:rFonts w:ascii="Palatino Linotype" w:eastAsia="Palatino Linotype" w:hAnsi="Palatino Linotype" w:cs="Palatino Linotype"/>
          <w:i/>
          <w:sz w:val="22"/>
          <w:szCs w:val="22"/>
        </w:rPr>
      </w:pPr>
    </w:p>
    <w:p w:rsidR="00622B74" w:rsidRDefault="00243E2F">
      <w:pPr>
        <w:spacing w:after="160" w:line="259" w:lineRule="auto"/>
        <w:ind w:left="851" w:right="85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02/2003.</w:t>
      </w:r>
    </w:p>
    <w:p w:rsidR="00622B74" w:rsidRDefault="00243E2F">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Pr>
          <w:rFonts w:ascii="Palatino Linotype" w:eastAsia="Palatino Linotype" w:hAnsi="Palatino Linotype" w:cs="Palatino Linotype"/>
          <w:i/>
          <w:sz w:val="22"/>
          <w:szCs w:val="22"/>
        </w:rPr>
        <w:t xml:space="preserve"> </w:t>
      </w:r>
    </w:p>
    <w:p w:rsidR="00622B74" w:rsidRDefault="00243E2F">
      <w:pPr>
        <w:spacing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Pr>
          <w:rFonts w:ascii="Palatino Linotype" w:eastAsia="Palatino Linotype" w:hAnsi="Palatino Linotype" w:cs="Palatino Linotype"/>
          <w:i/>
          <w:sz w:val="22"/>
          <w:szCs w:val="22"/>
        </w:rPr>
        <w:t xml:space="preserve"> el sistema de compensación…” </w:t>
      </w:r>
      <w:r>
        <w:rPr>
          <w:rFonts w:ascii="Palatino Linotype" w:eastAsia="Palatino Linotype" w:hAnsi="Palatino Linotype" w:cs="Palatino Linotype"/>
          <w:b/>
          <w:i/>
          <w:sz w:val="22"/>
          <w:szCs w:val="22"/>
        </w:rPr>
        <w:t>[Sic]</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el artículo 70 de la Ley General de Transparencia y Acceso a la Información Pública dispone lo siguiente: </w:t>
      </w:r>
    </w:p>
    <w:p w:rsidR="00622B74" w:rsidRDefault="00622B74">
      <w:pPr>
        <w:spacing w:line="360" w:lineRule="auto"/>
        <w:jc w:val="both"/>
        <w:rPr>
          <w:rFonts w:ascii="Palatino Linotype" w:eastAsia="Palatino Linotype" w:hAnsi="Palatino Linotype" w:cs="Palatino Linotype"/>
          <w:sz w:val="22"/>
          <w:szCs w:val="22"/>
        </w:rPr>
      </w:pPr>
    </w:p>
    <w:p w:rsidR="00622B74" w:rsidRDefault="00243E2F">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622B74" w:rsidRDefault="00243E2F">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622B74" w:rsidRDefault="00243E2F">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622B74" w:rsidRDefault="00622B74">
      <w:pPr>
        <w:spacing w:line="360" w:lineRule="auto"/>
        <w:ind w:right="49"/>
        <w:jc w:val="both"/>
        <w:rPr>
          <w:rFonts w:ascii="Palatino Linotype" w:eastAsia="Palatino Linotype" w:hAnsi="Palatino Linotype" w:cs="Palatino Linotype"/>
        </w:rPr>
      </w:pPr>
    </w:p>
    <w:p w:rsidR="00622B74" w:rsidRDefault="00243E2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rsidR="00622B74" w:rsidRDefault="00622B74">
      <w:pPr>
        <w:spacing w:line="360" w:lineRule="auto"/>
        <w:ind w:right="49"/>
        <w:jc w:val="both"/>
        <w:rPr>
          <w:rFonts w:ascii="Palatino Linotype" w:eastAsia="Palatino Linotype" w:hAnsi="Palatino Linotype" w:cs="Palatino Linotype"/>
          <w:sz w:val="22"/>
          <w:szCs w:val="22"/>
        </w:rPr>
      </w:pPr>
    </w:p>
    <w:p w:rsidR="00622B74" w:rsidRDefault="00243E2F">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22B74" w:rsidRDefault="00243E2F">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orden de ideas es que este Instituto considera que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los recursos de revisión que ahora se resuelven no colman a cabalidad los requerimientos de información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por lo que derivado de un análisis exhaustivo realizado es que se determina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las respuestas de los recursos de revisión </w:t>
      </w:r>
      <w:r>
        <w:rPr>
          <w:rFonts w:ascii="Palatino Linotype" w:eastAsia="Palatino Linotype" w:hAnsi="Palatino Linotype" w:cs="Palatino Linotype"/>
          <w:b/>
        </w:rPr>
        <w:t>05734/INFOEM/IP/RR/2023 y 05735/INFOEM/IP/RR/2023 acumulados</w:t>
      </w:r>
      <w:r>
        <w:rPr>
          <w:rFonts w:ascii="Palatino Linotype" w:eastAsia="Palatino Linotype" w:hAnsi="Palatino Linotype" w:cs="Palatino Linotype"/>
        </w:rPr>
        <w:t>, para ordenar la entrega de la siguiente documentación, de ser el caso, en versión pública de ser procedente conforme al considerando siguiente:</w:t>
      </w:r>
    </w:p>
    <w:p w:rsidR="00622B74" w:rsidRDefault="00622B74">
      <w:pPr>
        <w:spacing w:line="360" w:lineRule="auto"/>
        <w:jc w:val="both"/>
        <w:rPr>
          <w:rFonts w:ascii="Palatino Linotype" w:eastAsia="Palatino Linotype" w:hAnsi="Palatino Linotype" w:cs="Palatino Linotype"/>
        </w:rPr>
      </w:pPr>
    </w:p>
    <w:p w:rsidR="00622B74" w:rsidRDefault="00243E2F">
      <w:pPr>
        <w:pBdr>
          <w:top w:val="nil"/>
          <w:left w:val="nil"/>
          <w:bottom w:val="nil"/>
          <w:right w:val="nil"/>
          <w:between w:val="nil"/>
        </w:pBdr>
        <w:ind w:left="426"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Los recibos de nómina de la primera quincena de agosto de 2023, del Titular de la Gerencia de Finanzas y Administración y Titular de la Coordinación de Ingresos del OPDAPAS Ixtapaluca.</w:t>
      </w:r>
    </w:p>
    <w:p w:rsidR="00622B74" w:rsidRDefault="00622B74">
      <w:pPr>
        <w:spacing w:line="276" w:lineRule="auto"/>
        <w:ind w:right="-93"/>
        <w:jc w:val="both"/>
        <w:rPr>
          <w:rFonts w:ascii="Palatino Linotype" w:eastAsia="Palatino Linotype" w:hAnsi="Palatino Linotype" w:cs="Palatino Linotype"/>
        </w:rPr>
      </w:pPr>
    </w:p>
    <w:p w:rsidR="00622B74" w:rsidRDefault="00243E2F">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rsidR="00622B74" w:rsidRDefault="00622B74">
      <w:pPr>
        <w:tabs>
          <w:tab w:val="left" w:pos="709"/>
        </w:tabs>
        <w:spacing w:line="360" w:lineRule="auto"/>
        <w:jc w:val="both"/>
        <w:rPr>
          <w:rFonts w:ascii="Palatino Linotype" w:eastAsia="Palatino Linotype" w:hAnsi="Palatino Linotype" w:cs="Palatino Linotype"/>
        </w:rPr>
      </w:pP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Pr>
          <w:rFonts w:ascii="Palatino Linotype" w:eastAsia="Palatino Linotype" w:hAnsi="Palatino Linotype" w:cs="Palatino Linotype"/>
          <w:i/>
          <w:sz w:val="22"/>
          <w:szCs w:val="22"/>
        </w:rPr>
        <w:t>actualiza</w:t>
      </w:r>
      <w:proofErr w:type="spellEnd"/>
      <w:r>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622B74" w:rsidRDefault="00243E2F">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622B74" w:rsidRDefault="00243E2F">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622B74" w:rsidRDefault="00243E2F">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622B74" w:rsidRDefault="00243E2F">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622B74" w:rsidRDefault="00243E2F">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rsidR="00622B74" w:rsidRDefault="00622B74">
      <w:pPr>
        <w:spacing w:line="360" w:lineRule="auto"/>
        <w:ind w:right="49"/>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artículos transcritos anteriormente, se observan las excepciones que tiene el derecho de acceso a la información pública, respecto a algunos tipos de información, lo cual restringe su acceso, precisando de manera clara las hipótesis que dan lugar a </w:t>
      </w:r>
      <w:r>
        <w:rPr>
          <w:rFonts w:ascii="Palatino Linotype" w:eastAsia="Palatino Linotype" w:hAnsi="Palatino Linotype" w:cs="Palatino Linotype"/>
        </w:rPr>
        <w:lastRenderedPageBreak/>
        <w:t>clasificar la información, la cual puede ser de dos maneras: Reservada o Confidencial.</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622B74" w:rsidRDefault="00622B74">
      <w:pPr>
        <w:spacing w:line="360" w:lineRule="auto"/>
        <w:jc w:val="both"/>
        <w:rPr>
          <w:rFonts w:ascii="Palatino Linotype" w:eastAsia="Palatino Linotype" w:hAnsi="Palatino Linotype" w:cs="Palatino Linotype"/>
        </w:rPr>
      </w:pPr>
    </w:p>
    <w:p w:rsidR="00622B74" w:rsidRDefault="00243E2F">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622B74" w:rsidRDefault="00243E2F">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Área deberá remitir la solicitud, así como un escrito en el que </w:t>
      </w:r>
      <w:r>
        <w:rPr>
          <w:rFonts w:ascii="Palatino Linotype" w:eastAsia="Palatino Linotype" w:hAnsi="Palatino Linotype" w:cs="Palatino Linotype"/>
          <w:b/>
          <w:i/>
          <w:sz w:val="22"/>
          <w:szCs w:val="22"/>
        </w:rPr>
        <w:t>funde y motive la clasificación al Comité de Transparencia</w:t>
      </w:r>
      <w:r>
        <w:rPr>
          <w:rFonts w:ascii="Palatino Linotype" w:eastAsia="Palatino Linotype" w:hAnsi="Palatino Linotype" w:cs="Palatino Linotype"/>
          <w:i/>
          <w:sz w:val="22"/>
          <w:szCs w:val="22"/>
        </w:rPr>
        <w:t>, mismo que deberá resolver para:</w:t>
      </w:r>
    </w:p>
    <w:p w:rsidR="00622B74" w:rsidRDefault="00243E2F">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b/>
          <w:i/>
          <w:sz w:val="22"/>
          <w:szCs w:val="22"/>
        </w:rPr>
        <w:t>) Confirmar la clasificación;</w:t>
      </w:r>
    </w:p>
    <w:p w:rsidR="00622B74" w:rsidRDefault="00243E2F">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622B74" w:rsidRDefault="00243E2F">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622B74" w:rsidRDefault="00243E2F">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y la </w:t>
      </w:r>
      <w:r>
        <w:rPr>
          <w:rFonts w:ascii="Palatino Linotype" w:eastAsia="Palatino Linotype" w:hAnsi="Palatino Linotype" w:cs="Palatino Linotype"/>
          <w:b/>
        </w:rPr>
        <w:t xml:space="preserve">Clave </w:t>
      </w:r>
      <w:r>
        <w:rPr>
          <w:rFonts w:ascii="Palatino Linotype" w:eastAsia="Palatino Linotype" w:hAnsi="Palatino Linotype" w:cs="Palatino Linotype"/>
          <w:b/>
        </w:rPr>
        <w:lastRenderedPageBreak/>
        <w:t>de cualquier tipo de seguridad social</w:t>
      </w:r>
      <w:r>
        <w:rPr>
          <w:rFonts w:ascii="Palatino Linotype" w:eastAsia="Palatino Linotype" w:hAnsi="Palatino Linotype" w:cs="Palatino Linotype"/>
        </w:rPr>
        <w:t xml:space="preserve"> (ISSEMYM, u otros), así como,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que se le hagan a la persona y que no tengan relación con los impuestos o la cuota por seguridad social, así el</w:t>
      </w:r>
      <w:r>
        <w:rPr>
          <w:rFonts w:ascii="Palatino Linotype" w:eastAsia="Palatino Linotype" w:hAnsi="Palatino Linotype" w:cs="Palatino Linotype"/>
          <w:b/>
        </w:rPr>
        <w:t xml:space="preserve"> número de empleado, </w:t>
      </w:r>
      <w:r>
        <w:rPr>
          <w:rFonts w:ascii="Palatino Linotype" w:eastAsia="Palatino Linotype" w:hAnsi="Palatino Linotype" w:cs="Palatino Linotype"/>
        </w:rPr>
        <w:t xml:space="preserve">así como de ser el caso, el </w:t>
      </w:r>
      <w:r>
        <w:rPr>
          <w:rFonts w:ascii="Palatino Linotype" w:eastAsia="Palatino Linotype" w:hAnsi="Palatino Linotype" w:cs="Palatino Linotype"/>
          <w:b/>
        </w:rPr>
        <w:t>folio fiscal</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cadena original, </w:t>
      </w:r>
      <w:r>
        <w:rPr>
          <w:rFonts w:ascii="Palatino Linotype" w:eastAsia="Palatino Linotype" w:hAnsi="Palatino Linotype" w:cs="Palatino Linotype"/>
        </w:rPr>
        <w:t>los</w:t>
      </w:r>
      <w:r>
        <w:rPr>
          <w:rFonts w:ascii="Palatino Linotype" w:eastAsia="Palatino Linotype" w:hAnsi="Palatino Linotype" w:cs="Palatino Linotype"/>
          <w:b/>
        </w:rPr>
        <w:t xml:space="preserve"> códigos bidimensionales o códigos QR,</w:t>
      </w:r>
      <w:r>
        <w:rPr>
          <w:rFonts w:ascii="Palatino Linotype" w:eastAsia="Palatino Linotype" w:hAnsi="Palatino Linotype" w:cs="Palatino Linotype"/>
        </w:rPr>
        <w:t xml:space="preserve"> y cualquier información de carácter fiscal, bajo las siguientes consideraciones. </w:t>
      </w:r>
    </w:p>
    <w:p w:rsidR="00622B74" w:rsidRDefault="00243E2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rsidR="00622B74" w:rsidRDefault="00243E2F">
      <w:pPr>
        <w:spacing w:after="120"/>
        <w:ind w:left="851" w:right="902"/>
        <w:jc w:val="both"/>
        <w:rPr>
          <w:rFonts w:ascii="Arial" w:eastAsia="Arial" w:hAnsi="Arial" w:cs="Arial"/>
        </w:rPr>
      </w:pPr>
      <w:r>
        <w:rPr>
          <w:rFonts w:ascii="Palatino Linotype" w:eastAsia="Palatino Linotype" w:hAnsi="Palatino Linotype" w:cs="Palatino Linotype"/>
          <w:b/>
          <w:i/>
          <w:sz w:val="20"/>
          <w:szCs w:val="20"/>
        </w:rPr>
        <w:t xml:space="preserve">“Registro Federal de Contribuyentes (RFC) de personas físicas. </w:t>
      </w:r>
      <w:r>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rsidR="00622B74" w:rsidRDefault="00243E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el RFC se vincula al nombre de su titular y permite identificar la edad de la persona, su fecha de nacimiento, así como su </w:t>
      </w:r>
      <w:proofErr w:type="spellStart"/>
      <w:r>
        <w:rPr>
          <w:rFonts w:ascii="Palatino Linotype" w:eastAsia="Palatino Linotype" w:hAnsi="Palatino Linotype" w:cs="Palatino Linotype"/>
          <w:color w:val="000000"/>
        </w:rPr>
        <w:t>homoclave</w:t>
      </w:r>
      <w:proofErr w:type="spellEnd"/>
      <w:r>
        <w:rPr>
          <w:rFonts w:ascii="Palatino Linotype" w:eastAsia="Palatino Linotype" w:hAnsi="Palatino Linotype" w:cs="Palatino Linotype"/>
          <w:color w:val="000000"/>
        </w:rPr>
        <w:t xml:space="preserve">, la cual es única e irrepetible </w:t>
      </w:r>
      <w:r>
        <w:rPr>
          <w:rFonts w:ascii="Palatino Linotype" w:eastAsia="Palatino Linotype" w:hAnsi="Palatino Linotype" w:cs="Palatino Linotype"/>
          <w:color w:val="000000"/>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22B74" w:rsidRDefault="00243E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es compartido por el Instituto Nacional de Transparencia, Acceso a la Información y Protección de Datos (INAI)</w:t>
      </w:r>
      <w:r>
        <w:rPr>
          <w:rFonts w:ascii="Palatino Linotype" w:eastAsia="Palatino Linotype" w:hAnsi="Palatino Linotype" w:cs="Palatino Linotype"/>
          <w:b/>
        </w:rPr>
        <w:t xml:space="preserve">, conforme al </w:t>
      </w:r>
      <w:r>
        <w:rPr>
          <w:rFonts w:ascii="Palatino Linotype" w:eastAsia="Palatino Linotype" w:hAnsi="Palatino Linotype" w:cs="Palatino Linotype"/>
        </w:rPr>
        <w:t xml:space="preserve">criterio número 18/17, el cual refiere: </w:t>
      </w:r>
    </w:p>
    <w:p w:rsidR="00622B74" w:rsidRDefault="00243E2F">
      <w:pPr>
        <w:pBdr>
          <w:top w:val="nil"/>
          <w:left w:val="nil"/>
          <w:bottom w:val="nil"/>
          <w:right w:val="nil"/>
          <w:between w:val="nil"/>
        </w:pBdr>
        <w:spacing w:after="120"/>
        <w:ind w:left="851" w:right="902"/>
        <w:jc w:val="both"/>
        <w:rPr>
          <w:rFonts w:ascii="Arial" w:eastAsia="Arial" w:hAnsi="Arial" w:cs="Arial"/>
          <w:b/>
          <w:color w:val="000000"/>
        </w:rPr>
      </w:pPr>
      <w:r>
        <w:rPr>
          <w:rFonts w:ascii="Palatino Linotype" w:eastAsia="Palatino Linotype" w:hAnsi="Palatino Linotype" w:cs="Palatino Linotype"/>
          <w:b/>
          <w:i/>
          <w:color w:val="000000"/>
          <w:sz w:val="20"/>
          <w:szCs w:val="20"/>
        </w:rPr>
        <w:t xml:space="preserve">“Clave Única de Registro de Población (CURP). </w:t>
      </w:r>
      <w:r>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w:t>
      </w:r>
      <w:r>
        <w:rPr>
          <w:rFonts w:ascii="Palatino Linotype" w:eastAsia="Palatino Linotype" w:hAnsi="Palatino Linotype" w:cs="Palatino Linotype"/>
        </w:rPr>
        <w:lastRenderedPageBreak/>
        <w:t>confidencial; siendo aplicable como orientador el criterio número 15/10 emitido por el entonces Instituto Federal de Transparencia y Acceso a la Información (INAI, cuyo texto y sentido literal es el siguiente:</w:t>
      </w:r>
    </w:p>
    <w:p w:rsidR="00622B74" w:rsidRDefault="00243E2F">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número de ficha de identificación única de los trabajadores es información de carácter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dicha información es susceptible de clasificarse con el carácter de confidencial</w:t>
      </w:r>
      <w:r>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622B74" w:rsidRDefault="00243E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cuanto hace a las deducciones, para entender los límites y alcances de esta restricción, es oportuno recurrir al artículo 84 de la Ley del Trabajo de los Servidores Públicos del Estado y Municipios:</w:t>
      </w:r>
    </w:p>
    <w:p w:rsidR="00622B74" w:rsidRDefault="00243E2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 Gravámenes fiscales relacionados con el sueldo;</w:t>
      </w:r>
    </w:p>
    <w:p w:rsidR="00622B74" w:rsidRDefault="00243E2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622B74" w:rsidRDefault="00243E2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622B74" w:rsidRDefault="00243E2F">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622B74" w:rsidRDefault="00243E2F">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622B74" w:rsidRDefault="00243E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622B74" w:rsidRDefault="00243E2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conclusión, los préstamos o descuentos de carácter personal, en virtud de no tener relación con la prestación del servicio y al no involucrar instituciones públicas, se consideran datos confidenciales.</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De la información fiscal</w:t>
      </w:r>
      <w:r>
        <w:rPr>
          <w:rFonts w:ascii="Palatino Linotype" w:eastAsia="Palatino Linotype" w:hAnsi="Palatino Linotype" w:cs="Palatino Linotype"/>
        </w:rPr>
        <w:t xml:space="preserve">: </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w:t>
      </w:r>
      <w:r>
        <w:rPr>
          <w:rFonts w:ascii="Palatino Linotype" w:eastAsia="Palatino Linotype" w:hAnsi="Palatino Linotype" w:cs="Palatino Linotype"/>
          <w:b/>
        </w:rPr>
        <w:t>Cadena Original</w:t>
      </w:r>
      <w:r>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o </w:t>
      </w:r>
      <w:r>
        <w:rPr>
          <w:rFonts w:ascii="Palatino Linotype" w:eastAsia="Palatino Linotype" w:hAnsi="Palatino Linotype" w:cs="Palatino Linotype"/>
          <w:b/>
        </w:rPr>
        <w:t xml:space="preserve">códigos QR, </w:t>
      </w:r>
      <w:r>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analizar dicha circunstancia con la finalidad de determinar si se actualiza algún supuesto de confidencialidad.</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sentido, si derivado del análisis efectuado por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rsidR="00622B74" w:rsidRDefault="00243E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22B74" w:rsidRDefault="00622B74">
      <w:pPr>
        <w:spacing w:line="360" w:lineRule="auto"/>
        <w:ind w:right="51"/>
        <w:jc w:val="both"/>
        <w:rPr>
          <w:rFonts w:ascii="Palatino Linotype" w:eastAsia="Palatino Linotype" w:hAnsi="Palatino Linotype" w:cs="Palatino Linotype"/>
        </w:rPr>
      </w:pPr>
    </w:p>
    <w:p w:rsidR="00622B74" w:rsidRDefault="00243E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622B74" w:rsidRDefault="00243E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622B74" w:rsidRDefault="00243E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622B74" w:rsidRDefault="00243E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622B74" w:rsidRDefault="00243E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622B74" w:rsidRDefault="00243E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rsidR="00622B74" w:rsidRDefault="00622B74">
      <w:pPr>
        <w:ind w:left="992" w:right="1043"/>
        <w:jc w:val="both"/>
        <w:rPr>
          <w:rFonts w:ascii="Palatino Linotype" w:eastAsia="Palatino Linotype" w:hAnsi="Palatino Linotype" w:cs="Palatino Linotype"/>
          <w:i/>
          <w:sz w:val="22"/>
          <w:szCs w:val="22"/>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622B74" w:rsidRDefault="00243E2F">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rsidR="00622B74" w:rsidRDefault="00243E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w:t>
      </w:r>
      <w:r>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22B74" w:rsidRDefault="00622B74">
      <w:pPr>
        <w:spacing w:line="360" w:lineRule="auto"/>
        <w:ind w:right="51"/>
        <w:jc w:val="both"/>
        <w:rPr>
          <w:rFonts w:ascii="Palatino Linotype" w:eastAsia="Palatino Linotype" w:hAnsi="Palatino Linotype" w:cs="Palatino Linotype"/>
        </w:rPr>
      </w:pP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w:t>
      </w:r>
      <w:r>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Pr>
          <w:rFonts w:ascii="Palatino Linotype" w:eastAsia="Palatino Linotype" w:hAnsi="Palatino Linotype" w:cs="Palatino Linotype"/>
        </w:rPr>
        <w:t xml:space="preserve"> señalan las formalidades que </w:t>
      </w:r>
      <w:r>
        <w:rPr>
          <w:rFonts w:ascii="Palatino Linotype" w:eastAsia="Palatino Linotype" w:hAnsi="Palatino Linotype" w:cs="Palatino Linotype"/>
        </w:rPr>
        <w:lastRenderedPageBreak/>
        <w:t xml:space="preserve">deberá llevar el acuerdo de clasificación que deberá emitir el </w:t>
      </w:r>
      <w:r>
        <w:rPr>
          <w:rFonts w:ascii="Palatino Linotype" w:eastAsia="Palatino Linotype" w:hAnsi="Palatino Linotype" w:cs="Palatino Linotype"/>
          <w:b/>
        </w:rPr>
        <w:t>Sujeto Obligado</w:t>
      </w:r>
      <w:r>
        <w:rPr>
          <w:rFonts w:ascii="Palatino Linotype" w:eastAsia="Palatino Linotype" w:hAnsi="Palatino Linotype" w:cs="Palatino Linotype"/>
        </w:rPr>
        <w:t>, siendo estas las siguientes:</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VIII </w:t>
      </w:r>
    </w:p>
    <w:p w:rsidR="00622B74" w:rsidRDefault="00243E2F">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ELEMENTOS PARA LA CLASIFICACIÓN </w:t>
      </w:r>
    </w:p>
    <w:p w:rsidR="00622B74" w:rsidRDefault="00243E2F">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622B74" w:rsidRDefault="00243E2F">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rsidR="00622B74" w:rsidRDefault="00243E2F">
      <w:pPr>
        <w:numPr>
          <w:ilvl w:val="1"/>
          <w:numId w:val="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número de sesión y fecha; </w:t>
      </w:r>
    </w:p>
    <w:p w:rsidR="00622B74" w:rsidRDefault="00243E2F">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nombre del área que solicitó la clasificación de información; </w:t>
      </w:r>
    </w:p>
    <w:p w:rsidR="00622B74" w:rsidRDefault="00243E2F">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fundamentación legal y motivación correspondiente; </w:t>
      </w:r>
    </w:p>
    <w:p w:rsidR="00622B74" w:rsidRDefault="00243E2F">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resolución o resoluciones aprobadas; y </w:t>
      </w:r>
    </w:p>
    <w:p w:rsidR="00622B74" w:rsidRDefault="00243E2F">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rúbrica o firma digital de cada integrante del Comité de Transparencia. </w:t>
      </w:r>
    </w:p>
    <w:p w:rsidR="00622B74" w:rsidRDefault="00622B74">
      <w:pPr>
        <w:pBdr>
          <w:top w:val="nil"/>
          <w:left w:val="nil"/>
          <w:bottom w:val="nil"/>
          <w:right w:val="nil"/>
          <w:between w:val="nil"/>
        </w:pBdr>
        <w:spacing w:line="276" w:lineRule="auto"/>
        <w:ind w:left="426" w:right="900"/>
        <w:jc w:val="both"/>
        <w:rPr>
          <w:rFonts w:ascii="Palatino Linotype" w:eastAsia="Palatino Linotype" w:hAnsi="Palatino Linotype" w:cs="Palatino Linotype"/>
          <w:i/>
          <w:color w:val="000000"/>
          <w:sz w:val="22"/>
          <w:szCs w:val="22"/>
        </w:rPr>
      </w:pP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Descripción de las partes o secciones reservadas, en caso de clasificación parcial; </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El periodo por el que mantendrá su clasificación y fecha de expiración; y </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En los casos de resoluciones del Comité de Transparencia en las que se confirme la clasificación de información confidencial solo se deberán de </w:t>
      </w:r>
      <w:r>
        <w:rPr>
          <w:rFonts w:ascii="Palatino Linotype" w:eastAsia="Palatino Linotype" w:hAnsi="Palatino Linotype" w:cs="Palatino Linotype"/>
          <w:b/>
          <w:i/>
          <w:color w:val="000000"/>
          <w:sz w:val="22"/>
          <w:szCs w:val="22"/>
        </w:rPr>
        <w:lastRenderedPageBreak/>
        <w:t>identificar los tipos de datos protegidos, de conformidad con el lineamiento trigésimo octavo.</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segundo. </w:t>
      </w:r>
      <w:r>
        <w:rPr>
          <w:rFonts w:ascii="Palatino Linotype" w:eastAsia="Palatino Linotype" w:hAnsi="Palatino Linotype" w:cs="Palatino Linotype"/>
          <w:i/>
          <w:color w:val="000000"/>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Pr>
          <w:rFonts w:ascii="Palatino Linotype" w:eastAsia="Palatino Linotype" w:hAnsi="Palatino Linotype" w:cs="Palatino Linotype"/>
          <w:i/>
          <w:color w:val="000000"/>
          <w:sz w:val="22"/>
          <w:szCs w:val="22"/>
        </w:rPr>
        <w:t>sobreposición</w:t>
      </w:r>
      <w:proofErr w:type="spellEnd"/>
      <w:r>
        <w:rPr>
          <w:rFonts w:ascii="Palatino Linotype" w:eastAsia="Palatino Linotype" w:hAnsi="Palatino Linotype" w:cs="Palatino Linotype"/>
          <w:i/>
          <w:color w:val="000000"/>
          <w:sz w:val="22"/>
          <w:szCs w:val="22"/>
        </w:rPr>
        <w:t xml:space="preserve"> de contenido distinto al autorizado por el Comité.</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Transparencia confirmó dicha versión;</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tercero</w:t>
      </w:r>
      <w:r>
        <w:rPr>
          <w:rFonts w:ascii="Palatino Linotype" w:eastAsia="Palatino Linotype" w:hAnsi="Palatino Linotype" w:cs="Palatino Linotype"/>
          <w:i/>
          <w:color w:val="000000"/>
          <w:sz w:val="22"/>
          <w:szCs w:val="22"/>
        </w:rPr>
        <w:t>. El formato para señalar la clasificación de un documento o expediente que contenga información reservada, es el siguiente:</w:t>
      </w:r>
      <w:r>
        <w:rPr>
          <w:noProof/>
          <w:lang w:val="es-MX"/>
        </w:rPr>
        <w:drawing>
          <wp:anchor distT="0" distB="0" distL="114300" distR="114300" simplePos="0" relativeHeight="251663360"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3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568190" cy="330200"/>
                    </a:xfrm>
                    <a:prstGeom prst="rect">
                      <a:avLst/>
                    </a:prstGeom>
                    <a:ln/>
                  </pic:spPr>
                </pic:pic>
              </a:graphicData>
            </a:graphic>
          </wp:anchor>
        </w:drawing>
      </w: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noProof/>
          <w:color w:val="000000"/>
          <w:sz w:val="22"/>
          <w:szCs w:val="22"/>
          <w:lang w:val="es-MX"/>
        </w:rPr>
        <w:lastRenderedPageBreak/>
        <w:drawing>
          <wp:inline distT="0" distB="0" distL="0" distR="0">
            <wp:extent cx="4576404" cy="5139653"/>
            <wp:effectExtent l="0" t="0" r="0" b="0"/>
            <wp:docPr id="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576404" cy="5139653"/>
                    </a:xfrm>
                    <a:prstGeom prst="rect">
                      <a:avLst/>
                    </a:prstGeom>
                    <a:ln/>
                  </pic:spPr>
                </pic:pic>
              </a:graphicData>
            </a:graphic>
          </wp:inline>
        </w:drawing>
      </w:r>
    </w:p>
    <w:p w:rsidR="00622B74" w:rsidRDefault="00622B74">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cuarto. </w:t>
      </w:r>
      <w:r>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622B74" w:rsidRDefault="00622B74">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 xml:space="preserve">Quincuagésimo quinto. </w:t>
      </w:r>
      <w:r>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rsidR="00622B74" w:rsidRDefault="00622B74">
      <w:pPr>
        <w:spacing w:line="360" w:lineRule="auto"/>
        <w:jc w:val="both"/>
        <w:rPr>
          <w:rFonts w:ascii="Palatino Linotype" w:eastAsia="Palatino Linotype" w:hAnsi="Palatino Linotype" w:cs="Palatino Linotype"/>
        </w:rPr>
      </w:pP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622B74" w:rsidRDefault="00622B74">
      <w:pPr>
        <w:spacing w:line="360" w:lineRule="auto"/>
        <w:jc w:val="both"/>
        <w:rPr>
          <w:rFonts w:ascii="Palatino Linotype" w:eastAsia="Palatino Linotype" w:hAnsi="Palatino Linotype" w:cs="Palatino Linotype"/>
        </w:rPr>
      </w:pPr>
      <w:bookmarkStart w:id="4" w:name="_heading=h.3dy6vkm" w:colFirst="0" w:colLast="0"/>
      <w:bookmarkEnd w:id="4"/>
    </w:p>
    <w:p w:rsidR="00622B74" w:rsidRDefault="00243E2F">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w:t>
      </w:r>
      <w:r>
        <w:rPr>
          <w:rFonts w:ascii="Palatino Linotype" w:eastAsia="Palatino Linotype" w:hAnsi="Palatino Linotype" w:cs="Palatino Linotype"/>
          <w:color w:val="000000"/>
        </w:rPr>
        <w:t xml:space="preserve">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622B74" w:rsidRDefault="00243E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622B74" w:rsidRDefault="00243E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trigésimo segundo, trigésimo tercero y trigésimo cuarto</w:t>
      </w:r>
      <w:r>
        <w:rPr>
          <w:rFonts w:ascii="Palatino Linotype" w:eastAsia="Palatino Linotype" w:hAnsi="Palatino Linotype" w:cs="Palatino Linotype"/>
        </w:rPr>
        <w:t xml:space="preserve"> de la Constitución Política del Estado Libre y Soberano de México; 2, fracción II; 29, 36 fracciones I y II; 176, 178, 181, 185 de la Ley de Transparencia y Acceso a la Información Pública del Estado de México y Municipios, este Pleno:</w:t>
      </w:r>
    </w:p>
    <w:p w:rsidR="00622B74" w:rsidRDefault="00243E2F">
      <w:pPr>
        <w:numPr>
          <w:ilvl w:val="0"/>
          <w:numId w:val="3"/>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 </w:t>
      </w:r>
      <w:r>
        <w:rPr>
          <w:rFonts w:ascii="Palatino Linotype" w:eastAsia="Palatino Linotype" w:hAnsi="Palatino Linotype" w:cs="Palatino Linotype"/>
        </w:rPr>
        <w:t xml:space="preserve">los motivos de inconformidad hechos valer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los Recursos de Revisión</w:t>
      </w:r>
      <w:r>
        <w:rPr>
          <w:rFonts w:ascii="Palatino Linotype" w:eastAsia="Palatino Linotype" w:hAnsi="Palatino Linotype" w:cs="Palatino Linotype"/>
          <w:b/>
        </w:rPr>
        <w:t xml:space="preserve"> 05734/INFOEM/IP/RR/2023 y 05735/INFOEM/IP/RR/2023 acumulados, </w:t>
      </w:r>
      <w:r>
        <w:rPr>
          <w:rFonts w:ascii="Palatino Linotype" w:eastAsia="Palatino Linotype" w:hAnsi="Palatino Linotype" w:cs="Palatino Linotype"/>
        </w:rPr>
        <w:t>por lo que</w:t>
      </w:r>
      <w:r>
        <w:rPr>
          <w:rFonts w:ascii="Palatino Linotype" w:eastAsia="Palatino Linotype" w:hAnsi="Palatino Linotype" w:cs="Palatino Linotype"/>
          <w:b/>
        </w:rPr>
        <w:t xml:space="preserve">, en términos del Considerando Cuarto </w:t>
      </w:r>
      <w:r>
        <w:rPr>
          <w:rFonts w:ascii="Palatino Linotype" w:eastAsia="Palatino Linotype" w:hAnsi="Palatino Linotype" w:cs="Palatino Linotype"/>
        </w:rPr>
        <w:t>de la presente resolución, se</w:t>
      </w:r>
      <w:r>
        <w:rPr>
          <w:rFonts w:ascii="Palatino Linotype" w:eastAsia="Palatino Linotype" w:hAnsi="Palatino Linotype" w:cs="Palatino Linotype"/>
          <w:b/>
        </w:rPr>
        <w:t xml:space="preserve"> REVOCAN </w:t>
      </w:r>
      <w:r>
        <w:rPr>
          <w:rFonts w:ascii="Palatino Linotype" w:eastAsia="Palatino Linotype" w:hAnsi="Palatino Linotype" w:cs="Palatino Linotype"/>
        </w:rPr>
        <w:t>las respuestas del</w:t>
      </w:r>
      <w:r>
        <w:rPr>
          <w:rFonts w:ascii="Palatino Linotype" w:eastAsia="Palatino Linotype" w:hAnsi="Palatino Linotype" w:cs="Palatino Linotype"/>
          <w:b/>
        </w:rPr>
        <w:t xml:space="preserve"> Sujeto Obligado.</w:t>
      </w:r>
    </w:p>
    <w:p w:rsidR="00622B74" w:rsidRDefault="00243E2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Se Ordena al Sujeto Obligado </w:t>
      </w:r>
      <w:r>
        <w:rPr>
          <w:rFonts w:ascii="Palatino Linotype" w:eastAsia="Palatino Linotype" w:hAnsi="Palatino Linotype" w:cs="Palatino Linotype"/>
        </w:rPr>
        <w:t>que en términos de los</w:t>
      </w:r>
      <w:r>
        <w:rPr>
          <w:rFonts w:ascii="Palatino Linotype" w:eastAsia="Palatino Linotype" w:hAnsi="Palatino Linotype" w:cs="Palatino Linotype"/>
          <w:b/>
        </w:rPr>
        <w:t xml:space="preserve"> Considerandos Cuarto y Quinto </w:t>
      </w:r>
      <w:r>
        <w:rPr>
          <w:rFonts w:ascii="Palatino Linotype" w:eastAsia="Palatino Linotype" w:hAnsi="Palatino Linotype" w:cs="Palatino Linotype"/>
        </w:rPr>
        <w:t xml:space="preserve">de esta resolución haga entrega a </w:t>
      </w:r>
      <w:r>
        <w:rPr>
          <w:rFonts w:ascii="Palatino Linotype" w:eastAsia="Palatino Linotype" w:hAnsi="Palatino Linotype" w:cs="Palatino Linotype"/>
          <w:b/>
        </w:rPr>
        <w:t xml:space="preserve">la parte Recurrente a través del SAIMEX, </w:t>
      </w:r>
      <w:r>
        <w:rPr>
          <w:rFonts w:ascii="Palatino Linotype" w:eastAsia="Palatino Linotype" w:hAnsi="Palatino Linotype" w:cs="Palatino Linotype"/>
          <w:b/>
          <w:color w:val="000000"/>
        </w:rPr>
        <w:t xml:space="preserve">en versión pública, </w:t>
      </w:r>
      <w:r>
        <w:rPr>
          <w:rFonts w:ascii="Palatino Linotype" w:eastAsia="Palatino Linotype" w:hAnsi="Palatino Linotype" w:cs="Palatino Linotype"/>
          <w:b/>
        </w:rPr>
        <w:t>de lo siguiente:</w:t>
      </w:r>
    </w:p>
    <w:p w:rsidR="00622B74" w:rsidRDefault="00243E2F">
      <w:pPr>
        <w:pBdr>
          <w:top w:val="nil"/>
          <w:left w:val="nil"/>
          <w:bottom w:val="nil"/>
          <w:right w:val="nil"/>
          <w:between w:val="nil"/>
        </w:pBdr>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Los recibos de nómina de la primera quincena de agosto de 2023, del Titular de la Gerencia de Finanzas y Administración y Titular de la Coordinación de Ingresos del OPDAPAS Ixtapaluca.</w:t>
      </w:r>
    </w:p>
    <w:p w:rsidR="00622B74" w:rsidRDefault="00622B74">
      <w:pPr>
        <w:pBdr>
          <w:top w:val="nil"/>
          <w:left w:val="nil"/>
          <w:bottom w:val="nil"/>
          <w:right w:val="nil"/>
          <w:between w:val="nil"/>
        </w:pBdr>
        <w:ind w:left="567" w:right="900"/>
        <w:jc w:val="both"/>
        <w:rPr>
          <w:rFonts w:ascii="Palatino Linotype" w:eastAsia="Palatino Linotype" w:hAnsi="Palatino Linotype" w:cs="Palatino Linotype"/>
          <w:b/>
          <w:i/>
          <w:color w:val="000000"/>
          <w:sz w:val="22"/>
          <w:szCs w:val="22"/>
        </w:rPr>
      </w:pPr>
    </w:p>
    <w:p w:rsidR="00622B74" w:rsidRDefault="00243E2F">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color w:val="000000"/>
          <w:sz w:val="22"/>
          <w:szCs w:val="22"/>
        </w:rPr>
        <w:t>la parte Recurrente</w:t>
      </w:r>
      <w:r>
        <w:rPr>
          <w:rFonts w:ascii="Palatino Linotype" w:eastAsia="Palatino Linotype" w:hAnsi="Palatino Linotype" w:cs="Palatino Linotype"/>
          <w:i/>
          <w:color w:val="000000"/>
          <w:sz w:val="22"/>
          <w:szCs w:val="22"/>
        </w:rPr>
        <w:t>.</w:t>
      </w:r>
    </w:p>
    <w:p w:rsidR="00622B74" w:rsidRDefault="00622B74">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p>
    <w:p w:rsidR="00622B74" w:rsidRDefault="00243E2F">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22B74" w:rsidRDefault="00243E2F">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rPr>
        <w:lastRenderedPageBreak/>
        <w:t>procedente, el Sujeto Obligado de manera fundada y motivada, podrá solicitar una ampliación de plazo para el cumplimiento de la presente resolución.</w:t>
      </w:r>
    </w:p>
    <w:p w:rsidR="00622B74" w:rsidRDefault="00243E2F">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la presente resolución, </w:t>
      </w:r>
      <w:r>
        <w:rPr>
          <w:rFonts w:ascii="Palatino Linotype" w:eastAsia="Palatino Linotype" w:hAnsi="Palatino Linotype" w:cs="Palatino Linotype"/>
          <w:b/>
        </w:rPr>
        <w:t xml:space="preserve">vía Sistema de Acceso a la Información Mexiquense (SAIMEX), </w:t>
      </w:r>
      <w:r>
        <w:rPr>
          <w:rFonts w:ascii="Palatino Linotype" w:eastAsia="Palatino Linotype" w:hAnsi="Palatino Linotype" w:cs="Palatino Linotype"/>
        </w:rPr>
        <w:t xml:space="preserve">así como que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rPr>
        <w:t>.</w:t>
      </w:r>
    </w:p>
    <w:p w:rsidR="00622B74" w:rsidRDefault="00243E2F">
      <w:pPr>
        <w:spacing w:before="240" w:after="240" w:line="360" w:lineRule="auto"/>
        <w:jc w:val="both"/>
        <w:rPr>
          <w:rFonts w:ascii="Palatino Linotype" w:eastAsia="Palatino Linotype" w:hAnsi="Palatino Linotype" w:cs="Palatino Linotype"/>
        </w:rPr>
        <w:sectPr w:rsidR="00622B74">
          <w:headerReference w:type="even" r:id="rId19"/>
          <w:headerReference w:type="default" r:id="rId20"/>
          <w:footerReference w:type="even" r:id="rId21"/>
          <w:footerReference w:type="default" r:id="rId22"/>
          <w:headerReference w:type="first" r:id="rId23"/>
          <w:footerReference w:type="first" r:id="rId24"/>
          <w:pgSz w:w="12240" w:h="15840"/>
          <w:pgMar w:top="621" w:right="1701" w:bottom="1701" w:left="1701" w:header="618"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rsidR="00622B74" w:rsidRDefault="00622B74">
      <w:pPr>
        <w:spacing w:before="240" w:after="240"/>
        <w:jc w:val="both"/>
        <w:rPr>
          <w:rFonts w:ascii="Palatino Linotype" w:eastAsia="Palatino Linotype" w:hAnsi="Palatino Linotype" w:cs="Palatino Linotype"/>
          <w:sz w:val="20"/>
          <w:szCs w:val="20"/>
        </w:rPr>
      </w:pPr>
    </w:p>
    <w:p w:rsidR="00622B74" w:rsidRDefault="00622B74">
      <w:pPr>
        <w:spacing w:before="240" w:after="240"/>
        <w:jc w:val="both"/>
        <w:rPr>
          <w:rFonts w:ascii="Palatino Linotype" w:eastAsia="Palatino Linotype" w:hAnsi="Palatino Linotype" w:cs="Palatino Linotype"/>
          <w:sz w:val="20"/>
          <w:szCs w:val="20"/>
        </w:rPr>
      </w:pPr>
      <w:bookmarkStart w:id="5" w:name="_heading=h.1fob9te" w:colFirst="0" w:colLast="0"/>
      <w:bookmarkEnd w:id="5"/>
    </w:p>
    <w:sectPr w:rsidR="00622B74">
      <w:headerReference w:type="first" r:id="rId2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D2" w:rsidRDefault="00431AD2">
      <w:r>
        <w:separator/>
      </w:r>
    </w:p>
  </w:endnote>
  <w:endnote w:type="continuationSeparator" w:id="0">
    <w:p w:rsidR="00431AD2" w:rsidRDefault="0043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622B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243E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73E8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73E8D">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rsidR="00622B74" w:rsidRDefault="00622B74">
    <w:pPr>
      <w:pBdr>
        <w:top w:val="nil"/>
        <w:left w:val="nil"/>
        <w:bottom w:val="nil"/>
        <w:right w:val="nil"/>
        <w:between w:val="nil"/>
      </w:pBdr>
      <w:tabs>
        <w:tab w:val="center" w:pos="4252"/>
        <w:tab w:val="right" w:pos="8504"/>
      </w:tabs>
      <w:ind w:firstLine="708"/>
      <w:rPr>
        <w:rFonts w:ascii="Cambria" w:eastAsia="Cambria" w:hAnsi="Cambria" w:cs="Cambria"/>
        <w:color w:val="000000"/>
      </w:rPr>
    </w:pPr>
  </w:p>
  <w:p w:rsidR="00622B74" w:rsidRDefault="00622B74"/>
  <w:p w:rsidR="00622B74" w:rsidRDefault="00622B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243E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73E8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73E8D">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rsidR="00622B74" w:rsidRDefault="00622B74">
    <w:pPr>
      <w:pBdr>
        <w:top w:val="nil"/>
        <w:left w:val="nil"/>
        <w:bottom w:val="nil"/>
        <w:right w:val="nil"/>
        <w:between w:val="nil"/>
      </w:pBdr>
      <w:tabs>
        <w:tab w:val="center" w:pos="4252"/>
        <w:tab w:val="right" w:pos="8504"/>
      </w:tabs>
      <w:rPr>
        <w:rFonts w:ascii="Cambria" w:eastAsia="Cambria" w:hAnsi="Cambria" w:cs="Cambria"/>
        <w:color w:val="000000"/>
      </w:rPr>
    </w:pPr>
  </w:p>
  <w:p w:rsidR="00622B74" w:rsidRDefault="00622B74"/>
  <w:p w:rsidR="00622B74" w:rsidRDefault="00622B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D2" w:rsidRDefault="00431AD2">
      <w:r>
        <w:separator/>
      </w:r>
    </w:p>
  </w:footnote>
  <w:footnote w:type="continuationSeparator" w:id="0">
    <w:p w:rsidR="00431AD2" w:rsidRDefault="00431AD2">
      <w:r>
        <w:continuationSeparator/>
      </w:r>
    </w:p>
  </w:footnote>
  <w:footnote w:id="1">
    <w:p w:rsidR="00622B74" w:rsidRDefault="00243E2F">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622B74" w:rsidRDefault="00243E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622B74" w:rsidRDefault="00243E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Décimo séptima edición, publicada en el Periódico Oficial “Gaceta del Gobierno del Estado de México” el 12 de marzo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622B74">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243E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-946149</wp:posOffset>
          </wp:positionH>
          <wp:positionV relativeFrom="paragraph">
            <wp:posOffset>-186689</wp:posOffset>
          </wp:positionV>
          <wp:extent cx="7809865" cy="10165715"/>
          <wp:effectExtent l="0" t="0" r="0" b="0"/>
          <wp:wrapNone/>
          <wp:docPr id="3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827" w:type="dxa"/>
      <w:tblInd w:w="3261" w:type="dxa"/>
      <w:tblLayout w:type="fixed"/>
      <w:tblLook w:val="0400" w:firstRow="0" w:lastRow="0" w:firstColumn="0" w:lastColumn="0" w:noHBand="0" w:noVBand="1"/>
    </w:tblPr>
    <w:tblGrid>
      <w:gridCol w:w="2390"/>
      <w:gridCol w:w="3437"/>
    </w:tblGrid>
    <w:tr w:rsidR="00622B74">
      <w:trPr>
        <w:trHeight w:val="502"/>
      </w:trPr>
      <w:tc>
        <w:tcPr>
          <w:tcW w:w="2390" w:type="dxa"/>
          <w:shd w:val="clear" w:color="auto" w:fill="auto"/>
        </w:tcPr>
        <w:p w:rsidR="00622B74" w:rsidRDefault="00243E2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37" w:type="dxa"/>
          <w:shd w:val="clear" w:color="auto" w:fill="auto"/>
          <w:vAlign w:val="center"/>
        </w:tcPr>
        <w:p w:rsidR="00622B74" w:rsidRDefault="00243E2F">
          <w:pPr>
            <w:ind w:right="184"/>
            <w:jc w:val="both"/>
            <w:rPr>
              <w:rFonts w:ascii="Palatino Linotype" w:eastAsia="Palatino Linotype" w:hAnsi="Palatino Linotype" w:cs="Palatino Linotype"/>
              <w:b/>
            </w:rPr>
          </w:pPr>
          <w:r>
            <w:rPr>
              <w:rFonts w:ascii="Palatino Linotype" w:eastAsia="Palatino Linotype" w:hAnsi="Palatino Linotype" w:cs="Palatino Linotype"/>
              <w:b/>
            </w:rPr>
            <w:t xml:space="preserve">05734/INFOEM/IP/RR/2023 </w:t>
          </w:r>
        </w:p>
        <w:p w:rsidR="00622B74" w:rsidRDefault="00243E2F">
          <w:pPr>
            <w:ind w:right="184"/>
            <w:jc w:val="both"/>
            <w:rPr>
              <w:rFonts w:ascii="Palatino Linotype" w:eastAsia="Palatino Linotype" w:hAnsi="Palatino Linotype" w:cs="Palatino Linotype"/>
              <w:b/>
            </w:rPr>
          </w:pPr>
          <w:r>
            <w:rPr>
              <w:rFonts w:ascii="Palatino Linotype" w:eastAsia="Palatino Linotype" w:hAnsi="Palatino Linotype" w:cs="Palatino Linotype"/>
              <w:b/>
            </w:rPr>
            <w:t>y acumulado</w:t>
          </w:r>
        </w:p>
      </w:tc>
    </w:tr>
    <w:tr w:rsidR="00622B74">
      <w:trPr>
        <w:trHeight w:val="190"/>
      </w:trPr>
      <w:tc>
        <w:tcPr>
          <w:tcW w:w="2390" w:type="dxa"/>
          <w:shd w:val="clear" w:color="auto" w:fill="auto"/>
          <w:vAlign w:val="center"/>
        </w:tcPr>
        <w:p w:rsidR="00622B74" w:rsidRDefault="00243E2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37" w:type="dxa"/>
          <w:shd w:val="clear" w:color="auto" w:fill="auto"/>
          <w:vAlign w:val="center"/>
        </w:tcPr>
        <w:p w:rsidR="00622B74" w:rsidRDefault="00243E2F">
          <w:pPr>
            <w:ind w:left="27" w:right="-53"/>
            <w:jc w:val="both"/>
            <w:rPr>
              <w:rFonts w:ascii="Palatino Linotype" w:eastAsia="Palatino Linotype" w:hAnsi="Palatino Linotype" w:cs="Palatino Linotype"/>
              <w:b/>
            </w:rPr>
          </w:pPr>
          <w:r>
            <w:rPr>
              <w:rFonts w:ascii="Palatino Linotype" w:eastAsia="Palatino Linotype" w:hAnsi="Palatino Linotype" w:cs="Palatino Linotype"/>
              <w:b/>
            </w:rPr>
            <w:t>Organismo Descentralizado de Agua Potable Alcantarillado y Saneamiento del Municipio de Ixtapaluca</w:t>
          </w:r>
        </w:p>
      </w:tc>
    </w:tr>
    <w:tr w:rsidR="00622B74">
      <w:trPr>
        <w:trHeight w:val="251"/>
      </w:trPr>
      <w:tc>
        <w:tcPr>
          <w:tcW w:w="2390" w:type="dxa"/>
          <w:shd w:val="clear" w:color="auto" w:fill="auto"/>
          <w:vAlign w:val="center"/>
        </w:tcPr>
        <w:p w:rsidR="00622B74" w:rsidRDefault="00243E2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37" w:type="dxa"/>
          <w:shd w:val="clear" w:color="auto" w:fill="auto"/>
          <w:vAlign w:val="center"/>
        </w:tcPr>
        <w:p w:rsidR="00622B74" w:rsidRDefault="00243E2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22B74" w:rsidRDefault="00243E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tab/>
    </w:r>
  </w:p>
  <w:p w:rsidR="00622B74" w:rsidRDefault="00243E2F">
    <w:pPr>
      <w:tabs>
        <w:tab w:val="left" w:pos="7560"/>
        <w:tab w:val="right" w:pos="8838"/>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243E2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-1112518</wp:posOffset>
          </wp:positionH>
          <wp:positionV relativeFrom="paragraph">
            <wp:posOffset>-361313</wp:posOffset>
          </wp:positionV>
          <wp:extent cx="7809865" cy="10165715"/>
          <wp:effectExtent l="0" t="0" r="0" b="0"/>
          <wp:wrapNone/>
          <wp:docPr id="3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1"/>
      <w:tblW w:w="6378" w:type="dxa"/>
      <w:tblInd w:w="3261" w:type="dxa"/>
      <w:tblLayout w:type="fixed"/>
      <w:tblLook w:val="0400" w:firstRow="0" w:lastRow="0" w:firstColumn="0" w:lastColumn="0" w:noHBand="0" w:noVBand="1"/>
    </w:tblPr>
    <w:tblGrid>
      <w:gridCol w:w="2512"/>
      <w:gridCol w:w="3866"/>
    </w:tblGrid>
    <w:tr w:rsidR="00622B74">
      <w:trPr>
        <w:trHeight w:val="442"/>
      </w:trPr>
      <w:tc>
        <w:tcPr>
          <w:tcW w:w="2512" w:type="dxa"/>
          <w:shd w:val="clear" w:color="auto" w:fill="auto"/>
          <w:vAlign w:val="center"/>
        </w:tcPr>
        <w:p w:rsidR="00622B74" w:rsidRDefault="00243E2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rsidR="00622B74" w:rsidRDefault="00243E2F">
          <w:pPr>
            <w:tabs>
              <w:tab w:val="left" w:pos="2334"/>
            </w:tabs>
            <w:ind w:left="-45" w:right="735"/>
            <w:jc w:val="both"/>
            <w:rPr>
              <w:rFonts w:ascii="Palatino Linotype" w:eastAsia="Palatino Linotype" w:hAnsi="Palatino Linotype" w:cs="Palatino Linotype"/>
              <w:b/>
            </w:rPr>
          </w:pPr>
          <w:r>
            <w:rPr>
              <w:rFonts w:ascii="Palatino Linotype" w:eastAsia="Palatino Linotype" w:hAnsi="Palatino Linotype" w:cs="Palatino Linotype"/>
              <w:b/>
            </w:rPr>
            <w:t>05734/INFOEM/IP/RR/2023 y acumulado</w:t>
          </w:r>
        </w:p>
      </w:tc>
    </w:tr>
    <w:tr w:rsidR="00622B74">
      <w:trPr>
        <w:trHeight w:val="95"/>
      </w:trPr>
      <w:tc>
        <w:tcPr>
          <w:tcW w:w="2512" w:type="dxa"/>
          <w:shd w:val="clear" w:color="auto" w:fill="auto"/>
          <w:vAlign w:val="center"/>
        </w:tcPr>
        <w:p w:rsidR="00622B74" w:rsidRDefault="00243E2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rsidR="00622B74" w:rsidRDefault="00622B74">
          <w:pPr>
            <w:jc w:val="both"/>
            <w:rPr>
              <w:rFonts w:ascii="Palatino Linotype" w:eastAsia="Palatino Linotype" w:hAnsi="Palatino Linotype" w:cs="Palatino Linotype"/>
              <w:b/>
            </w:rPr>
          </w:pPr>
        </w:p>
      </w:tc>
    </w:tr>
    <w:tr w:rsidR="00622B74">
      <w:trPr>
        <w:trHeight w:val="168"/>
      </w:trPr>
      <w:tc>
        <w:tcPr>
          <w:tcW w:w="2512" w:type="dxa"/>
          <w:shd w:val="clear" w:color="auto" w:fill="auto"/>
          <w:vAlign w:val="center"/>
        </w:tcPr>
        <w:p w:rsidR="00622B74" w:rsidRDefault="00243E2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rsidR="00622B74" w:rsidRDefault="00243E2F">
          <w:pPr>
            <w:ind w:left="-45" w:right="-64"/>
            <w:jc w:val="both"/>
            <w:rPr>
              <w:rFonts w:ascii="Palatino Linotype" w:eastAsia="Palatino Linotype" w:hAnsi="Palatino Linotype" w:cs="Palatino Linotype"/>
              <w:b/>
            </w:rPr>
          </w:pPr>
          <w:r>
            <w:rPr>
              <w:rFonts w:ascii="Palatino Linotype" w:eastAsia="Palatino Linotype" w:hAnsi="Palatino Linotype" w:cs="Palatino Linotype"/>
              <w:b/>
            </w:rPr>
            <w:t>Organismo Descentralizado de Agua Potable Alcantarillado y Saneamiento del Municipio de Ixtapaluca</w:t>
          </w:r>
        </w:p>
      </w:tc>
    </w:tr>
    <w:tr w:rsidR="00622B74">
      <w:trPr>
        <w:trHeight w:val="221"/>
      </w:trPr>
      <w:tc>
        <w:tcPr>
          <w:tcW w:w="2512" w:type="dxa"/>
          <w:shd w:val="clear" w:color="auto" w:fill="auto"/>
          <w:vAlign w:val="center"/>
        </w:tcPr>
        <w:p w:rsidR="00622B74" w:rsidRDefault="00243E2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rsidR="00622B74" w:rsidRDefault="00243E2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22B74" w:rsidRDefault="00622B7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74" w:rsidRDefault="00622B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968D5"/>
    <w:multiLevelType w:val="multilevel"/>
    <w:tmpl w:val="F7BECC2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4B05958"/>
    <w:multiLevelType w:val="multilevel"/>
    <w:tmpl w:val="8A405CA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4FC31CB"/>
    <w:multiLevelType w:val="multilevel"/>
    <w:tmpl w:val="F7C286B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74"/>
    <w:rsid w:val="00064942"/>
    <w:rsid w:val="00243E2F"/>
    <w:rsid w:val="00273E8D"/>
    <w:rsid w:val="00431AD2"/>
    <w:rsid w:val="00622B74"/>
    <w:rsid w:val="00BC4E89"/>
    <w:rsid w:val="00FD68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8F6D1-E5EA-4D22-B40B-7A39F495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6"/>
    <w:tblPr>
      <w:tblStyleRowBandSize w:val="1"/>
      <w:tblStyleColBandSize w:val="1"/>
      <w:tblCellMar>
        <w:top w:w="0" w:type="dxa"/>
        <w:left w:w="115" w:type="dxa"/>
        <w:bottom w:w="0" w:type="dxa"/>
        <w:right w:w="115" w:type="dxa"/>
      </w:tblCellMar>
    </w:tblPr>
  </w:style>
  <w:style w:type="table" w:customStyle="1" w:styleId="a0">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6"/>
    <w:rPr>
      <w:sz w:val="22"/>
      <w:szCs w:val="22"/>
    </w:rPr>
    <w:tblPr>
      <w:tblStyleRowBandSize w:val="1"/>
      <w:tblStyleColBandSize w:val="1"/>
      <w:tblCellMar>
        <w:top w:w="0" w:type="dxa"/>
        <w:left w:w="115" w:type="dxa"/>
        <w:bottom w:w="0" w:type="dxa"/>
        <w:right w:w="115" w:type="dxa"/>
      </w:tblCellMar>
    </w:tblPr>
  </w:style>
  <w:style w:type="table" w:customStyle="1" w:styleId="a8">
    <w:basedOn w:val="TableNormal6"/>
    <w:rPr>
      <w:sz w:val="22"/>
      <w:szCs w:val="22"/>
    </w:rPr>
    <w:tblPr>
      <w:tblStyleRowBandSize w:val="1"/>
      <w:tblStyleColBandSize w:val="1"/>
      <w:tblCellMar>
        <w:top w:w="0" w:type="dxa"/>
        <w:left w:w="115" w:type="dxa"/>
        <w:bottom w:w="0" w:type="dxa"/>
        <w:right w:w="115" w:type="dxa"/>
      </w:tblCellMar>
    </w:tblPr>
  </w:style>
  <w:style w:type="table" w:customStyle="1" w:styleId="a9">
    <w:basedOn w:val="TableNormal6"/>
    <w:rPr>
      <w:sz w:val="22"/>
      <w:szCs w:val="22"/>
    </w:rPr>
    <w:tblPr>
      <w:tblStyleRowBandSize w:val="1"/>
      <w:tblStyleColBandSize w:val="1"/>
      <w:tblCellMar>
        <w:top w:w="0" w:type="dxa"/>
        <w:left w:w="115" w:type="dxa"/>
        <w:bottom w:w="0" w:type="dxa"/>
        <w:right w:w="115" w:type="dxa"/>
      </w:tblCellMar>
    </w:tbl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6"/>
    <w:rPr>
      <w:sz w:val="22"/>
      <w:szCs w:val="22"/>
    </w:rPr>
    <w:tblPr>
      <w:tblStyleRowBandSize w:val="1"/>
      <w:tblStyleColBandSize w:val="1"/>
      <w:tblCellMar>
        <w:top w:w="0" w:type="dxa"/>
        <w:left w:w="115" w:type="dxa"/>
        <w:bottom w:w="0" w:type="dxa"/>
        <w:right w:w="115" w:type="dxa"/>
      </w:tblCellMar>
    </w:tblPr>
  </w:style>
  <w:style w:type="table" w:customStyle="1" w:styleId="af0">
    <w:basedOn w:val="TableNormal6"/>
    <w:rPr>
      <w:sz w:val="22"/>
      <w:szCs w:val="22"/>
    </w:rPr>
    <w:tblPr>
      <w:tblStyleRowBandSize w:val="1"/>
      <w:tblStyleColBandSize w:val="1"/>
      <w:tblCellMar>
        <w:top w:w="0" w:type="dxa"/>
        <w:left w:w="115" w:type="dxa"/>
        <w:bottom w:w="0" w:type="dxa"/>
        <w:right w:w="115" w:type="dxa"/>
      </w:tblCellMar>
    </w:tblPr>
  </w:style>
  <w:style w:type="table" w:customStyle="1" w:styleId="af1">
    <w:basedOn w:val="TableNormal5"/>
    <w:rPr>
      <w:sz w:val="22"/>
      <w:szCs w:val="22"/>
    </w:rPr>
    <w:tblPr>
      <w:tblStyleRowBandSize w:val="1"/>
      <w:tblStyleColBandSize w:val="1"/>
      <w:tblCellMar>
        <w:top w:w="0" w:type="dxa"/>
        <w:left w:w="115" w:type="dxa"/>
        <w:bottom w:w="0" w:type="dxa"/>
        <w:right w:w="115" w:type="dxa"/>
      </w:tblCellMar>
    </w:tblPr>
  </w:style>
  <w:style w:type="table" w:customStyle="1" w:styleId="af2">
    <w:basedOn w:val="TableNormal5"/>
    <w:rPr>
      <w:sz w:val="22"/>
      <w:szCs w:val="22"/>
    </w:rPr>
    <w:tblPr>
      <w:tblStyleRowBandSize w:val="1"/>
      <w:tblStyleColBandSize w:val="1"/>
      <w:tblCellMar>
        <w:top w:w="0" w:type="dxa"/>
        <w:left w:w="115" w:type="dxa"/>
        <w:bottom w:w="0" w:type="dxa"/>
        <w:right w:w="115" w:type="dxa"/>
      </w:tblCellMar>
    </w:tblPr>
  </w:style>
  <w:style w:type="table" w:customStyle="1" w:styleId="af3">
    <w:basedOn w:val="TableNormal5"/>
    <w:tblPr>
      <w:tblStyleRowBandSize w:val="1"/>
      <w:tblStyleColBandSize w:val="1"/>
      <w:tblCellMar>
        <w:top w:w="0" w:type="dxa"/>
        <w:left w:w="115" w:type="dxa"/>
        <w:bottom w:w="0" w:type="dxa"/>
        <w:right w:w="115" w:type="dxa"/>
      </w:tblCellMar>
    </w:tblPr>
  </w:style>
  <w:style w:type="table" w:customStyle="1" w:styleId="af4">
    <w:basedOn w:val="TableNormal5"/>
    <w:rPr>
      <w:sz w:val="22"/>
      <w:szCs w:val="22"/>
    </w:rPr>
    <w:tblPr>
      <w:tblStyleRowBandSize w:val="1"/>
      <w:tblStyleColBandSize w:val="1"/>
      <w:tblCellMar>
        <w:top w:w="0" w:type="dxa"/>
        <w:left w:w="115" w:type="dxa"/>
        <w:bottom w:w="0" w:type="dxa"/>
        <w:right w:w="115" w:type="dxa"/>
      </w:tblCellMar>
    </w:tblPr>
  </w:style>
  <w:style w:type="table" w:customStyle="1" w:styleId="af5">
    <w:basedOn w:val="TableNormal5"/>
    <w:rPr>
      <w:sz w:val="22"/>
      <w:szCs w:val="22"/>
    </w:rPr>
    <w:tblPr>
      <w:tblStyleRowBandSize w:val="1"/>
      <w:tblStyleColBandSize w:val="1"/>
      <w:tblCellMar>
        <w:top w:w="0" w:type="dxa"/>
        <w:left w:w="115" w:type="dxa"/>
        <w:bottom w:w="0" w:type="dxa"/>
        <w:right w:w="115" w:type="dxa"/>
      </w:tblCellMar>
    </w:tblPr>
  </w:style>
  <w:style w:type="table" w:customStyle="1" w:styleId="af6">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af7">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af8">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af9">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afa">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rsid w:val="00166DE3"/>
    <w:tblPr>
      <w:tblCellMar>
        <w:top w:w="0" w:type="dxa"/>
        <w:left w:w="0" w:type="dxa"/>
        <w:bottom w:w="0" w:type="dxa"/>
        <w:right w:w="0" w:type="dxa"/>
      </w:tblCellMar>
    </w:tblPr>
  </w:style>
  <w:style w:type="table" w:customStyle="1" w:styleId="afb">
    <w:basedOn w:val="TableNormal3"/>
    <w:tblPr>
      <w:tblStyleRowBandSize w:val="1"/>
      <w:tblStyleColBandSize w:val="1"/>
      <w:tblCellMar>
        <w:top w:w="0" w:type="dxa"/>
        <w:left w:w="115" w:type="dxa"/>
        <w:bottom w:w="0" w:type="dxa"/>
        <w:right w:w="115" w:type="dxa"/>
      </w:tblCellMar>
    </w:tblPr>
  </w:style>
  <w:style w:type="table" w:customStyle="1" w:styleId="afc">
    <w:basedOn w:val="TableNormal3"/>
    <w:tblPr>
      <w:tblStyleRowBandSize w:val="1"/>
      <w:tblStyleColBandSize w:val="1"/>
      <w:tblCellMar>
        <w:top w:w="0" w:type="dxa"/>
        <w:left w:w="115" w:type="dxa"/>
        <w:bottom w:w="0" w:type="dxa"/>
        <w:right w:w="115" w:type="dxa"/>
      </w:tblCellMar>
    </w:tblPr>
  </w:style>
  <w:style w:type="table" w:customStyle="1" w:styleId="afd">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afe">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aff">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ff0">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ff1">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ff2">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ff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f4">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f5">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f6">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7">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8">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f9">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a">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fb">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fc">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fd">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fe">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ff">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ff0">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ff1">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onografias.com/trabajos14/verific-servicios/verific-servicios.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d66LhA65goNQwI3IujcB1MM1g==">CgMxLjAyCGguZ2pkZ3hzMgloLjMwajB6bGwyCWguM3pueXNoNzIJaC4zZHk2dmttMgloLjFmb2I5dGU4AHIhMWlmdHkwS3pkZy1fcWJud2J3QmtxS28zRmp3MFJwM3h2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11928</Words>
  <Characters>65608</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2023-10-27T19:35:00Z</cp:lastPrinted>
  <dcterms:created xsi:type="dcterms:W3CDTF">2023-11-08T17:37:00Z</dcterms:created>
  <dcterms:modified xsi:type="dcterms:W3CDTF">2023-11-08T17:37:00Z</dcterms:modified>
</cp:coreProperties>
</file>