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veintitrés de noviembre de dos mil veintitrés. </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b/>
        </w:rPr>
        <w:t>VISTO</w:t>
      </w:r>
      <w:r w:rsidRPr="00902182">
        <w:rPr>
          <w:rFonts w:ascii="Palatino Linotype" w:eastAsia="Palatino Linotype" w:hAnsi="Palatino Linotype" w:cs="Palatino Linotype"/>
        </w:rPr>
        <w:t xml:space="preserve"> el expediente formado con motivo del recurso de revisión </w:t>
      </w:r>
      <w:r w:rsidRPr="00902182">
        <w:rPr>
          <w:rFonts w:ascii="Palatino Linotype" w:eastAsia="Palatino Linotype" w:hAnsi="Palatino Linotype" w:cs="Palatino Linotype"/>
          <w:b/>
        </w:rPr>
        <w:t>02629/INFOEM/IP/RR/2023</w:t>
      </w:r>
      <w:r w:rsidRPr="00902182">
        <w:rPr>
          <w:rFonts w:ascii="Palatino Linotype" w:eastAsia="Palatino Linotype" w:hAnsi="Palatino Linotype" w:cs="Palatino Linotype"/>
        </w:rPr>
        <w:t xml:space="preserve">, interpuesto por quien dijo ser </w:t>
      </w:r>
      <w:r w:rsidR="009F68C2">
        <w:rPr>
          <w:rFonts w:ascii="Palatino Linotype" w:eastAsia="Palatino Linotype" w:hAnsi="Palatino Linotype" w:cs="Palatino Linotype"/>
          <w:b/>
        </w:rPr>
        <w:t>XXXXXX XXXXX,</w:t>
      </w:r>
      <w:r w:rsidRPr="00902182">
        <w:rPr>
          <w:rFonts w:ascii="Palatino Linotype" w:eastAsia="Palatino Linotype" w:hAnsi="Palatino Linotype" w:cs="Palatino Linotype"/>
          <w:b/>
        </w:rPr>
        <w:t xml:space="preserve"> </w:t>
      </w:r>
      <w:r w:rsidRPr="00902182">
        <w:rPr>
          <w:rFonts w:ascii="Palatino Linotype" w:eastAsia="Palatino Linotype" w:hAnsi="Palatino Linotype" w:cs="Palatino Linotype"/>
        </w:rPr>
        <w:t>a quien en lo sucesivo se le denominará como</w:t>
      </w:r>
      <w:r w:rsidRPr="00902182">
        <w:rPr>
          <w:rFonts w:ascii="Palatino Linotype" w:eastAsia="Palatino Linotype" w:hAnsi="Palatino Linotype" w:cs="Palatino Linotype"/>
          <w:b/>
        </w:rPr>
        <w:t xml:space="preserve"> LA PARTE RECURRENTE,</w:t>
      </w:r>
      <w:r w:rsidRPr="00902182">
        <w:rPr>
          <w:rFonts w:ascii="Palatino Linotype" w:eastAsia="Palatino Linotype" w:hAnsi="Palatino Linotype" w:cs="Palatino Linotype"/>
        </w:rPr>
        <w:t xml:space="preserve"> en contra de la respuesta a la solicitud </w:t>
      </w:r>
      <w:r w:rsidRPr="00902182">
        <w:rPr>
          <w:rFonts w:ascii="Palatino Linotype" w:eastAsia="Palatino Linotype" w:hAnsi="Palatino Linotype" w:cs="Palatino Linotype"/>
          <w:b/>
        </w:rPr>
        <w:t xml:space="preserve">00033/OASIXTAPAL/IP/2023 </w:t>
      </w:r>
      <w:r w:rsidRPr="00902182">
        <w:rPr>
          <w:rFonts w:ascii="Palatino Linotype" w:eastAsia="Palatino Linotype" w:hAnsi="Palatino Linotype" w:cs="Palatino Linotype"/>
        </w:rPr>
        <w:t>por parte del</w:t>
      </w:r>
      <w:r w:rsidRPr="00902182">
        <w:rPr>
          <w:rFonts w:ascii="Palatino Linotype" w:eastAsia="Palatino Linotype" w:hAnsi="Palatino Linotype" w:cs="Palatino Linotype"/>
          <w:b/>
        </w:rPr>
        <w:t xml:space="preserve"> Organismo Descentralizado de Agua Potable, Alcantarillado y Saneamiento del Municipio de Ixtapaluca denominado por sus siglas O.D.A.P.A.S., </w:t>
      </w:r>
      <w:r w:rsidRPr="00902182">
        <w:rPr>
          <w:rFonts w:ascii="Palatino Linotype" w:eastAsia="Palatino Linotype" w:hAnsi="Palatino Linotype" w:cs="Palatino Linotype"/>
        </w:rPr>
        <w:t xml:space="preserve">en lo sucesivo </w:t>
      </w:r>
      <w:r w:rsidRPr="00902182">
        <w:rPr>
          <w:rFonts w:ascii="Palatino Linotype" w:eastAsia="Palatino Linotype" w:hAnsi="Palatino Linotype" w:cs="Palatino Linotype"/>
          <w:b/>
        </w:rPr>
        <w:t xml:space="preserve">EL SUJETO OBLIGADO, </w:t>
      </w:r>
      <w:r w:rsidRPr="00902182">
        <w:rPr>
          <w:rFonts w:ascii="Palatino Linotype" w:eastAsia="Palatino Linotype" w:hAnsi="Palatino Linotype" w:cs="Palatino Linotype"/>
        </w:rPr>
        <w:t>se procede a dictar la presente resolución con base en los siguientes</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numPr>
          <w:ilvl w:val="0"/>
          <w:numId w:val="11"/>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902182">
        <w:rPr>
          <w:rFonts w:ascii="Palatino Linotype" w:eastAsia="Palatino Linotype" w:hAnsi="Palatino Linotype" w:cs="Palatino Linotype"/>
          <w:b/>
          <w:color w:val="000000"/>
        </w:rPr>
        <w:t>A N T E C E D E N T E S:</w:t>
      </w:r>
    </w:p>
    <w:p w:rsidR="0032171E" w:rsidRPr="00902182" w:rsidRDefault="0032171E">
      <w:pPr>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rsidR="0032171E" w:rsidRPr="00902182" w:rsidRDefault="00BA3F20">
      <w:pPr>
        <w:spacing w:line="360" w:lineRule="auto"/>
        <w:jc w:val="both"/>
        <w:rPr>
          <w:rFonts w:ascii="Palatino Linotype" w:eastAsia="Palatino Linotype" w:hAnsi="Palatino Linotype" w:cs="Palatino Linotype"/>
        </w:rPr>
      </w:pPr>
      <w:bookmarkStart w:id="0" w:name="_heading=h.gjdgxs" w:colFirst="0" w:colLast="0"/>
      <w:bookmarkEnd w:id="0"/>
      <w:r w:rsidRPr="00902182">
        <w:rPr>
          <w:rFonts w:ascii="Palatino Linotype" w:eastAsia="Palatino Linotype" w:hAnsi="Palatino Linotype" w:cs="Palatino Linotype"/>
          <w:b/>
        </w:rPr>
        <w:t>1. Solicitud de acceso a la información.</w:t>
      </w:r>
      <w:r w:rsidRPr="00902182">
        <w:rPr>
          <w:rFonts w:ascii="Palatino Linotype" w:eastAsia="Palatino Linotype" w:hAnsi="Palatino Linotype" w:cs="Palatino Linotype"/>
        </w:rPr>
        <w:t xml:space="preserve"> El </w:t>
      </w:r>
      <w:r w:rsidRPr="00902182">
        <w:rPr>
          <w:rFonts w:ascii="Palatino Linotype" w:eastAsia="Palatino Linotype" w:hAnsi="Palatino Linotype" w:cs="Palatino Linotype"/>
          <w:b/>
        </w:rPr>
        <w:t>diecinueve de abril de dos mil veintitrés,</w:t>
      </w:r>
      <w:r w:rsidRPr="00902182">
        <w:rPr>
          <w:rFonts w:ascii="Palatino Linotype" w:eastAsia="Palatino Linotype" w:hAnsi="Palatino Linotype" w:cs="Palatino Linotype"/>
        </w:rPr>
        <w:t xml:space="preserve"> </w:t>
      </w:r>
      <w:r w:rsidRPr="00902182">
        <w:rPr>
          <w:rFonts w:ascii="Palatino Linotype" w:eastAsia="Palatino Linotype" w:hAnsi="Palatino Linotype" w:cs="Palatino Linotype"/>
          <w:b/>
        </w:rPr>
        <w:t>LA PARTE</w:t>
      </w:r>
      <w:r w:rsidRPr="00902182">
        <w:rPr>
          <w:rFonts w:ascii="Palatino Linotype" w:eastAsia="Palatino Linotype" w:hAnsi="Palatino Linotype" w:cs="Palatino Linotype"/>
        </w:rPr>
        <w:t xml:space="preserve"> </w:t>
      </w:r>
      <w:r w:rsidRPr="00902182">
        <w:rPr>
          <w:rFonts w:ascii="Palatino Linotype" w:eastAsia="Palatino Linotype" w:hAnsi="Palatino Linotype" w:cs="Palatino Linotype"/>
          <w:b/>
        </w:rPr>
        <w:t xml:space="preserve">RECURRENTE </w:t>
      </w:r>
      <w:r w:rsidRPr="00902182">
        <w:rPr>
          <w:rFonts w:ascii="Palatino Linotype" w:eastAsia="Palatino Linotype" w:hAnsi="Palatino Linotype" w:cs="Palatino Linotype"/>
        </w:rPr>
        <w:t>presentó, través del Sistema de Acceso a la Información Mexiquense o SAIMEX</w:t>
      </w:r>
      <w:r w:rsidRPr="00902182">
        <w:rPr>
          <w:rFonts w:ascii="Palatino Linotype" w:eastAsia="Palatino Linotype" w:hAnsi="Palatino Linotype" w:cs="Palatino Linotype"/>
          <w:b/>
        </w:rPr>
        <w:t>,</w:t>
      </w:r>
      <w:r w:rsidRPr="00902182">
        <w:rPr>
          <w:rFonts w:ascii="Palatino Linotype" w:eastAsia="Palatino Linotype" w:hAnsi="Palatino Linotype" w:cs="Palatino Linotype"/>
        </w:rPr>
        <w:t xml:space="preserve"> ante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la solicitud de acceso a la información pública</w:t>
      </w:r>
      <w:r w:rsidRPr="00902182">
        <w:rPr>
          <w:rFonts w:ascii="Palatino Linotype" w:eastAsia="Palatino Linotype" w:hAnsi="Palatino Linotype" w:cs="Palatino Linotype"/>
          <w:b/>
        </w:rPr>
        <w:t xml:space="preserve"> 00033/OASIXTAPAL/IP/2023, </w:t>
      </w:r>
      <w:r w:rsidRPr="00902182">
        <w:rPr>
          <w:rFonts w:ascii="Palatino Linotype" w:eastAsia="Palatino Linotype" w:hAnsi="Palatino Linotype" w:cs="Palatino Linotype"/>
        </w:rPr>
        <w:t xml:space="preserve">mediante la cual requirió la </w:t>
      </w:r>
      <w:proofErr w:type="gramStart"/>
      <w:r w:rsidRPr="00902182">
        <w:rPr>
          <w:rFonts w:ascii="Palatino Linotype" w:eastAsia="Palatino Linotype" w:hAnsi="Palatino Linotype" w:cs="Palatino Linotype"/>
        </w:rPr>
        <w:t>información</w:t>
      </w:r>
      <w:proofErr w:type="gramEnd"/>
      <w:r w:rsidRPr="00902182">
        <w:rPr>
          <w:rFonts w:ascii="Palatino Linotype" w:eastAsia="Palatino Linotype" w:hAnsi="Palatino Linotype" w:cs="Palatino Linotype"/>
        </w:rPr>
        <w:t xml:space="preserve"> siguiente: </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i/>
          <w:color w:val="404040"/>
          <w:sz w:val="22"/>
          <w:szCs w:val="22"/>
        </w:rPr>
        <w:t>“</w:t>
      </w:r>
      <w:r w:rsidRPr="00902182">
        <w:rPr>
          <w:rFonts w:ascii="Palatino Linotype" w:eastAsia="Palatino Linotype" w:hAnsi="Palatino Linotype" w:cs="Palatino Linotype"/>
          <w:i/>
          <w:color w:val="000000"/>
          <w:sz w:val="22"/>
          <w:szCs w:val="22"/>
        </w:rPr>
        <w:t xml:space="preserve">Se solicita respetuosamente con fundamento a lo dispuesto en los artículos 6° (sexto) y 8° (Octavo) de la Constitución Política de los Estados Unidos Mexicanos, 1, 4, y 6 de la Ley General de Transparencia y Acceso a la Información </w:t>
      </w:r>
      <w:r w:rsidRPr="00902182">
        <w:rPr>
          <w:rFonts w:ascii="Palatino Linotype" w:eastAsia="Palatino Linotype" w:hAnsi="Palatino Linotype" w:cs="Palatino Linotype"/>
          <w:i/>
          <w:color w:val="000000"/>
          <w:sz w:val="22"/>
          <w:szCs w:val="22"/>
        </w:rPr>
        <w:lastRenderedPageBreak/>
        <w:t xml:space="preserve">Pública, 1, 3, fracción XLI, Capitulo 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detallada así como su entrega en versión pública. </w:t>
      </w:r>
      <w:r w:rsidRPr="00902182">
        <w:rPr>
          <w:rFonts w:ascii="Palatino Linotype" w:eastAsia="Palatino Linotype" w:hAnsi="Palatino Linotype" w:cs="Palatino Linotype"/>
          <w:b/>
          <w:i/>
          <w:color w:val="000000"/>
          <w:sz w:val="22"/>
          <w:szCs w:val="22"/>
        </w:rPr>
        <w:t>De la remuneración de todos y cada uno de los servidores públicos de la Administración Publica 2022-2024 mediante recibos de nómina, recibos de Honorarios y listas de raya de todas la Áreas, Direcciones, Subdirecciones, Coordinaciones, Jefaturas, del periodo 01 de septiembre 2022 al 15 de abril del 2023</w:t>
      </w:r>
      <w:r w:rsidRPr="00902182">
        <w:rPr>
          <w:rFonts w:ascii="Palatino Linotype" w:eastAsia="Palatino Linotype" w:hAnsi="Palatino Linotype" w:cs="Palatino Linotype"/>
          <w:i/>
          <w:color w:val="000000"/>
          <w:sz w:val="22"/>
          <w:szCs w:val="22"/>
        </w:rPr>
        <w:t xml:space="preserve">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sidRPr="00902182">
        <w:rPr>
          <w:rFonts w:ascii="Palatino Linotype" w:eastAsia="Palatino Linotype" w:hAnsi="Palatino Linotype" w:cs="Palatino Linotype"/>
          <w:i/>
          <w:color w:val="404040"/>
          <w:sz w:val="22"/>
          <w:szCs w:val="22"/>
        </w:rPr>
        <w:t xml:space="preserve">” (Sic) </w:t>
      </w:r>
      <w:r w:rsidRPr="00902182">
        <w:rPr>
          <w:rFonts w:ascii="Palatino Linotype" w:eastAsia="Palatino Linotype" w:hAnsi="Palatino Linotype" w:cs="Palatino Linotype"/>
          <w:b/>
          <w:i/>
          <w:color w:val="404040"/>
          <w:sz w:val="22"/>
          <w:szCs w:val="22"/>
        </w:rPr>
        <w:t xml:space="preserve">Énfasis añadido </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b/>
        </w:rPr>
        <w:t>Modalidad de Entrega:</w:t>
      </w:r>
      <w:r w:rsidRPr="00902182">
        <w:rPr>
          <w:rFonts w:ascii="Palatino Linotype" w:eastAsia="Palatino Linotype" w:hAnsi="Palatino Linotype" w:cs="Palatino Linotype"/>
        </w:rPr>
        <w:t xml:space="preserve"> A través de SAIMEX.</w:t>
      </w:r>
    </w:p>
    <w:p w:rsidR="0032171E" w:rsidRPr="00902182" w:rsidRDefault="0032171E">
      <w:pPr>
        <w:spacing w:line="360" w:lineRule="auto"/>
        <w:jc w:val="both"/>
        <w:rPr>
          <w:rFonts w:ascii="Palatino Linotype" w:eastAsia="Palatino Linotype" w:hAnsi="Palatino Linotype" w:cs="Palatino Linotype"/>
          <w:b/>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b/>
        </w:rPr>
        <w:t xml:space="preserve">2. Respuesta. </w:t>
      </w:r>
      <w:r w:rsidRPr="00902182">
        <w:rPr>
          <w:rFonts w:ascii="Palatino Linotype" w:eastAsia="Palatino Linotype" w:hAnsi="Palatino Linotype" w:cs="Palatino Linotype"/>
        </w:rPr>
        <w:t>El</w:t>
      </w:r>
      <w:r w:rsidRPr="00902182">
        <w:rPr>
          <w:rFonts w:ascii="Palatino Linotype" w:eastAsia="Palatino Linotype" w:hAnsi="Palatino Linotype" w:cs="Palatino Linotype"/>
          <w:b/>
        </w:rPr>
        <w:t xml:space="preserve"> doce de mayo de dos mil veintitrés, EL SUJETO OBLIGADO </w:t>
      </w:r>
      <w:r w:rsidRPr="00902182">
        <w:rPr>
          <w:rFonts w:ascii="Palatino Linotype" w:eastAsia="Palatino Linotype" w:hAnsi="Palatino Linotype" w:cs="Palatino Linotype"/>
        </w:rPr>
        <w:t xml:space="preserve">respondió a este requerimiento en los siguientes términos: </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“centralizado de Agua Potable Alcantarillado y Saneamiento del Municipio de Ixtapaluca denominado por sus siglas, O.D.A.P.A.S., México a 12 de Mayo de 2023</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Nombre del solicitante: C. </w:t>
      </w:r>
      <w:r w:rsidR="009F68C2">
        <w:rPr>
          <w:rFonts w:ascii="Palatino Linotype" w:eastAsia="Palatino Linotype" w:hAnsi="Palatino Linotype" w:cs="Palatino Linotype"/>
          <w:i/>
          <w:color w:val="404040"/>
          <w:sz w:val="22"/>
          <w:szCs w:val="22"/>
        </w:rPr>
        <w:t>XXXXXXXXXXX</w:t>
      </w:r>
      <w:bookmarkStart w:id="1" w:name="_GoBack"/>
      <w:bookmarkEnd w:id="1"/>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Folio de la solicitud: 00033/OASIXTAPAL/IP/2023</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Sea este el medio por el cual le envío un cordial saludo, así mismo se da respuesta a la solicitud de acceso a la información ingresada mediante la plataforma SAIMEX. La respuesta que emitió el área poseedora de la información fue la siguiente: Partiendo de lo anterior, le informo que, en el Organismo Público </w:t>
      </w:r>
      <w:r w:rsidRPr="00902182">
        <w:rPr>
          <w:rFonts w:ascii="Palatino Linotype" w:eastAsia="Palatino Linotype" w:hAnsi="Palatino Linotype" w:cs="Palatino Linotype"/>
          <w:i/>
          <w:color w:val="404040"/>
          <w:sz w:val="22"/>
          <w:szCs w:val="22"/>
        </w:rPr>
        <w:lastRenderedPageBreak/>
        <w:t>Descentralizado para la prestación de los servicios de Agua, Alcantarillado y Saneamiento, no cuenta con listas de raya, ni con recibos por honorarios. Respecto a los recibos de nómina de todos y cada uno de los servidores públicos correspondientes a la primera quincena del mes de septiembre del ejercicio fiscal 2022 al 15 de abril del 2023, se hace de su conocimiento que son más de 9,500 hojas, por lo que no contamos con la capacidad técnica para atender dicha solicitud, sin embargo, en aras de brindarle la información al solicitante, se pone a su disposición la siguiente liga, en la cual el solicitante será capaz de encontrar el acumulado trimestral de las remuneraciones del personal adscrito a esta Dependencia. Link: https://ipomex.org.mx/ipo3/lgt/indice/OASIXTAPALUCA/art_92_viii.web?token=03AL8dmw_gBeB3Wbho51WkwYDaIeDHkLhJtPypZraqDAiTKY8ZtqJlrVD1mEoXsmAWP-VYQEpyoGAknUIS1vJ5uZNZBW2JWhK0jbcMJonws709GuWf82OAy-dsdXyrtM1Ner1q8myQ1qfmWdk3RZ99t-KoXJpd2x63WcYyHfx7C3YrjmFdw0EtfDRYxHNCXmfr9v1In1f_YhBCR2rpIm1Qn-4s3-bVMqq81BqP2zw0oJmPM0k28JqbdQusG4v0t2mrwb_vSz942QST-Dtc3RQpLY9F7bz91lVXHqmYH9oiHRMPwrAy8OuWKKxDT_rMz3-LBwpmK5oQc8NPm1EFL8tDJOHgwbs7hqcfhlYzzCZGuxrzEwI3LmGUfq2mwRHYXYzr_hD3XZIsG6Ei9o7qKVVIVzQWX0PE3Rhj3hckjQNwqdbwn-yMEaqNmNqhmNQaFw9VZpNSMFZ2Pg0ibKJYrNpO2CGe19krHkTspK7soExAjt2AqYcAOWvMld9SEmvYwXI22iTNFsbqP_iBrY0uMBfjedYblk6RptXpTJZ1Mxo8X6VUiJSmmsrwbYNFQjCJ-38w72rcEknPhKpsa8DvaU0JwqgPTEAEe0zGqQ# Se anexa al presente, oficio de respuesta del área poseedora de la información. Sin más por el momento, quedo de Usted.</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ATENTAMENTE</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C. PERLA IVETH HERRERA VILLEGAS” (Sic)</w:t>
      </w:r>
    </w:p>
    <w:p w:rsidR="0032171E" w:rsidRPr="00902182" w:rsidRDefault="0032171E">
      <w:pPr>
        <w:rPr>
          <w:rFonts w:ascii="Palatino Linotype" w:eastAsia="Palatino Linotype" w:hAnsi="Palatino Linotype" w:cs="Palatino Linotype"/>
          <w:i/>
          <w:sz w:val="22"/>
          <w:szCs w:val="22"/>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En esta actuación,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remitió el archivo que se enlista: </w:t>
      </w:r>
    </w:p>
    <w:p w:rsidR="0032171E" w:rsidRPr="00902182" w:rsidRDefault="0032171E">
      <w:pPr>
        <w:spacing w:line="360" w:lineRule="auto"/>
        <w:jc w:val="both"/>
        <w:rPr>
          <w:rFonts w:ascii="Palatino Linotype" w:eastAsia="Palatino Linotype" w:hAnsi="Palatino Linotype" w:cs="Palatino Linotype"/>
          <w:b/>
          <w:i/>
          <w:color w:val="000000"/>
        </w:rPr>
      </w:pPr>
    </w:p>
    <w:p w:rsidR="0032171E" w:rsidRPr="00902182" w:rsidRDefault="009F68C2">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hyperlink r:id="rId8">
        <w:proofErr w:type="spellStart"/>
        <w:r w:rsidR="00BA3F20" w:rsidRPr="00902182">
          <w:rPr>
            <w:rFonts w:ascii="Palatino Linotype" w:eastAsia="Palatino Linotype" w:hAnsi="Palatino Linotype" w:cs="Palatino Linotype"/>
            <w:b/>
            <w:i/>
            <w:color w:val="000000"/>
          </w:rPr>
          <w:t>CamScanner</w:t>
        </w:r>
        <w:proofErr w:type="spellEnd"/>
        <w:r w:rsidR="00BA3F20" w:rsidRPr="00902182">
          <w:rPr>
            <w:rFonts w:ascii="Palatino Linotype" w:eastAsia="Palatino Linotype" w:hAnsi="Palatino Linotype" w:cs="Palatino Linotype"/>
            <w:b/>
            <w:i/>
            <w:color w:val="000000"/>
          </w:rPr>
          <w:t xml:space="preserve"> 12-05-2023 14.04.pdf</w:t>
        </w:r>
      </w:hyperlink>
    </w:p>
    <w:p w:rsidR="0032171E" w:rsidRPr="00902182" w:rsidRDefault="00BA3F20">
      <w:pPr>
        <w:spacing w:line="360" w:lineRule="auto"/>
        <w:jc w:val="both"/>
        <w:rPr>
          <w:rFonts w:ascii="Palatino Linotype" w:eastAsia="Palatino Linotype" w:hAnsi="Palatino Linotype" w:cs="Palatino Linotype"/>
          <w:b/>
          <w:color w:val="000000"/>
        </w:rPr>
      </w:pPr>
      <w:r w:rsidRPr="00902182">
        <w:rPr>
          <w:rFonts w:ascii="Palatino Linotype" w:eastAsia="Palatino Linotype" w:hAnsi="Palatino Linotype" w:cs="Palatino Linotype"/>
          <w:color w:val="000000"/>
        </w:rPr>
        <w:lastRenderedPageBreak/>
        <w:t xml:space="preserve">Oficio </w:t>
      </w:r>
      <w:r w:rsidRPr="00902182">
        <w:rPr>
          <w:rFonts w:ascii="Palatino Linotype" w:eastAsia="Palatino Linotype" w:hAnsi="Palatino Linotype" w:cs="Palatino Linotype"/>
          <w:i/>
          <w:color w:val="000000"/>
        </w:rPr>
        <w:t>RH/OI/86/2023</w:t>
      </w:r>
      <w:r w:rsidRPr="00902182">
        <w:rPr>
          <w:rFonts w:ascii="Palatino Linotype" w:eastAsia="Palatino Linotype" w:hAnsi="Palatino Linotype" w:cs="Palatino Linotype"/>
          <w:color w:val="000000"/>
        </w:rPr>
        <w:t xml:space="preserve"> suscrito por la Coordinación de Recursos Humanos en el que informó que la Unidad Administrativa no cuenta con listas de raya ni recibos de honorarios, por lo que en cuanto hace a los recibos de nómina señaló que de la primer quincena del mes de septiembre de dos mil veintidós a la primera quincena de abril de dos mil veintitrés constaba de nueve mil quinientas hojas que superan la capacidad técnica del </w:t>
      </w:r>
      <w:r w:rsidRPr="00902182">
        <w:rPr>
          <w:rFonts w:ascii="Palatino Linotype" w:eastAsia="Palatino Linotype" w:hAnsi="Palatino Linotype" w:cs="Palatino Linotype"/>
          <w:b/>
          <w:color w:val="000000"/>
        </w:rPr>
        <w:t xml:space="preserve">SUJETO OBLIGADO. </w:t>
      </w:r>
    </w:p>
    <w:p w:rsidR="0032171E" w:rsidRPr="00902182" w:rsidRDefault="0032171E">
      <w:pPr>
        <w:spacing w:line="360" w:lineRule="auto"/>
        <w:jc w:val="both"/>
        <w:rPr>
          <w:rFonts w:ascii="Palatino Linotype" w:eastAsia="Palatino Linotype" w:hAnsi="Palatino Linotype" w:cs="Palatino Linotype"/>
          <w:color w:val="000000"/>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No obstante a lo cual, </w:t>
      </w:r>
      <w:r w:rsidRPr="00902182">
        <w:rPr>
          <w:rFonts w:ascii="Palatino Linotype" w:eastAsia="Palatino Linotype" w:hAnsi="Palatino Linotype" w:cs="Palatino Linotype"/>
          <w:b/>
          <w:color w:val="000000"/>
        </w:rPr>
        <w:t xml:space="preserve">EL SUJETO OBLIGADO </w:t>
      </w:r>
      <w:r w:rsidRPr="00902182">
        <w:rPr>
          <w:rFonts w:ascii="Palatino Linotype" w:eastAsia="Palatino Linotype" w:hAnsi="Palatino Linotype" w:cs="Palatino Linotype"/>
          <w:color w:val="000000"/>
        </w:rPr>
        <w:t xml:space="preserve">puso a disposición la siguiente liga electrónica: </w:t>
      </w:r>
    </w:p>
    <w:p w:rsidR="0032171E" w:rsidRPr="00902182" w:rsidRDefault="0032171E">
      <w:pPr>
        <w:spacing w:line="360" w:lineRule="auto"/>
        <w:jc w:val="both"/>
        <w:rPr>
          <w:rFonts w:ascii="Palatino Linotype" w:eastAsia="Palatino Linotype" w:hAnsi="Palatino Linotype" w:cs="Palatino Linotype"/>
          <w:color w:val="000000"/>
        </w:rPr>
      </w:pPr>
    </w:p>
    <w:p w:rsidR="0032171E" w:rsidRPr="00902182" w:rsidRDefault="00BA3F20">
      <w:pPr>
        <w:spacing w:line="360" w:lineRule="auto"/>
        <w:jc w:val="center"/>
        <w:rPr>
          <w:rFonts w:ascii="Palatino Linotype" w:eastAsia="Palatino Linotype" w:hAnsi="Palatino Linotype" w:cs="Palatino Linotype"/>
          <w:color w:val="000000"/>
        </w:rPr>
      </w:pPr>
      <w:r w:rsidRPr="00902182">
        <w:rPr>
          <w:noProof/>
        </w:rPr>
        <w:drawing>
          <wp:inline distT="0" distB="0" distL="0" distR="0">
            <wp:extent cx="4772533" cy="1123203"/>
            <wp:effectExtent l="0" t="0" r="0" b="0"/>
            <wp:docPr id="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4772533" cy="1123203"/>
                    </a:xfrm>
                    <a:prstGeom prst="rect">
                      <a:avLst/>
                    </a:prstGeom>
                    <a:ln/>
                  </pic:spPr>
                </pic:pic>
              </a:graphicData>
            </a:graphic>
          </wp:inline>
        </w:drawing>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bookmarkStart w:id="2" w:name="_heading=h.2et92p0" w:colFirst="0" w:colLast="0"/>
      <w:bookmarkEnd w:id="2"/>
      <w:r w:rsidRPr="00902182">
        <w:rPr>
          <w:rFonts w:ascii="Palatino Linotype" w:eastAsia="Palatino Linotype" w:hAnsi="Palatino Linotype" w:cs="Palatino Linotype"/>
          <w:b/>
          <w:sz w:val="22"/>
          <w:szCs w:val="22"/>
        </w:rPr>
        <w:t>3.</w:t>
      </w:r>
      <w:r w:rsidRPr="00902182">
        <w:rPr>
          <w:rFonts w:ascii="Palatino Linotype" w:eastAsia="Palatino Linotype" w:hAnsi="Palatino Linotype" w:cs="Palatino Linotype"/>
          <w:b/>
        </w:rPr>
        <w:t xml:space="preserve"> Interposición del recurso de revisión. </w:t>
      </w:r>
      <w:r w:rsidRPr="00902182">
        <w:rPr>
          <w:rFonts w:ascii="Palatino Linotype" w:eastAsia="Palatino Linotype" w:hAnsi="Palatino Linotype" w:cs="Palatino Linotype"/>
        </w:rPr>
        <w:t xml:space="preserve">Inconforme </w:t>
      </w:r>
      <w:r w:rsidRPr="00902182">
        <w:rPr>
          <w:rFonts w:ascii="Palatino Linotype" w:eastAsia="Palatino Linotype" w:hAnsi="Palatino Linotype" w:cs="Palatino Linotype"/>
          <w:b/>
        </w:rPr>
        <w:t>LA PARTE RECURRENTE</w:t>
      </w:r>
      <w:r w:rsidRPr="00902182">
        <w:rPr>
          <w:rFonts w:ascii="Palatino Linotype" w:eastAsia="Palatino Linotype" w:hAnsi="Palatino Linotype" w:cs="Palatino Linotype"/>
        </w:rPr>
        <w:t xml:space="preserve"> con la respuesta del </w:t>
      </w:r>
      <w:r w:rsidRPr="00902182">
        <w:rPr>
          <w:rFonts w:ascii="Palatino Linotype" w:eastAsia="Palatino Linotype" w:hAnsi="Palatino Linotype" w:cs="Palatino Linotype"/>
          <w:b/>
        </w:rPr>
        <w:t>SUJETO OBLIGADO</w:t>
      </w:r>
      <w:r w:rsidRPr="00902182">
        <w:rPr>
          <w:rFonts w:ascii="Palatino Linotype" w:eastAsia="Palatino Linotype" w:hAnsi="Palatino Linotype" w:cs="Palatino Linotype"/>
        </w:rPr>
        <w:t>, el día</w:t>
      </w:r>
      <w:r w:rsidRPr="00902182">
        <w:rPr>
          <w:rFonts w:ascii="Palatino Linotype" w:eastAsia="Palatino Linotype" w:hAnsi="Palatino Linotype" w:cs="Palatino Linotype"/>
          <w:b/>
        </w:rPr>
        <w:t xml:space="preserve"> quince de mayo de dos mil veintitrés,</w:t>
      </w:r>
      <w:r w:rsidRPr="00902182">
        <w:rPr>
          <w:rFonts w:ascii="Palatino Linotype" w:eastAsia="Palatino Linotype" w:hAnsi="Palatino Linotype" w:cs="Palatino Linotype"/>
        </w:rPr>
        <w:t xml:space="preserve"> interpuso el recurso de revisión a través de SAIMEX donde expresó lo siguiente: </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tabs>
          <w:tab w:val="left" w:pos="2745"/>
        </w:tabs>
        <w:spacing w:line="360" w:lineRule="auto"/>
        <w:jc w:val="both"/>
        <w:rPr>
          <w:rFonts w:ascii="Palatino Linotype" w:eastAsia="Palatino Linotype" w:hAnsi="Palatino Linotype" w:cs="Palatino Linotype"/>
          <w:b/>
        </w:rPr>
      </w:pPr>
      <w:r w:rsidRPr="00902182">
        <w:rPr>
          <w:rFonts w:ascii="Palatino Linotype" w:eastAsia="Palatino Linotype" w:hAnsi="Palatino Linotype" w:cs="Palatino Linotype"/>
          <w:b/>
        </w:rPr>
        <w:t xml:space="preserve">Acto impugnado: </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lastRenderedPageBreak/>
        <w:t xml:space="preserve">“Con fundamento en el artículos 176, 178 y 179 Fracciones I, II, III, IV y V de la Ley de Transparencia y Acceso a la Información Pública del Estado de México y Municipios, </w:t>
      </w:r>
      <w:r w:rsidRPr="00902182">
        <w:rPr>
          <w:rFonts w:ascii="Palatino Linotype" w:eastAsia="Palatino Linotype" w:hAnsi="Palatino Linotype" w:cs="Palatino Linotype"/>
          <w:b/>
          <w:i/>
          <w:color w:val="404040"/>
          <w:sz w:val="22"/>
          <w:szCs w:val="22"/>
        </w:rPr>
        <w:t>hago referencia la respuesta a mi solicitud que no cumplen con lo solicitado. En el aparto de Transparencia IPOMEX del que menciona el Sujeto Obligado no logro visualizar la información solicitada RECIBOS DE NOMINA, RECIBOS DE HONORARIOS, Y LISTAS DE RAYA motivo por el cual ratifico que la respuesta me la proporcionen vía SAIMEX su entrega desglosada, clara y detallada así como su entrega en versión pública.</w:t>
      </w:r>
      <w:r w:rsidRPr="00902182">
        <w:rPr>
          <w:rFonts w:ascii="Palatino Linotype" w:eastAsia="Palatino Linotype" w:hAnsi="Palatino Linotype" w:cs="Palatino Linotype"/>
          <w:i/>
          <w:color w:val="404040"/>
          <w:sz w:val="22"/>
          <w:szCs w:val="22"/>
        </w:rPr>
        <w:t xml:space="preserve"> De la remuneración de todos y cada uno de los servidores públicos de la Administración Publica 2022-2024 mediante RECIBOS DE NOMINA, RECIBOS DE HONORARIOS, Y LISTAS DE RAYA de todas la Áreas, Direcciones, Subdirecciones, Coordinaciones, Jefaturas, del periodo 01 de septiembre 2022 al 15 de abril del 2023.” (Sic) </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spacing w:line="360" w:lineRule="auto"/>
        <w:jc w:val="both"/>
        <w:rPr>
          <w:rFonts w:ascii="Palatino Linotype" w:eastAsia="Palatino Linotype" w:hAnsi="Palatino Linotype" w:cs="Palatino Linotype"/>
        </w:rPr>
      </w:pPr>
      <w:bookmarkStart w:id="3" w:name="_heading=h.30j0zll" w:colFirst="0" w:colLast="0"/>
      <w:bookmarkEnd w:id="3"/>
      <w:r w:rsidRPr="00902182">
        <w:rPr>
          <w:rFonts w:ascii="Palatino Linotype" w:eastAsia="Palatino Linotype" w:hAnsi="Palatino Linotype" w:cs="Palatino Linotype"/>
          <w:b/>
        </w:rPr>
        <w:t>Razones o motivos de inconformidad</w:t>
      </w:r>
      <w:r w:rsidRPr="00902182">
        <w:rPr>
          <w:rFonts w:ascii="Palatino Linotype" w:eastAsia="Palatino Linotype" w:hAnsi="Palatino Linotype" w:cs="Palatino Linotype"/>
        </w:rPr>
        <w:t>:</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“Con fundamento en el artículos 176, 178 y 179 Fracciones I, II, III, IV y V de la Ley de Transparencia y Acceso a la Información Pública del Estado de México y Municipios, </w:t>
      </w:r>
      <w:r w:rsidRPr="00902182">
        <w:rPr>
          <w:rFonts w:ascii="Palatino Linotype" w:eastAsia="Palatino Linotype" w:hAnsi="Palatino Linotype" w:cs="Palatino Linotype"/>
          <w:b/>
          <w:i/>
          <w:color w:val="404040"/>
          <w:sz w:val="22"/>
          <w:szCs w:val="22"/>
        </w:rPr>
        <w:t>hago referencia la respuesta a mi solicitud que no cumplen con lo solicitado. En el aparto de Transparencia IPOMEX del que menciona el Sujeto Obligado no logro visualizar la información solicitada RECIBOS DE NOMINA, RECIBOS DE HONORARIOS, Y LISTAS DE RAYA motivo por el cual ratifico que la respuesta me la proporcionen vía SAIMEX EN FORMATO PDF su entrega desglosada, clara y detallada así como su entrega en versión pública.</w:t>
      </w:r>
      <w:r w:rsidRPr="00902182">
        <w:rPr>
          <w:rFonts w:ascii="Palatino Linotype" w:eastAsia="Palatino Linotype" w:hAnsi="Palatino Linotype" w:cs="Palatino Linotype"/>
          <w:i/>
          <w:color w:val="404040"/>
          <w:sz w:val="22"/>
          <w:szCs w:val="22"/>
        </w:rPr>
        <w:t xml:space="preserve"> De la remuneración de todos y cada uno de los servidores públicos de la Administración Publica 2022-2024 mediante RECIBOS DE NOMINA, RECIBOS DE HONORARIOS, Y LISTAS DE RAYA de todas la Áreas, Direcciones, Subdirecciones, Coordinaciones, Jefaturas, del periodo 01 de septiembre 2022 al 15 de abril del 2023.” (Sic) </w:t>
      </w:r>
      <w:r w:rsidRPr="00902182">
        <w:rPr>
          <w:rFonts w:ascii="Palatino Linotype" w:eastAsia="Palatino Linotype" w:hAnsi="Palatino Linotype" w:cs="Palatino Linotype"/>
          <w:b/>
          <w:i/>
          <w:color w:val="404040"/>
          <w:sz w:val="22"/>
          <w:szCs w:val="22"/>
        </w:rPr>
        <w:t xml:space="preserve">Énfasis añadido </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spacing w:line="360" w:lineRule="auto"/>
        <w:ind w:right="51"/>
        <w:jc w:val="both"/>
        <w:rPr>
          <w:rFonts w:ascii="Palatino Linotype" w:eastAsia="Palatino Linotype" w:hAnsi="Palatino Linotype" w:cs="Palatino Linotype"/>
        </w:rPr>
      </w:pPr>
      <w:r w:rsidRPr="00902182">
        <w:rPr>
          <w:rFonts w:ascii="Palatino Linotype" w:eastAsia="Palatino Linotype" w:hAnsi="Palatino Linotype" w:cs="Palatino Linotype"/>
          <w:b/>
        </w:rPr>
        <w:t xml:space="preserve">4. Turno. </w:t>
      </w:r>
      <w:r w:rsidRPr="00902182">
        <w:rPr>
          <w:rFonts w:ascii="Palatino Linotype" w:eastAsia="Palatino Linotype" w:hAnsi="Palatino Linotype" w:cs="Palatino Linotype"/>
        </w:rPr>
        <w:t xml:space="preserve">De conformidad con el artículo 185 fracción I de la Ley de Transparencia, el presente recurso de revisión se turnó por el sistema electrónico del Instituto de Transparencia, Acceso a la Información Pública y Protección de Datos Personales </w:t>
      </w:r>
      <w:r w:rsidRPr="00902182">
        <w:rPr>
          <w:rFonts w:ascii="Palatino Linotype" w:eastAsia="Palatino Linotype" w:hAnsi="Palatino Linotype" w:cs="Palatino Linotype"/>
        </w:rPr>
        <w:lastRenderedPageBreak/>
        <w:t xml:space="preserve">del Estado de México y Municipios, a la </w:t>
      </w:r>
      <w:r w:rsidRPr="00902182">
        <w:rPr>
          <w:rFonts w:ascii="Palatino Linotype" w:eastAsia="Palatino Linotype" w:hAnsi="Palatino Linotype" w:cs="Palatino Linotype"/>
          <w:b/>
        </w:rPr>
        <w:t xml:space="preserve">Comisionada Guadalupe Ramírez Peña, </w:t>
      </w:r>
      <w:r w:rsidRPr="00902182">
        <w:rPr>
          <w:rFonts w:ascii="Palatino Linotype" w:eastAsia="Palatino Linotype" w:hAnsi="Palatino Linotype" w:cs="Palatino Linotype"/>
        </w:rPr>
        <w:t xml:space="preserve">a efecto de que analizara sobre su admisión o su </w:t>
      </w:r>
      <w:proofErr w:type="spellStart"/>
      <w:r w:rsidRPr="00902182">
        <w:rPr>
          <w:rFonts w:ascii="Palatino Linotype" w:eastAsia="Palatino Linotype" w:hAnsi="Palatino Linotype" w:cs="Palatino Linotype"/>
        </w:rPr>
        <w:t>desechamiento</w:t>
      </w:r>
      <w:proofErr w:type="spellEnd"/>
      <w:r w:rsidRPr="00902182">
        <w:rPr>
          <w:rFonts w:ascii="Palatino Linotype" w:eastAsia="Palatino Linotype" w:hAnsi="Palatino Linotype" w:cs="Palatino Linotype"/>
        </w:rPr>
        <w:t>.</w:t>
      </w:r>
    </w:p>
    <w:p w:rsidR="0032171E" w:rsidRPr="00902182" w:rsidRDefault="0032171E">
      <w:pPr>
        <w:spacing w:line="360" w:lineRule="auto"/>
        <w:ind w:right="51"/>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b/>
        </w:rPr>
        <w:t>5. Admisión del Recurso de revisión.</w:t>
      </w:r>
      <w:r w:rsidRPr="00902182">
        <w:rPr>
          <w:rFonts w:ascii="Palatino Linotype" w:eastAsia="Palatino Linotype" w:hAnsi="Palatino Linotype" w:cs="Palatino Linotype"/>
        </w:rPr>
        <w:t xml:space="preserve"> El</w:t>
      </w:r>
      <w:r w:rsidRPr="00902182">
        <w:rPr>
          <w:rFonts w:ascii="Palatino Linotype" w:eastAsia="Palatino Linotype" w:hAnsi="Palatino Linotype" w:cs="Palatino Linotype"/>
          <w:b/>
        </w:rPr>
        <w:t xml:space="preserve"> dieciocho de mayo de dos mil veintitrés, </w:t>
      </w:r>
      <w:r w:rsidRPr="00902182">
        <w:rPr>
          <w:rFonts w:ascii="Palatino Linotype" w:eastAsia="Palatino Linotype" w:hAnsi="Palatino Linotype" w:cs="Palatino Linotype"/>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sidRPr="00902182">
        <w:rPr>
          <w:rFonts w:ascii="Palatino Linotype" w:eastAsia="Palatino Linotype" w:hAnsi="Palatino Linotype" w:cs="Palatino Linotype"/>
          <w:b/>
        </w:rPr>
        <w:t xml:space="preserve">EL SUJETO OBLIGADO </w:t>
      </w:r>
      <w:r w:rsidRPr="00902182">
        <w:rPr>
          <w:rFonts w:ascii="Palatino Linotype" w:eastAsia="Palatino Linotype" w:hAnsi="Palatino Linotype" w:cs="Palatino Linotype"/>
        </w:rPr>
        <w:t>presentara su Informe Justificado.</w:t>
      </w:r>
    </w:p>
    <w:p w:rsidR="0032171E" w:rsidRPr="00902182" w:rsidRDefault="0032171E">
      <w:pPr>
        <w:spacing w:line="360" w:lineRule="auto"/>
        <w:jc w:val="both"/>
        <w:rPr>
          <w:rFonts w:ascii="Palatino Linotype" w:eastAsia="Palatino Linotype" w:hAnsi="Palatino Linotype" w:cs="Palatino Linotype"/>
          <w:b/>
        </w:rPr>
      </w:pPr>
    </w:p>
    <w:p w:rsidR="0032171E" w:rsidRPr="00902182" w:rsidRDefault="00BA3F20">
      <w:pPr>
        <w:spacing w:line="360" w:lineRule="auto"/>
        <w:ind w:right="49"/>
        <w:jc w:val="both"/>
        <w:rPr>
          <w:rFonts w:ascii="Palatino Linotype" w:eastAsia="Palatino Linotype" w:hAnsi="Palatino Linotype" w:cs="Palatino Linotype"/>
        </w:rPr>
      </w:pPr>
      <w:bookmarkStart w:id="4" w:name="_heading=h.2s8eyo1" w:colFirst="0" w:colLast="0"/>
      <w:bookmarkEnd w:id="4"/>
      <w:r w:rsidRPr="00902182">
        <w:rPr>
          <w:rFonts w:ascii="Palatino Linotype" w:eastAsia="Palatino Linotype" w:hAnsi="Palatino Linotype" w:cs="Palatino Linotype"/>
          <w:b/>
        </w:rPr>
        <w:t>6. Manifestaciones</w:t>
      </w:r>
      <w:r w:rsidRPr="00902182">
        <w:rPr>
          <w:rFonts w:ascii="Palatino Linotype" w:eastAsia="Palatino Linotype" w:hAnsi="Palatino Linotype" w:cs="Palatino Linotype"/>
        </w:rPr>
        <w:t xml:space="preserve">. De las constancias que integran el expediente electrónico en que se actúa, se advierte que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remitió su Informe Justificado el pasado quince de septiembre de dos mil veintitrés, mismo que se puso a la vista de </w:t>
      </w:r>
      <w:r w:rsidRPr="00902182">
        <w:rPr>
          <w:rFonts w:ascii="Palatino Linotype" w:eastAsia="Palatino Linotype" w:hAnsi="Palatino Linotype" w:cs="Palatino Linotype"/>
          <w:b/>
        </w:rPr>
        <w:t>LA PARTE RECURRENTE</w:t>
      </w:r>
      <w:r w:rsidRPr="00902182">
        <w:rPr>
          <w:rFonts w:ascii="Palatino Linotype" w:eastAsia="Palatino Linotype" w:hAnsi="Palatino Linotype" w:cs="Palatino Linotype"/>
        </w:rPr>
        <w:t xml:space="preserve"> el pasado </w:t>
      </w:r>
      <w:r w:rsidRPr="00902182">
        <w:rPr>
          <w:rFonts w:ascii="Palatino Linotype" w:eastAsia="Palatino Linotype" w:hAnsi="Palatino Linotype" w:cs="Palatino Linotype"/>
          <w:b/>
        </w:rPr>
        <w:t>trece de noviembre de dos mil veintitrés</w:t>
      </w:r>
      <w:r w:rsidRPr="00902182">
        <w:rPr>
          <w:rFonts w:ascii="Palatino Linotype" w:eastAsia="Palatino Linotype" w:hAnsi="Palatino Linotype" w:cs="Palatino Linotype"/>
        </w:rPr>
        <w:t xml:space="preserve"> para que realizara las consideraciones que estimara conducentes. </w:t>
      </w:r>
    </w:p>
    <w:p w:rsidR="0032171E" w:rsidRPr="00902182" w:rsidRDefault="0032171E">
      <w:pPr>
        <w:spacing w:line="360" w:lineRule="auto"/>
        <w:ind w:right="49"/>
        <w:jc w:val="both"/>
        <w:rPr>
          <w:rFonts w:ascii="Palatino Linotype" w:eastAsia="Palatino Linotype" w:hAnsi="Palatino Linotype" w:cs="Palatino Linotype"/>
        </w:rPr>
      </w:pPr>
    </w:p>
    <w:p w:rsidR="0032171E" w:rsidRPr="00902182" w:rsidRDefault="00BA3F20">
      <w:pPr>
        <w:spacing w:line="360" w:lineRule="auto"/>
        <w:ind w:right="49"/>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Así pues, el Informe del </w:t>
      </w:r>
      <w:r w:rsidRPr="00902182">
        <w:rPr>
          <w:rFonts w:ascii="Palatino Linotype" w:eastAsia="Palatino Linotype" w:hAnsi="Palatino Linotype" w:cs="Palatino Linotype"/>
          <w:b/>
        </w:rPr>
        <w:t>SUJETO OBLIGADO</w:t>
      </w:r>
      <w:r w:rsidRPr="00902182">
        <w:rPr>
          <w:rFonts w:ascii="Palatino Linotype" w:eastAsia="Palatino Linotype" w:hAnsi="Palatino Linotype" w:cs="Palatino Linotype"/>
        </w:rPr>
        <w:t xml:space="preserve"> se compone de los siguientes archivos que se describen: </w:t>
      </w:r>
    </w:p>
    <w:p w:rsidR="0032171E" w:rsidRPr="00902182" w:rsidRDefault="0032171E">
      <w:pPr>
        <w:spacing w:line="360" w:lineRule="auto"/>
        <w:ind w:right="49"/>
        <w:jc w:val="both"/>
        <w:rPr>
          <w:rFonts w:ascii="Palatino Linotype" w:eastAsia="Palatino Linotype" w:hAnsi="Palatino Linotype" w:cs="Palatino Linotype"/>
        </w:rPr>
      </w:pPr>
    </w:p>
    <w:p w:rsidR="0032171E" w:rsidRPr="00902182" w:rsidRDefault="00BA3F20">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902182">
        <w:rPr>
          <w:rFonts w:ascii="Palatino Linotype" w:eastAsia="Palatino Linotype" w:hAnsi="Palatino Linotype" w:cs="Palatino Linotype"/>
          <w:b/>
          <w:color w:val="000000"/>
        </w:rPr>
        <w:t>INFORME JUSTIFICADO 02629_2023.docx</w:t>
      </w:r>
    </w:p>
    <w:p w:rsidR="0032171E" w:rsidRPr="00902182" w:rsidRDefault="00BA3F20">
      <w:pPr>
        <w:spacing w:line="360" w:lineRule="auto"/>
        <w:ind w:right="49"/>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rPr>
        <w:t xml:space="preserve">Escrito de fecha quince de septiembre de dos mil veintitrés en formato WORD sin remitente dirigido a la </w:t>
      </w:r>
      <w:r w:rsidRPr="00902182">
        <w:rPr>
          <w:rFonts w:ascii="Palatino Linotype" w:eastAsia="Palatino Linotype" w:hAnsi="Palatino Linotype" w:cs="Palatino Linotype"/>
          <w:b/>
        </w:rPr>
        <w:t xml:space="preserve">Comisionada Ramírez Peña </w:t>
      </w:r>
      <w:r w:rsidRPr="00902182">
        <w:rPr>
          <w:rFonts w:ascii="Palatino Linotype" w:eastAsia="Palatino Linotype" w:hAnsi="Palatino Linotype" w:cs="Palatino Linotype"/>
        </w:rPr>
        <w:t xml:space="preserve">mediante el cual como información novedosa tenemos que la Coordinación de Recursos Humanos reitera </w:t>
      </w:r>
      <w:r w:rsidRPr="00902182">
        <w:rPr>
          <w:rFonts w:ascii="Palatino Linotype" w:eastAsia="Palatino Linotype" w:hAnsi="Palatino Linotype" w:cs="Palatino Linotype"/>
        </w:rPr>
        <w:lastRenderedPageBreak/>
        <w:t xml:space="preserve">no contar con capacidad técnica para entregar nueve mil quinientas hojas por lo cual puso a disposición la siguiente liga electrónica: </w:t>
      </w:r>
      <w:hyperlink r:id="rId10">
        <w:r w:rsidRPr="00902182">
          <w:rPr>
            <w:rFonts w:ascii="Palatino Linotype" w:eastAsia="Palatino Linotype" w:hAnsi="Palatino Linotype" w:cs="Palatino Linotype"/>
            <w:color w:val="0000FF"/>
            <w:u w:val="single"/>
          </w:rPr>
          <w:t>https://ipomex.org.mx/ipo3/lgt/indice/OASIXTAPALUCA/art_92_viii.web?token=03AL8dmw_gBeB3Wbho51WkwYDaIeDHkLhJtPypZraqDAiTKY8ZtqJlrVD1mEoXsmAWP-VYQEpyoGAknUIS1vJ5uZNZBW2JWhK0jbcMJonws709GuWf82OAy-dsdXyrtM1Ner1q8myQ1qfmWdk3RZ99t-KoXJpd2x63WcYyHfx7C3YrjmFdw0EtfDRYxHNCXmfr9v1In1f_YhBCR2rpIm1Qn-4s3-bVMqq81BqP2zw0oJmPM0k28JqbdQusG4v0t2mrwb_vSz942QST-Dtc3RQpLY9F7bz91lVXHqmYH9oiHRMPwrAy8OuWKKxDT_rMz3-LBwpmK5oQc8NPm1EFL8tDJOHgwbs7hqcfhlYzzCZGuxrzEwI3LmGUfq2mwRHYXYzr_hD3XZIsG6Ei9o7qKVVIVzQWX0PE3Rhj3hckjQNwqdbwn-yMEaqNmNqhmNQaFw9VZpNSMFZ2Pg0ibKJYrNpO2CGe19krHkTspK7soExAjt2AqYcAOWvMld9SEmvYwXI22iTNFsbqP_iBrY0uMBfjedYblk6RptXpTJZ1Mxo8X6VUiJSmmsrwbYNFQjCJ-38w72rcEknPhKpsa8DvaU0JwqgPTEAEe0zGqQ#</w:t>
        </w:r>
      </w:hyperlink>
      <w:r w:rsidRPr="00902182">
        <w:rPr>
          <w:rFonts w:ascii="Palatino Linotype" w:eastAsia="Palatino Linotype" w:hAnsi="Palatino Linotype" w:cs="Palatino Linotype"/>
          <w:color w:val="000000"/>
        </w:rPr>
        <w:t xml:space="preserve"> </w:t>
      </w:r>
    </w:p>
    <w:p w:rsidR="0032171E" w:rsidRPr="00902182" w:rsidRDefault="0032171E">
      <w:pPr>
        <w:spacing w:line="360" w:lineRule="auto"/>
        <w:ind w:right="49"/>
        <w:jc w:val="both"/>
        <w:rPr>
          <w:rFonts w:ascii="Palatino Linotype" w:eastAsia="Palatino Linotype" w:hAnsi="Palatino Linotype" w:cs="Palatino Linotype"/>
          <w:color w:val="000000"/>
        </w:rPr>
      </w:pPr>
    </w:p>
    <w:p w:rsidR="0032171E" w:rsidRPr="00902182" w:rsidRDefault="00BA3F20">
      <w:pPr>
        <w:spacing w:line="360" w:lineRule="auto"/>
        <w:ind w:right="49"/>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En el mismo Informe </w:t>
      </w:r>
      <w:r w:rsidRPr="00902182">
        <w:rPr>
          <w:rFonts w:ascii="Palatino Linotype" w:eastAsia="Palatino Linotype" w:hAnsi="Palatino Linotype" w:cs="Palatino Linotype"/>
          <w:b/>
          <w:color w:val="000000"/>
        </w:rPr>
        <w:t>EL SUJETO OBLIGADO</w:t>
      </w:r>
      <w:r w:rsidRPr="00902182">
        <w:rPr>
          <w:rFonts w:ascii="Palatino Linotype" w:eastAsia="Palatino Linotype" w:hAnsi="Palatino Linotype" w:cs="Palatino Linotype"/>
          <w:color w:val="000000"/>
        </w:rPr>
        <w:t xml:space="preserve"> realizó un cambio de modalidad de entrega de la información a consulta directa, sin señalar días y horas hábiles para ello, ni lugar y persona que atendería dicha diligencia. </w:t>
      </w:r>
    </w:p>
    <w:p w:rsidR="0032171E" w:rsidRPr="00902182" w:rsidRDefault="0032171E">
      <w:pPr>
        <w:spacing w:line="360" w:lineRule="auto"/>
        <w:ind w:right="49"/>
        <w:jc w:val="both"/>
        <w:rPr>
          <w:rFonts w:ascii="Palatino Linotype" w:eastAsia="Palatino Linotype" w:hAnsi="Palatino Linotype" w:cs="Palatino Linotype"/>
          <w:color w:val="000000"/>
        </w:rPr>
      </w:pPr>
    </w:p>
    <w:p w:rsidR="0032171E" w:rsidRPr="00902182" w:rsidRDefault="00BA3F20">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roofErr w:type="spellStart"/>
      <w:r w:rsidRPr="00902182">
        <w:rPr>
          <w:rFonts w:ascii="Palatino Linotype" w:eastAsia="Palatino Linotype" w:hAnsi="Palatino Linotype" w:cs="Palatino Linotype"/>
          <w:b/>
          <w:color w:val="000000"/>
        </w:rPr>
        <w:t>CamScanner</w:t>
      </w:r>
      <w:proofErr w:type="spellEnd"/>
      <w:r w:rsidRPr="00902182">
        <w:rPr>
          <w:rFonts w:ascii="Palatino Linotype" w:eastAsia="Palatino Linotype" w:hAnsi="Palatino Linotype" w:cs="Palatino Linotype"/>
          <w:b/>
          <w:color w:val="000000"/>
        </w:rPr>
        <w:t xml:space="preserve"> 12-05-2023 14.04.pdf</w:t>
      </w:r>
    </w:p>
    <w:p w:rsidR="0032171E" w:rsidRPr="00902182" w:rsidRDefault="00BA3F20">
      <w:pPr>
        <w:spacing w:line="360" w:lineRule="auto"/>
        <w:ind w:right="49"/>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Se trata del mismo </w:t>
      </w:r>
      <w:r w:rsidRPr="00902182">
        <w:rPr>
          <w:rFonts w:ascii="Palatino Linotype" w:eastAsia="Palatino Linotype" w:hAnsi="Palatino Linotype" w:cs="Palatino Linotype"/>
          <w:color w:val="000000"/>
        </w:rPr>
        <w:t xml:space="preserve">Oficio </w:t>
      </w:r>
      <w:r w:rsidRPr="00902182">
        <w:rPr>
          <w:rFonts w:ascii="Palatino Linotype" w:eastAsia="Palatino Linotype" w:hAnsi="Palatino Linotype" w:cs="Palatino Linotype"/>
          <w:i/>
          <w:color w:val="000000"/>
        </w:rPr>
        <w:t>RH/OI/86/2023</w:t>
      </w:r>
      <w:r w:rsidRPr="00902182">
        <w:rPr>
          <w:rFonts w:ascii="Palatino Linotype" w:eastAsia="Palatino Linotype" w:hAnsi="Palatino Linotype" w:cs="Palatino Linotype"/>
          <w:color w:val="000000"/>
        </w:rPr>
        <w:t xml:space="preserve"> suscrito por la Coordinación de Recursos Humanos y descrito en el Antecedente número dos de este fallo. </w:t>
      </w:r>
    </w:p>
    <w:p w:rsidR="0032171E" w:rsidRPr="00902182" w:rsidRDefault="0032171E">
      <w:pPr>
        <w:spacing w:line="360" w:lineRule="auto"/>
        <w:ind w:right="49"/>
        <w:jc w:val="both"/>
        <w:rPr>
          <w:rFonts w:ascii="Palatino Linotype" w:eastAsia="Palatino Linotype" w:hAnsi="Palatino Linotype" w:cs="Palatino Linotype"/>
        </w:rPr>
      </w:pPr>
    </w:p>
    <w:p w:rsidR="0032171E" w:rsidRPr="00902182" w:rsidRDefault="00BA3F20">
      <w:pPr>
        <w:spacing w:line="360" w:lineRule="auto"/>
        <w:ind w:right="49"/>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Conocidas estas nuevas aportaciones, tenemos que </w:t>
      </w:r>
      <w:r w:rsidRPr="00902182">
        <w:rPr>
          <w:rFonts w:ascii="Palatino Linotype" w:eastAsia="Palatino Linotype" w:hAnsi="Palatino Linotype" w:cs="Palatino Linotype"/>
          <w:b/>
        </w:rPr>
        <w:t>LA PARTE RECURRENTE</w:t>
      </w:r>
      <w:r w:rsidRPr="00902182">
        <w:rPr>
          <w:rFonts w:ascii="Palatino Linotype" w:eastAsia="Palatino Linotype" w:hAnsi="Palatino Linotype" w:cs="Palatino Linotype"/>
        </w:rPr>
        <w:t xml:space="preserve"> decidió dejar de manifestarse al respecto: </w:t>
      </w:r>
    </w:p>
    <w:p w:rsidR="0032171E" w:rsidRPr="00902182" w:rsidRDefault="0032171E">
      <w:pPr>
        <w:spacing w:line="360" w:lineRule="auto"/>
        <w:ind w:right="49"/>
        <w:jc w:val="both"/>
        <w:rPr>
          <w:rFonts w:ascii="Palatino Linotype" w:eastAsia="Palatino Linotype" w:hAnsi="Palatino Linotype" w:cs="Palatino Linotype"/>
        </w:rPr>
      </w:pPr>
    </w:p>
    <w:p w:rsidR="0032171E" w:rsidRPr="00902182" w:rsidRDefault="00BA3F20">
      <w:pPr>
        <w:spacing w:line="360" w:lineRule="auto"/>
        <w:ind w:right="49"/>
        <w:jc w:val="center"/>
        <w:rPr>
          <w:rFonts w:ascii="Palatino Linotype" w:eastAsia="Palatino Linotype" w:hAnsi="Palatino Linotype" w:cs="Palatino Linotype"/>
        </w:rPr>
      </w:pPr>
      <w:r w:rsidRPr="00902182">
        <w:rPr>
          <w:noProof/>
        </w:rPr>
        <w:drawing>
          <wp:inline distT="0" distB="0" distL="0" distR="0">
            <wp:extent cx="4473449" cy="1659195"/>
            <wp:effectExtent l="0" t="0" r="0" b="0"/>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4473449" cy="1659195"/>
                    </a:xfrm>
                    <a:prstGeom prst="rect">
                      <a:avLst/>
                    </a:prstGeom>
                    <a:ln/>
                  </pic:spPr>
                </pic:pic>
              </a:graphicData>
            </a:graphic>
          </wp:inline>
        </w:drawing>
      </w:r>
    </w:p>
    <w:p w:rsidR="0032171E" w:rsidRPr="00902182" w:rsidRDefault="0032171E">
      <w:pPr>
        <w:spacing w:line="360" w:lineRule="auto"/>
        <w:ind w:right="49"/>
        <w:jc w:val="both"/>
        <w:rPr>
          <w:rFonts w:ascii="Palatino Linotype" w:eastAsia="Palatino Linotype" w:hAnsi="Palatino Linotype" w:cs="Palatino Linotype"/>
        </w:rPr>
      </w:pPr>
    </w:p>
    <w:p w:rsidR="0032171E" w:rsidRPr="00902182" w:rsidRDefault="00BA3F20">
      <w:pPr>
        <w:widowControl w:val="0"/>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b/>
          <w:color w:val="000000"/>
        </w:rPr>
        <w:t>7. Ampliación del plazo para emitir resolución.</w:t>
      </w:r>
      <w:r w:rsidRPr="00902182">
        <w:rPr>
          <w:rFonts w:ascii="Palatino Linotype" w:eastAsia="Palatino Linotype" w:hAnsi="Palatino Linotype" w:cs="Palatino Linotype"/>
          <w:color w:val="000000"/>
        </w:rPr>
        <w:t xml:space="preserve"> El </w:t>
      </w:r>
      <w:r w:rsidRPr="00902182">
        <w:rPr>
          <w:rFonts w:ascii="Palatino Linotype" w:eastAsia="Palatino Linotype" w:hAnsi="Palatino Linotype" w:cs="Palatino Linotype"/>
          <w:b/>
          <w:color w:val="000000"/>
        </w:rPr>
        <w:t>trece de noviembre de dos mil veintitrés,</w:t>
      </w:r>
      <w:r w:rsidRPr="00902182">
        <w:rPr>
          <w:rFonts w:ascii="Palatino Linotype" w:eastAsia="Palatino Linotype" w:hAnsi="Palatino Linotype" w:cs="Palatino Linotype"/>
          <w:color w:val="000000"/>
        </w:rPr>
        <w:t xml:space="preserve"> fue cuando este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rsidR="0032171E" w:rsidRPr="00902182" w:rsidRDefault="0032171E">
      <w:pPr>
        <w:widowControl w:val="0"/>
        <w:spacing w:line="360" w:lineRule="auto"/>
        <w:jc w:val="both"/>
        <w:rPr>
          <w:rFonts w:ascii="Palatino Linotype" w:eastAsia="Palatino Linotype" w:hAnsi="Palatino Linotype" w:cs="Palatino Linotype"/>
          <w:color w:val="000000"/>
        </w:rPr>
      </w:pPr>
    </w:p>
    <w:p w:rsidR="0032171E" w:rsidRPr="00902182" w:rsidRDefault="00BA3F20">
      <w:pPr>
        <w:widowControl w:val="0"/>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w:t>
      </w:r>
      <w:r w:rsidRPr="00902182">
        <w:rPr>
          <w:rFonts w:ascii="Palatino Linotype" w:eastAsia="Palatino Linotype" w:hAnsi="Palatino Linotype" w:cs="Palatino Linotype"/>
          <w:color w:val="000000"/>
        </w:rPr>
        <w:lastRenderedPageBreak/>
        <w:t>circunstancia atípica que ha rebasado las capacidades técnicas y humanas del personal encargado de la proyección de las resoluciones a dichos medios de impugnación.</w:t>
      </w:r>
    </w:p>
    <w:p w:rsidR="0032171E" w:rsidRPr="00902182" w:rsidRDefault="0032171E">
      <w:pPr>
        <w:widowControl w:val="0"/>
        <w:spacing w:line="360" w:lineRule="auto"/>
        <w:jc w:val="both"/>
        <w:rPr>
          <w:rFonts w:ascii="Palatino Linotype" w:eastAsia="Palatino Linotype" w:hAnsi="Palatino Linotype" w:cs="Palatino Linotype"/>
          <w:color w:val="000000"/>
        </w:rPr>
      </w:pPr>
    </w:p>
    <w:p w:rsidR="0032171E" w:rsidRPr="00902182" w:rsidRDefault="00BA3F20">
      <w:pPr>
        <w:widowControl w:val="0"/>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32171E" w:rsidRPr="00902182" w:rsidRDefault="0032171E">
      <w:pPr>
        <w:widowControl w:val="0"/>
        <w:spacing w:line="360" w:lineRule="auto"/>
        <w:jc w:val="both"/>
        <w:rPr>
          <w:rFonts w:ascii="Palatino Linotype" w:eastAsia="Palatino Linotype" w:hAnsi="Palatino Linotype" w:cs="Palatino Linotype"/>
          <w:color w:val="000000"/>
        </w:rPr>
      </w:pPr>
    </w:p>
    <w:p w:rsidR="0032171E" w:rsidRPr="00902182" w:rsidRDefault="00BA3F20">
      <w:pPr>
        <w:widowControl w:val="0"/>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2171E" w:rsidRPr="00902182" w:rsidRDefault="0032171E">
      <w:pPr>
        <w:widowControl w:val="0"/>
        <w:spacing w:line="360" w:lineRule="auto"/>
        <w:jc w:val="both"/>
        <w:rPr>
          <w:rFonts w:ascii="Palatino Linotype" w:eastAsia="Palatino Linotype" w:hAnsi="Palatino Linotype" w:cs="Palatino Linotype"/>
          <w:color w:val="000000"/>
        </w:rPr>
      </w:pPr>
    </w:p>
    <w:p w:rsidR="0032171E" w:rsidRPr="00902182" w:rsidRDefault="00BA3F20">
      <w:pPr>
        <w:widowControl w:val="0"/>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2171E" w:rsidRPr="00902182" w:rsidRDefault="0032171E">
      <w:pPr>
        <w:widowControl w:val="0"/>
        <w:spacing w:line="360" w:lineRule="auto"/>
        <w:jc w:val="both"/>
        <w:rPr>
          <w:rFonts w:ascii="Palatino Linotype" w:eastAsia="Palatino Linotype" w:hAnsi="Palatino Linotype" w:cs="Palatino Linotype"/>
          <w:color w:val="000000"/>
        </w:rPr>
      </w:pPr>
    </w:p>
    <w:p w:rsidR="0032171E" w:rsidRPr="00902182" w:rsidRDefault="00BA3F20">
      <w:pPr>
        <w:widowControl w:val="0"/>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Por ello, excepcionalmente, si un asunto es resuelto con posterioridad a los plazos </w:t>
      </w:r>
      <w:r w:rsidRPr="00902182">
        <w:rPr>
          <w:rFonts w:ascii="Palatino Linotype" w:eastAsia="Palatino Linotype" w:hAnsi="Palatino Linotype" w:cs="Palatino Linotype"/>
          <w:color w:val="000000"/>
        </w:rPr>
        <w:lastRenderedPageBreak/>
        <w:t xml:space="preserve">señalados por la norma debe analizarse la razonabilidad del tiempo necesario para su resolución, atentos a los siguientes criterios: </w:t>
      </w:r>
    </w:p>
    <w:p w:rsidR="0032171E" w:rsidRPr="00902182" w:rsidRDefault="0032171E">
      <w:pPr>
        <w:widowControl w:val="0"/>
        <w:spacing w:line="360" w:lineRule="auto"/>
        <w:jc w:val="both"/>
        <w:rPr>
          <w:rFonts w:ascii="Palatino Linotype" w:eastAsia="Palatino Linotype" w:hAnsi="Palatino Linotype" w:cs="Palatino Linotype"/>
          <w:color w:val="000000"/>
        </w:rPr>
      </w:pPr>
    </w:p>
    <w:p w:rsidR="0032171E" w:rsidRPr="00902182" w:rsidRDefault="00BA3F20">
      <w:pPr>
        <w:widowControl w:val="0"/>
        <w:numPr>
          <w:ilvl w:val="0"/>
          <w:numId w:val="3"/>
        </w:num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b/>
          <w:color w:val="000000"/>
        </w:rPr>
        <w:t xml:space="preserve">Complejidad del Asunto: </w:t>
      </w:r>
      <w:r w:rsidRPr="00902182">
        <w:rPr>
          <w:rFonts w:ascii="Palatino Linotype" w:eastAsia="Palatino Linotype" w:hAnsi="Palatino Linotype" w:cs="Palatino Linotype"/>
          <w:color w:val="000000"/>
        </w:rPr>
        <w:t xml:space="preserve">La complejidad de la prueba, la pluralidad de sujetos procesales, el tiempo transcurrido, las características y contexto del recurso. </w:t>
      </w:r>
    </w:p>
    <w:p w:rsidR="0032171E" w:rsidRPr="00902182" w:rsidRDefault="00BA3F20">
      <w:pPr>
        <w:widowControl w:val="0"/>
        <w:numPr>
          <w:ilvl w:val="0"/>
          <w:numId w:val="3"/>
        </w:num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b/>
          <w:color w:val="000000"/>
        </w:rPr>
        <w:t>Actividad Procesal del interesado:</w:t>
      </w:r>
      <w:r w:rsidRPr="00902182">
        <w:rPr>
          <w:rFonts w:ascii="Palatino Linotype" w:eastAsia="Palatino Linotype" w:hAnsi="Palatino Linotype" w:cs="Palatino Linotype"/>
          <w:color w:val="000000"/>
        </w:rPr>
        <w:t xml:space="preserve"> Acciones u omisiones del interesado.</w:t>
      </w:r>
    </w:p>
    <w:p w:rsidR="0032171E" w:rsidRPr="00902182" w:rsidRDefault="00BA3F20">
      <w:pPr>
        <w:widowControl w:val="0"/>
        <w:numPr>
          <w:ilvl w:val="0"/>
          <w:numId w:val="3"/>
        </w:num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b/>
          <w:color w:val="000000"/>
        </w:rPr>
        <w:t>Conducta de la Autoridad:</w:t>
      </w:r>
      <w:r w:rsidRPr="00902182">
        <w:rPr>
          <w:rFonts w:ascii="Palatino Linotype" w:eastAsia="Palatino Linotype" w:hAnsi="Palatino Linotype" w:cs="Palatino Linotype"/>
          <w:color w:val="000000"/>
        </w:rPr>
        <w:t xml:space="preserve"> Las Acciones u omisiones realizadas en el procedimiento. Así como si la autoridad actuó con la debida diligencia.</w:t>
      </w:r>
    </w:p>
    <w:p w:rsidR="0032171E" w:rsidRPr="00902182" w:rsidRDefault="00BA3F20">
      <w:pPr>
        <w:widowControl w:val="0"/>
        <w:numPr>
          <w:ilvl w:val="0"/>
          <w:numId w:val="3"/>
        </w:num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b/>
          <w:color w:val="000000"/>
        </w:rPr>
        <w:t>La afectación generada en la situación jurídica de la persona involucrada en el proceso:</w:t>
      </w:r>
      <w:r w:rsidRPr="00902182">
        <w:rPr>
          <w:rFonts w:ascii="Palatino Linotype" w:eastAsia="Palatino Linotype" w:hAnsi="Palatino Linotype" w:cs="Palatino Linotype"/>
          <w:color w:val="000000"/>
        </w:rPr>
        <w:t xml:space="preserve"> Violación a sus derechos humanos.</w:t>
      </w:r>
    </w:p>
    <w:p w:rsidR="0032171E" w:rsidRPr="00902182" w:rsidRDefault="0032171E">
      <w:pPr>
        <w:widowControl w:val="0"/>
        <w:spacing w:line="360" w:lineRule="auto"/>
        <w:jc w:val="both"/>
        <w:rPr>
          <w:rFonts w:ascii="Palatino Linotype" w:eastAsia="Palatino Linotype" w:hAnsi="Palatino Linotype" w:cs="Palatino Linotype"/>
          <w:color w:val="000000"/>
        </w:rPr>
      </w:pPr>
    </w:p>
    <w:p w:rsidR="0032171E" w:rsidRPr="00902182" w:rsidRDefault="00BA3F20">
      <w:pPr>
        <w:widowControl w:val="0"/>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2171E" w:rsidRPr="00902182" w:rsidRDefault="0032171E">
      <w:pPr>
        <w:widowControl w:val="0"/>
        <w:spacing w:line="360" w:lineRule="auto"/>
        <w:jc w:val="both"/>
        <w:rPr>
          <w:rFonts w:ascii="Palatino Linotype" w:eastAsia="Palatino Linotype" w:hAnsi="Palatino Linotype" w:cs="Palatino Linotype"/>
          <w:color w:val="000000"/>
        </w:rPr>
      </w:pPr>
    </w:p>
    <w:p w:rsidR="0032171E" w:rsidRPr="00902182" w:rsidRDefault="00BA3F20">
      <w:pPr>
        <w:widowControl w:val="0"/>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Argumento que encuentra sustento en la jurisprudencia P</w:t>
      </w:r>
      <w:proofErr w:type="gramStart"/>
      <w:r w:rsidRPr="00902182">
        <w:rPr>
          <w:rFonts w:ascii="Palatino Linotype" w:eastAsia="Palatino Linotype" w:hAnsi="Palatino Linotype" w:cs="Palatino Linotype"/>
          <w:color w:val="000000"/>
        </w:rPr>
        <w:t>./</w:t>
      </w:r>
      <w:proofErr w:type="gramEnd"/>
      <w:r w:rsidRPr="00902182">
        <w:rPr>
          <w:rFonts w:ascii="Palatino Linotype" w:eastAsia="Palatino Linotype" w:hAnsi="Palatino Linotype" w:cs="Palatino Linotype"/>
          <w:color w:val="000000"/>
        </w:rPr>
        <w:t xml:space="preserve">J. 32/92 emitida por el Pleno de la Suprema Corte de Justicia de la Nación de rubro </w:t>
      </w:r>
      <w:r w:rsidRPr="00902182">
        <w:rPr>
          <w:rFonts w:ascii="Palatino Linotype" w:eastAsia="Palatino Linotype" w:hAnsi="Palatino Linotype" w:cs="Palatino Linotype"/>
          <w:b/>
          <w:i/>
          <w:color w:val="000000"/>
        </w:rPr>
        <w:t xml:space="preserve">“TÉRMINOS PROCESALES. PARA DETERMINAR SI UN FUNCIONARIO JUDICIAL ACTUÓ </w:t>
      </w:r>
      <w:r w:rsidRPr="00902182">
        <w:rPr>
          <w:rFonts w:ascii="Palatino Linotype" w:eastAsia="Palatino Linotype" w:hAnsi="Palatino Linotype" w:cs="Palatino Linotype"/>
          <w:b/>
          <w:i/>
          <w:color w:val="000000"/>
        </w:rPr>
        <w:lastRenderedPageBreak/>
        <w:t>INDEBIDAMENTE POR NO RESPETARLOS SE DEBE ATENDER AL PRESUPUESTO QUE CONSIDERÓ EL LEGISLADOR AL FIJARLOS Y LAS CARACTERÍSTICAS DEL CASO.”</w:t>
      </w:r>
      <w:r w:rsidRPr="00902182">
        <w:rPr>
          <w:rFonts w:ascii="Palatino Linotype" w:eastAsia="Palatino Linotype" w:hAnsi="Palatino Linotype" w:cs="Palatino Linotype"/>
          <w:b/>
          <w:color w:val="000000"/>
        </w:rPr>
        <w:t>,</w:t>
      </w:r>
      <w:r w:rsidRPr="00902182">
        <w:rPr>
          <w:rFonts w:ascii="Palatino Linotype" w:eastAsia="Palatino Linotype" w:hAnsi="Palatino Linotype" w:cs="Palatino Linotype"/>
          <w:color w:val="000000"/>
        </w:rPr>
        <w:t xml:space="preserve"> visible en la Gaceta del Seminario Judicial de la Federación con el registro digital 205635.</w:t>
      </w:r>
    </w:p>
    <w:p w:rsidR="0032171E" w:rsidRPr="00902182" w:rsidRDefault="0032171E">
      <w:pPr>
        <w:widowControl w:val="0"/>
        <w:spacing w:line="360" w:lineRule="auto"/>
        <w:jc w:val="both"/>
        <w:rPr>
          <w:rFonts w:ascii="Palatino Linotype" w:eastAsia="Palatino Linotype" w:hAnsi="Palatino Linotype" w:cs="Palatino Linotype"/>
          <w:color w:val="000000"/>
        </w:rPr>
      </w:pPr>
    </w:p>
    <w:p w:rsidR="0032171E" w:rsidRPr="00902182" w:rsidRDefault="00BA3F20">
      <w:pPr>
        <w:widowControl w:val="0"/>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2171E" w:rsidRPr="00902182" w:rsidRDefault="0032171E">
      <w:pPr>
        <w:widowControl w:val="0"/>
        <w:spacing w:line="360" w:lineRule="auto"/>
        <w:jc w:val="both"/>
        <w:rPr>
          <w:rFonts w:ascii="Palatino Linotype" w:eastAsia="Palatino Linotype" w:hAnsi="Palatino Linotype" w:cs="Palatino Linotype"/>
          <w:color w:val="000000"/>
        </w:rPr>
      </w:pPr>
    </w:p>
    <w:p w:rsidR="0032171E" w:rsidRPr="00902182" w:rsidRDefault="00BA3F20">
      <w:pPr>
        <w:widowControl w:val="0"/>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Al respecto, también son de considerar los criterios sostenidos por el Cuarto Tribunal Colegiado en Materia Administrativa del Primer Circuito, cuyos rubros y datos de identificación son los siguientes:</w:t>
      </w:r>
    </w:p>
    <w:p w:rsidR="0032171E" w:rsidRPr="00902182" w:rsidRDefault="0032171E">
      <w:pPr>
        <w:widowControl w:val="0"/>
        <w:spacing w:line="360" w:lineRule="auto"/>
        <w:jc w:val="both"/>
        <w:rPr>
          <w:rFonts w:ascii="Palatino Linotype" w:eastAsia="Palatino Linotype" w:hAnsi="Palatino Linotype" w:cs="Palatino Linotype"/>
          <w:color w:val="000000"/>
        </w:rPr>
      </w:pPr>
    </w:p>
    <w:p w:rsidR="0032171E" w:rsidRPr="00902182" w:rsidRDefault="00BA3F20">
      <w:pPr>
        <w:widowControl w:val="0"/>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b/>
          <w:i/>
          <w:color w:val="000000"/>
        </w:rPr>
        <w:t>“PLAZO RAZONABLE PARA RESOLVER. DIMENSIÓN Y EFECTOS DE ESTE CONCEPTO CUANDO SE ADUCE EXCESIVA CARGA DE TRABAJO.”</w:t>
      </w:r>
      <w:r w:rsidRPr="00902182">
        <w:rPr>
          <w:rFonts w:ascii="Palatino Linotype" w:eastAsia="Palatino Linotype" w:hAnsi="Palatino Linotype" w:cs="Palatino Linotype"/>
          <w:color w:val="000000"/>
        </w:rPr>
        <w:t xml:space="preserve"> </w:t>
      </w:r>
      <w:r w:rsidRPr="00902182">
        <w:rPr>
          <w:rFonts w:ascii="Palatino Linotype" w:eastAsia="Palatino Linotype" w:hAnsi="Palatino Linotype" w:cs="Palatino Linotype"/>
          <w:color w:val="000000"/>
        </w:rPr>
        <w:lastRenderedPageBreak/>
        <w:t>consultable en el Seminario Judicial de la Federación y su gaceta, con el registro digital 2002351.</w:t>
      </w:r>
    </w:p>
    <w:p w:rsidR="0032171E" w:rsidRPr="00902182" w:rsidRDefault="0032171E">
      <w:pPr>
        <w:widowControl w:val="0"/>
        <w:spacing w:line="360" w:lineRule="auto"/>
        <w:jc w:val="both"/>
        <w:rPr>
          <w:rFonts w:ascii="Palatino Linotype" w:eastAsia="Palatino Linotype" w:hAnsi="Palatino Linotype" w:cs="Palatino Linotype"/>
          <w:color w:val="000000"/>
        </w:rPr>
      </w:pPr>
    </w:p>
    <w:p w:rsidR="0032171E" w:rsidRPr="00902182" w:rsidRDefault="00BA3F20">
      <w:pPr>
        <w:widowControl w:val="0"/>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b/>
          <w:i/>
          <w:color w:val="000000"/>
        </w:rPr>
        <w:t>“PLAZO RAZONABLE PARA RESOLVER. CONCEPTO Y ELEMENTOS QUE LO INTEGRAN A LA LUZ DEL DERECHO INTERNACIONAL DE LOS DERECHOS HUMANOS.”</w:t>
      </w:r>
      <w:r w:rsidRPr="00902182">
        <w:rPr>
          <w:rFonts w:ascii="Palatino Linotype" w:eastAsia="Palatino Linotype" w:hAnsi="Palatino Linotype" w:cs="Palatino Linotype"/>
          <w:b/>
          <w:color w:val="000000"/>
        </w:rPr>
        <w:t>,</w:t>
      </w:r>
      <w:r w:rsidRPr="00902182">
        <w:rPr>
          <w:rFonts w:ascii="Palatino Linotype" w:eastAsia="Palatino Linotype" w:hAnsi="Palatino Linotype" w:cs="Palatino Linotype"/>
          <w:color w:val="000000"/>
        </w:rPr>
        <w:t xml:space="preserve"> visible en el Seminario Judicial de la Federación y su gaceta, con el registro digital 2002350.</w:t>
      </w:r>
    </w:p>
    <w:p w:rsidR="0032171E" w:rsidRPr="00902182" w:rsidRDefault="0032171E">
      <w:pPr>
        <w:widowControl w:val="0"/>
        <w:spacing w:line="360" w:lineRule="auto"/>
        <w:jc w:val="both"/>
        <w:rPr>
          <w:rFonts w:ascii="Palatino Linotype" w:eastAsia="Palatino Linotype" w:hAnsi="Palatino Linotype" w:cs="Palatino Linotype"/>
          <w:color w:val="000000"/>
        </w:rPr>
      </w:pPr>
    </w:p>
    <w:p w:rsidR="0032171E" w:rsidRPr="00902182" w:rsidRDefault="00BA3F20">
      <w:pPr>
        <w:widowControl w:val="0"/>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rsidR="0032171E" w:rsidRPr="00902182" w:rsidRDefault="0032171E">
      <w:pPr>
        <w:spacing w:line="360" w:lineRule="auto"/>
        <w:jc w:val="both"/>
        <w:rPr>
          <w:rFonts w:ascii="Palatino Linotype" w:eastAsia="Palatino Linotype" w:hAnsi="Palatino Linotype" w:cs="Palatino Linotype"/>
          <w:b/>
          <w:color w:val="000000"/>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b/>
          <w:color w:val="000000"/>
        </w:rPr>
        <w:t xml:space="preserve">8. Del requerimiento de información adicional. </w:t>
      </w:r>
      <w:r w:rsidRPr="00902182">
        <w:rPr>
          <w:rFonts w:ascii="Palatino Linotype" w:eastAsia="Palatino Linotype" w:hAnsi="Palatino Linotype" w:cs="Palatino Linotype"/>
          <w:color w:val="000000"/>
        </w:rPr>
        <w:t xml:space="preserve">Con fecha </w:t>
      </w:r>
      <w:r w:rsidRPr="00902182">
        <w:rPr>
          <w:rFonts w:ascii="Palatino Linotype" w:eastAsia="Palatino Linotype" w:hAnsi="Palatino Linotype" w:cs="Palatino Linotype"/>
          <w:b/>
          <w:color w:val="000000"/>
        </w:rPr>
        <w:t xml:space="preserve">catorce de noviembre de dos mil veintitrés, </w:t>
      </w:r>
      <w:r w:rsidRPr="00902182">
        <w:rPr>
          <w:rFonts w:ascii="Palatino Linotype" w:eastAsia="Palatino Linotype" w:hAnsi="Palatino Linotype" w:cs="Palatino Linotype"/>
          <w:color w:val="000000"/>
        </w:rPr>
        <w:t xml:space="preserve">se requirió al </w:t>
      </w:r>
      <w:r w:rsidRPr="00902182">
        <w:rPr>
          <w:rFonts w:ascii="Palatino Linotype" w:eastAsia="Palatino Linotype" w:hAnsi="Palatino Linotype" w:cs="Palatino Linotype"/>
          <w:b/>
          <w:color w:val="000000"/>
        </w:rPr>
        <w:t xml:space="preserve">SUJETO OBLIGADO </w:t>
      </w:r>
      <w:r w:rsidRPr="00902182">
        <w:rPr>
          <w:rFonts w:ascii="Palatino Linotype" w:eastAsia="Palatino Linotype" w:hAnsi="Palatino Linotype" w:cs="Palatino Linotype"/>
          <w:color w:val="000000"/>
        </w:rPr>
        <w:t xml:space="preserve">para que en un plazo de tres días hábiles informara lo siguiente: </w:t>
      </w:r>
    </w:p>
    <w:p w:rsidR="0032171E" w:rsidRPr="00902182" w:rsidRDefault="0032171E">
      <w:pPr>
        <w:pBdr>
          <w:top w:val="nil"/>
          <w:left w:val="nil"/>
          <w:bottom w:val="nil"/>
          <w:right w:val="nil"/>
          <w:between w:val="nil"/>
        </w:pBdr>
        <w:ind w:left="864" w:right="864"/>
        <w:jc w:val="both"/>
        <w:rPr>
          <w:i/>
          <w:color w:val="404040"/>
        </w:rPr>
      </w:pPr>
    </w:p>
    <w:p w:rsidR="0032171E" w:rsidRPr="00902182" w:rsidRDefault="00BA3F20">
      <w:pPr>
        <w:numPr>
          <w:ilvl w:val="0"/>
          <w:numId w:val="1"/>
        </w:numPr>
        <w:pBdr>
          <w:top w:val="nil"/>
          <w:left w:val="nil"/>
          <w:bottom w:val="nil"/>
          <w:right w:val="nil"/>
          <w:between w:val="nil"/>
        </w:pBdr>
        <w:ind w:right="864"/>
        <w:jc w:val="both"/>
        <w:rPr>
          <w:rFonts w:ascii="Palatino Linotype" w:eastAsia="Palatino Linotype" w:hAnsi="Palatino Linotype" w:cs="Palatino Linotype"/>
          <w:i/>
          <w:color w:val="404040"/>
          <w:sz w:val="22"/>
          <w:szCs w:val="22"/>
        </w:rPr>
      </w:pPr>
      <w:bookmarkStart w:id="5" w:name="_heading=h.tyjcwt" w:colFirst="0" w:colLast="0"/>
      <w:bookmarkEnd w:id="5"/>
      <w:r w:rsidRPr="00902182">
        <w:rPr>
          <w:i/>
          <w:color w:val="404040"/>
        </w:rPr>
        <w:t>“</w:t>
      </w:r>
      <w:r w:rsidRPr="00902182">
        <w:rPr>
          <w:rFonts w:ascii="Palatino Linotype" w:eastAsia="Palatino Linotype" w:hAnsi="Palatino Linotype" w:cs="Palatino Linotype"/>
          <w:i/>
          <w:color w:val="404040"/>
          <w:sz w:val="22"/>
          <w:szCs w:val="22"/>
        </w:rPr>
        <w:t xml:space="preserve">Manifieste las razones y fundamentos suficientes para no entregar la información a través del Sistema de Acceso a la Información Pública Mexiquense; </w:t>
      </w:r>
    </w:p>
    <w:p w:rsidR="0032171E" w:rsidRPr="00902182" w:rsidRDefault="00BA3F20">
      <w:pPr>
        <w:numPr>
          <w:ilvl w:val="0"/>
          <w:numId w:val="1"/>
        </w:numPr>
        <w:pBdr>
          <w:top w:val="nil"/>
          <w:left w:val="nil"/>
          <w:bottom w:val="nil"/>
          <w:right w:val="nil"/>
          <w:between w:val="nil"/>
        </w:pBdr>
        <w:ind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Se refiera al cúmulo exacto de información que se trata y sí excede las capacidades del Sistema de Acceso a la Información Pública Mexiquense, esto mediante el reporte de incidencias realizado ante la Dirección General de Informática de este Instituto;</w:t>
      </w:r>
    </w:p>
    <w:p w:rsidR="0032171E" w:rsidRPr="00902182" w:rsidRDefault="00BA3F20">
      <w:pPr>
        <w:numPr>
          <w:ilvl w:val="0"/>
          <w:numId w:val="1"/>
        </w:numPr>
        <w:pBdr>
          <w:top w:val="nil"/>
          <w:left w:val="nil"/>
          <w:bottom w:val="nil"/>
          <w:right w:val="nil"/>
          <w:between w:val="nil"/>
        </w:pBdr>
        <w:ind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Que la información solicitada, sobrepase las capacidades técnicas administrativas y humanas del Sujeto Obligado para cumplir con la </w:t>
      </w:r>
      <w:r w:rsidRPr="00902182">
        <w:rPr>
          <w:rFonts w:ascii="Palatino Linotype" w:eastAsia="Palatino Linotype" w:hAnsi="Palatino Linotype" w:cs="Palatino Linotype"/>
          <w:i/>
          <w:color w:val="404040"/>
          <w:sz w:val="22"/>
          <w:szCs w:val="22"/>
        </w:rPr>
        <w:lastRenderedPageBreak/>
        <w:t>solicitud, en los plazos establecidos para dichos efectos, con los respectivos medios de convicción; y</w:t>
      </w:r>
    </w:p>
    <w:p w:rsidR="0032171E" w:rsidRPr="00902182" w:rsidRDefault="00BA3F20">
      <w:pPr>
        <w:numPr>
          <w:ilvl w:val="0"/>
          <w:numId w:val="1"/>
        </w:numPr>
        <w:pBdr>
          <w:top w:val="nil"/>
          <w:left w:val="nil"/>
          <w:bottom w:val="nil"/>
          <w:right w:val="nil"/>
          <w:between w:val="nil"/>
        </w:pBdr>
        <w:ind w:right="864"/>
        <w:jc w:val="both"/>
        <w:rPr>
          <w:i/>
          <w:color w:val="404040"/>
        </w:rPr>
      </w:pPr>
      <w:r w:rsidRPr="00902182">
        <w:rPr>
          <w:rFonts w:ascii="Palatino Linotype" w:eastAsia="Palatino Linotype" w:hAnsi="Palatino Linotype" w:cs="Palatino Linotype"/>
          <w:i/>
          <w:color w:val="404040"/>
          <w:sz w:val="22"/>
          <w:szCs w:val="22"/>
        </w:rPr>
        <w:t>Si la información solicitada, es necesario que se entregue en versión pública.</w:t>
      </w:r>
      <w:r w:rsidRPr="00902182">
        <w:rPr>
          <w:i/>
          <w:color w:val="404040"/>
        </w:rPr>
        <w:t xml:space="preserve"> “ (Sic) </w:t>
      </w:r>
    </w:p>
    <w:p w:rsidR="0032171E" w:rsidRPr="00902182" w:rsidRDefault="0032171E">
      <w:pPr>
        <w:pBdr>
          <w:top w:val="nil"/>
          <w:left w:val="nil"/>
          <w:bottom w:val="nil"/>
          <w:right w:val="nil"/>
          <w:between w:val="nil"/>
        </w:pBdr>
        <w:ind w:left="864" w:right="864"/>
        <w:jc w:val="both"/>
        <w:rPr>
          <w:i/>
          <w:color w:val="000000"/>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Ante tal requerimiento, el pasado </w:t>
      </w:r>
      <w:r w:rsidRPr="00902182">
        <w:rPr>
          <w:rFonts w:ascii="Palatino Linotype" w:eastAsia="Palatino Linotype" w:hAnsi="Palatino Linotype" w:cs="Palatino Linotype"/>
          <w:b/>
          <w:color w:val="000000"/>
        </w:rPr>
        <w:t>diecisiete de noviembre de dos mil veintitrés, EL SUJETO OBLIGADO</w:t>
      </w:r>
      <w:r w:rsidRPr="00902182">
        <w:rPr>
          <w:rFonts w:ascii="Palatino Linotype" w:eastAsia="Palatino Linotype" w:hAnsi="Palatino Linotype" w:cs="Palatino Linotype"/>
          <w:color w:val="000000"/>
        </w:rPr>
        <w:t xml:space="preserve"> remitió el oficio </w:t>
      </w:r>
      <w:r w:rsidRPr="00902182">
        <w:rPr>
          <w:rFonts w:ascii="Palatino Linotype" w:eastAsia="Palatino Linotype" w:hAnsi="Palatino Linotype" w:cs="Palatino Linotype"/>
          <w:i/>
          <w:color w:val="000000"/>
        </w:rPr>
        <w:t xml:space="preserve">INFOEM/DGI/1340/2023 </w:t>
      </w:r>
      <w:r w:rsidRPr="00902182">
        <w:rPr>
          <w:rFonts w:ascii="Palatino Linotype" w:eastAsia="Palatino Linotype" w:hAnsi="Palatino Linotype" w:cs="Palatino Linotype"/>
          <w:color w:val="000000"/>
        </w:rPr>
        <w:t xml:space="preserve">de fecha dieciséis de noviembre de dos mil veintitrés, mediante el que la Dirección General de Informática del </w:t>
      </w:r>
      <w:proofErr w:type="spellStart"/>
      <w:r w:rsidRPr="00902182">
        <w:rPr>
          <w:rFonts w:ascii="Palatino Linotype" w:eastAsia="Palatino Linotype" w:hAnsi="Palatino Linotype" w:cs="Palatino Linotype"/>
          <w:color w:val="000000"/>
        </w:rPr>
        <w:t>Infoem</w:t>
      </w:r>
      <w:proofErr w:type="spellEnd"/>
      <w:r w:rsidRPr="00902182">
        <w:rPr>
          <w:rFonts w:ascii="Palatino Linotype" w:eastAsia="Palatino Linotype" w:hAnsi="Palatino Linotype" w:cs="Palatino Linotype"/>
          <w:color w:val="000000"/>
        </w:rPr>
        <w:t xml:space="preserve"> informó a la Unidad de Transparencia del OPADAPAS Ixtapaluca que la incidencia técnica para remitir la información vía SAIMEX había quedado registrada, tal y como consta: </w:t>
      </w:r>
    </w:p>
    <w:p w:rsidR="0032171E" w:rsidRPr="00902182" w:rsidRDefault="0032171E">
      <w:pPr>
        <w:spacing w:line="360" w:lineRule="auto"/>
        <w:jc w:val="both"/>
        <w:rPr>
          <w:rFonts w:ascii="Palatino Linotype" w:eastAsia="Palatino Linotype" w:hAnsi="Palatino Linotype" w:cs="Palatino Linotype"/>
          <w:color w:val="000000"/>
        </w:rPr>
      </w:pPr>
    </w:p>
    <w:p w:rsidR="0032171E" w:rsidRPr="00902182" w:rsidRDefault="00BA3F20">
      <w:pPr>
        <w:spacing w:line="360" w:lineRule="auto"/>
        <w:jc w:val="center"/>
        <w:rPr>
          <w:rFonts w:ascii="Palatino Linotype" w:eastAsia="Palatino Linotype" w:hAnsi="Palatino Linotype" w:cs="Palatino Linotype"/>
          <w:color w:val="000000"/>
        </w:rPr>
      </w:pPr>
      <w:r w:rsidRPr="00902182">
        <w:rPr>
          <w:noProof/>
        </w:rPr>
        <w:drawing>
          <wp:inline distT="0" distB="0" distL="0" distR="0">
            <wp:extent cx="3234285" cy="3698069"/>
            <wp:effectExtent l="0" t="0" r="0" b="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234285" cy="3698069"/>
                    </a:xfrm>
                    <a:prstGeom prst="rect">
                      <a:avLst/>
                    </a:prstGeom>
                    <a:ln/>
                  </pic:spPr>
                </pic:pic>
              </a:graphicData>
            </a:graphic>
          </wp:inline>
        </w:drawing>
      </w:r>
    </w:p>
    <w:p w:rsidR="0032171E" w:rsidRPr="00902182" w:rsidRDefault="0032171E">
      <w:pPr>
        <w:spacing w:line="360" w:lineRule="auto"/>
        <w:jc w:val="both"/>
        <w:rPr>
          <w:rFonts w:ascii="Palatino Linotype" w:eastAsia="Palatino Linotype" w:hAnsi="Palatino Linotype" w:cs="Palatino Linotype"/>
          <w:b/>
          <w:color w:val="000000"/>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b/>
          <w:color w:val="000000"/>
        </w:rPr>
        <w:t xml:space="preserve">9. Cierre de instrucción. </w:t>
      </w:r>
      <w:r w:rsidRPr="00902182">
        <w:rPr>
          <w:rFonts w:ascii="Palatino Linotype" w:eastAsia="Palatino Linotype" w:hAnsi="Palatino Linotype" w:cs="Palatino Linotype"/>
          <w:color w:val="000000"/>
        </w:rPr>
        <w:t xml:space="preserve">Una vez transcurrido el periodo otorgado a las partes para realizar sus manifestaciones y no habiendo documentos que integrar al expediente, con </w:t>
      </w:r>
      <w:r w:rsidRPr="00902182">
        <w:rPr>
          <w:rFonts w:ascii="Palatino Linotype" w:eastAsia="Palatino Linotype" w:hAnsi="Palatino Linotype" w:cs="Palatino Linotype"/>
        </w:rPr>
        <w:t>fecha</w:t>
      </w:r>
      <w:r w:rsidRPr="00902182">
        <w:rPr>
          <w:rFonts w:ascii="Palatino Linotype" w:eastAsia="Palatino Linotype" w:hAnsi="Palatino Linotype" w:cs="Palatino Linotype"/>
          <w:b/>
        </w:rPr>
        <w:t xml:space="preserve"> veintiuno de noviembre de dos mil veintitrés</w:t>
      </w:r>
      <w:r w:rsidRPr="00902182">
        <w:rPr>
          <w:rFonts w:ascii="Palatino Linotype" w:eastAsia="Palatino Linotype" w:hAnsi="Palatino Linotype" w:cs="Palatino Linotype"/>
        </w:rPr>
        <w:t xml:space="preserve">, la </w:t>
      </w:r>
      <w:r w:rsidRPr="00902182">
        <w:rPr>
          <w:rFonts w:ascii="Palatino Linotype" w:eastAsia="Palatino Linotype" w:hAnsi="Palatino Linotype" w:cs="Palatino Linotype"/>
          <w:b/>
        </w:rPr>
        <w:t xml:space="preserve">Comisionada </w:t>
      </w:r>
      <w:r w:rsidRPr="00902182">
        <w:rPr>
          <w:rFonts w:ascii="Palatino Linotype" w:eastAsia="Palatino Linotype" w:hAnsi="Palatino Linotype" w:cs="Palatino Linotype"/>
          <w:b/>
          <w:color w:val="000000"/>
        </w:rPr>
        <w:t>Ponente</w:t>
      </w:r>
      <w:r w:rsidRPr="00902182">
        <w:rPr>
          <w:rFonts w:ascii="Palatino Linotype" w:eastAsia="Palatino Linotype" w:hAnsi="Palatino Linotype" w:cs="Palatino Linotype"/>
          <w:color w:val="000000"/>
        </w:rPr>
        <w:t xml:space="preserve"> determinó el cierre de instrucción en términos de la fracción VI del artículo 185 de la Ley de Transparencia y Acceso a la Información Pública del Estado de México y Municipios, y </w:t>
      </w:r>
    </w:p>
    <w:p w:rsidR="0032171E" w:rsidRPr="00902182" w:rsidRDefault="0032171E">
      <w:pPr>
        <w:spacing w:line="360" w:lineRule="auto"/>
        <w:ind w:right="49"/>
        <w:jc w:val="both"/>
        <w:rPr>
          <w:rFonts w:ascii="Palatino Linotype" w:eastAsia="Palatino Linotype" w:hAnsi="Palatino Linotype" w:cs="Palatino Linotype"/>
        </w:rPr>
      </w:pPr>
    </w:p>
    <w:p w:rsidR="0032171E" w:rsidRPr="00902182" w:rsidRDefault="00BA3F20">
      <w:pPr>
        <w:widowControl w:val="0"/>
        <w:numPr>
          <w:ilvl w:val="0"/>
          <w:numId w:val="11"/>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902182">
        <w:rPr>
          <w:rFonts w:ascii="Palatino Linotype" w:eastAsia="Palatino Linotype" w:hAnsi="Palatino Linotype" w:cs="Palatino Linotype"/>
          <w:b/>
          <w:color w:val="000000"/>
        </w:rPr>
        <w:t xml:space="preserve">C O N S I D E R A N D O </w:t>
      </w:r>
    </w:p>
    <w:p w:rsidR="0032171E" w:rsidRPr="00902182" w:rsidRDefault="0032171E">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b/>
        </w:rPr>
        <w:t>PRIMERO. COMPETENCIA.</w:t>
      </w:r>
      <w:r w:rsidRPr="0090218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902182">
        <w:rPr>
          <w:rFonts w:ascii="Palatino Linotype" w:eastAsia="Palatino Linotype" w:hAnsi="Palatino Linotype" w:cs="Palatino Linotype"/>
          <w:b/>
        </w:rPr>
        <w:t>LA PARTE RECURRENTE</w:t>
      </w:r>
      <w:r w:rsidRPr="00902182">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32171E" w:rsidRPr="00902182" w:rsidRDefault="0032171E">
      <w:pPr>
        <w:spacing w:line="360" w:lineRule="auto"/>
        <w:jc w:val="both"/>
        <w:rPr>
          <w:rFonts w:ascii="Palatino Linotype" w:eastAsia="Palatino Linotype" w:hAnsi="Palatino Linotype" w:cs="Palatino Linotype"/>
          <w:b/>
          <w:color w:val="000000"/>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b/>
          <w:color w:val="000000"/>
        </w:rPr>
        <w:t>SEGUNDO. OPORTUNIDAD Y PROCEDIBILIDAD DEL RECURSO DE REVISIÓN</w:t>
      </w:r>
      <w:r w:rsidRPr="00902182">
        <w:rPr>
          <w:rFonts w:ascii="Palatino Linotype" w:eastAsia="Palatino Linotype" w:hAnsi="Palatino Linotype" w:cs="Palatino Linotype"/>
          <w:color w:val="000000"/>
        </w:rPr>
        <w:t xml:space="preserve">. Previo al estudio del fondo del asunto, se procede a analizar los requisitos de oportunidad y </w:t>
      </w:r>
      <w:proofErr w:type="spellStart"/>
      <w:r w:rsidRPr="00902182">
        <w:rPr>
          <w:rFonts w:ascii="Palatino Linotype" w:eastAsia="Palatino Linotype" w:hAnsi="Palatino Linotype" w:cs="Palatino Linotype"/>
          <w:color w:val="000000"/>
        </w:rPr>
        <w:t>procedibilidad</w:t>
      </w:r>
      <w:proofErr w:type="spellEnd"/>
      <w:r w:rsidRPr="00902182">
        <w:rPr>
          <w:rFonts w:ascii="Palatino Linotype" w:eastAsia="Palatino Linotype" w:hAnsi="Palatino Linotype" w:cs="Palatino Linotype"/>
          <w:color w:val="000000"/>
        </w:rPr>
        <w:t xml:space="preserve"> que debe reunir el recurso de revisión interpuesto, previstos en los artículos 178 y 180 de la Ley de Transparencia y Acceso a la Información Pública del Estado de México y Municipios.</w:t>
      </w:r>
    </w:p>
    <w:p w:rsidR="0032171E" w:rsidRPr="00902182" w:rsidRDefault="0032171E">
      <w:pPr>
        <w:spacing w:line="360" w:lineRule="auto"/>
        <w:jc w:val="both"/>
        <w:rPr>
          <w:rFonts w:ascii="Palatino Linotype" w:eastAsia="Palatino Linotype" w:hAnsi="Palatino Linotype" w:cs="Palatino Linotype"/>
          <w:color w:val="000000"/>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El recurso de revisión fue interpuesto dentro del plazo de quince días hábiles, previsto en el artículo 178 de la Ley de Transparencia, toda vez que </w:t>
      </w:r>
      <w:r w:rsidRPr="00902182">
        <w:rPr>
          <w:rFonts w:ascii="Palatino Linotype" w:eastAsia="Palatino Linotype" w:hAnsi="Palatino Linotype" w:cs="Palatino Linotype"/>
          <w:b/>
          <w:color w:val="000000"/>
        </w:rPr>
        <w:t>EL SUJETO OBLIGADO</w:t>
      </w:r>
      <w:r w:rsidRPr="00902182">
        <w:rPr>
          <w:rFonts w:ascii="Palatino Linotype" w:eastAsia="Palatino Linotype" w:hAnsi="Palatino Linotype" w:cs="Palatino Linotype"/>
          <w:color w:val="000000"/>
        </w:rPr>
        <w:t xml:space="preserve"> respondió a la solicitud de información el </w:t>
      </w:r>
      <w:r w:rsidRPr="00902182">
        <w:rPr>
          <w:rFonts w:ascii="Palatino Linotype" w:eastAsia="Palatino Linotype" w:hAnsi="Palatino Linotype" w:cs="Palatino Linotype"/>
          <w:b/>
          <w:color w:val="000000"/>
        </w:rPr>
        <w:t xml:space="preserve">doce de mayo de dos mil veintitrés, </w:t>
      </w:r>
      <w:r w:rsidRPr="00902182">
        <w:rPr>
          <w:rFonts w:ascii="Palatino Linotype" w:eastAsia="Palatino Linotype" w:hAnsi="Palatino Linotype" w:cs="Palatino Linotype"/>
          <w:color w:val="000000"/>
        </w:rPr>
        <w:t xml:space="preserve">mientras que el recurso de revisión se </w:t>
      </w:r>
      <w:r w:rsidRPr="00902182">
        <w:rPr>
          <w:rFonts w:ascii="Palatino Linotype" w:eastAsia="Palatino Linotype" w:hAnsi="Palatino Linotype" w:cs="Palatino Linotype"/>
        </w:rPr>
        <w:t xml:space="preserve">interpuso el </w:t>
      </w:r>
      <w:r w:rsidRPr="00902182">
        <w:rPr>
          <w:rFonts w:ascii="Palatino Linotype" w:eastAsia="Palatino Linotype" w:hAnsi="Palatino Linotype" w:cs="Palatino Linotype"/>
          <w:b/>
        </w:rPr>
        <w:t xml:space="preserve">quince de mayo mil </w:t>
      </w:r>
      <w:r w:rsidRPr="00902182">
        <w:rPr>
          <w:rFonts w:ascii="Palatino Linotype" w:eastAsia="Palatino Linotype" w:hAnsi="Palatino Linotype" w:cs="Palatino Linotype"/>
          <w:b/>
          <w:color w:val="000000"/>
        </w:rPr>
        <w:t>veintitrés</w:t>
      </w:r>
      <w:r w:rsidRPr="00902182">
        <w:rPr>
          <w:rFonts w:ascii="Palatino Linotype" w:eastAsia="Palatino Linotype" w:hAnsi="Palatino Linotype" w:cs="Palatino Linotype"/>
          <w:color w:val="000000"/>
        </w:rPr>
        <w:t xml:space="preserve">, esto es, al </w:t>
      </w:r>
      <w:r w:rsidRPr="00902182">
        <w:rPr>
          <w:rFonts w:ascii="Palatino Linotype" w:eastAsia="Palatino Linotype" w:hAnsi="Palatino Linotype" w:cs="Palatino Linotype"/>
          <w:b/>
          <w:color w:val="000000"/>
        </w:rPr>
        <w:t>primer día hábil</w:t>
      </w:r>
      <w:r w:rsidRPr="00902182">
        <w:rPr>
          <w:rFonts w:ascii="Palatino Linotype" w:eastAsia="Palatino Linotype" w:hAnsi="Palatino Linotype" w:cs="Palatino Linotype"/>
          <w:color w:val="000000"/>
        </w:rPr>
        <w:t xml:space="preserve"> posterior en que tuvo conocimiento de la respuesta impugnada.</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Al mismo tiempo, por cuanto hace a la </w:t>
      </w:r>
      <w:proofErr w:type="spellStart"/>
      <w:r w:rsidRPr="00902182">
        <w:rPr>
          <w:rFonts w:ascii="Palatino Linotype" w:eastAsia="Palatino Linotype" w:hAnsi="Palatino Linotype" w:cs="Palatino Linotype"/>
        </w:rPr>
        <w:t>procedibilidad</w:t>
      </w:r>
      <w:proofErr w:type="spellEnd"/>
      <w:r w:rsidRPr="00902182">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lastRenderedPageBreak/>
        <w:t xml:space="preserve">A efecto de sustentar lo anterior, es de suma importancia mencionar que si bien </w:t>
      </w:r>
      <w:r w:rsidRPr="00902182">
        <w:rPr>
          <w:rFonts w:ascii="Palatino Linotype" w:eastAsia="Palatino Linotype" w:hAnsi="Palatino Linotype" w:cs="Palatino Linotype"/>
          <w:b/>
        </w:rPr>
        <w:t>LA PARTE RECURRENTE</w:t>
      </w:r>
      <w:r w:rsidRPr="00902182">
        <w:rPr>
          <w:rFonts w:ascii="Palatino Linotype" w:eastAsia="Palatino Linotype" w:hAnsi="Palatino Linotype" w:cs="Palatino Linotype"/>
        </w:rPr>
        <w:t xml:space="preserve"> </w:t>
      </w:r>
      <w:r w:rsidRPr="00902182">
        <w:rPr>
          <w:rFonts w:ascii="Palatino Linotype" w:eastAsia="Palatino Linotype" w:hAnsi="Palatino Linotype" w:cs="Palatino Linotype"/>
          <w:b/>
        </w:rPr>
        <w:t xml:space="preserve">no proporcionó nombre completo para ser identificada </w:t>
      </w:r>
      <w:r w:rsidRPr="00902182">
        <w:rPr>
          <w:rFonts w:ascii="Palatino Linotype" w:eastAsia="Palatino Linotype" w:hAnsi="Palatino Linotype" w:cs="Palatino Linotype"/>
        </w:rPr>
        <w:t>como se advierte en el detalle de seguimiento del SAIMEX, sin embargo, el no proporcionarlo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Las solicitudes</w:t>
      </w:r>
      <w:r w:rsidRPr="00902182">
        <w:rPr>
          <w:rFonts w:ascii="Palatino Linotype" w:eastAsia="Palatino Linotype" w:hAnsi="Palatino Linotype" w:cs="Palatino Linotype"/>
          <w:i/>
          <w:color w:val="404040"/>
          <w:sz w:val="22"/>
          <w:szCs w:val="22"/>
        </w:rPr>
        <w:t xml:space="preserve"> anónimas, </w:t>
      </w:r>
      <w:r w:rsidRPr="00902182">
        <w:rPr>
          <w:rFonts w:ascii="Palatino Linotype" w:eastAsia="Palatino Linotype" w:hAnsi="Palatino Linotype" w:cs="Palatino Linotype"/>
          <w:b/>
          <w:i/>
          <w:color w:val="404040"/>
          <w:sz w:val="22"/>
          <w:szCs w:val="22"/>
        </w:rPr>
        <w:t>con nombre incompleto</w:t>
      </w:r>
      <w:r w:rsidRPr="00902182">
        <w:rPr>
          <w:rFonts w:ascii="Palatino Linotype" w:eastAsia="Palatino Linotype" w:hAnsi="Palatino Linotype" w:cs="Palatino Linotype"/>
          <w:i/>
          <w:color w:val="404040"/>
          <w:sz w:val="22"/>
          <w:szCs w:val="22"/>
        </w:rPr>
        <w:t xml:space="preserve"> o seudónimo </w:t>
      </w:r>
      <w:r w:rsidRPr="00902182">
        <w:rPr>
          <w:rFonts w:ascii="Palatino Linotype" w:eastAsia="Palatino Linotype" w:hAnsi="Palatino Linotype" w:cs="Palatino Linotype"/>
          <w:b/>
          <w:i/>
          <w:color w:val="404040"/>
          <w:sz w:val="22"/>
          <w:szCs w:val="22"/>
        </w:rPr>
        <w:t>serán procedentes para su trámite por parte del sujeto obligado</w:t>
      </w:r>
      <w:r w:rsidRPr="00902182">
        <w:rPr>
          <w:rFonts w:ascii="Palatino Linotype" w:eastAsia="Palatino Linotype" w:hAnsi="Palatino Linotype" w:cs="Palatino Linotype"/>
          <w:i/>
          <w:color w:val="404040"/>
          <w:sz w:val="22"/>
          <w:szCs w:val="22"/>
        </w:rPr>
        <w:t xml:space="preserve"> ante quien se presente. No podrá requerirse información adicional con motivo del nombre proporcionado por el solicitante.</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o seudónimo de </w:t>
      </w:r>
      <w:r w:rsidRPr="00902182">
        <w:rPr>
          <w:rFonts w:ascii="Palatino Linotype" w:eastAsia="Palatino Linotype" w:hAnsi="Palatino Linotype" w:cs="Palatino Linotype"/>
          <w:b/>
        </w:rPr>
        <w:t>LA PARTE RECURRENTE,</w:t>
      </w:r>
      <w:r w:rsidRPr="00902182">
        <w:rPr>
          <w:rFonts w:ascii="Palatino Linotype" w:eastAsia="Palatino Linotype" w:hAnsi="Palatino Linotype" w:cs="Palatino Linotype"/>
        </w:rPr>
        <w:t xml:space="preserve"> por lo que, en el presente caso, al haber sido presentado el recurso de revisión vía SAIMEX, dicho requisito resulta innecesario.</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color w:val="000000"/>
        </w:rPr>
        <w:t xml:space="preserve">Asimismo, por cuanto hace a la </w:t>
      </w:r>
      <w:proofErr w:type="spellStart"/>
      <w:r w:rsidRPr="00902182">
        <w:rPr>
          <w:rFonts w:ascii="Palatino Linotype" w:eastAsia="Palatino Linotype" w:hAnsi="Palatino Linotype" w:cs="Palatino Linotype"/>
          <w:color w:val="000000"/>
        </w:rPr>
        <w:t>procedibilidad</w:t>
      </w:r>
      <w:proofErr w:type="spellEnd"/>
      <w:r w:rsidRPr="00902182">
        <w:rPr>
          <w:rFonts w:ascii="Palatino Linotype" w:eastAsia="Palatino Linotype" w:hAnsi="Palatino Linotype" w:cs="Palatino Linotype"/>
          <w:color w:val="000000"/>
        </w:rPr>
        <w:t xml:space="preserve"> del recurso de revisión, es de suma importancia señalar que </w:t>
      </w:r>
      <w:r w:rsidRPr="00902182">
        <w:rPr>
          <w:rFonts w:ascii="Palatino Linotype" w:eastAsia="Palatino Linotype" w:hAnsi="Palatino Linotype" w:cs="Palatino Linotype"/>
        </w:rPr>
        <w:t xml:space="preserve">una vez realizado el análisis de los formatos de interposición del recurso, se concluye la acreditación plena de los elementos formales precisados por el artículo 180 de la Ley de Transparencia y Acceso a la </w:t>
      </w:r>
      <w:r w:rsidRPr="00902182">
        <w:rPr>
          <w:rFonts w:ascii="Palatino Linotype" w:eastAsia="Palatino Linotype" w:hAnsi="Palatino Linotype" w:cs="Palatino Linotype"/>
        </w:rPr>
        <w:lastRenderedPageBreak/>
        <w:t>Información Pública del Estado de México y Municipios, en atención a que fue presentado mediante el formato visible en el SAIMEX.</w:t>
      </w:r>
    </w:p>
    <w:p w:rsidR="0032171E" w:rsidRPr="00902182" w:rsidRDefault="0032171E">
      <w:pPr>
        <w:spacing w:line="360" w:lineRule="auto"/>
        <w:jc w:val="both"/>
        <w:rPr>
          <w:rFonts w:ascii="Palatino Linotype" w:eastAsia="Palatino Linotype" w:hAnsi="Palatino Linotype" w:cs="Palatino Linotype"/>
          <w:color w:val="000000"/>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Finalmente, se advierte que resulta procedente la interposición del recurso, según lo manifestado por el recurrente en sus motivos de inconformidad, de acuerdo a la fracción VI y VIII del artículo 179 del ordenamiento legal citado, que a la letra dice: </w:t>
      </w:r>
    </w:p>
    <w:p w:rsidR="0032171E" w:rsidRPr="00902182" w:rsidRDefault="0032171E">
      <w:pPr>
        <w:jc w:val="both"/>
        <w:rPr>
          <w:rFonts w:ascii="Palatino Linotype" w:eastAsia="Palatino Linotype" w:hAnsi="Palatino Linotype" w:cs="Palatino Linotype"/>
          <w:color w:val="000000"/>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Artículo 179.</w:t>
      </w:r>
      <w:r w:rsidRPr="00902182">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902182">
        <w:rPr>
          <w:rFonts w:ascii="Palatino Linotype" w:eastAsia="Palatino Linotype" w:hAnsi="Palatino Linotype" w:cs="Palatino Linotype"/>
          <w:b/>
          <w:i/>
          <w:color w:val="000000"/>
          <w:sz w:val="22"/>
          <w:szCs w:val="22"/>
        </w:rPr>
        <w:t xml:space="preserve">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902182">
        <w:rPr>
          <w:rFonts w:ascii="Palatino Linotype" w:eastAsia="Palatino Linotype" w:hAnsi="Palatino Linotype" w:cs="Palatino Linotype"/>
          <w:b/>
          <w:i/>
          <w:color w:val="000000"/>
          <w:sz w:val="22"/>
          <w:szCs w:val="22"/>
        </w:rPr>
        <w:t xml:space="preserve">VI. La entrega de la información que no corresponda con lo solicitado;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902182">
        <w:rPr>
          <w:rFonts w:ascii="Palatino Linotype" w:eastAsia="Palatino Linotype" w:hAnsi="Palatino Linotype" w:cs="Palatino Linotype"/>
          <w:b/>
          <w:i/>
          <w:color w:val="000000"/>
          <w:sz w:val="22"/>
          <w:szCs w:val="22"/>
        </w:rPr>
        <w:t xml:space="preserve">VIII. La notificación, entrega o puesta a disposición de información en una modalidad o formato distinto al solicitado;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902182">
        <w:rPr>
          <w:rFonts w:ascii="Palatino Linotype" w:eastAsia="Palatino Linotype" w:hAnsi="Palatino Linotype" w:cs="Palatino Linotype"/>
          <w:b/>
          <w:i/>
          <w:color w:val="000000"/>
          <w:sz w:val="22"/>
          <w:szCs w:val="22"/>
        </w:rPr>
        <w:t>(…)</w:t>
      </w:r>
    </w:p>
    <w:p w:rsidR="0032171E" w:rsidRPr="00902182" w:rsidRDefault="0032171E">
      <w:pPr>
        <w:pBdr>
          <w:top w:val="nil"/>
          <w:left w:val="nil"/>
          <w:bottom w:val="nil"/>
          <w:right w:val="nil"/>
          <w:between w:val="nil"/>
        </w:pBdr>
        <w:ind w:right="864"/>
        <w:jc w:val="both"/>
        <w:rPr>
          <w:rFonts w:ascii="Palatino Linotype" w:eastAsia="Palatino Linotype" w:hAnsi="Palatino Linotype" w:cs="Palatino Linotype"/>
          <w:i/>
          <w:color w:val="000000"/>
          <w:sz w:val="22"/>
          <w:szCs w:val="22"/>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b/>
          <w:color w:val="000000"/>
        </w:rPr>
        <w:t xml:space="preserve">TERCERO. MATERIA DE LA REVISIÓN. </w:t>
      </w:r>
      <w:r w:rsidRPr="00902182">
        <w:rPr>
          <w:rFonts w:ascii="Palatino Linotype" w:eastAsia="Palatino Linotype" w:hAnsi="Palatino Linotype" w:cs="Palatino Linotype"/>
          <w:color w:val="000000"/>
        </w:rPr>
        <w:t>De la revisión a las constancias y documentos que obran en el expediente electrónico se advierte, que el tema sobre el que este Órgano Garante se pronunciará será: verificar si la respuesta otorgada por</w:t>
      </w:r>
      <w:r w:rsidRPr="00902182">
        <w:rPr>
          <w:rFonts w:ascii="Palatino Linotype" w:eastAsia="Palatino Linotype" w:hAnsi="Palatino Linotype" w:cs="Palatino Linotype"/>
          <w:b/>
          <w:color w:val="000000"/>
        </w:rPr>
        <w:t xml:space="preserve"> EL SUJETO OBLIGADO </w:t>
      </w:r>
      <w:r w:rsidRPr="00902182">
        <w:rPr>
          <w:rFonts w:ascii="Palatino Linotype" w:eastAsia="Palatino Linotype" w:hAnsi="Palatino Linotype" w:cs="Palatino Linotype"/>
          <w:color w:val="000000"/>
        </w:rPr>
        <w:t>es adecuada y suficiente para satisfacer el Derecho de Acceso a la Información Pública</w:t>
      </w:r>
      <w:r w:rsidRPr="00902182">
        <w:rPr>
          <w:rFonts w:ascii="Palatino Linotype" w:eastAsia="Palatino Linotype" w:hAnsi="Palatino Linotype" w:cs="Palatino Linotype"/>
          <w:b/>
          <w:color w:val="000000"/>
        </w:rPr>
        <w:t xml:space="preserve"> </w:t>
      </w:r>
      <w:r w:rsidRPr="00902182">
        <w:rPr>
          <w:rFonts w:ascii="Palatino Linotype" w:eastAsia="Palatino Linotype" w:hAnsi="Palatino Linotype" w:cs="Palatino Linotype"/>
          <w:color w:val="000000"/>
        </w:rPr>
        <w:t xml:space="preserve">de </w:t>
      </w:r>
      <w:r w:rsidRPr="00902182">
        <w:rPr>
          <w:rFonts w:ascii="Palatino Linotype" w:eastAsia="Palatino Linotype" w:hAnsi="Palatino Linotype" w:cs="Palatino Linotype"/>
          <w:b/>
          <w:color w:val="000000"/>
        </w:rPr>
        <w:t>LA PARTE RECURRENTE,</w:t>
      </w:r>
      <w:r w:rsidRPr="00902182">
        <w:rPr>
          <w:rFonts w:ascii="Palatino Linotype" w:eastAsia="Palatino Linotype" w:hAnsi="Palatino Linotype" w:cs="Palatino Linotype"/>
          <w:color w:val="000000"/>
        </w:rPr>
        <w:t xml:space="preserve"> o en su defecto, en caso de ser procedente, ordenar la entrega de información oportuna.</w:t>
      </w:r>
    </w:p>
    <w:p w:rsidR="0032171E" w:rsidRPr="00902182" w:rsidRDefault="0032171E">
      <w:pPr>
        <w:spacing w:line="360" w:lineRule="auto"/>
        <w:jc w:val="both"/>
        <w:rPr>
          <w:rFonts w:ascii="Palatino Linotype" w:eastAsia="Palatino Linotype" w:hAnsi="Palatino Linotype" w:cs="Palatino Linotype"/>
          <w:color w:val="000000"/>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b/>
          <w:color w:val="000000"/>
        </w:rPr>
        <w:t xml:space="preserve">CUARTO. ESTUDIO DEL ASUNTO. </w:t>
      </w:r>
      <w:r w:rsidRPr="00902182">
        <w:rPr>
          <w:rFonts w:ascii="Palatino Linotype" w:eastAsia="Palatino Linotype" w:hAnsi="Palatino Linotype" w:cs="Palatino Linotype"/>
          <w:color w:val="000000"/>
        </w:rPr>
        <w:t xml:space="preserve">Antes de entrar al análisis de los pronunciamientos del </w:t>
      </w:r>
      <w:r w:rsidRPr="00902182">
        <w:rPr>
          <w:rFonts w:ascii="Palatino Linotype" w:eastAsia="Palatino Linotype" w:hAnsi="Palatino Linotype" w:cs="Palatino Linotype"/>
          <w:b/>
          <w:color w:val="000000"/>
        </w:rPr>
        <w:t>SUJETO OBLIGADO</w:t>
      </w:r>
      <w:r w:rsidRPr="00902182">
        <w:rPr>
          <w:rFonts w:ascii="Palatino Linotype" w:eastAsia="Palatino Linotype" w:hAnsi="Palatino Linotype" w:cs="Palatino Linotype"/>
          <w:color w:val="000000"/>
        </w:rPr>
        <w:t xml:space="preserve"> en la respuesta proporcionada, es necesario mencionar que el Derecho de Acceso a la Información está consagrado en </w:t>
      </w:r>
      <w:r w:rsidRPr="00902182">
        <w:rPr>
          <w:rFonts w:ascii="Palatino Linotype" w:eastAsia="Palatino Linotype" w:hAnsi="Palatino Linotype" w:cs="Palatino Linotype"/>
          <w:color w:val="000000"/>
        </w:rPr>
        <w:lastRenderedPageBreak/>
        <w:t>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u w:val="single"/>
        </w:rPr>
        <w:t>Artículo 1o. En los Estados Unidos Mexicanos todas las personas gozarán de los derechos humanos reconocidos en esta Constitución y en los tratados internacionales de los que el Estado Mexicano sea parte</w:t>
      </w:r>
      <w:r w:rsidRPr="00902182">
        <w:rPr>
          <w:rFonts w:ascii="Palatino Linotype" w:eastAsia="Palatino Linotype" w:hAnsi="Palatino Linotype" w:cs="Palatino Linotype"/>
          <w:i/>
          <w:color w:val="404040"/>
          <w:sz w:val="22"/>
          <w:szCs w:val="22"/>
        </w:rPr>
        <w:t>, así como de las garantías para su protección, cuyo ejercicio no podrá restringirse ni suspenderse, salvo en los casos y bajo las condiciones que esta Constitución establece.</w:t>
      </w:r>
    </w:p>
    <w:p w:rsidR="0032171E" w:rsidRPr="00902182" w:rsidRDefault="0032171E"/>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b/>
          <w:i/>
          <w:color w:val="404040"/>
          <w:sz w:val="22"/>
          <w:szCs w:val="22"/>
        </w:rPr>
        <w:t>Las normas relativas a los derechos humanos se interpretarán de conformidad con esta Constitución y con los tratados internacionales de la materia favoreciendo en todo tiempo a las personas la protección más amplia.</w:t>
      </w:r>
    </w:p>
    <w:p w:rsidR="0032171E" w:rsidRPr="00902182" w:rsidRDefault="0032171E"/>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rPr>
      </w:pPr>
      <w:r w:rsidRPr="00902182">
        <w:rPr>
          <w:rFonts w:ascii="Palatino Linotype" w:eastAsia="Palatino Linotype" w:hAnsi="Palatino Linotype" w:cs="Palatino Linotype"/>
          <w:b/>
          <w:i/>
          <w:color w:val="40404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02182">
        <w:rPr>
          <w:rFonts w:ascii="Palatino Linotype" w:eastAsia="Palatino Linotype" w:hAnsi="Palatino Linotype" w:cs="Palatino Linotype"/>
          <w:i/>
          <w:color w:val="404040"/>
          <w:sz w:val="22"/>
          <w:szCs w:val="22"/>
        </w:rPr>
        <w:t xml:space="preserve"> En consecuencia, el Estado deberá prevenir, investigar, sancionar y reparar las violaciones a los derechos humanos, en los términos que establezca la ley.</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w:t>
      </w:r>
    </w:p>
    <w:p w:rsidR="0032171E" w:rsidRPr="00902182" w:rsidRDefault="0032171E"/>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rPr>
      </w:pPr>
      <w:r w:rsidRPr="00902182">
        <w:rPr>
          <w:rFonts w:ascii="Palatino Linotype" w:eastAsia="Palatino Linotype" w:hAnsi="Palatino Linotype" w:cs="Palatino Linotype"/>
          <w:b/>
          <w:i/>
          <w:color w:val="404040"/>
          <w:sz w:val="22"/>
          <w:szCs w:val="22"/>
        </w:rPr>
        <w:t>Artículo 6o.</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rPr>
      </w:pPr>
      <w:r w:rsidRPr="00902182">
        <w:rPr>
          <w:rFonts w:ascii="Palatino Linotype" w:eastAsia="Palatino Linotype" w:hAnsi="Palatino Linotype" w:cs="Palatino Linotype"/>
          <w:i/>
          <w:color w:val="404040"/>
          <w:sz w:val="22"/>
          <w:szCs w:val="22"/>
        </w:rPr>
        <w:t>[...]</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 xml:space="preserve">A. Para el ejercicio del derecho de acceso a la información, la Federación y </w:t>
      </w:r>
      <w:r w:rsidRPr="00902182">
        <w:rPr>
          <w:rFonts w:ascii="Palatino Linotype" w:eastAsia="Palatino Linotype" w:hAnsi="Palatino Linotype" w:cs="Palatino Linotype"/>
          <w:b/>
          <w:i/>
          <w:color w:val="404040"/>
          <w:sz w:val="22"/>
          <w:szCs w:val="22"/>
          <w:u w:val="single"/>
        </w:rPr>
        <w:t>las entidades federativas</w:t>
      </w:r>
      <w:r w:rsidRPr="00902182">
        <w:rPr>
          <w:rFonts w:ascii="Palatino Linotype" w:eastAsia="Palatino Linotype" w:hAnsi="Palatino Linotype" w:cs="Palatino Linotype"/>
          <w:b/>
          <w:i/>
          <w:color w:val="404040"/>
          <w:sz w:val="22"/>
          <w:szCs w:val="22"/>
        </w:rPr>
        <w:t>,</w:t>
      </w:r>
      <w:r w:rsidRPr="00902182">
        <w:rPr>
          <w:rFonts w:ascii="Palatino Linotype" w:eastAsia="Palatino Linotype" w:hAnsi="Palatino Linotype" w:cs="Palatino Linotype"/>
          <w:i/>
          <w:color w:val="404040"/>
          <w:sz w:val="22"/>
          <w:szCs w:val="22"/>
        </w:rPr>
        <w:t xml:space="preserve"> en el ámbito de sus respectivas competencias, se regirán por los siguientes principios y bases:</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w:t>
      </w:r>
      <w:r w:rsidRPr="00902182">
        <w:rPr>
          <w:rFonts w:ascii="Palatino Linotype" w:eastAsia="Palatino Linotype" w:hAnsi="Palatino Linotype" w:cs="Palatino Linotype"/>
          <w:b/>
          <w:i/>
          <w:color w:val="404040"/>
          <w:sz w:val="22"/>
          <w:szCs w:val="22"/>
        </w:rPr>
        <w:t xml:space="preserve">I. </w:t>
      </w:r>
      <w:r w:rsidRPr="00902182">
        <w:rPr>
          <w:rFonts w:ascii="Palatino Linotype" w:eastAsia="Palatino Linotype" w:hAnsi="Palatino Linotype" w:cs="Palatino Linotype"/>
          <w:b/>
          <w:i/>
          <w:color w:val="404040"/>
          <w:sz w:val="22"/>
          <w:szCs w:val="22"/>
          <w:u w:val="single"/>
        </w:rPr>
        <w:t>Toda la información en posesión de cualquier autoridad, entidad, órgano y organismo de los Poderes</w:t>
      </w:r>
      <w:r w:rsidRPr="00902182">
        <w:rPr>
          <w:rFonts w:ascii="Palatino Linotype" w:eastAsia="Palatino Linotype" w:hAnsi="Palatino Linotype" w:cs="Palatino Linotype"/>
          <w:i/>
          <w:color w:val="404040"/>
          <w:sz w:val="22"/>
          <w:szCs w:val="22"/>
        </w:rPr>
        <w:t xml:space="preserve"> Ejecutivo, Legislativo </w:t>
      </w:r>
      <w:r w:rsidRPr="00902182">
        <w:rPr>
          <w:rFonts w:ascii="Palatino Linotype" w:eastAsia="Palatino Linotype" w:hAnsi="Palatino Linotype" w:cs="Palatino Linotype"/>
          <w:b/>
          <w:i/>
          <w:color w:val="404040"/>
          <w:sz w:val="22"/>
          <w:szCs w:val="22"/>
          <w:u w:val="single"/>
        </w:rPr>
        <w:t>y Judicial</w:t>
      </w:r>
      <w:r w:rsidRPr="00902182">
        <w:rPr>
          <w:rFonts w:ascii="Palatino Linotype" w:eastAsia="Palatino Linotype" w:hAnsi="Palatino Linotype" w:cs="Palatino Linotype"/>
          <w:i/>
          <w:color w:val="404040"/>
          <w:sz w:val="22"/>
          <w:szCs w:val="22"/>
        </w:rPr>
        <w:t xml:space="preserve">, órganos </w:t>
      </w:r>
      <w:r w:rsidRPr="00902182">
        <w:rPr>
          <w:rFonts w:ascii="Palatino Linotype" w:eastAsia="Palatino Linotype" w:hAnsi="Palatino Linotype" w:cs="Palatino Linotype"/>
          <w:i/>
          <w:color w:val="404040"/>
          <w:sz w:val="22"/>
          <w:szCs w:val="22"/>
        </w:rPr>
        <w:lastRenderedPageBreak/>
        <w:t xml:space="preserve">autónomos, partidos políticos, fideicomisos y fondos públicos, así como de cualquier persona física, moral o sindicato que reciba y ejerza recursos públicos o realice actos de autoridad en el ámbito federal, estatal y municipal, </w:t>
      </w:r>
      <w:r w:rsidRPr="00902182">
        <w:rPr>
          <w:rFonts w:ascii="Palatino Linotype" w:eastAsia="Palatino Linotype" w:hAnsi="Palatino Linotype" w:cs="Palatino Linotype"/>
          <w:b/>
          <w:i/>
          <w:color w:val="404040"/>
          <w:sz w:val="22"/>
          <w:szCs w:val="22"/>
        </w:rPr>
        <w:t>es pública y sólo podrá ser reservada temporalmente por razones de interés público y seguridad nacional,</w:t>
      </w:r>
      <w:r w:rsidRPr="00902182">
        <w:rPr>
          <w:rFonts w:ascii="Palatino Linotype" w:eastAsia="Palatino Linotype" w:hAnsi="Palatino Linotype" w:cs="Palatino Linotype"/>
          <w:i/>
          <w:color w:val="40404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2171E" w:rsidRPr="00902182" w:rsidRDefault="0032171E"/>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i/>
          <w:color w:val="404040"/>
          <w:sz w:val="22"/>
          <w:szCs w:val="22"/>
        </w:rPr>
        <w:t> </w:t>
      </w:r>
      <w:r w:rsidRPr="00902182">
        <w:rPr>
          <w:rFonts w:ascii="Palatino Linotype" w:eastAsia="Palatino Linotype" w:hAnsi="Palatino Linotype" w:cs="Palatino Linotype"/>
          <w:b/>
          <w:i/>
          <w:color w:val="404040"/>
          <w:sz w:val="22"/>
          <w:szCs w:val="22"/>
        </w:rPr>
        <w:t>II. La información que se refiere a la vida privada y los datos personales será protegida en los términos y con las excepciones que fijen las leyes.</w:t>
      </w:r>
    </w:p>
    <w:p w:rsidR="0032171E" w:rsidRPr="00902182" w:rsidRDefault="0032171E"/>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w:t>
      </w:r>
      <w:r w:rsidRPr="00902182">
        <w:rPr>
          <w:rFonts w:ascii="Palatino Linotype" w:eastAsia="Palatino Linotype" w:hAnsi="Palatino Linotype" w:cs="Palatino Linotype"/>
          <w:b/>
          <w:i/>
          <w:color w:val="404040"/>
          <w:sz w:val="22"/>
          <w:szCs w:val="22"/>
        </w:rPr>
        <w:t xml:space="preserve">III. </w:t>
      </w:r>
      <w:r w:rsidRPr="00902182">
        <w:rPr>
          <w:rFonts w:ascii="Palatino Linotype" w:eastAsia="Palatino Linotype" w:hAnsi="Palatino Linotype" w:cs="Palatino Linotype"/>
          <w:b/>
          <w:i/>
          <w:color w:val="404040"/>
          <w:sz w:val="22"/>
          <w:szCs w:val="22"/>
          <w:u w:val="single"/>
        </w:rPr>
        <w:t>Toda persona, sin necesidad de acreditar interés alguno o justificar su utilización, tendrá acceso gratuito a la información pública,</w:t>
      </w:r>
      <w:r w:rsidRPr="00902182">
        <w:rPr>
          <w:rFonts w:ascii="Palatino Linotype" w:eastAsia="Palatino Linotype" w:hAnsi="Palatino Linotype" w:cs="Palatino Linotype"/>
          <w:i/>
          <w:color w:val="404040"/>
          <w:sz w:val="22"/>
          <w:szCs w:val="22"/>
        </w:rPr>
        <w:t xml:space="preserve"> a sus datos personales o a la rectificación de éstos.</w:t>
      </w:r>
    </w:p>
    <w:p w:rsidR="0032171E" w:rsidRPr="00902182" w:rsidRDefault="0032171E"/>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w:t>
      </w:r>
      <w:r w:rsidRPr="00902182">
        <w:rPr>
          <w:rFonts w:ascii="Palatino Linotype" w:eastAsia="Palatino Linotype" w:hAnsi="Palatino Linotype" w:cs="Palatino Linotype"/>
          <w:b/>
          <w:i/>
          <w:color w:val="404040"/>
          <w:sz w:val="22"/>
          <w:szCs w:val="22"/>
        </w:rPr>
        <w:t xml:space="preserve">IV. </w:t>
      </w:r>
      <w:r w:rsidRPr="00902182">
        <w:rPr>
          <w:rFonts w:ascii="Palatino Linotype" w:eastAsia="Palatino Linotype" w:hAnsi="Palatino Linotype" w:cs="Palatino Linotype"/>
          <w:i/>
          <w:color w:val="404040"/>
          <w:sz w:val="22"/>
          <w:szCs w:val="22"/>
        </w:rPr>
        <w:t>Se establecerán mecanismos de acceso a la información y procedimientos de revisión expeditos que se sustanciarán ante los organismos autónomos especializados e imparciales que establece esta Constitución.</w:t>
      </w:r>
    </w:p>
    <w:p w:rsidR="0032171E" w:rsidRPr="00902182" w:rsidRDefault="0032171E"/>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 xml:space="preserve">V. </w:t>
      </w:r>
      <w:r w:rsidRPr="00902182">
        <w:rPr>
          <w:rFonts w:ascii="Palatino Linotype" w:eastAsia="Palatino Linotype" w:hAnsi="Palatino Linotype" w:cs="Palatino Linotype"/>
          <w:i/>
          <w:color w:val="40404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2171E" w:rsidRPr="00902182" w:rsidRDefault="0032171E"/>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w:t>
      </w:r>
      <w:r w:rsidRPr="00902182">
        <w:rPr>
          <w:rFonts w:ascii="Palatino Linotype" w:eastAsia="Palatino Linotype" w:hAnsi="Palatino Linotype" w:cs="Palatino Linotype"/>
          <w:b/>
          <w:i/>
          <w:color w:val="404040"/>
          <w:sz w:val="22"/>
          <w:szCs w:val="22"/>
        </w:rPr>
        <w:t xml:space="preserve">VI. </w:t>
      </w:r>
      <w:r w:rsidRPr="00902182">
        <w:rPr>
          <w:rFonts w:ascii="Palatino Linotype" w:eastAsia="Palatino Linotype" w:hAnsi="Palatino Linotype" w:cs="Palatino Linotype"/>
          <w:i/>
          <w:color w:val="404040"/>
          <w:sz w:val="22"/>
          <w:szCs w:val="22"/>
        </w:rPr>
        <w:t>Las leyes determinarán la manera en que los sujetos obligados deberán hacer pública la información relativa a los recursos públicos que entreguen a personas físicas o morales.</w:t>
      </w:r>
    </w:p>
    <w:p w:rsidR="0032171E" w:rsidRPr="00902182" w:rsidRDefault="0032171E"/>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w:t>
      </w:r>
      <w:r w:rsidRPr="00902182">
        <w:rPr>
          <w:rFonts w:ascii="Palatino Linotype" w:eastAsia="Palatino Linotype" w:hAnsi="Palatino Linotype" w:cs="Palatino Linotype"/>
          <w:b/>
          <w:i/>
          <w:color w:val="404040"/>
          <w:sz w:val="22"/>
          <w:szCs w:val="22"/>
        </w:rPr>
        <w:t xml:space="preserve">VII. </w:t>
      </w:r>
      <w:r w:rsidRPr="00902182">
        <w:rPr>
          <w:rFonts w:ascii="Palatino Linotype" w:eastAsia="Palatino Linotype" w:hAnsi="Palatino Linotype" w:cs="Palatino Linotype"/>
          <w:i/>
          <w:color w:val="404040"/>
          <w:sz w:val="22"/>
          <w:szCs w:val="22"/>
        </w:rPr>
        <w:t xml:space="preserve">La inobservancia a las disposiciones en materia de acceso a la información pública será sancionada en los términos que dispongan las leyes.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w:t>
      </w:r>
    </w:p>
    <w:p w:rsidR="0032171E" w:rsidRPr="00902182" w:rsidRDefault="0032171E"/>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Artículo 4</w:t>
      </w:r>
      <w:r w:rsidRPr="00902182">
        <w:rPr>
          <w:rFonts w:ascii="Palatino Linotype" w:eastAsia="Palatino Linotype" w:hAnsi="Palatino Linotype" w:cs="Palatino Linotype"/>
          <w:i/>
          <w:color w:val="40404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32171E" w:rsidRPr="00902182" w:rsidRDefault="0032171E"/>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b/>
          <w:i/>
          <w:color w:val="40404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32171E" w:rsidRPr="00902182" w:rsidRDefault="0032171E"/>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32171E" w:rsidRPr="00902182" w:rsidRDefault="0032171E">
      <w:pPr>
        <w:pBdr>
          <w:top w:val="nil"/>
          <w:left w:val="nil"/>
          <w:bottom w:val="nil"/>
          <w:right w:val="nil"/>
          <w:between w:val="nil"/>
        </w:pBdr>
        <w:ind w:left="864" w:right="864"/>
        <w:jc w:val="both"/>
        <w:rPr>
          <w:i/>
          <w:color w:val="404040"/>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Artículo 12</w:t>
      </w:r>
      <w:r w:rsidRPr="00902182">
        <w:rPr>
          <w:rFonts w:ascii="Palatino Linotype" w:eastAsia="Palatino Linotype" w:hAnsi="Palatino Linotype" w:cs="Palatino Linotype"/>
          <w:i/>
          <w:color w:val="404040"/>
          <w:sz w:val="22"/>
          <w:szCs w:val="22"/>
        </w:rPr>
        <w:t>. Quienes generen, recopilen, administren, manejen, procesen, archiven o conserven información pública serán responsables de la misma en los términos de las disposiciones jurídicas aplicables. </w:t>
      </w:r>
    </w:p>
    <w:p w:rsidR="0032171E" w:rsidRPr="00902182" w:rsidRDefault="0032171E"/>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2171E" w:rsidRPr="00902182" w:rsidRDefault="0032171E">
      <w:pPr>
        <w:pBdr>
          <w:top w:val="nil"/>
          <w:left w:val="nil"/>
          <w:bottom w:val="nil"/>
          <w:right w:val="nil"/>
          <w:between w:val="nil"/>
        </w:pBdr>
        <w:ind w:left="864" w:right="864"/>
        <w:jc w:val="both"/>
        <w:rPr>
          <w:i/>
          <w:color w:val="40404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902182">
        <w:rPr>
          <w:rFonts w:ascii="Palatino Linotype" w:eastAsia="Palatino Linotype" w:hAnsi="Palatino Linotype" w:cs="Palatino Linotype"/>
          <w:b/>
          <w:color w:val="000000"/>
        </w:rPr>
        <w:t xml:space="preserve"> </w:t>
      </w:r>
      <w:r w:rsidRPr="00902182">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902182">
        <w:rPr>
          <w:rFonts w:ascii="Palatino Linotype" w:eastAsia="Palatino Linotype" w:hAnsi="Palatino Linotype" w:cs="Palatino Linotype"/>
          <w:i/>
          <w:color w:val="000000"/>
        </w:rPr>
        <w:t>ad hoc</w:t>
      </w:r>
      <w:r w:rsidRPr="00902182">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03/17</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lastRenderedPageBreak/>
        <w:t>NO EXISTE OBLIGACIÓN DE ELABORAR DOCUMENTOS AD HOC PARA ATENDER LAS SOLICITUDES DE ACCESO A LA INFORMACIÓN.</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2171E" w:rsidRPr="00902182" w:rsidRDefault="0032171E">
      <w:pPr>
        <w:pBdr>
          <w:top w:val="nil"/>
          <w:left w:val="nil"/>
          <w:bottom w:val="nil"/>
          <w:right w:val="nil"/>
          <w:between w:val="nil"/>
        </w:pBdr>
        <w:spacing w:line="360" w:lineRule="auto"/>
        <w:jc w:val="both"/>
        <w:rPr>
          <w:color w:val="000000"/>
        </w:rPr>
      </w:pPr>
    </w:p>
    <w:p w:rsidR="0032171E" w:rsidRPr="00902182" w:rsidRDefault="00BA3F2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32171E" w:rsidRPr="00902182" w:rsidRDefault="0032171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 xml:space="preserve">Artículo 3. </w:t>
      </w:r>
      <w:r w:rsidRPr="00902182">
        <w:rPr>
          <w:rFonts w:ascii="Palatino Linotype" w:eastAsia="Palatino Linotype" w:hAnsi="Palatino Linotype" w:cs="Palatino Linotype"/>
          <w:i/>
          <w:color w:val="404040"/>
          <w:sz w:val="22"/>
          <w:szCs w:val="22"/>
        </w:rPr>
        <w:t>Para los efectos de la presente Ley se entenderá por:</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XI. Documento:</w:t>
      </w:r>
      <w:r w:rsidRPr="00902182">
        <w:rPr>
          <w:rFonts w:ascii="Palatino Linotype" w:eastAsia="Palatino Linotype" w:hAnsi="Palatino Linotype" w:cs="Palatino Linotype"/>
          <w:i/>
          <w:color w:val="40404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w:t>
      </w:r>
      <w:r w:rsidRPr="00902182">
        <w:rPr>
          <w:rFonts w:ascii="Palatino Linotype" w:eastAsia="Palatino Linotype" w:hAnsi="Palatino Linotype" w:cs="Palatino Linotype"/>
          <w:i/>
          <w:color w:val="404040"/>
          <w:sz w:val="22"/>
          <w:szCs w:val="22"/>
        </w:rPr>
        <w:t>)</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spacing w:line="360" w:lineRule="auto"/>
        <w:jc w:val="both"/>
        <w:rPr>
          <w:color w:val="000000"/>
        </w:rPr>
      </w:pPr>
      <w:r w:rsidRPr="00902182">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CRITERIO 0002-11</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En consecuencia el acceso a la información se refiere a que se cumplan cualquiera de los siguientes tres supuestos:</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1. Que se trate de información registrada en cualquier soporte documental, que en ejercicio de las atribuciones conferidas, sea generada por los Sujetos Obligados;</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2. Que se trate de información registrada en cualquier soporte documental, que en ejercicio de las atribuciones conferidas, sea administrada por los Sujetos Obligados, y</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3. Que se trate de información registrada en cualquier soporte documental, que en ejercicio de las atribuciones conferidas, se encuentre en posesión de los Sujetos Obligados.</w:t>
      </w:r>
    </w:p>
    <w:p w:rsidR="0032171E" w:rsidRPr="00902182" w:rsidRDefault="0032171E">
      <w:pPr>
        <w:pBdr>
          <w:top w:val="nil"/>
          <w:left w:val="nil"/>
          <w:bottom w:val="nil"/>
          <w:right w:val="nil"/>
          <w:between w:val="nil"/>
        </w:pBdr>
        <w:spacing w:line="360" w:lineRule="auto"/>
        <w:ind w:left="567" w:right="567" w:hanging="284"/>
        <w:jc w:val="both"/>
        <w:rPr>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De ahí que </w:t>
      </w:r>
      <w:r w:rsidRPr="00902182">
        <w:rPr>
          <w:rFonts w:ascii="Palatino Linotype" w:eastAsia="Palatino Linotype" w:hAnsi="Palatino Linotype" w:cs="Palatino Linotype"/>
          <w:b/>
          <w:color w:val="000000"/>
        </w:rPr>
        <w:t>EL SUJETO OBLIGADO</w:t>
      </w:r>
      <w:r w:rsidRPr="00902182">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lastRenderedPageBreak/>
        <w:t xml:space="preserve">Apuntado lo anterior, este Órgano Garante centrará su atención en el estudio de fondo del agravio hecho valer por </w:t>
      </w:r>
      <w:r w:rsidRPr="00902182">
        <w:rPr>
          <w:rFonts w:ascii="Palatino Linotype" w:eastAsia="Palatino Linotype" w:hAnsi="Palatino Linotype" w:cs="Palatino Linotype"/>
          <w:b/>
          <w:color w:val="000000"/>
        </w:rPr>
        <w:t xml:space="preserve">LA PARTE RECURRENTE, </w:t>
      </w:r>
      <w:r w:rsidRPr="00902182">
        <w:rPr>
          <w:rFonts w:ascii="Palatino Linotype" w:eastAsia="Palatino Linotype" w:hAnsi="Palatino Linotype" w:cs="Palatino Linotype"/>
          <w:color w:val="000000"/>
        </w:rPr>
        <w:t xml:space="preserve">pues en la solicitud </w:t>
      </w:r>
      <w:r w:rsidRPr="00902182">
        <w:rPr>
          <w:rFonts w:ascii="Palatino Linotype" w:eastAsia="Palatino Linotype" w:hAnsi="Palatino Linotype" w:cs="Palatino Linotype"/>
          <w:b/>
        </w:rPr>
        <w:t>00033/OASIXTAPAL/IP/2023</w:t>
      </w:r>
      <w:r w:rsidRPr="00902182">
        <w:rPr>
          <w:rFonts w:ascii="Arial" w:eastAsia="Arial" w:hAnsi="Arial" w:cs="Arial"/>
          <w:b/>
          <w:sz w:val="15"/>
          <w:szCs w:val="15"/>
        </w:rPr>
        <w:t xml:space="preserve"> </w:t>
      </w:r>
      <w:r w:rsidRPr="00902182">
        <w:rPr>
          <w:rFonts w:ascii="Palatino Linotype" w:eastAsia="Palatino Linotype" w:hAnsi="Palatino Linotype" w:cs="Palatino Linotype"/>
          <w:color w:val="000000"/>
        </w:rPr>
        <w:t xml:space="preserve">requirió del periodo que va del primero de septiembre de dos mil veintidós al quince de abril de dos mil veintitrés, la siguiente información: </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2171E" w:rsidRPr="00902182" w:rsidRDefault="00BA3F20">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Remuneración de todas las personas adscritas al </w:t>
      </w:r>
      <w:r w:rsidRPr="00902182">
        <w:rPr>
          <w:rFonts w:ascii="Palatino Linotype" w:eastAsia="Palatino Linotype" w:hAnsi="Palatino Linotype" w:cs="Palatino Linotype"/>
          <w:b/>
          <w:color w:val="000000"/>
        </w:rPr>
        <w:t>SUJETO OBLIGADO</w:t>
      </w:r>
      <w:r w:rsidRPr="00902182">
        <w:rPr>
          <w:rFonts w:ascii="Palatino Linotype" w:eastAsia="Palatino Linotype" w:hAnsi="Palatino Linotype" w:cs="Palatino Linotype"/>
          <w:color w:val="000000"/>
        </w:rPr>
        <w:t xml:space="preserve"> mediante recibos de nómina, recibos de honorarios y listas de raya de todas las áreas. </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A dicha solicitud fue la Coordinación de Recursos Humanos quien informó que la Unidad Administrativa no cuenta con listas de raya ni recibos de honorarios, por lo que en cuanto hace a los recibos de nómina señaló que de la primer quincena del mes de septiembre de dos mil veintidós a la primera quincena de abril de dos mil veintitrés dijo que constaba de nueve mil quinientas hojas que superan la capacidad técnica del </w:t>
      </w:r>
      <w:r w:rsidRPr="00902182">
        <w:rPr>
          <w:rFonts w:ascii="Palatino Linotype" w:eastAsia="Palatino Linotype" w:hAnsi="Palatino Linotype" w:cs="Palatino Linotype"/>
          <w:b/>
          <w:color w:val="000000"/>
        </w:rPr>
        <w:t xml:space="preserve">SUJETO OBLIGADO. </w:t>
      </w:r>
      <w:r w:rsidRPr="00902182">
        <w:rPr>
          <w:rFonts w:ascii="Palatino Linotype" w:eastAsia="Palatino Linotype" w:hAnsi="Palatino Linotype" w:cs="Palatino Linotype"/>
          <w:color w:val="000000"/>
        </w:rPr>
        <w:t xml:space="preserve">Además remitió una liga electrónica para la consulta de la información. </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En conocimiento de la respuesta fue que </w:t>
      </w:r>
      <w:r w:rsidRPr="00902182">
        <w:rPr>
          <w:rFonts w:ascii="Palatino Linotype" w:eastAsia="Palatino Linotype" w:hAnsi="Palatino Linotype" w:cs="Palatino Linotype"/>
          <w:b/>
          <w:color w:val="000000"/>
        </w:rPr>
        <w:t>LA PARTE RECURRENTE</w:t>
      </w:r>
      <w:r w:rsidRPr="00902182">
        <w:rPr>
          <w:rFonts w:ascii="Palatino Linotype" w:eastAsia="Palatino Linotype" w:hAnsi="Palatino Linotype" w:cs="Palatino Linotype"/>
          <w:color w:val="000000"/>
        </w:rPr>
        <w:t xml:space="preserve"> decidió interponer este medio de impugnación aduciendo que </w:t>
      </w:r>
      <w:r w:rsidRPr="00902182">
        <w:rPr>
          <w:rFonts w:ascii="Palatino Linotype" w:eastAsia="Palatino Linotype" w:hAnsi="Palatino Linotype" w:cs="Palatino Linotype"/>
          <w:i/>
          <w:color w:val="000000"/>
        </w:rPr>
        <w:t xml:space="preserve">“… la respuesta a mi solicitud que no cumplen con lo solicitado. En el aparto de Transparencia IPOMEX del que menciona el Sujeto Obligado no logro visualizar la información solicitada RECIBOS DE NOMINA, RECIBOS DE HONORARIOS, Y LISTAS DE RAYA motivo por el cual ratifico que la </w:t>
      </w:r>
      <w:r w:rsidRPr="00902182">
        <w:rPr>
          <w:rFonts w:ascii="Palatino Linotype" w:eastAsia="Palatino Linotype" w:hAnsi="Palatino Linotype" w:cs="Palatino Linotype"/>
          <w:i/>
          <w:color w:val="000000"/>
        </w:rPr>
        <w:lastRenderedPageBreak/>
        <w:t xml:space="preserve">respuesta me la proporcionen vía SAIMEX su entrega desglosada, clara y detallada así como su entrega en versión pública….” (Sic), </w:t>
      </w:r>
      <w:r w:rsidRPr="00902182">
        <w:rPr>
          <w:rFonts w:ascii="Palatino Linotype" w:eastAsia="Palatino Linotype" w:hAnsi="Palatino Linotype" w:cs="Palatino Linotype"/>
          <w:color w:val="000000"/>
        </w:rPr>
        <w:t xml:space="preserve">es decir, es claro que </w:t>
      </w:r>
      <w:r w:rsidRPr="00902182">
        <w:rPr>
          <w:rFonts w:ascii="Palatino Linotype" w:eastAsia="Palatino Linotype" w:hAnsi="Palatino Linotype" w:cs="Palatino Linotype"/>
          <w:b/>
          <w:color w:val="000000"/>
        </w:rPr>
        <w:t>LA PARTE RECURRENTE</w:t>
      </w:r>
      <w:r w:rsidRPr="00902182">
        <w:rPr>
          <w:rFonts w:ascii="Palatino Linotype" w:eastAsia="Palatino Linotype" w:hAnsi="Palatino Linotype" w:cs="Palatino Linotype"/>
          <w:color w:val="000000"/>
        </w:rPr>
        <w:t xml:space="preserve"> se inconforma porque no le entregaron la información solicitada. </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Dentro de la Etapa de Manifestaciones tenemos que </w:t>
      </w:r>
      <w:r w:rsidRPr="00902182">
        <w:rPr>
          <w:rFonts w:ascii="Palatino Linotype" w:eastAsia="Palatino Linotype" w:hAnsi="Palatino Linotype" w:cs="Palatino Linotype"/>
          <w:b/>
          <w:color w:val="000000"/>
        </w:rPr>
        <w:t>EL SUJETO OBLIGADO</w:t>
      </w:r>
      <w:r w:rsidRPr="00902182">
        <w:rPr>
          <w:rFonts w:ascii="Palatino Linotype" w:eastAsia="Palatino Linotype" w:hAnsi="Palatino Linotype" w:cs="Palatino Linotype"/>
          <w:color w:val="000000"/>
        </w:rPr>
        <w:t xml:space="preserve"> ratificó su respuesta inicial, pero también invocó un cambio de modalidad de entrega de la información a consulta directa por superar las nueve mil quinientas hojas, como desde un principio lo señaló, no pasa por inadvertido que el Organismo Descentralizado únicamente centro sus esfuerzos en enunciar dicho cambio de modalidad pero se tiene que dejó de fundar y motivar el mismo. </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Una vez repasados los antecedentes de este medio de impugnación, lo conveniente es señalar que el estudio del mismo será en dos secciones; </w:t>
      </w:r>
      <w:r w:rsidRPr="00902182">
        <w:rPr>
          <w:rFonts w:ascii="Palatino Linotype" w:eastAsia="Palatino Linotype" w:hAnsi="Palatino Linotype" w:cs="Palatino Linotype"/>
          <w:b/>
          <w:color w:val="000000"/>
        </w:rPr>
        <w:t>la primera,</w:t>
      </w:r>
      <w:r w:rsidRPr="00902182">
        <w:rPr>
          <w:rFonts w:ascii="Palatino Linotype" w:eastAsia="Palatino Linotype" w:hAnsi="Palatino Linotype" w:cs="Palatino Linotype"/>
          <w:color w:val="000000"/>
        </w:rPr>
        <w:t xml:space="preserve"> relacionada con la naturaleza de la información solicitada y; </w:t>
      </w:r>
      <w:r w:rsidRPr="00902182">
        <w:rPr>
          <w:rFonts w:ascii="Palatino Linotype" w:eastAsia="Palatino Linotype" w:hAnsi="Palatino Linotype" w:cs="Palatino Linotype"/>
          <w:b/>
          <w:color w:val="000000"/>
        </w:rPr>
        <w:t>la segunda,</w:t>
      </w:r>
      <w:r w:rsidRPr="00902182">
        <w:rPr>
          <w:rFonts w:ascii="Palatino Linotype" w:eastAsia="Palatino Linotype" w:hAnsi="Palatino Linotype" w:cs="Palatino Linotype"/>
          <w:color w:val="000000"/>
        </w:rPr>
        <w:t xml:space="preserve"> relacionada con el cambio de modalidad de entrega de la información a consulta directa. </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02182">
        <w:rPr>
          <w:rFonts w:ascii="Palatino Linotype" w:eastAsia="Palatino Linotype" w:hAnsi="Palatino Linotype" w:cs="Palatino Linotype"/>
          <w:b/>
          <w:color w:val="000000"/>
        </w:rPr>
        <w:t xml:space="preserve">UNO. NATURALEZA DE LA INFORMACIÓN SOLICITADA. </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En esa tesitura, es claro para este Instituto que </w:t>
      </w:r>
      <w:r w:rsidRPr="00902182">
        <w:rPr>
          <w:rFonts w:ascii="Palatino Linotype" w:eastAsia="Palatino Linotype" w:hAnsi="Palatino Linotype" w:cs="Palatino Linotype"/>
          <w:b/>
          <w:color w:val="000000"/>
        </w:rPr>
        <w:t xml:space="preserve">LA PARTE RECURRENTE </w:t>
      </w:r>
      <w:r w:rsidRPr="00902182">
        <w:rPr>
          <w:rFonts w:ascii="Palatino Linotype" w:eastAsia="Palatino Linotype" w:hAnsi="Palatino Linotype" w:cs="Palatino Linotype"/>
          <w:color w:val="000000"/>
        </w:rPr>
        <w:t xml:space="preserve">desde su requerimiento inicial pidió del </w:t>
      </w:r>
      <w:r w:rsidRPr="00902182">
        <w:rPr>
          <w:rFonts w:ascii="Palatino Linotype" w:eastAsia="Palatino Linotype" w:hAnsi="Palatino Linotype" w:cs="Palatino Linotype"/>
          <w:b/>
          <w:color w:val="000000"/>
        </w:rPr>
        <w:t>SUJETO OBLIGADO,</w:t>
      </w:r>
      <w:r w:rsidRPr="00902182">
        <w:rPr>
          <w:rFonts w:ascii="Palatino Linotype" w:eastAsia="Palatino Linotype" w:hAnsi="Palatino Linotype" w:cs="Palatino Linotype"/>
          <w:color w:val="000000"/>
        </w:rPr>
        <w:t xml:space="preserve"> la remuneración de todas las personas adscritas mediante recibos de nómina, recibos de honorarios y listas de </w:t>
      </w:r>
      <w:r w:rsidRPr="00902182">
        <w:rPr>
          <w:rFonts w:ascii="Palatino Linotype" w:eastAsia="Palatino Linotype" w:hAnsi="Palatino Linotype" w:cs="Palatino Linotype"/>
          <w:color w:val="000000"/>
        </w:rPr>
        <w:lastRenderedPageBreak/>
        <w:t xml:space="preserve">raya de todas las áreas del periodo que hay entre el primero de septiembre de dos mil veintidós al quince de abril de dos mil veintitrés. </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La Coordinación de Recursos Humanos dijo que no contaba con listas de raya ni con recibos de honorarios, sino únicamente con recibos de nómina que son nueve mil quinientos por el periodo que re requirió. </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De lo dicho tenemos que </w:t>
      </w:r>
      <w:r w:rsidRPr="00902182">
        <w:rPr>
          <w:rFonts w:ascii="Palatino Linotype" w:eastAsia="Palatino Linotype" w:hAnsi="Palatino Linotype" w:cs="Palatino Linotype"/>
          <w:b/>
          <w:color w:val="000000"/>
        </w:rPr>
        <w:t>EL SUJETO OBLIGADO</w:t>
      </w:r>
      <w:r w:rsidRPr="00902182">
        <w:rPr>
          <w:rFonts w:ascii="Palatino Linotype" w:eastAsia="Palatino Linotype" w:hAnsi="Palatino Linotype" w:cs="Palatino Linotype"/>
          <w:color w:val="000000"/>
        </w:rPr>
        <w:t xml:space="preserve"> cuenta con las atribuciones siguientes: </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b/>
          <w:i/>
          <w:color w:val="404040"/>
          <w:sz w:val="22"/>
          <w:szCs w:val="22"/>
        </w:rPr>
        <w:t>BANDO MUNICIPAL DE IXTAPALUCA 2023</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SECCIÓN SEGUNDA. DE LA ADMINISTRACIÓN PÚBLICA DESCENTRALIZADA.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ARTÍCULO 76.- La Administración Pública Municipal Descentralizada del Municipio de Ixtapaluca, se integra por los siguientes Organismos: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proofErr w:type="spellStart"/>
      <w:r w:rsidRPr="00902182">
        <w:rPr>
          <w:rFonts w:ascii="Palatino Linotype" w:eastAsia="Palatino Linotype" w:hAnsi="Palatino Linotype" w:cs="Palatino Linotype"/>
          <w:b/>
          <w:i/>
          <w:color w:val="404040"/>
          <w:sz w:val="22"/>
          <w:szCs w:val="22"/>
        </w:rPr>
        <w:t>II.El</w:t>
      </w:r>
      <w:proofErr w:type="spellEnd"/>
      <w:r w:rsidRPr="00902182">
        <w:rPr>
          <w:rFonts w:ascii="Palatino Linotype" w:eastAsia="Palatino Linotype" w:hAnsi="Palatino Linotype" w:cs="Palatino Linotype"/>
          <w:b/>
          <w:i/>
          <w:color w:val="404040"/>
          <w:sz w:val="22"/>
          <w:szCs w:val="22"/>
        </w:rPr>
        <w:t xml:space="preserve"> Organismo Público Descentralizado de Agua Potable, Alcantarillado y Saneamiento del Municipio de Ixtapaluca, denominado por sus siglas, “O.P.D.A.P.A.S.”, cuya administración estará a cargo de un Consejo Directivo y un Director o Directora General;</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w:t>
      </w:r>
    </w:p>
    <w:p w:rsidR="0032171E" w:rsidRPr="00902182" w:rsidRDefault="0032171E">
      <w:pPr>
        <w:pBdr>
          <w:top w:val="nil"/>
          <w:left w:val="nil"/>
          <w:bottom w:val="nil"/>
          <w:right w:val="nil"/>
          <w:between w:val="nil"/>
        </w:pBdr>
        <w:ind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b/>
          <w:i/>
          <w:color w:val="404040"/>
          <w:sz w:val="22"/>
          <w:szCs w:val="22"/>
        </w:rPr>
        <w:t>MANUAL GENERAL DE ORGANIZACIÓN DEL ORGANISMO PÚBLICO DESCENTRALIZADO PARA LA PRESTACIÓN DE LOS SERVICIOS DE AGUA POTABLE, ALCANTARILLADO Y SANEAMIENTO DEL MUNICIPIO DE IXTAPALUCA 2022-2024</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VI. ESTRUCTURA ORGANIZACIONAL</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1.1.8. Gerencia de Finanzas y Administración.</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lastRenderedPageBreak/>
        <w:t>(…)</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b/>
          <w:i/>
          <w:color w:val="404040"/>
          <w:sz w:val="22"/>
          <w:szCs w:val="22"/>
        </w:rPr>
        <w:t xml:space="preserve">1.1.8.4. Coordinación de Recursos Humanos.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1.1.8.4.1. Departamento de Capacitación y Desarrollo del Personal.</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IX.XIX. Gerente de Finanzas y Administración.</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B. Funciones:</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b/>
          <w:i/>
          <w:color w:val="404040"/>
          <w:sz w:val="22"/>
          <w:szCs w:val="22"/>
        </w:rPr>
        <w:t xml:space="preserve">• Efectuar los pagos de salarios, gastos y demás erogaciones conforme al Presupuesto de Egresos autorizado y los procedimientos internos de control.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 • Llevar control de los cheques a pagar, recibos de pago y otros.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 (…)</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Efectivamente, con lo visto tenemos que </w:t>
      </w:r>
      <w:r w:rsidRPr="00902182">
        <w:rPr>
          <w:rFonts w:ascii="Palatino Linotype" w:eastAsia="Palatino Linotype" w:hAnsi="Palatino Linotype" w:cs="Palatino Linotype"/>
          <w:b/>
          <w:color w:val="000000"/>
        </w:rPr>
        <w:t>EL SUJETO OBLIGADO</w:t>
      </w:r>
      <w:r w:rsidRPr="00902182">
        <w:rPr>
          <w:rFonts w:ascii="Palatino Linotype" w:eastAsia="Palatino Linotype" w:hAnsi="Palatino Linotype" w:cs="Palatino Linotype"/>
          <w:color w:val="000000"/>
        </w:rPr>
        <w:t xml:space="preserve"> forma parte de la Administración Pública Descentralizada del Municipio de Ixtapaluca, y que cuenta con la Unidad Administrativa competente como lo es la Coordinación de Recursos Humanos de la Gerencia de Finanzas y Administración, misma que dio respuesta a la solicitud de información. </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2171E" w:rsidRPr="00902182" w:rsidRDefault="00BA3F20">
      <w:pPr>
        <w:spacing w:line="360" w:lineRule="auto"/>
        <w:ind w:right="51"/>
        <w:jc w:val="both"/>
        <w:rPr>
          <w:rFonts w:ascii="Palatino Linotype" w:eastAsia="Palatino Linotype" w:hAnsi="Palatino Linotype" w:cs="Palatino Linotype"/>
        </w:rPr>
      </w:pPr>
      <w:r w:rsidRPr="00902182">
        <w:rPr>
          <w:rFonts w:ascii="Palatino Linotype" w:eastAsia="Palatino Linotype" w:hAnsi="Palatino Linotype" w:cs="Palatino Linotype"/>
          <w:color w:val="000000"/>
        </w:rPr>
        <w:t>Entonces, podemos definir que el pronunciamiento respecto de la información solicitada fue por parte de la Persona Servidora Pública Habilitada, a la luz d</w:t>
      </w:r>
      <w:r w:rsidRPr="00902182">
        <w:rPr>
          <w:rFonts w:ascii="Palatino Linotype" w:eastAsia="Palatino Linotype" w:hAnsi="Palatino Linotype" w:cs="Palatino Linotype"/>
        </w:rPr>
        <w:t xml:space="preserve">el procedimiento establecido por el artículo 162 de la Ley de Transparencia y Acceso a la Información Pública del Estado de México y Municipios, ya que </w:t>
      </w:r>
      <w:r w:rsidRPr="00902182">
        <w:rPr>
          <w:rFonts w:ascii="Palatino Linotype" w:eastAsia="Palatino Linotype" w:hAnsi="Palatino Linotype" w:cs="Palatino Linotype"/>
          <w:b/>
        </w:rPr>
        <w:t xml:space="preserve">EL SUJETO OBLIGADO </w:t>
      </w:r>
      <w:r w:rsidRPr="00902182">
        <w:rPr>
          <w:rFonts w:ascii="Palatino Linotype" w:eastAsia="Palatino Linotype" w:hAnsi="Palatino Linotype" w:cs="Palatino Linotype"/>
        </w:rPr>
        <w:t xml:space="preserve">turnó la solicitud a las áreas en las que podría obrar la información de conformidad con la fracción XXXIX del artículo tercero de la legislación local vigente en materia de transparencia: </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shd w:val="clear" w:color="auto" w:fill="FFFFFF"/>
        <w:spacing w:line="360" w:lineRule="auto"/>
        <w:jc w:val="both"/>
        <w:rPr>
          <w:color w:val="222222"/>
        </w:rPr>
      </w:pPr>
      <w:r w:rsidRPr="00902182">
        <w:rPr>
          <w:rFonts w:ascii="Palatino Linotype" w:eastAsia="Palatino Linotype" w:hAnsi="Palatino Linotype" w:cs="Palatino Linotype"/>
          <w:color w:val="222222"/>
        </w:rPr>
        <w:t>En este orden de ideas, se advierte que efectivamente la Unidad de Transparencia cumplió con lo expresado en el artículo 162 de la Ley </w:t>
      </w:r>
      <w:r w:rsidRPr="00902182">
        <w:rPr>
          <w:rFonts w:ascii="Palatino Linotype" w:eastAsia="Palatino Linotype" w:hAnsi="Palatino Linotype" w:cs="Palatino Linotype"/>
          <w:color w:val="000000"/>
        </w:rPr>
        <w:t>de Transparencia y Acceso a la Información Pública del Estado de México y Municipios, el cual menciona lo siguiente:</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Artículo 162. Las unidades de transparencia deberán garantizar que las solicitudes </w:t>
      </w:r>
      <w:r w:rsidRPr="00902182">
        <w:rPr>
          <w:rFonts w:ascii="Palatino Linotype" w:eastAsia="Palatino Linotype" w:hAnsi="Palatino Linotype" w:cs="Palatino Linotype"/>
          <w:b/>
          <w:i/>
          <w:color w:val="404040"/>
          <w:sz w:val="22"/>
          <w:szCs w:val="22"/>
        </w:rPr>
        <w:t xml:space="preserve">se turnen a todas las Áreas competentes </w:t>
      </w:r>
      <w:r w:rsidRPr="00902182">
        <w:rPr>
          <w:rFonts w:ascii="Palatino Linotype" w:eastAsia="Palatino Linotype" w:hAnsi="Palatino Linotype" w:cs="Palatino Linotype"/>
          <w:i/>
          <w:color w:val="404040"/>
          <w:sz w:val="22"/>
          <w:szCs w:val="22"/>
        </w:rPr>
        <w:t>que cuenten con la información o deban tenerla de acuerdo a sus facultades, competencias y funciones, con el objeto de que realicen una búsqueda exhaustiva y razonable de la información solicitada.</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En este sentido, el Servidor Público Habilitado, que de acuerdo con las atribuciones que la Ley le confiere pudiera contar con la documentación requerida, manifestó que no cuenta con recibos de honorarios y listas de raya; por lo que, no posee, administra ni genera la información requerida por </w:t>
      </w:r>
      <w:r w:rsidRPr="00902182">
        <w:rPr>
          <w:rFonts w:ascii="Palatino Linotype" w:eastAsia="Palatino Linotype" w:hAnsi="Palatino Linotype" w:cs="Palatino Linotype"/>
          <w:b/>
          <w:color w:val="000000"/>
        </w:rPr>
        <w:t>LA PARTE RECURRENTE,</w:t>
      </w:r>
      <w:r w:rsidRPr="00902182">
        <w:rPr>
          <w:rFonts w:ascii="Palatino Linotype" w:eastAsia="Palatino Linotype" w:hAnsi="Palatino Linotype" w:cs="Palatino Linotype"/>
          <w:color w:val="000000"/>
        </w:rPr>
        <w:t xml:space="preserve"> situación que constituye un hecho negativo; y, es obvio que éste no puede fácticamente obrar en los archivos del Organismo Descentralizado, ya que no puede probarse por ser lógica y materialmente imposible.</w:t>
      </w:r>
    </w:p>
    <w:p w:rsidR="0032171E" w:rsidRPr="00902182" w:rsidRDefault="0032171E">
      <w:pPr>
        <w:pBdr>
          <w:top w:val="nil"/>
          <w:left w:val="nil"/>
          <w:bottom w:val="nil"/>
          <w:right w:val="nil"/>
          <w:between w:val="nil"/>
        </w:pBdr>
        <w:spacing w:line="360" w:lineRule="auto"/>
        <w:jc w:val="both"/>
        <w:rPr>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lastRenderedPageBreak/>
        <w:t>Asimismo, no se trata de un caso por el cual la negación del hecho implique la afirmación del mismo, simplemente se está ante una notoria y evidente inexistencia fáctica de la información solicitada.</w:t>
      </w:r>
    </w:p>
    <w:p w:rsidR="0032171E" w:rsidRPr="00902182" w:rsidRDefault="0032171E">
      <w:pPr>
        <w:pBdr>
          <w:top w:val="nil"/>
          <w:left w:val="nil"/>
          <w:bottom w:val="nil"/>
          <w:right w:val="nil"/>
          <w:between w:val="nil"/>
        </w:pBdr>
        <w:spacing w:line="360" w:lineRule="auto"/>
        <w:jc w:val="both"/>
        <w:rPr>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32171E" w:rsidRPr="00902182" w:rsidRDefault="0032171E">
      <w:pPr>
        <w:pBdr>
          <w:top w:val="nil"/>
          <w:left w:val="nil"/>
          <w:bottom w:val="nil"/>
          <w:right w:val="nil"/>
          <w:between w:val="nil"/>
        </w:pBdr>
        <w:ind w:left="864" w:right="864"/>
        <w:jc w:val="both"/>
        <w:rPr>
          <w:i/>
          <w:color w:val="404040"/>
          <w:sz w:val="22"/>
          <w:szCs w:val="22"/>
        </w:rPr>
      </w:pPr>
    </w:p>
    <w:p w:rsidR="0032171E" w:rsidRPr="00902182" w:rsidRDefault="00BA3F20">
      <w:pPr>
        <w:pBdr>
          <w:top w:val="nil"/>
          <w:left w:val="nil"/>
          <w:bottom w:val="nil"/>
          <w:right w:val="nil"/>
          <w:between w:val="nil"/>
        </w:pBdr>
        <w:ind w:left="864" w:right="864"/>
        <w:jc w:val="both"/>
        <w:rPr>
          <w:i/>
          <w:color w:val="404040"/>
          <w:sz w:val="22"/>
          <w:szCs w:val="22"/>
        </w:rPr>
      </w:pPr>
      <w:r w:rsidRPr="00902182">
        <w:rPr>
          <w:rFonts w:ascii="Palatino Linotype" w:eastAsia="Palatino Linotype" w:hAnsi="Palatino Linotype" w:cs="Palatino Linotype"/>
          <w:b/>
          <w:i/>
          <w:color w:val="000000"/>
          <w:sz w:val="22"/>
          <w:szCs w:val="22"/>
        </w:rPr>
        <w:t>HECHOS NEGATIVOS, NO SON SUSCEPTIBLES DE DEMOSTRACIÓN.</w:t>
      </w:r>
    </w:p>
    <w:p w:rsidR="0032171E" w:rsidRPr="00902182" w:rsidRDefault="00BA3F20">
      <w:pPr>
        <w:pBdr>
          <w:top w:val="nil"/>
          <w:left w:val="nil"/>
          <w:bottom w:val="nil"/>
          <w:right w:val="nil"/>
          <w:between w:val="nil"/>
        </w:pBdr>
        <w:ind w:left="864" w:right="864"/>
        <w:jc w:val="both"/>
        <w:rPr>
          <w:i/>
          <w:color w:val="404040"/>
          <w:sz w:val="22"/>
          <w:szCs w:val="22"/>
        </w:rPr>
      </w:pPr>
      <w:r w:rsidRPr="00902182">
        <w:rPr>
          <w:rFonts w:ascii="Palatino Linotype" w:eastAsia="Palatino Linotype" w:hAnsi="Palatino Linotype" w:cs="Palatino Linotype"/>
          <w:i/>
          <w:color w:val="000000"/>
          <w:sz w:val="22"/>
          <w:szCs w:val="22"/>
        </w:rPr>
        <w:t xml:space="preserve">Tratándose de un hecho negativo, el Juez no tiene </w:t>
      </w:r>
      <w:proofErr w:type="spellStart"/>
      <w:r w:rsidRPr="00902182">
        <w:rPr>
          <w:rFonts w:ascii="Palatino Linotype" w:eastAsia="Palatino Linotype" w:hAnsi="Palatino Linotype" w:cs="Palatino Linotype"/>
          <w:i/>
          <w:color w:val="000000"/>
          <w:sz w:val="22"/>
          <w:szCs w:val="22"/>
        </w:rPr>
        <w:t>por que</w:t>
      </w:r>
      <w:proofErr w:type="spellEnd"/>
      <w:r w:rsidRPr="00902182">
        <w:rPr>
          <w:rFonts w:ascii="Palatino Linotype" w:eastAsia="Palatino Linotype" w:hAnsi="Palatino Linotype" w:cs="Palatino Linotype"/>
          <w:i/>
          <w:color w:val="000000"/>
          <w:sz w:val="22"/>
          <w:szCs w:val="22"/>
        </w:rPr>
        <w:t xml:space="preserve"> invocar prueba alguna de la que se desprenda, ya que es bien sabido que esta clase de hechos no son susceptibles de demostración.</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Amparo en revisión 2022/61. José García Florín (Menor). 9 de octubre de 1961. Cinco votos. Ponente: José Rivera Pérez Campos.”</w:t>
      </w:r>
    </w:p>
    <w:p w:rsidR="0032171E" w:rsidRPr="00902182" w:rsidRDefault="0032171E">
      <w:pPr>
        <w:pBdr>
          <w:top w:val="nil"/>
          <w:left w:val="nil"/>
          <w:bottom w:val="nil"/>
          <w:right w:val="nil"/>
          <w:between w:val="nil"/>
        </w:pBdr>
        <w:ind w:left="864" w:right="864"/>
        <w:jc w:val="both"/>
        <w:rPr>
          <w:i/>
          <w:color w:val="404040"/>
          <w:sz w:val="22"/>
          <w:szCs w:val="22"/>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Además, y de conformidad con lo establecido en el artículo 12 de la Ley de Transparencia y Acceso a la Información Pública del Estado de México y Municipios, anteriormente invocado </w:t>
      </w:r>
      <w:r w:rsidRPr="00902182">
        <w:rPr>
          <w:rFonts w:ascii="Palatino Linotype" w:eastAsia="Palatino Linotype" w:hAnsi="Palatino Linotype" w:cs="Palatino Linotype"/>
          <w:b/>
          <w:color w:val="000000"/>
        </w:rPr>
        <w:t>EL SUJETO OBLIGADO</w:t>
      </w:r>
      <w:r w:rsidRPr="00902182">
        <w:rPr>
          <w:rFonts w:ascii="Palatino Linotype" w:eastAsia="Palatino Linotype" w:hAnsi="Palatino Linotype" w:cs="Palatino Linotype"/>
          <w:color w:val="000000"/>
        </w:rPr>
        <w:t xml:space="preserve"> sólo proporcionará la información que obra en sus archivos, lo que a</w:t>
      </w:r>
      <w:r w:rsidRPr="00902182">
        <w:rPr>
          <w:rFonts w:ascii="Palatino Linotype" w:eastAsia="Palatino Linotype" w:hAnsi="Palatino Linotype" w:cs="Palatino Linotype"/>
          <w:i/>
          <w:color w:val="000000"/>
        </w:rPr>
        <w:t xml:space="preserve"> contrario sensu</w:t>
      </w:r>
      <w:r w:rsidRPr="00902182">
        <w:rPr>
          <w:rFonts w:ascii="Palatino Linotype" w:eastAsia="Palatino Linotype" w:hAnsi="Palatino Linotype" w:cs="Palatino Linotype"/>
          <w:color w:val="000000"/>
        </w:rPr>
        <w:t xml:space="preserve"> significa que no se está obligado a proporcionar lo que no obre en sus archivos.</w:t>
      </w:r>
    </w:p>
    <w:p w:rsidR="0032171E" w:rsidRPr="00902182" w:rsidRDefault="0032171E">
      <w:pPr>
        <w:pBdr>
          <w:top w:val="nil"/>
          <w:left w:val="nil"/>
          <w:bottom w:val="nil"/>
          <w:right w:val="nil"/>
          <w:between w:val="nil"/>
        </w:pBdr>
        <w:spacing w:line="360" w:lineRule="auto"/>
        <w:jc w:val="both"/>
        <w:rPr>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lastRenderedPageBreak/>
        <w:t>Aunado a lo anterior, este Pleno considera necesario dejar claro que, al haber existido un pronunciamiento por parte del Servidor Público Habilitado Competente, respecto los recibos de honorarios y lista de raya,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rsidR="0032171E" w:rsidRPr="00902182" w:rsidRDefault="0032171E">
      <w:pPr>
        <w:pBdr>
          <w:top w:val="nil"/>
          <w:left w:val="nil"/>
          <w:bottom w:val="nil"/>
          <w:right w:val="nil"/>
          <w:between w:val="nil"/>
        </w:pBdr>
        <w:ind w:left="864" w:right="864"/>
        <w:jc w:val="both"/>
        <w:rPr>
          <w:i/>
          <w:color w:val="404040"/>
          <w:sz w:val="22"/>
          <w:szCs w:val="22"/>
        </w:rPr>
      </w:pPr>
    </w:p>
    <w:p w:rsidR="0032171E" w:rsidRPr="00902182" w:rsidRDefault="00BA3F20">
      <w:pPr>
        <w:pBdr>
          <w:top w:val="nil"/>
          <w:left w:val="nil"/>
          <w:bottom w:val="nil"/>
          <w:right w:val="nil"/>
          <w:between w:val="nil"/>
        </w:pBdr>
        <w:ind w:left="864" w:right="864"/>
        <w:jc w:val="both"/>
        <w:rPr>
          <w:i/>
          <w:color w:val="404040"/>
          <w:sz w:val="22"/>
          <w:szCs w:val="22"/>
        </w:rPr>
      </w:pPr>
      <w:r w:rsidRPr="00902182">
        <w:rPr>
          <w:rFonts w:ascii="Palatino Linotype" w:eastAsia="Palatino Linotype" w:hAnsi="Palatino Linotype" w:cs="Palatino Linotype"/>
          <w:i/>
          <w:color w:val="000000"/>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rsidR="0032171E" w:rsidRPr="00902182" w:rsidRDefault="00BA3F20">
      <w:pPr>
        <w:spacing w:line="360" w:lineRule="auto"/>
        <w:jc w:val="both"/>
        <w:rPr>
          <w:rFonts w:ascii="Palatino Linotype" w:eastAsia="Palatino Linotype" w:hAnsi="Palatino Linotype" w:cs="Palatino Linotype"/>
          <w:b/>
          <w:color w:val="000000"/>
        </w:rPr>
      </w:pPr>
      <w:r w:rsidRPr="00902182">
        <w:rPr>
          <w:rFonts w:ascii="Palatino Linotype" w:eastAsia="Palatino Linotype" w:hAnsi="Palatino Linotype" w:cs="Palatino Linotype"/>
          <w:color w:val="000000"/>
        </w:rPr>
        <w:t xml:space="preserve">En esos términos, lo relacionado con los recibos de honorarios y listas de raya deben declararse por atendidos, esto por no obrar dentro de los archivos del </w:t>
      </w:r>
      <w:r w:rsidRPr="00902182">
        <w:rPr>
          <w:rFonts w:ascii="Palatino Linotype" w:eastAsia="Palatino Linotype" w:hAnsi="Palatino Linotype" w:cs="Palatino Linotype"/>
          <w:b/>
          <w:color w:val="000000"/>
        </w:rPr>
        <w:t xml:space="preserve">SUJETO OBLIGADO. </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color w:val="FF0000"/>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color w:val="000000"/>
        </w:rPr>
        <w:lastRenderedPageBreak/>
        <w:t xml:space="preserve">Ahora bien, por cuanto hace a los recibos de nómina requeridos por la </w:t>
      </w:r>
      <w:r w:rsidRPr="00902182">
        <w:rPr>
          <w:rFonts w:ascii="Palatino Linotype" w:eastAsia="Palatino Linotype" w:hAnsi="Palatino Linotype" w:cs="Palatino Linotype"/>
          <w:b/>
          <w:color w:val="000000"/>
        </w:rPr>
        <w:t xml:space="preserve">PARTE RECURRENTE, </w:t>
      </w:r>
      <w:r w:rsidRPr="00902182">
        <w:rPr>
          <w:rFonts w:ascii="Palatino Linotype" w:eastAsia="Palatino Linotype" w:hAnsi="Palatino Linotype" w:cs="Palatino Linotype"/>
        </w:rPr>
        <w:t>es oportuno citar lo dispuesto por el artículo 350 del Código Financiero del Estado de México y Municipios, en el que se establece la obligación a cargo de las entidades fiscalizables de comunicar al Órgano Superior de Fiscalización del Estado de México, todo lo relacionado con la información contable, presupuestal y financiera, en los términos siguientes:</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Artículo 350.-</w:t>
      </w:r>
      <w:r w:rsidRPr="00902182">
        <w:rPr>
          <w:rFonts w:ascii="Palatino Linotype" w:eastAsia="Palatino Linotype" w:hAnsi="Palatino Linotype" w:cs="Palatino Linotype"/>
          <w:i/>
          <w:color w:val="404040"/>
          <w:sz w:val="22"/>
          <w:szCs w:val="22"/>
        </w:rPr>
        <w:t xml:space="preserve"> La Secretaría y </w:t>
      </w:r>
      <w:r w:rsidRPr="00902182">
        <w:rPr>
          <w:rFonts w:ascii="Palatino Linotype" w:eastAsia="Palatino Linotype" w:hAnsi="Palatino Linotype" w:cs="Palatino Linotype"/>
          <w:b/>
          <w:i/>
          <w:color w:val="404040"/>
          <w:sz w:val="22"/>
          <w:szCs w:val="22"/>
        </w:rPr>
        <w:t>las tesorerías</w:t>
      </w:r>
      <w:r w:rsidRPr="00902182">
        <w:rPr>
          <w:rFonts w:ascii="Palatino Linotype" w:eastAsia="Palatino Linotype" w:hAnsi="Palatino Linotype" w:cs="Palatino Linotype"/>
          <w:i/>
          <w:color w:val="404040"/>
          <w:sz w:val="22"/>
          <w:szCs w:val="22"/>
        </w:rPr>
        <w:t xml:space="preserve"> enviarán al Órgano Superior, de manera trimestral, dentro de los primeros veinte días hábiles posteriores al término del trimestre que se informa, para su análisis, la siguiente información:</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I.</w:t>
      </w:r>
      <w:r w:rsidRPr="00902182">
        <w:rPr>
          <w:rFonts w:ascii="Palatino Linotype" w:eastAsia="Palatino Linotype" w:hAnsi="Palatino Linotype" w:cs="Palatino Linotype"/>
          <w:i/>
          <w:color w:val="404040"/>
          <w:sz w:val="22"/>
          <w:szCs w:val="22"/>
        </w:rPr>
        <w:t xml:space="preserve"> Patrimonial.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II</w:t>
      </w:r>
      <w:r w:rsidRPr="00902182">
        <w:rPr>
          <w:rFonts w:ascii="Palatino Linotype" w:eastAsia="Palatino Linotype" w:hAnsi="Palatino Linotype" w:cs="Palatino Linotype"/>
          <w:i/>
          <w:color w:val="404040"/>
          <w:sz w:val="22"/>
          <w:szCs w:val="22"/>
        </w:rPr>
        <w:t xml:space="preserve">. Presupuestal.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III</w:t>
      </w:r>
      <w:r w:rsidRPr="00902182">
        <w:rPr>
          <w:rFonts w:ascii="Palatino Linotype" w:eastAsia="Palatino Linotype" w:hAnsi="Palatino Linotype" w:cs="Palatino Linotype"/>
          <w:i/>
          <w:color w:val="404040"/>
          <w:sz w:val="22"/>
          <w:szCs w:val="22"/>
        </w:rPr>
        <w:t>. De la obra pública.</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b/>
          <w:i/>
          <w:color w:val="404040"/>
          <w:sz w:val="22"/>
          <w:szCs w:val="22"/>
        </w:rPr>
        <w:t>IV. De nómina.</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V</w:t>
      </w:r>
      <w:r w:rsidRPr="00902182">
        <w:rPr>
          <w:rFonts w:ascii="Palatino Linotype" w:eastAsia="Palatino Linotype" w:hAnsi="Palatino Linotype" w:cs="Palatino Linotype"/>
          <w:i/>
          <w:color w:val="404040"/>
          <w:sz w:val="22"/>
          <w:szCs w:val="22"/>
        </w:rPr>
        <w:t xml:space="preserve">. Avance del cumplimiento del Plan de Desarrollo del Estado de México.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i/>
          <w:color w:val="404040"/>
          <w:sz w:val="22"/>
          <w:szCs w:val="22"/>
        </w:rPr>
        <w:t>El informe trimestral correspondiente al cuarto trimestre se entregará junto con las Cuentas Públicas del ejercicio fiscal de que se trate</w:t>
      </w:r>
      <w:r w:rsidRPr="00902182">
        <w:rPr>
          <w:rFonts w:ascii="Palatino Linotype" w:eastAsia="Palatino Linotype" w:hAnsi="Palatino Linotype" w:cs="Palatino Linotype"/>
          <w:b/>
          <w:i/>
          <w:color w:val="404040"/>
          <w:sz w:val="22"/>
          <w:szCs w:val="22"/>
        </w:rPr>
        <w:t>.</w:t>
      </w:r>
    </w:p>
    <w:p w:rsidR="0032171E" w:rsidRPr="00902182" w:rsidRDefault="0032171E"/>
    <w:p w:rsidR="0032171E" w:rsidRPr="00902182" w:rsidRDefault="00BA3F20">
      <w:pPr>
        <w:spacing w:before="240" w:after="360"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ARTÍCULO 220 K.-</w:t>
      </w:r>
      <w:r w:rsidRPr="00902182">
        <w:rPr>
          <w:rFonts w:ascii="Palatino Linotype" w:eastAsia="Palatino Linotype" w:hAnsi="Palatino Linotype" w:cs="Palatino Linotype"/>
          <w:i/>
          <w:color w:val="404040"/>
          <w:sz w:val="22"/>
          <w:szCs w:val="22"/>
        </w:rPr>
        <w:t xml:space="preserve"> La institución o dependencia pública tiene la obligación de conservar y exhibir en el proceso los documentos que a continuación se precisan:</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II. </w:t>
      </w:r>
      <w:r w:rsidRPr="00902182">
        <w:rPr>
          <w:rFonts w:ascii="Palatino Linotype" w:eastAsia="Palatino Linotype" w:hAnsi="Palatino Linotype" w:cs="Palatino Linotype"/>
          <w:b/>
          <w:i/>
          <w:color w:val="404040"/>
          <w:sz w:val="22"/>
          <w:szCs w:val="22"/>
        </w:rPr>
        <w:t>Recibos de pagos de salarios</w:t>
      </w:r>
      <w:r w:rsidRPr="00902182">
        <w:rPr>
          <w:rFonts w:ascii="Palatino Linotype" w:eastAsia="Palatino Linotype" w:hAnsi="Palatino Linotype" w:cs="Palatino Linotype"/>
          <w:i/>
          <w:color w:val="404040"/>
          <w:sz w:val="22"/>
          <w:szCs w:val="22"/>
        </w:rPr>
        <w:t xml:space="preserve"> o las constancias documentales del pago de salario cuando sea por depósito o mediante información electrónica;</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lastRenderedPageBreak/>
        <w:t>(…)</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IV. Recibos o las constancias de depósito o del medio de información magnética o electrónica que sean utilizadas para el pago de salarios, prima vacacional, aguinaldo y demás prestaciones establecidas en la presente ley; y…</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El incumplimiento por lo dispuesto por este artículo, establecerá la presunción de ser ciertos los hechos que el actor exprese en su demanda, en relación con tales documentos, salvo prueba en contrario.</w:t>
      </w:r>
    </w:p>
    <w:p w:rsidR="0032171E" w:rsidRPr="00902182" w:rsidRDefault="0032171E"/>
    <w:p w:rsidR="0032171E" w:rsidRPr="00902182" w:rsidRDefault="00BA3F20">
      <w:pPr>
        <w:spacing w:before="120"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sz w:val="22"/>
          <w:szCs w:val="22"/>
        </w:rPr>
      </w:pPr>
      <w:r w:rsidRPr="00902182">
        <w:rPr>
          <w:rFonts w:ascii="Palatino Linotype" w:eastAsia="Palatino Linotype" w:hAnsi="Palatino Linotype" w:cs="Palatino Linotype"/>
        </w:rPr>
        <w:t xml:space="preserve">Ahora bien, a efecto de garantizar el ejercicio del Derecho de Acceso a la Información Pública que asiste a </w:t>
      </w:r>
      <w:r w:rsidRPr="00902182">
        <w:rPr>
          <w:rFonts w:ascii="Palatino Linotype" w:eastAsia="Palatino Linotype" w:hAnsi="Palatino Linotype" w:cs="Palatino Linotype"/>
          <w:b/>
        </w:rPr>
        <w:t>LA PARTE RECURRENTE</w:t>
      </w:r>
      <w:r w:rsidRPr="00902182">
        <w:rPr>
          <w:rFonts w:ascii="Palatino Linotype" w:eastAsia="Palatino Linotype" w:hAnsi="Palatino Linotype" w:cs="Palatino Linotype"/>
        </w:rPr>
        <w:t>, resulta necesario referir que</w:t>
      </w:r>
      <w:r w:rsidRPr="00902182">
        <w:rPr>
          <w:rFonts w:ascii="Palatino Linotype" w:eastAsia="Palatino Linotype" w:hAnsi="Palatino Linotype" w:cs="Palatino Linotype"/>
          <w:color w:val="000000"/>
        </w:rPr>
        <w:t xml:space="preserve">; el artículo 147 de la Constitución Política del Estado Libre y Soberano de México, </w:t>
      </w:r>
      <w:r w:rsidRPr="00902182">
        <w:rPr>
          <w:rFonts w:ascii="Palatino Linotype" w:eastAsia="Palatino Linotype" w:hAnsi="Palatino Linotype" w:cs="Palatino Linotype"/>
          <w:color w:val="000000"/>
        </w:rPr>
        <w:lastRenderedPageBreak/>
        <w:t xml:space="preserve">establece que los trabajadores al servicio del Estado, recibirán una </w:t>
      </w:r>
      <w:r w:rsidRPr="00902182">
        <w:rPr>
          <w:rFonts w:ascii="Palatino Linotype" w:eastAsia="Palatino Linotype" w:hAnsi="Palatino Linotype" w:cs="Palatino Linotype"/>
          <w:b/>
          <w:color w:val="000000"/>
        </w:rPr>
        <w:t>remuneración</w:t>
      </w:r>
      <w:r w:rsidRPr="00902182">
        <w:rPr>
          <w:rFonts w:ascii="Palatino Linotype" w:eastAsia="Palatino Linotype" w:hAnsi="Palatino Linotype" w:cs="Palatino Linotype"/>
          <w:color w:val="000000"/>
        </w:rPr>
        <w:t xml:space="preserve"> adecuada e irrenunciable por el desempeño de su empleo, cargo o comisión, que será determinada en el presupuesto de egresos que corresponda.</w:t>
      </w:r>
    </w:p>
    <w:p w:rsidR="0032171E" w:rsidRPr="00902182" w:rsidRDefault="0032171E">
      <w:pPr>
        <w:rPr>
          <w:rFonts w:ascii="Palatino Linotype" w:eastAsia="Palatino Linotype" w:hAnsi="Palatino Linotype" w:cs="Palatino Linotype"/>
          <w:b/>
        </w:rPr>
      </w:pPr>
    </w:p>
    <w:p w:rsidR="0032171E" w:rsidRPr="00902182" w:rsidRDefault="00BA3F20">
      <w:pPr>
        <w:spacing w:line="360" w:lineRule="auto"/>
        <w:jc w:val="both"/>
        <w:rPr>
          <w:rFonts w:ascii="Palatino Linotype" w:eastAsia="Palatino Linotype" w:hAnsi="Palatino Linotype" w:cs="Palatino Linotype"/>
          <w:b/>
        </w:rPr>
      </w:pPr>
      <w:r w:rsidRPr="00902182">
        <w:rPr>
          <w:rFonts w:ascii="Palatino Linotype" w:eastAsia="Palatino Linotype" w:hAnsi="Palatino Linotype" w:cs="Palatino Linotype"/>
        </w:rPr>
        <w:t xml:space="preserve">En este orden de ideas, </w:t>
      </w:r>
      <w:r w:rsidRPr="00902182">
        <w:rPr>
          <w:rFonts w:ascii="Palatino Linotype" w:eastAsia="Palatino Linotype" w:hAnsi="Palatino Linotype" w:cs="Palatino Linotype"/>
          <w:color w:val="000000"/>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32171E" w:rsidRPr="00902182" w:rsidRDefault="0032171E">
      <w:pPr>
        <w:spacing w:line="360" w:lineRule="auto"/>
        <w:jc w:val="both"/>
        <w:rPr>
          <w:rFonts w:ascii="Palatino Linotype" w:eastAsia="Palatino Linotype" w:hAnsi="Palatino Linotype" w:cs="Palatino Linotype"/>
          <w:b/>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Asimismo</w:t>
      </w:r>
      <w:r w:rsidRPr="00902182">
        <w:rPr>
          <w:rFonts w:ascii="Palatino Linotype" w:eastAsia="Palatino Linotype" w:hAnsi="Palatino Linotype" w:cs="Palatino Linotype"/>
          <w:color w:val="000000"/>
        </w:rPr>
        <w:t>,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0032171E" w:rsidRPr="00902182" w:rsidRDefault="0032171E">
      <w:pPr>
        <w:rPr>
          <w:rFonts w:ascii="Palatino Linotype" w:eastAsia="Palatino Linotype" w:hAnsi="Palatino Linotype" w:cs="Palatino Linotype"/>
          <w:b/>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Aunado a lo anterior</w:t>
      </w:r>
      <w:r w:rsidRPr="00902182">
        <w:rPr>
          <w:rFonts w:ascii="Palatino Linotype" w:eastAsia="Palatino Linotype" w:hAnsi="Palatino Linotype" w:cs="Palatino Linotype"/>
          <w:color w:val="000000"/>
        </w:rPr>
        <w:t>,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Es decir, los salarios brutos y netos de los servidores públicos corresponden a información pública de oficio, que es aquella información que los Sujetos Obligados deben difundir, actualizar y poner a disposición del público en medios electrónicos de manera proactiva, sin que medie solicitud de por medio. Siendo para el caso del Estado de México, a través de la plataforma denominada Portal de Información Pública Mexiquense o IPOMEX. </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siete y veintitrés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w:t>
      </w:r>
      <w:r w:rsidRPr="00902182">
        <w:rPr>
          <w:rFonts w:ascii="Palatino Linotype" w:eastAsia="Palatino Linotype" w:hAnsi="Palatino Linotype" w:cs="Palatino Linotype"/>
          <w:i/>
          <w:color w:val="404040"/>
          <w:sz w:val="22"/>
          <w:szCs w:val="22"/>
        </w:rPr>
        <w:lastRenderedPageBreak/>
        <w:t>jurídico colectiva o sindicato que reciba y ejerza recursos públicos o realice actos de autoridad en el ámbito de competencia del Estado de México y sus municipios.</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Artículo 23. Son sujetos obligados a transparentar y permitir el acceso a su información y proteger los datos personales que obren en su poder:</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b/>
          <w:i/>
          <w:color w:val="404040"/>
          <w:sz w:val="22"/>
          <w:szCs w:val="22"/>
        </w:rPr>
        <w:t>IV. Los ayuntamientos y las dependencias, organismos, órganos y entidades de la administración municipal;</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Los servidores públicos deberán transparentar sus acciones así como garantizar y respetar el derecho de acceso a la información pública.</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spacing w:after="160"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902182">
        <w:rPr>
          <w:rFonts w:ascii="Palatino Linotype" w:eastAsia="Palatino Linotype" w:hAnsi="Palatino Linotype" w:cs="Palatino Linotype"/>
          <w:b/>
        </w:rPr>
        <w:t>01/2003</w:t>
      </w:r>
      <w:r w:rsidRPr="00902182">
        <w:rPr>
          <w:rFonts w:ascii="Palatino Linotype" w:eastAsia="Palatino Linotype" w:hAnsi="Palatino Linotype" w:cs="Palatino Linotype"/>
        </w:rPr>
        <w:t xml:space="preserve"> y </w:t>
      </w:r>
      <w:r w:rsidRPr="00902182">
        <w:rPr>
          <w:rFonts w:ascii="Palatino Linotype" w:eastAsia="Palatino Linotype" w:hAnsi="Palatino Linotype" w:cs="Palatino Linotype"/>
          <w:b/>
        </w:rPr>
        <w:t>02/2003</w:t>
      </w:r>
      <w:r w:rsidRPr="00902182">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b/>
          <w:i/>
          <w:color w:val="404040"/>
          <w:sz w:val="22"/>
          <w:szCs w:val="22"/>
        </w:rPr>
        <w:t>Criterio 01/2003.</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INGRESOS DE LOS SERVIDORES PÚBLICOS. CONSTITUYEN INFORMACIÓN PÚBLICA AÚN Y CUANDO SU DIFUSIÓN PUEDE AFECTAR LA VIDA O LA SEGURIDAD DE AQUELLOS.</w:t>
      </w:r>
      <w:r w:rsidRPr="00902182">
        <w:rPr>
          <w:rFonts w:ascii="Palatino Linotype" w:eastAsia="Palatino Linotype" w:hAnsi="Palatino Linotype" w:cs="Palatino Linotype"/>
          <w:i/>
          <w:color w:val="404040"/>
          <w:sz w:val="22"/>
          <w:szCs w:val="22"/>
        </w:rPr>
        <w:t xml:space="preserve">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i/>
          <w:color w:val="404040"/>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w:t>
      </w:r>
      <w:r w:rsidRPr="00902182">
        <w:rPr>
          <w:rFonts w:ascii="Palatino Linotype" w:eastAsia="Palatino Linotype" w:hAnsi="Palatino Linotype" w:cs="Palatino Linotype"/>
          <w:i/>
          <w:color w:val="404040"/>
          <w:sz w:val="22"/>
          <w:szCs w:val="22"/>
        </w:rPr>
        <w:lastRenderedPageBreak/>
        <w:t xml:space="preserve">mismo ordenamiento que la referida información, como una obligación de trasparencia, </w:t>
      </w:r>
      <w:r w:rsidRPr="00902182">
        <w:rPr>
          <w:rFonts w:ascii="Palatino Linotype" w:eastAsia="Palatino Linotype" w:hAnsi="Palatino Linotype" w:cs="Palatino Linotype"/>
          <w:b/>
          <w:i/>
          <w:color w:val="404040"/>
          <w:sz w:val="22"/>
          <w:szCs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b/>
          <w:i/>
          <w:color w:val="404040"/>
          <w:sz w:val="22"/>
          <w:szCs w:val="22"/>
        </w:rPr>
        <w:t>Criterio 02/2003.</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INGRESOS DE LOS SERVIDORES PÚBLICOS, SON INFORMACIÓN PÚBLICA AÚN Y CUANDO CONSTITUYEN DATOS PERSONALES QUE SE REFIEREN AL PATRIMONIO DE AQUÉLLOS.</w:t>
      </w:r>
      <w:r w:rsidRPr="00902182">
        <w:rPr>
          <w:rFonts w:ascii="Palatino Linotype" w:eastAsia="Palatino Linotype" w:hAnsi="Palatino Linotype" w:cs="Palatino Linotype"/>
          <w:i/>
          <w:color w:val="404040"/>
          <w:sz w:val="22"/>
          <w:szCs w:val="22"/>
        </w:rPr>
        <w:t xml:space="preserve">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02182">
        <w:rPr>
          <w:rFonts w:ascii="Palatino Linotype" w:eastAsia="Palatino Linotype" w:hAnsi="Palatino Linotype" w:cs="Palatino Linotype"/>
          <w:b/>
          <w:i/>
          <w:color w:val="404040"/>
          <w:sz w:val="22"/>
          <w:szCs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02182">
        <w:rPr>
          <w:rFonts w:ascii="Palatino Linotype" w:eastAsia="Palatino Linotype" w:hAnsi="Palatino Linotype" w:cs="Palatino Linotype"/>
          <w:i/>
          <w:color w:val="404040"/>
          <w:sz w:val="22"/>
          <w:szCs w:val="22"/>
        </w:rPr>
        <w:t xml:space="preserve"> el sistema de compensación…</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En este sentido, resulta obvio que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tiene competencia para conocer de la información solicitada; sin embargo, en respuesta a este requerimiento precisó que podría consultar la información en la siguiente liga electrónica </w:t>
      </w:r>
      <w:hyperlink r:id="rId13">
        <w:r w:rsidRPr="00902182">
          <w:rPr>
            <w:rFonts w:ascii="Palatino Linotype" w:eastAsia="Palatino Linotype" w:hAnsi="Palatino Linotype" w:cs="Palatino Linotype"/>
            <w:color w:val="0000FF"/>
            <w:u w:val="single"/>
          </w:rPr>
          <w:t>https://ipomex.org.mx/ipo3/lgt/indice/OASIXTAPALUCA/art_92_viil.web?token=03AL8dmw_kOkDHivZW_-zFWLOSBE-</w:t>
        </w:r>
        <w:r w:rsidRPr="00902182">
          <w:rPr>
            <w:rFonts w:ascii="Palatino Linotype" w:eastAsia="Palatino Linotype" w:hAnsi="Palatino Linotype" w:cs="Palatino Linotype"/>
            <w:color w:val="0000FF"/>
            <w:u w:val="single"/>
          </w:rPr>
          <w:lastRenderedPageBreak/>
          <w:t>W4sAsYYTm18MO1ZvVXIn9od6E4S62X53-AsMsHkd41ljnGPgr4R_CDNKT2LA4pM-tvtGRkB3nGOf4F0NchSKF2OfDrv64T0z39brzK-yZC_2JQYX48HgQ8Pzhilwk0-Vxv9XdhicplOUCbwdYgZk5fwDMwOTYwXWwvrSQK3uFjr7DiVPDrz9jkGUPoyl5cGIOHEnLJKDSLIJPRU2vITIqdBZWn5BhcZYOxvQzS0EVt2Q1PkyAhu12uFIVxWWfAdOtOCTIcIFyE68T_GYcKOx_dYPhrQ9FCM30KfYWsqQRRJ77eW8rpnuNJ8aE6E-gR2ZGOzC9e06gth7vHWEE8xVc7ZGvww-hVnGdyRORLAO9HG_EZOv7Va9Jzn0OtR_PS5G2ZJSOEdJMq27pSPh8sexqSjc75uwtUFp1ogiOyGU83HLaUesscgoKbKuJhku4zTCgDb5bUXtlw-AuYmIREKGPpfUDr1-2HHvJYsQ_pT7-THUmFdeU7V-b6dhC3</w:t>
        </w:r>
      </w:hyperlink>
      <w:r w:rsidRPr="00902182">
        <w:rPr>
          <w:rFonts w:ascii="Palatino Linotype" w:eastAsia="Palatino Linotype" w:hAnsi="Palatino Linotype" w:cs="Palatino Linotype"/>
        </w:rPr>
        <w:t xml:space="preserve">, misma que dirige a la siguiente página web: </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rPr>
      </w:pPr>
    </w:p>
    <w:p w:rsidR="0032171E" w:rsidRPr="00902182" w:rsidRDefault="00BA3F20">
      <w:pPr>
        <w:pBdr>
          <w:top w:val="nil"/>
          <w:left w:val="nil"/>
          <w:bottom w:val="nil"/>
          <w:right w:val="nil"/>
          <w:between w:val="nil"/>
        </w:pBdr>
        <w:spacing w:line="360" w:lineRule="auto"/>
        <w:jc w:val="center"/>
        <w:rPr>
          <w:rFonts w:ascii="Palatino Linotype" w:eastAsia="Palatino Linotype" w:hAnsi="Palatino Linotype" w:cs="Palatino Linotype"/>
        </w:rPr>
      </w:pPr>
      <w:r w:rsidRPr="00902182">
        <w:rPr>
          <w:noProof/>
        </w:rPr>
        <w:drawing>
          <wp:inline distT="0" distB="0" distL="0" distR="0">
            <wp:extent cx="4146923" cy="1784894"/>
            <wp:effectExtent l="0" t="0" r="0"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146923" cy="1784894"/>
                    </a:xfrm>
                    <a:prstGeom prst="rect">
                      <a:avLst/>
                    </a:prstGeom>
                    <a:ln/>
                  </pic:spPr>
                </pic:pic>
              </a:graphicData>
            </a:graphic>
          </wp:inline>
        </w:drawing>
      </w:r>
    </w:p>
    <w:p w:rsidR="0032171E" w:rsidRPr="00902182" w:rsidRDefault="0032171E">
      <w:pPr>
        <w:pBdr>
          <w:top w:val="nil"/>
          <w:left w:val="nil"/>
          <w:bottom w:val="nil"/>
          <w:right w:val="nil"/>
          <w:between w:val="nil"/>
        </w:pBdr>
        <w:spacing w:line="360" w:lineRule="auto"/>
        <w:jc w:val="center"/>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Situación de la cual se puede advertir que efectivamente la liga electrónica no contiene los recibos de nómina requeridos por </w:t>
      </w:r>
      <w:r w:rsidRPr="00902182">
        <w:rPr>
          <w:rFonts w:ascii="Palatino Linotype" w:eastAsia="Palatino Linotype" w:hAnsi="Palatino Linotype" w:cs="Palatino Linotype"/>
          <w:b/>
          <w:color w:val="000000"/>
        </w:rPr>
        <w:t>LA PARTE RECURRENTE</w:t>
      </w:r>
      <w:r w:rsidRPr="00902182">
        <w:rPr>
          <w:rFonts w:ascii="Palatino Linotype" w:eastAsia="Palatino Linotype" w:hAnsi="Palatino Linotype" w:cs="Palatino Linotype"/>
          <w:color w:val="000000"/>
        </w:rPr>
        <w:t xml:space="preserve">, por lo que conviene citar al artículo 161 de la Ley de Transparencia y Acceso a la </w:t>
      </w:r>
      <w:r w:rsidRPr="00902182">
        <w:rPr>
          <w:rFonts w:ascii="Palatino Linotype" w:eastAsia="Palatino Linotype" w:hAnsi="Palatino Linotype" w:cs="Palatino Linotype"/>
          <w:color w:val="000000"/>
        </w:rPr>
        <w:lastRenderedPageBreak/>
        <w:t>Información Pública del Estado de México y Municipios, que señala diversas características que debe tener la información desde el momento de su generación, publicación y entrega, así como la forma en que se deberá consultar la información, señalando una fuente precisa y concreta, a saber:</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u w:val="single"/>
        </w:rPr>
      </w:pPr>
      <w:r w:rsidRPr="00902182">
        <w:rPr>
          <w:rFonts w:ascii="Palatino Linotype" w:eastAsia="Palatino Linotype" w:hAnsi="Palatino Linotype" w:cs="Palatino Linotype"/>
          <w:b/>
          <w:i/>
          <w:color w:val="000000"/>
          <w:sz w:val="22"/>
          <w:szCs w:val="22"/>
        </w:rPr>
        <w:t>Artículo 161.</w:t>
      </w:r>
      <w:r w:rsidRPr="00902182">
        <w:rPr>
          <w:rFonts w:ascii="Palatino Linotype" w:eastAsia="Palatino Linotype" w:hAnsi="Palatino Linotype" w:cs="Palatino Linotype"/>
          <w:i/>
          <w:color w:val="000000"/>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902182">
        <w:rPr>
          <w:rFonts w:ascii="Palatino Linotype" w:eastAsia="Palatino Linotype" w:hAnsi="Palatino Linotype" w:cs="Palatino Linotype"/>
          <w:b/>
          <w:i/>
          <w:color w:val="000000"/>
          <w:sz w:val="22"/>
          <w:szCs w:val="22"/>
        </w:rPr>
        <w:t xml:space="preserve">la fuente, el lugar y la forma en que puede consultar, reproducir o adquirir dicha información en un plazo no mayor a cinco días hábiles. </w:t>
      </w:r>
      <w:r w:rsidRPr="00902182">
        <w:rPr>
          <w:rFonts w:ascii="Palatino Linotype" w:eastAsia="Palatino Linotype" w:hAnsi="Palatino Linotype" w:cs="Palatino Linotype"/>
          <w:b/>
          <w:i/>
          <w:color w:val="000000"/>
          <w:sz w:val="22"/>
          <w:szCs w:val="22"/>
          <w:u w:val="single"/>
        </w:rPr>
        <w:t>La fuente deberá ser precisa y concreta y no debe implicar que el solicitante realice una búsqueda en toda la información que se encuentre disponible.</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u w:val="single"/>
        </w:rPr>
      </w:pPr>
      <w:r w:rsidRPr="00902182">
        <w:rPr>
          <w:rFonts w:ascii="Palatino Linotype" w:eastAsia="Palatino Linotype" w:hAnsi="Palatino Linotype" w:cs="Palatino Linotype"/>
          <w:b/>
          <w:i/>
          <w:color w:val="000000"/>
          <w:sz w:val="22"/>
          <w:szCs w:val="22"/>
          <w:u w:val="single"/>
        </w:rPr>
        <w:t>Énfasis añadido</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Del artículo inserto en esta resolución, se establecen las características que debe tener la información desde el momento de su generación, publicación y entrega; de igual manera se contempla el procedimiento a seguir por </w:t>
      </w:r>
      <w:r w:rsidRPr="00902182">
        <w:rPr>
          <w:rFonts w:ascii="Palatino Linotype" w:eastAsia="Palatino Linotype" w:hAnsi="Palatino Linotype" w:cs="Palatino Linotype"/>
          <w:b/>
          <w:color w:val="000000"/>
        </w:rPr>
        <w:t>EL SUJETO OBLIGADO</w:t>
      </w:r>
      <w:r w:rsidRPr="00902182">
        <w:rPr>
          <w:rFonts w:ascii="Palatino Linotype" w:eastAsia="Palatino Linotype" w:hAnsi="Palatino Linotype" w:cs="Palatino Linotype"/>
          <w:color w:val="000000"/>
        </w:rPr>
        <w:t xml:space="preserve"> para informar a los solicitantes sobre información que se encuentre disponible en libros, compendios, formatos electrónicos, entre otros, haciéndole saber a la parte solicitante cómo podrá consultar, reproducir o adquirir la información, en un plazo no mayor a </w:t>
      </w:r>
      <w:r w:rsidRPr="00902182">
        <w:rPr>
          <w:rFonts w:ascii="Palatino Linotype" w:eastAsia="Palatino Linotype" w:hAnsi="Palatino Linotype" w:cs="Palatino Linotype"/>
          <w:b/>
          <w:color w:val="000000"/>
          <w:u w:val="single"/>
        </w:rPr>
        <w:t>cinco días hábiles</w:t>
      </w:r>
      <w:r w:rsidRPr="00902182">
        <w:rPr>
          <w:rFonts w:ascii="Palatino Linotype" w:eastAsia="Palatino Linotype" w:hAnsi="Palatino Linotype" w:cs="Palatino Linotype"/>
          <w:color w:val="000000"/>
        </w:rPr>
        <w:t>, comprendiendo:</w:t>
      </w:r>
    </w:p>
    <w:p w:rsidR="0032171E" w:rsidRPr="00902182" w:rsidRDefault="0032171E">
      <w:pPr>
        <w:jc w:val="both"/>
        <w:rPr>
          <w:rFonts w:ascii="Palatino Linotype" w:eastAsia="Palatino Linotype" w:hAnsi="Palatino Linotype" w:cs="Palatino Linotype"/>
          <w:color w:val="000000"/>
        </w:rPr>
      </w:pPr>
    </w:p>
    <w:p w:rsidR="0032171E" w:rsidRPr="00902182" w:rsidRDefault="00BA3F20">
      <w:pPr>
        <w:numPr>
          <w:ilvl w:val="0"/>
          <w:numId w:val="8"/>
        </w:numPr>
        <w:jc w:val="both"/>
        <w:rPr>
          <w:rFonts w:ascii="Palatino Linotype" w:eastAsia="Palatino Linotype" w:hAnsi="Palatino Linotype" w:cs="Palatino Linotype"/>
          <w:b/>
          <w:color w:val="000000"/>
        </w:rPr>
      </w:pPr>
      <w:r w:rsidRPr="00902182">
        <w:rPr>
          <w:rFonts w:ascii="Palatino Linotype" w:eastAsia="Palatino Linotype" w:hAnsi="Palatino Linotype" w:cs="Palatino Linotype"/>
          <w:color w:val="000000"/>
        </w:rPr>
        <w:t>La fuente</w:t>
      </w:r>
    </w:p>
    <w:p w:rsidR="0032171E" w:rsidRPr="00902182" w:rsidRDefault="00BA3F20">
      <w:pPr>
        <w:numPr>
          <w:ilvl w:val="0"/>
          <w:numId w:val="8"/>
        </w:numPr>
        <w:jc w:val="both"/>
        <w:rPr>
          <w:rFonts w:ascii="Palatino Linotype" w:eastAsia="Palatino Linotype" w:hAnsi="Palatino Linotype" w:cs="Palatino Linotype"/>
          <w:b/>
          <w:color w:val="000000"/>
        </w:rPr>
      </w:pPr>
      <w:r w:rsidRPr="00902182">
        <w:rPr>
          <w:rFonts w:ascii="Palatino Linotype" w:eastAsia="Palatino Linotype" w:hAnsi="Palatino Linotype" w:cs="Palatino Linotype"/>
          <w:color w:val="000000"/>
        </w:rPr>
        <w:t>El lugar y</w:t>
      </w:r>
    </w:p>
    <w:p w:rsidR="0032171E" w:rsidRPr="00902182" w:rsidRDefault="00BA3F20">
      <w:pPr>
        <w:numPr>
          <w:ilvl w:val="0"/>
          <w:numId w:val="8"/>
        </w:numPr>
        <w:jc w:val="both"/>
        <w:rPr>
          <w:rFonts w:ascii="Palatino Linotype" w:eastAsia="Palatino Linotype" w:hAnsi="Palatino Linotype" w:cs="Palatino Linotype"/>
          <w:b/>
          <w:color w:val="000000"/>
        </w:rPr>
      </w:pPr>
      <w:r w:rsidRPr="00902182">
        <w:rPr>
          <w:rFonts w:ascii="Palatino Linotype" w:eastAsia="Palatino Linotype" w:hAnsi="Palatino Linotype" w:cs="Palatino Linotype"/>
          <w:color w:val="000000"/>
        </w:rPr>
        <w:t>La forma</w:t>
      </w:r>
    </w:p>
    <w:p w:rsidR="0032171E" w:rsidRPr="00902182" w:rsidRDefault="0032171E">
      <w:pPr>
        <w:jc w:val="both"/>
        <w:rPr>
          <w:rFonts w:ascii="Palatino Linotype" w:eastAsia="Palatino Linotype" w:hAnsi="Palatino Linotype" w:cs="Palatino Linotype"/>
          <w:color w:val="000000"/>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Asimismo, se establece que la fuente de la información </w:t>
      </w:r>
      <w:r w:rsidRPr="00902182">
        <w:rPr>
          <w:rFonts w:ascii="Palatino Linotype" w:eastAsia="Palatino Linotype" w:hAnsi="Palatino Linotype" w:cs="Palatino Linotype"/>
          <w:b/>
          <w:color w:val="000000"/>
        </w:rPr>
        <w:t>deberá ser</w:t>
      </w:r>
      <w:r w:rsidRPr="00902182">
        <w:rPr>
          <w:rFonts w:ascii="Palatino Linotype" w:eastAsia="Palatino Linotype" w:hAnsi="Palatino Linotype" w:cs="Palatino Linotype"/>
          <w:color w:val="000000"/>
        </w:rPr>
        <w:t>:</w:t>
      </w:r>
    </w:p>
    <w:p w:rsidR="0032171E" w:rsidRPr="00902182" w:rsidRDefault="0032171E">
      <w:pPr>
        <w:spacing w:line="360" w:lineRule="auto"/>
        <w:jc w:val="both"/>
        <w:rPr>
          <w:rFonts w:ascii="Palatino Linotype" w:eastAsia="Palatino Linotype" w:hAnsi="Palatino Linotype" w:cs="Palatino Linotype"/>
          <w:color w:val="000000"/>
        </w:rPr>
      </w:pPr>
    </w:p>
    <w:p w:rsidR="0032171E" w:rsidRPr="00902182" w:rsidRDefault="00BA3F20">
      <w:pPr>
        <w:numPr>
          <w:ilvl w:val="0"/>
          <w:numId w:val="9"/>
        </w:numPr>
        <w:jc w:val="both"/>
        <w:rPr>
          <w:rFonts w:ascii="Palatino Linotype" w:eastAsia="Palatino Linotype" w:hAnsi="Palatino Linotype" w:cs="Palatino Linotype"/>
          <w:b/>
          <w:color w:val="000000"/>
        </w:rPr>
      </w:pPr>
      <w:r w:rsidRPr="00902182">
        <w:rPr>
          <w:rFonts w:ascii="Palatino Linotype" w:eastAsia="Palatino Linotype" w:hAnsi="Palatino Linotype" w:cs="Palatino Linotype"/>
          <w:b/>
          <w:color w:val="000000"/>
        </w:rPr>
        <w:t>Precisa</w:t>
      </w:r>
    </w:p>
    <w:p w:rsidR="0032171E" w:rsidRPr="00902182" w:rsidRDefault="00BA3F20">
      <w:pPr>
        <w:numPr>
          <w:ilvl w:val="0"/>
          <w:numId w:val="9"/>
        </w:numPr>
        <w:jc w:val="both"/>
        <w:rPr>
          <w:rFonts w:ascii="Palatino Linotype" w:eastAsia="Palatino Linotype" w:hAnsi="Palatino Linotype" w:cs="Palatino Linotype"/>
          <w:b/>
          <w:color w:val="000000"/>
        </w:rPr>
      </w:pPr>
      <w:r w:rsidRPr="00902182">
        <w:rPr>
          <w:rFonts w:ascii="Palatino Linotype" w:eastAsia="Palatino Linotype" w:hAnsi="Palatino Linotype" w:cs="Palatino Linotype"/>
          <w:color w:val="000000"/>
        </w:rPr>
        <w:t>Concreta</w:t>
      </w:r>
    </w:p>
    <w:p w:rsidR="0032171E" w:rsidRPr="00902182" w:rsidRDefault="00BA3F20">
      <w:pPr>
        <w:numPr>
          <w:ilvl w:val="0"/>
          <w:numId w:val="9"/>
        </w:numPr>
        <w:jc w:val="both"/>
        <w:rPr>
          <w:rFonts w:ascii="Palatino Linotype" w:eastAsia="Palatino Linotype" w:hAnsi="Palatino Linotype" w:cs="Palatino Linotype"/>
          <w:b/>
          <w:color w:val="000000"/>
        </w:rPr>
      </w:pPr>
      <w:r w:rsidRPr="00902182">
        <w:rPr>
          <w:rFonts w:ascii="Palatino Linotype" w:eastAsia="Palatino Linotype" w:hAnsi="Palatino Linotype" w:cs="Palatino Linotype"/>
          <w:color w:val="000000"/>
        </w:rPr>
        <w:t>No debe implicar que el solicitante realice una búsqueda en toda la información que se encuentre disponible.</w:t>
      </w:r>
    </w:p>
    <w:p w:rsidR="0032171E" w:rsidRPr="00902182" w:rsidRDefault="0032171E">
      <w:pPr>
        <w:jc w:val="both"/>
        <w:rPr>
          <w:rFonts w:ascii="Palatino Linotype" w:eastAsia="Palatino Linotype" w:hAnsi="Palatino Linotype" w:cs="Palatino Linotype"/>
          <w:color w:val="000000"/>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Imperativos legales que establecen el procedimiento que debe seguir </w:t>
      </w:r>
      <w:r w:rsidRPr="00902182">
        <w:rPr>
          <w:rFonts w:ascii="Palatino Linotype" w:eastAsia="Palatino Linotype" w:hAnsi="Palatino Linotype" w:cs="Palatino Linotype"/>
          <w:b/>
          <w:color w:val="000000"/>
        </w:rPr>
        <w:t xml:space="preserve">EL SUJETO OBLIGADO </w:t>
      </w:r>
      <w:r w:rsidRPr="00902182">
        <w:rPr>
          <w:rFonts w:ascii="Palatino Linotype" w:eastAsia="Palatino Linotype" w:hAnsi="Palatino Linotype" w:cs="Palatino Linotype"/>
          <w:color w:val="000000"/>
        </w:rPr>
        <w:t xml:space="preserve">para que pueda tomarse como válida su orientación sobre la forma en que puede consultar la información requerida, y que en la especie no acontece, ello porque contrario a lo que establece </w:t>
      </w:r>
      <w:r w:rsidRPr="00902182">
        <w:rPr>
          <w:rFonts w:ascii="Palatino Linotype" w:eastAsia="Palatino Linotype" w:hAnsi="Palatino Linotype" w:cs="Palatino Linotype"/>
          <w:b/>
          <w:color w:val="000000"/>
        </w:rPr>
        <w:t>EL SUJETO OBLIGADO</w:t>
      </w:r>
      <w:r w:rsidRPr="00902182">
        <w:rPr>
          <w:rFonts w:ascii="Palatino Linotype" w:eastAsia="Palatino Linotype" w:hAnsi="Palatino Linotype" w:cs="Palatino Linotype"/>
          <w:color w:val="000000"/>
        </w:rPr>
        <w:t xml:space="preserve">, la fuente donde a su decir se encuentra la información, </w:t>
      </w:r>
      <w:r w:rsidRPr="00902182">
        <w:rPr>
          <w:rFonts w:ascii="Palatino Linotype" w:eastAsia="Palatino Linotype" w:hAnsi="Palatino Linotype" w:cs="Palatino Linotype"/>
          <w:b/>
          <w:color w:val="000000"/>
          <w:u w:val="single"/>
        </w:rPr>
        <w:t>no es precisa</w:t>
      </w:r>
      <w:r w:rsidRPr="00902182">
        <w:rPr>
          <w:rFonts w:ascii="Palatino Linotype" w:eastAsia="Palatino Linotype" w:hAnsi="Palatino Linotype" w:cs="Palatino Linotype"/>
          <w:color w:val="000000"/>
        </w:rPr>
        <w:t xml:space="preserve"> por no señalarse el lugar específico donde se encuentra la información solicitada; </w:t>
      </w:r>
      <w:r w:rsidRPr="00902182">
        <w:rPr>
          <w:rFonts w:ascii="Palatino Linotype" w:eastAsia="Palatino Linotype" w:hAnsi="Palatino Linotype" w:cs="Palatino Linotype"/>
          <w:b/>
          <w:color w:val="000000"/>
          <w:u w:val="single"/>
        </w:rPr>
        <w:t>no es concreta</w:t>
      </w:r>
      <w:r w:rsidRPr="00902182">
        <w:rPr>
          <w:rFonts w:ascii="Palatino Linotype" w:eastAsia="Palatino Linotype" w:hAnsi="Palatino Linotype" w:cs="Palatino Linotype"/>
          <w:color w:val="000000"/>
        </w:rPr>
        <w:t xml:space="preserve"> porque su fuente no es sólida, sino por el contrario ésta resulta abstracta y desinforma al crear incertidumbre con el cúmulo de información ahí establecida; y por último, su fuente </w:t>
      </w:r>
      <w:r w:rsidRPr="00902182">
        <w:rPr>
          <w:rFonts w:ascii="Palatino Linotype" w:eastAsia="Palatino Linotype" w:hAnsi="Palatino Linotype" w:cs="Palatino Linotype"/>
          <w:b/>
          <w:color w:val="000000"/>
        </w:rPr>
        <w:t xml:space="preserve">SÍ </w:t>
      </w:r>
      <w:r w:rsidRPr="00902182">
        <w:rPr>
          <w:rFonts w:ascii="Palatino Linotype" w:eastAsia="Palatino Linotype" w:hAnsi="Palatino Linotype" w:cs="Palatino Linotype"/>
          <w:color w:val="000000"/>
        </w:rPr>
        <w:t xml:space="preserve">implica que el solicitante realice una búsqueda en toda la información que se encuentra disponible, lo que a todas luces transgrede el numeral citado. </w:t>
      </w:r>
    </w:p>
    <w:p w:rsidR="0032171E" w:rsidRPr="00902182" w:rsidRDefault="0032171E">
      <w:pPr>
        <w:spacing w:line="360" w:lineRule="auto"/>
        <w:jc w:val="both"/>
        <w:rPr>
          <w:rFonts w:ascii="Palatino Linotype" w:eastAsia="Palatino Linotype" w:hAnsi="Palatino Linotype" w:cs="Palatino Linotype"/>
          <w:color w:val="000000"/>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Por lo anteriormente expuesto, se concluye que </w:t>
      </w:r>
      <w:r w:rsidRPr="00902182">
        <w:rPr>
          <w:rFonts w:ascii="Palatino Linotype" w:eastAsia="Palatino Linotype" w:hAnsi="Palatino Linotype" w:cs="Palatino Linotype"/>
          <w:b/>
          <w:color w:val="000000"/>
        </w:rPr>
        <w:t>EL SUJETO OBLIGADO</w:t>
      </w:r>
      <w:r w:rsidRPr="00902182">
        <w:rPr>
          <w:rFonts w:ascii="Palatino Linotype" w:eastAsia="Palatino Linotype" w:hAnsi="Palatino Linotype" w:cs="Palatino Linotype"/>
          <w:color w:val="000000"/>
        </w:rPr>
        <w:t xml:space="preserve"> no colmó las pretensiones realizadas por </w:t>
      </w:r>
      <w:r w:rsidRPr="00902182">
        <w:rPr>
          <w:rFonts w:ascii="Palatino Linotype" w:eastAsia="Palatino Linotype" w:hAnsi="Palatino Linotype" w:cs="Palatino Linotype"/>
          <w:b/>
          <w:color w:val="000000"/>
        </w:rPr>
        <w:t xml:space="preserve">LA PARTE </w:t>
      </w:r>
      <w:r w:rsidRPr="00902182">
        <w:rPr>
          <w:rFonts w:ascii="Palatino Linotype" w:eastAsia="Palatino Linotype" w:hAnsi="Palatino Linotype" w:cs="Palatino Linotype"/>
          <w:b/>
        </w:rPr>
        <w:t>RECURRENTE</w:t>
      </w:r>
      <w:r w:rsidRPr="00902182">
        <w:rPr>
          <w:rFonts w:ascii="Palatino Linotype" w:eastAsia="Palatino Linotype" w:hAnsi="Palatino Linotype" w:cs="Palatino Linotype"/>
          <w:color w:val="000000"/>
        </w:rPr>
        <w:t xml:space="preserve"> con la remisión de la liga electrónica en la respuesta y en el Informe Justificado; pues la información entregada no coincide con lo solicitado, ya que fue contundente en señalar que </w:t>
      </w:r>
      <w:r w:rsidRPr="00902182">
        <w:rPr>
          <w:rFonts w:ascii="Palatino Linotype" w:eastAsia="Palatino Linotype" w:hAnsi="Palatino Linotype" w:cs="Palatino Linotype"/>
          <w:b/>
          <w:color w:val="000000"/>
        </w:rPr>
        <w:t>requería conocer las remuneraciones a través de los recibos de nómina.</w:t>
      </w:r>
      <w:r w:rsidRPr="00902182">
        <w:rPr>
          <w:rFonts w:ascii="Palatino Linotype" w:eastAsia="Palatino Linotype" w:hAnsi="Palatino Linotype" w:cs="Palatino Linotype"/>
          <w:color w:val="000000"/>
        </w:rPr>
        <w:t xml:space="preserve"> </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b/>
        </w:rPr>
      </w:pPr>
      <w:r w:rsidRPr="00902182">
        <w:rPr>
          <w:rFonts w:ascii="Palatino Linotype" w:eastAsia="Palatino Linotype" w:hAnsi="Palatino Linotype" w:cs="Palatino Linotype"/>
          <w:b/>
        </w:rPr>
        <w:lastRenderedPageBreak/>
        <w:t xml:space="preserve">DOS. CAMBIO DE MODALIDAD DE ENTREGA DE LA INFORMACIÓN A CONSULTA DIRECTA. </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b/>
        </w:rPr>
      </w:pPr>
    </w:p>
    <w:p w:rsidR="0032171E" w:rsidRPr="00902182" w:rsidRDefault="00BA3F20">
      <w:pPr>
        <w:spacing w:line="360" w:lineRule="auto"/>
        <w:ind w:right="-28"/>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Así sobre el cambio de modalidad manifestado </w:t>
      </w:r>
      <w:r w:rsidRPr="00902182">
        <w:rPr>
          <w:rFonts w:ascii="Palatino Linotype" w:eastAsia="Palatino Linotype" w:hAnsi="Palatino Linotype" w:cs="Palatino Linotype"/>
          <w:color w:val="000000"/>
        </w:rPr>
        <w:t>e</w:t>
      </w:r>
      <w:r w:rsidRPr="00902182">
        <w:rPr>
          <w:rFonts w:ascii="Palatino Linotype" w:eastAsia="Palatino Linotype" w:hAnsi="Palatino Linotype" w:cs="Palatino Linotype"/>
        </w:rPr>
        <w:t xml:space="preserve">l artículo 155, fracción V, de la Ley de Transparencia y Acceso a la Información Pública del Estado de México y Municipios, precisa que para presentar una solicitud, el particular podrá señalar </w:t>
      </w:r>
      <w:r w:rsidRPr="00902182">
        <w:rPr>
          <w:rFonts w:ascii="Palatino Linotype" w:eastAsia="Palatino Linotype" w:hAnsi="Palatino Linotype" w:cs="Palatino Linotype"/>
          <w:b/>
        </w:rPr>
        <w:t>la modalidad en la que prefiere se otorgue el acceso a la información</w:t>
      </w:r>
      <w:r w:rsidRPr="00902182">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rsidR="0032171E" w:rsidRPr="00902182" w:rsidRDefault="0032171E">
      <w:pPr>
        <w:spacing w:line="360" w:lineRule="auto"/>
        <w:ind w:right="-28"/>
        <w:jc w:val="both"/>
        <w:rPr>
          <w:rFonts w:ascii="Palatino Linotype" w:eastAsia="Palatino Linotype" w:hAnsi="Palatino Linotype" w:cs="Palatino Linotype"/>
        </w:rPr>
      </w:pPr>
    </w:p>
    <w:p w:rsidR="0032171E" w:rsidRPr="00902182" w:rsidRDefault="00BA3F20">
      <w:pPr>
        <w:spacing w:line="360" w:lineRule="auto"/>
        <w:ind w:right="-28"/>
        <w:jc w:val="both"/>
        <w:rPr>
          <w:rFonts w:ascii="Palatino Linotype" w:eastAsia="Palatino Linotype" w:hAnsi="Palatino Linotype" w:cs="Palatino Linotype"/>
          <w:b/>
        </w:rPr>
      </w:pPr>
      <w:r w:rsidRPr="00902182">
        <w:rPr>
          <w:rFonts w:ascii="Palatino Linotype" w:eastAsia="Palatino Linotype" w:hAnsi="Palatino Linotype" w:cs="Palatino Linotype"/>
        </w:rPr>
        <w:t xml:space="preserve">El artículo 158, dispone que, de manera excepcional, cuando de manera fundada y motivada lo determine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0032171E" w:rsidRPr="00902182" w:rsidRDefault="0032171E">
      <w:pPr>
        <w:spacing w:line="360" w:lineRule="auto"/>
        <w:ind w:right="-28"/>
        <w:jc w:val="both"/>
        <w:rPr>
          <w:rFonts w:ascii="Palatino Linotype" w:eastAsia="Palatino Linotype" w:hAnsi="Palatino Linotype" w:cs="Palatino Linotype"/>
          <w:b/>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En ese orden de ideas, el artículo 164 de dicho ordenamiento jurídico, prevé que el acceso se dará en la modalidad de entrega y, en su caso, de envío elegidos por el solicitante. </w:t>
      </w:r>
      <w:r w:rsidRPr="00902182">
        <w:rPr>
          <w:rFonts w:ascii="Palatino Linotype" w:eastAsia="Palatino Linotype" w:hAnsi="Palatino Linotype" w:cs="Palatino Linotype"/>
          <w:b/>
        </w:rPr>
        <w:t xml:space="preserve">Cuando la información no pueda entregarse o enviarse en la modalidad elegida, el sujeto obligado deberá ofrecer otra u otras modalidades de </w:t>
      </w:r>
      <w:r w:rsidRPr="00902182">
        <w:rPr>
          <w:rFonts w:ascii="Palatino Linotype" w:eastAsia="Palatino Linotype" w:hAnsi="Palatino Linotype" w:cs="Palatino Linotype"/>
          <w:b/>
        </w:rPr>
        <w:lastRenderedPageBreak/>
        <w:t>entrega.</w:t>
      </w:r>
      <w:r w:rsidRPr="00902182">
        <w:rPr>
          <w:rFonts w:ascii="Palatino Linotype" w:eastAsia="Palatino Linotype" w:hAnsi="Palatino Linotype" w:cs="Palatino Linotype"/>
        </w:rPr>
        <w:t xml:space="preserve"> En cualquier caso, </w:t>
      </w:r>
      <w:r w:rsidRPr="00902182">
        <w:rPr>
          <w:rFonts w:ascii="Palatino Linotype" w:eastAsia="Palatino Linotype" w:hAnsi="Palatino Linotype" w:cs="Palatino Linotype"/>
          <w:b/>
        </w:rPr>
        <w:t>se deberá fundar y motivar</w:t>
      </w:r>
      <w:r w:rsidRPr="00902182">
        <w:rPr>
          <w:rFonts w:ascii="Palatino Linotype" w:eastAsia="Palatino Linotype" w:hAnsi="Palatino Linotype" w:cs="Palatino Linotype"/>
        </w:rPr>
        <w:t xml:space="preserve"> la necesidad de ofrecer otras modalidades.</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la parte solicitante de manera previa a la entrega por parte del Sujeto Obligado. En tales consideraciones, la entrega deberá hacerse, </w:t>
      </w:r>
      <w:r w:rsidRPr="00902182">
        <w:rPr>
          <w:rFonts w:ascii="Palatino Linotype" w:eastAsia="Palatino Linotype" w:hAnsi="Palatino Linotype" w:cs="Palatino Linotype"/>
          <w:b/>
        </w:rPr>
        <w:t>en la medida de lo posible, en la forma solicitada por la persona interesada, salvo que exista un impedimento justificado para atenderla</w:t>
      </w:r>
      <w:r w:rsidRPr="00902182">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sidRPr="00902182">
        <w:rPr>
          <w:rFonts w:ascii="Palatino Linotype" w:eastAsia="Palatino Linotype" w:hAnsi="Palatino Linotype" w:cs="Palatino Linotype"/>
          <w:b/>
        </w:rPr>
        <w:t>sólo procede, en caso de que se acredite la imposibilidad de atenderla.</w:t>
      </w:r>
      <w:r w:rsidRPr="00902182">
        <w:rPr>
          <w:rFonts w:ascii="Palatino Linotype" w:eastAsia="Palatino Linotype" w:hAnsi="Palatino Linotype" w:cs="Palatino Linotype"/>
        </w:rPr>
        <w:t xml:space="preserve"> </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Así, cuando se justifique el impedimento, </w:t>
      </w:r>
      <w:r w:rsidRPr="00902182">
        <w:rPr>
          <w:rFonts w:ascii="Palatino Linotype" w:eastAsia="Palatino Linotype" w:hAnsi="Palatino Linotype" w:cs="Palatino Linotype"/>
          <w:b/>
        </w:rPr>
        <w:t>los Sujetos Obligados deberán ofrecer al particular otras modalidades de entrega que permita la información</w:t>
      </w:r>
      <w:r w:rsidRPr="00902182">
        <w:rPr>
          <w:rFonts w:ascii="Palatino Linotype" w:eastAsia="Palatino Linotype" w:hAnsi="Palatino Linotype" w:cs="Palatino Linotype"/>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0032171E" w:rsidRPr="00902182" w:rsidRDefault="0032171E">
      <w:pPr>
        <w:jc w:val="both"/>
        <w:rPr>
          <w:rFonts w:ascii="Palatino Linotype" w:eastAsia="Palatino Linotype" w:hAnsi="Palatino Linotype" w:cs="Palatino Linotype"/>
          <w:sz w:val="22"/>
          <w:szCs w:val="22"/>
        </w:rPr>
      </w:pPr>
    </w:p>
    <w:p w:rsidR="0032171E" w:rsidRPr="00902182" w:rsidRDefault="00BA3F20">
      <w:pPr>
        <w:ind w:left="567" w:right="567"/>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902182">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w:t>
      </w:r>
      <w:r w:rsidRPr="00902182">
        <w:rPr>
          <w:rFonts w:ascii="Palatino Linotype" w:eastAsia="Palatino Linotype" w:hAnsi="Palatino Linotype" w:cs="Palatino Linotype"/>
          <w:i/>
          <w:sz w:val="22"/>
          <w:szCs w:val="22"/>
        </w:rPr>
        <w:lastRenderedPageBreak/>
        <w:t>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32171E" w:rsidRPr="00902182" w:rsidRDefault="0032171E">
      <w:pPr>
        <w:ind w:left="567" w:right="567"/>
        <w:jc w:val="both"/>
        <w:rPr>
          <w:rFonts w:ascii="Palatino Linotype" w:eastAsia="Palatino Linotype" w:hAnsi="Palatino Linotype" w:cs="Palatino Linotype"/>
          <w:i/>
          <w:sz w:val="22"/>
          <w:szCs w:val="22"/>
        </w:rPr>
      </w:pPr>
    </w:p>
    <w:p w:rsidR="0032171E" w:rsidRPr="00902182" w:rsidRDefault="00BA3F20">
      <w:pPr>
        <w:spacing w:line="360" w:lineRule="auto"/>
        <w:jc w:val="both"/>
        <w:rPr>
          <w:rFonts w:ascii="Palatino Linotype" w:eastAsia="Palatino Linotype" w:hAnsi="Palatino Linotype" w:cs="Palatino Linotype"/>
          <w:b/>
        </w:rPr>
      </w:pPr>
      <w:r w:rsidRPr="00902182">
        <w:rPr>
          <w:rFonts w:ascii="Palatino Linotype" w:eastAsia="Palatino Linotype" w:hAnsi="Palatino Linotype" w:cs="Palatino Linotype"/>
        </w:rPr>
        <w:t xml:space="preserve">Del citado criterio, se desprende que cuando no sea posible atender la modalidad elegida por los solicitantes, la obligación de acceso a la información se tendrá por cumplida cuando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justifique el impedimento para atender la misma y se notifique al particular la puesta a disposición de la </w:t>
      </w:r>
      <w:r w:rsidRPr="00902182">
        <w:rPr>
          <w:rFonts w:ascii="Palatino Linotype" w:eastAsia="Palatino Linotype" w:hAnsi="Palatino Linotype" w:cs="Palatino Linotype"/>
          <w:b/>
        </w:rPr>
        <w:t>información en todas las modalidades que lo permitan, procurando reducir los costos de entrega.</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Es menester recordar que </w:t>
      </w:r>
      <w:r w:rsidRPr="00902182">
        <w:rPr>
          <w:rFonts w:ascii="Palatino Linotype" w:eastAsia="Palatino Linotype" w:hAnsi="Palatino Linotype" w:cs="Palatino Linotype"/>
          <w:b/>
          <w:color w:val="000000"/>
        </w:rPr>
        <w:t xml:space="preserve">EL SUJETO OBLIGADO, </w:t>
      </w:r>
      <w:r w:rsidRPr="00902182">
        <w:rPr>
          <w:rFonts w:ascii="Palatino Linotype" w:eastAsia="Palatino Linotype" w:hAnsi="Palatino Linotype" w:cs="Palatino Linotype"/>
          <w:color w:val="000000"/>
        </w:rPr>
        <w:t xml:space="preserve">en respuesta y en el Informe Justificado </w:t>
      </w:r>
      <w:r w:rsidRPr="00902182">
        <w:rPr>
          <w:rFonts w:ascii="Palatino Linotype" w:eastAsia="Palatino Linotype" w:hAnsi="Palatino Linotype" w:cs="Palatino Linotype"/>
        </w:rPr>
        <w:t xml:space="preserve">indicó que la información asciende a nueve mil quinientas hojas, hizo del conocimiento que la información que solicita </w:t>
      </w:r>
      <w:r w:rsidRPr="00902182">
        <w:rPr>
          <w:rFonts w:ascii="Palatino Linotype" w:eastAsia="Palatino Linotype" w:hAnsi="Palatino Linotype" w:cs="Palatino Linotype"/>
          <w:b/>
        </w:rPr>
        <w:t>LA PARTE RECURRENTE</w:t>
      </w:r>
      <w:r w:rsidRPr="00902182">
        <w:rPr>
          <w:rFonts w:ascii="Palatino Linotype" w:eastAsia="Palatino Linotype" w:hAnsi="Palatino Linotype" w:cs="Palatino Linotype"/>
        </w:rPr>
        <w:t xml:space="preserve">, sobrepasaría sus capacidades técnicas, por lo cual determinó, con la finalidad de garantizar el derecho de acceso a la información pública de </w:t>
      </w:r>
      <w:r w:rsidRPr="00902182">
        <w:rPr>
          <w:rFonts w:ascii="Palatino Linotype" w:eastAsia="Palatino Linotype" w:hAnsi="Palatino Linotype" w:cs="Palatino Linotype"/>
          <w:b/>
        </w:rPr>
        <w:t>LA PARTE RECURRENTE</w:t>
      </w:r>
      <w:r w:rsidRPr="00902182">
        <w:rPr>
          <w:rFonts w:ascii="Palatino Linotype" w:eastAsia="Palatino Linotype" w:hAnsi="Palatino Linotype" w:cs="Palatino Linotype"/>
        </w:rPr>
        <w:t xml:space="preserve"> y conforme a las normas aplicables propuso que los documentos sean consultados directamente in situ</w:t>
      </w:r>
      <w:r w:rsidRPr="00902182">
        <w:rPr>
          <w:rFonts w:ascii="Palatino Linotype" w:eastAsia="Palatino Linotype" w:hAnsi="Palatino Linotype" w:cs="Palatino Linotype"/>
          <w:color w:val="000000"/>
        </w:rPr>
        <w:t>.</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En este sentido, este Organismo Garante solicitó en fecha veintiuno de noviembre del año en curso,</w:t>
      </w:r>
      <w:r w:rsidRPr="00902182">
        <w:rPr>
          <w:rFonts w:ascii="Palatino Linotype" w:eastAsia="Palatino Linotype" w:hAnsi="Palatino Linotype" w:cs="Palatino Linotype"/>
          <w:color w:val="FF0000"/>
        </w:rPr>
        <w:t xml:space="preserve"> </w:t>
      </w:r>
      <w:r w:rsidRPr="00902182">
        <w:rPr>
          <w:rFonts w:ascii="Palatino Linotype" w:eastAsia="Palatino Linotype" w:hAnsi="Palatino Linotype" w:cs="Palatino Linotype"/>
        </w:rPr>
        <w:t xml:space="preserve">a través de correo electrónico al Personal de la Dirección General de Informática del </w:t>
      </w:r>
      <w:proofErr w:type="spellStart"/>
      <w:r w:rsidRPr="00902182">
        <w:rPr>
          <w:rFonts w:ascii="Palatino Linotype" w:eastAsia="Palatino Linotype" w:hAnsi="Palatino Linotype" w:cs="Palatino Linotype"/>
        </w:rPr>
        <w:t>Infoem</w:t>
      </w:r>
      <w:proofErr w:type="spellEnd"/>
      <w:r w:rsidRPr="00902182">
        <w:rPr>
          <w:rFonts w:ascii="Palatino Linotype" w:eastAsia="Palatino Linotype" w:hAnsi="Palatino Linotype" w:cs="Palatino Linotype"/>
        </w:rPr>
        <w:t xml:space="preserve">, que señalará si el </w:t>
      </w:r>
      <w:r w:rsidRPr="00902182">
        <w:rPr>
          <w:rFonts w:ascii="Palatino Linotype" w:eastAsia="Palatino Linotype" w:hAnsi="Palatino Linotype" w:cs="Palatino Linotype"/>
          <w:b/>
        </w:rPr>
        <w:t>SUJETO OBLIGADO</w:t>
      </w:r>
      <w:r w:rsidRPr="00902182">
        <w:rPr>
          <w:rFonts w:ascii="Palatino Linotype" w:eastAsia="Palatino Linotype" w:hAnsi="Palatino Linotype" w:cs="Palatino Linotype"/>
        </w:rPr>
        <w:t xml:space="preserve"> inscribió en la </w:t>
      </w:r>
      <w:r w:rsidRPr="00902182">
        <w:rPr>
          <w:rFonts w:ascii="Palatino Linotype" w:eastAsia="Palatino Linotype" w:hAnsi="Palatino Linotype" w:cs="Palatino Linotype"/>
        </w:rPr>
        <w:lastRenderedPageBreak/>
        <w:t xml:space="preserve">bitácora alguna incidencia, en la cual se informará a este Instituto una imposibilidad para subir la información al SAIMEX, resultado de dicha consulta lo siguiente: </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center"/>
        <w:rPr>
          <w:rFonts w:ascii="Palatino Linotype" w:eastAsia="Palatino Linotype" w:hAnsi="Palatino Linotype" w:cs="Palatino Linotype"/>
        </w:rPr>
      </w:pPr>
      <w:r w:rsidRPr="00902182">
        <w:rPr>
          <w:noProof/>
        </w:rPr>
        <w:drawing>
          <wp:inline distT="0" distB="0" distL="0" distR="0">
            <wp:extent cx="4720407" cy="2135346"/>
            <wp:effectExtent l="0" t="0" r="0" b="0"/>
            <wp:docPr id="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4720407" cy="2135346"/>
                    </a:xfrm>
                    <a:prstGeom prst="rect">
                      <a:avLst/>
                    </a:prstGeom>
                    <a:ln/>
                  </pic:spPr>
                </pic:pic>
              </a:graphicData>
            </a:graphic>
          </wp:inline>
        </w:drawing>
      </w:r>
    </w:p>
    <w:p w:rsidR="0032171E" w:rsidRPr="00902182" w:rsidRDefault="00BA3F20">
      <w:pPr>
        <w:spacing w:line="360" w:lineRule="auto"/>
        <w:jc w:val="both"/>
        <w:rPr>
          <w:rFonts w:ascii="Palatino Linotype" w:eastAsia="Palatino Linotype" w:hAnsi="Palatino Linotype" w:cs="Palatino Linotype"/>
          <w:color w:val="000000"/>
        </w:rPr>
      </w:pPr>
      <w:r w:rsidRPr="00902182">
        <w:t xml:space="preserve"> </w:t>
      </w: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Por lo anterior, la Dirección General de Informática informó la existencia de una incidencia reportada por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además señaló que el SAIMEX, cuenta con la capacidad de recibir archivos con un peso aproximado de hasta 500Mb, que corresponde a un aproximado de 8,000 hojas, por cada solicitud de acceso a la información pública, lo cual efectivamente corresponde con el oficio descrito en el antecedente número ocho de este fallo. </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ind w:right="49"/>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Aunado a que derivado del requerimiento realizado por este Organismo Garante para que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acreditara su cambio de modalidad a consulta directa, este dejó de pronunciarse tanto en el SAIMEX como en los correos electrónicos oficiales </w:t>
      </w:r>
      <w:hyperlink r:id="rId16">
        <w:r w:rsidRPr="00902182">
          <w:rPr>
            <w:rFonts w:ascii="Palatino Linotype" w:eastAsia="Palatino Linotype" w:hAnsi="Palatino Linotype" w:cs="Palatino Linotype"/>
            <w:color w:val="0000FF"/>
            <w:u w:val="single"/>
          </w:rPr>
          <w:t>unidad.transparencia@opdapasixtapaluca.gob.mx</w:t>
        </w:r>
      </w:hyperlink>
      <w:r w:rsidRPr="00902182">
        <w:rPr>
          <w:rFonts w:ascii="Palatino Linotype" w:eastAsia="Palatino Linotype" w:hAnsi="Palatino Linotype" w:cs="Palatino Linotype"/>
        </w:rPr>
        <w:t xml:space="preserve"> y </w:t>
      </w:r>
      <w:hyperlink r:id="rId17">
        <w:r w:rsidRPr="00902182">
          <w:rPr>
            <w:rFonts w:ascii="Palatino Linotype" w:eastAsia="Palatino Linotype" w:hAnsi="Palatino Linotype" w:cs="Palatino Linotype"/>
            <w:color w:val="0000FF"/>
            <w:u w:val="single"/>
          </w:rPr>
          <w:t>opd.ixtapaluca@itaipem.org.mx</w:t>
        </w:r>
      </w:hyperlink>
      <w:r w:rsidRPr="00902182">
        <w:rPr>
          <w:rFonts w:ascii="Palatino Linotype" w:eastAsia="Palatino Linotype" w:hAnsi="Palatino Linotype" w:cs="Palatino Linotype"/>
        </w:rPr>
        <w:t xml:space="preserve"> de fechas </w:t>
      </w:r>
      <w:r w:rsidRPr="00902182">
        <w:rPr>
          <w:rFonts w:ascii="Palatino Linotype" w:eastAsia="Palatino Linotype" w:hAnsi="Palatino Linotype" w:cs="Palatino Linotype"/>
          <w:b/>
        </w:rPr>
        <w:t>catorce de noviembre de dos mil veintitrés</w:t>
      </w:r>
      <w:r w:rsidRPr="00902182">
        <w:rPr>
          <w:rFonts w:ascii="Palatino Linotype" w:eastAsia="Palatino Linotype" w:hAnsi="Palatino Linotype" w:cs="Palatino Linotype"/>
        </w:rPr>
        <w:t xml:space="preserve"> requirió a la Unidad de Transparencia del </w:t>
      </w:r>
      <w:r w:rsidRPr="00902182">
        <w:rPr>
          <w:rFonts w:ascii="Palatino Linotype" w:eastAsia="Palatino Linotype" w:hAnsi="Palatino Linotype" w:cs="Palatino Linotype"/>
          <w:b/>
        </w:rPr>
        <w:t>SUJETO OBLIGADO</w:t>
      </w:r>
      <w:r w:rsidRPr="00902182">
        <w:rPr>
          <w:rFonts w:ascii="Palatino Linotype" w:eastAsia="Palatino Linotype" w:hAnsi="Palatino Linotype" w:cs="Palatino Linotype"/>
        </w:rPr>
        <w:t xml:space="preserve">, lo siguiente: </w:t>
      </w:r>
    </w:p>
    <w:p w:rsidR="0032171E" w:rsidRPr="00902182" w:rsidRDefault="0032171E">
      <w:pPr>
        <w:spacing w:line="360" w:lineRule="auto"/>
        <w:ind w:right="49"/>
        <w:jc w:val="both"/>
        <w:rPr>
          <w:rFonts w:ascii="Palatino Linotype" w:eastAsia="Palatino Linotype" w:hAnsi="Palatino Linotype" w:cs="Palatino Linotype"/>
        </w:rPr>
      </w:pPr>
    </w:p>
    <w:p w:rsidR="0032171E" w:rsidRPr="00902182" w:rsidRDefault="00BA3F20">
      <w:pPr>
        <w:spacing w:line="360" w:lineRule="auto"/>
        <w:ind w:right="49"/>
        <w:jc w:val="center"/>
        <w:rPr>
          <w:rFonts w:ascii="Palatino Linotype" w:eastAsia="Palatino Linotype" w:hAnsi="Palatino Linotype" w:cs="Palatino Linotype"/>
        </w:rPr>
      </w:pPr>
      <w:r w:rsidRPr="00902182">
        <w:rPr>
          <w:noProof/>
        </w:rPr>
        <w:drawing>
          <wp:inline distT="0" distB="0" distL="0" distR="0">
            <wp:extent cx="5437858" cy="1415147"/>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437858" cy="1415147"/>
                    </a:xfrm>
                    <a:prstGeom prst="rect">
                      <a:avLst/>
                    </a:prstGeom>
                    <a:ln/>
                  </pic:spPr>
                </pic:pic>
              </a:graphicData>
            </a:graphic>
          </wp:inline>
        </w:drawing>
      </w:r>
    </w:p>
    <w:p w:rsidR="0032171E" w:rsidRPr="00902182" w:rsidRDefault="0032171E"/>
    <w:p w:rsidR="0032171E" w:rsidRPr="00902182" w:rsidRDefault="00BA3F20">
      <w:pPr>
        <w:ind w:left="864" w:right="864"/>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i/>
          <w:sz w:val="22"/>
          <w:szCs w:val="22"/>
        </w:rPr>
        <w:t xml:space="preserve">“PERLA IVETH HERRERA VILLEGAS </w:t>
      </w:r>
    </w:p>
    <w:p w:rsidR="0032171E" w:rsidRPr="00902182" w:rsidRDefault="00BA3F20">
      <w:pPr>
        <w:ind w:left="864" w:right="864"/>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i/>
          <w:sz w:val="22"/>
          <w:szCs w:val="22"/>
        </w:rPr>
        <w:t>TITULAR DE LA UNIDAD DE TRANSPARENCIA DEL</w:t>
      </w:r>
    </w:p>
    <w:p w:rsidR="0032171E" w:rsidRPr="00902182" w:rsidRDefault="00BA3F20">
      <w:pPr>
        <w:ind w:left="864" w:right="864"/>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i/>
          <w:sz w:val="22"/>
          <w:szCs w:val="22"/>
        </w:rPr>
        <w:t xml:space="preserve">ORGANISMO DESCENTRALIZADO DE AGUA POTABLE, ALCANTARILLADO </w:t>
      </w:r>
    </w:p>
    <w:p w:rsidR="0032171E" w:rsidRPr="00902182" w:rsidRDefault="00BA3F20">
      <w:pPr>
        <w:ind w:left="864" w:right="864"/>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i/>
          <w:sz w:val="22"/>
          <w:szCs w:val="22"/>
        </w:rPr>
        <w:t xml:space="preserve">Y SANEAMIENTO DEL MUNICIPIO DE IXTAPALUCA DENOMINADO POR </w:t>
      </w:r>
    </w:p>
    <w:p w:rsidR="0032171E" w:rsidRPr="00902182" w:rsidRDefault="00BA3F20">
      <w:pPr>
        <w:ind w:left="864" w:right="864"/>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i/>
          <w:sz w:val="22"/>
          <w:szCs w:val="22"/>
        </w:rPr>
        <w:t>SUS SIGLAS O.D.A.P.A.S.</w:t>
      </w:r>
    </w:p>
    <w:p w:rsidR="0032171E" w:rsidRPr="00902182" w:rsidRDefault="00BA3F20">
      <w:pPr>
        <w:ind w:left="864" w:right="864"/>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i/>
          <w:sz w:val="22"/>
          <w:szCs w:val="22"/>
        </w:rPr>
        <w:t>P R E S E N T E</w:t>
      </w:r>
    </w:p>
    <w:p w:rsidR="0032171E" w:rsidRPr="00902182" w:rsidRDefault="00BA3F20">
      <w:pPr>
        <w:ind w:left="864" w:right="864"/>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i/>
          <w:sz w:val="22"/>
          <w:szCs w:val="22"/>
        </w:rPr>
        <w:t xml:space="preserve">Sirva la ocasión para enviarle un cordial saludo, y a su vez, referirme a las constancias que integran el expediente del recurso de revisión 02629/INFOEM/IP/RR/2023; originado de la respuesta a la solicitud de información 00033/OASIXTAPAL/IP/2023; particularmente al escrito de fecha quince de septiembre de dos mil veintitrés remitido en la Etapa de Manifestaciones del referido medio de impugnación mediante el cual se propuso el cambio de modalidad de entrega de la información a consulta directa. </w:t>
      </w:r>
    </w:p>
    <w:p w:rsidR="0032171E" w:rsidRPr="00902182" w:rsidRDefault="00BA3F20">
      <w:pPr>
        <w:ind w:left="864" w:right="864"/>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i/>
          <w:sz w:val="22"/>
          <w:szCs w:val="22"/>
        </w:rPr>
        <w:t xml:space="preserve">Por lo anterior, se advierte que se dejaron de fundar y motivar las razones o motivos que originaron el cambio de modalidad de entrega de la información, por lo que, se carece de los elementos que permitan justificar su existencia, lo anterior en términos de los señalado por el artículo 155 fracción V, 158 y 164 de la Ley de </w:t>
      </w:r>
      <w:r w:rsidRPr="00902182">
        <w:rPr>
          <w:rFonts w:ascii="Palatino Linotype" w:eastAsia="Palatino Linotype" w:hAnsi="Palatino Linotype" w:cs="Palatino Linotype"/>
          <w:i/>
          <w:sz w:val="22"/>
          <w:szCs w:val="22"/>
        </w:rPr>
        <w:lastRenderedPageBreak/>
        <w:t xml:space="preserve">Transparencia y Acceso a la Información Pública del Estado de México y Municipios.  </w:t>
      </w:r>
    </w:p>
    <w:p w:rsidR="0032171E" w:rsidRPr="00902182" w:rsidRDefault="00BA3F20">
      <w:pPr>
        <w:ind w:left="864" w:right="864"/>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i/>
          <w:sz w:val="22"/>
          <w:szCs w:val="22"/>
        </w:rPr>
        <w:t>Por tanto, con fundamento en el artículo 14, fracciones I, III y XVI del Reglamento Interior del Instituto de Transparencia, Acceso a la Información Pública y Protección de Datos Personales del Estado de México y Municipios publicado en el Periódico Oficial Gaceta del Gobierno el catorce de marzo de dos mil veintitrés; con el objeto de contar con los elementos necesarios para la elaboración del proyecto de resolución correspondiente, se requiere informe lo siguiente:</w:t>
      </w:r>
    </w:p>
    <w:p w:rsidR="0032171E" w:rsidRPr="00902182" w:rsidRDefault="00BA3F20">
      <w:pPr>
        <w:numPr>
          <w:ilvl w:val="0"/>
          <w:numId w:val="5"/>
        </w:numPr>
        <w:ind w:right="864"/>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i/>
          <w:sz w:val="22"/>
          <w:szCs w:val="22"/>
        </w:rPr>
        <w:t xml:space="preserve">Manifieste las razones y fundamentos suficientes para no entregar la información a través del Sistema de Acceso a la Información Pública Mexiquense; </w:t>
      </w:r>
    </w:p>
    <w:p w:rsidR="0032171E" w:rsidRPr="00902182" w:rsidRDefault="00BA3F20">
      <w:pPr>
        <w:numPr>
          <w:ilvl w:val="0"/>
          <w:numId w:val="5"/>
        </w:numPr>
        <w:ind w:right="864"/>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i/>
          <w:sz w:val="22"/>
          <w:szCs w:val="22"/>
        </w:rPr>
        <w:t>Se refiera al cúmulo exacto de información que se trata y sí excede las capacidades del Sistema de Acceso a la Información Pública Mexiquense, esto mediante el reporte de incidencias realizado ante la Dirección General de Informática de este Instituto;</w:t>
      </w:r>
    </w:p>
    <w:p w:rsidR="0032171E" w:rsidRPr="00902182" w:rsidRDefault="00BA3F20">
      <w:pPr>
        <w:numPr>
          <w:ilvl w:val="0"/>
          <w:numId w:val="5"/>
        </w:numPr>
        <w:ind w:right="864"/>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i/>
          <w:sz w:val="22"/>
          <w:szCs w:val="22"/>
        </w:rPr>
        <w:t>Que la información solicitada, sobrepase las capacidades técnicas administrativas y humanas del Sujeto Obligado para cumplir con la solicitud, en los plazos establecidos para dichos efectos, con los respectivos medios de convicción; y</w:t>
      </w:r>
    </w:p>
    <w:p w:rsidR="0032171E" w:rsidRPr="00902182" w:rsidRDefault="00BA3F20">
      <w:pPr>
        <w:numPr>
          <w:ilvl w:val="0"/>
          <w:numId w:val="5"/>
        </w:numPr>
        <w:ind w:right="864"/>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i/>
          <w:sz w:val="22"/>
          <w:szCs w:val="22"/>
        </w:rPr>
        <w:t xml:space="preserve">Si la información solicitada, es necesario que se entregue en versión pública. </w:t>
      </w:r>
    </w:p>
    <w:p w:rsidR="0032171E" w:rsidRPr="00902182" w:rsidRDefault="00BA3F20">
      <w:pPr>
        <w:ind w:left="864" w:right="864"/>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i/>
          <w:sz w:val="22"/>
          <w:szCs w:val="22"/>
        </w:rPr>
        <w:t xml:space="preserve">Es menester referir que los requerimientos deberán ser colmados a este Instituto en un lapso </w:t>
      </w:r>
      <w:r w:rsidRPr="00902182">
        <w:rPr>
          <w:rFonts w:ascii="Palatino Linotype" w:eastAsia="Palatino Linotype" w:hAnsi="Palatino Linotype" w:cs="Palatino Linotype"/>
          <w:i/>
          <w:sz w:val="22"/>
          <w:szCs w:val="22"/>
          <w:u w:val="single"/>
        </w:rPr>
        <w:t>no mayor a tres días hábiles,</w:t>
      </w:r>
      <w:r w:rsidRPr="00902182">
        <w:rPr>
          <w:rFonts w:ascii="Palatino Linotype" w:eastAsia="Palatino Linotype" w:hAnsi="Palatino Linotype" w:cs="Palatino Linotype"/>
          <w:i/>
          <w:sz w:val="22"/>
          <w:szCs w:val="22"/>
        </w:rPr>
        <w:t xml:space="preserve"> a través de los correos electrónicos  </w:t>
      </w:r>
      <w:hyperlink r:id="rId19">
        <w:r w:rsidRPr="00902182">
          <w:rPr>
            <w:rFonts w:ascii="Palatino Linotype" w:eastAsia="Palatino Linotype" w:hAnsi="Palatino Linotype" w:cs="Palatino Linotype"/>
            <w:i/>
            <w:sz w:val="22"/>
            <w:szCs w:val="22"/>
            <w:u w:val="single"/>
          </w:rPr>
          <w:t>alexis.moreno@itaipem.org.mx</w:t>
        </w:r>
      </w:hyperlink>
      <w:r w:rsidRPr="00902182">
        <w:rPr>
          <w:rFonts w:ascii="Palatino Linotype" w:eastAsia="Palatino Linotype" w:hAnsi="Palatino Linotype" w:cs="Palatino Linotype"/>
          <w:i/>
          <w:sz w:val="22"/>
          <w:szCs w:val="22"/>
        </w:rPr>
        <w:t xml:space="preserve"> y </w:t>
      </w:r>
      <w:hyperlink r:id="rId20">
        <w:r w:rsidRPr="00902182">
          <w:rPr>
            <w:rFonts w:ascii="Palatino Linotype" w:eastAsia="Palatino Linotype" w:hAnsi="Palatino Linotype" w:cs="Palatino Linotype"/>
            <w:i/>
            <w:sz w:val="22"/>
            <w:szCs w:val="22"/>
            <w:u w:val="single"/>
          </w:rPr>
          <w:t>berenice.carrillo@infoem.org.mx</w:t>
        </w:r>
      </w:hyperlink>
      <w:r w:rsidRPr="00902182">
        <w:rPr>
          <w:rFonts w:ascii="Palatino Linotype" w:eastAsia="Palatino Linotype" w:hAnsi="Palatino Linotype" w:cs="Palatino Linotype"/>
          <w:i/>
          <w:sz w:val="22"/>
          <w:szCs w:val="22"/>
        </w:rPr>
        <w:t xml:space="preserve">, de acuerdo a lo establecido en el artículo 29 del Código de Procedimientos Administrativos del Estado de México de aplicación supletoria a la Ley de Transparencia y Acceso a la Información Pública del Estado de México y Municipios. </w:t>
      </w:r>
    </w:p>
    <w:p w:rsidR="0032171E" w:rsidRPr="00902182" w:rsidRDefault="00BA3F20">
      <w:pPr>
        <w:ind w:left="864" w:right="864"/>
        <w:jc w:val="both"/>
        <w:rPr>
          <w:rFonts w:ascii="Palatino Linotype" w:eastAsia="Palatino Linotype" w:hAnsi="Palatino Linotype" w:cs="Palatino Linotype"/>
          <w:i/>
          <w:sz w:val="22"/>
          <w:szCs w:val="22"/>
        </w:rPr>
      </w:pPr>
      <w:r w:rsidRPr="00902182">
        <w:rPr>
          <w:rFonts w:ascii="Palatino Linotype" w:eastAsia="Palatino Linotype" w:hAnsi="Palatino Linotype" w:cs="Palatino Linotype"/>
          <w:i/>
          <w:sz w:val="22"/>
          <w:szCs w:val="22"/>
        </w:rPr>
        <w:t xml:space="preserve">Sin más por el momento, le reitero mi más distinguida consideración.” (Sic) </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ind w:right="-93"/>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En consecuencia, para </w:t>
      </w:r>
      <w:r w:rsidRPr="00902182">
        <w:rPr>
          <w:rFonts w:ascii="Palatino Linotype" w:eastAsia="Palatino Linotype" w:hAnsi="Palatino Linotype" w:cs="Palatino Linotype"/>
          <w:color w:val="000000"/>
        </w:rPr>
        <w:t xml:space="preserve">este Organismo Garante, </w:t>
      </w:r>
      <w:r w:rsidRPr="00902182">
        <w:rPr>
          <w:rFonts w:ascii="Palatino Linotype" w:eastAsia="Palatino Linotype" w:hAnsi="Palatino Linotype" w:cs="Palatino Linotype"/>
          <w:b/>
          <w:u w:val="single"/>
        </w:rPr>
        <w:t>no se fundó ni motivó de manera óptima el cambio de modalidad aludido</w:t>
      </w:r>
      <w:r w:rsidRPr="00902182">
        <w:rPr>
          <w:rFonts w:ascii="Palatino Linotype" w:eastAsia="Palatino Linotype" w:hAnsi="Palatino Linotype" w:cs="Palatino Linotype"/>
        </w:rPr>
        <w:t>, en este sentido, es de traer a colación las siguientes Tesis de Jurisprudencia:</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lastRenderedPageBreak/>
        <w:t xml:space="preserve">Jurisprudencia I.3o.C. J/47, de Tribunales Colegiados de Circuito, visible en la página 1964 del Semanario Judicial de la Federación y su Gaceta, Tomo XXVII, febrero de 2008, Novena Época, de rubro: </w:t>
      </w:r>
      <w:r w:rsidRPr="00902182">
        <w:rPr>
          <w:rFonts w:ascii="Palatino Linotype" w:eastAsia="Palatino Linotype" w:hAnsi="Palatino Linotype" w:cs="Palatino Linotype"/>
          <w:b/>
          <w:i/>
          <w:color w:val="404040"/>
          <w:sz w:val="22"/>
          <w:szCs w:val="22"/>
        </w:rPr>
        <w:t>FUNDAMENTACIÓN Y MOTIVACIÓN. LA DIFERENCIA ENTRE LA FALTA Y LA INDEBIDA SATISFACCIÓN DE AMBOS REQUISITOS CONSTITUCIONALES TRASCIENDE AL ORDEN EN QUE DEBEN ESTUDIARSE LOS CONCEPTOS DE VIOLACIÓN Y A LOS EFECTOS DEL FALLO PROTECTOR</w:t>
      </w:r>
      <w:r w:rsidRPr="00902182">
        <w:rPr>
          <w:rFonts w:ascii="Palatino Linotype" w:eastAsia="Palatino Linotype" w:hAnsi="Palatino Linotype" w:cs="Palatino Linotype"/>
          <w:i/>
          <w:color w:val="404040"/>
          <w:sz w:val="22"/>
          <w:szCs w:val="22"/>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Jurisprudencia IV.2o.C. J/12, de Tribunales Colegiados de Circuito, visible en la página 2053 del Semanario Judicial de la Federación y su Gaceta, Tomo XXXIII, febrero de 2011, Novena Época, de rubro y texto siguientes:</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FUNDAMENTACIÓN Y MOTIVACIÓN. ARGUMENTOS QUE DEBEN EXAMINARSE PARA DETERMINAR LO FUNDADO O INFUNDADO DE UNA INCONFORMIDAD CUANDO SE ALEGA LA AUSENCIA DE AQUÉLLA O SE TACHA DE INDEBIDA.</w:t>
      </w:r>
      <w:r w:rsidRPr="00902182">
        <w:rPr>
          <w:rFonts w:ascii="Palatino Linotype" w:eastAsia="Palatino Linotype" w:hAnsi="Palatino Linotype" w:cs="Palatino Linotype"/>
          <w:i/>
          <w:color w:val="404040"/>
          <w:sz w:val="22"/>
          <w:szCs w:val="22"/>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widowControl w:val="0"/>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color w:val="000000"/>
        </w:rPr>
        <w:t>A</w:t>
      </w:r>
      <w:r w:rsidRPr="00902182">
        <w:rPr>
          <w:rFonts w:ascii="Palatino Linotype" w:eastAsia="Palatino Linotype" w:hAnsi="Palatino Linotype" w:cs="Palatino Linotype"/>
        </w:rPr>
        <w:t xml:space="preserve">demás, según Calero, Natalia (2016), en la “Ley General de Transparencia y Acceso a la Información Pública Comentada” (pág. 401), cuando los sujetos obligados </w:t>
      </w:r>
      <w:r w:rsidRPr="00902182">
        <w:rPr>
          <w:rFonts w:ascii="Palatino Linotype" w:eastAsia="Palatino Linotype" w:hAnsi="Palatino Linotype" w:cs="Palatino Linotype"/>
        </w:rPr>
        <w:lastRenderedPageBreak/>
        <w:t>ofrezcan como modalidad de entrega de la información, consulta directa, estos deberán fundar y motivar las razones por las cuales no es posible otorgar el acceso a los documentos de otra forma; además que se deberá explicar de manera detallada lo siguiente:</w:t>
      </w:r>
    </w:p>
    <w:p w:rsidR="0032171E" w:rsidRPr="00902182" w:rsidRDefault="0032171E">
      <w:pPr>
        <w:widowControl w:val="0"/>
        <w:spacing w:line="360" w:lineRule="auto"/>
        <w:jc w:val="both"/>
        <w:rPr>
          <w:rFonts w:ascii="Palatino Linotype" w:eastAsia="Palatino Linotype" w:hAnsi="Palatino Linotype" w:cs="Palatino Linotype"/>
        </w:rPr>
      </w:pPr>
    </w:p>
    <w:p w:rsidR="0032171E" w:rsidRPr="00902182" w:rsidRDefault="00BA3F20">
      <w:pPr>
        <w:numPr>
          <w:ilvl w:val="0"/>
          <w:numId w:val="10"/>
        </w:num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Las razones por las cuales la información implicaba un análisis, estudio o procesamiento de datos;</w:t>
      </w:r>
    </w:p>
    <w:p w:rsidR="0032171E" w:rsidRPr="00902182" w:rsidRDefault="00BA3F20">
      <w:pPr>
        <w:numPr>
          <w:ilvl w:val="0"/>
          <w:numId w:val="10"/>
        </w:num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El motivo por el cual el tiempo para atender la solicitud de información en la modalidad elegida a la solicitud de información, no le es suficiente, y</w:t>
      </w:r>
    </w:p>
    <w:p w:rsidR="0032171E" w:rsidRPr="00902182" w:rsidRDefault="00BA3F20">
      <w:pPr>
        <w:numPr>
          <w:ilvl w:val="0"/>
          <w:numId w:val="10"/>
        </w:num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La cantidad de recursos humanos y materiales con los que cuenta el Sujeto Obligado son insuficientes.</w:t>
      </w:r>
    </w:p>
    <w:p w:rsidR="0032171E" w:rsidRPr="00902182" w:rsidRDefault="0032171E">
      <w:pPr>
        <w:spacing w:line="360" w:lineRule="auto"/>
        <w:ind w:left="720"/>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En ese contexto, este Instituto reitera que </w:t>
      </w:r>
      <w:r w:rsidRPr="00902182">
        <w:rPr>
          <w:rFonts w:ascii="Palatino Linotype" w:eastAsia="Palatino Linotype" w:hAnsi="Palatino Linotype" w:cs="Palatino Linotype"/>
          <w:b/>
          <w:color w:val="000000"/>
        </w:rPr>
        <w:t>EL SUJETO OBLIGADO</w:t>
      </w:r>
      <w:r w:rsidRPr="00902182">
        <w:rPr>
          <w:rFonts w:ascii="Palatino Linotype" w:eastAsia="Palatino Linotype" w:hAnsi="Palatino Linotype" w:cs="Palatino Linotype"/>
          <w:color w:val="000000"/>
        </w:rPr>
        <w:t xml:space="preserve"> no señaló de manera puntual</w:t>
      </w:r>
      <w:r w:rsidRPr="00902182">
        <w:rPr>
          <w:rFonts w:ascii="Palatino Linotype" w:eastAsia="Palatino Linotype" w:hAnsi="Palatino Linotype" w:cs="Palatino Linotype"/>
        </w:rPr>
        <w:t xml:space="preserve"> las </w:t>
      </w:r>
      <w:r w:rsidRPr="00902182">
        <w:rPr>
          <w:rFonts w:ascii="Palatino Linotype" w:eastAsia="Palatino Linotype" w:hAnsi="Palatino Linotype" w:cs="Palatino Linotype"/>
          <w:color w:val="000000"/>
        </w:rPr>
        <w:t>imposibilidades para dar atención a la solicitud relacionada con el recurso de revisión que ahora se resuelve.</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b/>
          <w:sz w:val="22"/>
          <w:szCs w:val="22"/>
          <w:u w:val="single"/>
        </w:rPr>
      </w:pPr>
      <w:r w:rsidRPr="00902182">
        <w:rPr>
          <w:rFonts w:ascii="Palatino Linotype" w:eastAsia="Palatino Linotype" w:hAnsi="Palatino Linotype" w:cs="Palatino Linotype"/>
        </w:rPr>
        <w:t xml:space="preserve">Es de hacer hincapié, que en todo momento se debe privilegiar la modalidad escogida por las personas solicitantes, dicha manifestación además encuentra sustento dentro diversas resoluciones de los Recursos de Inconformidad emitidas por el Órgano Garante Nacional, por enunciar algunas, RIA 136/20, RIA 140/20, RIA 153/20 RIA 237/20, RIA 257/20, RIA 258/20, entre otros, en los que ha considerado que no resulta suficiente argumentar una imposibilidad técnica para acreditar un </w:t>
      </w:r>
      <w:r w:rsidRPr="00902182">
        <w:rPr>
          <w:rFonts w:ascii="Palatino Linotype" w:eastAsia="Palatino Linotype" w:hAnsi="Palatino Linotype" w:cs="Palatino Linotype"/>
        </w:rPr>
        <w:lastRenderedPageBreak/>
        <w:t xml:space="preserve">cambio de modalidad, sino que es necesario demostrar otros impedimentos, que fuera de imposible reproducción en el medio elegido por el Solicitante, que la información ameritara el cruce de información en los sistemas de datos, entre otros, ello con el fin de privilegiar el Principio de Gratuidad y Máxima Publicidad, </w:t>
      </w:r>
      <w:r w:rsidRPr="00902182">
        <w:rPr>
          <w:rFonts w:ascii="Palatino Linotype" w:eastAsia="Palatino Linotype" w:hAnsi="Palatino Linotype" w:cs="Palatino Linotype"/>
          <w:b/>
          <w:u w:val="single"/>
        </w:rPr>
        <w:t>sin embargo, el Sujeto Obligado puede proporcionar otras modalidades para de la entrega de la información, a través del Sistema de Acceso a la Información Mexiquense (SAIMEX); tales como copia simple o certificada; o bien a través de disco compacto, medios de almacenamiento (USB), e incluso su envió a través de correo certificado previo pago de los costos de reproducción correspondientes</w:t>
      </w:r>
      <w:r w:rsidRPr="00902182">
        <w:rPr>
          <w:rFonts w:ascii="Palatino Linotype" w:eastAsia="Palatino Linotype" w:hAnsi="Palatino Linotype" w:cs="Palatino Linotype"/>
          <w:b/>
          <w:sz w:val="22"/>
          <w:szCs w:val="22"/>
          <w:u w:val="single"/>
        </w:rPr>
        <w:t>.</w:t>
      </w:r>
    </w:p>
    <w:p w:rsidR="0032171E" w:rsidRPr="00902182" w:rsidRDefault="0032171E">
      <w:pPr>
        <w:spacing w:line="360" w:lineRule="auto"/>
        <w:jc w:val="both"/>
        <w:rPr>
          <w:rFonts w:ascii="Palatino Linotype" w:eastAsia="Palatino Linotype" w:hAnsi="Palatino Linotype" w:cs="Palatino Linotype"/>
          <w:b/>
          <w:sz w:val="22"/>
          <w:szCs w:val="22"/>
          <w:u w:val="single"/>
        </w:rPr>
      </w:pPr>
    </w:p>
    <w:p w:rsidR="0032171E" w:rsidRPr="00902182" w:rsidRDefault="00BA3F20">
      <w:pPr>
        <w:spacing w:line="360" w:lineRule="auto"/>
        <w:jc w:val="both"/>
        <w:rPr>
          <w:rFonts w:ascii="Palatino Linotype" w:eastAsia="Palatino Linotype" w:hAnsi="Palatino Linotype" w:cs="Palatino Linotype"/>
        </w:rPr>
      </w:pPr>
      <w:bookmarkStart w:id="6" w:name="_heading=h.3rdcrjn" w:colFirst="0" w:colLast="0"/>
      <w:bookmarkEnd w:id="6"/>
      <w:r w:rsidRPr="00902182">
        <w:rPr>
          <w:rFonts w:ascii="Palatino Linotype" w:eastAsia="Palatino Linotype" w:hAnsi="Palatino Linotype" w:cs="Palatino Linotype"/>
        </w:rPr>
        <w:t>De igual manera, cabe invocar el contenido del Capítulo X de Lineamientos Generales en Materia de Clasificación y Desclasificación de la Información, así como para la Elaboración de Versiones Públicas, respecto a la consulta directa, que señala:</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i/>
          <w:color w:val="404040"/>
          <w:sz w:val="22"/>
          <w:szCs w:val="22"/>
        </w:rPr>
        <w:t>“</w:t>
      </w:r>
      <w:r w:rsidRPr="00902182">
        <w:rPr>
          <w:rFonts w:ascii="Palatino Linotype" w:eastAsia="Palatino Linotype" w:hAnsi="Palatino Linotype" w:cs="Palatino Linotype"/>
          <w:b/>
          <w:i/>
          <w:color w:val="404040"/>
          <w:sz w:val="22"/>
          <w:szCs w:val="22"/>
        </w:rPr>
        <w:t>CAPÍTULO X</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b/>
          <w:i/>
          <w:color w:val="404040"/>
          <w:sz w:val="22"/>
          <w:szCs w:val="22"/>
        </w:rPr>
        <w:t>DE LA CONSULTA DIRECTA</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404040"/>
          <w:sz w:val="22"/>
          <w:szCs w:val="22"/>
        </w:rPr>
        <w:t>Sexagésimo séptimo</w:t>
      </w:r>
      <w:r w:rsidRPr="00902182">
        <w:rPr>
          <w:rFonts w:ascii="Palatino Linotype" w:eastAsia="Palatino Linotype" w:hAnsi="Palatino Linotype" w:cs="Palatino Linotype"/>
          <w:i/>
          <w:color w:val="404040"/>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w:t>
      </w:r>
      <w:r w:rsidRPr="00902182">
        <w:rPr>
          <w:rFonts w:ascii="Palatino Linotype" w:eastAsia="Palatino Linotype" w:hAnsi="Palatino Linotype" w:cs="Palatino Linotype"/>
          <w:i/>
          <w:color w:val="000000"/>
          <w:sz w:val="22"/>
          <w:szCs w:val="22"/>
        </w:rPr>
        <w:t xml:space="preserve">modalidad antes citada, previamente el Comité de Transparencia del sujeto obligado </w:t>
      </w:r>
      <w:r w:rsidRPr="00902182">
        <w:rPr>
          <w:rFonts w:ascii="Palatino Linotype" w:eastAsia="Palatino Linotype" w:hAnsi="Palatino Linotype" w:cs="Palatino Linotype"/>
          <w:b/>
          <w:i/>
          <w:color w:val="000000"/>
          <w:sz w:val="22"/>
          <w:szCs w:val="22"/>
        </w:rPr>
        <w:t>deberá emitir la resolución en la que funde y motive la clasificación</w:t>
      </w:r>
      <w:r w:rsidRPr="00902182">
        <w:rPr>
          <w:rFonts w:ascii="Palatino Linotype" w:eastAsia="Palatino Linotype" w:hAnsi="Palatino Linotype" w:cs="Palatino Linotype"/>
          <w:i/>
          <w:color w:val="000000"/>
          <w:sz w:val="22"/>
          <w:szCs w:val="22"/>
        </w:rPr>
        <w:t xml:space="preserve"> de las partes o secciones que no podrán dejarse a la vista del solicitante.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Sexagésimo octavo</w:t>
      </w:r>
      <w:r w:rsidRPr="00902182">
        <w:rPr>
          <w:rFonts w:ascii="Palatino Linotype" w:eastAsia="Palatino Linotype" w:hAnsi="Palatino Linotype" w:cs="Palatino Linotype"/>
          <w:i/>
          <w:color w:val="000000"/>
          <w:sz w:val="22"/>
          <w:szCs w:val="22"/>
        </w:rPr>
        <w:t xml:space="preserve">. En la </w:t>
      </w:r>
      <w:r w:rsidRPr="00902182">
        <w:rPr>
          <w:rFonts w:ascii="Palatino Linotype" w:eastAsia="Palatino Linotype" w:hAnsi="Palatino Linotype" w:cs="Palatino Linotype"/>
          <w:b/>
          <w:i/>
          <w:color w:val="000000"/>
          <w:sz w:val="22"/>
          <w:szCs w:val="22"/>
        </w:rPr>
        <w:t>resolución del Comité de Transparencia</w:t>
      </w:r>
      <w:r w:rsidRPr="00902182">
        <w:rPr>
          <w:rFonts w:ascii="Palatino Linotype" w:eastAsia="Palatino Linotype" w:hAnsi="Palatino Linotype" w:cs="Palatino Linotype"/>
          <w:i/>
          <w:color w:val="000000"/>
          <w:sz w:val="22"/>
          <w:szCs w:val="22"/>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000000"/>
          <w:sz w:val="22"/>
          <w:szCs w:val="22"/>
        </w:rPr>
        <w:lastRenderedPageBreak/>
        <w:t>Sexagésimo noveno</w:t>
      </w:r>
      <w:r w:rsidRPr="00902182">
        <w:rPr>
          <w:rFonts w:ascii="Palatino Linotype" w:eastAsia="Palatino Linotype" w:hAnsi="Palatino Linotype" w:cs="Palatino Linotype"/>
          <w:i/>
          <w:color w:val="000000"/>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w:t>
      </w:r>
      <w:r w:rsidRPr="00902182">
        <w:rPr>
          <w:rFonts w:ascii="Palatino Linotype" w:eastAsia="Palatino Linotype" w:hAnsi="Palatino Linotype" w:cs="Palatino Linotype"/>
          <w:i/>
          <w:color w:val="404040"/>
          <w:sz w:val="22"/>
          <w:szCs w:val="22"/>
        </w:rPr>
        <w:t xml:space="preserve">de ser posible, ofrecer las demás modalidades en las que es viable el acceso a la información.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Septuagésimo</w:t>
      </w:r>
      <w:r w:rsidRPr="00902182">
        <w:rPr>
          <w:rFonts w:ascii="Palatino Linotype" w:eastAsia="Palatino Linotype" w:hAnsi="Palatino Linotype" w:cs="Palatino Linotype"/>
          <w:i/>
          <w:color w:val="404040"/>
          <w:sz w:val="22"/>
          <w:szCs w:val="22"/>
        </w:rPr>
        <w:t xml:space="preserve">. Para el desahogo de las actuaciones tendientes a permitir la consulta directa, en los casos en que ésta resulte procedente, los sujetos obligados deberán observar lo siguiente: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I.</w:t>
      </w:r>
      <w:r w:rsidRPr="00902182">
        <w:rPr>
          <w:rFonts w:ascii="Palatino Linotype" w:eastAsia="Palatino Linotype" w:hAnsi="Palatino Linotype" w:cs="Palatino Linotype"/>
          <w:i/>
          <w:color w:val="404040"/>
          <w:sz w:val="22"/>
          <w:szCs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II.</w:t>
      </w:r>
      <w:r w:rsidRPr="00902182">
        <w:rPr>
          <w:rFonts w:ascii="Palatino Linotype" w:eastAsia="Palatino Linotype" w:hAnsi="Palatino Linotype" w:cs="Palatino Linotype"/>
          <w:i/>
          <w:color w:val="404040"/>
          <w:sz w:val="22"/>
          <w:szCs w:val="22"/>
        </w:rPr>
        <w:t xml:space="preserve"> En su caso, la procedencia de los ajustes razonables solicitados y/o la procedencia de acceso en la lengua indígena requerida;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III.</w:t>
      </w:r>
      <w:r w:rsidRPr="00902182">
        <w:rPr>
          <w:rFonts w:ascii="Palatino Linotype" w:eastAsia="Palatino Linotype" w:hAnsi="Palatino Linotype" w:cs="Palatino Linotype"/>
          <w:i/>
          <w:color w:val="404040"/>
          <w:sz w:val="22"/>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IV.</w:t>
      </w:r>
      <w:r w:rsidRPr="00902182">
        <w:rPr>
          <w:rFonts w:ascii="Palatino Linotype" w:eastAsia="Palatino Linotype" w:hAnsi="Palatino Linotype" w:cs="Palatino Linotype"/>
          <w:i/>
          <w:color w:val="404040"/>
          <w:sz w:val="22"/>
          <w:szCs w:val="22"/>
        </w:rPr>
        <w:t xml:space="preserve"> Proporcionar al solicitante las facilidades y asistencia requerida para la consulta de los documentos;</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V.</w:t>
      </w:r>
      <w:r w:rsidRPr="00902182">
        <w:rPr>
          <w:rFonts w:ascii="Palatino Linotype" w:eastAsia="Palatino Linotype" w:hAnsi="Palatino Linotype" w:cs="Palatino Linotype"/>
          <w:i/>
          <w:color w:val="404040"/>
          <w:sz w:val="22"/>
          <w:szCs w:val="22"/>
        </w:rPr>
        <w:t xml:space="preserve"> Abstenerse de requerir al solicitante que acredite interés alguno;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VI.</w:t>
      </w:r>
      <w:r w:rsidRPr="00902182">
        <w:rPr>
          <w:rFonts w:ascii="Palatino Linotype" w:eastAsia="Palatino Linotype" w:hAnsi="Palatino Linotype" w:cs="Palatino Linotype"/>
          <w:i/>
          <w:color w:val="404040"/>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a)</w:t>
      </w:r>
      <w:r w:rsidRPr="00902182">
        <w:rPr>
          <w:rFonts w:ascii="Palatino Linotype" w:eastAsia="Palatino Linotype" w:hAnsi="Palatino Linotype" w:cs="Palatino Linotype"/>
          <w:i/>
          <w:color w:val="404040"/>
          <w:sz w:val="22"/>
          <w:szCs w:val="22"/>
        </w:rPr>
        <w:t xml:space="preserve"> Contar con instalaciones y mobiliario adecuado para asegurar tanto la integridad del documento consultado, como para proporcionar al solicitante las mejores condiciones para poder llevar a cabo la consulta directa;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b)</w:t>
      </w:r>
      <w:r w:rsidRPr="00902182">
        <w:rPr>
          <w:rFonts w:ascii="Palatino Linotype" w:eastAsia="Palatino Linotype" w:hAnsi="Palatino Linotype" w:cs="Palatino Linotype"/>
          <w:i/>
          <w:color w:val="404040"/>
          <w:sz w:val="22"/>
          <w:szCs w:val="22"/>
        </w:rPr>
        <w:t xml:space="preserve"> Equipo y personal de vigilancia;</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c)</w:t>
      </w:r>
      <w:r w:rsidRPr="00902182">
        <w:rPr>
          <w:rFonts w:ascii="Palatino Linotype" w:eastAsia="Palatino Linotype" w:hAnsi="Palatino Linotype" w:cs="Palatino Linotype"/>
          <w:i/>
          <w:color w:val="404040"/>
          <w:sz w:val="22"/>
          <w:szCs w:val="22"/>
        </w:rPr>
        <w:t xml:space="preserve"> Plan de acción contra robo o vandalismo;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d)</w:t>
      </w:r>
      <w:r w:rsidRPr="00902182">
        <w:rPr>
          <w:rFonts w:ascii="Palatino Linotype" w:eastAsia="Palatino Linotype" w:hAnsi="Palatino Linotype" w:cs="Palatino Linotype"/>
          <w:i/>
          <w:color w:val="404040"/>
          <w:sz w:val="22"/>
          <w:szCs w:val="22"/>
        </w:rPr>
        <w:t xml:space="preserve"> Extintores de fuego de gas inocuo;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e)</w:t>
      </w:r>
      <w:r w:rsidRPr="00902182">
        <w:rPr>
          <w:rFonts w:ascii="Palatino Linotype" w:eastAsia="Palatino Linotype" w:hAnsi="Palatino Linotype" w:cs="Palatino Linotype"/>
          <w:i/>
          <w:color w:val="404040"/>
          <w:sz w:val="22"/>
          <w:szCs w:val="22"/>
        </w:rPr>
        <w:t xml:space="preserve"> Registro e identificación del personal autorizado para el tratamiento de los documentos o expedientes a revisar;</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lastRenderedPageBreak/>
        <w:t>f)</w:t>
      </w:r>
      <w:r w:rsidRPr="00902182">
        <w:rPr>
          <w:rFonts w:ascii="Palatino Linotype" w:eastAsia="Palatino Linotype" w:hAnsi="Palatino Linotype" w:cs="Palatino Linotype"/>
          <w:i/>
          <w:color w:val="404040"/>
          <w:sz w:val="22"/>
          <w:szCs w:val="22"/>
        </w:rPr>
        <w:t xml:space="preserve"> Registro e identificación de los particulares autorizados para llevar a cabo la consulta directa, y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g)</w:t>
      </w:r>
      <w:r w:rsidRPr="00902182">
        <w:rPr>
          <w:rFonts w:ascii="Palatino Linotype" w:eastAsia="Palatino Linotype" w:hAnsi="Palatino Linotype" w:cs="Palatino Linotype"/>
          <w:i/>
          <w:color w:val="404040"/>
          <w:sz w:val="22"/>
          <w:szCs w:val="22"/>
        </w:rPr>
        <w:t xml:space="preserve"> Las demás que, a criterio de los sujetos obligados, resulten necesarias.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VII.</w:t>
      </w:r>
      <w:r w:rsidRPr="00902182">
        <w:rPr>
          <w:rFonts w:ascii="Palatino Linotype" w:eastAsia="Palatino Linotype" w:hAnsi="Palatino Linotype" w:cs="Palatino Linotype"/>
          <w:i/>
          <w:color w:val="404040"/>
          <w:sz w:val="22"/>
          <w:szCs w:val="22"/>
        </w:rPr>
        <w:t xml:space="preserve"> Hacer del conocimiento del solicitante, previo al acceso a la información, las reglas a que se sujetará la consulta para garantizar la integridad de los documentos, y</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902182">
        <w:rPr>
          <w:rFonts w:ascii="Palatino Linotype" w:eastAsia="Palatino Linotype" w:hAnsi="Palatino Linotype" w:cs="Palatino Linotype"/>
          <w:b/>
          <w:i/>
          <w:color w:val="404040"/>
          <w:sz w:val="22"/>
          <w:szCs w:val="22"/>
        </w:rPr>
        <w:t>VIII.</w:t>
      </w:r>
      <w:r w:rsidRPr="00902182">
        <w:rPr>
          <w:rFonts w:ascii="Palatino Linotype" w:eastAsia="Palatino Linotype" w:hAnsi="Palatino Linotype" w:cs="Palatino Linotype"/>
          <w:i/>
          <w:color w:val="404040"/>
          <w:sz w:val="22"/>
          <w:szCs w:val="22"/>
        </w:rPr>
        <w:t xml:space="preserve"> Para el caso de documentos que contengan partes o secciones clasificadas como reservadas o confidenciales, el sujeto obligado deberá hacer del conocimiento del solicitante, </w:t>
      </w:r>
      <w:r w:rsidRPr="00902182">
        <w:rPr>
          <w:rFonts w:ascii="Palatino Linotype" w:eastAsia="Palatino Linotype" w:hAnsi="Palatino Linotype" w:cs="Palatino Linotype"/>
          <w:b/>
          <w:i/>
          <w:color w:val="404040"/>
          <w:sz w:val="22"/>
          <w:szCs w:val="22"/>
        </w:rPr>
        <w:t xml:space="preserve">previo al acceso a la información, la resolución debidamente fundada y motivada del Comité de Transparencia, en la que se clasificaron las partes o secciones que no podrán dejarse a la vista del solicitante.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 xml:space="preserve">Septuagésimo primero. </w:t>
      </w:r>
      <w:r w:rsidRPr="00902182">
        <w:rPr>
          <w:rFonts w:ascii="Palatino Linotype" w:eastAsia="Palatino Linotype" w:hAnsi="Palatino Linotype" w:cs="Palatino Linotype"/>
          <w:i/>
          <w:color w:val="404040"/>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El solicitante deberá observar en todo momento las reglas que el sujeto obligado haya hecho de su conocimiento para efectos de la conservación de los documentos.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Septuagésimo segundo.</w:t>
      </w:r>
      <w:r w:rsidRPr="00902182">
        <w:rPr>
          <w:rFonts w:ascii="Palatino Linotype" w:eastAsia="Palatino Linotype" w:hAnsi="Palatino Linotype" w:cs="Palatino Linotype"/>
          <w:i/>
          <w:color w:val="404040"/>
          <w:sz w:val="22"/>
          <w:szCs w:val="22"/>
        </w:rPr>
        <w:t xml:space="preserve"> El solicitante deberá realizar la consulta de los documentos requeridos en el lugar, horarios y con la persona destinada para tal efecto.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b/>
          <w:i/>
          <w:color w:val="404040"/>
          <w:sz w:val="22"/>
          <w:szCs w:val="22"/>
        </w:rPr>
        <w:t>Septuagésimo tercero</w:t>
      </w:r>
      <w:r w:rsidRPr="00902182">
        <w:rPr>
          <w:rFonts w:ascii="Palatino Linotype" w:eastAsia="Palatino Linotype" w:hAnsi="Palatino Linotype" w:cs="Palatino Linotype"/>
          <w:i/>
          <w:color w:val="404040"/>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La información deberá ser entregada sin costo, cuando implique la entrega de no más de veinte hojas simples.”(Sic)</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FF0000"/>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lastRenderedPageBreak/>
        <w:t xml:space="preserve">Preceptos legales que de igual forma fueron inobservados por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para hacer el cambio de modalidad a consulta directa. </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ind w:right="51"/>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En consecuencia,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no justificó el impedimento para remitir la información solicitada vía SAIMEX, siendo aplicable por analogía el criterio de interpretación 08/17, emitido por el Instituto Nacional de Transparencia, Acceso a la Información y Protección de Datos Personales, INAI, que es del tenor literal siguiente:</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w:t>
      </w:r>
      <w:r w:rsidRPr="00902182">
        <w:rPr>
          <w:rFonts w:ascii="Palatino Linotype" w:eastAsia="Palatino Linotype" w:hAnsi="Palatino Linotype" w:cs="Palatino Linotype"/>
          <w:b/>
          <w:i/>
          <w:color w:val="404040"/>
          <w:sz w:val="22"/>
          <w:szCs w:val="22"/>
        </w:rPr>
        <w:t>Modalidad de entrega. Procedencia de proporcionar la información solicitada en una diversa a la elegida por el solicitante</w:t>
      </w:r>
      <w:r w:rsidRPr="00902182">
        <w:rPr>
          <w:rFonts w:ascii="Palatino Linotype" w:eastAsia="Palatino Linotype" w:hAnsi="Palatino Linotype" w:cs="Palatino Linotype"/>
          <w:i/>
          <w:color w:val="404040"/>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902182">
        <w:rPr>
          <w:rFonts w:ascii="Palatino Linotype" w:eastAsia="Palatino Linotype" w:hAnsi="Palatino Linotype" w:cs="Palatino Linotype"/>
          <w:b/>
          <w:i/>
          <w:color w:val="404040"/>
          <w:sz w:val="22"/>
          <w:szCs w:val="22"/>
        </w:rPr>
        <w:t xml:space="preserve">a) justifique el impedimento para atender la misma </w:t>
      </w:r>
      <w:r w:rsidRPr="00902182">
        <w:rPr>
          <w:rFonts w:ascii="Palatino Linotype" w:eastAsia="Palatino Linotype" w:hAnsi="Palatino Linotype" w:cs="Palatino Linotype"/>
          <w:i/>
          <w:color w:val="404040"/>
          <w:sz w:val="22"/>
          <w:szCs w:val="22"/>
        </w:rPr>
        <w:t xml:space="preserve">y </w:t>
      </w:r>
      <w:r w:rsidRPr="00902182">
        <w:rPr>
          <w:rFonts w:ascii="Palatino Linotype" w:eastAsia="Palatino Linotype" w:hAnsi="Palatino Linotype" w:cs="Palatino Linotype"/>
          <w:b/>
          <w:i/>
          <w:color w:val="404040"/>
          <w:sz w:val="22"/>
          <w:szCs w:val="22"/>
        </w:rPr>
        <w:t>b) se notifique al particular la disposición de la información en todas las modalidades que permita el documento de que se trate</w:t>
      </w:r>
      <w:r w:rsidRPr="00902182">
        <w:rPr>
          <w:rFonts w:ascii="Palatino Linotype" w:eastAsia="Palatino Linotype" w:hAnsi="Palatino Linotype" w:cs="Palatino Linotype"/>
          <w:i/>
          <w:color w:val="404040"/>
          <w:sz w:val="22"/>
          <w:szCs w:val="22"/>
        </w:rPr>
        <w:t>, procurando reducir, en todo momento, los costos de entrega.”(Sic)</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Por las consideraciones anteriores, resulta procedente aludir que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no fundó, motivó, ni mucho menos justificó la imposibilidad de entregar la información solicitada en un formato electrónico a través del SAIMEX.</w:t>
      </w:r>
    </w:p>
    <w:p w:rsidR="0032171E" w:rsidRPr="00902182" w:rsidRDefault="0032171E">
      <w:pPr>
        <w:spacing w:line="360" w:lineRule="auto"/>
        <w:jc w:val="both"/>
        <w:rPr>
          <w:rFonts w:ascii="Palatino Linotype" w:eastAsia="Palatino Linotype" w:hAnsi="Palatino Linotype" w:cs="Palatino Linotype"/>
          <w:b/>
        </w:rPr>
      </w:pPr>
    </w:p>
    <w:p w:rsidR="0032171E" w:rsidRPr="00902182" w:rsidRDefault="00BA3F20">
      <w:pPr>
        <w:spacing w:line="360" w:lineRule="auto"/>
        <w:jc w:val="both"/>
        <w:rPr>
          <w:rFonts w:ascii="Palatino Linotype" w:eastAsia="Palatino Linotype" w:hAnsi="Palatino Linotype" w:cs="Palatino Linotype"/>
          <w:b/>
        </w:rPr>
      </w:pPr>
      <w:r w:rsidRPr="00902182">
        <w:rPr>
          <w:rFonts w:ascii="Palatino Linotype" w:eastAsia="Palatino Linotype" w:hAnsi="Palatino Linotype" w:cs="Palatino Linotype"/>
        </w:rPr>
        <w:t xml:space="preserve">No se omite comentar que derivado de la respuesta y del Informe Justificado donde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señaló que la información solicitada corresponde a nueve mil quinientas hojas, situación que sobrepasa la capacidad del SAIMEX, por lo que, </w:t>
      </w:r>
      <w:r w:rsidRPr="00902182">
        <w:rPr>
          <w:rFonts w:ascii="Palatino Linotype" w:eastAsia="Palatino Linotype" w:hAnsi="Palatino Linotype" w:cs="Palatino Linotype"/>
        </w:rPr>
        <w:lastRenderedPageBreak/>
        <w:t>en caso de que exista impedimento justificado para de entregar la información por la cantidad y/o peso, a través del mismo, de manera fundada y motivada deberá ofrecer otras modalidades, como proponer otros medios electrónicos, tales como habilitar una liga electrónica en caso de que sea posible, correo electrónico si la capacidad del mismo lo permite, disco compacto, dispositivo de almacenamiento, consulta directa, copias simples o certificadas, con posibilidad de entrega en la Unidad de Transparencia o a domicilio por correo certificado, previo pago de los derechos correspondientes, o darle la posibilidad de obtenerla de manera gratuita si el mismo aporta el CD o la USB en la que se le proporcionarán los archivos electrónicos.</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Ahora bien, para el caso que no pueda subir la información en una liga electrónica de acceso en Internet, por no contar con presupuesto, ni con el equipo electrónico adecuado para tal circunstancia, podrá omitir dicha modalidad, para la entrega de la misma.</w:t>
      </w:r>
    </w:p>
    <w:p w:rsidR="0032171E" w:rsidRPr="00902182" w:rsidRDefault="0032171E">
      <w:pPr>
        <w:spacing w:line="360" w:lineRule="auto"/>
        <w:jc w:val="both"/>
        <w:rPr>
          <w:rFonts w:ascii="Palatino Linotype" w:eastAsia="Palatino Linotype" w:hAnsi="Palatino Linotype" w:cs="Palatino Linotype"/>
          <w:sz w:val="22"/>
          <w:szCs w:val="22"/>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Para tal situación, a través del SAIMEX, deberá indicar el mecanismo y/o procedimiento que tendrá que seguir </w:t>
      </w:r>
      <w:r w:rsidRPr="00902182">
        <w:rPr>
          <w:rFonts w:ascii="Palatino Linotype" w:eastAsia="Palatino Linotype" w:hAnsi="Palatino Linotype" w:cs="Palatino Linotype"/>
          <w:b/>
        </w:rPr>
        <w:t>LA PARTE RECURRENTE</w:t>
      </w:r>
      <w:r w:rsidRPr="00902182">
        <w:rPr>
          <w:rFonts w:ascii="Palatino Linotype" w:eastAsia="Palatino Linotype" w:hAnsi="Palatino Linotype" w:cs="Palatino Linotype"/>
        </w:rPr>
        <w:t xml:space="preserve">, para acceder a la documentación, es decir, los pasos para realizar el pago de derechos, en caso de ser procedentes, y la manera de obtener la información como domicilio de la Unidad de Transparencia, días y horarios de atención, así como el nombre de la persona servidora pública que le atenderá. Además, deberá señalarle que podrá acceder de </w:t>
      </w:r>
      <w:r w:rsidRPr="00902182">
        <w:rPr>
          <w:rFonts w:ascii="Palatino Linotype" w:eastAsia="Palatino Linotype" w:hAnsi="Palatino Linotype" w:cs="Palatino Linotype"/>
        </w:rPr>
        <w:lastRenderedPageBreak/>
        <w:t>manera gratuita a la información si proporciona el medio electrónico y recoge la información en la Unidad de Transparencia.</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Además,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deberá hacer del conocimiento a </w:t>
      </w:r>
      <w:r w:rsidRPr="00902182">
        <w:rPr>
          <w:rFonts w:ascii="Palatino Linotype" w:eastAsia="Palatino Linotype" w:hAnsi="Palatino Linotype" w:cs="Palatino Linotype"/>
          <w:b/>
        </w:rPr>
        <w:t>LA PARTE RECURRENTE</w:t>
      </w:r>
      <w:r w:rsidRPr="00902182">
        <w:rPr>
          <w:rFonts w:ascii="Palatino Linotype" w:eastAsia="Palatino Linotype" w:hAnsi="Palatino Linotype" w:cs="Palatino Linotype"/>
        </w:rPr>
        <w:t xml:space="preserve"> que la información estará disponible, por un plazo mínimo de sesenta días naturales, a partir de la fecha en que ponga a su disposición la información, en términos del segundo párrafo del artículo 166 de la Ley de Transparencia y Acceso a la Información Pública del Estado de México y Municipios.</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Si dentro del transcurso del término señalado en el párrafo anterior, </w:t>
      </w:r>
      <w:r w:rsidRPr="00902182">
        <w:rPr>
          <w:rFonts w:ascii="Palatino Linotype" w:eastAsia="Palatino Linotype" w:hAnsi="Palatino Linotype" w:cs="Palatino Linotype"/>
          <w:b/>
        </w:rPr>
        <w:t>LA PARTE RECURRENTE acude por la información,</w:t>
      </w:r>
      <w:r w:rsidRPr="00902182">
        <w:rPr>
          <w:rFonts w:ascii="Palatino Linotype" w:eastAsia="Palatino Linotype" w:hAnsi="Palatino Linotype" w:cs="Palatino Linotype"/>
        </w:rPr>
        <w:t xml:space="preserve">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levantará un acta de hechos misma que debe ser remitida a este Instituto, por conducto de la Secretaría Técnica del Pleno, junto con el acuse de recibo de la información; sin embargo, si una vez fenecido el plazo, no acudiera por los documentos ordenados,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mediante acuerdo dará por concluida la solicitud y podrá, de ser el caso, realizar la destrucción del material en el que se reprodujo, situación que también deberá informar a este Instituto, por el mismo conducto.</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De lo anterior destaca que </w:t>
      </w:r>
      <w:r w:rsidRPr="00902182">
        <w:rPr>
          <w:rFonts w:ascii="Palatino Linotype" w:eastAsia="Palatino Linotype" w:hAnsi="Palatino Linotype" w:cs="Palatino Linotype"/>
          <w:b/>
        </w:rPr>
        <w:t>EL SUJETO OBLIGADO</w:t>
      </w:r>
      <w:r w:rsidRPr="00902182">
        <w:rPr>
          <w:rFonts w:ascii="Palatino Linotype" w:eastAsia="Palatino Linotype" w:hAnsi="Palatino Linotype" w:cs="Palatino Linotype"/>
        </w:rPr>
        <w:t xml:space="preserve"> debe dar cumplimiento a lo requerido por </w:t>
      </w:r>
      <w:r w:rsidRPr="00902182">
        <w:rPr>
          <w:rFonts w:ascii="Palatino Linotype" w:eastAsia="Palatino Linotype" w:hAnsi="Palatino Linotype" w:cs="Palatino Linotype"/>
          <w:b/>
        </w:rPr>
        <w:t>LA PARTE RECURRENTE</w:t>
      </w:r>
      <w:r w:rsidRPr="00902182">
        <w:rPr>
          <w:rFonts w:ascii="Palatino Linotype" w:eastAsia="Palatino Linotype" w:hAnsi="Palatino Linotype" w:cs="Palatino Linotype"/>
        </w:rPr>
        <w:t xml:space="preserve"> en razón de que cuenta con las facultades expresas para ello, en consecuencia de lo expuesto a lo largo de esta resolución, se determina por esta Autoridad que lo apegado a Derecho es ordenar, del periodo </w:t>
      </w:r>
      <w:r w:rsidRPr="00902182">
        <w:rPr>
          <w:rFonts w:ascii="Palatino Linotype" w:eastAsia="Palatino Linotype" w:hAnsi="Palatino Linotype" w:cs="Palatino Linotype"/>
        </w:rPr>
        <w:lastRenderedPageBreak/>
        <w:t xml:space="preserve">que va del primero de septiembre de dos mil veintidós al quince de abril de dos mil veintitrés, la entrega de los recibos de nómina de todas las personas servidoras públicas adscritas al </w:t>
      </w:r>
      <w:r w:rsidRPr="00902182">
        <w:rPr>
          <w:rFonts w:ascii="Palatino Linotype" w:eastAsia="Palatino Linotype" w:hAnsi="Palatino Linotype" w:cs="Palatino Linotype"/>
          <w:b/>
        </w:rPr>
        <w:t>SUJETO OBLIGADO,</w:t>
      </w:r>
      <w:r w:rsidRPr="00902182">
        <w:rPr>
          <w:rFonts w:ascii="Palatino Linotype" w:eastAsia="Palatino Linotype" w:hAnsi="Palatino Linotype" w:cs="Palatino Linotype"/>
        </w:rPr>
        <w:t xml:space="preserve"> atendiendo a lo dispuesto en el siguiente Considerando. </w:t>
      </w:r>
    </w:p>
    <w:p w:rsidR="0032171E" w:rsidRPr="00902182" w:rsidRDefault="0032171E">
      <w:pPr>
        <w:spacing w:line="360" w:lineRule="auto"/>
        <w:ind w:right="51"/>
        <w:jc w:val="both"/>
        <w:rPr>
          <w:rFonts w:ascii="Palatino Linotype" w:eastAsia="Palatino Linotype" w:hAnsi="Palatino Linotype" w:cs="Palatino Linotype"/>
          <w:i/>
          <w:color w:val="000000"/>
          <w:sz w:val="22"/>
          <w:szCs w:val="22"/>
        </w:rPr>
      </w:pPr>
    </w:p>
    <w:p w:rsidR="0032171E" w:rsidRPr="00902182" w:rsidRDefault="00BA3F20">
      <w:pPr>
        <w:spacing w:line="360" w:lineRule="auto"/>
        <w:ind w:right="51"/>
        <w:jc w:val="both"/>
        <w:rPr>
          <w:rFonts w:ascii="Palatino Linotype" w:eastAsia="Palatino Linotype" w:hAnsi="Palatino Linotype" w:cs="Palatino Linotype"/>
        </w:rPr>
      </w:pPr>
      <w:r w:rsidRPr="00902182">
        <w:rPr>
          <w:rFonts w:ascii="Palatino Linotype" w:eastAsia="Palatino Linotype" w:hAnsi="Palatino Linotype" w:cs="Palatino Linotype"/>
          <w:b/>
        </w:rPr>
        <w:t xml:space="preserve">QUINTO. VERSIÓN PÚBLICA. </w:t>
      </w:r>
      <w:r w:rsidRPr="00902182">
        <w:rPr>
          <w:rFonts w:ascii="Palatino Linotype" w:eastAsia="Palatino Linotype" w:hAnsi="Palatino Linotype" w:cs="Palatino Linotype"/>
        </w:rPr>
        <w:t xml:space="preserve">Como fue debidamente apuntado, </w:t>
      </w:r>
      <w:r w:rsidRPr="00902182">
        <w:rPr>
          <w:rFonts w:ascii="Palatino Linotype" w:eastAsia="Palatino Linotype" w:hAnsi="Palatino Linotype" w:cs="Palatino Linotype"/>
          <w:b/>
        </w:rPr>
        <w:t>EL SUJETO OBLIGADO </w:t>
      </w:r>
      <w:r w:rsidRPr="00902182">
        <w:rPr>
          <w:rFonts w:ascii="Palatino Linotype" w:eastAsia="Palatino Linotype" w:hAnsi="Palatino Linotype" w:cs="Palatino Linotype"/>
        </w:rPr>
        <w:t>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rsidR="0032171E" w:rsidRPr="00902182" w:rsidRDefault="0032171E">
      <w:pPr>
        <w:spacing w:line="360" w:lineRule="auto"/>
        <w:ind w:right="51"/>
        <w:jc w:val="both"/>
        <w:rPr>
          <w:rFonts w:ascii="Palatino Linotype" w:eastAsia="Palatino Linotype" w:hAnsi="Palatino Linotype" w:cs="Palatino Linotype"/>
        </w:rPr>
      </w:pPr>
    </w:p>
    <w:p w:rsidR="0032171E" w:rsidRPr="00902182" w:rsidRDefault="00BA3F20">
      <w:pPr>
        <w:spacing w:line="360" w:lineRule="auto"/>
        <w:ind w:right="49"/>
        <w:jc w:val="both"/>
        <w:rPr>
          <w:rFonts w:ascii="Palatino Linotype" w:eastAsia="Palatino Linotype" w:hAnsi="Palatino Linotype" w:cs="Palatino Linotype"/>
        </w:rPr>
      </w:pPr>
      <w:r w:rsidRPr="00902182">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32171E" w:rsidRPr="00902182" w:rsidRDefault="0032171E">
      <w:pPr>
        <w:spacing w:line="360" w:lineRule="auto"/>
        <w:ind w:right="49"/>
        <w:jc w:val="both"/>
        <w:rPr>
          <w:rFonts w:ascii="Palatino Linotype" w:eastAsia="Palatino Linotype" w:hAnsi="Palatino Linotype" w:cs="Palatino Linotype"/>
        </w:rPr>
      </w:pPr>
    </w:p>
    <w:p w:rsidR="0032171E" w:rsidRPr="00902182" w:rsidRDefault="00BA3F20">
      <w:pPr>
        <w:spacing w:line="360" w:lineRule="auto"/>
        <w:ind w:right="49"/>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w:t>
      </w:r>
      <w:r w:rsidRPr="00902182">
        <w:rPr>
          <w:rFonts w:ascii="Palatino Linotype" w:eastAsia="Palatino Linotype" w:hAnsi="Palatino Linotype" w:cs="Palatino Linotype"/>
        </w:rPr>
        <w:lastRenderedPageBreak/>
        <w:t>versiones públicas en las que se suprima aquella información relacionada con la vida privada de las personas.</w:t>
      </w:r>
    </w:p>
    <w:p w:rsidR="0032171E" w:rsidRPr="00902182" w:rsidRDefault="0032171E">
      <w:pPr>
        <w:spacing w:line="360" w:lineRule="auto"/>
        <w:ind w:right="49"/>
        <w:jc w:val="both"/>
        <w:rPr>
          <w:rFonts w:ascii="Palatino Linotype" w:eastAsia="Palatino Linotype" w:hAnsi="Palatino Linotype" w:cs="Palatino Linotype"/>
        </w:rPr>
      </w:pPr>
    </w:p>
    <w:p w:rsidR="0032171E" w:rsidRPr="00902182" w:rsidRDefault="00BA3F20">
      <w:pPr>
        <w:spacing w:line="360" w:lineRule="auto"/>
        <w:ind w:right="49"/>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Al respecto, los artículos 3, fracciones IX, XX, XXI, XXXII, XLV; 6, 91, 137, 143 </w:t>
      </w:r>
      <w:proofErr w:type="gramStart"/>
      <w:r w:rsidRPr="00902182">
        <w:rPr>
          <w:rFonts w:ascii="Palatino Linotype" w:eastAsia="Palatino Linotype" w:hAnsi="Palatino Linotype" w:cs="Palatino Linotype"/>
        </w:rPr>
        <w:t>fracción</w:t>
      </w:r>
      <w:proofErr w:type="gramEnd"/>
      <w:r w:rsidRPr="00902182">
        <w:rPr>
          <w:rFonts w:ascii="Palatino Linotype" w:eastAsia="Palatino Linotype" w:hAnsi="Palatino Linotype" w:cs="Palatino Linotype"/>
        </w:rPr>
        <w:t xml:space="preserve"> I, de la Ley de Transparencia y Acceso a la Información Pública del Estado de México y Municipios vigente establecen:</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Artículo 3.</w:t>
      </w:r>
      <w:r w:rsidRPr="00902182">
        <w:rPr>
          <w:rFonts w:ascii="Palatino Linotype" w:eastAsia="Palatino Linotype" w:hAnsi="Palatino Linotype" w:cs="Palatino Linotype"/>
          <w:i/>
          <w:color w:val="000000"/>
          <w:sz w:val="22"/>
          <w:szCs w:val="22"/>
        </w:rPr>
        <w:t xml:space="preserve"> Para los efectos de la presente Ley se entenderá por:</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IX. Datos personales</w:t>
      </w:r>
      <w:r w:rsidRPr="00902182">
        <w:rPr>
          <w:rFonts w:ascii="Palatino Linotype" w:eastAsia="Palatino Linotype" w:hAnsi="Palatino Linotype" w:cs="Palatino Linotype"/>
          <w:i/>
          <w:color w:val="000000"/>
          <w:sz w:val="22"/>
          <w:szCs w:val="22"/>
        </w:rPr>
        <w:t>: La información concerniente a una persona, identificada o identificable según lo dispuesto por la Ley de Protección de Datos Personales del Estado de México;</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XX. Información clasificada</w:t>
      </w:r>
      <w:r w:rsidRPr="00902182">
        <w:rPr>
          <w:rFonts w:ascii="Palatino Linotype" w:eastAsia="Palatino Linotype" w:hAnsi="Palatino Linotype" w:cs="Palatino Linotype"/>
          <w:i/>
          <w:color w:val="000000"/>
          <w:sz w:val="22"/>
          <w:szCs w:val="22"/>
        </w:rPr>
        <w:t>: Aquella considerada por la presente Ley como reservada o confidencial;</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XXI. Información confidencial</w:t>
      </w:r>
      <w:r w:rsidRPr="00902182">
        <w:rPr>
          <w:rFonts w:ascii="Palatino Linotype" w:eastAsia="Palatino Linotype" w:hAnsi="Palatino Linotype" w:cs="Palatino Linotype"/>
          <w:i/>
          <w:color w:val="000000"/>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XXXII. Protección de Datos Personales</w:t>
      </w:r>
      <w:r w:rsidRPr="00902182">
        <w:rPr>
          <w:rFonts w:ascii="Palatino Linotype" w:eastAsia="Palatino Linotype" w:hAnsi="Palatino Linotype" w:cs="Palatino Linotype"/>
          <w:i/>
          <w:color w:val="000000"/>
          <w:sz w:val="22"/>
          <w:szCs w:val="22"/>
        </w:rPr>
        <w:t>: Derecho humano que tutela la privacidad de datos personales en poder de los sujetos obligados y sujetos particulares;</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XLV. Versión pública</w:t>
      </w:r>
      <w:r w:rsidRPr="00902182">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Artículo 6</w:t>
      </w:r>
      <w:r w:rsidRPr="00902182">
        <w:rPr>
          <w:rFonts w:ascii="Palatino Linotype" w:eastAsia="Palatino Linotype" w:hAnsi="Palatino Linotype" w:cs="Palatino Linotype"/>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w:t>
      </w:r>
      <w:r w:rsidRPr="00902182">
        <w:rPr>
          <w:rFonts w:ascii="Palatino Linotype" w:eastAsia="Palatino Linotype" w:hAnsi="Palatino Linotype" w:cs="Palatino Linotype"/>
          <w:i/>
          <w:color w:val="000000"/>
          <w:sz w:val="22"/>
          <w:szCs w:val="22"/>
        </w:rPr>
        <w:lastRenderedPageBreak/>
        <w:t>medidas de seguridad en el tratamiento y demás disposiciones en materia de datos personales, se deberá estar a lo dispuesto en las leyes de la materia.</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 (…)</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Artículo 91.</w:t>
      </w:r>
      <w:r w:rsidRPr="00902182">
        <w:rPr>
          <w:rFonts w:ascii="Palatino Linotype" w:eastAsia="Palatino Linotype" w:hAnsi="Palatino Linotype" w:cs="Palatino Linotype"/>
          <w:i/>
          <w:color w:val="000000"/>
          <w:sz w:val="22"/>
          <w:szCs w:val="22"/>
        </w:rPr>
        <w:t xml:space="preserve"> El acceso a la información pública será restringido excepcionalmente, cuando ésta sea clasificada como reservada o confidencial.</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Artículo 137.</w:t>
      </w:r>
      <w:r w:rsidRPr="00902182">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Artículo 143.</w:t>
      </w:r>
      <w:r w:rsidRPr="00902182">
        <w:rPr>
          <w:rFonts w:ascii="Palatino Linotype" w:eastAsia="Palatino Linotype" w:hAnsi="Palatino Linotype" w:cs="Palatino Linotype"/>
          <w:i/>
          <w:color w:val="000000"/>
          <w:sz w:val="22"/>
          <w:szCs w:val="22"/>
        </w:rPr>
        <w:t xml:space="preserve"> Para los efectos de esta Ley se considera información confidencial, la clasificada como tal, de manera permanente, por su naturaleza, cuando:</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I.</w:t>
      </w:r>
      <w:r w:rsidRPr="00902182">
        <w:rPr>
          <w:rFonts w:ascii="Palatino Linotype" w:eastAsia="Palatino Linotype" w:hAnsi="Palatino Linotype" w:cs="Palatino Linotype"/>
          <w:i/>
          <w:color w:val="000000"/>
          <w:sz w:val="22"/>
          <w:szCs w:val="22"/>
        </w:rPr>
        <w:t xml:space="preserve"> Se refiera a la información privada y los datos personales concernientes a una persona física o </w:t>
      </w:r>
      <w:proofErr w:type="gramStart"/>
      <w:r w:rsidRPr="00902182">
        <w:rPr>
          <w:rFonts w:ascii="Palatino Linotype" w:eastAsia="Palatino Linotype" w:hAnsi="Palatino Linotype" w:cs="Palatino Linotype"/>
          <w:i/>
          <w:color w:val="000000"/>
          <w:sz w:val="22"/>
          <w:szCs w:val="22"/>
        </w:rPr>
        <w:t>jurídico</w:t>
      </w:r>
      <w:proofErr w:type="gramEnd"/>
      <w:r w:rsidRPr="00902182">
        <w:rPr>
          <w:rFonts w:ascii="Palatino Linotype" w:eastAsia="Palatino Linotype" w:hAnsi="Palatino Linotype" w:cs="Palatino Linotype"/>
          <w:i/>
          <w:color w:val="000000"/>
          <w:sz w:val="22"/>
          <w:szCs w:val="22"/>
        </w:rPr>
        <w:t xml:space="preserve"> colectiva identificada o identificable;</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spacing w:line="360" w:lineRule="auto"/>
        <w:ind w:right="50"/>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902182">
        <w:rPr>
          <w:rFonts w:ascii="Palatino Linotype" w:eastAsia="Palatino Linotype" w:hAnsi="Palatino Linotype" w:cs="Palatino Linotype"/>
          <w:b/>
        </w:rPr>
        <w:t xml:space="preserve">EL SUJETO OBLIGADO </w:t>
      </w:r>
      <w:r w:rsidRPr="00902182">
        <w:rPr>
          <w:rFonts w:ascii="Palatino Linotype" w:eastAsia="Palatino Linotype" w:hAnsi="Palatino Linotype" w:cs="Palatino Linotype"/>
        </w:rPr>
        <w:t xml:space="preserve">deberá proceder a testar los Datos Personales que se encuentre contenidos en los documentos a entregar para satisfacer el derecho de acceso a la información pública de </w:t>
      </w:r>
      <w:r w:rsidRPr="00902182">
        <w:rPr>
          <w:rFonts w:ascii="Palatino Linotype" w:eastAsia="Palatino Linotype" w:hAnsi="Palatino Linotype" w:cs="Palatino Linotype"/>
          <w:b/>
        </w:rPr>
        <w:t>LA PARTE RECURRENTE,</w:t>
      </w:r>
      <w:r w:rsidRPr="00902182">
        <w:rPr>
          <w:rFonts w:ascii="Palatino Linotype" w:eastAsia="Palatino Linotype" w:hAnsi="Palatino Linotype" w:cs="Palatino Linotype"/>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w:t>
      </w:r>
      <w:r w:rsidRPr="00902182">
        <w:rPr>
          <w:rFonts w:ascii="Palatino Linotype" w:eastAsia="Palatino Linotype" w:hAnsi="Palatino Linotype" w:cs="Palatino Linotype"/>
        </w:rPr>
        <w:lastRenderedPageBreak/>
        <w:t>un riesgo grave para aquel de acuerdo a los que señala la fracción XII del artículo 4 de la Ley de Protección de Datos Personales en posesión de Sujeto Obligados del Estado de México.</w:t>
      </w:r>
    </w:p>
    <w:p w:rsidR="0032171E" w:rsidRPr="00902182" w:rsidRDefault="0032171E">
      <w:pPr>
        <w:spacing w:line="360" w:lineRule="auto"/>
        <w:ind w:right="50"/>
        <w:jc w:val="both"/>
        <w:rPr>
          <w:rFonts w:ascii="Palatino Linotype" w:eastAsia="Palatino Linotype" w:hAnsi="Palatino Linotype" w:cs="Palatino Linotype"/>
        </w:rPr>
      </w:pPr>
    </w:p>
    <w:p w:rsidR="0032171E" w:rsidRPr="00902182" w:rsidRDefault="00BA3F20">
      <w:pPr>
        <w:spacing w:line="360" w:lineRule="auto"/>
        <w:ind w:right="50"/>
        <w:jc w:val="both"/>
        <w:rPr>
          <w:rFonts w:ascii="Palatino Linotype" w:eastAsia="Palatino Linotype" w:hAnsi="Palatino Linotype" w:cs="Palatino Linotype"/>
        </w:rPr>
      </w:pPr>
      <w:r w:rsidRPr="00902182">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902182">
        <w:rPr>
          <w:rFonts w:ascii="Palatino Linotype" w:eastAsia="Palatino Linotype" w:hAnsi="Palatino Linotype" w:cs="Palatino Linotype"/>
          <w:b/>
        </w:rPr>
        <w:t>SUJETO OBLIGADO,</w:t>
      </w:r>
      <w:r w:rsidRPr="00902182">
        <w:rPr>
          <w:rFonts w:ascii="Palatino Linotype" w:eastAsia="Palatino Linotype" w:hAnsi="Palatino Linotype" w:cs="Palatino Linotype"/>
        </w:rPr>
        <w:t xml:space="preserve"> derivado del ejercicio de sus atribuciones, tal como quedo acotado en el cuerpo de la presente resolución, también contienen los datos de personas servidoras públicas,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902182">
        <w:rPr>
          <w:rFonts w:ascii="Palatino Linotype" w:eastAsia="Palatino Linotype" w:hAnsi="Palatino Linotype" w:cs="Palatino Linotype"/>
          <w:b/>
        </w:rPr>
        <w:t>Registro Federal de Contribuyentes</w:t>
      </w:r>
      <w:r w:rsidRPr="00902182">
        <w:rPr>
          <w:rFonts w:ascii="Palatino Linotype" w:eastAsia="Palatino Linotype" w:hAnsi="Palatino Linotype" w:cs="Palatino Linotype"/>
        </w:rPr>
        <w:t xml:space="preserve"> (RFC), la </w:t>
      </w:r>
      <w:r w:rsidRPr="00902182">
        <w:rPr>
          <w:rFonts w:ascii="Palatino Linotype" w:eastAsia="Palatino Linotype" w:hAnsi="Palatino Linotype" w:cs="Palatino Linotype"/>
          <w:b/>
        </w:rPr>
        <w:t>Clave Única de Registro de Población</w:t>
      </w:r>
      <w:r w:rsidRPr="00902182">
        <w:rPr>
          <w:rFonts w:ascii="Palatino Linotype" w:eastAsia="Palatino Linotype" w:hAnsi="Palatino Linotype" w:cs="Palatino Linotype"/>
        </w:rPr>
        <w:t xml:space="preserve"> (CURP), la </w:t>
      </w:r>
      <w:r w:rsidRPr="00902182">
        <w:rPr>
          <w:rFonts w:ascii="Palatino Linotype" w:eastAsia="Palatino Linotype" w:hAnsi="Palatino Linotype" w:cs="Palatino Linotype"/>
          <w:b/>
        </w:rPr>
        <w:t>Clave de cualquier tipo de seguridad social</w:t>
      </w:r>
      <w:r w:rsidRPr="00902182">
        <w:rPr>
          <w:rFonts w:ascii="Palatino Linotype" w:eastAsia="Palatino Linotype" w:hAnsi="Palatino Linotype" w:cs="Palatino Linotype"/>
        </w:rPr>
        <w:t xml:space="preserve"> (ISSEMYM, u otros), los </w:t>
      </w:r>
      <w:r w:rsidRPr="00902182">
        <w:rPr>
          <w:rFonts w:ascii="Palatino Linotype" w:eastAsia="Palatino Linotype" w:hAnsi="Palatino Linotype" w:cs="Palatino Linotype"/>
          <w:b/>
        </w:rPr>
        <w:t>números de cuentas bancarias</w:t>
      </w:r>
      <w:r w:rsidRPr="00902182">
        <w:rPr>
          <w:rFonts w:ascii="Palatino Linotype" w:eastAsia="Palatino Linotype" w:hAnsi="Palatino Linotype" w:cs="Palatino Linotype"/>
        </w:rPr>
        <w:t xml:space="preserve">, claves estandarizadas – interbancarias - (CLABES) y de tarjetas, los </w:t>
      </w:r>
      <w:r w:rsidRPr="00902182">
        <w:rPr>
          <w:rFonts w:ascii="Palatino Linotype" w:eastAsia="Palatino Linotype" w:hAnsi="Palatino Linotype" w:cs="Palatino Linotype"/>
          <w:b/>
        </w:rPr>
        <w:t>préstamos o descuentos</w:t>
      </w:r>
      <w:r w:rsidRPr="00902182">
        <w:rPr>
          <w:rFonts w:ascii="Palatino Linotype" w:eastAsia="Palatino Linotype" w:hAnsi="Palatino Linotype" w:cs="Palatino Linotype"/>
        </w:rPr>
        <w:t xml:space="preserve"> que se le hagan </w:t>
      </w:r>
      <w:r w:rsidRPr="00902182">
        <w:rPr>
          <w:rFonts w:ascii="Palatino Linotype" w:eastAsia="Palatino Linotype" w:hAnsi="Palatino Linotype" w:cs="Palatino Linotype"/>
        </w:rPr>
        <w:lastRenderedPageBreak/>
        <w:t>a la persona y que no tengan relación con los impuestos o la cuota por seguridad social, el</w:t>
      </w:r>
      <w:r w:rsidRPr="00902182">
        <w:rPr>
          <w:rFonts w:ascii="Palatino Linotype" w:eastAsia="Palatino Linotype" w:hAnsi="Palatino Linotype" w:cs="Palatino Linotype"/>
          <w:b/>
        </w:rPr>
        <w:t xml:space="preserve"> número de empleado, </w:t>
      </w:r>
      <w:r w:rsidRPr="00902182">
        <w:rPr>
          <w:rFonts w:ascii="Palatino Linotype" w:eastAsia="Palatino Linotype" w:hAnsi="Palatino Linotype" w:cs="Palatino Linotype"/>
        </w:rPr>
        <w:t xml:space="preserve">así como de ser el caso, el </w:t>
      </w:r>
      <w:r w:rsidRPr="00902182">
        <w:rPr>
          <w:rFonts w:ascii="Palatino Linotype" w:eastAsia="Palatino Linotype" w:hAnsi="Palatino Linotype" w:cs="Palatino Linotype"/>
          <w:b/>
        </w:rPr>
        <w:t>folio fiscal</w:t>
      </w:r>
      <w:r w:rsidRPr="00902182">
        <w:rPr>
          <w:rFonts w:ascii="Palatino Linotype" w:eastAsia="Palatino Linotype" w:hAnsi="Palatino Linotype" w:cs="Palatino Linotype"/>
        </w:rPr>
        <w:t xml:space="preserve">, la  </w:t>
      </w:r>
      <w:r w:rsidRPr="00902182">
        <w:rPr>
          <w:rFonts w:ascii="Palatino Linotype" w:eastAsia="Palatino Linotype" w:hAnsi="Palatino Linotype" w:cs="Palatino Linotype"/>
          <w:b/>
        </w:rPr>
        <w:t xml:space="preserve">cadena original, </w:t>
      </w:r>
      <w:r w:rsidRPr="00902182">
        <w:rPr>
          <w:rFonts w:ascii="Palatino Linotype" w:eastAsia="Palatino Linotype" w:hAnsi="Palatino Linotype" w:cs="Palatino Linotype"/>
        </w:rPr>
        <w:t>los</w:t>
      </w:r>
      <w:r w:rsidRPr="00902182">
        <w:rPr>
          <w:rFonts w:ascii="Palatino Linotype" w:eastAsia="Palatino Linotype" w:hAnsi="Palatino Linotype" w:cs="Palatino Linotype"/>
          <w:b/>
        </w:rPr>
        <w:t xml:space="preserve"> códigos bidimensionales o códigos QR,</w:t>
      </w:r>
      <w:r w:rsidRPr="00902182">
        <w:rPr>
          <w:rFonts w:ascii="Palatino Linotype" w:eastAsia="Palatino Linotype" w:hAnsi="Palatino Linotype" w:cs="Palatino Linotype"/>
        </w:rPr>
        <w:t xml:space="preserve"> y cualquier información de carácter fiscal, bajo las siguientes consideraciones. </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ind w:right="50"/>
        <w:jc w:val="both"/>
        <w:rPr>
          <w:rFonts w:ascii="Palatino Linotype" w:eastAsia="Palatino Linotype" w:hAnsi="Palatino Linotype" w:cs="Palatino Linotype"/>
        </w:rPr>
      </w:pPr>
      <w:r w:rsidRPr="00902182">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32171E" w:rsidRPr="00902182" w:rsidRDefault="0032171E">
      <w:pPr>
        <w:spacing w:line="360" w:lineRule="auto"/>
        <w:ind w:right="50"/>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Por cuanto hace al </w:t>
      </w:r>
      <w:r w:rsidRPr="00902182">
        <w:rPr>
          <w:rFonts w:ascii="Palatino Linotype" w:eastAsia="Palatino Linotype" w:hAnsi="Palatino Linotype" w:cs="Palatino Linotype"/>
          <w:b/>
        </w:rPr>
        <w:t>Registro Federal de Contribuyentes</w:t>
      </w:r>
      <w:r w:rsidRPr="00902182">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902182">
        <w:rPr>
          <w:rFonts w:ascii="Palatino Linotype" w:eastAsia="Palatino Linotype" w:hAnsi="Palatino Linotype" w:cs="Palatino Linotype"/>
        </w:rPr>
        <w:t>homoclave</w:t>
      </w:r>
      <w:proofErr w:type="spellEnd"/>
      <w:r w:rsidRPr="00902182">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lastRenderedPageBreak/>
        <w:t>Lo anterior es compartido por el Instituto Nacional de Transparencia, Acceso a la Información y Protección de Datos Personales, INAI, a través del Criterio 19/17, el cual es del tenor literal siguiente:</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Registro Federal de Contribuyentes (RFC) de personas físicas</w:t>
      </w:r>
      <w:r w:rsidRPr="00902182">
        <w:rPr>
          <w:rFonts w:ascii="Palatino Linotype" w:eastAsia="Palatino Linotype" w:hAnsi="Palatino Linotype" w:cs="Palatino Linotype"/>
          <w:i/>
          <w:color w:val="000000"/>
          <w:sz w:val="22"/>
          <w:szCs w:val="22"/>
        </w:rPr>
        <w:t xml:space="preserve">. El RFC es una clave de carácter fiscal, </w:t>
      </w:r>
      <w:proofErr w:type="gramStart"/>
      <w:r w:rsidRPr="00902182">
        <w:rPr>
          <w:rFonts w:ascii="Palatino Linotype" w:eastAsia="Palatino Linotype" w:hAnsi="Palatino Linotype" w:cs="Palatino Linotype"/>
          <w:i/>
          <w:color w:val="000000"/>
          <w:sz w:val="22"/>
          <w:szCs w:val="22"/>
        </w:rPr>
        <w:t>única</w:t>
      </w:r>
      <w:proofErr w:type="gramEnd"/>
      <w:r w:rsidRPr="00902182">
        <w:rPr>
          <w:rFonts w:ascii="Palatino Linotype" w:eastAsia="Palatino Linotype" w:hAnsi="Palatino Linotype" w:cs="Palatino Linotype"/>
          <w:i/>
          <w:color w:val="000000"/>
          <w:sz w:val="22"/>
          <w:szCs w:val="22"/>
        </w:rPr>
        <w:t xml:space="preserve"> e irrepetible, que permite identificar al titular, su edad y fecha de nacimiento, por lo que es un dato personal de carácter confidencial.</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902182">
        <w:rPr>
          <w:rFonts w:ascii="Palatino Linotype" w:eastAsia="Palatino Linotype" w:hAnsi="Palatino Linotype" w:cs="Palatino Linotype"/>
        </w:rPr>
        <w:t>homoclave</w:t>
      </w:r>
      <w:proofErr w:type="spellEnd"/>
      <w:r w:rsidRPr="00902182">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De igual manera la </w:t>
      </w:r>
      <w:r w:rsidRPr="00902182">
        <w:rPr>
          <w:rFonts w:ascii="Palatino Linotype" w:eastAsia="Palatino Linotype" w:hAnsi="Palatino Linotype" w:cs="Palatino Linotype"/>
          <w:b/>
        </w:rPr>
        <w:t>Clave Única de Registro de Población, CURP,</w:t>
      </w:r>
      <w:r w:rsidRPr="00902182">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w:t>
      </w:r>
      <w:r w:rsidRPr="00902182">
        <w:rPr>
          <w:rFonts w:ascii="Palatino Linotype" w:eastAsia="Palatino Linotype" w:hAnsi="Palatino Linotype" w:cs="Palatino Linotype"/>
        </w:rPr>
        <w:lastRenderedPageBreak/>
        <w:t>distinguirlo del resto de los habitantes, por tal motivo, se considera que es de carácter confidencial.</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 xml:space="preserve">Clave Única de Registro de Población (CURP). </w:t>
      </w:r>
      <w:r w:rsidRPr="00902182">
        <w:rPr>
          <w:rFonts w:ascii="Palatino Linotype" w:eastAsia="Palatino Linotype" w:hAnsi="Palatino Linotype" w:cs="Palatino Linotype"/>
          <w:i/>
          <w:color w:val="000000"/>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Respecto de los </w:t>
      </w:r>
      <w:r w:rsidRPr="00902182">
        <w:rPr>
          <w:rFonts w:ascii="Palatino Linotype" w:eastAsia="Palatino Linotype" w:hAnsi="Palatino Linotype" w:cs="Palatino Linotype"/>
          <w:b/>
        </w:rPr>
        <w:t xml:space="preserve">números de cuentas bancarias, claves estandarizadas </w:t>
      </w:r>
      <w:r w:rsidRPr="00902182">
        <w:rPr>
          <w:rFonts w:ascii="Palatino Linotype" w:eastAsia="Palatino Linotype" w:hAnsi="Palatino Linotype" w:cs="Palatino Linotype"/>
        </w:rPr>
        <w:t>–interbancarias- (CLABES) y de tarjetas, el Pleno de este Instituto ha determinado que esa información debe clasificarse como confidencial, y elaborarse una versión pública en la que se teste la misma.</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lastRenderedPageBreak/>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Cuentas bancarias y/o CLABE interbancaria de personas físicas y morales privadas.</w:t>
      </w:r>
      <w:r w:rsidRPr="00902182">
        <w:rPr>
          <w:rFonts w:ascii="Palatino Linotype" w:eastAsia="Palatino Linotype" w:hAnsi="Palatino Linotype" w:cs="Palatino Linotype"/>
          <w:i/>
          <w:color w:val="000000"/>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Cuentas bancarias y/o CLABE interbancaria de sujetos obligados que reciben y/o transfieren recursos públicos, son información pública.</w:t>
      </w:r>
      <w:r w:rsidRPr="00902182">
        <w:rPr>
          <w:rFonts w:ascii="Palatino Linotype" w:eastAsia="Palatino Linotype" w:hAnsi="Palatino Linotype" w:cs="Palatino Linotype"/>
          <w:i/>
          <w:color w:val="000000"/>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Por cuanto hace a los </w:t>
      </w:r>
      <w:r w:rsidRPr="00902182">
        <w:rPr>
          <w:rFonts w:ascii="Palatino Linotype" w:eastAsia="Palatino Linotype" w:hAnsi="Palatino Linotype" w:cs="Palatino Linotype"/>
          <w:b/>
        </w:rPr>
        <w:t>préstamos o descuentos de carácter personal</w:t>
      </w:r>
      <w:r w:rsidRPr="00902182">
        <w:rPr>
          <w:rFonts w:ascii="Palatino Linotype" w:eastAsia="Palatino Linotype" w:hAnsi="Palatino Linotype" w:cs="Palatino Linotype"/>
        </w:rPr>
        <w:t>, en virtud de no tener relación con la prestación del servicio y al no involucrar instituciones públicas, se consideran datos confidenciales.</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902182">
        <w:rPr>
          <w:rFonts w:ascii="Palatino Linotype" w:eastAsia="Palatino Linotype" w:hAnsi="Palatino Linotype" w:cs="Palatino Linotype"/>
          <w:b/>
          <w:i/>
          <w:color w:val="000000"/>
          <w:sz w:val="22"/>
          <w:szCs w:val="22"/>
        </w:rPr>
        <w:t xml:space="preserve">ARTÍCULO 84. </w:t>
      </w:r>
      <w:r w:rsidRPr="00902182">
        <w:rPr>
          <w:rFonts w:ascii="Palatino Linotype" w:eastAsia="Palatino Linotype" w:hAnsi="Palatino Linotype" w:cs="Palatino Linotype"/>
          <w:i/>
          <w:color w:val="000000"/>
          <w:sz w:val="22"/>
          <w:szCs w:val="22"/>
        </w:rPr>
        <w:t>Sólo podrán hacerse retenciones, descuentos o deducciones al sueldo de los servidores públicos por concepto de:</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I. Gravámenes fiscales relacionados con el sueldo;</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II. Deudas contraídas con las instituciones públicas o dependencias por concepto de anticipos de sueldo, pagos hechos con exceso, errores o pérdidas debidamente comprobados;</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III. Cuotas sindicales;</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lastRenderedPageBreak/>
        <w:t>IV. Cuotas de aportación a fondos para la constitución de cooperativas y de cajas de ahorro, siempre que el servidor público hubiese manifestado previamente, de manera expresa, su conformidad;</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V. Descuentos ordenados por el Instituto de Seguridad Social del Estado de México y Municipios, con motivo de cuotas y obligaciones contraídas con éste por los servidores públicos;</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VI. Obligaciones a cargo del servidor público con las que haya consentido, derivadas de la adquisición o del uso de habitaciones consideradas como de interés social;</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VII. Faltas de puntualidad o de asistencia injustificadas;</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VIII. Pensiones alimenticias ordenadas por la autoridad judicial;</w:t>
      </w:r>
      <w:r w:rsidRPr="00902182">
        <w:rPr>
          <w:rFonts w:ascii="Palatino Linotype" w:eastAsia="Palatino Linotype" w:hAnsi="Palatino Linotype" w:cs="Palatino Linotype"/>
          <w:i/>
          <w:color w:val="000000"/>
          <w:sz w:val="22"/>
          <w:szCs w:val="22"/>
        </w:rPr>
        <w:t xml:space="preserve"> </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902182">
        <w:rPr>
          <w:rFonts w:ascii="Palatino Linotype" w:eastAsia="Palatino Linotype" w:hAnsi="Palatino Linotype" w:cs="Palatino Linotype"/>
          <w:b/>
          <w:i/>
          <w:color w:val="000000"/>
          <w:sz w:val="22"/>
          <w:szCs w:val="22"/>
        </w:rPr>
        <w:t>IX. Cualquier otro convenido con instituciones de servicios y aceptado por el servidor público.</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Con relación al </w:t>
      </w:r>
      <w:r w:rsidRPr="00902182">
        <w:rPr>
          <w:rFonts w:ascii="Palatino Linotype" w:eastAsia="Palatino Linotype" w:hAnsi="Palatino Linotype" w:cs="Palatino Linotype"/>
          <w:b/>
        </w:rPr>
        <w:t>número de empleado</w:t>
      </w:r>
      <w:r w:rsidRPr="00902182">
        <w:rPr>
          <w:rFonts w:ascii="Palatino Linotype" w:eastAsia="Palatino Linotype" w:hAnsi="Palatino Linotype" w:cs="Palatino Linotype"/>
        </w:rPr>
        <w:t xml:space="preserve"> debe precisarse que este constituye un código, en virtud del cual, los trabajadores pueden acceder a un sistema de datos o </w:t>
      </w:r>
      <w:r w:rsidRPr="00902182">
        <w:rPr>
          <w:rFonts w:ascii="Palatino Linotype" w:eastAsia="Palatino Linotype" w:hAnsi="Palatino Linotype" w:cs="Palatino Linotype"/>
        </w:rPr>
        <w:lastRenderedPageBreak/>
        <w:t>información de la dependencia o entidad a la que pertenecen, a fin de presentar consultas relacionadas con su situación laboral particular, siendo un número único, permanente e intransferible que se asigna para llevar un registro de los trabajadores</w:t>
      </w:r>
      <w:r w:rsidRPr="00902182">
        <w:rPr>
          <w:rFonts w:ascii="Palatino Linotype" w:eastAsia="Palatino Linotype" w:hAnsi="Palatino Linotype" w:cs="Palatino Linotype"/>
          <w:vertAlign w:val="superscript"/>
        </w:rPr>
        <w:footnoteReference w:id="1"/>
      </w:r>
      <w:r w:rsidRPr="00902182">
        <w:rPr>
          <w:rFonts w:ascii="Palatino Linotype" w:eastAsia="Palatino Linotype" w:hAnsi="Palatino Linotype" w:cs="Palatino Linotype"/>
        </w:rPr>
        <w:t>.</w:t>
      </w: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 xml:space="preserve">Número de empleado. </w:t>
      </w:r>
      <w:r w:rsidRPr="00902182">
        <w:rPr>
          <w:rFonts w:ascii="Palatino Linotype" w:eastAsia="Palatino Linotype" w:hAnsi="Palatino Linotype" w:cs="Palatino Linotype"/>
          <w:i/>
          <w:color w:val="000000"/>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w:t>
      </w:r>
      <w:r w:rsidRPr="00902182">
        <w:rPr>
          <w:rFonts w:ascii="Palatino Linotype" w:eastAsia="Palatino Linotype" w:hAnsi="Palatino Linotype" w:cs="Palatino Linotype"/>
          <w:b/>
        </w:rPr>
        <w:t xml:space="preserve">EL </w:t>
      </w:r>
      <w:r w:rsidRPr="00902182">
        <w:rPr>
          <w:rFonts w:ascii="Palatino Linotype" w:eastAsia="Palatino Linotype" w:hAnsi="Palatino Linotype" w:cs="Palatino Linotype"/>
          <w:b/>
        </w:rPr>
        <w:lastRenderedPageBreak/>
        <w:t xml:space="preserve">SUJETO OBLIGADO </w:t>
      </w:r>
      <w:r w:rsidRPr="00902182">
        <w:rPr>
          <w:rFonts w:ascii="Palatino Linotype" w:eastAsia="Palatino Linotype" w:hAnsi="Palatino Linotype" w:cs="Palatino Linotype"/>
        </w:rPr>
        <w:t>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b/>
        </w:rPr>
        <w:t>DE LA INFORMACIÓN FISCAL</w:t>
      </w:r>
      <w:r w:rsidRPr="00902182">
        <w:rPr>
          <w:rFonts w:ascii="Palatino Linotype" w:eastAsia="Palatino Linotype" w:hAnsi="Palatino Linotype" w:cs="Palatino Linotype"/>
        </w:rPr>
        <w:t>:</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La </w:t>
      </w:r>
      <w:r w:rsidRPr="00902182">
        <w:rPr>
          <w:rFonts w:ascii="Palatino Linotype" w:eastAsia="Palatino Linotype" w:hAnsi="Palatino Linotype" w:cs="Palatino Linotype"/>
          <w:b/>
        </w:rPr>
        <w:t>Cadena Original</w:t>
      </w:r>
      <w:r w:rsidRPr="00902182">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902182">
        <w:rPr>
          <w:rFonts w:ascii="Palatino Linotype" w:eastAsia="Palatino Linotype" w:hAnsi="Palatino Linotype" w:cs="Palatino Linotype"/>
          <w:b/>
        </w:rPr>
        <w:t>SUJETO OBLIGADO</w:t>
      </w:r>
      <w:r w:rsidRPr="00902182">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Los </w:t>
      </w:r>
      <w:r w:rsidRPr="00902182">
        <w:rPr>
          <w:rFonts w:ascii="Palatino Linotype" w:eastAsia="Palatino Linotype" w:hAnsi="Palatino Linotype" w:cs="Palatino Linotype"/>
          <w:b/>
        </w:rPr>
        <w:t>códigos bidimensionales</w:t>
      </w:r>
      <w:r w:rsidRPr="00902182">
        <w:rPr>
          <w:rFonts w:ascii="Palatino Linotype" w:eastAsia="Palatino Linotype" w:hAnsi="Palatino Linotype" w:cs="Palatino Linotype"/>
        </w:rPr>
        <w:t xml:space="preserve"> o </w:t>
      </w:r>
      <w:r w:rsidRPr="00902182">
        <w:rPr>
          <w:rFonts w:ascii="Palatino Linotype" w:eastAsia="Palatino Linotype" w:hAnsi="Palatino Linotype" w:cs="Palatino Linotype"/>
          <w:b/>
        </w:rPr>
        <w:t xml:space="preserve">códigos QR, </w:t>
      </w:r>
      <w:r w:rsidRPr="00902182">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w:t>
      </w:r>
      <w:r w:rsidRPr="00902182">
        <w:rPr>
          <w:rFonts w:ascii="Palatino Linotype" w:eastAsia="Palatino Linotype" w:hAnsi="Palatino Linotype" w:cs="Palatino Linotype"/>
          <w:b/>
        </w:rPr>
        <w:t xml:space="preserve">EL SUJETO OBLIGADO </w:t>
      </w:r>
      <w:r w:rsidRPr="00902182">
        <w:rPr>
          <w:rFonts w:ascii="Palatino Linotype" w:eastAsia="Palatino Linotype" w:hAnsi="Palatino Linotype" w:cs="Palatino Linotype"/>
        </w:rPr>
        <w:t>analizar dicha circunstancia con la finalidad de determinar si se actualiza algún supuesto de confidencialidad.</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En tal sentido, si derivado del análisis efectuado por </w:t>
      </w:r>
      <w:r w:rsidRPr="00902182">
        <w:rPr>
          <w:rFonts w:ascii="Palatino Linotype" w:eastAsia="Palatino Linotype" w:hAnsi="Palatino Linotype" w:cs="Palatino Linotype"/>
          <w:b/>
        </w:rPr>
        <w:t xml:space="preserve">EL SUJETO OBLIGADO </w:t>
      </w:r>
      <w:r w:rsidRPr="00902182">
        <w:rPr>
          <w:rFonts w:ascii="Palatino Linotype" w:eastAsia="Palatino Linotype" w:hAnsi="Palatino Linotype" w:cs="Palatino Linotype"/>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en este sentido, en su caso, deberá clasificarla como confidencial, de manera fundada y motivada en términos del artículo 143, fracción I de la Ley de Transparencia y Acceso a la Información Pública del Estado de México y Municipios.</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widowControl w:val="0"/>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902182">
        <w:rPr>
          <w:rFonts w:ascii="Palatino Linotype" w:eastAsia="Palatino Linotype" w:hAnsi="Palatino Linotype" w:cs="Palatino Linotype"/>
          <w:b/>
          <w:u w:val="single"/>
        </w:rPr>
        <w:t>razones, motivos o circunstancias especiales</w:t>
      </w:r>
      <w:r w:rsidRPr="00902182">
        <w:rPr>
          <w:rFonts w:ascii="Palatino Linotype" w:eastAsia="Palatino Linotype" w:hAnsi="Palatino Linotype" w:cs="Palatino Linotype"/>
        </w:rPr>
        <w:t xml:space="preserve"> que lo llevaron a concluir que el caso concreto, se ajustó a los supuestos previstos en la </w:t>
      </w:r>
      <w:r w:rsidRPr="00902182">
        <w:rPr>
          <w:rFonts w:ascii="Palatino Linotype" w:eastAsia="Palatino Linotype" w:hAnsi="Palatino Linotype" w:cs="Palatino Linotype"/>
        </w:rPr>
        <w:lastRenderedPageBreak/>
        <w:t>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rsidR="0032171E" w:rsidRPr="00902182" w:rsidRDefault="0032171E">
      <w:pPr>
        <w:widowControl w:val="0"/>
        <w:spacing w:line="360" w:lineRule="auto"/>
        <w:jc w:val="both"/>
        <w:rPr>
          <w:rFonts w:ascii="Palatino Linotype" w:eastAsia="Palatino Linotype" w:hAnsi="Palatino Linotype" w:cs="Palatino Linotype"/>
        </w:rPr>
      </w:pPr>
    </w:p>
    <w:p w:rsidR="0032171E" w:rsidRPr="00902182" w:rsidRDefault="00BA3F20">
      <w:pPr>
        <w:spacing w:line="360" w:lineRule="auto"/>
        <w:ind w:right="50"/>
        <w:jc w:val="both"/>
        <w:rPr>
          <w:rFonts w:ascii="Palatino Linotype" w:eastAsia="Palatino Linotype" w:hAnsi="Palatino Linotype" w:cs="Palatino Linotype"/>
        </w:rPr>
      </w:pPr>
      <w:r w:rsidRPr="00902182">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Artículo 49. Los Comités de Transparencia tendrán las siguientes atribuciones:</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 xml:space="preserve">VIII. Aprobar, modificar o revocar la clasificación de la información; </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 xml:space="preserve">(…) </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Artículo 53. Las Unidades de Transparencia tendrán las siguientes funciones:</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X. Presentar ante el Comité, el proyecto de clasificación de información;</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lastRenderedPageBreak/>
        <w:t>Artículo 59. Los servidores públicos habilitados tendrán las funciones siguientes:</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 xml:space="preserve">V. Integrar y presentar al responsable de la Unidad de Transparencia la propuesta de clasificación de información, la cual tendrá los fundamentos y argumentos en que se basa dicha propuesta; </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Denotándose de dichos elementos normativos que el determinar la clasificación de la información es un trabajo en conjunto tanto de las Personas Servidoras Públicas Habilitadas,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Artículo 149.</w:t>
      </w:r>
      <w:r w:rsidRPr="00902182">
        <w:rPr>
          <w:rFonts w:ascii="Palatino Linotype" w:eastAsia="Palatino Linotype" w:hAnsi="Palatino Linotype" w:cs="Palatino Linotype"/>
          <w:i/>
          <w:color w:val="000000"/>
          <w:sz w:val="22"/>
          <w:szCs w:val="22"/>
        </w:rPr>
        <w:t xml:space="preserve"> El </w:t>
      </w:r>
      <w:r w:rsidRPr="00902182">
        <w:rPr>
          <w:rFonts w:ascii="Palatino Linotype" w:eastAsia="Palatino Linotype" w:hAnsi="Palatino Linotype" w:cs="Palatino Linotype"/>
          <w:b/>
          <w:i/>
          <w:color w:val="000000"/>
          <w:sz w:val="22"/>
          <w:szCs w:val="22"/>
        </w:rPr>
        <w:t>acuerdo que clasifique la información como confidencial</w:t>
      </w:r>
      <w:r w:rsidRPr="00902182">
        <w:rPr>
          <w:rFonts w:ascii="Palatino Linotype" w:eastAsia="Palatino Linotype" w:hAnsi="Palatino Linotype" w:cs="Palatino Linotype"/>
          <w:i/>
          <w:color w:val="000000"/>
          <w:sz w:val="22"/>
          <w:szCs w:val="22"/>
        </w:rPr>
        <w:t xml:space="preserve"> deberá contener un razonamiento lógico en el que demuestre que la información se encuentra en alguna o algunas de las hipótesis previstas en la presente Ley.</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spacing w:line="360" w:lineRule="auto"/>
        <w:ind w:right="51"/>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Es decir, </w:t>
      </w:r>
      <w:r w:rsidRPr="00902182">
        <w:rPr>
          <w:rFonts w:ascii="Palatino Linotype" w:eastAsia="Palatino Linotype" w:hAnsi="Palatino Linotype" w:cs="Palatino Linotype"/>
          <w:b/>
        </w:rPr>
        <w:t xml:space="preserve">EL SUJETO OBLIGADO </w:t>
      </w:r>
      <w:r w:rsidRPr="00902182">
        <w:rPr>
          <w:rFonts w:ascii="Palatino Linotype" w:eastAsia="Palatino Linotype" w:hAnsi="Palatino Linotype" w:cs="Palatino Linotype"/>
        </w:rPr>
        <w:t xml:space="preserve">a través de su Comité de Transparencia, deberá elaborar acuerdo que contenga un razonamiento lógico con el que se demuestre que la información que se testa de las versiones públicas que se sirva elaborar, encuadra </w:t>
      </w:r>
      <w:r w:rsidRPr="00902182">
        <w:rPr>
          <w:rFonts w:ascii="Palatino Linotype" w:eastAsia="Palatino Linotype" w:hAnsi="Palatino Linotype" w:cs="Palatino Linotype"/>
        </w:rPr>
        <w:lastRenderedPageBreak/>
        <w:t>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32171E" w:rsidRPr="00902182" w:rsidRDefault="0032171E">
      <w:pPr>
        <w:spacing w:line="360" w:lineRule="auto"/>
        <w:ind w:right="51"/>
        <w:jc w:val="both"/>
        <w:rPr>
          <w:rFonts w:ascii="Palatino Linotype" w:eastAsia="Palatino Linotype" w:hAnsi="Palatino Linotype" w:cs="Palatino Linotype"/>
        </w:rPr>
      </w:pPr>
    </w:p>
    <w:p w:rsidR="0032171E" w:rsidRPr="00902182" w:rsidRDefault="00BA3F20">
      <w:pPr>
        <w:spacing w:line="360" w:lineRule="auto"/>
        <w:ind w:right="49"/>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902182">
        <w:rPr>
          <w:rFonts w:ascii="Palatino Linotype" w:eastAsia="Palatino Linotype" w:hAnsi="Palatino Linotype" w:cs="Palatino Linotype"/>
          <w:b/>
        </w:rPr>
        <w:t>SUJETO OBLIGADO</w:t>
      </w:r>
      <w:r w:rsidRPr="00902182">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vigentes que literalmente expresan:</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902182">
        <w:rPr>
          <w:rFonts w:ascii="Palatino Linotype" w:eastAsia="Palatino Linotype" w:hAnsi="Palatino Linotype" w:cs="Palatino Linotype"/>
          <w:b/>
          <w:i/>
          <w:color w:val="000000"/>
          <w:sz w:val="22"/>
          <w:szCs w:val="22"/>
        </w:rPr>
        <w:t>Ley de Transparencia y Acceso a la Información Pública del Estado de México y Municipios</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902182">
        <w:rPr>
          <w:rFonts w:ascii="Palatino Linotype" w:eastAsia="Palatino Linotype" w:hAnsi="Palatino Linotype" w:cs="Palatino Linotype"/>
          <w:b/>
          <w:i/>
          <w:color w:val="000000"/>
          <w:sz w:val="22"/>
          <w:szCs w:val="22"/>
        </w:rPr>
        <w:t>Artículo 132.</w:t>
      </w:r>
      <w:r w:rsidRPr="00902182">
        <w:rPr>
          <w:rFonts w:ascii="Palatino Linotype" w:eastAsia="Palatino Linotype" w:hAnsi="Palatino Linotype" w:cs="Palatino Linotype"/>
          <w:i/>
          <w:color w:val="000000"/>
          <w:sz w:val="22"/>
          <w:szCs w:val="22"/>
        </w:rPr>
        <w:t xml:space="preserve"> </w:t>
      </w:r>
      <w:r w:rsidRPr="00902182">
        <w:rPr>
          <w:rFonts w:ascii="Palatino Linotype" w:eastAsia="Palatino Linotype" w:hAnsi="Palatino Linotype" w:cs="Palatino Linotype"/>
          <w:b/>
          <w:i/>
          <w:color w:val="000000"/>
          <w:sz w:val="22"/>
          <w:szCs w:val="22"/>
        </w:rPr>
        <w:t>La clasificación de la información se llevará a cabo en el momento en que:</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II.</w:t>
      </w:r>
      <w:r w:rsidRPr="00902182">
        <w:rPr>
          <w:rFonts w:ascii="Palatino Linotype" w:eastAsia="Palatino Linotype" w:hAnsi="Palatino Linotype" w:cs="Palatino Linotype"/>
          <w:i/>
          <w:color w:val="000000"/>
          <w:sz w:val="22"/>
          <w:szCs w:val="22"/>
        </w:rPr>
        <w:t xml:space="preserve"> Se determine mediante resolución de autoridad competente; o</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III</w:t>
      </w:r>
      <w:r w:rsidRPr="00902182">
        <w:rPr>
          <w:rFonts w:ascii="Palatino Linotype" w:eastAsia="Palatino Linotype" w:hAnsi="Palatino Linotype" w:cs="Palatino Linotype"/>
          <w:i/>
          <w:color w:val="000000"/>
          <w:sz w:val="22"/>
          <w:szCs w:val="22"/>
        </w:rPr>
        <w:t xml:space="preserve">. </w:t>
      </w:r>
      <w:r w:rsidRPr="00902182">
        <w:rPr>
          <w:rFonts w:ascii="Palatino Linotype" w:eastAsia="Palatino Linotype" w:hAnsi="Palatino Linotype" w:cs="Palatino Linotype"/>
          <w:b/>
          <w:i/>
          <w:color w:val="000000"/>
          <w:sz w:val="22"/>
          <w:szCs w:val="22"/>
        </w:rPr>
        <w:t>Se generen versiones públicas para dar cumplimiento a las obligaciones de transparencia previstas en esta Ley</w:t>
      </w:r>
      <w:r w:rsidRPr="00902182">
        <w:rPr>
          <w:rFonts w:ascii="Palatino Linotype" w:eastAsia="Palatino Linotype" w:hAnsi="Palatino Linotype" w:cs="Palatino Linotype"/>
          <w:i/>
          <w:color w:val="000000"/>
          <w:sz w:val="22"/>
          <w:szCs w:val="22"/>
        </w:rPr>
        <w:t>.”</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902182">
        <w:rPr>
          <w:rFonts w:ascii="Palatino Linotype" w:eastAsia="Palatino Linotype" w:hAnsi="Palatino Linotype" w:cs="Palatino Linotype"/>
          <w:b/>
          <w:i/>
          <w:color w:val="000000"/>
          <w:sz w:val="22"/>
          <w:szCs w:val="22"/>
        </w:rPr>
        <w:lastRenderedPageBreak/>
        <w:t>Lineamientos Generales en materia de Clasificación y Desclasificación de la Información, así como para la elaboración de Versiones Públicas</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 xml:space="preserve">Segundo. </w:t>
      </w:r>
      <w:r w:rsidRPr="00902182">
        <w:rPr>
          <w:rFonts w:ascii="Palatino Linotype" w:eastAsia="Palatino Linotype" w:hAnsi="Palatino Linotype" w:cs="Palatino Linotype"/>
          <w:i/>
          <w:color w:val="000000"/>
          <w:sz w:val="22"/>
          <w:szCs w:val="22"/>
        </w:rPr>
        <w:t>Para efectos de los presentes Lineamientos Generales, se entenderá por:</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902182">
        <w:rPr>
          <w:rFonts w:ascii="Palatino Linotype" w:eastAsia="Palatino Linotype" w:hAnsi="Palatino Linotype" w:cs="Palatino Linotype"/>
          <w:b/>
          <w:i/>
          <w:color w:val="000000"/>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Cuarto. Para clasificar la información como reservada o confidencial, de manera total o parcial, el titular del área del sujeto obligado deberá atender lo dispuesto por el Título Sexto de la Ley General,</w:t>
      </w:r>
      <w:r w:rsidRPr="00902182">
        <w:rPr>
          <w:rFonts w:ascii="Palatino Linotype" w:eastAsia="Palatino Linotype" w:hAnsi="Palatino Linotype" w:cs="Palatino Linotype"/>
          <w:i/>
          <w:color w:val="000000"/>
          <w:sz w:val="22"/>
          <w:szCs w:val="22"/>
        </w:rPr>
        <w:t xml:space="preserve">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sidRPr="00902182">
        <w:rPr>
          <w:rFonts w:ascii="Palatino Linotype" w:eastAsia="Palatino Linotype" w:hAnsi="Palatino Linotype" w:cs="Palatino Linotype"/>
          <w:b/>
          <w:i/>
          <w:color w:val="000000"/>
          <w:sz w:val="22"/>
          <w:szCs w:val="22"/>
        </w:rPr>
        <w:t xml:space="preserve">Quinto. </w:t>
      </w:r>
      <w:r w:rsidRPr="00902182">
        <w:rPr>
          <w:rFonts w:ascii="Palatino Linotype" w:eastAsia="Palatino Linotype" w:hAnsi="Palatino Linotype" w:cs="Palatino Linotype"/>
          <w:i/>
          <w:color w:val="000000"/>
          <w:sz w:val="22"/>
          <w:szCs w:val="22"/>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r w:rsidRPr="00902182">
        <w:rPr>
          <w:rFonts w:ascii="Palatino Linotype" w:eastAsia="Palatino Linotype" w:hAnsi="Palatino Linotype" w:cs="Palatino Linotype"/>
          <w:b/>
          <w:i/>
          <w:color w:val="000000"/>
          <w:sz w:val="22"/>
          <w:szCs w:val="22"/>
        </w:rPr>
        <w:t xml:space="preserve"> </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 xml:space="preserve">Séptimo. </w:t>
      </w:r>
      <w:r w:rsidRPr="00902182">
        <w:rPr>
          <w:rFonts w:ascii="Palatino Linotype" w:eastAsia="Palatino Linotype" w:hAnsi="Palatino Linotype" w:cs="Palatino Linotype"/>
          <w:i/>
          <w:color w:val="000000"/>
          <w:sz w:val="22"/>
          <w:szCs w:val="22"/>
        </w:rPr>
        <w:t xml:space="preserve">La clasificación de la información se llevará a cabo en el momento en que: </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 xml:space="preserve">I. Se reciba una solicitud de acceso a la información; </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 xml:space="preserve">II. Se determine mediante resolución del Comité de Transparencia, el órgano garante competente, o en cumplimiento a una sentencia del Poder Judicial; o </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lastRenderedPageBreak/>
        <w:t>III. Se generen versiones públicas para dar cumplimiento a las obligaciones de transparencia previstas en la Ley General, la Ley Federal y las correspondientes de las entidades federativas.</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 xml:space="preserve"> Los titulares de las áreas deberán revisar la información requerida al momento de la recepción de una solicitud de acceso, para verificar, conforme a su naturaleza, si encuadra en una causal de reserva o de confidencialidad.</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 xml:space="preserve">Octavo. </w:t>
      </w:r>
      <w:r w:rsidRPr="00902182">
        <w:rPr>
          <w:rFonts w:ascii="Palatino Linotype" w:eastAsia="Palatino Linotype" w:hAnsi="Palatino Linotype" w:cs="Palatino Linotype"/>
          <w:i/>
          <w:color w:val="000000"/>
          <w:sz w:val="22"/>
          <w:szCs w:val="22"/>
        </w:rPr>
        <w:t xml:space="preserve">Para fundar la clasificación de la información se debe señalar el artículo, fracción, inciso, párrafo o numeral de la ley o tratado internacional suscrito por el Estado mexicano que expresamente le otorga el carácter de reservada o confidencial. </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 xml:space="preserve">Para motivar la clasificación se deberán señalar las razones o circunstancias especiales que lo llevaron a concluir que el caso particular se ajusta al supuesto previsto por la norma legal invocada como fundamento. </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 xml:space="preserve">Noveno. </w:t>
      </w:r>
      <w:r w:rsidRPr="00902182">
        <w:rPr>
          <w:rFonts w:ascii="Palatino Linotype" w:eastAsia="Palatino Linotype" w:hAnsi="Palatino Linotype" w:cs="Palatino Linotype"/>
          <w:i/>
          <w:color w:val="000000"/>
          <w:sz w:val="22"/>
          <w:szCs w:val="22"/>
        </w:rPr>
        <w:t xml:space="preserve">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2E2E2E"/>
          <w:sz w:val="22"/>
          <w:szCs w:val="22"/>
        </w:rPr>
      </w:pPr>
      <w:r w:rsidRPr="00902182">
        <w:rPr>
          <w:rFonts w:ascii="Palatino Linotype" w:eastAsia="Palatino Linotype" w:hAnsi="Palatino Linotype" w:cs="Palatino Linotype"/>
          <w:b/>
          <w:i/>
          <w:color w:val="000000"/>
          <w:sz w:val="22"/>
          <w:szCs w:val="22"/>
        </w:rPr>
        <w:t xml:space="preserve">Décimo. </w:t>
      </w:r>
      <w:r w:rsidRPr="00902182">
        <w:rPr>
          <w:rFonts w:ascii="Palatino Linotype" w:eastAsia="Palatino Linotype" w:hAnsi="Palatino Linotype" w:cs="Palatino Linotype"/>
          <w:i/>
          <w:color w:val="2E2E2E"/>
          <w:sz w:val="22"/>
          <w:szCs w:val="22"/>
        </w:rPr>
        <w:t>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2E2E2E"/>
          <w:sz w:val="22"/>
          <w:szCs w:val="22"/>
        </w:rPr>
      </w:pPr>
      <w:r w:rsidRPr="00902182">
        <w:rPr>
          <w:rFonts w:ascii="Palatino Linotype" w:eastAsia="Palatino Linotype" w:hAnsi="Palatino Linotype" w:cs="Palatino Linotype"/>
          <w:i/>
          <w:color w:val="2E2E2E"/>
          <w:sz w:val="22"/>
          <w:szCs w:val="22"/>
        </w:rPr>
        <w:t>En ausencia de los titulares de las áreas, la información será clasificada o desclasificada por la persona que lo supla, en términos de la normativa que rija la actuación del sujeto obligado.</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b/>
          <w:i/>
          <w:color w:val="000000"/>
          <w:sz w:val="22"/>
          <w:szCs w:val="22"/>
        </w:rPr>
        <w:t>Décimo primero.</w:t>
      </w:r>
      <w:r w:rsidRPr="00902182">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902182">
        <w:rPr>
          <w:rFonts w:ascii="Palatino Linotype" w:eastAsia="Palatino Linotype" w:hAnsi="Palatino Linotype" w:cs="Palatino Linotype"/>
        </w:rPr>
        <w:t>supraindicados</w:t>
      </w:r>
      <w:proofErr w:type="spellEnd"/>
      <w:r w:rsidRPr="00902182">
        <w:rPr>
          <w:rFonts w:ascii="Palatino Linotype" w:eastAsia="Palatino Linotype" w:hAnsi="Palatino Linotype" w:cs="Palatino Linotype"/>
        </w:rPr>
        <w:t xml:space="preserve">, que establecen los formatos para la clasificación parcial y total de los documentos, conforme a lo siguiente: </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 xml:space="preserve">Quincuagésimo tercero. El formato para señalar la clasificación de un documento o expediente que contenga información reservada, es el que sigue: </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tbl>
      <w:tblPr>
        <w:tblStyle w:val="a6"/>
        <w:tblW w:w="6946" w:type="dxa"/>
        <w:jc w:val="center"/>
        <w:tblInd w:w="0" w:type="dxa"/>
        <w:tblLayout w:type="fixed"/>
        <w:tblLook w:val="0400" w:firstRow="0" w:lastRow="0" w:firstColumn="0" w:lastColumn="0" w:noHBand="0" w:noVBand="1"/>
      </w:tblPr>
      <w:tblGrid>
        <w:gridCol w:w="1173"/>
        <w:gridCol w:w="1710"/>
        <w:gridCol w:w="4063"/>
      </w:tblGrid>
      <w:tr w:rsidR="0032171E" w:rsidRPr="00902182">
        <w:trPr>
          <w:jc w:val="center"/>
        </w:trPr>
        <w:tc>
          <w:tcPr>
            <w:tcW w:w="1173" w:type="dxa"/>
            <w:tcBorders>
              <w:bottom w:val="single" w:sz="4" w:space="0" w:color="000000"/>
              <w:right w:val="single" w:sz="4" w:space="0" w:color="000000"/>
            </w:tcBorders>
            <w:tcMar>
              <w:top w:w="0" w:type="dxa"/>
              <w:left w:w="115" w:type="dxa"/>
              <w:bottom w:w="0" w:type="dxa"/>
              <w:right w:w="115" w:type="dxa"/>
            </w:tcMar>
          </w:tcPr>
          <w:p w:rsidR="0032171E" w:rsidRPr="00902182" w:rsidRDefault="0032171E"/>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center"/>
              <w:rPr>
                <w:color w:val="000000"/>
              </w:rPr>
            </w:pPr>
            <w:r w:rsidRPr="00902182">
              <w:rPr>
                <w:rFonts w:ascii="Palatino Linotype" w:eastAsia="Palatino Linotype" w:hAnsi="Palatino Linotype" w:cs="Palatino Linotype"/>
                <w:b/>
                <w:i/>
                <w:color w:val="000000"/>
              </w:rPr>
              <w:t>Concepto</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center"/>
              <w:rPr>
                <w:color w:val="000000"/>
              </w:rPr>
            </w:pPr>
            <w:r w:rsidRPr="00902182">
              <w:rPr>
                <w:rFonts w:ascii="Palatino Linotype" w:eastAsia="Palatino Linotype" w:hAnsi="Palatino Linotype" w:cs="Palatino Linotype"/>
                <w:b/>
                <w:i/>
                <w:color w:val="000000"/>
              </w:rPr>
              <w:t>Dónde:</w:t>
            </w:r>
          </w:p>
        </w:tc>
      </w:tr>
      <w:tr w:rsidR="0032171E" w:rsidRPr="00902182">
        <w:trPr>
          <w:jc w:val="center"/>
        </w:trPr>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2171E" w:rsidRPr="00902182" w:rsidRDefault="00BA3F20">
            <w:pPr>
              <w:pBdr>
                <w:top w:val="nil"/>
                <w:left w:val="nil"/>
                <w:bottom w:val="nil"/>
                <w:right w:val="nil"/>
                <w:between w:val="nil"/>
              </w:pBdr>
              <w:jc w:val="center"/>
              <w:rPr>
                <w:color w:val="000000"/>
              </w:rPr>
            </w:pPr>
            <w:r w:rsidRPr="00902182">
              <w:rPr>
                <w:rFonts w:ascii="Palatino Linotype" w:eastAsia="Palatino Linotype" w:hAnsi="Palatino Linotype" w:cs="Palatino Linotype"/>
                <w:b/>
                <w:i/>
                <w:color w:val="000000"/>
              </w:rPr>
              <w:t>Sello oficial o logotipo del sujeto obligado</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center"/>
              <w:rPr>
                <w:color w:val="000000"/>
              </w:rPr>
            </w:pPr>
            <w:r w:rsidRPr="00902182">
              <w:rPr>
                <w:rFonts w:ascii="Palatino Linotype" w:eastAsia="Palatino Linotype" w:hAnsi="Palatino Linotype" w:cs="Palatino Linotype"/>
                <w:i/>
                <w:color w:val="000000"/>
              </w:rPr>
              <w:t>Fecha de clasificación</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both"/>
              <w:rPr>
                <w:color w:val="000000"/>
              </w:rPr>
            </w:pPr>
            <w:r w:rsidRPr="00902182">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32171E" w:rsidRPr="00902182">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2171E" w:rsidRPr="00902182" w:rsidRDefault="0032171E">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center"/>
              <w:rPr>
                <w:color w:val="000000"/>
              </w:rPr>
            </w:pPr>
            <w:r w:rsidRPr="00902182">
              <w:rPr>
                <w:rFonts w:ascii="Palatino Linotype" w:eastAsia="Palatino Linotype" w:hAnsi="Palatino Linotype" w:cs="Palatino Linotype"/>
                <w:i/>
                <w:color w:val="000000"/>
              </w:rPr>
              <w:t>Área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both"/>
              <w:rPr>
                <w:color w:val="000000"/>
              </w:rPr>
            </w:pPr>
            <w:r w:rsidRPr="00902182">
              <w:rPr>
                <w:rFonts w:ascii="Palatino Linotype" w:eastAsia="Palatino Linotype" w:hAnsi="Palatino Linotype" w:cs="Palatino Linotype"/>
                <w:i/>
                <w:color w:val="000000"/>
              </w:rPr>
              <w:t>Se señalará el nombre del área del cual es titular quien clasifica.</w:t>
            </w:r>
          </w:p>
        </w:tc>
      </w:tr>
      <w:tr w:rsidR="0032171E" w:rsidRPr="00902182">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2171E" w:rsidRPr="00902182" w:rsidRDefault="0032171E">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center"/>
              <w:rPr>
                <w:color w:val="000000"/>
              </w:rPr>
            </w:pPr>
            <w:r w:rsidRPr="00902182">
              <w:rPr>
                <w:rFonts w:ascii="Palatino Linotype" w:eastAsia="Palatino Linotype" w:hAnsi="Palatino Linotype" w:cs="Palatino Linotype"/>
                <w:i/>
                <w:color w:val="000000"/>
              </w:rPr>
              <w:t>Información reservada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both"/>
              <w:rPr>
                <w:color w:val="000000"/>
              </w:rPr>
            </w:pPr>
            <w:r w:rsidRPr="00902182">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32171E" w:rsidRPr="00902182">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2171E" w:rsidRPr="00902182" w:rsidRDefault="0032171E">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center"/>
              <w:rPr>
                <w:color w:val="000000"/>
              </w:rPr>
            </w:pPr>
            <w:r w:rsidRPr="00902182">
              <w:rPr>
                <w:rFonts w:ascii="Palatino Linotype" w:eastAsia="Palatino Linotype" w:hAnsi="Palatino Linotype" w:cs="Palatino Linotype"/>
                <w:i/>
                <w:color w:val="000000"/>
              </w:rPr>
              <w:t>Periodo de reserva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both"/>
              <w:rPr>
                <w:color w:val="000000"/>
              </w:rPr>
            </w:pPr>
            <w:r w:rsidRPr="00902182">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32171E" w:rsidRPr="00902182">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2171E" w:rsidRPr="00902182" w:rsidRDefault="0032171E">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center"/>
              <w:rPr>
                <w:color w:val="000000"/>
              </w:rPr>
            </w:pPr>
            <w:r w:rsidRPr="00902182">
              <w:rPr>
                <w:rFonts w:ascii="Palatino Linotype" w:eastAsia="Palatino Linotype" w:hAnsi="Palatino Linotype" w:cs="Palatino Linotype"/>
                <w:i/>
                <w:color w:val="000000"/>
              </w:rPr>
              <w:t>Fundamento legal</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both"/>
              <w:rPr>
                <w:color w:val="000000"/>
              </w:rPr>
            </w:pPr>
            <w:r w:rsidRPr="00902182">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32171E" w:rsidRPr="00902182">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2171E" w:rsidRPr="00902182" w:rsidRDefault="0032171E">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center"/>
              <w:rPr>
                <w:color w:val="000000"/>
              </w:rPr>
            </w:pPr>
            <w:r w:rsidRPr="00902182">
              <w:rPr>
                <w:rFonts w:ascii="Palatino Linotype" w:eastAsia="Palatino Linotype" w:hAnsi="Palatino Linotype" w:cs="Palatino Linotype"/>
                <w:i/>
                <w:color w:val="000000"/>
              </w:rPr>
              <w:t>Ampliación del periodo de reserva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both"/>
              <w:rPr>
                <w:color w:val="000000"/>
              </w:rPr>
            </w:pPr>
            <w:r w:rsidRPr="00902182">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32171E" w:rsidRPr="00902182">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2171E" w:rsidRPr="00902182" w:rsidRDefault="0032171E">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center"/>
              <w:rPr>
                <w:color w:val="000000"/>
              </w:rPr>
            </w:pPr>
            <w:r w:rsidRPr="00902182">
              <w:rPr>
                <w:rFonts w:ascii="Palatino Linotype" w:eastAsia="Palatino Linotype" w:hAnsi="Palatino Linotype" w:cs="Palatino Linotype"/>
                <w:i/>
                <w:color w:val="000000"/>
              </w:rPr>
              <w:t>Rúbrica del titular del área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both"/>
              <w:rPr>
                <w:color w:val="000000"/>
              </w:rPr>
            </w:pPr>
            <w:r w:rsidRPr="00902182">
              <w:rPr>
                <w:rFonts w:ascii="Palatino Linotype" w:eastAsia="Palatino Linotype" w:hAnsi="Palatino Linotype" w:cs="Palatino Linotype"/>
                <w:i/>
                <w:color w:val="000000"/>
              </w:rPr>
              <w:t>Rúbrica autógrafa o firma digital de quien clasifica.</w:t>
            </w:r>
          </w:p>
        </w:tc>
      </w:tr>
      <w:tr w:rsidR="0032171E" w:rsidRPr="00902182">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2171E" w:rsidRPr="00902182" w:rsidRDefault="0032171E">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center"/>
              <w:rPr>
                <w:color w:val="000000"/>
              </w:rPr>
            </w:pPr>
            <w:r w:rsidRPr="00902182">
              <w:rPr>
                <w:rFonts w:ascii="Palatino Linotype" w:eastAsia="Palatino Linotype" w:hAnsi="Palatino Linotype" w:cs="Palatino Linotype"/>
                <w:i/>
                <w:color w:val="000000"/>
              </w:rPr>
              <w:t>Fecha de desclasificación</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both"/>
              <w:rPr>
                <w:color w:val="000000"/>
              </w:rPr>
            </w:pPr>
            <w:r w:rsidRPr="00902182">
              <w:rPr>
                <w:rFonts w:ascii="Palatino Linotype" w:eastAsia="Palatino Linotype" w:hAnsi="Palatino Linotype" w:cs="Palatino Linotype"/>
                <w:i/>
                <w:color w:val="000000"/>
              </w:rPr>
              <w:t>Se anotará la fecha en que se desclasifica el documento.</w:t>
            </w:r>
          </w:p>
        </w:tc>
      </w:tr>
      <w:tr w:rsidR="0032171E" w:rsidRPr="00902182">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2171E" w:rsidRPr="00902182" w:rsidRDefault="0032171E">
            <w:pPr>
              <w:widowControl w:val="0"/>
              <w:pBdr>
                <w:top w:val="nil"/>
                <w:left w:val="nil"/>
                <w:bottom w:val="nil"/>
                <w:right w:val="nil"/>
                <w:between w:val="nil"/>
              </w:pBdr>
              <w:spacing w:line="276"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2171E" w:rsidRPr="00902182" w:rsidRDefault="00BA3F20">
            <w:pPr>
              <w:pBdr>
                <w:top w:val="nil"/>
                <w:left w:val="nil"/>
                <w:bottom w:val="nil"/>
                <w:right w:val="nil"/>
                <w:between w:val="nil"/>
              </w:pBdr>
              <w:jc w:val="center"/>
              <w:rPr>
                <w:color w:val="000000"/>
              </w:rPr>
            </w:pPr>
            <w:r w:rsidRPr="00902182">
              <w:rPr>
                <w:rFonts w:ascii="Palatino Linotype" w:eastAsia="Palatino Linotype" w:hAnsi="Palatino Linotype" w:cs="Palatino Linotype"/>
                <w:i/>
                <w:color w:val="000000"/>
              </w:rPr>
              <w:t>Rúbrica y cargo del servidor público</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2171E" w:rsidRPr="00902182" w:rsidRDefault="00BA3F20">
            <w:pPr>
              <w:pBdr>
                <w:top w:val="nil"/>
                <w:left w:val="nil"/>
                <w:bottom w:val="nil"/>
                <w:right w:val="nil"/>
                <w:between w:val="nil"/>
              </w:pBdr>
              <w:jc w:val="both"/>
              <w:rPr>
                <w:color w:val="000000"/>
              </w:rPr>
            </w:pPr>
            <w:r w:rsidRPr="00902182">
              <w:rPr>
                <w:rFonts w:ascii="Palatino Linotype" w:eastAsia="Palatino Linotype" w:hAnsi="Palatino Linotype" w:cs="Palatino Linotype"/>
                <w:i/>
                <w:color w:val="000000"/>
              </w:rPr>
              <w:t>Rúbrica autógrafa o firma digital de quien desclasifica.</w:t>
            </w:r>
          </w:p>
        </w:tc>
      </w:tr>
      <w:tr w:rsidR="0032171E" w:rsidRPr="00902182">
        <w:trPr>
          <w:gridAfter w:val="1"/>
          <w:wAfter w:w="4063" w:type="dxa"/>
          <w:trHeight w:val="317"/>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2171E" w:rsidRPr="00902182" w:rsidRDefault="0032171E">
            <w:pPr>
              <w:widowControl w:val="0"/>
              <w:pBdr>
                <w:top w:val="nil"/>
                <w:left w:val="nil"/>
                <w:bottom w:val="nil"/>
                <w:right w:val="nil"/>
                <w:between w:val="nil"/>
              </w:pBdr>
              <w:spacing w:line="276" w:lineRule="auto"/>
              <w:rPr>
                <w:color w:val="000000"/>
              </w:rPr>
            </w:pPr>
          </w:p>
        </w:tc>
        <w:tc>
          <w:tcPr>
            <w:tcW w:w="1710" w:type="dxa"/>
            <w:vAlign w:val="center"/>
          </w:tcPr>
          <w:p w:rsidR="0032171E" w:rsidRPr="00902182" w:rsidRDefault="0032171E">
            <w:pPr>
              <w:rPr>
                <w:sz w:val="20"/>
                <w:szCs w:val="20"/>
              </w:rPr>
            </w:pPr>
          </w:p>
        </w:tc>
      </w:tr>
    </w:tbl>
    <w:p w:rsidR="0032171E" w:rsidRPr="00902182" w:rsidRDefault="0032171E">
      <w:pPr>
        <w:pBdr>
          <w:top w:val="nil"/>
          <w:left w:val="nil"/>
          <w:bottom w:val="nil"/>
          <w:right w:val="nil"/>
          <w:between w:val="nil"/>
        </w:pBdr>
        <w:ind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 xml:space="preserve">Quincuagésimo quinto. Cada área del sujeto obligado podrá designar formalmente a una o más personas como responsables del </w:t>
      </w:r>
      <w:proofErr w:type="spellStart"/>
      <w:r w:rsidRPr="00902182">
        <w:rPr>
          <w:rFonts w:ascii="Palatino Linotype" w:eastAsia="Palatino Linotype" w:hAnsi="Palatino Linotype" w:cs="Palatino Linotype"/>
          <w:i/>
          <w:color w:val="000000"/>
          <w:sz w:val="22"/>
          <w:szCs w:val="22"/>
        </w:rPr>
        <w:t>testado</w:t>
      </w:r>
      <w:proofErr w:type="spellEnd"/>
      <w:r w:rsidRPr="00902182">
        <w:rPr>
          <w:rFonts w:ascii="Palatino Linotype" w:eastAsia="Palatino Linotype" w:hAnsi="Palatino Linotype" w:cs="Palatino Linotype"/>
          <w:i/>
          <w:color w:val="000000"/>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rsidR="0032171E" w:rsidRPr="00902182" w:rsidRDefault="0032171E">
      <w:pPr>
        <w:spacing w:line="360" w:lineRule="auto"/>
        <w:jc w:val="both"/>
        <w:rPr>
          <w:rFonts w:ascii="Palatino Linotype" w:eastAsia="Palatino Linotype" w:hAnsi="Palatino Linotype" w:cs="Palatino Linotype"/>
          <w:b/>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902182">
        <w:rPr>
          <w:rFonts w:ascii="Palatino Linotype" w:eastAsia="Palatino Linotype" w:hAnsi="Palatino Linotype" w:cs="Palatino Linotype"/>
          <w:b/>
          <w:color w:val="000000"/>
        </w:rPr>
        <w:t>R E S U E L V E:</w:t>
      </w:r>
    </w:p>
    <w:p w:rsidR="0032171E" w:rsidRPr="00902182" w:rsidRDefault="0032171E">
      <w:pPr>
        <w:pBdr>
          <w:top w:val="nil"/>
          <w:left w:val="nil"/>
          <w:bottom w:val="nil"/>
          <w:right w:val="nil"/>
          <w:between w:val="nil"/>
        </w:pBdr>
        <w:spacing w:line="360" w:lineRule="auto"/>
        <w:rPr>
          <w:rFonts w:ascii="Palatino Linotype" w:eastAsia="Palatino Linotype" w:hAnsi="Palatino Linotype" w:cs="Palatino Linotype"/>
          <w:b/>
        </w:rPr>
      </w:pPr>
    </w:p>
    <w:p w:rsidR="0032171E" w:rsidRPr="00902182" w:rsidRDefault="00BA3F20">
      <w:pPr>
        <w:spacing w:line="360" w:lineRule="auto"/>
        <w:jc w:val="both"/>
        <w:rPr>
          <w:rFonts w:ascii="Palatino Linotype" w:eastAsia="Palatino Linotype" w:hAnsi="Palatino Linotype" w:cs="Palatino Linotype"/>
          <w:b/>
        </w:rPr>
      </w:pPr>
      <w:r w:rsidRPr="00902182">
        <w:rPr>
          <w:rFonts w:ascii="Palatino Linotype" w:eastAsia="Palatino Linotype" w:hAnsi="Palatino Linotype" w:cs="Palatino Linotype"/>
          <w:b/>
        </w:rPr>
        <w:t xml:space="preserve">PRIMERO. </w:t>
      </w:r>
      <w:r w:rsidRPr="00902182">
        <w:rPr>
          <w:rFonts w:ascii="Palatino Linotype" w:eastAsia="Palatino Linotype" w:hAnsi="Palatino Linotype" w:cs="Palatino Linotype"/>
        </w:rPr>
        <w:t>Resultan</w:t>
      </w:r>
      <w:r w:rsidRPr="00902182">
        <w:rPr>
          <w:rFonts w:ascii="Palatino Linotype" w:eastAsia="Palatino Linotype" w:hAnsi="Palatino Linotype" w:cs="Palatino Linotype"/>
          <w:b/>
        </w:rPr>
        <w:t xml:space="preserve"> PARCIALMENTE FUNDADOS</w:t>
      </w:r>
      <w:r w:rsidRPr="00902182">
        <w:rPr>
          <w:rFonts w:ascii="Palatino Linotype" w:eastAsia="Palatino Linotype" w:hAnsi="Palatino Linotype" w:cs="Palatino Linotype"/>
        </w:rPr>
        <w:t xml:space="preserve"> los motivos de inconformidad hechos valer por </w:t>
      </w:r>
      <w:r w:rsidRPr="00902182">
        <w:rPr>
          <w:rFonts w:ascii="Palatino Linotype" w:eastAsia="Palatino Linotype" w:hAnsi="Palatino Linotype" w:cs="Palatino Linotype"/>
          <w:b/>
        </w:rPr>
        <w:t xml:space="preserve">LA PARTE RECURRENTE </w:t>
      </w:r>
      <w:r w:rsidRPr="00902182">
        <w:rPr>
          <w:rFonts w:ascii="Palatino Linotype" w:eastAsia="Palatino Linotype" w:hAnsi="Palatino Linotype" w:cs="Palatino Linotype"/>
        </w:rPr>
        <w:t xml:space="preserve">en el recurso de revisión </w:t>
      </w:r>
      <w:r w:rsidRPr="00902182">
        <w:rPr>
          <w:rFonts w:ascii="Palatino Linotype" w:eastAsia="Palatino Linotype" w:hAnsi="Palatino Linotype" w:cs="Palatino Linotype"/>
          <w:b/>
        </w:rPr>
        <w:t xml:space="preserve">02629/INFOEM/IP/RR/2023, </w:t>
      </w:r>
      <w:r w:rsidRPr="00902182">
        <w:rPr>
          <w:rFonts w:ascii="Palatino Linotype" w:eastAsia="Palatino Linotype" w:hAnsi="Palatino Linotype" w:cs="Palatino Linotype"/>
        </w:rPr>
        <w:t xml:space="preserve">por lo que, en términos del </w:t>
      </w:r>
      <w:r w:rsidRPr="00902182">
        <w:rPr>
          <w:rFonts w:ascii="Palatino Linotype" w:eastAsia="Palatino Linotype" w:hAnsi="Palatino Linotype" w:cs="Palatino Linotype"/>
          <w:b/>
        </w:rPr>
        <w:t xml:space="preserve">CONSIDERANDO CUARTO </w:t>
      </w:r>
      <w:r w:rsidRPr="00902182">
        <w:rPr>
          <w:rFonts w:ascii="Palatino Linotype" w:eastAsia="Palatino Linotype" w:hAnsi="Palatino Linotype" w:cs="Palatino Linotype"/>
        </w:rPr>
        <w:t>de la presente resolución, se</w:t>
      </w:r>
      <w:r w:rsidRPr="00902182">
        <w:rPr>
          <w:rFonts w:ascii="Palatino Linotype" w:eastAsia="Palatino Linotype" w:hAnsi="Palatino Linotype" w:cs="Palatino Linotype"/>
          <w:b/>
        </w:rPr>
        <w:t xml:space="preserve"> MODIFICA </w:t>
      </w:r>
      <w:r w:rsidRPr="00902182">
        <w:rPr>
          <w:rFonts w:ascii="Palatino Linotype" w:eastAsia="Palatino Linotype" w:hAnsi="Palatino Linotype" w:cs="Palatino Linotype"/>
        </w:rPr>
        <w:t>la respuesta</w:t>
      </w:r>
      <w:r w:rsidRPr="00902182">
        <w:rPr>
          <w:rFonts w:ascii="Palatino Linotype" w:eastAsia="Palatino Linotype" w:hAnsi="Palatino Linotype" w:cs="Palatino Linotype"/>
          <w:b/>
        </w:rPr>
        <w:t xml:space="preserve"> </w:t>
      </w:r>
      <w:r w:rsidRPr="00902182">
        <w:rPr>
          <w:rFonts w:ascii="Palatino Linotype" w:eastAsia="Palatino Linotype" w:hAnsi="Palatino Linotype" w:cs="Palatino Linotype"/>
        </w:rPr>
        <w:t xml:space="preserve">del </w:t>
      </w:r>
      <w:r w:rsidRPr="00902182">
        <w:rPr>
          <w:rFonts w:ascii="Palatino Linotype" w:eastAsia="Palatino Linotype" w:hAnsi="Palatino Linotype" w:cs="Palatino Linotype"/>
          <w:b/>
        </w:rPr>
        <w:t>SUJETO OBLIGADO.</w:t>
      </w:r>
    </w:p>
    <w:p w:rsidR="0032171E" w:rsidRPr="00902182" w:rsidRDefault="0032171E">
      <w:pPr>
        <w:spacing w:line="360" w:lineRule="auto"/>
        <w:jc w:val="both"/>
        <w:rPr>
          <w:rFonts w:ascii="Palatino Linotype" w:eastAsia="Palatino Linotype" w:hAnsi="Palatino Linotype" w:cs="Palatino Linotype"/>
          <w:b/>
        </w:rPr>
      </w:pPr>
    </w:p>
    <w:p w:rsidR="0032171E" w:rsidRPr="00902182"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b/>
        </w:rPr>
        <w:t xml:space="preserve">SEGUNDO. </w:t>
      </w:r>
      <w:r w:rsidRPr="00902182">
        <w:rPr>
          <w:rFonts w:ascii="Palatino Linotype" w:eastAsia="Palatino Linotype" w:hAnsi="Palatino Linotype" w:cs="Palatino Linotype"/>
        </w:rPr>
        <w:t xml:space="preserve">Se </w:t>
      </w:r>
      <w:r w:rsidRPr="00902182">
        <w:rPr>
          <w:rFonts w:ascii="Palatino Linotype" w:eastAsia="Palatino Linotype" w:hAnsi="Palatino Linotype" w:cs="Palatino Linotype"/>
          <w:b/>
        </w:rPr>
        <w:t>ORDENA</w:t>
      </w:r>
      <w:r w:rsidRPr="00902182">
        <w:rPr>
          <w:rFonts w:ascii="Palatino Linotype" w:eastAsia="Palatino Linotype" w:hAnsi="Palatino Linotype" w:cs="Palatino Linotype"/>
        </w:rPr>
        <w:t xml:space="preserve"> al </w:t>
      </w:r>
      <w:r w:rsidRPr="00902182">
        <w:rPr>
          <w:rFonts w:ascii="Palatino Linotype" w:eastAsia="Palatino Linotype" w:hAnsi="Palatino Linotype" w:cs="Palatino Linotype"/>
          <w:b/>
        </w:rPr>
        <w:t>SUJETO OBLIGADO</w:t>
      </w:r>
      <w:r w:rsidRPr="00902182">
        <w:rPr>
          <w:rFonts w:ascii="Palatino Linotype" w:eastAsia="Palatino Linotype" w:hAnsi="Palatino Linotype" w:cs="Palatino Linotype"/>
        </w:rPr>
        <w:t xml:space="preserve">, en términos de los </w:t>
      </w:r>
      <w:r w:rsidRPr="00902182">
        <w:rPr>
          <w:rFonts w:ascii="Palatino Linotype" w:eastAsia="Palatino Linotype" w:hAnsi="Palatino Linotype" w:cs="Palatino Linotype"/>
          <w:b/>
        </w:rPr>
        <w:t xml:space="preserve">CONSIDERANDOS CUARTO </w:t>
      </w:r>
      <w:r w:rsidRPr="00902182">
        <w:rPr>
          <w:rFonts w:ascii="Palatino Linotype" w:eastAsia="Palatino Linotype" w:hAnsi="Palatino Linotype" w:cs="Palatino Linotype"/>
        </w:rPr>
        <w:t>y</w:t>
      </w:r>
      <w:r w:rsidRPr="00902182">
        <w:rPr>
          <w:rFonts w:ascii="Palatino Linotype" w:eastAsia="Palatino Linotype" w:hAnsi="Palatino Linotype" w:cs="Palatino Linotype"/>
          <w:b/>
        </w:rPr>
        <w:t xml:space="preserve"> QUINTO </w:t>
      </w:r>
      <w:r w:rsidRPr="00902182">
        <w:rPr>
          <w:rFonts w:ascii="Palatino Linotype" w:eastAsia="Palatino Linotype" w:hAnsi="Palatino Linotype" w:cs="Palatino Linotype"/>
        </w:rPr>
        <w:t xml:space="preserve">de esta resolución, haga entrega, vía SAIMEX, en versión pública, de: </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color w:val="000000"/>
        </w:rPr>
        <w:t xml:space="preserve">Los recibos de nómina de todo el personal adscrito al </w:t>
      </w:r>
      <w:r w:rsidRPr="00902182">
        <w:rPr>
          <w:rFonts w:ascii="Palatino Linotype" w:eastAsia="Palatino Linotype" w:hAnsi="Palatino Linotype" w:cs="Palatino Linotype"/>
          <w:b/>
          <w:color w:val="000000"/>
        </w:rPr>
        <w:t>SUJETO OBLIGADO</w:t>
      </w:r>
      <w:r w:rsidRPr="00902182">
        <w:rPr>
          <w:rFonts w:ascii="Palatino Linotype" w:eastAsia="Palatino Linotype" w:hAnsi="Palatino Linotype" w:cs="Palatino Linotype"/>
          <w:color w:val="000000"/>
        </w:rPr>
        <w:t xml:space="preserve"> generados entre el </w:t>
      </w:r>
      <w:r w:rsidRPr="00902182">
        <w:rPr>
          <w:rFonts w:ascii="Palatino Linotype" w:eastAsia="Palatino Linotype" w:hAnsi="Palatino Linotype" w:cs="Palatino Linotype"/>
        </w:rPr>
        <w:t xml:space="preserve">primero de septiembre de dos mil veintidós y el quince de abril de dos mil veintitrés. </w:t>
      </w:r>
    </w:p>
    <w:p w:rsidR="0032171E" w:rsidRPr="00902182" w:rsidRDefault="0032171E">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rsidR="0032171E" w:rsidRPr="00902182" w:rsidRDefault="00BA3F2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02182">
        <w:rPr>
          <w:rFonts w:ascii="Palatino Linotype" w:eastAsia="Palatino Linotype" w:hAnsi="Palatino Linotype" w:cs="Palatino Linotype"/>
          <w:i/>
          <w:color w:val="000000"/>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902182">
        <w:rPr>
          <w:rFonts w:ascii="Palatino Linotype" w:eastAsia="Palatino Linotype" w:hAnsi="Palatino Linotype" w:cs="Palatino Linotype"/>
          <w:b/>
          <w:i/>
          <w:color w:val="000000"/>
          <w:sz w:val="22"/>
          <w:szCs w:val="22"/>
        </w:rPr>
        <w:t>LA PARTE RECURRENTE,</w:t>
      </w:r>
      <w:r w:rsidRPr="00902182">
        <w:rPr>
          <w:rFonts w:ascii="Palatino Linotype" w:eastAsia="Palatino Linotype" w:hAnsi="Palatino Linotype" w:cs="Palatino Linotype"/>
          <w:i/>
          <w:color w:val="000000"/>
          <w:sz w:val="22"/>
          <w:szCs w:val="22"/>
        </w:rPr>
        <w:t xml:space="preserve"> mismo que igualmente hará de su conocimiento.</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Para el caso de que exista impedimento justificado para de entregar la información vía SAIMEX, </w:t>
      </w:r>
      <w:r w:rsidRPr="00902182">
        <w:rPr>
          <w:rFonts w:ascii="Palatino Linotype" w:eastAsia="Palatino Linotype" w:hAnsi="Palatino Linotype" w:cs="Palatino Linotype"/>
          <w:b/>
          <w:i/>
          <w:color w:val="404040"/>
          <w:sz w:val="22"/>
          <w:szCs w:val="22"/>
        </w:rPr>
        <w:t xml:space="preserve">EL SUJETO OBLIGADO </w:t>
      </w:r>
      <w:r w:rsidRPr="00902182">
        <w:rPr>
          <w:rFonts w:ascii="Palatino Linotype" w:eastAsia="Palatino Linotype" w:hAnsi="Palatino Linotype" w:cs="Palatino Linotype"/>
          <w:i/>
          <w:color w:val="404040"/>
          <w:sz w:val="22"/>
          <w:szCs w:val="22"/>
        </w:rPr>
        <w:t xml:space="preserve">de manera fundada y motivada deberá </w:t>
      </w:r>
      <w:r w:rsidRPr="00902182">
        <w:rPr>
          <w:rFonts w:ascii="Palatino Linotype" w:eastAsia="Palatino Linotype" w:hAnsi="Palatino Linotype" w:cs="Palatino Linotype"/>
          <w:i/>
          <w:color w:val="404040"/>
          <w:sz w:val="22"/>
          <w:szCs w:val="22"/>
        </w:rPr>
        <w:lastRenderedPageBreak/>
        <w:t xml:space="preserve">ofrecer otras modalidades, como proponer otros medios electrónicos, tales como habilitar una liga electrónica en caso de ser posible, correo electrónico en caso de que la capacidad del mismo lo permita, concederle el acceso en disco compacto, dispositivo de almacenamiento (CD, USB), consulta directa, copias simples o certificadas, con posibilidad de entrega en la Unidad de Transparencia o a domicilio por correo certificado, previo pago de los derechos correspondientes. En caso de que </w:t>
      </w:r>
      <w:r w:rsidRPr="00902182">
        <w:rPr>
          <w:rFonts w:ascii="Palatino Linotype" w:eastAsia="Palatino Linotype" w:hAnsi="Palatino Linotype" w:cs="Palatino Linotype"/>
          <w:b/>
          <w:i/>
          <w:color w:val="404040"/>
          <w:sz w:val="22"/>
          <w:szCs w:val="22"/>
        </w:rPr>
        <w:t>LA PARTE RECURRENTE</w:t>
      </w:r>
      <w:r w:rsidRPr="00902182">
        <w:rPr>
          <w:rFonts w:ascii="Palatino Linotype" w:eastAsia="Palatino Linotype" w:hAnsi="Palatino Linotype" w:cs="Palatino Linotype"/>
          <w:i/>
          <w:color w:val="404040"/>
          <w:sz w:val="22"/>
          <w:szCs w:val="22"/>
        </w:rPr>
        <w:t xml:space="preserve"> proporcione el dispositivo electrónico para la entrega de la información, la reproducción se hará sin costo.</w:t>
      </w:r>
    </w:p>
    <w:p w:rsidR="0032171E" w:rsidRPr="00902182" w:rsidRDefault="0032171E">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2171E" w:rsidRPr="00902182" w:rsidRDefault="00BA3F2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902182">
        <w:rPr>
          <w:rFonts w:ascii="Palatino Linotype" w:eastAsia="Palatino Linotype" w:hAnsi="Palatino Linotype" w:cs="Palatino Linotype"/>
          <w:i/>
          <w:color w:val="404040"/>
          <w:sz w:val="22"/>
          <w:szCs w:val="22"/>
        </w:rPr>
        <w:t xml:space="preserve">Para la entrega en una modalidad distinta, vía SAIMEX, deberá indicar el procedimiento que tendrá que seguir </w:t>
      </w:r>
      <w:r w:rsidRPr="00902182">
        <w:rPr>
          <w:rFonts w:ascii="Palatino Linotype" w:eastAsia="Palatino Linotype" w:hAnsi="Palatino Linotype" w:cs="Palatino Linotype"/>
          <w:b/>
          <w:i/>
          <w:color w:val="404040"/>
          <w:sz w:val="22"/>
          <w:szCs w:val="22"/>
        </w:rPr>
        <w:t>LA PARTE RECURRENTE</w:t>
      </w:r>
      <w:r w:rsidRPr="00902182">
        <w:rPr>
          <w:rFonts w:ascii="Palatino Linotype" w:eastAsia="Palatino Linotype" w:hAnsi="Palatino Linotype" w:cs="Palatino Linotype"/>
          <w:i/>
          <w:color w:val="404040"/>
          <w:sz w:val="22"/>
          <w:szCs w:val="22"/>
        </w:rPr>
        <w:t xml:space="preserve"> para acceder a la documentación, es decir; los pasos para realizar el pago de derechos, en caso de proceder y la manera de obtener la información, así como nombre del servidor público que le atenderá, domicilio de la Unidad de Transparencia, días y horarios de atención.</w:t>
      </w:r>
    </w:p>
    <w:p w:rsidR="0032171E" w:rsidRPr="00902182" w:rsidRDefault="0032171E">
      <w:pPr>
        <w:pBdr>
          <w:top w:val="nil"/>
          <w:left w:val="nil"/>
          <w:bottom w:val="nil"/>
          <w:right w:val="nil"/>
          <w:between w:val="nil"/>
        </w:pBdr>
        <w:ind w:right="851"/>
        <w:jc w:val="both"/>
        <w:rPr>
          <w:rFonts w:ascii="Palatino Linotype" w:eastAsia="Palatino Linotype" w:hAnsi="Palatino Linotype" w:cs="Palatino Linotype"/>
          <w:i/>
          <w:color w:val="000000"/>
          <w:sz w:val="22"/>
          <w:szCs w:val="22"/>
        </w:rPr>
      </w:pPr>
    </w:p>
    <w:p w:rsidR="0032171E" w:rsidRPr="00902182" w:rsidRDefault="00BA3F20">
      <w:pPr>
        <w:spacing w:line="360" w:lineRule="auto"/>
        <w:jc w:val="both"/>
        <w:rPr>
          <w:rFonts w:ascii="Palatino Linotype" w:eastAsia="Palatino Linotype" w:hAnsi="Palatino Linotype" w:cs="Palatino Linotype"/>
          <w:b/>
        </w:rPr>
      </w:pPr>
      <w:r w:rsidRPr="00902182">
        <w:rPr>
          <w:rFonts w:ascii="Palatino Linotype" w:eastAsia="Palatino Linotype" w:hAnsi="Palatino Linotype" w:cs="Palatino Linotype"/>
          <w:b/>
        </w:rPr>
        <w:t xml:space="preserve">TERCERO. NOTIFÍQUESE, </w:t>
      </w:r>
      <w:r w:rsidRPr="00902182">
        <w:rPr>
          <w:rFonts w:ascii="Palatino Linotype" w:eastAsia="Palatino Linotype" w:hAnsi="Palatino Linotype" w:cs="Palatino Linotype"/>
        </w:rPr>
        <w:t xml:space="preserve">vía SAIMEX, a la Persona Titular de la Unidad de Transparencia del </w:t>
      </w:r>
      <w:r w:rsidRPr="00902182">
        <w:rPr>
          <w:rFonts w:ascii="Palatino Linotype" w:eastAsia="Palatino Linotype" w:hAnsi="Palatino Linotype" w:cs="Palatino Linotype"/>
          <w:b/>
        </w:rPr>
        <w:t>SUJETO OBLIGADO,</w:t>
      </w:r>
      <w:r w:rsidRPr="00902182">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2171E" w:rsidRPr="00902182" w:rsidRDefault="0032171E">
      <w:pPr>
        <w:spacing w:line="360" w:lineRule="auto"/>
        <w:jc w:val="both"/>
        <w:rPr>
          <w:rFonts w:ascii="Palatino Linotype" w:eastAsia="Palatino Linotype" w:hAnsi="Palatino Linotype" w:cs="Palatino Linotype"/>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02182">
        <w:rPr>
          <w:rFonts w:ascii="Palatino Linotype" w:eastAsia="Palatino Linotype" w:hAnsi="Palatino Linotype" w:cs="Palatino Linotype"/>
          <w:b/>
          <w:color w:val="000000"/>
        </w:rPr>
        <w:lastRenderedPageBreak/>
        <w:t xml:space="preserve">CUARTO. </w:t>
      </w:r>
      <w:r w:rsidRPr="00902182">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sidRPr="00902182">
        <w:rPr>
          <w:rFonts w:ascii="Palatino Linotype" w:eastAsia="Palatino Linotype" w:hAnsi="Palatino Linotype" w:cs="Palatino Linotype"/>
          <w:b/>
          <w:color w:val="000000"/>
        </w:rPr>
        <w:t>EL SUJETO OBLIGADO</w:t>
      </w:r>
      <w:r w:rsidRPr="00902182">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rsidR="0032171E" w:rsidRPr="00902182" w:rsidRDefault="0032171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32171E" w:rsidRPr="00902182" w:rsidRDefault="00BA3F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02182">
        <w:rPr>
          <w:rFonts w:ascii="Palatino Linotype" w:eastAsia="Palatino Linotype" w:hAnsi="Palatino Linotype" w:cs="Palatino Linotype"/>
          <w:b/>
          <w:color w:val="000000"/>
        </w:rPr>
        <w:t xml:space="preserve">QUINTO. </w:t>
      </w:r>
      <w:r w:rsidRPr="00902182">
        <w:rPr>
          <w:rFonts w:ascii="Palatino Linotype" w:eastAsia="Palatino Linotype" w:hAnsi="Palatino Linotype" w:cs="Palatino Linotype"/>
          <w:color w:val="000000"/>
        </w:rPr>
        <w:t>Notifíquese vía SAIMEX,</w:t>
      </w:r>
      <w:r w:rsidRPr="00902182">
        <w:rPr>
          <w:rFonts w:ascii="Palatino Linotype" w:eastAsia="Palatino Linotype" w:hAnsi="Palatino Linotype" w:cs="Palatino Linotype"/>
          <w:b/>
          <w:color w:val="000000"/>
        </w:rPr>
        <w:t xml:space="preserve"> </w:t>
      </w:r>
      <w:r w:rsidRPr="00902182">
        <w:rPr>
          <w:rFonts w:ascii="Palatino Linotype" w:eastAsia="Palatino Linotype" w:hAnsi="Palatino Linotype" w:cs="Palatino Linotype"/>
          <w:color w:val="000000"/>
        </w:rPr>
        <w:t xml:space="preserve">a </w:t>
      </w:r>
      <w:r w:rsidRPr="00902182">
        <w:rPr>
          <w:rFonts w:ascii="Palatino Linotype" w:eastAsia="Palatino Linotype" w:hAnsi="Palatino Linotype" w:cs="Palatino Linotype"/>
          <w:b/>
          <w:color w:val="000000"/>
        </w:rPr>
        <w:t>LA PARTE</w:t>
      </w:r>
      <w:r w:rsidRPr="00902182">
        <w:rPr>
          <w:rFonts w:ascii="Palatino Linotype" w:eastAsia="Palatino Linotype" w:hAnsi="Palatino Linotype" w:cs="Palatino Linotype"/>
          <w:color w:val="000000"/>
        </w:rPr>
        <w:t xml:space="preserve"> </w:t>
      </w:r>
      <w:r w:rsidRPr="00902182">
        <w:rPr>
          <w:rFonts w:ascii="Palatino Linotype" w:eastAsia="Palatino Linotype" w:hAnsi="Palatino Linotype" w:cs="Palatino Linotype"/>
          <w:b/>
          <w:color w:val="000000"/>
        </w:rPr>
        <w:t>RECURRENTE</w:t>
      </w:r>
      <w:r w:rsidRPr="00902182">
        <w:rPr>
          <w:rFonts w:ascii="Palatino Linotype" w:eastAsia="Palatino Linotype" w:hAnsi="Palatino Linotype" w:cs="Palatino Linotype"/>
          <w:color w:val="000000"/>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32171E" w:rsidRPr="00902182" w:rsidRDefault="0032171E">
      <w:pPr>
        <w:spacing w:line="360" w:lineRule="auto"/>
        <w:jc w:val="both"/>
        <w:rPr>
          <w:rFonts w:ascii="Palatino Linotype" w:eastAsia="Palatino Linotype" w:hAnsi="Palatino Linotype" w:cs="Palatino Linotype"/>
          <w:b/>
          <w:color w:val="000000"/>
        </w:rPr>
      </w:pPr>
    </w:p>
    <w:p w:rsidR="0032171E" w:rsidRDefault="00BA3F20">
      <w:pPr>
        <w:spacing w:line="360" w:lineRule="auto"/>
        <w:jc w:val="both"/>
        <w:rPr>
          <w:rFonts w:ascii="Palatino Linotype" w:eastAsia="Palatino Linotype" w:hAnsi="Palatino Linotype" w:cs="Palatino Linotype"/>
        </w:rPr>
      </w:pPr>
      <w:r w:rsidRPr="0090218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VEINTITRÉS DE DOS MIL VEINTITRÉS, ANTE EL SECRETARIO TÉCNICO DEL PLENO ALEXIS TAPIA RAMÍREZ.</w:t>
      </w:r>
    </w:p>
    <w:p w:rsidR="0032171E" w:rsidRDefault="0032171E">
      <w:pPr>
        <w:spacing w:line="360" w:lineRule="auto"/>
        <w:jc w:val="both"/>
        <w:rPr>
          <w:rFonts w:ascii="Palatino Linotype" w:eastAsia="Palatino Linotype" w:hAnsi="Palatino Linotype" w:cs="Palatino Linotype"/>
          <w:b/>
          <w:color w:val="000000"/>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sz w:val="22"/>
          <w:szCs w:val="22"/>
        </w:rPr>
      </w:pPr>
    </w:p>
    <w:p w:rsidR="0032171E" w:rsidRDefault="0032171E">
      <w:pPr>
        <w:spacing w:line="360" w:lineRule="auto"/>
        <w:ind w:right="51"/>
        <w:jc w:val="both"/>
        <w:rPr>
          <w:rFonts w:ascii="Palatino Linotype" w:eastAsia="Palatino Linotype" w:hAnsi="Palatino Linotype" w:cs="Palatino Linotype"/>
          <w:i/>
          <w:sz w:val="22"/>
          <w:szCs w:val="22"/>
        </w:rPr>
      </w:pPr>
    </w:p>
    <w:p w:rsidR="0032171E" w:rsidRDefault="0032171E">
      <w:pPr>
        <w:spacing w:line="360" w:lineRule="auto"/>
        <w:ind w:right="51"/>
        <w:jc w:val="both"/>
        <w:rPr>
          <w:rFonts w:ascii="Palatino Linotype" w:eastAsia="Palatino Linotype" w:hAnsi="Palatino Linotype" w:cs="Palatino Linotype"/>
          <w:i/>
          <w:sz w:val="22"/>
          <w:szCs w:val="22"/>
        </w:rPr>
      </w:pPr>
    </w:p>
    <w:p w:rsidR="0032171E" w:rsidRDefault="0032171E">
      <w:pPr>
        <w:spacing w:line="360" w:lineRule="auto"/>
        <w:ind w:right="51"/>
        <w:jc w:val="both"/>
        <w:rPr>
          <w:rFonts w:ascii="Palatino Linotype" w:eastAsia="Palatino Linotype" w:hAnsi="Palatino Linotype" w:cs="Palatino Linotype"/>
          <w:i/>
          <w:sz w:val="22"/>
          <w:szCs w:val="22"/>
        </w:rPr>
      </w:pPr>
    </w:p>
    <w:p w:rsidR="0032171E" w:rsidRDefault="0032171E">
      <w:pPr>
        <w:spacing w:line="360" w:lineRule="auto"/>
        <w:ind w:right="51"/>
        <w:jc w:val="both"/>
        <w:rPr>
          <w:rFonts w:ascii="Palatino Linotype" w:eastAsia="Palatino Linotype" w:hAnsi="Palatino Linotype" w:cs="Palatino Linotype"/>
          <w:i/>
          <w:sz w:val="22"/>
          <w:szCs w:val="22"/>
        </w:rPr>
      </w:pPr>
    </w:p>
    <w:p w:rsidR="0032171E" w:rsidRDefault="0032171E">
      <w:pPr>
        <w:spacing w:line="360" w:lineRule="auto"/>
        <w:ind w:right="51"/>
        <w:jc w:val="both"/>
        <w:rPr>
          <w:rFonts w:ascii="Palatino Linotype" w:eastAsia="Palatino Linotype" w:hAnsi="Palatino Linotype" w:cs="Palatino Linotype"/>
          <w:i/>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p w:rsidR="0032171E" w:rsidRDefault="0032171E">
      <w:pPr>
        <w:spacing w:line="360" w:lineRule="auto"/>
        <w:ind w:right="51"/>
        <w:jc w:val="both"/>
        <w:rPr>
          <w:rFonts w:ascii="Palatino Linotype" w:eastAsia="Palatino Linotype" w:hAnsi="Palatino Linotype" w:cs="Palatino Linotype"/>
          <w:i/>
          <w:color w:val="000000"/>
          <w:sz w:val="22"/>
          <w:szCs w:val="22"/>
        </w:rPr>
      </w:pPr>
    </w:p>
    <w:sectPr w:rsidR="0032171E">
      <w:headerReference w:type="default" r:id="rId21"/>
      <w:footerReference w:type="default" r:id="rId22"/>
      <w:headerReference w:type="first" r:id="rId23"/>
      <w:footerReference w:type="first" r:id="rId2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53E" w:rsidRDefault="0051053E">
      <w:r>
        <w:separator/>
      </w:r>
    </w:p>
  </w:endnote>
  <w:endnote w:type="continuationSeparator" w:id="0">
    <w:p w:rsidR="0051053E" w:rsidRDefault="0051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1E" w:rsidRDefault="00BA3F2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F68C2">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F68C2">
      <w:rPr>
        <w:rFonts w:ascii="Palatino Linotype" w:eastAsia="Palatino Linotype" w:hAnsi="Palatino Linotype" w:cs="Palatino Linotype"/>
        <w:b/>
        <w:noProof/>
        <w:color w:val="000000"/>
        <w:sz w:val="20"/>
        <w:szCs w:val="20"/>
      </w:rPr>
      <w:t>78</w:t>
    </w:r>
    <w:r>
      <w:rPr>
        <w:rFonts w:ascii="Palatino Linotype" w:eastAsia="Palatino Linotype" w:hAnsi="Palatino Linotype" w:cs="Palatino Linotype"/>
        <w:b/>
        <w:color w:val="000000"/>
        <w:sz w:val="20"/>
        <w:szCs w:val="20"/>
      </w:rPr>
      <w:fldChar w:fldCharType="end"/>
    </w:r>
  </w:p>
  <w:p w:rsidR="0032171E" w:rsidRDefault="0032171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1E" w:rsidRDefault="00BA3F2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F68C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F68C2">
      <w:rPr>
        <w:rFonts w:ascii="Palatino Linotype" w:eastAsia="Palatino Linotype" w:hAnsi="Palatino Linotype" w:cs="Palatino Linotype"/>
        <w:b/>
        <w:noProof/>
        <w:color w:val="000000"/>
        <w:sz w:val="20"/>
        <w:szCs w:val="20"/>
      </w:rPr>
      <w:t>78</w:t>
    </w:r>
    <w:r>
      <w:rPr>
        <w:rFonts w:ascii="Palatino Linotype" w:eastAsia="Palatino Linotype" w:hAnsi="Palatino Linotype" w:cs="Palatino Linotype"/>
        <w:b/>
        <w:color w:val="000000"/>
        <w:sz w:val="20"/>
        <w:szCs w:val="20"/>
      </w:rPr>
      <w:fldChar w:fldCharType="end"/>
    </w:r>
  </w:p>
  <w:p w:rsidR="0032171E" w:rsidRDefault="0032171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53E" w:rsidRDefault="0051053E">
      <w:r>
        <w:separator/>
      </w:r>
    </w:p>
  </w:footnote>
  <w:footnote w:type="continuationSeparator" w:id="0">
    <w:p w:rsidR="0051053E" w:rsidRDefault="0051053E">
      <w:r>
        <w:continuationSeparator/>
      </w:r>
    </w:p>
  </w:footnote>
  <w:footnote w:id="1">
    <w:p w:rsidR="0032171E" w:rsidRDefault="00BA3F20">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1E" w:rsidRDefault="00BA3F20">
    <w:pPr>
      <w:rPr>
        <w:rFonts w:ascii="Cambria" w:eastAsia="Cambria" w:hAnsi="Cambria" w:cs="Cambria"/>
      </w:rPr>
    </w:pPr>
    <w:r>
      <w:rPr>
        <w:noProof/>
      </w:rPr>
      <w:drawing>
        <wp:anchor distT="0" distB="0" distL="0" distR="0" simplePos="0" relativeHeight="251658240" behindDoc="1" locked="0" layoutInCell="1" hidden="0" allowOverlap="1">
          <wp:simplePos x="0" y="0"/>
          <wp:positionH relativeFrom="column">
            <wp:posOffset>-1079499</wp:posOffset>
          </wp:positionH>
          <wp:positionV relativeFrom="paragraph">
            <wp:posOffset>-440054</wp:posOffset>
          </wp:positionV>
          <wp:extent cx="7809865" cy="10165715"/>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237" w:type="dxa"/>
      <w:tblInd w:w="2689" w:type="dxa"/>
      <w:tblLayout w:type="fixed"/>
      <w:tblLook w:val="0400" w:firstRow="0" w:lastRow="0" w:firstColumn="0" w:lastColumn="0" w:noHBand="0" w:noVBand="1"/>
    </w:tblPr>
    <w:tblGrid>
      <w:gridCol w:w="2409"/>
      <w:gridCol w:w="3828"/>
    </w:tblGrid>
    <w:tr w:rsidR="0032171E">
      <w:tc>
        <w:tcPr>
          <w:tcW w:w="2409" w:type="dxa"/>
          <w:shd w:val="clear" w:color="auto" w:fill="auto"/>
        </w:tcPr>
        <w:p w:rsidR="0032171E" w:rsidRDefault="00BA3F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shd w:val="clear" w:color="auto" w:fill="auto"/>
          <w:vAlign w:val="center"/>
        </w:tcPr>
        <w:p w:rsidR="0032171E" w:rsidRDefault="00BA3F2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02629/INFOEM/IP/RR/2023</w:t>
          </w:r>
        </w:p>
      </w:tc>
    </w:tr>
    <w:tr w:rsidR="0032171E">
      <w:trPr>
        <w:trHeight w:val="228"/>
      </w:trPr>
      <w:tc>
        <w:tcPr>
          <w:tcW w:w="2409" w:type="dxa"/>
          <w:shd w:val="clear" w:color="auto" w:fill="auto"/>
          <w:vAlign w:val="center"/>
        </w:tcPr>
        <w:p w:rsidR="0032171E" w:rsidRDefault="00BA3F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shd w:val="clear" w:color="auto" w:fill="auto"/>
          <w:vAlign w:val="center"/>
        </w:tcPr>
        <w:p w:rsidR="0032171E" w:rsidRDefault="00BA3F20">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Descentralizado de Agua Potable, Alcantarillado y Saneamiento del Municipio de Ixtapaluca denominado por sus siglas O.D.A.P.A.S.</w:t>
          </w:r>
        </w:p>
      </w:tc>
    </w:tr>
    <w:tr w:rsidR="0032171E">
      <w:tc>
        <w:tcPr>
          <w:tcW w:w="2409" w:type="dxa"/>
          <w:shd w:val="clear" w:color="auto" w:fill="auto"/>
          <w:vAlign w:val="center"/>
        </w:tcPr>
        <w:p w:rsidR="0032171E" w:rsidRDefault="00BA3F2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shd w:val="clear" w:color="auto" w:fill="auto"/>
          <w:vAlign w:val="center"/>
        </w:tcPr>
        <w:p w:rsidR="0032171E" w:rsidRDefault="00BA3F2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32171E" w:rsidRDefault="00BA3F20">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1E" w:rsidRDefault="00BA3F2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-1089024</wp:posOffset>
          </wp:positionH>
          <wp:positionV relativeFrom="paragraph">
            <wp:posOffset>-455929</wp:posOffset>
          </wp:positionV>
          <wp:extent cx="7809865" cy="10165715"/>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6384" w:type="dxa"/>
      <w:tblInd w:w="2547" w:type="dxa"/>
      <w:tblLayout w:type="fixed"/>
      <w:tblLook w:val="0400" w:firstRow="0" w:lastRow="0" w:firstColumn="0" w:lastColumn="0" w:noHBand="0" w:noVBand="1"/>
    </w:tblPr>
    <w:tblGrid>
      <w:gridCol w:w="2551"/>
      <w:gridCol w:w="3833"/>
    </w:tblGrid>
    <w:tr w:rsidR="0032171E">
      <w:tc>
        <w:tcPr>
          <w:tcW w:w="2551" w:type="dxa"/>
          <w:shd w:val="clear" w:color="auto" w:fill="auto"/>
          <w:vAlign w:val="center"/>
        </w:tcPr>
        <w:p w:rsidR="0032171E" w:rsidRDefault="00BA3F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33" w:type="dxa"/>
          <w:shd w:val="clear" w:color="auto" w:fill="auto"/>
          <w:vAlign w:val="center"/>
        </w:tcPr>
        <w:p w:rsidR="0032171E" w:rsidRDefault="00BA3F20">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02629/INFOEM/IP/RR/2023</w:t>
          </w:r>
        </w:p>
      </w:tc>
    </w:tr>
    <w:tr w:rsidR="0032171E">
      <w:trPr>
        <w:trHeight w:val="130"/>
      </w:trPr>
      <w:tc>
        <w:tcPr>
          <w:tcW w:w="2551" w:type="dxa"/>
          <w:shd w:val="clear" w:color="auto" w:fill="auto"/>
          <w:vAlign w:val="center"/>
        </w:tcPr>
        <w:p w:rsidR="0032171E" w:rsidRDefault="00BA3F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33" w:type="dxa"/>
          <w:shd w:val="clear" w:color="auto" w:fill="auto"/>
          <w:vAlign w:val="center"/>
        </w:tcPr>
        <w:p w:rsidR="0032171E" w:rsidRDefault="009F68C2" w:rsidP="009F68C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w:t>
          </w:r>
          <w:r w:rsidR="00BA3F20">
            <w:rPr>
              <w:rFonts w:ascii="Palatino Linotype" w:eastAsia="Palatino Linotype" w:hAnsi="Palatino Linotype" w:cs="Palatino Linotype"/>
              <w:b/>
              <w:sz w:val="22"/>
              <w:szCs w:val="22"/>
            </w:rPr>
            <w:t xml:space="preserve"> </w:t>
          </w:r>
        </w:p>
      </w:tc>
    </w:tr>
    <w:tr w:rsidR="0032171E">
      <w:trPr>
        <w:trHeight w:val="228"/>
      </w:trPr>
      <w:tc>
        <w:tcPr>
          <w:tcW w:w="2551" w:type="dxa"/>
          <w:shd w:val="clear" w:color="auto" w:fill="auto"/>
          <w:vAlign w:val="center"/>
        </w:tcPr>
        <w:p w:rsidR="0032171E" w:rsidRDefault="00BA3F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33" w:type="dxa"/>
          <w:shd w:val="clear" w:color="auto" w:fill="auto"/>
          <w:vAlign w:val="center"/>
        </w:tcPr>
        <w:p w:rsidR="0032171E" w:rsidRDefault="00BA3F20">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Descentralizado de Agua Potable, Alcantarillado y Saneamiento del Municipio de Ixtapaluca denominado por sus siglas O.D.A.P.A.S.</w:t>
          </w:r>
        </w:p>
      </w:tc>
    </w:tr>
    <w:tr w:rsidR="0032171E">
      <w:tc>
        <w:tcPr>
          <w:tcW w:w="2551" w:type="dxa"/>
          <w:shd w:val="clear" w:color="auto" w:fill="auto"/>
          <w:vAlign w:val="center"/>
        </w:tcPr>
        <w:p w:rsidR="0032171E" w:rsidRDefault="00BA3F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33" w:type="dxa"/>
          <w:shd w:val="clear" w:color="auto" w:fill="auto"/>
          <w:vAlign w:val="center"/>
        </w:tcPr>
        <w:p w:rsidR="0032171E" w:rsidRDefault="00BA3F2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32171E" w:rsidRDefault="0032171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95FED"/>
    <w:multiLevelType w:val="multilevel"/>
    <w:tmpl w:val="A08A808E"/>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1C3053"/>
    <w:multiLevelType w:val="multilevel"/>
    <w:tmpl w:val="30FA5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6C0BA9"/>
    <w:multiLevelType w:val="multilevel"/>
    <w:tmpl w:val="2DCAEF74"/>
    <w:lvl w:ilvl="0">
      <w:start w:val="3"/>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3D089D"/>
    <w:multiLevelType w:val="multilevel"/>
    <w:tmpl w:val="45E6FB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633D78"/>
    <w:multiLevelType w:val="multilevel"/>
    <w:tmpl w:val="A6B04A1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5E122F71"/>
    <w:multiLevelType w:val="multilevel"/>
    <w:tmpl w:val="86BC45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5F340BBD"/>
    <w:multiLevelType w:val="multilevel"/>
    <w:tmpl w:val="0F78B6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59556A3"/>
    <w:multiLevelType w:val="multilevel"/>
    <w:tmpl w:val="F1F048AA"/>
    <w:lvl w:ilvl="0">
      <w:start w:val="1"/>
      <w:numFmt w:val="decimal"/>
      <w:lvlText w:val="%1."/>
      <w:lvlJc w:val="left"/>
      <w:pPr>
        <w:ind w:left="1584"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8">
    <w:nsid w:val="664410FC"/>
    <w:multiLevelType w:val="multilevel"/>
    <w:tmpl w:val="9C92038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934374B"/>
    <w:multiLevelType w:val="multilevel"/>
    <w:tmpl w:val="CB04F58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5753D9"/>
    <w:multiLevelType w:val="multilevel"/>
    <w:tmpl w:val="D7E4E7C0"/>
    <w:lvl w:ilvl="0">
      <w:start w:val="1"/>
      <w:numFmt w:val="decimal"/>
      <w:lvlText w:val="%1."/>
      <w:lvlJc w:val="left"/>
      <w:pPr>
        <w:ind w:left="1224" w:hanging="360"/>
      </w:pPr>
      <w:rPr>
        <w:b/>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num w:numId="1">
    <w:abstractNumId w:val="7"/>
  </w:num>
  <w:num w:numId="2">
    <w:abstractNumId w:val="0"/>
  </w:num>
  <w:num w:numId="3">
    <w:abstractNumId w:val="4"/>
  </w:num>
  <w:num w:numId="4">
    <w:abstractNumId w:val="3"/>
  </w:num>
  <w:num w:numId="5">
    <w:abstractNumId w:val="10"/>
  </w:num>
  <w:num w:numId="6">
    <w:abstractNumId w:val="2"/>
  </w:num>
  <w:num w:numId="7">
    <w:abstractNumId w:val="9"/>
  </w:num>
  <w:num w:numId="8">
    <w:abstractNumId w:val="6"/>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71E"/>
    <w:rsid w:val="000044E8"/>
    <w:rsid w:val="00016C42"/>
    <w:rsid w:val="0032171E"/>
    <w:rsid w:val="003D1635"/>
    <w:rsid w:val="0051053E"/>
    <w:rsid w:val="00902182"/>
    <w:rsid w:val="009F68C2"/>
    <w:rsid w:val="00BA3F20"/>
    <w:rsid w:val="00EA77FF"/>
    <w:rsid w:val="00FF0F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F0330-114B-45AF-B9B2-D83A01D0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5AA"/>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top w:w="0" w:type="dxa"/>
        <w:left w:w="115" w:type="dxa"/>
        <w:bottom w:w="0" w:type="dxa"/>
        <w:right w:w="115" w:type="dxa"/>
      </w:tblCellMar>
    </w:tblPr>
  </w:style>
  <w:style w:type="table" w:customStyle="1" w:styleId="9">
    <w:name w:val="9"/>
    <w:basedOn w:val="TableNormal1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top w:w="0" w:type="dxa"/>
        <w:left w:w="115" w:type="dxa"/>
        <w:bottom w:w="0" w:type="dxa"/>
        <w:right w:w="115" w:type="dxa"/>
      </w:tblCellMar>
    </w:tblPr>
  </w:style>
  <w:style w:type="table" w:customStyle="1" w:styleId="7">
    <w:name w:val="7"/>
    <w:basedOn w:val="TableNormal11"/>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table" w:customStyle="1" w:styleId="23">
    <w:name w:val="23"/>
    <w:basedOn w:val="TableNormal5"/>
    <w:tblPr>
      <w:tblStyleRowBandSize w:val="1"/>
      <w:tblStyleColBandSize w:val="1"/>
      <w:tblCellMar>
        <w:top w:w="0" w:type="dxa"/>
        <w:left w:w="115" w:type="dxa"/>
        <w:bottom w:w="0" w:type="dxa"/>
        <w:right w:w="115" w:type="dxa"/>
      </w:tblCellMar>
    </w:tblPr>
  </w:style>
  <w:style w:type="table" w:customStyle="1" w:styleId="22">
    <w:name w:val="22"/>
    <w:basedOn w:val="TableNormal5"/>
    <w:tblPr>
      <w:tblStyleRowBandSize w:val="1"/>
      <w:tblStyleColBandSize w:val="1"/>
      <w:tblCellMar>
        <w:top w:w="0" w:type="dxa"/>
        <w:left w:w="115" w:type="dxa"/>
        <w:bottom w:w="0" w:type="dxa"/>
        <w:right w:w="115" w:type="dxa"/>
      </w:tblCellMar>
    </w:tblPr>
  </w:style>
  <w:style w:type="table" w:customStyle="1" w:styleId="21">
    <w:name w:val="21"/>
    <w:basedOn w:val="TableNormal6"/>
    <w:tblPr>
      <w:tblStyleRowBandSize w:val="1"/>
      <w:tblStyleColBandSize w:val="1"/>
      <w:tblCellMar>
        <w:top w:w="0" w:type="dxa"/>
        <w:left w:w="115" w:type="dxa"/>
        <w:bottom w:w="0" w:type="dxa"/>
        <w:right w:w="115" w:type="dxa"/>
      </w:tblCellMar>
    </w:tblPr>
  </w:style>
  <w:style w:type="table" w:customStyle="1" w:styleId="20">
    <w:name w:val="20"/>
    <w:basedOn w:val="TableNormal6"/>
    <w:tblPr>
      <w:tblStyleRowBandSize w:val="1"/>
      <w:tblStyleColBandSize w:val="1"/>
      <w:tblCellMar>
        <w:top w:w="0" w:type="dxa"/>
        <w:left w:w="115" w:type="dxa"/>
        <w:bottom w:w="0" w:type="dxa"/>
        <w:right w:w="115" w:type="dxa"/>
      </w:tblCellMar>
    </w:tblPr>
  </w:style>
  <w:style w:type="table" w:customStyle="1" w:styleId="19">
    <w:name w:val="19"/>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top w:w="0" w:type="dxa"/>
        <w:left w:w="115" w:type="dxa"/>
        <w:bottom w:w="0" w:type="dxa"/>
        <w:right w:w="115" w:type="dxa"/>
      </w:tblCellMar>
    </w:tblPr>
  </w:style>
  <w:style w:type="table" w:customStyle="1" w:styleId="17">
    <w:name w:val="17"/>
    <w:basedOn w:val="TableNormal7"/>
    <w:tblPr>
      <w:tblStyleRowBandSize w:val="1"/>
      <w:tblStyleColBandSize w:val="1"/>
      <w:tblCellMar>
        <w:top w:w="0" w:type="dxa"/>
        <w:left w:w="115" w:type="dxa"/>
        <w:bottom w:w="0" w:type="dxa"/>
        <w:right w:w="115" w:type="dxa"/>
      </w:tblCellMar>
    </w:tblPr>
  </w:style>
  <w:style w:type="table" w:customStyle="1" w:styleId="16">
    <w:name w:val="16"/>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top w:w="0" w:type="dxa"/>
        <w:left w:w="115" w:type="dxa"/>
        <w:bottom w:w="0" w:type="dxa"/>
        <w:right w:w="115" w:type="dxa"/>
      </w:tblCellMar>
    </w:tblPr>
  </w:style>
  <w:style w:type="table" w:customStyle="1" w:styleId="14">
    <w:name w:val="14"/>
    <w:basedOn w:val="TableNormal8"/>
    <w:tblPr>
      <w:tblStyleRowBandSize w:val="1"/>
      <w:tblStyleColBandSize w:val="1"/>
      <w:tblCellMar>
        <w:top w:w="0" w:type="dxa"/>
        <w:left w:w="115" w:type="dxa"/>
        <w:bottom w:w="0" w:type="dxa"/>
        <w:right w:w="115" w:type="dxa"/>
      </w:tblCellMar>
    </w:tblPr>
  </w:style>
  <w:style w:type="table" w:customStyle="1" w:styleId="13">
    <w:name w:val="13"/>
    <w:basedOn w:val="TableNormal9"/>
    <w:tblPr>
      <w:tblStyleRowBandSize w:val="1"/>
      <w:tblStyleColBandSize w:val="1"/>
      <w:tblCellMar>
        <w:top w:w="0" w:type="dxa"/>
        <w:left w:w="115" w:type="dxa"/>
        <w:bottom w:w="0" w:type="dxa"/>
        <w:right w:w="115" w:type="dxa"/>
      </w:tblCellMar>
    </w:tblPr>
  </w:style>
  <w:style w:type="table" w:customStyle="1" w:styleId="12">
    <w:name w:val="12"/>
    <w:basedOn w:val="TableNormal9"/>
    <w:tblPr>
      <w:tblStyleRowBandSize w:val="1"/>
      <w:tblStyleColBandSize w:val="1"/>
      <w:tblCellMar>
        <w:top w:w="0" w:type="dxa"/>
        <w:left w:w="115" w:type="dxa"/>
        <w:bottom w:w="0" w:type="dxa"/>
        <w:right w:w="115" w:type="dxa"/>
      </w:tblCellMar>
    </w:tblPr>
  </w:style>
  <w:style w:type="table" w:customStyle="1" w:styleId="26">
    <w:name w:val="26"/>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top w:w="0" w:type="dxa"/>
        <w:left w:w="115" w:type="dxa"/>
        <w:bottom w:w="0" w:type="dxa"/>
        <w:right w:w="115" w:type="dxa"/>
      </w:tblCellMar>
    </w:tblPr>
  </w:style>
  <w:style w:type="table" w:customStyle="1" w:styleId="24">
    <w:name w:val="24"/>
    <w:basedOn w:val="TableNormal10"/>
    <w:tblPr>
      <w:tblStyleRowBandSize w:val="1"/>
      <w:tblStyleColBandSize w:val="1"/>
      <w:tblCellMar>
        <w:top w:w="0" w:type="dxa"/>
        <w:left w:w="115" w:type="dxa"/>
        <w:bottom w:w="0"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Tabladelista1clara-nfasis112">
    <w:name w:val="Tabla de lista 1 clara - Énfasis 112"/>
    <w:basedOn w:val="Tablanormal"/>
    <w:uiPriority w:val="46"/>
    <w:rsid w:val="00EC736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nfasissutil">
    <w:name w:val="Subtle Emphasis"/>
    <w:basedOn w:val="Fuentedeprrafopredeter"/>
    <w:uiPriority w:val="19"/>
    <w:qFormat/>
    <w:rsid w:val="0097316C"/>
    <w:rPr>
      <w:i/>
      <w:iCs/>
      <w:color w:val="404040" w:themeColor="text1" w:themeTint="BF"/>
    </w:r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82672.page" TargetMode="External"/><Relationship Id="rId13" Type="http://schemas.openxmlformats.org/officeDocument/2006/relationships/hyperlink" Target="https://ipomex.org.mx/ipo3/lgt/indice/OASIXTAPALUCA/art_92_viil.web?token=03AL8dmw_kOkDHivZW_-zFWLOSBE-W4sAsYYTm18MO1ZvVXIn9od6E4S62X53-AsMsHkd41ljnGPgr4R_CDNKT2LA4pM-tvtGRkB3nGOf4F0NchSKF2OfDrv64T0z39brzK-yZC_2JQYX48HgQ8Pzhilwk0-Vxv9XdhicplOUCbwdYgZk5fwDMwOTYwXWwvrSQK3uFjr7DiVPDrz9jkGUPoyl5cGIOHEnLJKDSLIJPRU2vITIqdBZWn5BhcZYOxvQzS0EVt2Q1PkyAhu12uFIVxWWfAdOtOCTIcIFyE68T_GYcKOx_dYPhrQ9FCM30KfYWsqQRRJ77eW8rpnuNJ8aE6E-gR2ZGOzC9e06gth7vHWEE8xVc7ZGvww-hVnGdyRORLAO9HG_EZOv7Va9Jzn0OtR_PS5G2ZJSOEdJMq27pSPh8sexqSjc75uwtUFp1ogiOyGU83HLaUesscgoKbKuJhku4zTCgDb5bUXtlw-AuYmIREKGPpfUDr1-2HHvJYsQ_pT7-THUmFdeU7V-b6dhC3"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opd.ixtapaluca@itaipem.org.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unidad.transparencia@opdapasixtapaluca.gob.mx" TargetMode="External"/><Relationship Id="rId20" Type="http://schemas.openxmlformats.org/officeDocument/2006/relationships/hyperlink" Target="mailto:berenice.carrillo@infoem.org.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hyperlink" Target="https://ipomex.org.mx/ipo3/lgt/indice/OASIXTAPALUCA/art_92_viii.web?token=03AL8dmw_gBeB3Wbho51WkwYDaIeDHkLhJtPypZraqDAiTKY8ZtqJlrVD1mEoXsmAWP-VYQEpyoGAknUIS1vJ5uZNZBW2JWhK0jbcMJonws709GuWf82OAy-dsdXyrtM1Ner1q8myQ1qfmWdk3RZ99t-KoXJpd2x63WcYyHfx7C3YrjmFdw0EtfDRYxHNCXmfr9v1In1f_YhBCR2rpIm1Qn-4s3-bVMqq81BqP2zw0oJmPM0k28JqbdQusG4v0t2mrwb_vSz942QST-Dtc3RQpLY9F7bz91lVXHqmYH9oiHRMPwrAy8OuWKKxDT_rMz3-LBwpmK5oQc8NPm1EFL8tDJOHgwbs7hqcfhlYzzCZGuxrzEwI3LmGUfq2mwRHYXYzr_hD3XZIsG6Ei9o7qKVVIVzQWX0PE3Rhj3hckjQNwqdbwn-yMEaqNmNqhmNQaFw9VZpNSMFZ2Pg0ibKJYrNpO2CGe19krHkTspK7soExAjt2AqYcAOWvMld9SEmvYwXI22iTNFsbqP_iBrY0uMBfjedYblk6RptXpTJZ1Mxo8X6VUiJSmmsrwbYNFQjCJ-38w72rcEknPhKpsa8DvaU0JwqgPTEAEe0zGqQ" TargetMode="External"/><Relationship Id="rId19" Type="http://schemas.openxmlformats.org/officeDocument/2006/relationships/hyperlink" Target="mailto:alexis.moreno@itaipem.org.m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NNJLr7Sqqp3jw0ozo2UDMaD58Q==">CgMxLjAyCGguZ2pkZ3hzMgloLjJldDkycDAyCWguMzBqMHpsbDIJaC4yczhleW8xMghoLnR5amN3dDIJaC4zcmRjcmpuOAByITFYRlV4NWE3VVM1anJvUHRuNnFHYkZDMHRiWC00VjVNUA==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18454</Words>
  <Characters>101497</Characters>
  <Application>Microsoft Office Word</Application>
  <DocSecurity>0</DocSecurity>
  <Lines>845</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2023-11-27T17:28:00Z</cp:lastPrinted>
  <dcterms:created xsi:type="dcterms:W3CDTF">2023-12-05T20:25:00Z</dcterms:created>
  <dcterms:modified xsi:type="dcterms:W3CDTF">2023-12-05T20:25:00Z</dcterms:modified>
</cp:coreProperties>
</file>