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0695D">
        <w:rPr>
          <w:rFonts w:ascii="Palatino Linotype" w:hAnsi="Palatino Linotype"/>
          <w:color w:val="000000" w:themeColor="text1"/>
        </w:rPr>
        <w:t>dieciséis</w:t>
      </w:r>
      <w:r w:rsidR="00E0309A">
        <w:rPr>
          <w:rFonts w:ascii="Palatino Linotype" w:hAnsi="Palatino Linotype"/>
          <w:color w:val="000000" w:themeColor="text1"/>
        </w:rPr>
        <w:t xml:space="preserve"> (16)</w:t>
      </w:r>
      <w:r w:rsidRPr="00134CE6">
        <w:rPr>
          <w:rFonts w:ascii="Palatino Linotype" w:hAnsi="Palatino Linotype"/>
          <w:color w:val="000000" w:themeColor="text1"/>
        </w:rPr>
        <w:t xml:space="preserve"> de </w:t>
      </w:r>
      <w:r w:rsidR="004D465B">
        <w:rPr>
          <w:rFonts w:ascii="Palatino Linotype" w:hAnsi="Palatino Linotype"/>
          <w:color w:val="000000" w:themeColor="text1"/>
        </w:rPr>
        <w:t>agosto</w:t>
      </w:r>
      <w:r w:rsidR="00E61C13" w:rsidRPr="00134CE6">
        <w:rPr>
          <w:rFonts w:ascii="Palatino Linotype" w:hAnsi="Palatino Linotype"/>
          <w:color w:val="000000" w:themeColor="text1"/>
        </w:rPr>
        <w:t xml:space="preserve"> de dos mil </w:t>
      </w:r>
      <w:r w:rsidR="004D465B">
        <w:rPr>
          <w:rFonts w:ascii="Palatino Linotype" w:hAnsi="Palatino Linotype"/>
          <w:color w:val="000000" w:themeColor="text1"/>
        </w:rPr>
        <w:t>veintitrés</w:t>
      </w:r>
      <w:r w:rsidRPr="00134CE6">
        <w:rPr>
          <w:rFonts w:ascii="Palatino Linotype" w:hAnsi="Palatino Linotype"/>
          <w:color w:val="000000" w:themeColor="text1"/>
        </w:rPr>
        <w:t>.</w:t>
      </w:r>
    </w:p>
    <w:p w:rsidR="009F09BC" w:rsidRDefault="009F09BC" w:rsidP="00995B4E">
      <w:pPr>
        <w:spacing w:line="360" w:lineRule="auto"/>
        <w:jc w:val="both"/>
        <w:rPr>
          <w:rFonts w:ascii="Palatino Linotype" w:hAnsi="Palatino Linotype"/>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A739EE">
        <w:rPr>
          <w:rFonts w:ascii="Palatino Linotype" w:hAnsi="Palatino Linotype"/>
          <w:color w:val="000000" w:themeColor="text1"/>
        </w:rPr>
        <w:t>e</w:t>
      </w:r>
      <w:r w:rsidRPr="00134CE6">
        <w:rPr>
          <w:rFonts w:ascii="Palatino Linotype" w:hAnsi="Palatino Linotype"/>
          <w:color w:val="000000" w:themeColor="text1"/>
        </w:rPr>
        <w:t>l expediente electrónico formado con motivo de</w:t>
      </w:r>
      <w:r w:rsidR="00A739EE">
        <w:rPr>
          <w:rFonts w:ascii="Palatino Linotype" w:hAnsi="Palatino Linotype"/>
          <w:color w:val="000000" w:themeColor="text1"/>
        </w:rPr>
        <w:t>l</w:t>
      </w:r>
      <w:r w:rsidRPr="00134CE6">
        <w:rPr>
          <w:rFonts w:ascii="Palatino Linotype" w:hAnsi="Palatino Linotype"/>
          <w:color w:val="000000" w:themeColor="text1"/>
        </w:rPr>
        <w:t xml:space="preserve"> recurso de revisión </w:t>
      </w:r>
      <w:r w:rsidR="00D95A4E">
        <w:rPr>
          <w:rFonts w:ascii="Palatino Linotype" w:hAnsi="Palatino Linotype"/>
          <w:b/>
          <w:color w:val="000000" w:themeColor="text1"/>
        </w:rPr>
        <w:t>17593/INFOEM</w:t>
      </w:r>
      <w:bookmarkStart w:id="0" w:name="_GoBack"/>
      <w:r w:rsidR="00D95A4E">
        <w:rPr>
          <w:rFonts w:ascii="Palatino Linotype" w:hAnsi="Palatino Linotype"/>
          <w:b/>
          <w:color w:val="000000" w:themeColor="text1"/>
        </w:rPr>
        <w:t>/ICR-151</w:t>
      </w:r>
      <w:bookmarkEnd w:id="0"/>
      <w:r w:rsidR="00D95A4E">
        <w:rPr>
          <w:rFonts w:ascii="Palatino Linotype" w:hAnsi="Palatino Linotype"/>
          <w:b/>
          <w:color w:val="000000" w:themeColor="text1"/>
        </w:rPr>
        <w:t>/IP/RR/2022</w:t>
      </w:r>
      <w:r w:rsidRPr="009C1B6F">
        <w:rPr>
          <w:rFonts w:ascii="Palatino Linotype" w:hAnsi="Palatino Linotype"/>
          <w:color w:val="000000" w:themeColor="text1"/>
        </w:rPr>
        <w:t>,</w:t>
      </w:r>
      <w:r w:rsidRPr="009C1B6F">
        <w:rPr>
          <w:rFonts w:ascii="Palatino Linotype" w:hAnsi="Palatino Linotype" w:cs="Arial"/>
          <w:b/>
          <w:bCs/>
          <w:color w:val="000000" w:themeColor="text1"/>
        </w:rPr>
        <w:t xml:space="preserve"> </w:t>
      </w:r>
      <w:r w:rsidRPr="009C1B6F">
        <w:rPr>
          <w:rFonts w:ascii="Palatino Linotype" w:hAnsi="Palatino Linotype"/>
          <w:color w:val="000000" w:themeColor="text1"/>
        </w:rPr>
        <w:t xml:space="preserve">promovido por </w:t>
      </w:r>
      <w:r w:rsidR="00CE3153">
        <w:rPr>
          <w:rFonts w:ascii="Palatino Linotype" w:hAnsi="Palatino Linotype"/>
          <w:b/>
        </w:rPr>
        <w:t>una persona que no proporcionó datos de identificación</w:t>
      </w:r>
      <w:r w:rsidRPr="009C1B6F">
        <w:rPr>
          <w:rFonts w:ascii="Palatino Linotype" w:hAnsi="Palatino Linotype"/>
          <w:color w:val="000000" w:themeColor="text1"/>
        </w:rPr>
        <w:t>, a</w:t>
      </w:r>
      <w:r w:rsidRPr="00134CE6">
        <w:rPr>
          <w:rFonts w:ascii="Palatino Linotype" w:hAnsi="Palatino Linotype"/>
          <w:color w:val="000000" w:themeColor="text1"/>
        </w:rPr>
        <w:t xml:space="preserve"> quien en lo sucesivo se le identificará como </w:t>
      </w:r>
      <w:r w:rsidR="00CE3153">
        <w:rPr>
          <w:rFonts w:ascii="Palatino Linotype" w:hAnsi="Palatino Linotype"/>
          <w:b/>
          <w:color w:val="000000" w:themeColor="text1"/>
        </w:rPr>
        <w:t>EL RECURRENTE</w:t>
      </w:r>
      <w:r w:rsidRPr="00B0695D">
        <w:rPr>
          <w:rFonts w:ascii="Palatino Linotype" w:hAnsi="Palatino Linotype" w:cs="Arial"/>
          <w:color w:val="000000" w:themeColor="text1"/>
        </w:rPr>
        <w:t xml:space="preserve">, </w:t>
      </w:r>
      <w:r w:rsidR="00B0695D" w:rsidRPr="00B0695D">
        <w:rPr>
          <w:rFonts w:ascii="Palatino Linotype" w:hAnsi="Palatino Linotype" w:cs="Tahoma"/>
          <w:color w:val="0D0D0D" w:themeColor="text1" w:themeTint="F2"/>
        </w:rPr>
        <w:t xml:space="preserve">en contra de la falta de respuesta del </w:t>
      </w:r>
      <w:r w:rsidR="00CE3153">
        <w:rPr>
          <w:rFonts w:ascii="Palatino Linotype" w:hAnsi="Palatino Linotype" w:cs="Tahoma"/>
          <w:b/>
          <w:color w:val="0D0D0D" w:themeColor="text1" w:themeTint="F2"/>
        </w:rPr>
        <w:t>Ayuntamiento de Zinacantepec</w:t>
      </w:r>
      <w:r w:rsidR="00B0695D" w:rsidRPr="00B0695D">
        <w:rPr>
          <w:rFonts w:ascii="Palatino Linotype" w:hAnsi="Palatino Linotype" w:cs="Tahoma"/>
          <w:color w:val="0D0D0D" w:themeColor="text1" w:themeTint="F2"/>
        </w:rPr>
        <w:t xml:space="preserve">, </w:t>
      </w:r>
      <w:r w:rsidR="00B0695D" w:rsidRPr="00134CE6">
        <w:rPr>
          <w:rFonts w:ascii="Palatino Linotype" w:hAnsi="Palatino Linotype"/>
          <w:color w:val="000000" w:themeColor="text1"/>
        </w:rPr>
        <w:t>en lo sucesivo el</w:t>
      </w:r>
      <w:r w:rsidR="00B0695D" w:rsidRPr="00134CE6">
        <w:rPr>
          <w:rFonts w:ascii="Palatino Linotype" w:hAnsi="Palatino Linotype"/>
          <w:b/>
          <w:color w:val="000000" w:themeColor="text1"/>
        </w:rPr>
        <w:t xml:space="preserve"> SUJETO OBLIGADO</w:t>
      </w:r>
      <w:r w:rsidR="00B0695D">
        <w:rPr>
          <w:rFonts w:ascii="Palatino Linotype" w:hAnsi="Palatino Linotype"/>
          <w:b/>
          <w:color w:val="000000" w:themeColor="text1"/>
        </w:rPr>
        <w:t>,</w:t>
      </w:r>
      <w:r w:rsidR="00B0695D" w:rsidRPr="00B0695D">
        <w:rPr>
          <w:rFonts w:ascii="Palatino Linotype" w:hAnsi="Palatino Linotype" w:cs="Tahoma"/>
          <w:color w:val="0D0D0D" w:themeColor="text1" w:themeTint="F2"/>
        </w:rPr>
        <w:t xml:space="preserve"> a la</w:t>
      </w:r>
      <w:r w:rsidR="009C1B6F">
        <w:rPr>
          <w:rFonts w:ascii="Palatino Linotype" w:hAnsi="Palatino Linotype" w:cs="Tahoma"/>
          <w:color w:val="0D0D0D" w:themeColor="text1" w:themeTint="F2"/>
        </w:rPr>
        <w:t>s</w:t>
      </w:r>
      <w:r w:rsidR="00B0695D" w:rsidRPr="00B0695D">
        <w:rPr>
          <w:rFonts w:ascii="Palatino Linotype" w:hAnsi="Palatino Linotype" w:cs="Tahoma"/>
          <w:color w:val="0D0D0D" w:themeColor="text1" w:themeTint="F2"/>
        </w:rPr>
        <w:t xml:space="preserve"> solicitud de acceso a la información pública</w:t>
      </w:r>
      <w:r w:rsidR="00B0695D" w:rsidRPr="00B0695D">
        <w:rPr>
          <w:rFonts w:ascii="Palatino Linotype" w:hAnsi="Palatino Linotype"/>
          <w:b/>
          <w:bCs/>
          <w:color w:val="FF0000"/>
        </w:rPr>
        <w:t> </w:t>
      </w:r>
      <w:r w:rsidR="00D95A4E">
        <w:rPr>
          <w:rFonts w:ascii="Palatino Linotype" w:hAnsi="Palatino Linotype"/>
          <w:b/>
        </w:rPr>
        <w:t>01266/ZINACANT/IP/2022</w:t>
      </w:r>
      <w:r w:rsidR="009C1B6F" w:rsidRPr="009C1B6F">
        <w:rPr>
          <w:rFonts w:ascii="Palatino Linotype" w:hAnsi="Palatino Linotype" w:cs="Tahoma"/>
          <w:color w:val="0D0D0D" w:themeColor="text1" w:themeTint="F2"/>
        </w:rPr>
        <w:t xml:space="preserve"> </w:t>
      </w:r>
      <w:r w:rsidR="00B0695D" w:rsidRPr="00B0695D">
        <w:rPr>
          <w:rFonts w:ascii="Palatino Linotype" w:hAnsi="Palatino Linotype" w:cs="Tahoma"/>
          <w:bCs/>
          <w:color w:val="0D0D0D"/>
        </w:rPr>
        <w:t>en cumplimiento a la determinación de</w:t>
      </w:r>
      <w:r w:rsidR="009C1B6F">
        <w:rPr>
          <w:rFonts w:ascii="Palatino Linotype" w:hAnsi="Palatino Linotype" w:cs="Tahoma"/>
          <w:bCs/>
          <w:color w:val="0D0D0D"/>
        </w:rPr>
        <w:t xml:space="preserve"> </w:t>
      </w:r>
      <w:r w:rsidR="00B0695D" w:rsidRPr="00B0695D">
        <w:rPr>
          <w:rFonts w:ascii="Palatino Linotype" w:hAnsi="Palatino Linotype" w:cs="Tahoma"/>
          <w:bCs/>
          <w:color w:val="0D0D0D"/>
        </w:rPr>
        <w:t>l</w:t>
      </w:r>
      <w:r w:rsidR="009C1B6F">
        <w:rPr>
          <w:rFonts w:ascii="Palatino Linotype" w:hAnsi="Palatino Linotype" w:cs="Tahoma"/>
          <w:bCs/>
          <w:color w:val="0D0D0D"/>
        </w:rPr>
        <w:t>os</w:t>
      </w:r>
      <w:r w:rsidR="00B0695D" w:rsidRPr="00B0695D">
        <w:rPr>
          <w:rFonts w:ascii="Palatino Linotype" w:hAnsi="Palatino Linotype" w:cs="Tahoma"/>
          <w:bCs/>
          <w:color w:val="0D0D0D"/>
        </w:rPr>
        <w:t xml:space="preserve"> diverso</w:t>
      </w:r>
      <w:r w:rsidR="009C1B6F">
        <w:rPr>
          <w:rFonts w:ascii="Palatino Linotype" w:hAnsi="Palatino Linotype" w:cs="Tahoma"/>
          <w:bCs/>
          <w:color w:val="0D0D0D"/>
        </w:rPr>
        <w:t>s</w:t>
      </w:r>
      <w:r w:rsidR="00B0695D" w:rsidRPr="00B0695D">
        <w:rPr>
          <w:rFonts w:ascii="Palatino Linotype" w:hAnsi="Palatino Linotype" w:cs="Tahoma"/>
          <w:bCs/>
          <w:color w:val="0D0D0D"/>
        </w:rPr>
        <w:t xml:space="preserve"> con número </w:t>
      </w:r>
      <w:r w:rsidR="00D95A4E">
        <w:rPr>
          <w:rFonts w:ascii="Palatino Linotype" w:hAnsi="Palatino Linotype"/>
          <w:b/>
          <w:bCs/>
        </w:rPr>
        <w:t>1759</w:t>
      </w:r>
      <w:r w:rsidR="003B70DC">
        <w:rPr>
          <w:rFonts w:ascii="Palatino Linotype" w:hAnsi="Palatino Linotype"/>
          <w:b/>
          <w:bCs/>
        </w:rPr>
        <w:t>8/INFOEM/IP/RR/2022</w:t>
      </w:r>
      <w:r w:rsidR="00B0695D" w:rsidRPr="00B0695D">
        <w:rPr>
          <w:rFonts w:ascii="Palatino Linotype" w:eastAsia="Calibri" w:hAnsi="Palatino Linotype" w:cs="Tahoma"/>
        </w:rPr>
        <w:t>,</w:t>
      </w:r>
      <w:r w:rsidR="00B0695D">
        <w:rPr>
          <w:rFonts w:eastAsia="Calibri" w:cs="Tahoma"/>
        </w:rPr>
        <w:t xml:space="preserve"> </w:t>
      </w:r>
      <w:r w:rsidRPr="00134CE6">
        <w:rPr>
          <w:rFonts w:ascii="Palatino Linotype" w:hAnsi="Palatino Linotype"/>
          <w:color w:val="000000" w:themeColor="text1"/>
        </w:rPr>
        <w:t>se procede a dictar la presente resolución, con base en los siguientes:</w:t>
      </w:r>
    </w:p>
    <w:p w:rsidR="00CE3153" w:rsidRPr="00134CE6" w:rsidRDefault="00CE3153" w:rsidP="00995B4E">
      <w:pPr>
        <w:spacing w:line="360" w:lineRule="auto"/>
        <w:jc w:val="both"/>
        <w:rPr>
          <w:rFonts w:ascii="Palatino Linotype" w:hAnsi="Palatino Linotype"/>
          <w:b/>
          <w:color w:val="000000" w:themeColor="text1"/>
        </w:rPr>
      </w:pPr>
    </w:p>
    <w:p w:rsidR="009F09BC" w:rsidRDefault="009F09BC" w:rsidP="00995B4E">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CE6">
        <w:rPr>
          <w:rFonts w:ascii="Palatino Linotype" w:hAnsi="Palatino Linotype"/>
          <w:b/>
          <w:color w:val="000000" w:themeColor="text1"/>
          <w:sz w:val="24"/>
          <w:szCs w:val="24"/>
        </w:rPr>
        <w:t>ANTECEDENTES</w:t>
      </w:r>
      <w:bookmarkEnd w:id="1"/>
      <w:bookmarkEnd w:id="2"/>
      <w:bookmarkEnd w:id="3"/>
    </w:p>
    <w:p w:rsidR="00995B4E" w:rsidRPr="00995B4E" w:rsidRDefault="00995B4E" w:rsidP="00995B4E"/>
    <w:p w:rsidR="00D95A4E" w:rsidRDefault="00D95A4E" w:rsidP="00D95A4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078EC">
        <w:rPr>
          <w:rFonts w:ascii="Palatino Linotype" w:eastAsia="Calibri" w:hAnsi="Palatino Linotype" w:cs="Arial"/>
          <w:lang w:val="es-ES"/>
        </w:rPr>
        <w:t xml:space="preserve">El día </w:t>
      </w:r>
      <w:r w:rsidRPr="008209D6">
        <w:rPr>
          <w:rFonts w:ascii="Palatino Linotype" w:eastAsia="Calibri" w:hAnsi="Palatino Linotype" w:cs="Arial"/>
          <w:lang w:val="es-ES"/>
        </w:rPr>
        <w:t>dieciocho de noviembre de dos mil veintidós</w:t>
      </w:r>
      <w:r w:rsidRPr="005078EC">
        <w:rPr>
          <w:rFonts w:ascii="Palatino Linotype" w:hAnsi="Palatino Linotype"/>
          <w:b/>
        </w:rPr>
        <w:t xml:space="preserve">, </w:t>
      </w:r>
      <w:r w:rsidRPr="005078EC">
        <w:rPr>
          <w:rFonts w:ascii="Palatino Linotype" w:eastAsia="Calibri" w:hAnsi="Palatino Linotype" w:cs="Arial"/>
          <w:lang w:val="es-ES"/>
        </w:rPr>
        <w:t xml:space="preserve">se presentó ante el </w:t>
      </w:r>
      <w:r w:rsidRPr="005078EC">
        <w:rPr>
          <w:rFonts w:ascii="Palatino Linotype" w:eastAsia="Calibri" w:hAnsi="Palatino Linotype" w:cs="Arial"/>
          <w:b/>
          <w:lang w:val="es-ES"/>
        </w:rPr>
        <w:t>SUJETO OBLIGADO</w:t>
      </w:r>
      <w:r w:rsidRPr="005078EC">
        <w:rPr>
          <w:rFonts w:ascii="Palatino Linotype" w:eastAsia="Calibri" w:hAnsi="Palatino Linotype" w:cs="Arial"/>
        </w:rPr>
        <w:t xml:space="preserve"> vía </w:t>
      </w:r>
      <w:r>
        <w:rPr>
          <w:rFonts w:ascii="Palatino Linotype" w:eastAsia="Calibri" w:hAnsi="Palatino Linotype" w:cs="Arial"/>
          <w:lang w:val="es-ES"/>
        </w:rPr>
        <w:t>SAIMEX, la solicitud</w:t>
      </w:r>
      <w:r w:rsidRPr="005078EC">
        <w:rPr>
          <w:rFonts w:ascii="Palatino Linotype" w:eastAsia="Calibri" w:hAnsi="Palatino Linotype" w:cs="Arial"/>
          <w:lang w:val="es-ES"/>
        </w:rPr>
        <w:t xml:space="preserve"> de información pública</w:t>
      </w:r>
      <w:r>
        <w:rPr>
          <w:rFonts w:ascii="Palatino Linotype" w:eastAsia="Calibri" w:hAnsi="Palatino Linotype" w:cs="Arial"/>
          <w:lang w:val="es-ES"/>
        </w:rPr>
        <w:t xml:space="preserve"> registrada</w:t>
      </w:r>
      <w:r w:rsidRPr="005078EC">
        <w:rPr>
          <w:rFonts w:ascii="Palatino Linotype" w:eastAsia="Calibri" w:hAnsi="Palatino Linotype" w:cs="Arial"/>
          <w:lang w:val="es-ES"/>
        </w:rPr>
        <w:t xml:space="preserve"> con </w:t>
      </w:r>
      <w:r>
        <w:rPr>
          <w:rFonts w:ascii="Palatino Linotype" w:eastAsia="Calibri" w:hAnsi="Palatino Linotype" w:cs="Arial"/>
          <w:lang w:val="es-ES"/>
        </w:rPr>
        <w:t xml:space="preserve">el </w:t>
      </w:r>
      <w:r w:rsidRPr="005078EC">
        <w:rPr>
          <w:rFonts w:ascii="Palatino Linotype" w:eastAsia="Calibri" w:hAnsi="Palatino Linotype" w:cs="Arial"/>
          <w:lang w:val="es-ES"/>
        </w:rPr>
        <w:t>número</w:t>
      </w:r>
      <w:r>
        <w:rPr>
          <w:rFonts w:ascii="Palatino Linotype" w:hAnsi="Palatino Linotype"/>
          <w:b/>
          <w:bCs/>
          <w:color w:val="000000" w:themeColor="text1"/>
        </w:rPr>
        <w:t xml:space="preserve"> 01266/ZINACANT/IP/2022;</w:t>
      </w:r>
      <w:r w:rsidRPr="005078EC">
        <w:rPr>
          <w:rFonts w:ascii="Palatino Linotype" w:hAnsi="Palatino Linotype"/>
          <w:b/>
          <w:bCs/>
          <w:color w:val="000000" w:themeColor="text1"/>
        </w:rPr>
        <w:t xml:space="preserve"> </w:t>
      </w:r>
      <w:r w:rsidR="00E0309A">
        <w:rPr>
          <w:rFonts w:ascii="Palatino Linotype" w:eastAsia="Calibri" w:hAnsi="Palatino Linotype" w:cs="Arial"/>
          <w:lang w:val="es-ES"/>
        </w:rPr>
        <w:t>en la que</w:t>
      </w:r>
      <w:r w:rsidRPr="005078EC">
        <w:rPr>
          <w:rFonts w:ascii="Palatino Linotype" w:eastAsia="Calibri" w:hAnsi="Palatino Linotype" w:cs="Arial"/>
          <w:lang w:val="es-ES"/>
        </w:rPr>
        <w:t xml:space="preserve"> se solicitó la siguiente información:</w:t>
      </w:r>
    </w:p>
    <w:p w:rsidR="00D95A4E" w:rsidRDefault="00D95A4E" w:rsidP="00D95A4E">
      <w:pPr>
        <w:pStyle w:val="Prrafodelista"/>
        <w:spacing w:before="240" w:after="240" w:line="360" w:lineRule="auto"/>
        <w:ind w:left="0"/>
        <w:jc w:val="both"/>
        <w:rPr>
          <w:rFonts w:ascii="Palatino Linotype" w:eastAsia="Calibri" w:hAnsi="Palatino Linotype" w:cs="Arial"/>
          <w:lang w:val="es-ES"/>
        </w:rPr>
      </w:pPr>
    </w:p>
    <w:p w:rsidR="00D95A4E" w:rsidRDefault="00D95A4E" w:rsidP="00D95A4E">
      <w:pPr>
        <w:pStyle w:val="Prrafodelista"/>
        <w:ind w:left="425" w:right="476"/>
        <w:jc w:val="both"/>
        <w:rPr>
          <w:rFonts w:ascii="Palatino Linotype" w:hAnsi="Palatino Linotype"/>
        </w:rPr>
      </w:pPr>
      <w:r w:rsidRPr="008A699B">
        <w:rPr>
          <w:rFonts w:ascii="Palatino Linotype" w:hAnsi="Palatino Linotype"/>
          <w:i/>
        </w:rPr>
        <w:t>“</w:t>
      </w:r>
      <w:r w:rsidRPr="005C0075">
        <w:rPr>
          <w:rFonts w:ascii="Palatino Linotype" w:hAnsi="Palatino Linotype"/>
          <w:i/>
        </w:rPr>
        <w:t>SOLICITO TODAS LAS MINUTAS DE TRABAJO DEL PRESIDENTE MUNICIPAL DE ENERO 2022</w:t>
      </w:r>
      <w:r w:rsidRPr="008A699B">
        <w:rPr>
          <w:rFonts w:ascii="Palatino Linotype" w:hAnsi="Palatino Linotype"/>
          <w:i/>
        </w:rPr>
        <w:t>”</w:t>
      </w:r>
      <w:r>
        <w:rPr>
          <w:rFonts w:ascii="Palatino Linotype" w:hAnsi="Palatino Linotype"/>
          <w:i/>
        </w:rPr>
        <w:t xml:space="preserve"> </w:t>
      </w:r>
      <w:r w:rsidRPr="00AF4BEE">
        <w:rPr>
          <w:rFonts w:ascii="Palatino Linotype" w:hAnsi="Palatino Linotype"/>
        </w:rPr>
        <w:t>(Sic)</w:t>
      </w:r>
    </w:p>
    <w:p w:rsidR="00D95A4E" w:rsidRPr="00F54C86" w:rsidRDefault="00D95A4E" w:rsidP="00D95A4E">
      <w:pPr>
        <w:pStyle w:val="Prrafodelista"/>
        <w:ind w:left="425" w:right="476"/>
        <w:jc w:val="both"/>
        <w:rPr>
          <w:rFonts w:ascii="Palatino Linotype" w:hAnsi="Palatino Linotype"/>
          <w:i/>
        </w:rPr>
      </w:pPr>
    </w:p>
    <w:p w:rsidR="00D95A4E" w:rsidRPr="006C41D7" w:rsidRDefault="00D95A4E" w:rsidP="00D95A4E">
      <w:pPr>
        <w:pStyle w:val="Prrafodelista"/>
        <w:numPr>
          <w:ilvl w:val="0"/>
          <w:numId w:val="8"/>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Pr="00DA3F4B">
        <w:rPr>
          <w:rFonts w:ascii="Palatino Linotype" w:hAnsi="Palatino Linotype"/>
        </w:rPr>
        <w:t xml:space="preserve">A través del </w:t>
      </w:r>
      <w:r w:rsidRPr="0057514F">
        <w:rPr>
          <w:rFonts w:ascii="Palatino Linotype" w:hAnsi="Palatino Linotype"/>
          <w:b/>
        </w:rPr>
        <w:t>SAIMEX</w:t>
      </w:r>
    </w:p>
    <w:p w:rsidR="00D95A4E" w:rsidRPr="001428DC" w:rsidRDefault="00D95A4E" w:rsidP="00D95A4E">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1428DC">
        <w:rPr>
          <w:rFonts w:ascii="Palatino Linotype" w:hAnsi="Palatino Linotype" w:cs="Arial"/>
          <w:color w:val="000000" w:themeColor="text1"/>
        </w:rPr>
        <w:lastRenderedPageBreak/>
        <w:t xml:space="preserve">El </w:t>
      </w:r>
      <w:r w:rsidRPr="001428DC">
        <w:rPr>
          <w:rFonts w:ascii="Palatino Linotype" w:hAnsi="Palatino Linotype" w:cs="Arial"/>
          <w:b/>
          <w:color w:val="000000" w:themeColor="text1"/>
        </w:rPr>
        <w:t>SUJETO OBLIGADO</w:t>
      </w:r>
      <w:r w:rsidRPr="001428DC">
        <w:rPr>
          <w:rFonts w:ascii="Palatino Linotype" w:hAnsi="Palatino Linotype" w:cs="Arial"/>
          <w:color w:val="000000" w:themeColor="text1"/>
        </w:rPr>
        <w:t xml:space="preserve"> fue omiso en oto</w:t>
      </w:r>
      <w:r>
        <w:rPr>
          <w:rFonts w:ascii="Palatino Linotype" w:hAnsi="Palatino Linotype" w:cs="Arial"/>
          <w:color w:val="000000" w:themeColor="text1"/>
        </w:rPr>
        <w:t>r</w:t>
      </w:r>
      <w:r w:rsidRPr="001428DC">
        <w:rPr>
          <w:rFonts w:ascii="Palatino Linotype" w:hAnsi="Palatino Linotype" w:cs="Arial"/>
          <w:color w:val="000000" w:themeColor="text1"/>
        </w:rPr>
        <w:t>gar una respuesta a la solicitud de información</w:t>
      </w:r>
      <w:r>
        <w:rPr>
          <w:rFonts w:ascii="Palatino Linotype" w:hAnsi="Palatino Linotype" w:cs="Arial"/>
          <w:color w:val="000000" w:themeColor="text1"/>
        </w:rPr>
        <w:t xml:space="preserve">, por </w:t>
      </w:r>
      <w:r w:rsidRPr="00D95A4E">
        <w:rPr>
          <w:rFonts w:ascii="Palatino Linotype" w:hAnsi="Palatino Linotype" w:cs="Arial"/>
          <w:color w:val="000000" w:themeColor="text1"/>
        </w:rPr>
        <w:t>lo que e</w:t>
      </w:r>
      <w:r w:rsidRPr="00D95A4E">
        <w:rPr>
          <w:rFonts w:ascii="Palatino Linotype" w:eastAsia="Times New Roman" w:hAnsi="Palatino Linotype" w:cs="Arial"/>
          <w:color w:val="000000" w:themeColor="text1"/>
          <w:lang w:val="es-ES"/>
        </w:rPr>
        <w:t>l día dieciséis de enero de dos mil veintitrés, el</w:t>
      </w:r>
      <w:r w:rsidRPr="001428DC">
        <w:rPr>
          <w:rFonts w:ascii="Palatino Linotype" w:eastAsia="Times New Roman" w:hAnsi="Palatino Linotype" w:cs="Arial"/>
          <w:color w:val="000000" w:themeColor="text1"/>
          <w:lang w:val="es-ES"/>
        </w:rPr>
        <w:t xml:space="preserve"> particular interpuso el recurso de revisión en contra de la</w:t>
      </w:r>
      <w:r>
        <w:rPr>
          <w:rFonts w:ascii="Palatino Linotype" w:eastAsia="Times New Roman" w:hAnsi="Palatino Linotype" w:cs="Arial"/>
          <w:color w:val="000000" w:themeColor="text1"/>
          <w:lang w:val="es-ES"/>
        </w:rPr>
        <w:t xml:space="preserve"> falta</w:t>
      </w:r>
      <w:r w:rsidRPr="001428DC">
        <w:rPr>
          <w:rFonts w:ascii="Palatino Linotype" w:eastAsia="Times New Roman" w:hAnsi="Palatino Linotype" w:cs="Arial"/>
          <w:color w:val="000000" w:themeColor="text1"/>
          <w:lang w:val="es-ES"/>
        </w:rPr>
        <w:t xml:space="preserve"> respuesta, manifestando las siguientes razones o motivos de inconformidad:</w:t>
      </w:r>
    </w:p>
    <w:p w:rsidR="00D95A4E" w:rsidRPr="00785375" w:rsidRDefault="00D95A4E" w:rsidP="00D95A4E">
      <w:pPr>
        <w:pStyle w:val="Prrafodelista"/>
        <w:tabs>
          <w:tab w:val="left" w:pos="0"/>
        </w:tabs>
        <w:spacing w:line="360" w:lineRule="auto"/>
        <w:ind w:left="0" w:right="49"/>
        <w:jc w:val="both"/>
        <w:rPr>
          <w:rFonts w:ascii="Palatino Linotype" w:hAnsi="Palatino Linotype" w:cs="Arial"/>
          <w:color w:val="000000" w:themeColor="text1"/>
        </w:rPr>
      </w:pPr>
    </w:p>
    <w:p w:rsidR="00D95A4E" w:rsidRPr="00C03BA3" w:rsidRDefault="00D95A4E" w:rsidP="00D95A4E">
      <w:pPr>
        <w:pStyle w:val="Prrafodelista"/>
        <w:numPr>
          <w:ilvl w:val="0"/>
          <w:numId w:val="8"/>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C03BA3">
        <w:rPr>
          <w:rStyle w:val="Ttulo2Car"/>
          <w:rFonts w:ascii="Palatino Linotype" w:hAnsi="Palatino Linotype"/>
          <w:b/>
          <w:color w:val="auto"/>
          <w:sz w:val="24"/>
          <w:szCs w:val="24"/>
        </w:rPr>
        <w:t>Acto impugnado</w:t>
      </w:r>
      <w:bookmarkEnd w:id="4"/>
      <w:r w:rsidRPr="00C03BA3">
        <w:rPr>
          <w:rStyle w:val="Ttulo2Car"/>
          <w:rFonts w:ascii="Palatino Linotype" w:hAnsi="Palatino Linotype"/>
          <w:b/>
          <w:color w:val="000000" w:themeColor="text1"/>
          <w:sz w:val="24"/>
          <w:szCs w:val="24"/>
        </w:rPr>
        <w:t xml:space="preserve">: </w:t>
      </w:r>
      <w:r w:rsidRPr="00C03BA3">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Pr="005C0075">
        <w:rPr>
          <w:rStyle w:val="Ttulo2Car"/>
          <w:rFonts w:ascii="Palatino Linotype" w:hAnsi="Palatino Linotype"/>
          <w:i/>
          <w:color w:val="000000" w:themeColor="text1"/>
          <w:sz w:val="24"/>
          <w:szCs w:val="24"/>
        </w:rPr>
        <w:t>NO ENTREGA INFORMACIÓN</w:t>
      </w:r>
      <w:r w:rsidRPr="00652937">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D95A4E" w:rsidRPr="00785375" w:rsidRDefault="00D95A4E" w:rsidP="00D95A4E">
      <w:pPr>
        <w:spacing w:line="360" w:lineRule="auto"/>
        <w:jc w:val="both"/>
        <w:rPr>
          <w:rFonts w:ascii="Palatino Linotype" w:hAnsi="Palatino Linotype"/>
          <w:color w:val="000000" w:themeColor="text1"/>
        </w:rPr>
      </w:pPr>
    </w:p>
    <w:p w:rsidR="00D95A4E" w:rsidRDefault="00D95A4E" w:rsidP="00D95A4E">
      <w:pPr>
        <w:pStyle w:val="Prrafodelista"/>
        <w:numPr>
          <w:ilvl w:val="0"/>
          <w:numId w:val="8"/>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C03BA3">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C03BA3">
        <w:rPr>
          <w:rFonts w:ascii="Palatino Linotype" w:hAnsi="Palatino Linotype"/>
          <w:b/>
          <w:color w:val="000000" w:themeColor="text1"/>
        </w:rPr>
        <w:t xml:space="preserve"> </w:t>
      </w:r>
      <w:r w:rsidRPr="00C03BA3">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C0075">
        <w:rPr>
          <w:rFonts w:ascii="Palatino Linotype" w:hAnsi="Palatino Linotype"/>
          <w:i/>
          <w:color w:val="000000" w:themeColor="text1"/>
        </w:rPr>
        <w:t>NO ENTREGA INFORMACIÓN</w:t>
      </w:r>
      <w:r>
        <w:rPr>
          <w:rFonts w:ascii="Palatino Linotype" w:hAnsi="Palatino Linotype"/>
          <w:i/>
          <w:color w:val="000000" w:themeColor="text1"/>
        </w:rPr>
        <w:t>”</w:t>
      </w:r>
    </w:p>
    <w:p w:rsidR="00D95A4E" w:rsidRPr="00785375" w:rsidRDefault="00D95A4E" w:rsidP="00D95A4E">
      <w:pPr>
        <w:rPr>
          <w:rFonts w:ascii="Palatino Linotype" w:hAnsi="Palatino Linotype"/>
          <w:color w:val="000000" w:themeColor="text1"/>
        </w:rPr>
      </w:pPr>
    </w:p>
    <w:p w:rsidR="00D95A4E" w:rsidRPr="00D707F7" w:rsidRDefault="00D95A4E" w:rsidP="00D95A4E">
      <w:pPr>
        <w:pStyle w:val="Prrafodelista"/>
        <w:numPr>
          <w:ilvl w:val="0"/>
          <w:numId w:val="1"/>
        </w:numPr>
        <w:spacing w:before="240" w:after="240" w:line="360" w:lineRule="auto"/>
        <w:ind w:left="0" w:firstLine="0"/>
        <w:jc w:val="both"/>
        <w:rPr>
          <w:rFonts w:ascii="Palatino Linotype" w:hAnsi="Palatino Linotype"/>
          <w:i/>
        </w:rPr>
      </w:pPr>
      <w:r>
        <w:rPr>
          <w:rFonts w:ascii="Palatino Linotype" w:eastAsia="Calibri" w:hAnsi="Palatino Linotype" w:cs="Arial"/>
          <w:lang w:val="es-ES"/>
        </w:rPr>
        <w:t>La Comisionada</w:t>
      </w:r>
      <w:r w:rsidRPr="00D707F7">
        <w:rPr>
          <w:rFonts w:ascii="Palatino Linotype" w:eastAsia="Calibri" w:hAnsi="Palatino Linotype" w:cs="Arial"/>
          <w:lang w:val="es-ES"/>
        </w:rPr>
        <w:t xml:space="preserve"> Ponente</w:t>
      </w:r>
      <w:r>
        <w:rPr>
          <w:rFonts w:ascii="Palatino Linotype" w:eastAsia="Calibri" w:hAnsi="Palatino Linotype" w:cs="Arial"/>
          <w:lang w:val="es-ES"/>
        </w:rPr>
        <w:t xml:space="preserve"> </w:t>
      </w:r>
      <w:r w:rsidRPr="00D707F7">
        <w:rPr>
          <w:rFonts w:ascii="Palatino Linotype" w:eastAsia="Calibri" w:hAnsi="Palatino Linotype" w:cs="Arial"/>
          <w:lang w:val="es-ES"/>
        </w:rPr>
        <w:t>con fundamento en lo dispuesto por el artículo 185 fracción II de la ley de la materia, a través del acuerdo de admisión de fecha</w:t>
      </w:r>
      <w:r>
        <w:rPr>
          <w:rFonts w:ascii="Palatino Linotype" w:eastAsia="Calibri" w:hAnsi="Palatino Linotype" w:cs="Arial"/>
          <w:lang w:val="es-ES"/>
        </w:rPr>
        <w:t xml:space="preserve"> </w:t>
      </w:r>
      <w:r w:rsidRPr="00D95A4E">
        <w:rPr>
          <w:rFonts w:ascii="Palatino Linotype" w:eastAsia="Calibri" w:hAnsi="Palatino Linotype" w:cs="Arial"/>
          <w:lang w:val="es-ES"/>
        </w:rPr>
        <w:t xml:space="preserve">trece de enero del año en curso, puso a disposición de las partes </w:t>
      </w:r>
      <w:r w:rsidRPr="00D707F7">
        <w:rPr>
          <w:rFonts w:ascii="Palatino Linotype" w:eastAsia="Calibri" w:hAnsi="Palatino Linotype" w:cs="Arial"/>
          <w:lang w:val="es-ES"/>
        </w:rPr>
        <w:t xml:space="preserve">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w:t>
      </w:r>
      <w:r>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rsidR="00D95A4E" w:rsidRPr="00C0715F" w:rsidRDefault="00D95A4E" w:rsidP="00D95A4E">
      <w:pPr>
        <w:pStyle w:val="Prrafodelista"/>
        <w:spacing w:before="240" w:after="240" w:line="360" w:lineRule="auto"/>
        <w:ind w:left="0"/>
        <w:jc w:val="both"/>
        <w:rPr>
          <w:rFonts w:ascii="Palatino Linotype" w:hAnsi="Palatino Linotype"/>
        </w:rPr>
      </w:pPr>
    </w:p>
    <w:p w:rsidR="00D95A4E" w:rsidRPr="00640620" w:rsidRDefault="00D95A4E" w:rsidP="00D95A4E">
      <w:pPr>
        <w:pStyle w:val="Prrafodelista"/>
        <w:numPr>
          <w:ilvl w:val="0"/>
          <w:numId w:val="1"/>
        </w:numPr>
        <w:spacing w:before="240" w:after="240" w:line="360" w:lineRule="auto"/>
        <w:ind w:left="0" w:firstLine="0"/>
        <w:jc w:val="both"/>
        <w:rPr>
          <w:rFonts w:ascii="Palatino Linotype" w:hAnsi="Palatino Linotype"/>
        </w:rPr>
      </w:pPr>
      <w:r w:rsidRPr="002C4997">
        <w:rPr>
          <w:rFonts w:ascii="Palatino Linotype" w:hAnsi="Palatino Linotype"/>
          <w:color w:val="000000"/>
        </w:rPr>
        <w:t xml:space="preserve">El </w:t>
      </w:r>
      <w:r w:rsidRPr="002C4997">
        <w:rPr>
          <w:rFonts w:ascii="Palatino Linotype" w:hAnsi="Palatino Linotype"/>
          <w:b/>
          <w:color w:val="000000"/>
        </w:rPr>
        <w:t xml:space="preserve">SUJETO </w:t>
      </w:r>
      <w:r w:rsidRPr="006672E1">
        <w:rPr>
          <w:rFonts w:ascii="Palatino Linotype" w:eastAsia="Calibri" w:hAnsi="Palatino Linotype" w:cs="Arial"/>
          <w:b/>
          <w:lang w:val="es-ES"/>
        </w:rPr>
        <w:t>OBLIGADO</w:t>
      </w:r>
      <w:r w:rsidRPr="002C4997">
        <w:rPr>
          <w:rFonts w:ascii="Palatino Linotype" w:hAnsi="Palatino Linotype"/>
          <w:color w:val="000000"/>
        </w:rPr>
        <w:t xml:space="preserve"> </w:t>
      </w:r>
      <w:r w:rsidRPr="00D95A4E">
        <w:rPr>
          <w:rFonts w:ascii="Palatino Linotype" w:hAnsi="Palatino Linotype"/>
          <w:color w:val="000000"/>
        </w:rPr>
        <w:t>diecinueve de enero de dos mil veintidós</w:t>
      </w:r>
      <w:r>
        <w:rPr>
          <w:rFonts w:ascii="Palatino Linotype" w:hAnsi="Palatino Linotype"/>
          <w:color w:val="000000"/>
        </w:rPr>
        <w:t xml:space="preserve"> rindió su informe justificado, el cual fue hecho del conocimiento del solicitante mediante acuerdo de día </w:t>
      </w:r>
      <w:r w:rsidRPr="00D95A4E">
        <w:rPr>
          <w:rFonts w:ascii="Palatino Linotype" w:hAnsi="Palatino Linotype"/>
          <w:color w:val="000000"/>
        </w:rPr>
        <w:t>treinta y uno del mismo mes y año</w:t>
      </w:r>
      <w:r w:rsidRPr="002C4997">
        <w:rPr>
          <w:rFonts w:ascii="Palatino Linotype" w:hAnsi="Palatino Linotype"/>
          <w:color w:val="000000"/>
        </w:rPr>
        <w:t>.</w:t>
      </w:r>
      <w:r>
        <w:rPr>
          <w:rFonts w:ascii="Palatino Linotype" w:hAnsi="Palatino Linotype"/>
          <w:color w:val="000000"/>
        </w:rPr>
        <w:t xml:space="preserve"> </w:t>
      </w:r>
      <w:r w:rsidRPr="002C4997">
        <w:rPr>
          <w:rFonts w:ascii="Palatino Linotype" w:hAnsi="Palatino Linotype"/>
          <w:color w:val="000000"/>
        </w:rPr>
        <w:t xml:space="preserve">Por su parte </w:t>
      </w:r>
      <w:r w:rsidRPr="002C4997">
        <w:rPr>
          <w:rFonts w:ascii="Palatino Linotype" w:hAnsi="Palatino Linotype"/>
          <w:b/>
          <w:color w:val="000000"/>
        </w:rPr>
        <w:t xml:space="preserve">EL PARTICULAR </w:t>
      </w:r>
      <w:r>
        <w:rPr>
          <w:rFonts w:ascii="Palatino Linotype" w:hAnsi="Palatino Linotype"/>
          <w:color w:val="000000"/>
        </w:rPr>
        <w:t>dejó de realizar manifestaciones que a su derecho conviniera y asistiera</w:t>
      </w:r>
      <w:r w:rsidRPr="002C4997">
        <w:rPr>
          <w:rFonts w:ascii="Palatino Linotype" w:hAnsi="Palatino Linotype"/>
          <w:color w:val="000000"/>
        </w:rPr>
        <w:t>.</w:t>
      </w:r>
    </w:p>
    <w:p w:rsidR="00D95A4E" w:rsidRPr="00640620" w:rsidRDefault="00D95A4E" w:rsidP="00D95A4E">
      <w:pPr>
        <w:pStyle w:val="Prrafodelista"/>
        <w:rPr>
          <w:rFonts w:ascii="Palatino Linotype" w:hAnsi="Palatino Linotype"/>
        </w:rPr>
      </w:pPr>
    </w:p>
    <w:p w:rsidR="009C1B6F" w:rsidRPr="00D95A4E" w:rsidRDefault="00D95A4E" w:rsidP="00B75931">
      <w:pPr>
        <w:pStyle w:val="Prrafodelista"/>
        <w:numPr>
          <w:ilvl w:val="0"/>
          <w:numId w:val="1"/>
        </w:numPr>
        <w:spacing w:before="240" w:after="240" w:line="360" w:lineRule="auto"/>
        <w:ind w:left="0" w:firstLine="0"/>
        <w:contextualSpacing w:val="0"/>
        <w:jc w:val="both"/>
        <w:rPr>
          <w:rFonts w:ascii="Palatino Linotype" w:hAnsi="Palatino Linotype"/>
          <w:b/>
          <w:color w:val="000000" w:themeColor="text1"/>
        </w:rPr>
      </w:pPr>
      <w:r w:rsidRPr="00D95A4E">
        <w:rPr>
          <w:rFonts w:ascii="Palatino Linotype" w:hAnsi="Palatino Linotype"/>
        </w:rPr>
        <w:t xml:space="preserve">Mediante </w:t>
      </w:r>
      <w:r w:rsidRPr="00D95A4E">
        <w:rPr>
          <w:rFonts w:ascii="Palatino Linotype" w:hAnsi="Palatino Linotype"/>
          <w:color w:val="000000"/>
        </w:rPr>
        <w:t>acuerdo</w:t>
      </w:r>
      <w:r w:rsidRPr="00D95A4E">
        <w:rPr>
          <w:rFonts w:ascii="Palatino Linotype" w:hAnsi="Palatino Linotype"/>
        </w:rPr>
        <w:t xml:space="preserve"> de fecha </w:t>
      </w:r>
      <w:r w:rsidR="008209D6">
        <w:rPr>
          <w:rFonts w:ascii="Palatino Linotype" w:hAnsi="Palatino Linotype"/>
        </w:rPr>
        <w:t>catorce</w:t>
      </w:r>
      <w:r w:rsidRPr="00D95A4E">
        <w:rPr>
          <w:rFonts w:ascii="Palatino Linotype" w:hAnsi="Palatino Linotype"/>
        </w:rPr>
        <w:t xml:space="preserve"> de febrero del año dos mil veintitrés, se decretó el cierre de instrucción y </w:t>
      </w:r>
      <w:r w:rsidR="003B70DC" w:rsidRPr="00D95A4E">
        <w:rPr>
          <w:rFonts w:ascii="Palatino Linotype" w:hAnsi="Palatino Linotype" w:cs="Arial"/>
        </w:rPr>
        <w:t>a</w:t>
      </w:r>
      <w:r w:rsidR="009C1B6F" w:rsidRPr="00D95A4E">
        <w:rPr>
          <w:rFonts w:ascii="Palatino Linotype" w:hAnsi="Palatino Linotype"/>
        </w:rPr>
        <w:t>l no existir d</w:t>
      </w:r>
      <w:r w:rsidR="00A96A69">
        <w:rPr>
          <w:rFonts w:ascii="Palatino Linotype" w:hAnsi="Palatino Linotype"/>
        </w:rPr>
        <w:t>iligencias por realizar,</w:t>
      </w:r>
      <w:r w:rsidR="003B70DC" w:rsidRPr="00D95A4E">
        <w:rPr>
          <w:rFonts w:ascii="Palatino Linotype" w:hAnsi="Palatino Linotype"/>
        </w:rPr>
        <w:t xml:space="preserve"> se</w:t>
      </w:r>
      <w:r w:rsidR="001269AD" w:rsidRPr="00D95A4E">
        <w:rPr>
          <w:rFonts w:ascii="Palatino Linotype" w:hAnsi="Palatino Linotype"/>
        </w:rPr>
        <w:t xml:space="preserve"> turnó</w:t>
      </w:r>
      <w:r w:rsidR="009C1B6F" w:rsidRPr="00D95A4E">
        <w:rPr>
          <w:rFonts w:ascii="Palatino Linotype" w:eastAsia="MS Mincho" w:hAnsi="Palatino Linotype"/>
        </w:rPr>
        <w:t xml:space="preserve"> el </w:t>
      </w:r>
      <w:r w:rsidR="001C31A4" w:rsidRPr="00D95A4E">
        <w:rPr>
          <w:rFonts w:ascii="Palatino Linotype" w:eastAsia="MS Mincho" w:hAnsi="Palatino Linotype" w:cs="Arial"/>
        </w:rPr>
        <w:t>expediente a resolución.</w:t>
      </w:r>
    </w:p>
    <w:p w:rsidR="001C31A4" w:rsidRPr="001C31A4" w:rsidRDefault="001C31A4" w:rsidP="003B70D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C31A4">
        <w:rPr>
          <w:rFonts w:ascii="Palatino Linotype" w:hAnsi="Palatino Linotype"/>
          <w:color w:val="000000" w:themeColor="text1"/>
        </w:rPr>
        <w:lastRenderedPageBreak/>
        <w:t xml:space="preserve">El </w:t>
      </w:r>
      <w:r w:rsidR="00D95A4E">
        <w:rPr>
          <w:rFonts w:ascii="Palatino Linotype" w:hAnsi="Palatino Linotype"/>
          <w:color w:val="000000" w:themeColor="text1"/>
        </w:rPr>
        <w:t>nueve de febrero</w:t>
      </w:r>
      <w:r w:rsidR="00A9000C">
        <w:rPr>
          <w:rFonts w:ascii="Palatino Linotype" w:hAnsi="Palatino Linotype"/>
          <w:color w:val="000000" w:themeColor="text1"/>
        </w:rPr>
        <w:t xml:space="preserve"> de dos mil veintitré</w:t>
      </w:r>
      <w:r w:rsidR="00A9000C" w:rsidRPr="001C31A4">
        <w:rPr>
          <w:rFonts w:ascii="Palatino Linotype" w:hAnsi="Palatino Linotype"/>
          <w:color w:val="000000" w:themeColor="text1"/>
        </w:rPr>
        <w:t>s</w:t>
      </w:r>
      <w:r w:rsidRPr="001C31A4">
        <w:rPr>
          <w:rFonts w:ascii="Palatino Linotype" w:hAnsi="Palatino Linotype"/>
          <w:color w:val="000000" w:themeColor="text1"/>
        </w:rPr>
        <w:t xml:space="preserve">, en la </w:t>
      </w:r>
      <w:r w:rsidR="00D95A4E">
        <w:rPr>
          <w:rFonts w:ascii="Palatino Linotype" w:hAnsi="Palatino Linotype"/>
          <w:color w:val="000000" w:themeColor="text1"/>
        </w:rPr>
        <w:t>Quint</w:t>
      </w:r>
      <w:r w:rsidR="003B70DC">
        <w:rPr>
          <w:rFonts w:ascii="Palatino Linotype" w:hAnsi="Palatino Linotype"/>
          <w:color w:val="000000" w:themeColor="text1"/>
        </w:rPr>
        <w:t>a</w:t>
      </w:r>
      <w:r w:rsidRPr="001C31A4">
        <w:rPr>
          <w:rFonts w:ascii="Palatino Linotype" w:hAnsi="Palatino Linotype"/>
          <w:color w:val="000000" w:themeColor="text1"/>
        </w:rPr>
        <w:t xml:space="preserve"> Sesión Ordinaria, el Pleno de este Instituto</w:t>
      </w:r>
      <w:r w:rsidR="00D95A4E">
        <w:rPr>
          <w:rFonts w:ascii="Palatino Linotype" w:hAnsi="Palatino Linotype"/>
          <w:color w:val="000000" w:themeColor="text1"/>
        </w:rPr>
        <w:t>,</w:t>
      </w:r>
      <w:r w:rsidRPr="001C31A4">
        <w:rPr>
          <w:rFonts w:ascii="Palatino Linotype" w:hAnsi="Palatino Linotype"/>
          <w:color w:val="000000" w:themeColor="text1"/>
        </w:rPr>
        <w:t xml:space="preserve"> a</w:t>
      </w:r>
      <w:r w:rsidR="00D95A4E">
        <w:rPr>
          <w:rFonts w:ascii="Palatino Linotype" w:hAnsi="Palatino Linotype"/>
          <w:color w:val="000000" w:themeColor="text1"/>
        </w:rPr>
        <w:t>probó la resolución emitida al</w:t>
      </w:r>
      <w:r w:rsidR="00A96A69">
        <w:rPr>
          <w:rFonts w:ascii="Palatino Linotype" w:hAnsi="Palatino Linotype"/>
          <w:color w:val="000000" w:themeColor="text1"/>
        </w:rPr>
        <w:t xml:space="preserve"> R</w:t>
      </w:r>
      <w:r w:rsidRPr="001C31A4">
        <w:rPr>
          <w:rFonts w:ascii="Palatino Linotype" w:hAnsi="Palatino Linotype"/>
          <w:color w:val="000000" w:themeColor="text1"/>
        </w:rPr>
        <w:t>ecurso</w:t>
      </w:r>
      <w:r w:rsidR="00D95A4E">
        <w:rPr>
          <w:rFonts w:ascii="Palatino Linotype" w:hAnsi="Palatino Linotype"/>
          <w:color w:val="000000" w:themeColor="text1"/>
        </w:rPr>
        <w:t xml:space="preserve"> de </w:t>
      </w:r>
      <w:r w:rsidR="00A96A69">
        <w:rPr>
          <w:rFonts w:ascii="Palatino Linotype" w:hAnsi="Palatino Linotype"/>
          <w:color w:val="000000" w:themeColor="text1"/>
        </w:rPr>
        <w:t>R</w:t>
      </w:r>
      <w:r w:rsidR="00D95A4E">
        <w:rPr>
          <w:rFonts w:ascii="Palatino Linotype" w:hAnsi="Palatino Linotype"/>
          <w:color w:val="000000" w:themeColor="text1"/>
        </w:rPr>
        <w:t>evisión de referencia</w:t>
      </w:r>
      <w:r w:rsidRPr="001C31A4">
        <w:rPr>
          <w:rFonts w:ascii="Palatino Linotype" w:hAnsi="Palatino Linotype"/>
          <w:color w:val="000000" w:themeColor="text1"/>
        </w:rPr>
        <w:t>, la cual fue notificada</w:t>
      </w:r>
      <w:r w:rsidR="00995B4E">
        <w:rPr>
          <w:rFonts w:ascii="Palatino Linotype" w:hAnsi="Palatino Linotype"/>
          <w:color w:val="000000" w:themeColor="text1"/>
        </w:rPr>
        <w:t xml:space="preserve"> a</w:t>
      </w:r>
      <w:r w:rsidRPr="001C31A4">
        <w:rPr>
          <w:rFonts w:ascii="Palatino Linotype" w:hAnsi="Palatino Linotype"/>
          <w:color w:val="000000" w:themeColor="text1"/>
        </w:rPr>
        <w:t xml:space="preserve"> </w:t>
      </w:r>
      <w:r w:rsidR="00CE3153" w:rsidRPr="00A9000C">
        <w:rPr>
          <w:rFonts w:ascii="Palatino Linotype" w:hAnsi="Palatino Linotype"/>
          <w:b/>
          <w:color w:val="000000" w:themeColor="text1"/>
        </w:rPr>
        <w:t>EL RECURRENTE</w:t>
      </w:r>
      <w:r w:rsidRPr="001C31A4">
        <w:rPr>
          <w:rFonts w:ascii="Palatino Linotype" w:hAnsi="Palatino Linotype"/>
          <w:color w:val="000000" w:themeColor="text1"/>
        </w:rPr>
        <w:t xml:space="preserve"> el </w:t>
      </w:r>
      <w:r w:rsidR="008209D6">
        <w:rPr>
          <w:rFonts w:ascii="Palatino Linotype" w:hAnsi="Palatino Linotype"/>
          <w:color w:val="000000" w:themeColor="text1"/>
        </w:rPr>
        <w:t>catorc</w:t>
      </w:r>
      <w:r w:rsidR="00D95A4E">
        <w:rPr>
          <w:rFonts w:ascii="Palatino Linotype" w:hAnsi="Palatino Linotype"/>
          <w:color w:val="000000" w:themeColor="text1"/>
        </w:rPr>
        <w:t>e de febrero</w:t>
      </w:r>
      <w:r w:rsidRPr="001C31A4">
        <w:rPr>
          <w:rFonts w:ascii="Palatino Linotype" w:hAnsi="Palatino Linotype"/>
          <w:color w:val="000000" w:themeColor="text1"/>
        </w:rPr>
        <w:t xml:space="preserve"> de dos mil </w:t>
      </w:r>
      <w:r w:rsidR="00A9000C">
        <w:rPr>
          <w:rFonts w:ascii="Palatino Linotype" w:hAnsi="Palatino Linotype"/>
          <w:color w:val="000000" w:themeColor="text1"/>
        </w:rPr>
        <w:t>veintitrés</w:t>
      </w:r>
      <w:r w:rsidRPr="001C31A4">
        <w:rPr>
          <w:rFonts w:ascii="Palatino Linotype" w:hAnsi="Palatino Linotype"/>
          <w:color w:val="000000" w:themeColor="text1"/>
        </w:rPr>
        <w:t xml:space="preserve">, </w:t>
      </w:r>
      <w:r w:rsidRPr="001C31A4">
        <w:rPr>
          <w:rFonts w:ascii="Palatino Linotype" w:hAnsi="Palatino Linotype" w:cs="Tahoma"/>
          <w:bCs/>
        </w:rPr>
        <w:t>en la cual se determinó lo siguiente:</w:t>
      </w:r>
    </w:p>
    <w:p w:rsidR="009C1B6F" w:rsidRDefault="009C1B6F" w:rsidP="001C31A4">
      <w:pPr>
        <w:pStyle w:val="Prrafodelista"/>
        <w:spacing w:line="360" w:lineRule="auto"/>
        <w:ind w:left="0"/>
        <w:contextualSpacing w:val="0"/>
        <w:jc w:val="both"/>
        <w:rPr>
          <w:rFonts w:ascii="Palatino Linotype" w:hAnsi="Palatino Linotype"/>
          <w:b/>
          <w:color w:val="000000" w:themeColor="text1"/>
        </w:rPr>
      </w:pPr>
    </w:p>
    <w:p w:rsidR="00D95A4E" w:rsidRPr="00E0309A" w:rsidRDefault="001C31A4" w:rsidP="00D95A4E">
      <w:pPr>
        <w:spacing w:line="360" w:lineRule="auto"/>
        <w:ind w:left="426" w:right="474"/>
        <w:jc w:val="both"/>
        <w:rPr>
          <w:rFonts w:ascii="Palatino Linotype" w:hAnsi="Palatino Linotype" w:cs="Arial"/>
          <w:bCs/>
          <w:i/>
          <w:sz w:val="22"/>
          <w:lang w:eastAsia="es-MX"/>
        </w:rPr>
      </w:pPr>
      <w:r w:rsidRPr="00E0309A">
        <w:rPr>
          <w:rFonts w:ascii="Palatino Linotype" w:eastAsia="Calibri" w:hAnsi="Palatino Linotype" w:cs="Arial"/>
          <w:b/>
          <w:bCs/>
          <w:i/>
          <w:sz w:val="22"/>
          <w:lang w:val="es-ES"/>
        </w:rPr>
        <w:t>“</w:t>
      </w:r>
      <w:r w:rsidR="00D95A4E" w:rsidRPr="00E0309A">
        <w:rPr>
          <w:rFonts w:ascii="Palatino Linotype" w:hAnsi="Palatino Linotype" w:cs="Arial"/>
          <w:b/>
          <w:i/>
          <w:sz w:val="22"/>
        </w:rPr>
        <w:t xml:space="preserve">PRIMERO. </w:t>
      </w:r>
      <w:r w:rsidR="00D95A4E" w:rsidRPr="00E0309A">
        <w:rPr>
          <w:rFonts w:ascii="Palatino Linotype" w:hAnsi="Palatino Linotype" w:cs="Arial"/>
          <w:i/>
          <w:sz w:val="22"/>
        </w:rPr>
        <w:t>Resultan fundadas las</w:t>
      </w:r>
      <w:r w:rsidR="00D95A4E" w:rsidRPr="00E0309A">
        <w:rPr>
          <w:rFonts w:ascii="Palatino Linotype" w:hAnsi="Palatino Linotype" w:cs="Arial"/>
          <w:b/>
          <w:i/>
          <w:sz w:val="22"/>
        </w:rPr>
        <w:t xml:space="preserve"> </w:t>
      </w:r>
      <w:r w:rsidR="00D95A4E" w:rsidRPr="00E0309A">
        <w:rPr>
          <w:rFonts w:ascii="Palatino Linotype" w:hAnsi="Palatino Linotype" w:cs="Arial"/>
          <w:i/>
          <w:sz w:val="22"/>
          <w:lang w:val="es-ES"/>
        </w:rPr>
        <w:t>razones y motivos de inconformidad hechos valer en el recurso de revisión</w:t>
      </w:r>
      <w:r w:rsidR="00D95A4E" w:rsidRPr="00E0309A">
        <w:rPr>
          <w:rFonts w:ascii="Palatino Linotype" w:hAnsi="Palatino Linotype" w:cs="Arial"/>
          <w:b/>
          <w:bCs/>
          <w:i/>
          <w:sz w:val="22"/>
        </w:rPr>
        <w:t xml:space="preserve"> </w:t>
      </w:r>
      <w:r w:rsidR="00D95A4E" w:rsidRPr="00E0309A">
        <w:rPr>
          <w:rFonts w:ascii="Palatino Linotype" w:eastAsiaTheme="minorHAnsi" w:hAnsi="Palatino Linotype" w:cs="AppleSystemUIFontBold"/>
          <w:b/>
          <w:bCs/>
          <w:i/>
          <w:sz w:val="22"/>
          <w:lang w:eastAsia="en-US"/>
        </w:rPr>
        <w:t xml:space="preserve">17593/INFOEM/IP/RR/2022 </w:t>
      </w:r>
      <w:r w:rsidR="00D95A4E" w:rsidRPr="00E0309A">
        <w:rPr>
          <w:rFonts w:ascii="Palatino Linotype" w:eastAsiaTheme="minorHAnsi" w:hAnsi="Palatino Linotype" w:cs="AppleSystemUIFontBold"/>
          <w:bCs/>
          <w:i/>
          <w:sz w:val="22"/>
          <w:lang w:eastAsia="en-US"/>
        </w:rPr>
        <w:t xml:space="preserve">en </w:t>
      </w:r>
      <w:r w:rsidR="00D95A4E" w:rsidRPr="00E0309A">
        <w:rPr>
          <w:rFonts w:ascii="Palatino Linotype" w:hAnsi="Palatino Linotype" w:cs="Arial"/>
          <w:bCs/>
          <w:i/>
          <w:sz w:val="22"/>
          <w:lang w:eastAsia="es-MX"/>
        </w:rPr>
        <w:t xml:space="preserve">términos de los </w:t>
      </w:r>
      <w:r w:rsidR="00D95A4E" w:rsidRPr="00E0309A">
        <w:rPr>
          <w:rFonts w:ascii="Palatino Linotype" w:hAnsi="Palatino Linotype" w:cs="Arial"/>
          <w:b/>
          <w:bCs/>
          <w:i/>
          <w:sz w:val="22"/>
          <w:lang w:eastAsia="es-MX"/>
        </w:rPr>
        <w:t xml:space="preserve">Considerandos Cuarto y Sexto </w:t>
      </w:r>
      <w:r w:rsidR="00D95A4E" w:rsidRPr="00E0309A">
        <w:rPr>
          <w:rFonts w:ascii="Palatino Linotype" w:hAnsi="Palatino Linotype" w:cs="Arial"/>
          <w:bCs/>
          <w:i/>
          <w:sz w:val="22"/>
          <w:lang w:eastAsia="es-MX"/>
        </w:rPr>
        <w:t>de la presente resolución.</w:t>
      </w:r>
    </w:p>
    <w:p w:rsidR="00D95A4E" w:rsidRPr="00E0309A" w:rsidRDefault="00D95A4E" w:rsidP="00D95A4E">
      <w:pPr>
        <w:spacing w:line="360" w:lineRule="auto"/>
        <w:ind w:left="426" w:right="474"/>
        <w:jc w:val="both"/>
        <w:rPr>
          <w:rFonts w:ascii="Palatino Linotype" w:hAnsi="Palatino Linotype" w:cs="Arial"/>
          <w:bCs/>
          <w:i/>
          <w:sz w:val="22"/>
          <w:lang w:eastAsia="es-MX"/>
        </w:rPr>
      </w:pPr>
    </w:p>
    <w:p w:rsidR="00D95A4E" w:rsidRPr="00E0309A" w:rsidRDefault="00D95A4E" w:rsidP="00D95A4E">
      <w:pPr>
        <w:spacing w:line="360" w:lineRule="auto"/>
        <w:ind w:left="426" w:right="474"/>
        <w:jc w:val="both"/>
        <w:rPr>
          <w:rFonts w:ascii="Palatino Linotype" w:eastAsia="Calibri" w:hAnsi="Palatino Linotype" w:cs="Arial"/>
          <w:i/>
          <w:sz w:val="22"/>
          <w:lang w:val="es-ES"/>
        </w:rPr>
      </w:pPr>
      <w:r w:rsidRPr="00E0309A">
        <w:rPr>
          <w:rFonts w:ascii="Palatino Linotype" w:eastAsia="Calibri" w:hAnsi="Palatino Linotype" w:cs="Arial"/>
          <w:b/>
          <w:bCs/>
          <w:i/>
          <w:sz w:val="22"/>
          <w:lang w:val="es-ES"/>
        </w:rPr>
        <w:t xml:space="preserve">SEGUNDO. </w:t>
      </w:r>
      <w:r w:rsidRPr="00E0309A">
        <w:rPr>
          <w:rFonts w:ascii="Palatino Linotype" w:eastAsia="Calibri" w:hAnsi="Palatino Linotype" w:cs="Arial"/>
          <w:i/>
          <w:sz w:val="22"/>
          <w:lang w:val="es-ES"/>
        </w:rPr>
        <w:t xml:space="preserve">Se </w:t>
      </w:r>
      <w:r w:rsidRPr="00E0309A">
        <w:rPr>
          <w:rFonts w:ascii="Palatino Linotype" w:eastAsia="Calibri" w:hAnsi="Palatino Linotype" w:cs="Arial"/>
          <w:b/>
          <w:i/>
          <w:sz w:val="22"/>
          <w:lang w:val="es-ES"/>
        </w:rPr>
        <w:t xml:space="preserve">ORDENA </w:t>
      </w:r>
      <w:r w:rsidRPr="00E0309A">
        <w:rPr>
          <w:rFonts w:ascii="Palatino Linotype" w:eastAsia="Calibri" w:hAnsi="Palatino Linotype" w:cs="Arial"/>
          <w:i/>
          <w:sz w:val="22"/>
          <w:lang w:val="es-ES"/>
        </w:rPr>
        <w:t xml:space="preserve">al </w:t>
      </w:r>
      <w:r w:rsidRPr="00E0309A">
        <w:rPr>
          <w:rFonts w:ascii="Palatino Linotype" w:eastAsia="MS Mincho" w:hAnsi="Palatino Linotype"/>
          <w:b/>
          <w:i/>
          <w:sz w:val="22"/>
        </w:rPr>
        <w:t>Ayuntamiento de Zinacantepec,</w:t>
      </w:r>
      <w:r w:rsidRPr="00E0309A">
        <w:rPr>
          <w:rFonts w:ascii="Palatino Linotype" w:eastAsia="Calibri" w:hAnsi="Palatino Linotype" w:cs="Arial"/>
          <w:i/>
          <w:sz w:val="22"/>
          <w:lang w:val="es-ES"/>
        </w:rPr>
        <w:t xml:space="preserve"> entregar previa búsqueda exhaustiva y razonable, de ser el caso en versión publica, las minutas de trabajo del Presidente Municipal o el documento similar o análogo, del 1 al 31 de enero de 2022, vía </w:t>
      </w:r>
      <w:r w:rsidRPr="00E0309A">
        <w:rPr>
          <w:rFonts w:ascii="Palatino Linotype" w:eastAsia="Calibri" w:hAnsi="Palatino Linotype" w:cs="Arial"/>
          <w:b/>
          <w:i/>
          <w:sz w:val="22"/>
          <w:lang w:val="es-ES"/>
        </w:rPr>
        <w:t>SAIMEX</w:t>
      </w:r>
      <w:r w:rsidRPr="00E0309A">
        <w:rPr>
          <w:rFonts w:ascii="Palatino Linotype" w:eastAsia="Calibri" w:hAnsi="Palatino Linotype" w:cs="Arial"/>
          <w:i/>
          <w:sz w:val="22"/>
          <w:lang w:val="es-ES"/>
        </w:rPr>
        <w:t xml:space="preserve">. </w:t>
      </w:r>
    </w:p>
    <w:p w:rsidR="00D95A4E" w:rsidRPr="00E0309A" w:rsidRDefault="00D95A4E" w:rsidP="00D95A4E">
      <w:pPr>
        <w:spacing w:line="360" w:lineRule="auto"/>
        <w:ind w:left="426" w:right="474"/>
        <w:jc w:val="both"/>
        <w:rPr>
          <w:rFonts w:ascii="Palatino Linotype" w:eastAsia="Calibri" w:hAnsi="Palatino Linotype" w:cs="Arial"/>
          <w:i/>
          <w:sz w:val="22"/>
          <w:lang w:val="es-ES"/>
        </w:rPr>
      </w:pPr>
    </w:p>
    <w:p w:rsidR="00D95A4E" w:rsidRPr="00E0309A" w:rsidRDefault="00D95A4E" w:rsidP="00D95A4E">
      <w:pPr>
        <w:spacing w:line="360" w:lineRule="auto"/>
        <w:ind w:left="426" w:right="474"/>
        <w:jc w:val="both"/>
        <w:rPr>
          <w:rFonts w:ascii="Palatino Linotype" w:eastAsia="Calibri" w:hAnsi="Palatino Linotype" w:cs="Arial"/>
          <w:b/>
          <w:i/>
          <w:sz w:val="22"/>
        </w:rPr>
      </w:pPr>
      <w:r w:rsidRPr="00E0309A">
        <w:rPr>
          <w:rFonts w:ascii="Palatino Linotype" w:eastAsia="Calibri" w:hAnsi="Palatino Linotype" w:cs="Arial"/>
          <w:i/>
          <w:sz w:val="22"/>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0309A">
        <w:rPr>
          <w:rFonts w:ascii="Palatino Linotype" w:eastAsia="Calibri" w:hAnsi="Palatino Linotype" w:cs="Arial"/>
          <w:b/>
          <w:i/>
          <w:sz w:val="22"/>
        </w:rPr>
        <w:t>RECURRENTE.</w:t>
      </w:r>
    </w:p>
    <w:p w:rsidR="00D95A4E" w:rsidRPr="00E0309A" w:rsidRDefault="00D95A4E" w:rsidP="00D95A4E">
      <w:pPr>
        <w:spacing w:line="360" w:lineRule="auto"/>
        <w:ind w:left="426" w:right="474"/>
        <w:jc w:val="both"/>
        <w:rPr>
          <w:rFonts w:ascii="Palatino Linotype" w:eastAsia="Calibri" w:hAnsi="Palatino Linotype" w:cs="Arial"/>
          <w:b/>
          <w:i/>
          <w:sz w:val="22"/>
        </w:rPr>
      </w:pPr>
    </w:p>
    <w:p w:rsidR="001C31A4" w:rsidRPr="00E0309A" w:rsidRDefault="00D95A4E" w:rsidP="00D95A4E">
      <w:pPr>
        <w:spacing w:line="360" w:lineRule="auto"/>
        <w:ind w:left="426" w:right="474"/>
        <w:jc w:val="both"/>
        <w:rPr>
          <w:rFonts w:ascii="Palatino Linotype" w:eastAsia="Calibri" w:hAnsi="Palatino Linotype" w:cs="Arial"/>
          <w:i/>
          <w:sz w:val="22"/>
        </w:rPr>
      </w:pPr>
      <w:r w:rsidRPr="00E0309A">
        <w:rPr>
          <w:rFonts w:ascii="Palatino Linotype" w:eastAsia="Calibri" w:hAnsi="Palatino Linotype" w:cs="Arial"/>
          <w:i/>
          <w:sz w:val="22"/>
        </w:rPr>
        <w:t xml:space="preserve">Para el caso de que en la información que se ordena, no obre en archivos del </w:t>
      </w:r>
      <w:r w:rsidRPr="00E0309A">
        <w:rPr>
          <w:rFonts w:ascii="Palatino Linotype" w:eastAsia="Calibri" w:hAnsi="Palatino Linotype" w:cs="Arial"/>
          <w:b/>
          <w:i/>
          <w:sz w:val="22"/>
        </w:rPr>
        <w:t>SUJETO OBLIGADO</w:t>
      </w:r>
      <w:r w:rsidRPr="00E0309A">
        <w:rPr>
          <w:rFonts w:ascii="Palatino Linotype" w:eastAsia="Calibri" w:hAnsi="Palatino Linotype" w:cs="Arial"/>
          <w:i/>
          <w:sz w:val="22"/>
        </w:rPr>
        <w:t>, deberá manifestar de manera precisa y clara las razones que expliquen las causas por las cuales no se haya generado, poseído o administrado esa información.</w:t>
      </w:r>
      <w:r w:rsidR="001C31A4" w:rsidRPr="00E0309A">
        <w:rPr>
          <w:rFonts w:ascii="Palatino Linotype" w:hAnsi="Palatino Linotype"/>
          <w:i/>
          <w:sz w:val="22"/>
          <w:shd w:val="clear" w:color="auto" w:fill="FFFFFF"/>
        </w:rPr>
        <w:t>”</w:t>
      </w:r>
    </w:p>
    <w:p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rsidR="00925458" w:rsidRDefault="00925458" w:rsidP="00E25145">
      <w:pPr>
        <w:pStyle w:val="Prrafodelista"/>
        <w:numPr>
          <w:ilvl w:val="0"/>
          <w:numId w:val="1"/>
        </w:numPr>
        <w:spacing w:line="360" w:lineRule="auto"/>
        <w:ind w:left="0" w:firstLine="0"/>
        <w:contextualSpacing w:val="0"/>
        <w:jc w:val="both"/>
        <w:rPr>
          <w:rFonts w:ascii="Palatino Linotype" w:eastAsia="Calibri" w:hAnsi="Palatino Linotype" w:cs="Tahoma"/>
          <w:bCs/>
          <w:color w:val="000000"/>
        </w:rPr>
      </w:pPr>
      <w:r w:rsidRPr="00925458">
        <w:rPr>
          <w:rFonts w:ascii="Palatino Linotype" w:eastAsia="Calibri" w:hAnsi="Palatino Linotype" w:cs="Tahoma"/>
          <w:color w:val="000000"/>
        </w:rPr>
        <w:lastRenderedPageBreak/>
        <w:t xml:space="preserve">De conformidad con el artículo 186, último párrafo de la Ley de Transparencia y Acceso a </w:t>
      </w:r>
      <w:r w:rsidRPr="0039541A">
        <w:rPr>
          <w:rFonts w:ascii="Palatino Linotype" w:hAnsi="Palatino Linotype"/>
          <w:color w:val="000000" w:themeColor="text1"/>
        </w:rPr>
        <w:t>la</w:t>
      </w:r>
      <w:r w:rsidRPr="00925458">
        <w:rPr>
          <w:rFonts w:ascii="Palatino Linotype" w:eastAsia="Calibri" w:hAnsi="Palatino Linotype" w:cs="Tahoma"/>
          <w:color w:val="000000"/>
        </w:rPr>
        <w:t xml:space="preserve"> Información Pública del Estado de México y Municipios, el Sujeto Obligado debió dar cumplimiento a la </w:t>
      </w:r>
      <w:r w:rsidRPr="00925458">
        <w:rPr>
          <w:rFonts w:ascii="Palatino Linotype" w:hAnsi="Palatino Linotype"/>
          <w:color w:val="000000" w:themeColor="text1"/>
        </w:rPr>
        <w:t>Resolución</w:t>
      </w:r>
      <w:r w:rsidRPr="00925458">
        <w:rPr>
          <w:rFonts w:ascii="Palatino Linotype" w:eastAsia="Calibri" w:hAnsi="Palatino Linotype" w:cs="Tahoma"/>
          <w:color w:val="000000"/>
        </w:rPr>
        <w:t xml:space="preserve"> </w:t>
      </w:r>
      <w:r>
        <w:rPr>
          <w:rFonts w:ascii="Palatino Linotype" w:eastAsia="Calibri" w:hAnsi="Palatino Linotype" w:cs="Tahoma"/>
          <w:color w:val="000000"/>
        </w:rPr>
        <w:t>de referencia</w:t>
      </w:r>
      <w:r w:rsidRPr="00925458">
        <w:rPr>
          <w:rFonts w:ascii="Palatino Linotype" w:eastAsia="Calibri" w:hAnsi="Palatino Linotype" w:cs="Tahoma"/>
          <w:color w:val="000000"/>
        </w:rPr>
        <w:t>; sin embargo, de las constancias que obran en l</w:t>
      </w:r>
      <w:r>
        <w:rPr>
          <w:rFonts w:ascii="Palatino Linotype" w:eastAsia="Calibri" w:hAnsi="Palatino Linotype" w:cs="Tahoma"/>
          <w:color w:val="000000"/>
        </w:rPr>
        <w:t>os</w:t>
      </w:r>
      <w:r w:rsidRPr="00925458">
        <w:rPr>
          <w:rFonts w:ascii="Palatino Linotype" w:eastAsia="Calibri" w:hAnsi="Palatino Linotype" w:cs="Tahoma"/>
          <w:color w:val="000000"/>
        </w:rPr>
        <w:t xml:space="preserve"> expediente</w:t>
      </w:r>
      <w:r>
        <w:rPr>
          <w:rFonts w:ascii="Palatino Linotype" w:eastAsia="Calibri" w:hAnsi="Palatino Linotype" w:cs="Tahoma"/>
          <w:color w:val="000000"/>
        </w:rPr>
        <w:t>s</w:t>
      </w:r>
      <w:r w:rsidRPr="00925458">
        <w:rPr>
          <w:rFonts w:ascii="Palatino Linotype" w:eastAsia="Calibri" w:hAnsi="Palatino Linotype" w:cs="Tahoma"/>
          <w:color w:val="000000"/>
        </w:rPr>
        <w:t xml:space="preserve"> electrónico</w:t>
      </w:r>
      <w:r>
        <w:rPr>
          <w:rFonts w:ascii="Palatino Linotype" w:eastAsia="Calibri" w:hAnsi="Palatino Linotype" w:cs="Tahoma"/>
          <w:color w:val="000000"/>
        </w:rPr>
        <w:t>s</w:t>
      </w:r>
      <w:r w:rsidRPr="00925458">
        <w:rPr>
          <w:rFonts w:ascii="Palatino Linotype" w:eastAsia="Calibri" w:hAnsi="Palatino Linotype" w:cs="Tahoma"/>
          <w:color w:val="000000"/>
        </w:rPr>
        <w:t xml:space="preserve"> </w:t>
      </w:r>
      <w:r>
        <w:rPr>
          <w:rFonts w:ascii="Palatino Linotype" w:eastAsia="Calibri" w:hAnsi="Palatino Linotype" w:cs="Tahoma"/>
          <w:color w:val="000000"/>
        </w:rPr>
        <w:t>en que se actúa</w:t>
      </w:r>
      <w:r w:rsidRPr="00925458">
        <w:rPr>
          <w:rFonts w:ascii="Palatino Linotype" w:eastAsia="Calibri" w:hAnsi="Palatino Linotype" w:cs="Tahoma"/>
          <w:color w:val="000000"/>
          <w:lang w:val="es-ES"/>
        </w:rPr>
        <w:t xml:space="preserve">, se advierte que </w:t>
      </w:r>
      <w:r w:rsidRPr="00925458">
        <w:rPr>
          <w:rFonts w:ascii="Palatino Linotype" w:eastAsia="Calibri" w:hAnsi="Palatino Linotype" w:cs="Tahoma"/>
          <w:bCs/>
          <w:color w:val="000000"/>
        </w:rPr>
        <w:t>omitió dicha acción.</w:t>
      </w:r>
    </w:p>
    <w:p w:rsidR="00925458" w:rsidRDefault="00925458" w:rsidP="00E25145">
      <w:pPr>
        <w:pStyle w:val="Prrafodelista"/>
        <w:spacing w:line="360" w:lineRule="auto"/>
        <w:ind w:left="0"/>
        <w:contextualSpacing w:val="0"/>
        <w:rPr>
          <w:rFonts w:ascii="Palatino Linotype" w:eastAsia="Calibri" w:hAnsi="Palatino Linotype" w:cs="Tahoma"/>
          <w:bCs/>
          <w:color w:val="000000"/>
        </w:rPr>
      </w:pPr>
    </w:p>
    <w:p w:rsidR="00925458" w:rsidRPr="00925458" w:rsidRDefault="00925458" w:rsidP="00E25145">
      <w:pPr>
        <w:pStyle w:val="Prrafodelista"/>
        <w:numPr>
          <w:ilvl w:val="0"/>
          <w:numId w:val="1"/>
        </w:numPr>
        <w:spacing w:line="360" w:lineRule="auto"/>
        <w:ind w:left="0" w:firstLine="0"/>
        <w:contextualSpacing w:val="0"/>
        <w:jc w:val="both"/>
        <w:rPr>
          <w:rFonts w:ascii="Palatino Linotype" w:hAnsi="Palatino Linotype" w:cs="Tahoma"/>
          <w:color w:val="0D0D0D" w:themeColor="text1" w:themeTint="F2"/>
        </w:rPr>
      </w:pPr>
      <w:r w:rsidRPr="00E25145">
        <w:rPr>
          <w:rFonts w:ascii="Palatino Linotype" w:eastAsia="Calibri" w:hAnsi="Palatino Linotype" w:cs="Tahoma"/>
          <w:color w:val="000000"/>
        </w:rPr>
        <w:t>Inconforme</w:t>
      </w:r>
      <w:r w:rsidRPr="00925458">
        <w:rPr>
          <w:rFonts w:ascii="Palatino Linotype" w:hAnsi="Palatino Linotype" w:cs="Tahoma"/>
          <w:color w:val="0D0D0D" w:themeColor="text1" w:themeTint="F2"/>
        </w:rPr>
        <w:t xml:space="preserve"> con lo anterior, en fecha </w:t>
      </w:r>
      <w:r w:rsidR="00D95A4E">
        <w:rPr>
          <w:rFonts w:ascii="Palatino Linotype" w:hAnsi="Palatino Linotype" w:cs="Tahoma"/>
          <w:color w:val="0D0D0D" w:themeColor="text1" w:themeTint="F2"/>
        </w:rPr>
        <w:t>siete de</w:t>
      </w:r>
      <w:r w:rsidRPr="00925458">
        <w:rPr>
          <w:rFonts w:ascii="Palatino Linotype" w:hAnsi="Palatino Linotype" w:cs="Tahoma"/>
          <w:color w:val="0D0D0D" w:themeColor="text1" w:themeTint="F2"/>
        </w:rPr>
        <w:t xml:space="preserve"> </w:t>
      </w:r>
      <w:r w:rsidR="00D95A4E">
        <w:rPr>
          <w:rFonts w:ascii="Palatino Linotype" w:hAnsi="Palatino Linotype" w:cs="Tahoma"/>
          <w:color w:val="0D0D0D" w:themeColor="text1" w:themeTint="F2"/>
        </w:rPr>
        <w:t>marz</w:t>
      </w:r>
      <w:r w:rsidRPr="00925458">
        <w:rPr>
          <w:rFonts w:ascii="Palatino Linotype" w:hAnsi="Palatino Linotype" w:cs="Tahoma"/>
          <w:color w:val="0D0D0D" w:themeColor="text1" w:themeTint="F2"/>
        </w:rPr>
        <w:t xml:space="preserve">o dos mil veintitrés, la Particular </w:t>
      </w:r>
      <w:r w:rsidRPr="0039541A">
        <w:rPr>
          <w:rFonts w:ascii="Palatino Linotype" w:eastAsia="Calibri" w:hAnsi="Palatino Linotype" w:cs="Tahoma"/>
          <w:color w:val="000000"/>
        </w:rPr>
        <w:t>interpuso</w:t>
      </w:r>
      <w:r w:rsidRPr="00925458">
        <w:rPr>
          <w:rFonts w:ascii="Palatino Linotype" w:hAnsi="Palatino Linotype" w:cs="Tahoma"/>
          <w:color w:val="0D0D0D" w:themeColor="text1" w:themeTint="F2"/>
        </w:rPr>
        <w:t xml:space="preserve"> los Recurso de Revisión señalados en el anterior Párrafo 1, ante este Instituto a través del Sistema de Acceso a la Información Mexiquense (SAIMEX), en contra de </w:t>
      </w:r>
      <w:r w:rsidRPr="00925458">
        <w:rPr>
          <w:rFonts w:ascii="Palatino Linotype" w:eastAsia="Calibri" w:hAnsi="Palatino Linotype" w:cs="Tahoma"/>
          <w:color w:val="000000"/>
        </w:rPr>
        <w:t>la</w:t>
      </w:r>
      <w:r w:rsidRPr="00925458">
        <w:rPr>
          <w:rFonts w:ascii="Palatino Linotype" w:hAnsi="Palatino Linotype" w:cs="Tahoma"/>
          <w:color w:val="0D0D0D" w:themeColor="text1" w:themeTint="F2"/>
        </w:rPr>
        <w:t xml:space="preserve"> falta de respuesta del Sujeto Obligado, en cumplimiento a la Resolución referida, en donde se agravió de lo siguiente:</w:t>
      </w:r>
    </w:p>
    <w:p w:rsidR="00925458" w:rsidRPr="00E0309A" w:rsidRDefault="00925458" w:rsidP="00925458">
      <w:pPr>
        <w:pStyle w:val="Prrafodelista"/>
        <w:widowControl w:val="0"/>
        <w:autoSpaceDE w:val="0"/>
        <w:autoSpaceDN w:val="0"/>
        <w:adjustRightInd w:val="0"/>
        <w:spacing w:line="360" w:lineRule="auto"/>
        <w:ind w:left="360"/>
        <w:rPr>
          <w:rFonts w:cs="Tahoma"/>
          <w:color w:val="0D0D0D" w:themeColor="text1" w:themeTint="F2"/>
          <w:sz w:val="22"/>
        </w:rPr>
      </w:pPr>
    </w:p>
    <w:p w:rsidR="00925458" w:rsidRPr="00E0309A" w:rsidRDefault="00925458" w:rsidP="00925458">
      <w:pPr>
        <w:pStyle w:val="Prrafodelista"/>
        <w:tabs>
          <w:tab w:val="left" w:pos="4667"/>
        </w:tabs>
        <w:spacing w:line="360" w:lineRule="auto"/>
        <w:ind w:left="360" w:right="567"/>
        <w:rPr>
          <w:rFonts w:ascii="Palatino Linotype" w:eastAsia="Calibri" w:hAnsi="Palatino Linotype" w:cs="Tahoma"/>
          <w:b/>
          <w:bCs/>
          <w:i/>
          <w:color w:val="000000"/>
          <w:sz w:val="22"/>
        </w:rPr>
      </w:pPr>
      <w:r w:rsidRPr="00E0309A">
        <w:rPr>
          <w:rFonts w:ascii="Palatino Linotype" w:eastAsia="Calibri" w:hAnsi="Palatino Linotype" w:cs="Tahoma"/>
          <w:b/>
          <w:bCs/>
          <w:i/>
          <w:color w:val="000000"/>
          <w:sz w:val="22"/>
        </w:rPr>
        <w:t>“ACTO IMPUGNADO</w:t>
      </w:r>
    </w:p>
    <w:p w:rsidR="00925458" w:rsidRPr="00E0309A"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r w:rsidRPr="00E0309A">
        <w:rPr>
          <w:rFonts w:ascii="Palatino Linotype" w:hAnsi="Palatino Linotype"/>
          <w:i/>
          <w:color w:val="000000"/>
          <w:sz w:val="22"/>
        </w:rPr>
        <w:t>“</w:t>
      </w:r>
      <w:r w:rsidR="0039541A" w:rsidRPr="00E0309A">
        <w:rPr>
          <w:rFonts w:ascii="Palatino Linotype" w:hAnsi="Palatino Linotype"/>
          <w:i/>
          <w:color w:val="000000"/>
          <w:sz w:val="22"/>
        </w:rPr>
        <w:t>NO ENTREGA INFORMACIÓN</w:t>
      </w:r>
      <w:r w:rsidRPr="00E0309A">
        <w:rPr>
          <w:rFonts w:ascii="Palatino Linotype" w:eastAsia="Calibri" w:hAnsi="Palatino Linotype" w:cs="Tahoma"/>
          <w:i/>
          <w:color w:val="000000"/>
          <w:sz w:val="22"/>
        </w:rPr>
        <w:t xml:space="preserve">” </w:t>
      </w:r>
      <w:r w:rsidRPr="00E0309A">
        <w:rPr>
          <w:rFonts w:ascii="Palatino Linotype" w:eastAsia="Calibri" w:hAnsi="Palatino Linotype" w:cs="Tahoma"/>
          <w:color w:val="000000"/>
          <w:sz w:val="22"/>
        </w:rPr>
        <w:t>(Sic.)</w:t>
      </w:r>
    </w:p>
    <w:p w:rsidR="00925458" w:rsidRPr="00E0309A"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p>
    <w:p w:rsidR="00925458" w:rsidRPr="00E0309A"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sz w:val="22"/>
        </w:rPr>
      </w:pPr>
      <w:r w:rsidRPr="00E0309A">
        <w:rPr>
          <w:rFonts w:ascii="Palatino Linotype" w:eastAsia="Calibri" w:hAnsi="Palatino Linotype" w:cs="Tahoma"/>
          <w:b/>
          <w:i/>
          <w:color w:val="000000"/>
          <w:sz w:val="22"/>
        </w:rPr>
        <w:t>“RAZONES O MOTIVOS DE LA INCONFORMIDAD</w:t>
      </w:r>
    </w:p>
    <w:p w:rsidR="00925458" w:rsidRPr="00E0309A" w:rsidRDefault="00925458" w:rsidP="00925458">
      <w:pPr>
        <w:pStyle w:val="Prrafodelista"/>
        <w:spacing w:line="360" w:lineRule="auto"/>
        <w:ind w:left="360"/>
        <w:rPr>
          <w:rFonts w:ascii="Palatino Linotype" w:eastAsia="Calibri" w:hAnsi="Palatino Linotype" w:cs="Tahoma"/>
          <w:i/>
          <w:color w:val="000000"/>
          <w:sz w:val="22"/>
        </w:rPr>
      </w:pPr>
      <w:r w:rsidRPr="00E0309A">
        <w:rPr>
          <w:rFonts w:ascii="Palatino Linotype" w:hAnsi="Palatino Linotype"/>
          <w:i/>
          <w:color w:val="000000"/>
          <w:sz w:val="22"/>
        </w:rPr>
        <w:t>“</w:t>
      </w:r>
      <w:r w:rsidR="00D95A4E" w:rsidRPr="00E0309A">
        <w:rPr>
          <w:rFonts w:ascii="Palatino Linotype" w:hAnsi="Palatino Linotype"/>
          <w:i/>
          <w:color w:val="000000"/>
          <w:sz w:val="22"/>
        </w:rPr>
        <w:t>POR FAVOR YA SANCIONEN A ESTE CORRUPTO QUE NO ENTREGA NADA DE LO QUE SE LE SOLICITA NI ACATA LAS RESOLUCIONES DEL INFOEM</w:t>
      </w:r>
      <w:r w:rsidRPr="00E0309A">
        <w:rPr>
          <w:rFonts w:ascii="Palatino Linotype" w:eastAsia="Calibri" w:hAnsi="Palatino Linotype" w:cs="Tahoma"/>
          <w:i/>
          <w:color w:val="000000"/>
          <w:sz w:val="22"/>
        </w:rPr>
        <w:t xml:space="preserve">” </w:t>
      </w:r>
      <w:r w:rsidRPr="00E0309A">
        <w:rPr>
          <w:rFonts w:ascii="Palatino Linotype" w:eastAsia="Calibri" w:hAnsi="Palatino Linotype" w:cs="Tahoma"/>
          <w:color w:val="000000"/>
          <w:sz w:val="22"/>
        </w:rPr>
        <w:t>(Sic.)</w:t>
      </w:r>
    </w:p>
    <w:p w:rsidR="00D95A4E" w:rsidRDefault="00D95A4E" w:rsidP="00925458">
      <w:pPr>
        <w:pStyle w:val="Prrafodelista"/>
        <w:spacing w:line="360" w:lineRule="auto"/>
        <w:ind w:left="360"/>
        <w:rPr>
          <w:rFonts w:ascii="Palatino Linotype" w:eastAsia="Calibri" w:hAnsi="Palatino Linotype" w:cs="Tahoma"/>
          <w:i/>
          <w:color w:val="000000"/>
        </w:rPr>
      </w:pPr>
    </w:p>
    <w:p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t>Mediante acuerdo de</w:t>
      </w:r>
      <w:r w:rsidRPr="00925458">
        <w:rPr>
          <w:rFonts w:ascii="Palatino Linotype" w:hAnsi="Palatino Linotype"/>
          <w:color w:val="000000" w:themeColor="text1"/>
        </w:rPr>
        <w:t xml:space="preserve"> fecha </w:t>
      </w:r>
      <w:r w:rsidR="00F31318">
        <w:rPr>
          <w:rFonts w:ascii="Palatino Linotype" w:hAnsi="Palatino Linotype"/>
          <w:color w:val="000000" w:themeColor="text1"/>
        </w:rPr>
        <w:t>catorce</w:t>
      </w:r>
      <w:r w:rsidR="00F849F2">
        <w:rPr>
          <w:rFonts w:ascii="Palatino Linotype" w:hAnsi="Palatino Linotype"/>
          <w:color w:val="000000" w:themeColor="text1"/>
        </w:rPr>
        <w:t xml:space="preserve"> de </w:t>
      </w:r>
      <w:r w:rsidR="00F31318">
        <w:rPr>
          <w:rFonts w:ascii="Palatino Linotype" w:hAnsi="Palatino Linotype"/>
          <w:color w:val="000000" w:themeColor="text1"/>
        </w:rPr>
        <w:t>marzo</w:t>
      </w:r>
      <w:r w:rsidR="00F849F2">
        <w:rPr>
          <w:rFonts w:ascii="Palatino Linotype" w:hAnsi="Palatino Linotype"/>
          <w:color w:val="000000" w:themeColor="text1"/>
        </w:rPr>
        <w:t xml:space="preserve"> </w:t>
      </w:r>
      <w:r w:rsidRPr="00925458">
        <w:rPr>
          <w:rFonts w:ascii="Palatino Linotype" w:hAnsi="Palatino Linotype"/>
          <w:color w:val="000000" w:themeColor="text1"/>
        </w:rPr>
        <w:t xml:space="preserve">de dos mil </w:t>
      </w:r>
      <w:r w:rsidR="00A9000C">
        <w:rPr>
          <w:rFonts w:ascii="Palatino Linotype" w:hAnsi="Palatino Linotype"/>
          <w:color w:val="000000" w:themeColor="text1"/>
        </w:rPr>
        <w:t>veintitrés</w:t>
      </w:r>
      <w:r w:rsidRPr="00925458">
        <w:rPr>
          <w:rFonts w:ascii="Palatino Linotype" w:hAnsi="Palatino Linotype"/>
          <w:color w:val="000000" w:themeColor="text1"/>
        </w:rPr>
        <w:t xml:space="preserve">, se acordó la admisión del </w:t>
      </w:r>
      <w:r w:rsidRPr="0039541A">
        <w:rPr>
          <w:rFonts w:ascii="Palatino Linotype" w:hAnsi="Palatino Linotype" w:cs="Tahoma"/>
          <w:color w:val="0D0D0D" w:themeColor="text1" w:themeTint="F2"/>
        </w:rPr>
        <w:t>Recurso</w:t>
      </w:r>
      <w:r w:rsidRPr="00925458">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925458">
        <w:rPr>
          <w:rFonts w:ascii="Palatino Linotype" w:hAnsi="Palatino Linotype" w:cs="Tahoma"/>
          <w:color w:val="0D0D0D" w:themeColor="text1" w:themeTint="F2"/>
        </w:rPr>
        <w:t>Municipios</w:t>
      </w:r>
      <w:r w:rsidRPr="00925458">
        <w:rPr>
          <w:rFonts w:ascii="Palatino Linotype" w:hAnsi="Palatino Linotype"/>
          <w:color w:val="000000" w:themeColor="text1"/>
        </w:rPr>
        <w:t xml:space="preserve">, </w:t>
      </w:r>
      <w:r>
        <w:rPr>
          <w:rFonts w:ascii="Palatino Linotype" w:hAnsi="Palatino Linotype"/>
          <w:color w:val="000000" w:themeColor="text1"/>
        </w:rPr>
        <w:t>en donde se</w:t>
      </w:r>
      <w:r w:rsidRPr="00925458">
        <w:rPr>
          <w:rFonts w:ascii="Palatino Linotype" w:hAnsi="Palatino Linotype"/>
          <w:color w:val="000000" w:themeColor="text1"/>
        </w:rPr>
        <w:t xml:space="preserve"> otorgó un plazo de siete días hábiles posteriores a la misma, para que manifestaran lo que a su derecho conviniera y formularan alegatos.</w:t>
      </w:r>
    </w:p>
    <w:p w:rsidR="00925458" w:rsidRDefault="00925458" w:rsidP="00F31318">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25458">
        <w:rPr>
          <w:rFonts w:ascii="Palatino Linotype" w:hAnsi="Palatino Linotype"/>
          <w:color w:val="000000" w:themeColor="text1"/>
        </w:rPr>
        <w:lastRenderedPageBreak/>
        <w:t>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w:t>
      </w:r>
      <w:r w:rsidR="00F31318">
        <w:rPr>
          <w:rFonts w:ascii="Palatino Linotype" w:hAnsi="Palatino Linotype"/>
          <w:color w:val="000000" w:themeColor="text1"/>
        </w:rPr>
        <w:t>l</w:t>
      </w:r>
      <w:r w:rsidR="00F31318" w:rsidRPr="00F31318">
        <w:rPr>
          <w:rFonts w:ascii="Palatino Linotype" w:hAnsi="Palatino Linotype"/>
          <w:color w:val="000000" w:themeColor="text1"/>
        </w:rPr>
        <w:t>os días tres de abril y veintisiete de junio de dos mil veintitrés, remitió</w:t>
      </w:r>
      <w:r w:rsidR="00F31318">
        <w:rPr>
          <w:rFonts w:ascii="Palatino Linotype" w:hAnsi="Palatino Linotype"/>
          <w:color w:val="000000" w:themeColor="text1"/>
        </w:rPr>
        <w:t xml:space="preserve"> tres</w:t>
      </w:r>
      <w:r w:rsidR="00F31318" w:rsidRPr="00F31318">
        <w:rPr>
          <w:rFonts w:ascii="Palatino Linotype" w:hAnsi="Palatino Linotype"/>
          <w:color w:val="000000" w:themeColor="text1"/>
        </w:rPr>
        <w:t xml:space="preserve"> archivos en calidad de informe justificado, en lo</w:t>
      </w:r>
      <w:r w:rsidR="00F31318">
        <w:rPr>
          <w:rFonts w:ascii="Palatino Linotype" w:hAnsi="Palatino Linotype"/>
          <w:color w:val="000000" w:themeColor="text1"/>
        </w:rPr>
        <w:t>s</w:t>
      </w:r>
      <w:r w:rsidR="00F31318" w:rsidRPr="00F31318">
        <w:rPr>
          <w:rFonts w:ascii="Palatino Linotype" w:hAnsi="Palatino Linotype"/>
          <w:color w:val="000000" w:themeColor="text1"/>
        </w:rPr>
        <w:t xml:space="preserve"> que </w:t>
      </w:r>
      <w:r w:rsidR="00F31318" w:rsidRPr="00F31318">
        <w:rPr>
          <w:rFonts w:ascii="Palatino Linotype" w:hAnsi="Palatino Linotype"/>
          <w:i/>
          <w:color w:val="000000" w:themeColor="text1"/>
        </w:rPr>
        <w:t>grosso modo</w:t>
      </w:r>
      <w:r w:rsidR="00F31318" w:rsidRPr="00F31318">
        <w:rPr>
          <w:rFonts w:ascii="Palatino Linotype" w:hAnsi="Palatino Linotype"/>
          <w:color w:val="000000" w:themeColor="text1"/>
        </w:rPr>
        <w:t xml:space="preserve"> solicitó una ampliación de plazo para cumplimiento; asimismo inform</w:t>
      </w:r>
      <w:r w:rsidR="00F31318">
        <w:rPr>
          <w:rFonts w:ascii="Palatino Linotype" w:hAnsi="Palatino Linotype"/>
          <w:color w:val="000000" w:themeColor="text1"/>
        </w:rPr>
        <w:t>ó</w:t>
      </w:r>
      <w:r w:rsidR="00F31318" w:rsidRPr="00F31318">
        <w:rPr>
          <w:rFonts w:ascii="Palatino Linotype" w:hAnsi="Palatino Linotype"/>
          <w:color w:val="000000" w:themeColor="text1"/>
        </w:rPr>
        <w:t xml:space="preserve"> que no obra en sus archivos la información requerida</w:t>
      </w:r>
      <w:r w:rsidR="00F31318">
        <w:rPr>
          <w:rFonts w:ascii="Palatino Linotype" w:hAnsi="Palatino Linotype"/>
          <w:color w:val="000000" w:themeColor="text1"/>
        </w:rPr>
        <w:t xml:space="preserve">, los cuales fueron notificados al particular mediante acuerdo de día nueve de agosto del año en curso. </w:t>
      </w:r>
      <w:r>
        <w:rPr>
          <w:rFonts w:ascii="Palatino Linotype" w:hAnsi="Palatino Linotype"/>
          <w:color w:val="000000" w:themeColor="text1"/>
        </w:rPr>
        <w:t xml:space="preserve">Por su parte </w:t>
      </w:r>
      <w:r w:rsidR="00CE3153">
        <w:rPr>
          <w:rFonts w:ascii="Palatino Linotype" w:hAnsi="Palatino Linotype"/>
          <w:b/>
          <w:color w:val="000000" w:themeColor="text1"/>
        </w:rPr>
        <w:t>EL RECURRENTE</w:t>
      </w:r>
      <w:r>
        <w:rPr>
          <w:rFonts w:ascii="Palatino Linotype" w:hAnsi="Palatino Linotype"/>
          <w:color w:val="000000" w:themeColor="text1"/>
        </w:rPr>
        <w:t xml:space="preserve"> no realizó manifestaciones que a su derecho conviniera y asistiera.</w:t>
      </w:r>
    </w:p>
    <w:p w:rsidR="00925458" w:rsidRPr="00925458" w:rsidRDefault="00925458" w:rsidP="00925458">
      <w:pPr>
        <w:pStyle w:val="Prrafodelista"/>
        <w:rPr>
          <w:rFonts w:ascii="Palatino Linotype" w:hAnsi="Palatino Linotype"/>
          <w:color w:val="000000" w:themeColor="text1"/>
        </w:rPr>
      </w:pPr>
    </w:p>
    <w:p w:rsidR="00330AC9" w:rsidRPr="00A622DB" w:rsidRDefault="00F849F2" w:rsidP="00E25145">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849F2">
        <w:rPr>
          <w:rFonts w:ascii="Palatino Linotype" w:hAnsi="Palatino Linotype"/>
          <w:color w:val="000000" w:themeColor="text1"/>
        </w:rPr>
        <w:t>El día</w:t>
      </w:r>
      <w:r>
        <w:rPr>
          <w:rFonts w:ascii="Palatino Linotype" w:hAnsi="Palatino Linotype"/>
          <w:color w:val="000000" w:themeColor="text1"/>
        </w:rPr>
        <w:t xml:space="preserve"> </w:t>
      </w:r>
      <w:r w:rsidR="00F31318" w:rsidRPr="00E0309A">
        <w:rPr>
          <w:rFonts w:ascii="Palatino Linotype" w:hAnsi="Palatino Linotype"/>
          <w:color w:val="000000" w:themeColor="text1"/>
        </w:rPr>
        <w:t xml:space="preserve">quince de agosto de </w:t>
      </w:r>
      <w:r w:rsidR="00A96A69" w:rsidRPr="00E0309A">
        <w:rPr>
          <w:rFonts w:ascii="Palatino Linotype" w:hAnsi="Palatino Linotype"/>
          <w:color w:val="000000" w:themeColor="text1"/>
        </w:rPr>
        <w:t>dos mil veintitrés,</w:t>
      </w:r>
      <w:r w:rsidR="00A96A69">
        <w:rPr>
          <w:rFonts w:ascii="Palatino Linotype" w:hAnsi="Palatino Linotype"/>
          <w:color w:val="000000" w:themeColor="text1"/>
        </w:rPr>
        <w:t xml:space="preserve"> se decretó el cierre de instrucción; asimismo mediante acuerdo de misma fecha,</w:t>
      </w:r>
      <w:r>
        <w:rPr>
          <w:rFonts w:ascii="Palatino Linotype" w:hAnsi="Palatino Linotype"/>
          <w:color w:val="000000" w:themeColor="text1"/>
        </w:rPr>
        <w:t xml:space="preserve"> se </w:t>
      </w:r>
      <w:r w:rsidR="00925458" w:rsidRPr="00925458">
        <w:rPr>
          <w:rFonts w:ascii="Palatino Linotype" w:hAnsi="Palatino Linotype"/>
          <w:color w:val="000000" w:themeColor="text1"/>
        </w:rPr>
        <w:t xml:space="preserve">amplió el </w:t>
      </w:r>
      <w:r w:rsidR="00A96A69" w:rsidRPr="00925458">
        <w:rPr>
          <w:rFonts w:ascii="Palatino Linotype" w:hAnsi="Palatino Linotype"/>
          <w:color w:val="000000" w:themeColor="text1"/>
        </w:rPr>
        <w:t>término</w:t>
      </w:r>
      <w:r w:rsidR="00925458" w:rsidRPr="00925458">
        <w:rPr>
          <w:rFonts w:ascii="Palatino Linotype" w:hAnsi="Palatino Linotype"/>
          <w:color w:val="000000" w:themeColor="text1"/>
        </w:rPr>
        <w:t xml:space="preserve"> para resolver el recurso de revisión</w:t>
      </w:r>
      <w:r w:rsidR="00A96A69">
        <w:rPr>
          <w:rFonts w:ascii="Palatino Linotype" w:hAnsi="Palatino Linotype"/>
        </w:rPr>
        <w:t>.</w:t>
      </w:r>
      <w:r w:rsidR="00330AC9" w:rsidRPr="00A622DB">
        <w:rPr>
          <w:rFonts w:ascii="Palatino Linotype" w:hAnsi="Palatino Linotype"/>
        </w:rPr>
        <w:t xml:space="preserve"> </w:t>
      </w:r>
      <w:r w:rsidR="00A96A69">
        <w:rPr>
          <w:rFonts w:ascii="Palatino Linotype" w:hAnsi="Palatino Linotype"/>
        </w:rPr>
        <w:t>A</w:t>
      </w:r>
      <w:r w:rsidR="00330AC9" w:rsidRPr="00A622DB">
        <w:rPr>
          <w:rFonts w:ascii="Palatino Linotype" w:hAnsi="Palatino Linotype"/>
        </w:rPr>
        <w:t>l respecto cabe hacer las siguientes precisiones:</w:t>
      </w:r>
    </w:p>
    <w:p w:rsidR="00330AC9" w:rsidRPr="00A622DB" w:rsidRDefault="00330AC9" w:rsidP="00330AC9">
      <w:pPr>
        <w:pStyle w:val="Prrafodelista"/>
        <w:spacing w:line="360" w:lineRule="auto"/>
        <w:rPr>
          <w:rFonts w:ascii="Palatino Linotype" w:hAnsi="Palatino Linotype"/>
          <w:b/>
          <w:color w:val="000000" w:themeColor="text1"/>
        </w:rPr>
      </w:pPr>
    </w:p>
    <w:p w:rsidR="00330AC9" w:rsidRDefault="00330AC9" w:rsidP="007B5FAE">
      <w:pPr>
        <w:pStyle w:val="Prrafodelista"/>
        <w:numPr>
          <w:ilvl w:val="0"/>
          <w:numId w:val="4"/>
        </w:numPr>
        <w:spacing w:line="360" w:lineRule="auto"/>
        <w:ind w:left="284" w:firstLine="0"/>
        <w:contextualSpacing w:val="0"/>
        <w:jc w:val="center"/>
        <w:rPr>
          <w:rFonts w:ascii="Palatino Linotype" w:hAnsi="Palatino Linotype"/>
          <w:b/>
        </w:rPr>
      </w:pPr>
      <w:r w:rsidRPr="00A622DB">
        <w:rPr>
          <w:rFonts w:ascii="Palatino Linotype" w:hAnsi="Palatino Linotype"/>
          <w:b/>
        </w:rPr>
        <w:t>Argumentos a considerar en las resoluciones a los recursos de revisión para justificar los fallos emitidos fuera del plazo legal de 45 días.</w:t>
      </w:r>
    </w:p>
    <w:p w:rsidR="00E25145" w:rsidRPr="00A622DB" w:rsidRDefault="00E25145" w:rsidP="00E25145">
      <w:pPr>
        <w:pStyle w:val="Prrafodelista"/>
        <w:spacing w:line="360" w:lineRule="auto"/>
        <w:ind w:left="284"/>
        <w:contextualSpacing w:val="0"/>
        <w:rPr>
          <w:rFonts w:ascii="Palatino Linotype" w:hAnsi="Palatino Linotype"/>
          <w:b/>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Este organismo garante no pasa por alto justificar, que la dilación en la resolución del </w:t>
      </w:r>
      <w:r w:rsidRPr="00A622DB">
        <w:rPr>
          <w:rFonts w:ascii="Palatino Linotype" w:hAnsi="Palatino Linotype"/>
          <w:lang w:val="es-MX"/>
        </w:rPr>
        <w:t>presente</w:t>
      </w:r>
      <w:r w:rsidRPr="00A622DB">
        <w:rPr>
          <w:rFonts w:ascii="Palatino Linotype" w:hAnsi="Palatino Linotype"/>
        </w:rPr>
        <w:t xml:space="preserve"> asunto encuentra justificación en el alto número de recursos de </w:t>
      </w:r>
      <w:r w:rsidRPr="00F849F2">
        <w:rPr>
          <w:rFonts w:ascii="Palatino Linotype" w:hAnsi="Palatino Linotype"/>
          <w:color w:val="000000" w:themeColor="text1"/>
        </w:rPr>
        <w:t>revisión</w:t>
      </w:r>
      <w:r w:rsidRPr="00A622DB">
        <w:rPr>
          <w:rFonts w:ascii="Palatino Linotype" w:hAnsi="Palatino Linotype"/>
        </w:rPr>
        <w:t xml:space="preserve"> recibidos dentro del primer semestre del año dos mil </w:t>
      </w:r>
      <w:r w:rsidR="00A9000C">
        <w:rPr>
          <w:rFonts w:ascii="Palatino Linotype" w:hAnsi="Palatino Linotype"/>
        </w:rPr>
        <w:t>veintitrés</w:t>
      </w:r>
      <w:r w:rsidRPr="00A622DB">
        <w:rPr>
          <w:rFonts w:ascii="Palatino Linotype" w:hAnsi="Palatino Linotype"/>
        </w:rPr>
        <w:t xml:space="preserve">, que, en comparación con </w:t>
      </w:r>
      <w:r w:rsidRPr="00E25145">
        <w:rPr>
          <w:rFonts w:ascii="Palatino Linotype" w:hAnsi="Palatino Linotype"/>
          <w:color w:val="000000" w:themeColor="text1"/>
        </w:rPr>
        <w:t>los</w:t>
      </w:r>
      <w:r w:rsidRPr="00A622DB">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30AC9" w:rsidRPr="00A622DB" w:rsidRDefault="00330AC9" w:rsidP="00330AC9">
      <w:pPr>
        <w:pStyle w:val="Prrafodelista"/>
        <w:spacing w:line="360" w:lineRule="auto"/>
        <w:ind w:left="0"/>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0AC9" w:rsidRPr="00A622DB" w:rsidRDefault="00330AC9" w:rsidP="00330AC9">
      <w:pPr>
        <w:spacing w:line="360" w:lineRule="auto"/>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 xml:space="preserve">Complejidad del Asunto: La complejidad de la prueba, la pluralidad de sujetos procesales, el tiempo transcurrido, las características y contexto del recurso. </w:t>
      </w: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lastRenderedPageBreak/>
        <w:t>Actividad Procesal del interesado. Acciones u omisiones del interesado.</w:t>
      </w:r>
    </w:p>
    <w:p w:rsidR="00330AC9" w:rsidRPr="00A622DB" w:rsidRDefault="00330AC9" w:rsidP="00330AC9">
      <w:pPr>
        <w:spacing w:line="360" w:lineRule="auto"/>
        <w:jc w:val="both"/>
        <w:rPr>
          <w:rFonts w:ascii="Palatino Linotype" w:hAnsi="Palatino Linotype"/>
        </w:rPr>
      </w:pP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Conducta de la Autoridad: Las Acciones u omisiones realizadas en el procedimiento. Así como si la autoridad actuó con la debida diligencia.</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La afectación generada en la situación jurídica de la persona involucrada en el proceso: Violación a sus derechos humanos.</w:t>
      </w:r>
    </w:p>
    <w:p w:rsidR="00330AC9" w:rsidRPr="00A622DB" w:rsidRDefault="00330AC9" w:rsidP="00330AC9">
      <w:pPr>
        <w:pStyle w:val="Prrafodelista"/>
        <w:spacing w:line="360" w:lineRule="auto"/>
        <w:ind w:left="927"/>
        <w:jc w:val="both"/>
        <w:rPr>
          <w:rFonts w:ascii="Palatino Linotype" w:hAnsi="Palatino Linotype"/>
        </w:rPr>
      </w:pPr>
    </w:p>
    <w:p w:rsidR="00330AC9"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25145" w:rsidRDefault="00E25145" w:rsidP="00E25145">
      <w:pPr>
        <w:pStyle w:val="Prrafodelista"/>
        <w:spacing w:line="360" w:lineRule="auto"/>
        <w:ind w:left="0"/>
        <w:contextualSpacing w:val="0"/>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b/>
        </w:rPr>
      </w:pPr>
      <w:r w:rsidRPr="00A622DB">
        <w:rPr>
          <w:rFonts w:ascii="Palatino Linotype" w:hAnsi="Palatino Linotype"/>
        </w:rPr>
        <w:t xml:space="preserve">Argumento que encuentra sustento en la jurisprudencia P./J. 32/92 emitida por el Pleno de la Suprema Corte de Justicia de la Nación de rubro </w:t>
      </w:r>
      <w:r w:rsidRPr="00A622DB">
        <w:rPr>
          <w:rFonts w:ascii="Palatino Linotype" w:hAnsi="Palatino Linotype"/>
          <w:i/>
        </w:rPr>
        <w:t xml:space="preserve">“TÉRMINOS </w:t>
      </w:r>
      <w:r w:rsidRPr="00E25145">
        <w:rPr>
          <w:rFonts w:ascii="Palatino Linotype" w:hAnsi="Palatino Linotype"/>
        </w:rPr>
        <w:t>PROCESALES</w:t>
      </w:r>
      <w:r w:rsidRPr="00A622DB">
        <w:rPr>
          <w:rFonts w:ascii="Palatino Linotype" w:hAnsi="Palatino Linotype"/>
          <w:i/>
        </w:rPr>
        <w:t>. PARA DETERMINAR SI UN FUNCIONARIO JUDICIAL ACTUÓ INDEBIDAMENTE POR NO RESPETARLOS SE DEBE ATENDER AL PRESUPUESTO QUE CONSIDERÓ EL LEGISLADOR AL FIJARLOS Y LAS CARACTERÍSTICAS DEL CASO.”</w:t>
      </w:r>
      <w:r w:rsidRPr="00A622DB">
        <w:rPr>
          <w:rFonts w:ascii="Palatino Linotype" w:hAnsi="Palatino Linotype"/>
        </w:rPr>
        <w:t>, visible en la Gaceta del Seminario Judicial de la Federación con el registro digital 205635.</w:t>
      </w:r>
    </w:p>
    <w:p w:rsidR="00330AC9" w:rsidRPr="00A622DB" w:rsidRDefault="00330AC9" w:rsidP="00330AC9">
      <w:pPr>
        <w:spacing w:line="360" w:lineRule="auto"/>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A622DB" w:rsidRDefault="00330AC9" w:rsidP="00330AC9">
      <w:pPr>
        <w:spacing w:line="360" w:lineRule="auto"/>
        <w:jc w:val="both"/>
        <w:rPr>
          <w:rFonts w:ascii="Palatino Linotype" w:hAnsi="Palatino Linotype"/>
        </w:rPr>
      </w:pPr>
    </w:p>
    <w:p w:rsidR="00330AC9" w:rsidRPr="00A622DB"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330AC9" w:rsidRPr="00A622DB" w:rsidRDefault="00330AC9" w:rsidP="00330AC9">
      <w:pPr>
        <w:spacing w:line="360" w:lineRule="auto"/>
        <w:jc w:val="both"/>
        <w:rPr>
          <w:rFonts w:ascii="Palatino Linotype" w:hAnsi="Palatino Linotype"/>
        </w:rPr>
      </w:pPr>
    </w:p>
    <w:p w:rsidR="00330AC9"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330AC9" w:rsidRPr="00E0309A" w:rsidRDefault="00330AC9" w:rsidP="00330AC9">
      <w:pPr>
        <w:spacing w:line="360" w:lineRule="auto"/>
        <w:ind w:left="425" w:right="476"/>
        <w:jc w:val="both"/>
        <w:rPr>
          <w:rFonts w:ascii="Palatino Linotype" w:hAnsi="Palatino Linotype"/>
          <w:sz w:val="22"/>
        </w:rPr>
      </w:pPr>
      <w:r w:rsidRPr="00E0309A">
        <w:rPr>
          <w:rFonts w:ascii="Palatino Linotype" w:hAnsi="Palatino Linotype"/>
          <w:sz w:val="22"/>
        </w:rPr>
        <w:t xml:space="preserve"> </w:t>
      </w:r>
      <w:r w:rsidRPr="00E0309A">
        <w:rPr>
          <w:rFonts w:ascii="Palatino Linotype" w:hAnsi="Palatino Linotype"/>
          <w:i/>
          <w:sz w:val="22"/>
        </w:rPr>
        <w:t>“PLAZO RAZONABLE PARA RESOLVER. DIMENSIÓN Y EFECTOS DE ESTE CONCEPTO CUANDO SE ADUCE EXCESIVA CARGA DE TRABAJO.”</w:t>
      </w:r>
      <w:r w:rsidRPr="00E0309A">
        <w:rPr>
          <w:rFonts w:ascii="Palatino Linotype" w:hAnsi="Palatino Linotype"/>
          <w:sz w:val="22"/>
        </w:rPr>
        <w:t xml:space="preserve"> consultable en el Seminario Judicial de la Federación y su gaceta, con el registro digital 2002351.</w:t>
      </w:r>
    </w:p>
    <w:p w:rsidR="00330AC9" w:rsidRPr="00E0309A" w:rsidRDefault="00330AC9" w:rsidP="00330AC9">
      <w:pPr>
        <w:spacing w:line="360" w:lineRule="auto"/>
        <w:ind w:left="425" w:right="476"/>
        <w:jc w:val="both"/>
        <w:rPr>
          <w:rFonts w:ascii="Palatino Linotype" w:hAnsi="Palatino Linotype"/>
          <w:b/>
          <w:sz w:val="22"/>
        </w:rPr>
      </w:pPr>
    </w:p>
    <w:p w:rsidR="00330AC9" w:rsidRPr="00E0309A" w:rsidRDefault="00330AC9" w:rsidP="00330AC9">
      <w:pPr>
        <w:spacing w:line="360" w:lineRule="auto"/>
        <w:ind w:left="425" w:right="476"/>
        <w:jc w:val="both"/>
        <w:rPr>
          <w:rFonts w:ascii="Palatino Linotype" w:hAnsi="Palatino Linotype"/>
          <w:sz w:val="22"/>
        </w:rPr>
      </w:pPr>
      <w:r w:rsidRPr="00E0309A">
        <w:rPr>
          <w:rFonts w:ascii="Palatino Linotype" w:hAnsi="Palatino Linotype"/>
          <w:i/>
          <w:sz w:val="22"/>
        </w:rPr>
        <w:t xml:space="preserve">“PLAZO RAZONABLE PARA RESOLVER. CONCEPTO Y ELEMENTOS QUE LO INTEGRAN A LA LUZ DEL DERECHO INTERNACIONAL DE LOS DERECHOS </w:t>
      </w:r>
      <w:r w:rsidRPr="00E0309A">
        <w:rPr>
          <w:rFonts w:ascii="Palatino Linotype" w:hAnsi="Palatino Linotype"/>
          <w:i/>
          <w:sz w:val="22"/>
        </w:rPr>
        <w:lastRenderedPageBreak/>
        <w:t>HUMANOS.”</w:t>
      </w:r>
      <w:r w:rsidRPr="00E0309A">
        <w:rPr>
          <w:rFonts w:ascii="Palatino Linotype" w:hAnsi="Palatino Linotype"/>
          <w:sz w:val="22"/>
        </w:rPr>
        <w:t>, visible en el Seminario Judicial de la Federación y su gaceta, con el registro digital 2002350.”</w:t>
      </w:r>
    </w:p>
    <w:p w:rsidR="00330AC9" w:rsidRPr="00A622DB" w:rsidRDefault="00330AC9" w:rsidP="00330AC9">
      <w:pPr>
        <w:pStyle w:val="Prrafodelista"/>
        <w:spacing w:line="360" w:lineRule="auto"/>
        <w:ind w:left="0"/>
        <w:contextualSpacing w:val="0"/>
        <w:jc w:val="both"/>
        <w:rPr>
          <w:rFonts w:ascii="Palatino Linotype" w:hAnsi="Palatino Linotype"/>
          <w:b/>
          <w:color w:val="000000" w:themeColor="text1"/>
        </w:rPr>
      </w:pPr>
    </w:p>
    <w:p w:rsidR="00330AC9" w:rsidRPr="00A622DB" w:rsidRDefault="00592FAC" w:rsidP="007D711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t>P</w:t>
      </w:r>
      <w:r w:rsidR="00F849F2">
        <w:rPr>
          <w:rFonts w:ascii="Palatino Linotype" w:hAnsi="Palatino Linotype"/>
        </w:rPr>
        <w:t>or lo que al</w:t>
      </w:r>
      <w:r w:rsidR="00330AC9" w:rsidRPr="00A622DB">
        <w:rPr>
          <w:rFonts w:ascii="Palatino Linotype" w:hAnsi="Palatino Linotype" w:cs="Arial"/>
        </w:rPr>
        <w:t xml:space="preserve"> no ha</w:t>
      </w:r>
      <w:r w:rsidR="00F849F2">
        <w:rPr>
          <w:rFonts w:ascii="Palatino Linotype" w:hAnsi="Palatino Linotype" w:cs="Arial"/>
        </w:rPr>
        <w:t>ber</w:t>
      </w:r>
      <w:r w:rsidR="00330AC9">
        <w:rPr>
          <w:rFonts w:ascii="Palatino Linotype" w:hAnsi="Palatino Linotype" w:cs="Arial"/>
        </w:rPr>
        <w:t xml:space="preserve"> más que hacer constar, y-</w:t>
      </w:r>
      <w:r w:rsidR="00F849F2">
        <w:rPr>
          <w:rFonts w:ascii="Palatino Linotype" w:hAnsi="Palatino Linotype" w:cs="Arial"/>
        </w:rPr>
        <w:t>-----------------------------------</w:t>
      </w:r>
      <w:r>
        <w:rPr>
          <w:rFonts w:ascii="Palatino Linotype" w:hAnsi="Palatino Linotype" w:cs="Arial"/>
        </w:rPr>
        <w:t>---</w:t>
      </w:r>
    </w:p>
    <w:p w:rsidR="007601B1" w:rsidRPr="007601B1" w:rsidRDefault="007601B1" w:rsidP="007601B1">
      <w:pPr>
        <w:pStyle w:val="Prrafodelista"/>
        <w:rPr>
          <w:rFonts w:ascii="Palatino Linotype" w:hAnsi="Palatino Linotype"/>
          <w:b/>
          <w:color w:val="000000" w:themeColor="text1"/>
        </w:rPr>
      </w:pPr>
    </w:p>
    <w:p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134CE6">
        <w:rPr>
          <w:rFonts w:ascii="Palatino Linotype" w:hAnsi="Palatino Linotype"/>
          <w:b/>
          <w:color w:val="000000" w:themeColor="text1"/>
          <w:sz w:val="24"/>
          <w:szCs w:val="24"/>
        </w:rPr>
        <w:t>CONSIDERANDO</w:t>
      </w:r>
      <w:bookmarkEnd w:id="134"/>
      <w:bookmarkEnd w:id="135"/>
    </w:p>
    <w:p w:rsidR="009F09BC" w:rsidRPr="00134CE6" w:rsidRDefault="009F09BC" w:rsidP="009F09BC">
      <w:pPr>
        <w:rPr>
          <w:rFonts w:ascii="Palatino Linotype" w:hAnsi="Palatino Linotype"/>
          <w:color w:val="000000" w:themeColor="text1"/>
          <w:lang w:val="es-MX" w:eastAsia="en-US"/>
        </w:rPr>
      </w:pPr>
    </w:p>
    <w:p w:rsidR="009F09BC" w:rsidRPr="00134CE6" w:rsidRDefault="009F09BC" w:rsidP="009F09BC">
      <w:pPr>
        <w:pStyle w:val="Ttulo2"/>
        <w:rPr>
          <w:rFonts w:ascii="Palatino Linotype" w:hAnsi="Palatino Linotype"/>
          <w:b/>
          <w:color w:val="000000" w:themeColor="text1"/>
          <w:sz w:val="24"/>
          <w:szCs w:val="24"/>
        </w:rPr>
      </w:pPr>
      <w:bookmarkStart w:id="136" w:name="_Toc491791303"/>
      <w:bookmarkStart w:id="137" w:name="_Toc83128579"/>
      <w:r w:rsidRPr="00134CE6">
        <w:rPr>
          <w:rFonts w:ascii="Palatino Linotype" w:hAnsi="Palatino Linotype"/>
          <w:b/>
          <w:color w:val="000000" w:themeColor="text1"/>
          <w:sz w:val="24"/>
          <w:szCs w:val="24"/>
        </w:rPr>
        <w:t>PRIMERO. De la competencia</w:t>
      </w:r>
      <w:bookmarkEnd w:id="136"/>
      <w:bookmarkEnd w:id="137"/>
    </w:p>
    <w:p w:rsidR="009F09BC" w:rsidRPr="00456AEE" w:rsidRDefault="009F09BC" w:rsidP="00456AEE">
      <w:pPr>
        <w:spacing w:line="360" w:lineRule="auto"/>
        <w:rPr>
          <w:rFonts w:ascii="Palatino Linotype" w:hAnsi="Palatino Linotype"/>
          <w:color w:val="000000" w:themeColor="text1"/>
          <w:lang w:val="es-MX" w:eastAsia="en-US"/>
        </w:rPr>
      </w:pPr>
    </w:p>
    <w:p w:rsidR="00353F1D" w:rsidRPr="00330AC9" w:rsidRDefault="00330AC9"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bookmarkStart w:id="138" w:name="_Hlk63334754"/>
      <w:r w:rsidRPr="00F849F2">
        <w:rPr>
          <w:rFonts w:ascii="Palatino Linotype" w:hAnsi="Palatino Linotype"/>
        </w:rPr>
        <w:t>El</w:t>
      </w:r>
      <w:r w:rsidRPr="00330AC9">
        <w:rPr>
          <w:rFonts w:ascii="Palatino Linotype" w:eastAsia="Times New Roman" w:hAnsi="Palatino Linotype" w:cs="Tahoma"/>
          <w:bCs/>
        </w:rPr>
        <w:t xml:space="preserve"> Instituto de Transparencia, Acceso a la Información Pública y Protección de Datos Personales </w:t>
      </w:r>
      <w:r w:rsidRPr="00330AC9">
        <w:rPr>
          <w:rFonts w:ascii="Palatino Linotype" w:hAnsi="Palatino Linotype"/>
        </w:rPr>
        <w:t>del</w:t>
      </w:r>
      <w:r w:rsidRPr="00330AC9">
        <w:rPr>
          <w:rFonts w:ascii="Palatino Linotype" w:eastAsia="Times New Roman" w:hAnsi="Palatino Linotype" w:cs="Tahoma"/>
          <w:bCs/>
        </w:rPr>
        <w:t xml:space="preserve"> Estado de México y Municipios, es competente para conocer y resolver el presente recurso de revisión interpuesto por la parte recurrente, conforme a lo dispuesto en los artículos 6°, apartado A, de la Constitución Política de los Estados Unidos </w:t>
      </w:r>
      <w:r w:rsidRPr="007D711C">
        <w:rPr>
          <w:rFonts w:ascii="Palatino Linotype" w:hAnsi="Palatino Linotype"/>
        </w:rPr>
        <w:t>Mexicanos</w:t>
      </w:r>
      <w:r w:rsidRPr="00330AC9">
        <w:rPr>
          <w:rFonts w:ascii="Palatino Linotype" w:eastAsia="Times New Roman" w:hAnsi="Palatino Linotype" w:cs="Tahoma"/>
          <w:bCs/>
        </w:rPr>
        <w:t>;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30AC9">
        <w:rPr>
          <w:rFonts w:ascii="Palatino Linotype" w:eastAsia="Times New Roman" w:hAnsi="Palatino Linotype" w:cs="Times New Roman"/>
          <w:bCs/>
        </w:rPr>
        <w:t xml:space="preserve"> 7°, </w:t>
      </w:r>
      <w:r w:rsidRPr="00330AC9">
        <w:rPr>
          <w:rFonts w:ascii="Palatino Linotype" w:eastAsia="Times New Roman" w:hAnsi="Palatino Linotype" w:cs="Tahoma"/>
          <w:bCs/>
        </w:rPr>
        <w:t>9°, fracciones I y XXIII y 11 del Reglamento Interior del Instituto de Transparencia, Acceso a la Información Pública y Protección de Datos Personales del Estado de México y Municipios.</w:t>
      </w:r>
      <w:bookmarkEnd w:id="138"/>
    </w:p>
    <w:p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39" w:name="_Toc491791304"/>
      <w:bookmarkStart w:id="140" w:name="_Toc83128580"/>
      <w:r w:rsidRPr="00456AEE">
        <w:rPr>
          <w:rFonts w:ascii="Palatino Linotype" w:hAnsi="Palatino Linotype"/>
          <w:b/>
          <w:color w:val="000000" w:themeColor="text1"/>
          <w:sz w:val="24"/>
          <w:szCs w:val="24"/>
        </w:rPr>
        <w:t>SEGUNDO. De la oportunidad y procedencia.</w:t>
      </w:r>
      <w:bookmarkEnd w:id="139"/>
      <w:bookmarkEnd w:id="140"/>
    </w:p>
    <w:p w:rsidR="00A56791" w:rsidRPr="00A56791" w:rsidRDefault="00A56791" w:rsidP="00A56791">
      <w:pPr>
        <w:spacing w:line="360" w:lineRule="auto"/>
      </w:pPr>
    </w:p>
    <w:p w:rsidR="008209D6" w:rsidRPr="008912D5" w:rsidRDefault="008209D6" w:rsidP="008209D6">
      <w:pPr>
        <w:pStyle w:val="Prrafodelista"/>
        <w:numPr>
          <w:ilvl w:val="0"/>
          <w:numId w:val="1"/>
        </w:numPr>
        <w:spacing w:line="360" w:lineRule="auto"/>
        <w:ind w:left="0" w:firstLine="0"/>
        <w:contextualSpacing w:val="0"/>
        <w:jc w:val="both"/>
        <w:rPr>
          <w:rFonts w:ascii="Palatino Linotype" w:eastAsia="Times New Roman" w:hAnsi="Palatino Linotype" w:cs="Tahoma"/>
          <w:bCs/>
        </w:rPr>
      </w:pPr>
      <w:r w:rsidRPr="008912D5">
        <w:rPr>
          <w:rFonts w:ascii="Palatino Linotype" w:eastAsia="Times New Roman" w:hAnsi="Palatino Linotype" w:cs="Tahoma"/>
          <w:bCs/>
        </w:rPr>
        <w:lastRenderedPageBreak/>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8912D5">
        <w:rPr>
          <w:rFonts w:ascii="Palatino Linotype" w:hAnsi="Palatino Linotype"/>
        </w:rPr>
        <w:t>previamente</w:t>
      </w:r>
      <w:r w:rsidRPr="008912D5">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209D6" w:rsidRPr="008912D5" w:rsidRDefault="008209D6" w:rsidP="008209D6">
      <w:pPr>
        <w:spacing w:line="360" w:lineRule="auto"/>
        <w:jc w:val="both"/>
        <w:rPr>
          <w:rFonts w:ascii="Palatino Linotype" w:eastAsia="Times New Roman" w:hAnsi="Palatino Linotype" w:cs="Tahoma"/>
          <w:bCs/>
        </w:rPr>
      </w:pPr>
    </w:p>
    <w:p w:rsidR="008209D6" w:rsidRPr="008912D5" w:rsidRDefault="008209D6" w:rsidP="008209D6">
      <w:pPr>
        <w:pStyle w:val="Prrafodelista"/>
        <w:numPr>
          <w:ilvl w:val="0"/>
          <w:numId w:val="1"/>
        </w:numPr>
        <w:spacing w:line="360" w:lineRule="auto"/>
        <w:ind w:left="0" w:firstLine="0"/>
        <w:contextualSpacing w:val="0"/>
        <w:jc w:val="both"/>
        <w:rPr>
          <w:rFonts w:ascii="Palatino Linotype" w:eastAsia="Times New Roman" w:hAnsi="Palatino Linotype" w:cs="Tahoma"/>
        </w:rPr>
      </w:pPr>
      <w:r w:rsidRPr="008912D5">
        <w:rPr>
          <w:rFonts w:ascii="Palatino Linotype" w:eastAsia="Times New Roman" w:hAnsi="Palatino Linotype" w:cs="Tahoma"/>
        </w:rPr>
        <w:t xml:space="preserve">En el </w:t>
      </w:r>
      <w:r w:rsidRPr="00E97684">
        <w:rPr>
          <w:rFonts w:ascii="Palatino Linotype" w:eastAsia="Times New Roman" w:hAnsi="Palatino Linotype" w:cs="Tahoma"/>
          <w:bCs/>
        </w:rPr>
        <w:t>presente</w:t>
      </w:r>
      <w:r w:rsidRPr="008912D5">
        <w:rPr>
          <w:rFonts w:ascii="Palatino Linotype" w:eastAsia="Times New Roman" w:hAnsi="Palatino Linotype" w:cs="Tahoma"/>
        </w:rPr>
        <w:t xml:space="preserve"> caso,</w:t>
      </w:r>
      <w:r w:rsidRPr="008209D6">
        <w:rPr>
          <w:rFonts w:ascii="Palatino Linotype" w:eastAsia="Times New Roman" w:hAnsi="Palatino Linotype" w:cs="Tahoma"/>
        </w:rPr>
        <w:t xml:space="preserve"> </w:t>
      </w:r>
      <w:r w:rsidRPr="008209D6">
        <w:rPr>
          <w:rFonts w:ascii="Palatino Linotype" w:eastAsia="Times New Roman" w:hAnsi="Palatino Linotype" w:cs="Tahoma"/>
          <w:bCs/>
        </w:rPr>
        <w:t>no se actualiza ninguna de las causales de improcedencia</w:t>
      </w:r>
      <w:r w:rsidRPr="008209D6">
        <w:rPr>
          <w:rFonts w:ascii="Palatino Linotype" w:eastAsia="Times New Roman" w:hAnsi="Palatino Linotype" w:cs="Tahoma"/>
        </w:rPr>
        <w:t xml:space="preserve"> establecidas </w:t>
      </w:r>
      <w:r w:rsidRPr="008912D5">
        <w:rPr>
          <w:rFonts w:ascii="Palatino Linotype" w:eastAsia="Times New Roman" w:hAnsi="Palatino Linotype" w:cs="Tahoma"/>
        </w:rPr>
        <w:t>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8209D6" w:rsidRPr="008912D5" w:rsidRDefault="008209D6" w:rsidP="008209D6">
      <w:pPr>
        <w:spacing w:line="360" w:lineRule="auto"/>
        <w:jc w:val="both"/>
        <w:rPr>
          <w:rFonts w:ascii="Palatino Linotype" w:eastAsia="Times New Roman" w:hAnsi="Palatino Linotype" w:cs="Tahoma"/>
        </w:rPr>
      </w:pPr>
    </w:p>
    <w:p w:rsidR="00EF280A" w:rsidRPr="008209D6" w:rsidRDefault="008209D6" w:rsidP="008209D6">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8912D5">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rsidR="008209D6" w:rsidRPr="008209D6" w:rsidRDefault="008209D6" w:rsidP="008209D6">
      <w:pPr>
        <w:pStyle w:val="Prrafodelista"/>
        <w:rPr>
          <w:rFonts w:ascii="Palatino Linotype" w:eastAsia="Times New Roman" w:hAnsi="Palatino Linotype" w:cs="Tahoma"/>
          <w:lang w:val="es-ES"/>
        </w:rPr>
      </w:pPr>
    </w:p>
    <w:p w:rsidR="008209D6" w:rsidRPr="00AB76AB" w:rsidRDefault="008209D6" w:rsidP="008209D6">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hAnsi="Palatino Linotype"/>
        </w:rPr>
        <w:lastRenderedPageBreak/>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209D6" w:rsidRPr="00E0309A" w:rsidRDefault="008209D6" w:rsidP="008209D6">
      <w:pPr>
        <w:spacing w:line="360" w:lineRule="auto"/>
        <w:jc w:val="both"/>
        <w:rPr>
          <w:rFonts w:ascii="Palatino Linotype" w:eastAsia="Palatino Linotype" w:hAnsi="Palatino Linotype" w:cs="Palatino Linotype"/>
          <w:sz w:val="22"/>
        </w:rPr>
      </w:pPr>
    </w:p>
    <w:p w:rsidR="008209D6" w:rsidRPr="00E0309A" w:rsidRDefault="008209D6" w:rsidP="008209D6">
      <w:pPr>
        <w:ind w:left="567"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w:t>
      </w:r>
      <w:r w:rsidRPr="00E0309A">
        <w:rPr>
          <w:rFonts w:ascii="Palatino Linotype" w:eastAsia="Palatino Linotype" w:hAnsi="Palatino Linotype" w:cs="Palatino Linotype"/>
          <w:b/>
          <w:i/>
          <w:sz w:val="22"/>
        </w:rPr>
        <w:t>Las solicitudes anónimas</w:t>
      </w:r>
      <w:r w:rsidRPr="00E0309A">
        <w:rPr>
          <w:rFonts w:ascii="Palatino Linotype" w:eastAsia="Palatino Linotype" w:hAnsi="Palatino Linotype" w:cs="Palatino Linotype"/>
          <w:i/>
          <w:sz w:val="22"/>
        </w:rPr>
        <w:t xml:space="preserve">, con nombre incompleto o seudónimo </w:t>
      </w:r>
      <w:r w:rsidRPr="00E0309A">
        <w:rPr>
          <w:rFonts w:ascii="Palatino Linotype" w:eastAsia="Palatino Linotype" w:hAnsi="Palatino Linotype" w:cs="Palatino Linotype"/>
          <w:b/>
          <w:i/>
          <w:sz w:val="22"/>
        </w:rPr>
        <w:t>serán procedentes para su trámite por parte del sujeto obligado ante quien se presente</w:t>
      </w:r>
      <w:r w:rsidRPr="00E0309A">
        <w:rPr>
          <w:rFonts w:ascii="Palatino Linotype" w:eastAsia="Palatino Linotype" w:hAnsi="Palatino Linotype" w:cs="Palatino Linotype"/>
          <w:i/>
          <w:sz w:val="22"/>
        </w:rPr>
        <w:t>. No podrá requerirse información adicional con motivo del nombre proporcionado por el solicitante."</w:t>
      </w:r>
    </w:p>
    <w:p w:rsidR="008209D6" w:rsidRPr="00E0309A" w:rsidRDefault="008209D6" w:rsidP="008209D6">
      <w:pPr>
        <w:spacing w:line="360" w:lineRule="auto"/>
        <w:jc w:val="both"/>
        <w:rPr>
          <w:rFonts w:ascii="Palatino Linotype" w:eastAsia="Palatino Linotype" w:hAnsi="Palatino Linotype" w:cs="Palatino Linotype"/>
          <w:sz w:val="22"/>
        </w:rPr>
      </w:pPr>
    </w:p>
    <w:p w:rsidR="008209D6" w:rsidRDefault="008209D6" w:rsidP="008209D6">
      <w:pPr>
        <w:pStyle w:val="Prrafodelista"/>
        <w:numPr>
          <w:ilvl w:val="0"/>
          <w:numId w:val="1"/>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rsidR="008209D6" w:rsidRPr="00E0309A" w:rsidRDefault="008209D6" w:rsidP="008209D6">
      <w:pPr>
        <w:pStyle w:val="Prrafodelista"/>
        <w:spacing w:line="360" w:lineRule="auto"/>
        <w:ind w:left="0"/>
        <w:jc w:val="both"/>
        <w:rPr>
          <w:rFonts w:ascii="Palatino Linotype" w:eastAsia="Palatino Linotype" w:hAnsi="Palatino Linotype" w:cs="Palatino Linotype"/>
          <w:sz w:val="22"/>
        </w:rPr>
      </w:pP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w:t>
      </w:r>
      <w:r w:rsidRPr="00E0309A">
        <w:rPr>
          <w:rFonts w:ascii="Palatino Linotype" w:eastAsia="Palatino Linotype" w:hAnsi="Palatino Linotype" w:cs="Palatino Linotype"/>
          <w:b/>
          <w:i/>
          <w:sz w:val="22"/>
        </w:rPr>
        <w:t>Artículo 6.-</w:t>
      </w:r>
      <w:r w:rsidRPr="00E0309A">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Para efectos de lo dispuesto en el presente artículo se observará lo siguiente:</w:t>
      </w:r>
    </w:p>
    <w:p w:rsidR="008209D6" w:rsidRPr="00E0309A" w:rsidRDefault="008209D6" w:rsidP="008209D6">
      <w:pPr>
        <w:ind w:left="426" w:right="476"/>
        <w:jc w:val="both"/>
        <w:rPr>
          <w:rFonts w:ascii="Palatino Linotype" w:eastAsia="Palatino Linotype" w:hAnsi="Palatino Linotype" w:cs="Palatino Linotype"/>
          <w:i/>
          <w:sz w:val="22"/>
        </w:rPr>
      </w:pP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rsidR="008209D6" w:rsidRPr="00E0309A" w:rsidRDefault="008209D6" w:rsidP="008209D6">
      <w:pPr>
        <w:ind w:left="426" w:right="476"/>
        <w:jc w:val="both"/>
        <w:rPr>
          <w:rFonts w:ascii="Palatino Linotype" w:eastAsia="Palatino Linotype" w:hAnsi="Palatino Linotype" w:cs="Palatino Linotype"/>
          <w:i/>
          <w:sz w:val="22"/>
        </w:rPr>
      </w:pP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E0309A">
        <w:rPr>
          <w:rFonts w:ascii="Palatino Linotype" w:eastAsia="Palatino Linotype" w:hAnsi="Palatino Linotype" w:cs="Palatino Linotype"/>
          <w:sz w:val="22"/>
        </w:rPr>
        <w:t>(Sic)</w:t>
      </w:r>
    </w:p>
    <w:p w:rsidR="008209D6" w:rsidRPr="00AB76AB" w:rsidRDefault="008209D6" w:rsidP="008209D6">
      <w:pPr>
        <w:spacing w:line="360" w:lineRule="auto"/>
        <w:ind w:left="567" w:right="474"/>
        <w:jc w:val="both"/>
        <w:rPr>
          <w:rFonts w:ascii="Palatino Linotype" w:eastAsia="Palatino Linotype" w:hAnsi="Palatino Linotype" w:cs="Palatino Linotype"/>
          <w:i/>
        </w:rPr>
      </w:pPr>
    </w:p>
    <w:p w:rsidR="008209D6" w:rsidRDefault="008209D6" w:rsidP="008209D6">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Así como el artículo 5 fracción III, párrafo vigésimo noveno, trigésimo y trigésimo primero, de la Constitución Política del Estado Libre y Soberano de México, que determina lo siguiente:</w:t>
      </w:r>
    </w:p>
    <w:p w:rsidR="008209D6" w:rsidRPr="00E0309A" w:rsidRDefault="008209D6" w:rsidP="008209D6">
      <w:pPr>
        <w:pStyle w:val="Prrafodelista"/>
        <w:spacing w:line="360" w:lineRule="auto"/>
        <w:ind w:left="0"/>
        <w:jc w:val="both"/>
        <w:rPr>
          <w:rFonts w:ascii="Palatino Linotype" w:eastAsia="Palatino Linotype" w:hAnsi="Palatino Linotype" w:cs="Palatino Linotype"/>
          <w:sz w:val="22"/>
        </w:rPr>
      </w:pPr>
    </w:p>
    <w:p w:rsidR="008209D6" w:rsidRPr="00E0309A" w:rsidRDefault="008209D6" w:rsidP="008209D6">
      <w:pPr>
        <w:ind w:left="425"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w:t>
      </w:r>
      <w:r w:rsidRPr="00E0309A">
        <w:rPr>
          <w:rFonts w:ascii="Palatino Linotype" w:eastAsia="Palatino Linotype" w:hAnsi="Palatino Linotype" w:cs="Palatino Linotype"/>
          <w:b/>
          <w:i/>
          <w:sz w:val="22"/>
        </w:rPr>
        <w:t>Artículo 5.-</w:t>
      </w:r>
      <w:r w:rsidRPr="00E0309A">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209D6" w:rsidRPr="00E0309A" w:rsidRDefault="008209D6" w:rsidP="008209D6">
      <w:pPr>
        <w:spacing w:line="360" w:lineRule="auto"/>
        <w:ind w:left="567" w:right="474"/>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w:t>
      </w: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8209D6" w:rsidRPr="00E0309A" w:rsidRDefault="008209D6" w:rsidP="008209D6">
      <w:pPr>
        <w:ind w:left="567"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w:t>
      </w: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rsidR="008209D6" w:rsidRPr="00E0309A" w:rsidRDefault="008209D6" w:rsidP="008209D6">
      <w:pPr>
        <w:ind w:left="567"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w:t>
      </w:r>
    </w:p>
    <w:p w:rsidR="008209D6" w:rsidRPr="00E0309A" w:rsidRDefault="008209D6" w:rsidP="008209D6">
      <w:pPr>
        <w:ind w:left="426"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8209D6" w:rsidRPr="00AB76AB" w:rsidRDefault="008209D6" w:rsidP="008209D6">
      <w:pPr>
        <w:spacing w:line="360" w:lineRule="auto"/>
        <w:ind w:left="567" w:right="474"/>
        <w:jc w:val="both"/>
        <w:rPr>
          <w:rFonts w:ascii="Palatino Linotype" w:eastAsia="Palatino Linotype" w:hAnsi="Palatino Linotype" w:cs="Palatino Linotype"/>
          <w:i/>
        </w:rPr>
      </w:pPr>
    </w:p>
    <w:p w:rsidR="008209D6" w:rsidRPr="00AB76AB" w:rsidRDefault="008209D6" w:rsidP="008209D6">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8209D6" w:rsidRPr="00E0309A" w:rsidRDefault="008209D6" w:rsidP="008209D6">
      <w:pPr>
        <w:ind w:left="425" w:right="47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lastRenderedPageBreak/>
        <w:t>"</w:t>
      </w:r>
      <w:r w:rsidRPr="00E0309A">
        <w:rPr>
          <w:rFonts w:ascii="Palatino Linotype" w:eastAsia="Palatino Linotype" w:hAnsi="Palatino Linotype" w:cs="Palatino Linotype"/>
          <w:b/>
          <w:i/>
          <w:sz w:val="22"/>
        </w:rPr>
        <w:t>Artículo 1</w:t>
      </w:r>
      <w:r w:rsidRPr="00E0309A">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209D6" w:rsidRPr="00E0309A" w:rsidRDefault="008209D6" w:rsidP="008209D6">
      <w:pPr>
        <w:ind w:left="426" w:right="474"/>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8209D6" w:rsidRPr="00E0309A" w:rsidRDefault="008209D6" w:rsidP="008209D6">
      <w:pPr>
        <w:ind w:left="426" w:right="474"/>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209D6" w:rsidRPr="00AB76AB" w:rsidRDefault="008209D6" w:rsidP="008209D6">
      <w:pPr>
        <w:ind w:left="426" w:right="474"/>
        <w:jc w:val="both"/>
        <w:rPr>
          <w:rFonts w:ascii="Palatino Linotype" w:eastAsia="Palatino Linotype" w:hAnsi="Palatino Linotype" w:cs="Palatino Linotype"/>
          <w:i/>
        </w:rPr>
      </w:pPr>
    </w:p>
    <w:p w:rsidR="008209D6" w:rsidRPr="00AB76AB" w:rsidRDefault="008209D6" w:rsidP="008209D6">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209D6" w:rsidRPr="00AB76AB" w:rsidRDefault="008209D6" w:rsidP="008209D6">
      <w:pPr>
        <w:spacing w:line="360" w:lineRule="auto"/>
        <w:jc w:val="both"/>
        <w:rPr>
          <w:rFonts w:ascii="Palatino Linotype" w:eastAsia="Palatino Linotype" w:hAnsi="Palatino Linotype" w:cs="Palatino Linotype"/>
        </w:rPr>
      </w:pPr>
    </w:p>
    <w:p w:rsidR="008209D6" w:rsidRPr="00AB76AB" w:rsidRDefault="008209D6" w:rsidP="008209D6">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209D6" w:rsidRPr="00E0309A" w:rsidRDefault="008209D6" w:rsidP="008209D6">
      <w:pPr>
        <w:spacing w:line="360" w:lineRule="auto"/>
        <w:jc w:val="both"/>
        <w:rPr>
          <w:rFonts w:ascii="Palatino Linotype" w:eastAsia="Palatino Linotype" w:hAnsi="Palatino Linotype" w:cs="Palatino Linotype"/>
          <w:sz w:val="22"/>
        </w:rPr>
      </w:pPr>
    </w:p>
    <w:p w:rsidR="008209D6" w:rsidRPr="00E0309A" w:rsidRDefault="008209D6" w:rsidP="008209D6">
      <w:pPr>
        <w:ind w:left="567" w:right="616"/>
        <w:jc w:val="both"/>
        <w:rPr>
          <w:rFonts w:ascii="Palatino Linotype" w:eastAsia="Palatino Linotype" w:hAnsi="Palatino Linotype" w:cs="Palatino Linotype"/>
          <w:i/>
          <w:sz w:val="22"/>
        </w:rPr>
      </w:pPr>
      <w:r w:rsidRPr="00E0309A">
        <w:rPr>
          <w:rFonts w:ascii="Palatino Linotype" w:eastAsia="Palatino Linotype" w:hAnsi="Palatino Linotype" w:cs="Palatino Linotype"/>
          <w:i/>
          <w:sz w:val="22"/>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w:t>
      </w:r>
      <w:r w:rsidRPr="00E0309A">
        <w:rPr>
          <w:rFonts w:ascii="Palatino Linotype" w:eastAsia="Palatino Linotype" w:hAnsi="Palatino Linotype" w:cs="Palatino Linotype"/>
          <w:i/>
          <w:sz w:val="22"/>
        </w:rPr>
        <w:lastRenderedPageBreak/>
        <w:t>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8209D6" w:rsidRPr="00E0309A" w:rsidRDefault="008209D6" w:rsidP="008209D6">
      <w:pPr>
        <w:spacing w:line="360" w:lineRule="auto"/>
        <w:jc w:val="both"/>
        <w:rPr>
          <w:rFonts w:ascii="Palatino Linotype" w:eastAsia="Palatino Linotype" w:hAnsi="Palatino Linotype" w:cs="Palatino Linotype"/>
          <w:sz w:val="22"/>
        </w:rPr>
      </w:pPr>
    </w:p>
    <w:p w:rsidR="008209D6" w:rsidRPr="00AB76AB" w:rsidRDefault="008209D6" w:rsidP="008209D6">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134CE6" w:rsidRDefault="009F09BC" w:rsidP="00EF280A">
      <w:pPr>
        <w:pStyle w:val="Prrafodelista"/>
        <w:spacing w:line="360" w:lineRule="auto"/>
        <w:ind w:left="0"/>
        <w:jc w:val="both"/>
        <w:rPr>
          <w:rFonts w:ascii="Palatino Linotype" w:hAnsi="Palatino Linotype"/>
          <w:color w:val="000000" w:themeColor="text1"/>
        </w:rPr>
      </w:pPr>
    </w:p>
    <w:p w:rsidR="009F09BC" w:rsidRDefault="009F09BC" w:rsidP="00CF0D2B">
      <w:pPr>
        <w:pStyle w:val="Ttulo1"/>
        <w:spacing w:before="0" w:line="360" w:lineRule="auto"/>
        <w:rPr>
          <w:rFonts w:ascii="Palatino Linotype" w:hAnsi="Palatino Linotype"/>
          <w:b/>
          <w:color w:val="000000" w:themeColor="text1"/>
          <w:sz w:val="24"/>
          <w:szCs w:val="24"/>
        </w:rPr>
      </w:pPr>
      <w:bookmarkStart w:id="141" w:name="_Toc34246179"/>
      <w:bookmarkStart w:id="142" w:name="_Toc50033991"/>
      <w:bookmarkStart w:id="143" w:name="_Toc51259588"/>
      <w:bookmarkStart w:id="144" w:name="_Toc83128581"/>
      <w:r w:rsidRPr="00134CE6">
        <w:rPr>
          <w:rFonts w:ascii="Palatino Linotype" w:hAnsi="Palatino Linotype"/>
          <w:b/>
          <w:color w:val="000000" w:themeColor="text1"/>
          <w:sz w:val="24"/>
          <w:szCs w:val="24"/>
        </w:rPr>
        <w:t xml:space="preserve">TERCERO. </w:t>
      </w:r>
      <w:bookmarkStart w:id="145"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1"/>
      <w:bookmarkEnd w:id="142"/>
      <w:bookmarkEnd w:id="143"/>
      <w:bookmarkEnd w:id="144"/>
      <w:bookmarkEnd w:id="145"/>
    </w:p>
    <w:p w:rsidR="005414D5" w:rsidRDefault="005414D5" w:rsidP="005414D5"/>
    <w:p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Times New Roman" w:hAnsi="Palatino Linotype" w:cs="Arial"/>
          <w:bCs/>
        </w:rPr>
      </w:pPr>
      <w:r w:rsidRPr="005414D5">
        <w:rPr>
          <w:rFonts w:ascii="Palatino Linotype" w:eastAsia="Times New Roman" w:hAnsi="Palatino Linotype" w:cs="Tahoma"/>
        </w:rPr>
        <w:t xml:space="preserve">El artículo 192 de la </w:t>
      </w:r>
      <w:r w:rsidRPr="005414D5">
        <w:rPr>
          <w:rFonts w:ascii="Palatino Linotype" w:eastAsia="Calibri" w:hAnsi="Palatino Linotype" w:cs="Tahoma"/>
          <w:bCs/>
          <w:color w:val="000000"/>
          <w:lang w:eastAsia="es-ES_tradnl"/>
        </w:rPr>
        <w:t xml:space="preserve">Ley Transparencia y Acceso a la Información Pública del Estado de México y </w:t>
      </w:r>
      <w:r w:rsidRPr="005414D5">
        <w:rPr>
          <w:rFonts w:ascii="Palatino Linotype" w:eastAsia="Calibri" w:hAnsi="Palatino Linotype" w:cs="Arial"/>
        </w:rPr>
        <w:t>Municipios</w:t>
      </w:r>
      <w:r w:rsidRPr="005414D5">
        <w:rPr>
          <w:rFonts w:ascii="Palatino Linotype" w:eastAsia="Calibri" w:hAnsi="Palatino Linotype" w:cs="Tahoma"/>
          <w:bCs/>
          <w:color w:val="000000"/>
          <w:lang w:eastAsia="es-ES_tradnl"/>
        </w:rPr>
        <w:t xml:space="preserve">, señala las causales por las cuales se puede sobreseer en todo o </w:t>
      </w:r>
      <w:r w:rsidRPr="00F849F2">
        <w:rPr>
          <w:rFonts w:ascii="Palatino Linotype" w:eastAsia="Calibri" w:hAnsi="Palatino Linotype" w:cs="Arial"/>
        </w:rPr>
        <w:t>en</w:t>
      </w:r>
      <w:r w:rsidRPr="005414D5">
        <w:rPr>
          <w:rFonts w:ascii="Palatino Linotype" w:eastAsia="Calibri" w:hAnsi="Palatino Linotype" w:cs="Tahoma"/>
          <w:bCs/>
          <w:color w:val="000000"/>
          <w:lang w:eastAsia="es-ES_tradnl"/>
        </w:rPr>
        <w:t xml:space="preserve"> parte el Recurso de Revisión;</w:t>
      </w:r>
      <w:r w:rsidRPr="005414D5">
        <w:rPr>
          <w:rFonts w:ascii="Palatino Linotype" w:eastAsia="Calibri" w:hAnsi="Palatino Linotype" w:cs="Tahoma"/>
          <w:lang w:eastAsia="es-ES_tradnl"/>
        </w:rPr>
        <w:t xml:space="preserve"> por lo que hace a la hipótesis prevista en </w:t>
      </w:r>
      <w:r w:rsidRPr="005414D5">
        <w:rPr>
          <w:rFonts w:ascii="Palatino Linotype" w:eastAsia="Calibri" w:hAnsi="Palatino Linotype" w:cs="Tahoma"/>
          <w:bCs/>
          <w:lang w:eastAsia="es-ES_tradnl"/>
        </w:rPr>
        <w:lastRenderedPageBreak/>
        <w:t>la fracción IV,</w:t>
      </w:r>
      <w:r w:rsidRPr="005414D5">
        <w:rPr>
          <w:rFonts w:ascii="Palatino Linotype" w:eastAsia="Calibri" w:hAnsi="Palatino Linotype" w:cs="Tahoma"/>
          <w:lang w:eastAsia="es-ES_tradnl"/>
        </w:rPr>
        <w:t xml:space="preserve"> señala</w:t>
      </w:r>
      <w:r w:rsidR="00BB5758">
        <w:rPr>
          <w:rFonts w:ascii="Palatino Linotype" w:eastAsia="Calibri" w:hAnsi="Palatino Linotype" w:cs="Tahoma"/>
          <w:lang w:eastAsia="es-ES_tradnl"/>
        </w:rPr>
        <w:t xml:space="preserve"> que</w:t>
      </w:r>
      <w:r w:rsidRPr="005414D5">
        <w:rPr>
          <w:rFonts w:ascii="Palatino Linotype" w:eastAsia="Calibri" w:hAnsi="Palatino Linotype" w:cs="Tahoma"/>
          <w:lang w:eastAsia="es-ES_tradnl"/>
        </w:rPr>
        <w:t xml:space="preserve"> una vez admitido el Recurso de Revisión, aparezca alguna causal de improcedencia en términos de la presente Ley, </w:t>
      </w:r>
      <w:r w:rsidRPr="005414D5">
        <w:rPr>
          <w:rFonts w:ascii="Palatino Linotype" w:eastAsia="Calibri" w:hAnsi="Palatino Linotype" w:cs="Tahoma"/>
          <w:bCs/>
          <w:lang w:eastAsia="es-ES_tradnl"/>
        </w:rPr>
        <w:t>resulta necesario traer a colación</w:t>
      </w:r>
      <w:r w:rsidRPr="005414D5">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5414D5">
        <w:rPr>
          <w:rFonts w:ascii="Palatino Linotype" w:eastAsia="Times New Roman" w:hAnsi="Palatino Linotype" w:cs="Arial"/>
          <w:bCs/>
        </w:rPr>
        <w:t>En ese orden de ideas, dicho artículo prevé lo siguiente:</w:t>
      </w:r>
    </w:p>
    <w:p w:rsidR="005414D5" w:rsidRPr="00E0309A" w:rsidRDefault="005414D5" w:rsidP="005414D5">
      <w:pPr>
        <w:spacing w:line="360" w:lineRule="auto"/>
        <w:jc w:val="both"/>
        <w:rPr>
          <w:rFonts w:ascii="Palatino Linotype" w:eastAsia="Times New Roman" w:hAnsi="Palatino Linotype" w:cs="Arial"/>
          <w:bCs/>
          <w:sz w:val="22"/>
        </w:rPr>
      </w:pP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
          <w:bCs/>
          <w:i/>
          <w:sz w:val="22"/>
        </w:rPr>
        <w:t xml:space="preserve">“Artículo 179. </w:t>
      </w:r>
      <w:r w:rsidRPr="00E0309A">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E0309A" w:rsidRDefault="005414D5" w:rsidP="005414D5">
      <w:pPr>
        <w:spacing w:line="360" w:lineRule="auto"/>
        <w:ind w:left="567" w:right="567"/>
        <w:jc w:val="both"/>
        <w:rPr>
          <w:rFonts w:ascii="Palatino Linotype" w:hAnsi="Palatino Linotype" w:cs="Arial"/>
          <w:bCs/>
          <w:i/>
          <w:sz w:val="22"/>
        </w:rPr>
      </w:pP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I. La negativa a la información solicitada;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II. La clasificación de la información;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III. La declaración de inexistencia de la información;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IV. La declaración de incompetencia por el sujeto obligado;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V. La entrega de información incompleta;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VI. La entrega de información que no corresponda con lo solicitado;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VII. La falta de respuesta a una solicitud de acceso a la información;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VIII. La notificación, entrega o puesta a disposición de información en una modalidad o formato distinto al solicitado;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IX. La entrega o puesta a disposición de información en un formato incomprensible y/o no accesible para el solicitante;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X. Los costos o tiempos de entrega de la información;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XI. La falta de trámite a una solicitud;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XII. La negativa a permitir la consulta directa de la información;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lastRenderedPageBreak/>
        <w:t xml:space="preserve">XIII. La falta, deficiencia o insuficiencia de la fundamentación y/o motivación en la respuesta; y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XIV. La orientación a un trámite específico.</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w:t>
      </w:r>
    </w:p>
    <w:p w:rsidR="00BB5758" w:rsidRDefault="00BB5758" w:rsidP="00BB5758">
      <w:pPr>
        <w:spacing w:line="360" w:lineRule="auto"/>
        <w:ind w:right="49"/>
        <w:contextualSpacing/>
        <w:jc w:val="both"/>
        <w:rPr>
          <w:rFonts w:ascii="Palatino Linotype" w:hAnsi="Palatino Linotype" w:cs="Tahoma"/>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7D711C">
        <w:rPr>
          <w:rFonts w:ascii="Palatino Linotype" w:eastAsia="Times New Roman" w:hAnsi="Palatino Linotype" w:cs="Tahoma"/>
        </w:rPr>
        <w:t>derecho</w:t>
      </w:r>
      <w:r w:rsidRPr="005414D5">
        <w:rPr>
          <w:rFonts w:ascii="Palatino Linotype" w:hAnsi="Palatino Linotype" w:cs="Tahoma"/>
          <w:lang w:val="es-ES"/>
        </w:rPr>
        <w:t xml:space="preserve"> de acceso a la información pública.</w:t>
      </w:r>
    </w:p>
    <w:p w:rsidR="00BB5758" w:rsidRDefault="00BB5758" w:rsidP="005414D5">
      <w:pPr>
        <w:tabs>
          <w:tab w:val="left" w:pos="4962"/>
        </w:tabs>
        <w:spacing w:line="360" w:lineRule="auto"/>
        <w:jc w:val="both"/>
        <w:rPr>
          <w:rFonts w:ascii="Palatino Linotype" w:hAnsi="Palatino Linotype" w:cs="Tahoma"/>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Además, conforme al Diccionario de Transparencia y Acceso a la Información Pública y la página oficial de este Instituto (</w:t>
      </w:r>
      <w:hyperlink r:id="rId8" w:anchor="queEsRRdeIP" w:history="1">
        <w:r w:rsidRPr="005414D5">
          <w:rPr>
            <w:rFonts w:ascii="Palatino Linotype" w:hAnsi="Palatino Linotype" w:cs="Tahoma"/>
            <w:lang w:val="es-ES"/>
          </w:rPr>
          <w:t>https://www.infoem.org.mx/es/content/informacion-publica#queEsRRdeIP</w:t>
        </w:r>
      </w:hyperlink>
      <w:r w:rsidRPr="005414D5">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C14BA" w:rsidRDefault="00CC14BA" w:rsidP="00CC14BA">
      <w:pPr>
        <w:spacing w:line="360" w:lineRule="auto"/>
        <w:ind w:right="49"/>
        <w:contextualSpacing/>
        <w:jc w:val="both"/>
        <w:rPr>
          <w:rFonts w:ascii="Palatino Linotype" w:hAnsi="Palatino Linotype" w:cs="Tahoma"/>
          <w:lang w:val="es-ES"/>
        </w:rPr>
      </w:pPr>
    </w:p>
    <w:p w:rsidR="005414D5" w:rsidRPr="00F849F2"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5414D5">
        <w:rPr>
          <w:rFonts w:ascii="Palatino Linotype" w:hAnsi="Palatino Linotype" w:cs="Tahoma"/>
          <w:b/>
          <w:u w:val="single"/>
          <w:lang w:val="es-ES"/>
        </w:rPr>
        <w:t>a una solicitud de información específica.</w:t>
      </w:r>
    </w:p>
    <w:p w:rsidR="00F849F2" w:rsidRPr="00F849F2" w:rsidRDefault="00F849F2" w:rsidP="00F849F2">
      <w:pPr>
        <w:pStyle w:val="Prrafodelista"/>
        <w:rPr>
          <w:rFonts w:ascii="Palatino Linotype" w:hAnsi="Palatino Linotype" w:cs="Tahoma"/>
          <w:lang w:val="es-ES"/>
        </w:rPr>
      </w:pPr>
    </w:p>
    <w:p w:rsidR="00A96A69" w:rsidRDefault="005414D5" w:rsidP="00592FAC">
      <w:pPr>
        <w:pStyle w:val="Prrafodelista"/>
        <w:numPr>
          <w:ilvl w:val="0"/>
          <w:numId w:val="1"/>
        </w:numPr>
        <w:spacing w:line="360" w:lineRule="auto"/>
        <w:ind w:left="0" w:firstLine="0"/>
        <w:contextualSpacing w:val="0"/>
        <w:jc w:val="both"/>
        <w:rPr>
          <w:rFonts w:ascii="Palatino Linotype" w:eastAsia="Calibri" w:hAnsi="Palatino Linotype" w:cs="Arial"/>
          <w:lang w:val="es-ES"/>
        </w:rPr>
      </w:pPr>
      <w:r w:rsidRPr="005414D5">
        <w:rPr>
          <w:rFonts w:ascii="Palatino Linotype" w:hAnsi="Palatino Linotype" w:cs="Tahoma"/>
          <w:bCs/>
          <w:iCs/>
          <w:lang w:val="es-ES"/>
        </w:rPr>
        <w:lastRenderedPageBreak/>
        <w:t xml:space="preserve">Con </w:t>
      </w:r>
      <w:r w:rsidRPr="00F849F2">
        <w:rPr>
          <w:rFonts w:ascii="Palatino Linotype" w:hAnsi="Palatino Linotype" w:cs="Tahoma"/>
          <w:lang w:val="es-ES"/>
        </w:rPr>
        <w:t>base</w:t>
      </w:r>
      <w:r w:rsidRPr="005414D5">
        <w:rPr>
          <w:rFonts w:ascii="Palatino Linotype" w:hAnsi="Palatino Linotype" w:cs="Tahoma"/>
          <w:bCs/>
          <w:iCs/>
          <w:lang w:val="es-ES"/>
        </w:rPr>
        <w:t xml:space="preserve"> en lo anterior, y a efecto de verificar si el presente Recurso de Revisión </w:t>
      </w:r>
      <w:r w:rsidRPr="00592FAC">
        <w:rPr>
          <w:rFonts w:ascii="Palatino Linotype" w:hAnsi="Palatino Linotype" w:cs="Tahoma"/>
          <w:lang w:val="es-ES"/>
        </w:rPr>
        <w:t>actualiza</w:t>
      </w:r>
      <w:r w:rsidRPr="005414D5">
        <w:rPr>
          <w:rFonts w:ascii="Palatino Linotype" w:hAnsi="Palatino Linotype" w:cs="Tahoma"/>
          <w:bCs/>
          <w:iCs/>
          <w:lang w:val="es-ES"/>
        </w:rPr>
        <w:t xml:space="preserve"> alguna causal de procedencia del artículo 179 de la Ley de la Materia citado en párrafos que </w:t>
      </w:r>
      <w:r w:rsidRPr="00BB5758">
        <w:rPr>
          <w:rFonts w:ascii="Palatino Linotype" w:hAnsi="Palatino Linotype" w:cs="Tahoma"/>
          <w:lang w:val="es-ES"/>
        </w:rPr>
        <w:t>anteceden</w:t>
      </w:r>
      <w:r w:rsidRPr="005414D5">
        <w:rPr>
          <w:rFonts w:ascii="Palatino Linotype" w:hAnsi="Palatino Linotype" w:cs="Tahoma"/>
          <w:bCs/>
          <w:iCs/>
          <w:lang w:val="es-ES"/>
        </w:rPr>
        <w:t xml:space="preserve">, es necesario precisar que </w:t>
      </w:r>
      <w:r w:rsidR="00BB5758">
        <w:rPr>
          <w:rFonts w:ascii="Palatino Linotype" w:hAnsi="Palatino Linotype" w:cs="Tahoma"/>
          <w:bCs/>
          <w:color w:val="000000"/>
        </w:rPr>
        <w:t xml:space="preserve">en </w:t>
      </w:r>
      <w:r w:rsidRPr="005414D5">
        <w:rPr>
          <w:rFonts w:ascii="Palatino Linotype" w:hAnsi="Palatino Linotype" w:cs="Tahoma"/>
          <w:bCs/>
          <w:color w:val="000000"/>
        </w:rPr>
        <w:t>l</w:t>
      </w:r>
      <w:r w:rsidR="00BB5758">
        <w:rPr>
          <w:rFonts w:ascii="Palatino Linotype" w:hAnsi="Palatino Linotype" w:cs="Tahoma"/>
          <w:bCs/>
          <w:color w:val="000000"/>
        </w:rPr>
        <w:t>os</w:t>
      </w:r>
      <w:r w:rsidRPr="005414D5">
        <w:rPr>
          <w:rFonts w:ascii="Palatino Linotype" w:hAnsi="Palatino Linotype" w:cs="Tahoma"/>
          <w:bCs/>
          <w:color w:val="000000"/>
        </w:rPr>
        <w:t xml:space="preserve"> expediente</w:t>
      </w:r>
      <w:r w:rsidR="00BB5758">
        <w:rPr>
          <w:rFonts w:ascii="Palatino Linotype" w:hAnsi="Palatino Linotype" w:cs="Tahoma"/>
          <w:bCs/>
          <w:color w:val="000000"/>
        </w:rPr>
        <w:t>s</w:t>
      </w:r>
      <w:r w:rsidRPr="005414D5">
        <w:rPr>
          <w:rFonts w:ascii="Palatino Linotype" w:hAnsi="Palatino Linotype" w:cs="Tahoma"/>
          <w:bCs/>
          <w:color w:val="000000"/>
        </w:rPr>
        <w:t xml:space="preserve"> con número de folio </w:t>
      </w:r>
      <w:r w:rsidR="00BB5758">
        <w:rPr>
          <w:rFonts w:ascii="Palatino Linotype" w:eastAsia="Calibri" w:hAnsi="Palatino Linotype" w:cs="Tahoma"/>
        </w:rPr>
        <w:t>referidos en el anterior Párrafo 1</w:t>
      </w:r>
      <w:r w:rsidRPr="005414D5">
        <w:rPr>
          <w:rFonts w:ascii="Palatino Linotype" w:hAnsi="Palatino Linotype" w:cs="Tahoma"/>
          <w:bCs/>
          <w:color w:val="000000"/>
        </w:rPr>
        <w:t xml:space="preserve">, se dictó </w:t>
      </w:r>
      <w:r w:rsidR="00BB5758">
        <w:rPr>
          <w:rFonts w:ascii="Palatino Linotype" w:hAnsi="Palatino Linotype" w:cs="Tahoma"/>
          <w:bCs/>
          <w:color w:val="000000"/>
        </w:rPr>
        <w:t xml:space="preserve">una </w:t>
      </w:r>
      <w:r w:rsidRPr="005414D5">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5414D5">
        <w:rPr>
          <w:rFonts w:ascii="Palatino Linotype" w:hAnsi="Palatino Linotype" w:cs="Tahoma"/>
          <w:b/>
          <w:color w:val="000000"/>
        </w:rPr>
        <w:t xml:space="preserve">ORDENAR </w:t>
      </w:r>
      <w:r w:rsidRPr="005414D5">
        <w:rPr>
          <w:rFonts w:ascii="Palatino Linotype" w:hAnsi="Palatino Linotype" w:cs="Tahoma"/>
          <w:bCs/>
          <w:color w:val="000000"/>
        </w:rPr>
        <w:t xml:space="preserve">al </w:t>
      </w:r>
      <w:r w:rsidR="00CE3153">
        <w:rPr>
          <w:rFonts w:ascii="Palatino Linotype" w:hAnsi="Palatino Linotype" w:cs="Tahoma"/>
          <w:bCs/>
          <w:color w:val="000000"/>
        </w:rPr>
        <w:t>Ayuntamiento de Zinacantepec</w:t>
      </w:r>
      <w:r w:rsidRPr="005414D5">
        <w:rPr>
          <w:rFonts w:ascii="Palatino Linotype" w:hAnsi="Palatino Linotype" w:cs="Tahoma"/>
          <w:bCs/>
          <w:color w:val="000000"/>
        </w:rPr>
        <w:t xml:space="preserve">, a través del Sistema de Acceso a la Información Mexiquense (SAIMEX), </w:t>
      </w:r>
      <w:r w:rsidR="00A96A69">
        <w:rPr>
          <w:rFonts w:ascii="Palatino Linotype" w:eastAsia="MS Mincho" w:hAnsi="Palatino Linotype"/>
          <w:b/>
        </w:rPr>
        <w:t>,</w:t>
      </w:r>
      <w:r w:rsidR="00A96A69" w:rsidRPr="00745D07">
        <w:rPr>
          <w:rFonts w:ascii="Palatino Linotype" w:eastAsia="Calibri" w:hAnsi="Palatino Linotype" w:cs="Arial"/>
          <w:lang w:val="es-ES"/>
        </w:rPr>
        <w:t xml:space="preserve"> </w:t>
      </w:r>
      <w:r w:rsidR="00A96A69">
        <w:rPr>
          <w:rFonts w:ascii="Palatino Linotype" w:eastAsia="Calibri" w:hAnsi="Palatino Linotype" w:cs="Arial"/>
          <w:lang w:val="es-ES"/>
        </w:rPr>
        <w:t xml:space="preserve">entregar previa búsqueda exhaustiva y razonable, de ser el caso en versión publica, las minutas de trabajo del Presidente Municipal o el documento similar o análogo, </w:t>
      </w:r>
      <w:r w:rsidR="00A96A69" w:rsidRPr="00C748C0">
        <w:rPr>
          <w:rFonts w:ascii="Palatino Linotype" w:eastAsia="Calibri" w:hAnsi="Palatino Linotype" w:cs="Arial"/>
          <w:lang w:val="es-ES"/>
        </w:rPr>
        <w:t>de</w:t>
      </w:r>
      <w:r w:rsidR="00A96A69">
        <w:rPr>
          <w:rFonts w:ascii="Palatino Linotype" w:eastAsia="Calibri" w:hAnsi="Palatino Linotype" w:cs="Arial"/>
          <w:lang w:val="es-ES"/>
        </w:rPr>
        <w:t>l 1 al 31 de</w:t>
      </w:r>
      <w:r w:rsidR="00A96A69" w:rsidRPr="00C748C0">
        <w:rPr>
          <w:rFonts w:ascii="Palatino Linotype" w:eastAsia="Calibri" w:hAnsi="Palatino Linotype" w:cs="Arial"/>
          <w:lang w:val="es-ES"/>
        </w:rPr>
        <w:t xml:space="preserve"> </w:t>
      </w:r>
      <w:r w:rsidR="00A96A69">
        <w:rPr>
          <w:rFonts w:ascii="Palatino Linotype" w:eastAsia="Calibri" w:hAnsi="Palatino Linotype" w:cs="Arial"/>
          <w:lang w:val="es-ES"/>
        </w:rPr>
        <w:t xml:space="preserve">enero de </w:t>
      </w:r>
      <w:r w:rsidR="00A96A69" w:rsidRPr="00C748C0">
        <w:rPr>
          <w:rFonts w:ascii="Palatino Linotype" w:eastAsia="Calibri" w:hAnsi="Palatino Linotype" w:cs="Arial"/>
          <w:lang w:val="es-ES"/>
        </w:rPr>
        <w:t>2022</w:t>
      </w:r>
      <w:r w:rsidR="00A96A69">
        <w:rPr>
          <w:rFonts w:ascii="Palatino Linotype" w:eastAsia="Calibri" w:hAnsi="Palatino Linotype" w:cs="Arial"/>
          <w:lang w:val="es-ES"/>
        </w:rPr>
        <w:t xml:space="preserve">. </w:t>
      </w:r>
    </w:p>
    <w:p w:rsidR="005414D5" w:rsidRPr="005414D5" w:rsidRDefault="005414D5" w:rsidP="005414D5">
      <w:pPr>
        <w:spacing w:line="360" w:lineRule="auto"/>
        <w:contextualSpacing/>
        <w:jc w:val="both"/>
        <w:rPr>
          <w:rFonts w:ascii="Palatino Linotype" w:hAnsi="Palatino Linotype" w:cs="Tahoma"/>
          <w:bCs/>
          <w:color w:val="000000"/>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i/>
          <w:iCs/>
        </w:rPr>
      </w:pPr>
      <w:r w:rsidRPr="005414D5">
        <w:rPr>
          <w:rFonts w:ascii="Palatino Linotype" w:hAnsi="Palatino Linotype" w:cs="Tahoma"/>
          <w:bCs/>
          <w:color w:val="000000"/>
        </w:rPr>
        <w:t xml:space="preserve">Asimismo, se le hizo del conocimiento al Recurrente que tenía derecho a interponer </w:t>
      </w:r>
      <w:r w:rsidRPr="007D711C">
        <w:rPr>
          <w:rFonts w:ascii="Palatino Linotype" w:hAnsi="Palatino Linotype" w:cs="Tahoma"/>
          <w:bCs/>
          <w:iCs/>
          <w:lang w:val="es-ES"/>
        </w:rPr>
        <w:t>nuevamente</w:t>
      </w:r>
      <w:r w:rsidRPr="005414D5">
        <w:rPr>
          <w:rFonts w:ascii="Palatino Linotype" w:hAnsi="Palatino Linotype" w:cs="Tahoma"/>
          <w:bCs/>
          <w:color w:val="000000"/>
        </w:rPr>
        <w:t xml:space="preserve"> Recurso de Revisión ante este Instituto, </w:t>
      </w:r>
      <w:r w:rsidR="00A96A69" w:rsidRPr="00A96A69">
        <w:rPr>
          <w:rFonts w:ascii="Palatino Linotype" w:hAnsi="Palatino Linotype" w:cs="Tahoma"/>
          <w:b/>
          <w:bCs/>
          <w:color w:val="000000"/>
        </w:rPr>
        <w:t xml:space="preserve">POR LA RESPUESTA QUE DIERA EL SUJETO </w:t>
      </w:r>
      <w:r w:rsidR="00A96A69" w:rsidRPr="00A96A69">
        <w:rPr>
          <w:rFonts w:ascii="Palatino Linotype" w:hAnsi="Palatino Linotype" w:cs="Tahoma"/>
          <w:b/>
          <w:bCs/>
          <w:iCs/>
          <w:lang w:val="es-ES"/>
        </w:rPr>
        <w:t>OBLIGADO</w:t>
      </w:r>
      <w:r w:rsidR="00A96A69" w:rsidRPr="00A96A69">
        <w:rPr>
          <w:rFonts w:ascii="Palatino Linotype" w:hAnsi="Palatino Linotype" w:cs="Tahoma"/>
          <w:b/>
          <w:bCs/>
          <w:color w:val="000000"/>
        </w:rPr>
        <w:t>, EN CUMPLIMIENTO A LA RESOLUCIÓN</w:t>
      </w:r>
      <w:r w:rsidRPr="005414D5">
        <w:rPr>
          <w:rFonts w:ascii="Palatino Linotype" w:hAnsi="Palatino Linotype" w:cs="Tahoma"/>
          <w:bCs/>
          <w:color w:val="000000"/>
        </w:rPr>
        <w:t xml:space="preserve">. Sobre el tema, el último párrafo del artículo </w:t>
      </w:r>
      <w:r w:rsidRPr="00F849F2">
        <w:rPr>
          <w:rFonts w:ascii="Palatino Linotype" w:hAnsi="Palatino Linotype" w:cs="Tahoma"/>
          <w:bCs/>
          <w:iCs/>
          <w:lang w:val="es-ES"/>
        </w:rPr>
        <w:t>179</w:t>
      </w:r>
      <w:r w:rsidRPr="005414D5">
        <w:rPr>
          <w:rFonts w:ascii="Palatino Linotype" w:hAnsi="Palatino Linotype" w:cs="Tahoma"/>
          <w:bCs/>
          <w:color w:val="000000"/>
        </w:rPr>
        <w:t xml:space="preserve"> de la Ley de Transparencia y Acceso a la Información Pública del Estado de México y Municipios, precisa lo siguiente:</w:t>
      </w:r>
    </w:p>
    <w:p w:rsidR="003E42AE" w:rsidRPr="00E0309A" w:rsidRDefault="003E42AE" w:rsidP="005414D5">
      <w:pPr>
        <w:spacing w:line="360" w:lineRule="auto"/>
        <w:ind w:left="567" w:right="567"/>
        <w:jc w:val="both"/>
        <w:rPr>
          <w:rFonts w:ascii="Palatino Linotype" w:hAnsi="Palatino Linotype" w:cs="Arial"/>
          <w:b/>
          <w:bCs/>
          <w:i/>
          <w:sz w:val="22"/>
        </w:rPr>
      </w:pP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
          <w:bCs/>
          <w:i/>
          <w:sz w:val="22"/>
        </w:rPr>
        <w:t xml:space="preserve">“Artículo 179. </w:t>
      </w:r>
      <w:r w:rsidRPr="00E0309A">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w:t>
      </w:r>
    </w:p>
    <w:p w:rsidR="005414D5" w:rsidRPr="00E0309A" w:rsidRDefault="005414D5" w:rsidP="005414D5">
      <w:pPr>
        <w:spacing w:line="360" w:lineRule="auto"/>
        <w:ind w:left="567" w:right="567"/>
        <w:jc w:val="both"/>
        <w:rPr>
          <w:rFonts w:ascii="Palatino Linotype" w:hAnsi="Palatino Linotype" w:cs="Arial"/>
          <w:bCs/>
          <w:i/>
          <w:sz w:val="22"/>
        </w:rPr>
      </w:pPr>
      <w:r w:rsidRPr="00E0309A">
        <w:rPr>
          <w:rFonts w:ascii="Palatino Linotype" w:hAnsi="Palatino Linotype" w:cs="Arial"/>
          <w:bCs/>
          <w:i/>
          <w:sz w:val="22"/>
        </w:rPr>
        <w:t xml:space="preserve">La respuesta que den los sujetos obligados derivada de la resolución a un recurso de revisión que proceda por las causales señaladas en las fracciones IV, VII, IX, X, XI y XII </w:t>
      </w:r>
      <w:r w:rsidRPr="00E0309A">
        <w:rPr>
          <w:rFonts w:ascii="Palatino Linotype" w:hAnsi="Palatino Linotype" w:cs="Arial"/>
          <w:bCs/>
          <w:i/>
          <w:sz w:val="22"/>
        </w:rPr>
        <w:lastRenderedPageBreak/>
        <w:t>es susceptible de ser impugnada de nueva cuenta, mediante recurso de revisión, ante el Instituto.”</w:t>
      </w:r>
    </w:p>
    <w:p w:rsidR="00BB5758" w:rsidRPr="00E0309A" w:rsidRDefault="00BB5758" w:rsidP="00BB5758">
      <w:pPr>
        <w:spacing w:line="360" w:lineRule="auto"/>
        <w:ind w:right="49"/>
        <w:contextualSpacing/>
        <w:jc w:val="both"/>
        <w:rPr>
          <w:rFonts w:ascii="Palatino Linotype" w:hAnsi="Palatino Linotype" w:cs="Tahoma"/>
          <w:bCs/>
          <w:iCs/>
          <w:sz w:val="22"/>
          <w:lang w:val="es-ES"/>
        </w:rPr>
      </w:pPr>
    </w:p>
    <w:p w:rsid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 xml:space="preserve">Conforme a lo anterior, se logra vislumbrar que </w:t>
      </w:r>
      <w:r w:rsidR="00A96A69" w:rsidRPr="00A96A69">
        <w:rPr>
          <w:rFonts w:ascii="Palatino Linotype" w:hAnsi="Palatino Linotype" w:cs="Tahoma"/>
          <w:b/>
          <w:bCs/>
          <w:iCs/>
          <w:lang w:val="es-ES"/>
        </w:rPr>
        <w:t xml:space="preserve">SE PUEDE INTERPONER UN NUEVO RECURSO DE REVISIÓN, ÚNICAMENTE ANTE LAS RESPUESTAS QUE DEN LOS SUJETOS OBLIGADOS EN </w:t>
      </w:r>
      <w:r w:rsidR="00A96A69" w:rsidRPr="00A96A69">
        <w:rPr>
          <w:rFonts w:ascii="Palatino Linotype" w:hAnsi="Palatino Linotype" w:cs="Tahoma"/>
          <w:b/>
          <w:bCs/>
          <w:color w:val="000000"/>
        </w:rPr>
        <w:t>CUMPLIMIENTO</w:t>
      </w:r>
      <w:r w:rsidR="00A96A69" w:rsidRPr="00A96A69">
        <w:rPr>
          <w:rFonts w:ascii="Palatino Linotype" w:hAnsi="Palatino Linotype" w:cs="Tahoma"/>
          <w:b/>
          <w:bCs/>
          <w:iCs/>
          <w:lang w:val="es-ES"/>
        </w:rPr>
        <w:t xml:space="preserve"> A LAS </w:t>
      </w:r>
      <w:r w:rsidR="00A96A69" w:rsidRPr="00A96A69">
        <w:rPr>
          <w:rFonts w:ascii="Palatino Linotype" w:hAnsi="Palatino Linotype" w:cs="Tahoma"/>
          <w:b/>
          <w:bCs/>
          <w:color w:val="000000"/>
        </w:rPr>
        <w:t>RESOLUCIONES</w:t>
      </w:r>
      <w:r w:rsidR="00A96A69" w:rsidRPr="00A96A69">
        <w:rPr>
          <w:rFonts w:ascii="Palatino Linotype" w:hAnsi="Palatino Linotype" w:cs="Tahoma"/>
          <w:b/>
          <w:bCs/>
          <w:iCs/>
          <w:lang w:val="es-ES"/>
        </w:rPr>
        <w:t xml:space="preserve"> DE ESTE INSTITUTO</w:t>
      </w:r>
      <w:r w:rsidRPr="005414D5">
        <w:rPr>
          <w:rFonts w:ascii="Palatino Linotype" w:hAnsi="Palatino Linotype" w:cs="Tahoma"/>
          <w:bCs/>
          <w:iCs/>
          <w:lang w:val="es-ES"/>
        </w:rPr>
        <w:t>, que hayan derivado de un Medio de Impugnación en donde la causal de procedencia fuera alguna de las fracciones referidas en el último párrafo, del artículo multicitado.</w:t>
      </w:r>
    </w:p>
    <w:p w:rsidR="00BB5758" w:rsidRPr="005414D5" w:rsidRDefault="00BB5758" w:rsidP="00BB5758">
      <w:pPr>
        <w:spacing w:line="360" w:lineRule="auto"/>
        <w:ind w:right="49"/>
        <w:contextualSpacing/>
        <w:jc w:val="both"/>
        <w:rPr>
          <w:rFonts w:ascii="Palatino Linotype" w:hAnsi="Palatino Linotype" w:cs="Tahoma"/>
          <w:bCs/>
          <w:iCs/>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Ahora bien, d</w:t>
      </w:r>
      <w:r w:rsidR="003E42AE">
        <w:rPr>
          <w:rFonts w:ascii="Palatino Linotype" w:hAnsi="Palatino Linotype" w:cs="Tahoma"/>
          <w:bCs/>
          <w:iCs/>
          <w:lang w:val="es-ES"/>
        </w:rPr>
        <w:t xml:space="preserve">e las constancias que obra en </w:t>
      </w:r>
      <w:r w:rsidR="00A96A69">
        <w:rPr>
          <w:rFonts w:ascii="Palatino Linotype" w:hAnsi="Palatino Linotype" w:cs="Tahoma"/>
          <w:bCs/>
          <w:iCs/>
          <w:lang w:val="es-ES"/>
        </w:rPr>
        <w:t>e</w:t>
      </w:r>
      <w:r w:rsidRPr="005414D5">
        <w:rPr>
          <w:rFonts w:ascii="Palatino Linotype" w:hAnsi="Palatino Linotype" w:cs="Tahoma"/>
          <w:bCs/>
          <w:iCs/>
          <w:lang w:val="es-ES"/>
        </w:rPr>
        <w:t>l expediente</w:t>
      </w:r>
      <w:r w:rsidR="003E42AE">
        <w:rPr>
          <w:rFonts w:ascii="Palatino Linotype" w:hAnsi="Palatino Linotype" w:cs="Tahoma"/>
          <w:bCs/>
          <w:iCs/>
          <w:lang w:val="es-ES"/>
        </w:rPr>
        <w:t xml:space="preserve"> electrónico en que se actúa</w:t>
      </w:r>
      <w:r w:rsidRPr="005414D5">
        <w:rPr>
          <w:rFonts w:ascii="Palatino Linotype" w:hAnsi="Palatino Linotype" w:cs="Tahoma"/>
          <w:bCs/>
          <w:iCs/>
          <w:lang w:val="es-ES"/>
        </w:rPr>
        <w:t xml:space="preserve">, se logra vislumbrar que el Sujeto Obligado fue omiso dar cumplimiento a la </w:t>
      </w:r>
      <w:r w:rsidR="003E42AE">
        <w:rPr>
          <w:rFonts w:ascii="Palatino Linotype" w:hAnsi="Palatino Linotype" w:cs="Tahoma"/>
          <w:bCs/>
          <w:iCs/>
          <w:lang w:val="es-ES"/>
        </w:rPr>
        <w:t>r</w:t>
      </w:r>
      <w:r w:rsidRPr="005414D5">
        <w:rPr>
          <w:rFonts w:ascii="Palatino Linotype" w:hAnsi="Palatino Linotype" w:cs="Tahoma"/>
          <w:bCs/>
          <w:iCs/>
          <w:lang w:val="es-ES"/>
        </w:rPr>
        <w:t>esolución de</w:t>
      </w:r>
      <w:r w:rsidR="00BB5758">
        <w:rPr>
          <w:rFonts w:ascii="Palatino Linotype" w:hAnsi="Palatino Linotype" w:cs="Tahoma"/>
          <w:bCs/>
          <w:iCs/>
          <w:lang w:val="es-ES"/>
        </w:rPr>
        <w:t xml:space="preserve"> </w:t>
      </w:r>
      <w:r w:rsidRPr="005414D5">
        <w:rPr>
          <w:rFonts w:ascii="Palatino Linotype" w:hAnsi="Palatino Linotype" w:cs="Tahoma"/>
          <w:bCs/>
          <w:iCs/>
          <w:lang w:val="es-ES"/>
        </w:rPr>
        <w:t>l</w:t>
      </w:r>
      <w:r w:rsidR="00BB5758">
        <w:rPr>
          <w:rFonts w:ascii="Palatino Linotype" w:hAnsi="Palatino Linotype" w:cs="Tahoma"/>
          <w:bCs/>
          <w:iCs/>
          <w:lang w:val="es-ES"/>
        </w:rPr>
        <w:t>os</w:t>
      </w:r>
      <w:r w:rsidRPr="005414D5">
        <w:rPr>
          <w:rFonts w:ascii="Palatino Linotype" w:hAnsi="Palatino Linotype" w:cs="Tahoma"/>
          <w:bCs/>
          <w:iCs/>
          <w:lang w:val="es-ES"/>
        </w:rPr>
        <w:t xml:space="preserve"> </w:t>
      </w:r>
      <w:r w:rsidR="003E42AE" w:rsidRPr="005414D5">
        <w:rPr>
          <w:rFonts w:ascii="Palatino Linotype" w:hAnsi="Palatino Linotype" w:cs="Tahoma"/>
          <w:bCs/>
          <w:iCs/>
          <w:lang w:val="es-ES"/>
        </w:rPr>
        <w:t>recurso</w:t>
      </w:r>
      <w:r w:rsidR="003E42AE">
        <w:rPr>
          <w:rFonts w:ascii="Palatino Linotype" w:hAnsi="Palatino Linotype" w:cs="Tahoma"/>
          <w:bCs/>
          <w:iCs/>
          <w:lang w:val="es-ES"/>
        </w:rPr>
        <w:t>s</w:t>
      </w:r>
      <w:r w:rsidR="003E42AE" w:rsidRPr="005414D5">
        <w:rPr>
          <w:rFonts w:ascii="Palatino Linotype" w:hAnsi="Palatino Linotype" w:cs="Tahoma"/>
          <w:bCs/>
          <w:iCs/>
          <w:lang w:val="es-ES"/>
        </w:rPr>
        <w:t xml:space="preserve"> de revisión </w:t>
      </w:r>
      <w:r w:rsidR="003E42AE">
        <w:rPr>
          <w:rFonts w:ascii="Palatino Linotype" w:hAnsi="Palatino Linotype" w:cs="Tahoma"/>
          <w:bCs/>
          <w:iCs/>
          <w:lang w:val="es-ES"/>
        </w:rPr>
        <w:t xml:space="preserve">que en su momento </w:t>
      </w:r>
      <w:r w:rsidR="00BB5758">
        <w:rPr>
          <w:rFonts w:ascii="Palatino Linotype" w:hAnsi="Palatino Linotype" w:cs="Tahoma"/>
          <w:bCs/>
          <w:iCs/>
          <w:lang w:val="es-ES"/>
        </w:rPr>
        <w:t>fueron objeto de acumulación;</w:t>
      </w:r>
      <w:r w:rsidRPr="005414D5">
        <w:rPr>
          <w:rFonts w:ascii="Palatino Linotype" w:hAnsi="Palatino Linotype" w:cs="Tahoma"/>
          <w:bCs/>
          <w:iCs/>
          <w:lang w:val="es-ES"/>
        </w:rPr>
        <w:t xml:space="preserve"> es decir, no había emitido respuesta a la fecha de interposición del segundo </w:t>
      </w:r>
      <w:r w:rsidR="003E42AE" w:rsidRPr="005414D5">
        <w:rPr>
          <w:rFonts w:ascii="Palatino Linotype" w:hAnsi="Palatino Linotype" w:cs="Tahoma"/>
          <w:bCs/>
          <w:iCs/>
          <w:lang w:val="es-ES"/>
        </w:rPr>
        <w:t>medio de impugnación</w:t>
      </w:r>
      <w:r w:rsidRPr="005414D5">
        <w:rPr>
          <w:rFonts w:ascii="Palatino Linotype" w:hAnsi="Palatino Linotype" w:cs="Tahoma"/>
          <w:bCs/>
          <w:iCs/>
          <w:lang w:val="es-ES"/>
        </w:rPr>
        <w:t>.</w:t>
      </w:r>
    </w:p>
    <w:p w:rsidR="00BB5758" w:rsidRDefault="00BB5758" w:rsidP="005414D5">
      <w:pPr>
        <w:spacing w:line="360" w:lineRule="auto"/>
        <w:jc w:val="both"/>
        <w:rPr>
          <w:rFonts w:ascii="Palatino Linotype" w:eastAsia="Calibri" w:hAnsi="Palatino Linotype" w:cs="Tahoma"/>
          <w:color w:val="0D0D0D" w:themeColor="text1" w:themeTint="F2"/>
        </w:rPr>
      </w:pPr>
    </w:p>
    <w:p w:rsidR="005414D5" w:rsidRPr="005414D5" w:rsidRDefault="003E42AE" w:rsidP="007D711C">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Pr>
          <w:rFonts w:ascii="Palatino Linotype" w:eastAsia="Calibri" w:hAnsi="Palatino Linotype" w:cs="Tahoma"/>
          <w:color w:val="0D0D0D" w:themeColor="text1" w:themeTint="F2"/>
        </w:rPr>
        <w:t>En tal virtud, se advierte que</w:t>
      </w:r>
      <w:r w:rsidR="005414D5" w:rsidRPr="005414D5">
        <w:rPr>
          <w:rFonts w:ascii="Palatino Linotype" w:eastAsia="Calibri" w:hAnsi="Palatino Linotype" w:cs="Tahoma"/>
          <w:color w:val="0D0D0D" w:themeColor="text1" w:themeTint="F2"/>
        </w:rPr>
        <w:t xml:space="preserve"> al momento de presentar el </w:t>
      </w:r>
      <w:r w:rsidRPr="005414D5">
        <w:rPr>
          <w:rFonts w:ascii="Palatino Linotype" w:eastAsia="Calibri" w:hAnsi="Palatino Linotype" w:cs="Tahoma"/>
          <w:color w:val="0D0D0D" w:themeColor="text1" w:themeTint="F2"/>
        </w:rPr>
        <w:t>segundo recurso de revisión, n</w:t>
      </w:r>
      <w:r w:rsidR="005414D5" w:rsidRPr="005414D5">
        <w:rPr>
          <w:rFonts w:ascii="Palatino Linotype" w:eastAsia="Calibri" w:hAnsi="Palatino Linotype" w:cs="Tahoma"/>
          <w:color w:val="0D0D0D" w:themeColor="text1" w:themeTint="F2"/>
        </w:rPr>
        <w:t xml:space="preserve">o se </w:t>
      </w:r>
      <w:r w:rsidR="005414D5" w:rsidRPr="00982FCD">
        <w:rPr>
          <w:rFonts w:ascii="Palatino Linotype" w:hAnsi="Palatino Linotype" w:cs="Tahoma"/>
          <w:bCs/>
          <w:iCs/>
          <w:lang w:val="es-ES"/>
        </w:rPr>
        <w:t>configuraba</w:t>
      </w:r>
      <w:r w:rsidR="005414D5" w:rsidRPr="005414D5">
        <w:rPr>
          <w:rFonts w:ascii="Palatino Linotype" w:eastAsia="Calibri" w:hAnsi="Palatino Linotype" w:cs="Tahoma"/>
          <w:color w:val="0D0D0D" w:themeColor="text1" w:themeTint="F2"/>
        </w:rPr>
        <w:t xml:space="preserve"> ninguna causal de procedencia</w:t>
      </w:r>
      <w:r>
        <w:rPr>
          <w:rFonts w:ascii="Palatino Linotype" w:eastAsia="Calibri" w:hAnsi="Palatino Linotype" w:cs="Tahoma"/>
          <w:color w:val="0D0D0D" w:themeColor="text1" w:themeTint="F2"/>
        </w:rPr>
        <w:t>;</w:t>
      </w:r>
      <w:r w:rsidR="005414D5" w:rsidRPr="005414D5">
        <w:rPr>
          <w:rFonts w:ascii="Palatino Linotype" w:eastAsia="Calibri" w:hAnsi="Palatino Linotype" w:cs="Tahoma"/>
          <w:color w:val="0D0D0D" w:themeColor="text1" w:themeTint="F2"/>
        </w:rPr>
        <w:t xml:space="preserve"> toda vez que como se señaló </w:t>
      </w:r>
      <w:r w:rsidR="00592FAC" w:rsidRPr="00A96A69">
        <w:rPr>
          <w:rFonts w:ascii="Palatino Linotype" w:eastAsia="Calibri" w:hAnsi="Palatino Linotype" w:cs="Tahoma"/>
          <w:b/>
          <w:color w:val="0D0D0D" w:themeColor="text1" w:themeTint="F2"/>
        </w:rPr>
        <w:t>EL SUJETO OBLIGADO NO HABÍA EMITIDO ALGUNA RESPUESTA ANTE LA CUAL SE PUDIERA INCONFORMAR EL PARTICULAR</w:t>
      </w:r>
      <w:r w:rsidR="00592FAC" w:rsidRPr="005414D5">
        <w:rPr>
          <w:rFonts w:ascii="Palatino Linotype" w:eastAsia="Calibri" w:hAnsi="Palatino Linotype" w:cs="Tahoma"/>
          <w:color w:val="0D0D0D" w:themeColor="text1" w:themeTint="F2"/>
        </w:rPr>
        <w:t>.</w:t>
      </w:r>
    </w:p>
    <w:p w:rsidR="005414D5" w:rsidRPr="005414D5" w:rsidRDefault="005414D5" w:rsidP="005414D5">
      <w:pPr>
        <w:spacing w:line="360" w:lineRule="auto"/>
        <w:jc w:val="both"/>
        <w:rPr>
          <w:rFonts w:ascii="Palatino Linotype" w:eastAsia="Calibri" w:hAnsi="Palatino Linotype" w:cs="Tahoma"/>
          <w:color w:val="0D0D0D" w:themeColor="text1" w:themeTint="F2"/>
        </w:rPr>
      </w:pPr>
    </w:p>
    <w:p w:rsidR="005414D5" w:rsidRPr="00BB5758" w:rsidRDefault="00D60F5E" w:rsidP="007D711C">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Pr>
          <w:rFonts w:ascii="Palatino Linotype" w:eastAsia="Calibri" w:hAnsi="Palatino Linotype" w:cs="Tahoma"/>
          <w:color w:val="0D0D0D" w:themeColor="text1" w:themeTint="F2"/>
        </w:rPr>
        <w:t xml:space="preserve">En otras palabras, </w:t>
      </w:r>
      <w:r w:rsidR="005414D5" w:rsidRPr="00BB5758">
        <w:rPr>
          <w:rFonts w:ascii="Palatino Linotype" w:eastAsia="Calibri" w:hAnsi="Palatino Linotype" w:cs="Tahoma"/>
          <w:color w:val="0D0D0D" w:themeColor="text1" w:themeTint="F2"/>
        </w:rPr>
        <w:t>l</w:t>
      </w:r>
      <w:r>
        <w:rPr>
          <w:rFonts w:ascii="Palatino Linotype" w:eastAsia="Calibri" w:hAnsi="Palatino Linotype" w:cs="Tahoma"/>
          <w:color w:val="0D0D0D" w:themeColor="text1" w:themeTint="F2"/>
        </w:rPr>
        <w:t>a</w:t>
      </w:r>
      <w:r w:rsidR="005414D5" w:rsidRPr="00BB5758">
        <w:rPr>
          <w:rFonts w:ascii="Palatino Linotype" w:eastAsia="Calibri" w:hAnsi="Palatino Linotype" w:cs="Tahoma"/>
          <w:color w:val="0D0D0D" w:themeColor="text1" w:themeTint="F2"/>
        </w:rPr>
        <w:t xml:space="preserve"> Particular interpuso el </w:t>
      </w:r>
      <w:r w:rsidRPr="00BB5758">
        <w:rPr>
          <w:rFonts w:ascii="Palatino Linotype" w:eastAsia="Calibri" w:hAnsi="Palatino Linotype" w:cs="Tahoma"/>
          <w:color w:val="0D0D0D" w:themeColor="text1" w:themeTint="F2"/>
        </w:rPr>
        <w:t xml:space="preserve">medio de impugnación </w:t>
      </w:r>
      <w:r w:rsidR="005414D5" w:rsidRPr="00BB5758">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B5758">
        <w:rPr>
          <w:rFonts w:ascii="Palatino Linotype" w:hAnsi="Palatino Linotype" w:cs="Tahoma"/>
          <w:bCs/>
          <w:color w:val="000000"/>
        </w:rPr>
        <w:t xml:space="preserve">Ley de Transparencia y Acceso a la Información Pública del Estado </w:t>
      </w:r>
      <w:r w:rsidR="005414D5" w:rsidRPr="00BB5758">
        <w:rPr>
          <w:rFonts w:ascii="Palatino Linotype" w:hAnsi="Palatino Linotype" w:cs="Tahoma"/>
          <w:bCs/>
          <w:color w:val="000000"/>
        </w:rPr>
        <w:lastRenderedPageBreak/>
        <w:t>de México y Municipios, al no haber contestación en cumplimiento a la Resolución del Recurso de Revisi</w:t>
      </w:r>
      <w:r w:rsidR="00BB5758">
        <w:rPr>
          <w:rFonts w:ascii="Palatino Linotype" w:hAnsi="Palatino Linotype" w:cs="Tahoma"/>
          <w:bCs/>
          <w:color w:val="000000"/>
        </w:rPr>
        <w:t>ón primigenio.</w:t>
      </w:r>
    </w:p>
    <w:p w:rsidR="00BB5758" w:rsidRDefault="00BB5758" w:rsidP="00BB5758">
      <w:pPr>
        <w:pStyle w:val="Prrafodelista"/>
        <w:rPr>
          <w:rFonts w:ascii="Palatino Linotype" w:eastAsia="Calibri" w:hAnsi="Palatino Linotype" w:cs="Tahoma"/>
          <w:b/>
          <w:bCs/>
          <w:color w:val="0D0D0D" w:themeColor="text1" w:themeTint="F2"/>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Calibri" w:hAnsi="Palatino Linotype" w:cs="Tahoma"/>
          <w:bCs/>
          <w:color w:val="0D0D0D" w:themeColor="text1" w:themeTint="F2"/>
        </w:rPr>
      </w:pPr>
      <w:r w:rsidRPr="005414D5">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7D711C">
        <w:rPr>
          <w:rFonts w:ascii="Palatino Linotype" w:eastAsia="Calibri" w:hAnsi="Palatino Linotype" w:cs="Tahoma"/>
          <w:color w:val="0D0D0D" w:themeColor="text1" w:themeTint="F2"/>
        </w:rPr>
        <w:t>información</w:t>
      </w:r>
      <w:r w:rsidRPr="005414D5">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rsidR="005414D5" w:rsidRPr="005414D5" w:rsidRDefault="005414D5" w:rsidP="005414D5">
      <w:pPr>
        <w:spacing w:line="360" w:lineRule="auto"/>
        <w:jc w:val="both"/>
        <w:rPr>
          <w:rFonts w:ascii="Palatino Linotype" w:eastAsia="Calibri" w:hAnsi="Palatino Linotype" w:cs="Tahoma"/>
          <w:bCs/>
          <w:color w:val="0D0D0D" w:themeColor="text1" w:themeTint="F2"/>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rPr>
      </w:pPr>
      <w:r w:rsidRPr="005414D5">
        <w:rPr>
          <w:rFonts w:ascii="Palatino Linotype" w:hAnsi="Palatino Linotype" w:cs="Tahoma"/>
          <w:lang w:val="es-ES"/>
        </w:rPr>
        <w:t>Por lo expuesto, se logra vislumbrar que, la inconformidad referida por l</w:t>
      </w:r>
      <w:r w:rsidR="00BB5758">
        <w:rPr>
          <w:rFonts w:ascii="Palatino Linotype" w:hAnsi="Palatino Linotype" w:cs="Tahoma"/>
          <w:lang w:val="es-ES"/>
        </w:rPr>
        <w:t>a</w:t>
      </w:r>
      <w:r w:rsidRPr="005414D5">
        <w:rPr>
          <w:rFonts w:ascii="Palatino Linotype" w:hAnsi="Palatino Linotype" w:cs="Tahoma"/>
          <w:lang w:val="es-ES"/>
        </w:rPr>
        <w:t xml:space="preserve"> Particular, no actualizan ninguna causal de proc</w:t>
      </w:r>
      <w:r w:rsidR="00BB5758">
        <w:rPr>
          <w:rFonts w:ascii="Palatino Linotype" w:hAnsi="Palatino Linotype" w:cs="Tahoma"/>
          <w:lang w:val="es-ES"/>
        </w:rPr>
        <w:t xml:space="preserve">edencia, pues como se refirió, </w:t>
      </w:r>
      <w:r w:rsidRPr="005414D5">
        <w:rPr>
          <w:rFonts w:ascii="Palatino Linotype" w:hAnsi="Palatino Linotype" w:cs="Tahoma"/>
          <w:lang w:val="es-ES"/>
        </w:rPr>
        <w:t>l</w:t>
      </w:r>
      <w:r w:rsidR="00BB5758">
        <w:rPr>
          <w:rFonts w:ascii="Palatino Linotype" w:hAnsi="Palatino Linotype" w:cs="Tahoma"/>
          <w:lang w:val="es-ES"/>
        </w:rPr>
        <w:t>a</w:t>
      </w:r>
      <w:r w:rsidRPr="005414D5">
        <w:rPr>
          <w:rFonts w:ascii="Palatino Linotype" w:hAnsi="Palatino Linotype" w:cs="Tahoma"/>
          <w:lang w:val="es-ES"/>
        </w:rPr>
        <w:t xml:space="preserve"> Particular interpuso el segundo Recurso de Revisión, en un momento procesal inoportuno; por lo que, se concluye </w:t>
      </w:r>
      <w:r w:rsidRPr="005414D5">
        <w:rPr>
          <w:rFonts w:ascii="Palatino Linotype" w:eastAsia="Calibri" w:hAnsi="Palatino Linotype" w:cs="Tahoma"/>
          <w:lang w:val="es-ES" w:eastAsia="es-ES_tradnl"/>
        </w:rPr>
        <w:t>que el agravio de</w:t>
      </w:r>
      <w:r w:rsidR="00BB5758">
        <w:rPr>
          <w:rFonts w:ascii="Palatino Linotype" w:eastAsia="Calibri" w:hAnsi="Palatino Linotype" w:cs="Tahoma"/>
          <w:lang w:val="es-ES" w:eastAsia="es-ES_tradnl"/>
        </w:rPr>
        <w:t xml:space="preserve"> </w:t>
      </w:r>
      <w:r w:rsidRPr="005414D5">
        <w:rPr>
          <w:rFonts w:ascii="Palatino Linotype" w:eastAsia="Calibri" w:hAnsi="Palatino Linotype" w:cs="Tahoma"/>
          <w:lang w:val="es-ES" w:eastAsia="es-ES_tradnl"/>
        </w:rPr>
        <w:t>l</w:t>
      </w:r>
      <w:r w:rsidR="00BB5758">
        <w:rPr>
          <w:rFonts w:ascii="Palatino Linotype" w:eastAsia="Calibri" w:hAnsi="Palatino Linotype" w:cs="Tahoma"/>
          <w:lang w:val="es-ES" w:eastAsia="es-ES_tradnl"/>
        </w:rPr>
        <w:t>a</w:t>
      </w:r>
      <w:r w:rsidRPr="005414D5">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5414D5">
        <w:rPr>
          <w:rFonts w:ascii="Palatino Linotype" w:hAnsi="Palatino Linotype" w:cs="Tahoma"/>
          <w:bCs/>
          <w:color w:val="000000"/>
          <w:lang w:val="es-ES"/>
        </w:rPr>
        <w:t xml:space="preserve"> y, por lo tanto, se materializa la</w:t>
      </w:r>
      <w:r w:rsidRPr="005414D5">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Pr="005414D5">
        <w:rPr>
          <w:rFonts w:ascii="Palatino Linotype" w:hAnsi="Palatino Linotype" w:cs="Tahoma"/>
          <w:lang w:val="es-ES"/>
        </w:rPr>
        <w:t xml:space="preserve">, lo procedente es </w:t>
      </w:r>
      <w:r w:rsidRPr="005414D5">
        <w:rPr>
          <w:rFonts w:ascii="Palatino Linotype" w:hAnsi="Palatino Linotype" w:cs="Tahoma"/>
          <w:b/>
          <w:lang w:val="es-ES"/>
        </w:rPr>
        <w:t>SOBRESEER</w:t>
      </w:r>
      <w:r w:rsidRPr="005414D5">
        <w:rPr>
          <w:rFonts w:ascii="Palatino Linotype" w:hAnsi="Palatino Linotype" w:cs="Tahoma"/>
          <w:lang w:val="es-ES"/>
        </w:rPr>
        <w:t xml:space="preserve"> el mismo. </w:t>
      </w:r>
    </w:p>
    <w:p w:rsidR="00BB5758" w:rsidRDefault="00BB5758" w:rsidP="005414D5">
      <w:pPr>
        <w:spacing w:line="360" w:lineRule="auto"/>
        <w:jc w:val="both"/>
        <w:rPr>
          <w:rFonts w:ascii="Palatino Linotype" w:eastAsia="Times New Roman" w:hAnsi="Palatino Linotype" w:cs="Tahoma"/>
          <w:lang w:val="es-ES"/>
        </w:rPr>
      </w:pPr>
    </w:p>
    <w:p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Pr>
          <w:rFonts w:ascii="Palatino Linotype" w:eastAsia="Times New Roman" w:hAnsi="Palatino Linotype" w:cs="Tahoma"/>
          <w:lang w:val="es-ES"/>
        </w:rPr>
        <w:t>Atento a lo anterior, c</w:t>
      </w:r>
      <w:r w:rsidR="005414D5" w:rsidRPr="005414D5">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7D711C">
        <w:rPr>
          <w:rFonts w:ascii="Palatino Linotype" w:hAnsi="Palatino Linotype" w:cs="Tahoma"/>
          <w:lang w:val="es-ES"/>
        </w:rPr>
        <w:t>Municipios</w:t>
      </w:r>
      <w:r w:rsidR="005414D5" w:rsidRPr="005414D5">
        <w:rPr>
          <w:rFonts w:ascii="Palatino Linotype" w:eastAsia="Times New Roman" w:hAnsi="Palatino Linotype" w:cs="Tahoma"/>
          <w:lang w:val="es-ES"/>
        </w:rPr>
        <w:t xml:space="preserve">, se considera procedente </w:t>
      </w:r>
      <w:r w:rsidR="005414D5" w:rsidRPr="005414D5">
        <w:rPr>
          <w:rFonts w:ascii="Palatino Linotype" w:eastAsia="Times New Roman" w:hAnsi="Palatino Linotype" w:cs="Tahoma"/>
          <w:b/>
          <w:lang w:val="es-ES"/>
        </w:rPr>
        <w:t xml:space="preserve">SOBRESEER </w:t>
      </w:r>
      <w:r w:rsidR="005414D5" w:rsidRPr="005414D5">
        <w:rPr>
          <w:rFonts w:ascii="Palatino Linotype" w:eastAsia="Times New Roman" w:hAnsi="Palatino Linotype" w:cs="Tahoma"/>
          <w:lang w:val="es-ES"/>
        </w:rPr>
        <w:t xml:space="preserve">el Recurso de Revisión, en virtud de que se actualiza la hipótesis normativa prevista en la fracción </w:t>
      </w:r>
      <w:r w:rsidR="005414D5" w:rsidRPr="005414D5">
        <w:rPr>
          <w:rFonts w:ascii="Palatino Linotype" w:eastAsia="Times New Roman" w:hAnsi="Palatino Linotype" w:cs="Tahoma"/>
          <w:lang w:val="es-ES"/>
        </w:rPr>
        <w:lastRenderedPageBreak/>
        <w:t>IV, del diverso 192, en relación, con el 191, fracción III, ambos del citado ordenamiento legal.</w:t>
      </w:r>
    </w:p>
    <w:p w:rsidR="005414D5" w:rsidRPr="005414D5" w:rsidRDefault="005414D5" w:rsidP="005414D5">
      <w:pPr>
        <w:spacing w:line="360" w:lineRule="auto"/>
        <w:contextualSpacing/>
        <w:jc w:val="both"/>
        <w:rPr>
          <w:rFonts w:ascii="Palatino Linotype" w:eastAsia="Times New Roman" w:hAnsi="Palatino Linotype" w:cs="Tahoma"/>
          <w:bCs/>
          <w:iCs/>
        </w:rPr>
      </w:pPr>
    </w:p>
    <w:p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Pr>
          <w:rFonts w:ascii="Palatino Linotype" w:eastAsia="Times New Roman" w:hAnsi="Palatino Linotype" w:cs="Tahoma"/>
          <w:bCs/>
        </w:rPr>
        <w:t xml:space="preserve">Finalmente, </w:t>
      </w:r>
      <w:r w:rsidR="005414D5" w:rsidRPr="005414D5">
        <w:rPr>
          <w:rFonts w:ascii="Palatino Linotype" w:eastAsia="Times New Roman" w:hAnsi="Palatino Linotype" w:cs="Tahoma"/>
          <w:bCs/>
          <w:color w:val="000000"/>
          <w:lang w:val="es-ES"/>
        </w:rPr>
        <w:t>es necesario precisar, que no deja en estado de indefensión a</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a</w:t>
      </w:r>
      <w:r w:rsidR="005414D5" w:rsidRPr="005414D5">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982FCD">
        <w:rPr>
          <w:rFonts w:ascii="Palatino Linotype" w:eastAsia="Times New Roman" w:hAnsi="Palatino Linotype" w:cs="Tahoma"/>
          <w:lang w:val="es-ES"/>
        </w:rPr>
        <w:t>Incumplimiento</w:t>
      </w:r>
      <w:r w:rsidR="005414D5" w:rsidRPr="005414D5">
        <w:rPr>
          <w:rFonts w:ascii="Palatino Linotype" w:eastAsia="Times New Roman" w:hAnsi="Palatino Linotype" w:cs="Tahoma"/>
          <w:bCs/>
          <w:color w:val="000000"/>
          <w:lang w:val="es-ES"/>
        </w:rPr>
        <w:t xml:space="preserve"> a la Resolución de</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os r</w:t>
      </w:r>
      <w:r w:rsidR="005414D5" w:rsidRPr="005414D5">
        <w:rPr>
          <w:rFonts w:ascii="Palatino Linotype" w:eastAsia="Times New Roman" w:hAnsi="Palatino Linotype" w:cs="Tahoma"/>
          <w:bCs/>
          <w:color w:val="000000"/>
          <w:lang w:val="es-ES"/>
        </w:rPr>
        <w:t>ecurso</w:t>
      </w:r>
      <w:r>
        <w:rPr>
          <w:rFonts w:ascii="Palatino Linotype" w:eastAsia="Times New Roman" w:hAnsi="Palatino Linotype" w:cs="Tahoma"/>
          <w:bCs/>
          <w:color w:val="000000"/>
          <w:lang w:val="es-ES"/>
        </w:rPr>
        <w:t>s</w:t>
      </w:r>
      <w:r w:rsidR="005414D5" w:rsidRPr="005414D5">
        <w:rPr>
          <w:rFonts w:ascii="Palatino Linotype" w:eastAsia="Times New Roman" w:hAnsi="Palatino Linotype" w:cs="Tahoma"/>
          <w:bCs/>
          <w:color w:val="000000"/>
          <w:lang w:val="es-ES"/>
        </w:rPr>
        <w:t xml:space="preserve"> de </w:t>
      </w:r>
      <w:r>
        <w:rPr>
          <w:rFonts w:ascii="Palatino Linotype" w:eastAsia="Times New Roman" w:hAnsi="Palatino Linotype" w:cs="Tahoma"/>
          <w:bCs/>
          <w:color w:val="000000"/>
          <w:lang w:val="es-ES"/>
        </w:rPr>
        <w:t>r</w:t>
      </w:r>
      <w:r w:rsidR="005414D5" w:rsidRPr="005414D5">
        <w:rPr>
          <w:rFonts w:ascii="Palatino Linotype" w:eastAsia="Times New Roman" w:hAnsi="Palatino Linotype" w:cs="Tahoma"/>
          <w:bCs/>
          <w:color w:val="000000"/>
          <w:lang w:val="es-ES"/>
        </w:rPr>
        <w:t xml:space="preserve">evisión </w:t>
      </w:r>
      <w:r>
        <w:rPr>
          <w:rFonts w:ascii="Palatino Linotype" w:hAnsi="Palatino Linotype"/>
          <w:color w:val="000000"/>
        </w:rPr>
        <w:t>objeto de acumulación</w:t>
      </w:r>
      <w:r w:rsidR="005414D5" w:rsidRPr="005414D5">
        <w:rPr>
          <w:rFonts w:ascii="Palatino Linotype" w:hAnsi="Palatino Linotype"/>
          <w:color w:val="000000"/>
        </w:rPr>
        <w:t xml:space="preserve">, </w:t>
      </w:r>
      <w:r w:rsidR="005414D5" w:rsidRPr="005414D5">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5414D5" w:rsidRDefault="005414D5" w:rsidP="005414D5"/>
    <w:p w:rsidR="00792D6A" w:rsidRPr="00982FCD" w:rsidRDefault="00792D6A"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w:t>
      </w:r>
      <w:r w:rsidRPr="00982FCD">
        <w:rPr>
          <w:rFonts w:ascii="Palatino Linotype" w:eastAsia="Times New Roman" w:hAnsi="Palatino Linotype" w:cs="Tahoma"/>
          <w:bCs/>
        </w:rPr>
        <w:t>anteriormente</w:t>
      </w:r>
      <w:r w:rsidRPr="00134CE6">
        <w:rPr>
          <w:rFonts w:ascii="Palatino Linotype" w:hAnsi="Palatino Linotype" w:cs="Arial"/>
          <w:color w:val="000000" w:themeColor="text1"/>
          <w:lang w:eastAsia="es-MX"/>
        </w:rPr>
        <w:t xml:space="preserv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82FCD" w:rsidRPr="00982FCD" w:rsidRDefault="00982FCD" w:rsidP="00982FCD">
      <w:pPr>
        <w:pStyle w:val="Prrafodelista"/>
        <w:rPr>
          <w:rFonts w:ascii="Palatino Linotype" w:hAnsi="Palatino Linotype"/>
          <w:color w:val="000000" w:themeColor="text1"/>
        </w:rPr>
      </w:pP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6" w:name="_Toc504500693"/>
      <w:bookmarkStart w:id="147" w:name="_Toc534742545"/>
      <w:bookmarkStart w:id="148" w:name="_Toc2248738"/>
      <w:bookmarkStart w:id="149" w:name="_Toc34819440"/>
      <w:bookmarkStart w:id="150" w:name="_Toc51259595"/>
      <w:bookmarkStart w:id="151" w:name="_Toc83128595"/>
      <w:r w:rsidRPr="00134CE6">
        <w:rPr>
          <w:rFonts w:ascii="Palatino Linotype" w:eastAsia="Calibri" w:hAnsi="Palatino Linotype"/>
          <w:b/>
          <w:color w:val="000000" w:themeColor="text1"/>
          <w:sz w:val="24"/>
          <w:szCs w:val="24"/>
          <w:lang w:val="es-ES"/>
        </w:rPr>
        <w:t>R E S O L U T I V O S</w:t>
      </w:r>
      <w:bookmarkEnd w:id="146"/>
      <w:bookmarkEnd w:id="147"/>
      <w:bookmarkEnd w:id="148"/>
      <w:bookmarkEnd w:id="149"/>
      <w:bookmarkEnd w:id="150"/>
      <w:bookmarkEnd w:id="151"/>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00592FAC" w:rsidRPr="00592FAC">
        <w:rPr>
          <w:rFonts w:ascii="Palatino Linotype" w:hAnsi="Palatino Linotype" w:cs="Arial"/>
        </w:rPr>
        <w:t>e</w:t>
      </w:r>
      <w:r w:rsidR="00103414">
        <w:rPr>
          <w:rFonts w:ascii="Palatino Linotype" w:hAnsi="Palatino Linotype" w:cs="Arial"/>
        </w:rPr>
        <w:t>l Recurso de R</w:t>
      </w:r>
      <w:r w:rsidRPr="00452437">
        <w:rPr>
          <w:rFonts w:ascii="Palatino Linotype" w:hAnsi="Palatino Linotype" w:cs="Arial"/>
        </w:rPr>
        <w:t>evisión</w:t>
      </w:r>
      <w:r w:rsidRPr="00452437">
        <w:rPr>
          <w:rFonts w:ascii="Palatino Linotype" w:hAnsi="Palatino Linotype" w:cs="Arial"/>
          <w:b/>
        </w:rPr>
        <w:t xml:space="preserve"> </w:t>
      </w:r>
      <w:r w:rsidRPr="00452437">
        <w:rPr>
          <w:rFonts w:ascii="Palatino Linotype" w:hAnsi="Palatino Linotype" w:cs="Arial"/>
        </w:rPr>
        <w:t xml:space="preserve">número </w:t>
      </w:r>
      <w:r w:rsidR="00D95A4E">
        <w:rPr>
          <w:rFonts w:ascii="Palatino Linotype" w:hAnsi="Palatino Linotype"/>
          <w:b/>
          <w:color w:val="000000" w:themeColor="text1"/>
        </w:rPr>
        <w:t>17593/INFOEM/ICR-151/IP/RR/2022</w:t>
      </w:r>
      <w:r w:rsidRPr="00452437">
        <w:rPr>
          <w:rFonts w:ascii="Palatino Linotype" w:hAnsi="Palatino Linotype" w:cs="Arial"/>
        </w:rPr>
        <w:t xml:space="preserve"> </w:t>
      </w:r>
      <w:r w:rsidR="00103414" w:rsidRPr="0035616B">
        <w:rPr>
          <w:rFonts w:ascii="Palatino Linotype" w:hAnsi="Palatino Linotype"/>
        </w:rPr>
        <w:t>conf</w:t>
      </w:r>
      <w:r w:rsidR="00103414">
        <w:rPr>
          <w:rFonts w:ascii="Palatino Linotype" w:hAnsi="Palatino Linotype"/>
        </w:rPr>
        <w:t>orme al artículo 1</w:t>
      </w:r>
      <w:r w:rsidR="00103414" w:rsidRPr="00103414">
        <w:rPr>
          <w:rFonts w:ascii="Palatino Linotype" w:hAnsi="Palatino Linotype" w:cs="Arial"/>
          <w:color w:val="000000" w:themeColor="text1"/>
        </w:rPr>
        <w:t>92 fracción I</w:t>
      </w:r>
      <w:r w:rsidR="00BB5758">
        <w:rPr>
          <w:rFonts w:ascii="Palatino Linotype" w:hAnsi="Palatino Linotype" w:cs="Arial"/>
          <w:color w:val="000000" w:themeColor="text1"/>
        </w:rPr>
        <w:t>V</w:t>
      </w:r>
      <w:r w:rsidR="00103414" w:rsidRPr="00103414">
        <w:rPr>
          <w:rFonts w:ascii="Palatino Linotype" w:hAnsi="Palatino Linotype" w:cs="Arial"/>
          <w:color w:val="000000" w:themeColor="text1"/>
        </w:rPr>
        <w:t xml:space="preserve"> </w:t>
      </w:r>
      <w:r w:rsidR="00103414" w:rsidRPr="0035616B">
        <w:rPr>
          <w:rFonts w:ascii="Palatino Linotype" w:hAnsi="Palatino Linotype"/>
        </w:rPr>
        <w:t>de la Ley de Transparencia y Acceso a la Información Pública del Estado de México y Municipios</w:t>
      </w:r>
      <w:r w:rsidR="00103414">
        <w:rPr>
          <w:rFonts w:ascii="Palatino Linotype" w:hAnsi="Palatino Linotype" w:cs="Arial"/>
          <w:color w:val="000000" w:themeColor="text1"/>
        </w:rPr>
        <w:t xml:space="preserve">, </w:t>
      </w:r>
      <w:r w:rsidR="00BB5758" w:rsidRPr="00BB5758">
        <w:rPr>
          <w:rFonts w:ascii="Palatino Linotype" w:eastAsia="Times New Roman" w:hAnsi="Palatino Linotype" w:cs="Tahoma"/>
          <w:lang w:val="es-ES"/>
        </w:rPr>
        <w:t xml:space="preserve">por actualizarse la causal de improcedencia establecida en la fracción III, del artículo 191 de dicho ordenamiento jurídico, </w:t>
      </w:r>
      <w:r w:rsidR="00BB5758">
        <w:rPr>
          <w:rFonts w:ascii="Palatino Linotype" w:eastAsia="Times New Roman" w:hAnsi="Palatino Linotype" w:cs="Tahoma"/>
          <w:lang w:val="es-ES"/>
        </w:rPr>
        <w:t xml:space="preserve">en términos del </w:t>
      </w:r>
      <w:r w:rsidR="00E0309A">
        <w:rPr>
          <w:rFonts w:ascii="Palatino Linotype" w:eastAsia="Times New Roman" w:hAnsi="Palatino Linotype" w:cs="Tahoma"/>
          <w:b/>
          <w:lang w:val="es-ES"/>
        </w:rPr>
        <w:t>c</w:t>
      </w:r>
      <w:r w:rsidR="00BB5758" w:rsidRPr="00BB5758">
        <w:rPr>
          <w:rFonts w:ascii="Palatino Linotype" w:eastAsia="Times New Roman" w:hAnsi="Palatino Linotype" w:cs="Tahoma"/>
          <w:b/>
          <w:lang w:val="es-ES"/>
        </w:rPr>
        <w:t xml:space="preserve">onsiderando </w:t>
      </w:r>
      <w:r w:rsidR="00BB5758">
        <w:rPr>
          <w:rFonts w:ascii="Palatino Linotype" w:eastAsia="Times New Roman" w:hAnsi="Palatino Linotype" w:cs="Tahoma"/>
          <w:b/>
          <w:lang w:val="es-ES"/>
        </w:rPr>
        <w:t>Tercero</w:t>
      </w:r>
      <w:r w:rsidR="00BB5758" w:rsidRPr="00BB5758">
        <w:rPr>
          <w:rFonts w:ascii="Palatino Linotype" w:eastAsia="Times New Roman" w:hAnsi="Palatino Linotype" w:cs="Tahoma"/>
          <w:lang w:val="es-ES"/>
        </w:rPr>
        <w:t xml:space="preserve"> de la presente Resolución.</w:t>
      </w:r>
    </w:p>
    <w:p w:rsidR="00531473" w:rsidRPr="00452437" w:rsidRDefault="00531473" w:rsidP="00531473">
      <w:pPr>
        <w:shd w:val="clear" w:color="auto" w:fill="FFFFFF"/>
        <w:spacing w:before="240" w:after="360" w:line="360" w:lineRule="auto"/>
        <w:jc w:val="both"/>
        <w:rPr>
          <w:rStyle w:val="Ttulo2Car"/>
          <w:b/>
        </w:rPr>
      </w:pPr>
      <w:bookmarkStart w:id="152" w:name="_Toc461648590"/>
      <w:bookmarkStart w:id="153" w:name="_Toc461648682"/>
      <w:bookmarkStart w:id="154" w:name="_Toc462228049"/>
      <w:bookmarkStart w:id="155" w:name="_Toc462228129"/>
      <w:bookmarkStart w:id="156" w:name="_Toc496099789"/>
      <w:bookmarkStart w:id="157" w:name="_Toc496100166"/>
      <w:bookmarkStart w:id="158" w:name="_Toc499756977"/>
      <w:bookmarkStart w:id="159" w:name="_Toc499757020"/>
      <w:bookmarkStart w:id="160" w:name="_Toc504377974"/>
      <w:r w:rsidRPr="00452437">
        <w:rPr>
          <w:rFonts w:ascii="Palatino Linotype" w:eastAsia="Times New Roman" w:hAnsi="Palatino Linotype" w:cs="Arial"/>
          <w:b/>
        </w:rPr>
        <w:t>SEGUNDO.</w:t>
      </w:r>
      <w:bookmarkEnd w:id="152"/>
      <w:bookmarkEnd w:id="153"/>
      <w:bookmarkEnd w:id="154"/>
      <w:bookmarkEnd w:id="155"/>
      <w:bookmarkEnd w:id="156"/>
      <w:bookmarkEnd w:id="157"/>
      <w:bookmarkEnd w:id="158"/>
      <w:bookmarkEnd w:id="159"/>
      <w:bookmarkEnd w:id="160"/>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lastRenderedPageBreak/>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00CE3153">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BB5758" w:rsidRPr="00452437"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CE3153">
        <w:rPr>
          <w:rFonts w:ascii="Palatino Linotype" w:eastAsia="MS Mincho" w:hAnsi="Palatino Linotype"/>
          <w:b/>
        </w:rPr>
        <w:t>EL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rsidR="00D60F5E"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E0309A" w:rsidRPr="00E0309A" w:rsidRDefault="00E0309A" w:rsidP="00E0309A">
      <w:pPr>
        <w:spacing w:before="240" w:after="240" w:line="360" w:lineRule="auto"/>
        <w:ind w:firstLine="1"/>
        <w:jc w:val="both"/>
        <w:rPr>
          <w:rFonts w:ascii="Palatino Linotype" w:hAnsi="Palatino Linotype"/>
          <w:smallCaps/>
        </w:rPr>
      </w:pPr>
      <w:bookmarkStart w:id="161" w:name="_Hlk129792997"/>
      <w:r w:rsidRPr="00E0309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 </w:t>
      </w:r>
      <w:bookmarkEnd w:id="161"/>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38A" w:rsidRDefault="00F7538A" w:rsidP="003B7751">
      <w:r>
        <w:separator/>
      </w:r>
    </w:p>
  </w:endnote>
  <w:endnote w:type="continuationSeparator" w:id="0">
    <w:p w:rsidR="00F7538A" w:rsidRDefault="00F7538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56C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56CF">
              <w:rPr>
                <w:rFonts w:ascii="Palatino Linotype" w:hAnsi="Palatino Linotype"/>
                <w:bCs/>
                <w:noProof/>
                <w:sz w:val="20"/>
              </w:rPr>
              <w:t>22</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56C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56CF">
      <w:rPr>
        <w:rFonts w:ascii="Palatino Linotype" w:hAnsi="Palatino Linotype"/>
        <w:bCs/>
        <w:noProof/>
        <w:sz w:val="20"/>
      </w:rPr>
      <w:t>22</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38A" w:rsidRDefault="00F7538A" w:rsidP="003B7751">
      <w:r>
        <w:separator/>
      </w:r>
    </w:p>
  </w:footnote>
  <w:footnote w:type="continuationSeparator" w:id="0">
    <w:p w:rsidR="00F7538A" w:rsidRDefault="00F7538A"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F7538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485ED8" w:rsidRDefault="00D95A4E" w:rsidP="002650A0">
          <w:pPr>
            <w:pStyle w:val="Encabezado"/>
            <w:rPr>
              <w:rFonts w:ascii="Palatino Linotype" w:hAnsi="Palatino Linotype"/>
              <w:b/>
              <w:sz w:val="22"/>
              <w:szCs w:val="22"/>
            </w:rPr>
          </w:pPr>
          <w:r w:rsidRPr="00D95A4E">
            <w:rPr>
              <w:rFonts w:ascii="Palatino Linotype" w:hAnsi="Palatino Linotype" w:cs="Arial"/>
              <w:b/>
              <w:bCs/>
              <w:sz w:val="20"/>
              <w:szCs w:val="22"/>
              <w:lang w:eastAsia="es-MX"/>
            </w:rPr>
            <w:t>17593/INFOEM/ICR-151/IP/RR/2022</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485ED8"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6375" w:rsidRPr="00AE046A" w:rsidRDefault="00F7538A"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485ED8" w:rsidRDefault="00D95A4E" w:rsidP="0069487D">
          <w:pPr>
            <w:pStyle w:val="Encabezado"/>
            <w:rPr>
              <w:rFonts w:ascii="Palatino Linotype" w:hAnsi="Palatino Linotype"/>
              <w:b/>
              <w:sz w:val="22"/>
              <w:szCs w:val="22"/>
            </w:rPr>
          </w:pPr>
          <w:r w:rsidRPr="00D95A4E">
            <w:rPr>
              <w:rFonts w:ascii="Palatino Linotype" w:hAnsi="Palatino Linotype" w:cs="Arial"/>
              <w:b/>
              <w:bCs/>
              <w:sz w:val="20"/>
              <w:szCs w:val="22"/>
              <w:lang w:eastAsia="es-MX"/>
            </w:rPr>
            <w:t>17593/INFOEM/ICR-151/IP/RR/2022</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B75F20" w:rsidRDefault="00D46375" w:rsidP="009F09BC">
          <w:pPr>
            <w:pStyle w:val="Encabezado"/>
            <w:tabs>
              <w:tab w:val="left" w:pos="521"/>
            </w:tabs>
            <w:rPr>
              <w:rFonts w:ascii="Palatino Linotype" w:hAnsi="Palatino Linotype"/>
              <w:b/>
              <w:sz w:val="22"/>
              <w:szCs w:val="22"/>
            </w:rPr>
          </w:pP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674A46"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6375" w:rsidRPr="00C222C0" w:rsidRDefault="00F7538A">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E1A02"/>
    <w:rsid w:val="000E31C4"/>
    <w:rsid w:val="000E4891"/>
    <w:rsid w:val="00103414"/>
    <w:rsid w:val="00114502"/>
    <w:rsid w:val="001269AD"/>
    <w:rsid w:val="001310C6"/>
    <w:rsid w:val="00134CE6"/>
    <w:rsid w:val="001352F5"/>
    <w:rsid w:val="00166F3E"/>
    <w:rsid w:val="001A18E7"/>
    <w:rsid w:val="001B19F1"/>
    <w:rsid w:val="001B4000"/>
    <w:rsid w:val="001C31A4"/>
    <w:rsid w:val="001C4290"/>
    <w:rsid w:val="001D23C1"/>
    <w:rsid w:val="001D373F"/>
    <w:rsid w:val="001D5404"/>
    <w:rsid w:val="001D630C"/>
    <w:rsid w:val="001E755B"/>
    <w:rsid w:val="00223C06"/>
    <w:rsid w:val="00237FA4"/>
    <w:rsid w:val="002514AC"/>
    <w:rsid w:val="00264C9A"/>
    <w:rsid w:val="002650A0"/>
    <w:rsid w:val="00267A08"/>
    <w:rsid w:val="00272CA2"/>
    <w:rsid w:val="00277FAC"/>
    <w:rsid w:val="002901F4"/>
    <w:rsid w:val="00291500"/>
    <w:rsid w:val="0029504E"/>
    <w:rsid w:val="002A3B71"/>
    <w:rsid w:val="002C0D3C"/>
    <w:rsid w:val="002C4997"/>
    <w:rsid w:val="002C77D6"/>
    <w:rsid w:val="002D294C"/>
    <w:rsid w:val="0030094A"/>
    <w:rsid w:val="00312281"/>
    <w:rsid w:val="00321085"/>
    <w:rsid w:val="00323FFD"/>
    <w:rsid w:val="00330AC9"/>
    <w:rsid w:val="003437D9"/>
    <w:rsid w:val="00353F1D"/>
    <w:rsid w:val="003656CF"/>
    <w:rsid w:val="0037157C"/>
    <w:rsid w:val="003833B3"/>
    <w:rsid w:val="003933C4"/>
    <w:rsid w:val="0039541A"/>
    <w:rsid w:val="003A06E6"/>
    <w:rsid w:val="003A15C8"/>
    <w:rsid w:val="003B70DC"/>
    <w:rsid w:val="003B7751"/>
    <w:rsid w:val="003C13F1"/>
    <w:rsid w:val="003E42AE"/>
    <w:rsid w:val="003E66D2"/>
    <w:rsid w:val="00403D64"/>
    <w:rsid w:val="00407FDA"/>
    <w:rsid w:val="004118FA"/>
    <w:rsid w:val="00425842"/>
    <w:rsid w:val="00427038"/>
    <w:rsid w:val="00437672"/>
    <w:rsid w:val="00456AEE"/>
    <w:rsid w:val="00456CFF"/>
    <w:rsid w:val="004D465B"/>
    <w:rsid w:val="004E4EE6"/>
    <w:rsid w:val="004E6CE4"/>
    <w:rsid w:val="004F34D1"/>
    <w:rsid w:val="00500BD7"/>
    <w:rsid w:val="00507B30"/>
    <w:rsid w:val="00531473"/>
    <w:rsid w:val="005331D8"/>
    <w:rsid w:val="00533C02"/>
    <w:rsid w:val="005414D5"/>
    <w:rsid w:val="00541549"/>
    <w:rsid w:val="005432D0"/>
    <w:rsid w:val="00546076"/>
    <w:rsid w:val="00547ACE"/>
    <w:rsid w:val="005507B0"/>
    <w:rsid w:val="00554A21"/>
    <w:rsid w:val="00556E0A"/>
    <w:rsid w:val="00563F2E"/>
    <w:rsid w:val="0057514F"/>
    <w:rsid w:val="00575E75"/>
    <w:rsid w:val="00583A39"/>
    <w:rsid w:val="00592FAC"/>
    <w:rsid w:val="005B0088"/>
    <w:rsid w:val="005B076D"/>
    <w:rsid w:val="005B6702"/>
    <w:rsid w:val="005C5021"/>
    <w:rsid w:val="005D2F1C"/>
    <w:rsid w:val="005D4C57"/>
    <w:rsid w:val="0062406B"/>
    <w:rsid w:val="00647F7C"/>
    <w:rsid w:val="00657639"/>
    <w:rsid w:val="006672E1"/>
    <w:rsid w:val="00680C93"/>
    <w:rsid w:val="0069487D"/>
    <w:rsid w:val="006A04B6"/>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79DB"/>
    <w:rsid w:val="007A1AA9"/>
    <w:rsid w:val="007A460E"/>
    <w:rsid w:val="007A6A1A"/>
    <w:rsid w:val="007B0745"/>
    <w:rsid w:val="007B3713"/>
    <w:rsid w:val="007B5FAE"/>
    <w:rsid w:val="007C3C29"/>
    <w:rsid w:val="007D711C"/>
    <w:rsid w:val="007E56E1"/>
    <w:rsid w:val="00804DAA"/>
    <w:rsid w:val="00806A4B"/>
    <w:rsid w:val="008209D6"/>
    <w:rsid w:val="0082142B"/>
    <w:rsid w:val="008227A9"/>
    <w:rsid w:val="008526F4"/>
    <w:rsid w:val="008563C8"/>
    <w:rsid w:val="008573BF"/>
    <w:rsid w:val="0086792A"/>
    <w:rsid w:val="00873EB6"/>
    <w:rsid w:val="008A06F8"/>
    <w:rsid w:val="008A64D0"/>
    <w:rsid w:val="008A699B"/>
    <w:rsid w:val="008B0637"/>
    <w:rsid w:val="008C1ED7"/>
    <w:rsid w:val="008E12E3"/>
    <w:rsid w:val="008E32EE"/>
    <w:rsid w:val="008E330F"/>
    <w:rsid w:val="008E6574"/>
    <w:rsid w:val="008F6D18"/>
    <w:rsid w:val="00911A75"/>
    <w:rsid w:val="009126F1"/>
    <w:rsid w:val="00925458"/>
    <w:rsid w:val="00926716"/>
    <w:rsid w:val="009335F9"/>
    <w:rsid w:val="00945135"/>
    <w:rsid w:val="0095341F"/>
    <w:rsid w:val="00982FCD"/>
    <w:rsid w:val="00995B4E"/>
    <w:rsid w:val="009972BB"/>
    <w:rsid w:val="009A2251"/>
    <w:rsid w:val="009C1B6F"/>
    <w:rsid w:val="009C46F2"/>
    <w:rsid w:val="009D0241"/>
    <w:rsid w:val="009D5A32"/>
    <w:rsid w:val="009E5B16"/>
    <w:rsid w:val="009F09BC"/>
    <w:rsid w:val="00A224A7"/>
    <w:rsid w:val="00A23E82"/>
    <w:rsid w:val="00A42282"/>
    <w:rsid w:val="00A429D6"/>
    <w:rsid w:val="00A47F71"/>
    <w:rsid w:val="00A533B8"/>
    <w:rsid w:val="00A56791"/>
    <w:rsid w:val="00A626EB"/>
    <w:rsid w:val="00A739EE"/>
    <w:rsid w:val="00A9000C"/>
    <w:rsid w:val="00A96A69"/>
    <w:rsid w:val="00AD316E"/>
    <w:rsid w:val="00AD63B4"/>
    <w:rsid w:val="00AF4BBC"/>
    <w:rsid w:val="00B0695D"/>
    <w:rsid w:val="00B07BF8"/>
    <w:rsid w:val="00B11CDD"/>
    <w:rsid w:val="00B5225F"/>
    <w:rsid w:val="00B530E8"/>
    <w:rsid w:val="00B86242"/>
    <w:rsid w:val="00BB5758"/>
    <w:rsid w:val="00BF19DE"/>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5A4E"/>
    <w:rsid w:val="00D96104"/>
    <w:rsid w:val="00DA6D37"/>
    <w:rsid w:val="00DB17E1"/>
    <w:rsid w:val="00DB753F"/>
    <w:rsid w:val="00DC2611"/>
    <w:rsid w:val="00DD1021"/>
    <w:rsid w:val="00DD628A"/>
    <w:rsid w:val="00DE2F5A"/>
    <w:rsid w:val="00DF03A5"/>
    <w:rsid w:val="00E0309A"/>
    <w:rsid w:val="00E118BA"/>
    <w:rsid w:val="00E17429"/>
    <w:rsid w:val="00E25145"/>
    <w:rsid w:val="00E55966"/>
    <w:rsid w:val="00E56172"/>
    <w:rsid w:val="00E5636B"/>
    <w:rsid w:val="00E566C9"/>
    <w:rsid w:val="00E61C13"/>
    <w:rsid w:val="00E61DA9"/>
    <w:rsid w:val="00E92E04"/>
    <w:rsid w:val="00EA660A"/>
    <w:rsid w:val="00EB1CE2"/>
    <w:rsid w:val="00ED1D6B"/>
    <w:rsid w:val="00ED3A35"/>
    <w:rsid w:val="00ED6E75"/>
    <w:rsid w:val="00EF280A"/>
    <w:rsid w:val="00EF45F9"/>
    <w:rsid w:val="00F24A04"/>
    <w:rsid w:val="00F31318"/>
    <w:rsid w:val="00F35B0C"/>
    <w:rsid w:val="00F42ADB"/>
    <w:rsid w:val="00F469C7"/>
    <w:rsid w:val="00F72588"/>
    <w:rsid w:val="00F7371C"/>
    <w:rsid w:val="00F7538A"/>
    <w:rsid w:val="00F849F2"/>
    <w:rsid w:val="00F946B5"/>
    <w:rsid w:val="00FB6D42"/>
    <w:rsid w:val="00FD2FA4"/>
    <w:rsid w:val="00FE3FBE"/>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E0309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44B2-6E6D-49B3-96C1-F446F7E6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4879</Words>
  <Characters>26835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cp:lastPrinted>2023-08-03T17:58:00Z</cp:lastPrinted>
  <dcterms:created xsi:type="dcterms:W3CDTF">2023-08-09T19:54:00Z</dcterms:created>
  <dcterms:modified xsi:type="dcterms:W3CDTF">2023-08-25T17:49:00Z</dcterms:modified>
</cp:coreProperties>
</file>