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E47" w:rsidRPr="007D52B5" w:rsidRDefault="003233E0">
      <w:pPr>
        <w:spacing w:before="240" w:after="240" w:line="360" w:lineRule="auto"/>
        <w:jc w:val="both"/>
        <w:rPr>
          <w:rFonts w:ascii="Palatino Linotype" w:eastAsia="Palatino Linotype" w:hAnsi="Palatino Linotype" w:cs="Palatino Linotype"/>
        </w:rPr>
      </w:pPr>
      <w:bookmarkStart w:id="0" w:name="_GoBack"/>
      <w:bookmarkEnd w:id="0"/>
      <w:r w:rsidRPr="007D52B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8050E3" w:rsidRPr="007D52B5">
        <w:rPr>
          <w:rFonts w:ascii="Palatino Linotype" w:eastAsia="Palatino Linotype" w:hAnsi="Palatino Linotype" w:cs="Palatino Linotype"/>
        </w:rPr>
        <w:t xml:space="preserve"> de México, de fecha quince</w:t>
      </w:r>
      <w:r w:rsidR="008A5C54" w:rsidRPr="007D52B5">
        <w:rPr>
          <w:rFonts w:ascii="Palatino Linotype" w:eastAsia="Palatino Linotype" w:hAnsi="Palatino Linotype" w:cs="Palatino Linotype"/>
        </w:rPr>
        <w:t xml:space="preserve"> de febrero</w:t>
      </w:r>
      <w:r w:rsidRPr="007D52B5">
        <w:rPr>
          <w:rFonts w:ascii="Palatino Linotype" w:eastAsia="Palatino Linotype" w:hAnsi="Palatino Linotype" w:cs="Palatino Linotype"/>
        </w:rPr>
        <w:t xml:space="preserve"> del dos mil veintitrés. </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Visto</w:t>
      </w:r>
      <w:r w:rsidRPr="007D52B5">
        <w:rPr>
          <w:rFonts w:ascii="Palatino Linotype" w:eastAsia="Palatino Linotype" w:hAnsi="Palatino Linotype" w:cs="Palatino Linotype"/>
        </w:rPr>
        <w:t xml:space="preserve"> el expediente relativo al recurso de revisión </w:t>
      </w:r>
      <w:r w:rsidR="008050E3" w:rsidRPr="007D52B5">
        <w:rPr>
          <w:rFonts w:ascii="Palatino Linotype" w:eastAsia="Palatino Linotype" w:hAnsi="Palatino Linotype" w:cs="Palatino Linotype"/>
          <w:b/>
        </w:rPr>
        <w:t>13554</w:t>
      </w:r>
      <w:r w:rsidRPr="007D52B5">
        <w:rPr>
          <w:rFonts w:ascii="Palatino Linotype" w:eastAsia="Palatino Linotype" w:hAnsi="Palatino Linotype" w:cs="Palatino Linotype"/>
          <w:b/>
        </w:rPr>
        <w:t>/INFOEM/IP/RR/2022</w:t>
      </w:r>
      <w:r w:rsidRPr="007D52B5">
        <w:rPr>
          <w:rFonts w:ascii="Palatino Linotype" w:eastAsia="Palatino Linotype" w:hAnsi="Palatino Linotype" w:cs="Palatino Linotype"/>
        </w:rPr>
        <w:t xml:space="preserve">, interpuesto </w:t>
      </w:r>
      <w:r w:rsidR="008050E3" w:rsidRPr="007D52B5">
        <w:rPr>
          <w:rFonts w:ascii="Palatino Linotype" w:eastAsia="Palatino Linotype" w:hAnsi="Palatino Linotype" w:cs="Palatino Linotype"/>
        </w:rPr>
        <w:t xml:space="preserve">por </w:t>
      </w:r>
      <w:r w:rsidR="008050E3" w:rsidRPr="007D52B5">
        <w:rPr>
          <w:rFonts w:ascii="Palatino Linotype" w:eastAsia="Palatino Linotype" w:hAnsi="Palatino Linotype" w:cs="Palatino Linotype"/>
          <w:b/>
        </w:rPr>
        <w:t>un particular que no proporcionó su nombre</w:t>
      </w:r>
      <w:r w:rsidRPr="007D52B5">
        <w:rPr>
          <w:rFonts w:ascii="Palatino Linotype" w:eastAsia="Palatino Linotype" w:hAnsi="Palatino Linotype" w:cs="Palatino Linotype"/>
          <w:b/>
        </w:rPr>
        <w:t>,</w:t>
      </w:r>
      <w:r w:rsidRPr="007D52B5">
        <w:rPr>
          <w:rFonts w:ascii="Palatino Linotype" w:eastAsia="Palatino Linotype" w:hAnsi="Palatino Linotype" w:cs="Palatino Linotype"/>
        </w:rPr>
        <w:t xml:space="preserve"> al cual en lo sucesivo se le denominara </w:t>
      </w:r>
      <w:r w:rsidRPr="007D52B5">
        <w:rPr>
          <w:rFonts w:ascii="Palatino Linotype" w:eastAsia="Palatino Linotype" w:hAnsi="Palatino Linotype" w:cs="Palatino Linotype"/>
          <w:b/>
        </w:rPr>
        <w:t>el RECURRENTE</w:t>
      </w:r>
      <w:r w:rsidRPr="007D52B5">
        <w:rPr>
          <w:rFonts w:ascii="Palatino Linotype" w:eastAsia="Palatino Linotype" w:hAnsi="Palatino Linotype" w:cs="Palatino Linotype"/>
        </w:rPr>
        <w:t xml:space="preserve">, en contra de la respuesta a su solicitud de información con número de folio </w:t>
      </w:r>
      <w:r w:rsidR="008050E3" w:rsidRPr="007D52B5">
        <w:rPr>
          <w:rFonts w:ascii="Palatino Linotype" w:eastAsia="Palatino Linotype" w:hAnsi="Palatino Linotype" w:cs="Palatino Linotype"/>
          <w:b/>
        </w:rPr>
        <w:t>00208/TULTITLA/IP/2022</w:t>
      </w:r>
      <w:r w:rsidRPr="007D52B5">
        <w:rPr>
          <w:rFonts w:ascii="Palatino Linotype" w:eastAsia="Palatino Linotype" w:hAnsi="Palatino Linotype" w:cs="Palatino Linotype"/>
        </w:rPr>
        <w:t xml:space="preserve">, por parte del </w:t>
      </w:r>
      <w:r w:rsidRPr="007D52B5">
        <w:rPr>
          <w:rFonts w:ascii="Palatino Linotype" w:eastAsia="Palatino Linotype" w:hAnsi="Palatino Linotype" w:cs="Palatino Linotype"/>
          <w:b/>
        </w:rPr>
        <w:t xml:space="preserve">Ayuntamiento de </w:t>
      </w:r>
      <w:r w:rsidR="008050E3" w:rsidRPr="007D52B5">
        <w:rPr>
          <w:rFonts w:ascii="Palatino Linotype" w:eastAsia="Palatino Linotype" w:hAnsi="Palatino Linotype" w:cs="Palatino Linotype"/>
          <w:b/>
        </w:rPr>
        <w:t>Tultitlan,</w:t>
      </w:r>
      <w:r w:rsidRPr="007D52B5">
        <w:rPr>
          <w:rFonts w:ascii="Palatino Linotype" w:eastAsia="Palatino Linotype" w:hAnsi="Palatino Linotype" w:cs="Palatino Linotype"/>
        </w:rPr>
        <w:t xml:space="preserve"> en lo sucesivo el </w:t>
      </w:r>
      <w:r w:rsidRPr="007D52B5">
        <w:rPr>
          <w:rFonts w:ascii="Palatino Linotype" w:eastAsia="Palatino Linotype" w:hAnsi="Palatino Linotype" w:cs="Palatino Linotype"/>
          <w:b/>
        </w:rPr>
        <w:t xml:space="preserve">SUJETO OBLIGADO; </w:t>
      </w:r>
      <w:r w:rsidRPr="007D52B5">
        <w:rPr>
          <w:rFonts w:ascii="Palatino Linotype" w:eastAsia="Palatino Linotype" w:hAnsi="Palatino Linotype" w:cs="Palatino Linotype"/>
        </w:rPr>
        <w:t>se procede a dictar la presente resolución, con base en los siguientes:</w:t>
      </w:r>
    </w:p>
    <w:p w:rsidR="00264E47" w:rsidRPr="007D52B5"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7D52B5">
        <w:rPr>
          <w:rFonts w:ascii="Palatino Linotype" w:eastAsia="Palatino Linotype" w:hAnsi="Palatino Linotype" w:cs="Palatino Linotype"/>
          <w:b/>
          <w:sz w:val="22"/>
          <w:szCs w:val="22"/>
        </w:rPr>
        <w:t>A N T E C E D E N T E S:</w:t>
      </w:r>
    </w:p>
    <w:p w:rsidR="0061018E" w:rsidRPr="007D52B5" w:rsidRDefault="003233E0" w:rsidP="0061018E">
      <w:pPr>
        <w:spacing w:before="240" w:after="240" w:line="360" w:lineRule="auto"/>
        <w:jc w:val="both"/>
        <w:rPr>
          <w:rFonts w:ascii="Palatino Linotype" w:hAnsi="Palatino Linotype" w:cs="Arial"/>
          <w:b/>
        </w:rPr>
      </w:pPr>
      <w:r w:rsidRPr="007D52B5">
        <w:rPr>
          <w:rFonts w:ascii="Palatino Linotype" w:eastAsia="Palatino Linotype" w:hAnsi="Palatino Linotype" w:cs="Palatino Linotype"/>
          <w:b/>
        </w:rPr>
        <w:t xml:space="preserve">1. Solicitud de acceso a la información. </w:t>
      </w:r>
      <w:r w:rsidR="008A5C54" w:rsidRPr="007D52B5">
        <w:rPr>
          <w:rFonts w:ascii="Palatino Linotype" w:eastAsia="Palatino Linotype" w:hAnsi="Palatino Linotype" w:cs="Palatino Linotype"/>
        </w:rPr>
        <w:t>Con fecha primero</w:t>
      </w:r>
      <w:r w:rsidRPr="007D52B5">
        <w:rPr>
          <w:rFonts w:ascii="Palatino Linotype" w:eastAsia="Palatino Linotype" w:hAnsi="Palatino Linotype" w:cs="Palatino Linotype"/>
          <w:sz w:val="36"/>
          <w:szCs w:val="36"/>
        </w:rPr>
        <w:t xml:space="preserve"> </w:t>
      </w:r>
      <w:r w:rsidRPr="007D52B5">
        <w:rPr>
          <w:rFonts w:ascii="Palatino Linotype" w:eastAsia="Palatino Linotype" w:hAnsi="Palatino Linotype" w:cs="Palatino Linotype"/>
        </w:rPr>
        <w:t xml:space="preserve">de agosto del dos mil veintidós, </w:t>
      </w:r>
      <w:r w:rsidR="008A5C54" w:rsidRPr="007D52B5">
        <w:rPr>
          <w:rFonts w:ascii="Palatino Linotype" w:eastAsia="Palatino Linotype" w:hAnsi="Palatino Linotype" w:cs="Palatino Linotype"/>
        </w:rPr>
        <w:t xml:space="preserve">la parte </w:t>
      </w:r>
      <w:r w:rsidR="008A5C54" w:rsidRPr="007D52B5">
        <w:rPr>
          <w:rFonts w:ascii="Palatino Linotype" w:eastAsia="Palatino Linotype" w:hAnsi="Palatino Linotype" w:cs="Palatino Linotype"/>
          <w:b/>
        </w:rPr>
        <w:t xml:space="preserve">RECURRENTE </w:t>
      </w:r>
      <w:r w:rsidR="0061018E" w:rsidRPr="007D52B5">
        <w:rPr>
          <w:rFonts w:ascii="Palatino Linotype" w:hAnsi="Palatino Linotype" w:cs="Arial"/>
        </w:rPr>
        <w:t xml:space="preserve">formuló solicitud de acceso a información pública al </w:t>
      </w:r>
      <w:r w:rsidR="0061018E" w:rsidRPr="007D52B5">
        <w:rPr>
          <w:rFonts w:ascii="Palatino Linotype" w:hAnsi="Palatino Linotype" w:cs="Arial"/>
          <w:b/>
        </w:rPr>
        <w:t>SUJETO OBLIGADO</w:t>
      </w:r>
      <w:r w:rsidR="0061018E" w:rsidRPr="007D52B5">
        <w:rPr>
          <w:rFonts w:ascii="Palatino Linotype" w:hAnsi="Palatino Linotype" w:cs="Arial"/>
        </w:rPr>
        <w:t xml:space="preserve"> a través del Sistema de Acceso a la Información Mexiquense, en adelante </w:t>
      </w:r>
      <w:r w:rsidR="0061018E" w:rsidRPr="007D52B5">
        <w:rPr>
          <w:rFonts w:ascii="Palatino Linotype" w:hAnsi="Palatino Linotype" w:cs="Arial"/>
          <w:b/>
        </w:rPr>
        <w:t>SAIMEX,</w:t>
      </w:r>
      <w:r w:rsidR="0061018E" w:rsidRPr="007D52B5">
        <w:rPr>
          <w:rFonts w:ascii="Palatino Linotype" w:hAnsi="Palatino Linotype" w:cs="Arial"/>
        </w:rPr>
        <w:t xml:space="preserve"> requiriéndole lo siguiente:</w:t>
      </w:r>
    </w:p>
    <w:p w:rsidR="00264E47" w:rsidRPr="007D52B5" w:rsidRDefault="003233E0">
      <w:pPr>
        <w:spacing w:before="240" w:after="240"/>
        <w:ind w:left="851" w:right="90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008050E3" w:rsidRPr="007D52B5">
        <w:rPr>
          <w:rFonts w:ascii="Palatino Linotype" w:eastAsia="Palatino Linotype" w:hAnsi="Palatino Linotype" w:cs="Palatino Linotype"/>
          <w:i/>
          <w:sz w:val="22"/>
          <w:szCs w:val="22"/>
        </w:rPr>
        <w:t>En un periodo comprendido entre enero de 2022 a junio de 2022, requiero la versión pública de los dos últimos expedientes completos respecto del documento identificado como CERTIFICADO DE APORTACIÓN DE MEJORAS (ver anexo para pronta referencia).</w:t>
      </w:r>
      <w:r w:rsidRPr="007D52B5">
        <w:rPr>
          <w:rFonts w:ascii="Palatino Linotype" w:eastAsia="Palatino Linotype" w:hAnsi="Palatino Linotype" w:cs="Palatino Linotype"/>
          <w:i/>
          <w:sz w:val="22"/>
          <w:szCs w:val="22"/>
        </w:rPr>
        <w:t>” (Sic)</w:t>
      </w:r>
    </w:p>
    <w:p w:rsidR="008050E3"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Modalidad elegida para la entrega de la información: </w:t>
      </w:r>
      <w:r w:rsidRPr="007D52B5">
        <w:rPr>
          <w:rFonts w:ascii="Palatino Linotype" w:eastAsia="Palatino Linotype" w:hAnsi="Palatino Linotype" w:cs="Palatino Linotype"/>
        </w:rPr>
        <w:t>a través de SAIMEX</w:t>
      </w:r>
      <w:r w:rsidR="008050E3" w:rsidRPr="007D52B5">
        <w:rPr>
          <w:rFonts w:ascii="Palatino Linotype" w:eastAsia="Palatino Linotype" w:hAnsi="Palatino Linotype" w:cs="Palatino Linotype"/>
        </w:rPr>
        <w:t>.</w:t>
      </w:r>
    </w:p>
    <w:p w:rsidR="008050E3" w:rsidRPr="007D52B5" w:rsidRDefault="008050E3" w:rsidP="008050E3">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El particular adjuntó a su acuse de solicitud el archivo electrónico denominado “</w:t>
      </w:r>
      <w:hyperlink r:id="rId8" w:tgtFrame="_blank" w:history="1">
        <w:r w:rsidRPr="007D52B5">
          <w:rPr>
            <w:rFonts w:ascii="Palatino Linotype" w:eastAsia="Palatino Linotype" w:hAnsi="Palatino Linotype" w:cs="Palatino Linotype"/>
          </w:rPr>
          <w:t>CERTIFICADO DE APORTACION DE MEJORAS.pdf</w:t>
        </w:r>
      </w:hyperlink>
      <w:r w:rsidRPr="007D52B5">
        <w:rPr>
          <w:rFonts w:ascii="Palatino Linotype" w:eastAsia="Palatino Linotype" w:hAnsi="Palatino Linotype" w:cs="Palatino Linotype"/>
        </w:rPr>
        <w:t>”, el cual contiene un certificado de aportación de mejoras del Ayuntamiento de Tultitlan.</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lastRenderedPageBreak/>
        <w:t xml:space="preserve">2. Respuesta. </w:t>
      </w:r>
      <w:r w:rsidR="008050E3" w:rsidRPr="007D52B5">
        <w:rPr>
          <w:rFonts w:ascii="Palatino Linotype" w:eastAsia="Palatino Linotype" w:hAnsi="Palatino Linotype" w:cs="Palatino Linotype"/>
        </w:rPr>
        <w:t>Con fecha diecinueve</w:t>
      </w:r>
      <w:r w:rsidRPr="007D52B5">
        <w:rPr>
          <w:rFonts w:ascii="Palatino Linotype" w:eastAsia="Palatino Linotype" w:hAnsi="Palatino Linotype" w:cs="Palatino Linotype"/>
        </w:rPr>
        <w:t xml:space="preserve"> de agosto del dos mil veintidós 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envió su respuesta a la solicitud de acceso a la información a través del SAIMEX, la cual versa como sigue:</w:t>
      </w:r>
    </w:p>
    <w:p w:rsidR="008050E3" w:rsidRPr="007D52B5" w:rsidRDefault="003233E0" w:rsidP="008050E3">
      <w:pPr>
        <w:spacing w:before="240" w:after="240"/>
        <w:ind w:left="851" w:right="90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008050E3" w:rsidRPr="007D52B5">
        <w:rPr>
          <w:rFonts w:ascii="Palatino Linotype" w:eastAsia="Palatino Linotype" w:hAnsi="Palatino Linotype" w:cs="Palatino Linotype"/>
          <w:i/>
          <w:sz w:val="22"/>
          <w:szCs w:val="22"/>
        </w:rPr>
        <w:t>Tultitlán, México a 01 de Agosto de 2022 Nombre del solicitante: C. Solicitante Folio de la solicitud: 00208/TULTITLA/IP/2022 DE ACUERDO A LO ESTABLECIDO EN EL ARTICULO 159 DE LA LEY DE TRANSPARENCIA Y ACCESO A LA INFORMACIÓN PÚBLICA, LE PEDIMOS AMABLEMENTE PUEDA REDACTAR DE FORMA MÁS CLARA O ESPECIFICA EN EL APARTADO DE DESCRIPCIÓN INTEGRADA A LAS SOLICITUDES DE INFORMACIÓN PARA QUE ESTA UNIDAD DE TRANSPARENCIA PUEDA TURNAR A TODAS AQUELLAS DEPENDENCIAS QUE PUEDAN CONTAR CON INFORMACIÓN AL RESPECTO SOBRE LO A SOLICITADO, ESTO EN RAZÓN DE DARLE UNA ATENCIÓN GRATUITA, PRONTA Y EXPEDITA. ATENTAMENTE C. AARON MANUEL RUIZ ZUBIETA Unidad de Transparencia Ayuntamiento de Tultitlán</w:t>
      </w:r>
    </w:p>
    <w:p w:rsidR="00264E47" w:rsidRPr="007D52B5" w:rsidRDefault="003233E0" w:rsidP="008050E3">
      <w:pPr>
        <w:spacing w:before="240" w:after="240"/>
        <w:ind w:left="851" w:right="90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ATENTAMENTE</w:t>
      </w:r>
    </w:p>
    <w:p w:rsidR="00264E47" w:rsidRPr="007D52B5" w:rsidRDefault="008050E3">
      <w:pPr>
        <w:spacing w:before="240" w:after="240"/>
        <w:ind w:left="851" w:right="90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C. AARON MANUEL RUIZ ZUBIETA</w:t>
      </w:r>
      <w:r w:rsidR="003233E0" w:rsidRPr="007D52B5">
        <w:rPr>
          <w:rFonts w:ascii="Palatino Linotype" w:eastAsia="Palatino Linotype" w:hAnsi="Palatino Linotype" w:cs="Palatino Linotype"/>
          <w:i/>
          <w:sz w:val="22"/>
          <w:szCs w:val="22"/>
        </w:rPr>
        <w:t>” (Sic)</w:t>
      </w:r>
    </w:p>
    <w:p w:rsidR="008A5C54" w:rsidRPr="007D52B5" w:rsidRDefault="008A5C54">
      <w:pPr>
        <w:spacing w:line="360" w:lineRule="auto"/>
        <w:ind w:right="49"/>
        <w:jc w:val="both"/>
        <w:rPr>
          <w:rFonts w:ascii="Palatino Linotype" w:eastAsia="Palatino Linotype" w:hAnsi="Palatino Linotype" w:cs="Palatino Linotype"/>
        </w:rPr>
      </w:pPr>
    </w:p>
    <w:p w:rsidR="008050E3" w:rsidRPr="007D52B5" w:rsidRDefault="008050E3">
      <w:pPr>
        <w:spacing w:line="360" w:lineRule="auto"/>
        <w:ind w:right="49"/>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El SUJETO OBLIGADO, </w:t>
      </w:r>
      <w:r w:rsidRPr="007D52B5">
        <w:rPr>
          <w:rFonts w:ascii="Palatino Linotype" w:eastAsia="Palatino Linotype" w:hAnsi="Palatino Linotype" w:cs="Palatino Linotype"/>
        </w:rPr>
        <w:t>adjuntó a su solicitud de información el archivo electrónico denominado “</w:t>
      </w:r>
      <w:hyperlink r:id="rId9" w:tgtFrame="_blank" w:history="1">
        <w:r w:rsidRPr="007D52B5">
          <w:rPr>
            <w:rFonts w:ascii="Palatino Linotype" w:eastAsia="Palatino Linotype" w:hAnsi="Palatino Linotype" w:cs="Palatino Linotype"/>
          </w:rPr>
          <w:t>S208.pdf</w:t>
        </w:r>
      </w:hyperlink>
      <w:r w:rsidRPr="007D52B5">
        <w:rPr>
          <w:rFonts w:ascii="Palatino Linotype" w:eastAsia="Palatino Linotype" w:hAnsi="Palatino Linotype" w:cs="Palatino Linotype"/>
        </w:rPr>
        <w:t>”,</w:t>
      </w:r>
      <w:r w:rsidRPr="007D52B5">
        <w:t xml:space="preserve"> </w:t>
      </w:r>
      <w:r w:rsidRPr="007D52B5">
        <w:rPr>
          <w:rFonts w:ascii="Palatino Linotype" w:eastAsia="Palatino Linotype" w:hAnsi="Palatino Linotype" w:cs="Palatino Linotype"/>
        </w:rPr>
        <w:t xml:space="preserve">a través del cual la Unidad de Transparencia del Ayuntamiento de Tultitlán, informó al particular  que pueda redactar de forma más clara o especifica en el apartado de descripción integrada a las solicitudes de información, para que la unidad de transparencia pueda turnar a todas aquellas dependencias que puedan contar con información respecto de lo solicitado, para </w:t>
      </w:r>
      <w:proofErr w:type="gramStart"/>
      <w:r w:rsidRPr="007D52B5">
        <w:rPr>
          <w:rFonts w:ascii="Palatino Linotype" w:eastAsia="Palatino Linotype" w:hAnsi="Palatino Linotype" w:cs="Palatino Linotype"/>
        </w:rPr>
        <w:t>darle</w:t>
      </w:r>
      <w:proofErr w:type="gramEnd"/>
      <w:r w:rsidRPr="007D52B5">
        <w:rPr>
          <w:rFonts w:ascii="Palatino Linotype" w:eastAsia="Palatino Linotype" w:hAnsi="Palatino Linotype" w:cs="Palatino Linotype"/>
        </w:rPr>
        <w:t xml:space="preserve"> una atención gratuita, pronta y expedita</w:t>
      </w:r>
    </w:p>
    <w:p w:rsidR="008050E3" w:rsidRPr="007D52B5" w:rsidRDefault="008050E3">
      <w:pPr>
        <w:spacing w:line="360" w:lineRule="auto"/>
        <w:ind w:right="49"/>
        <w:jc w:val="both"/>
        <w:rPr>
          <w:rFonts w:ascii="Palatino Linotype" w:eastAsia="Palatino Linotype" w:hAnsi="Palatino Linotype" w:cs="Palatino Linotype"/>
          <w:b/>
        </w:rPr>
      </w:pPr>
    </w:p>
    <w:p w:rsidR="00264E47" w:rsidRPr="007D52B5" w:rsidRDefault="003233E0">
      <w:pPr>
        <w:spacing w:line="360" w:lineRule="auto"/>
        <w:ind w:right="49"/>
        <w:jc w:val="both"/>
        <w:rPr>
          <w:rFonts w:ascii="Palatino Linotype" w:eastAsia="Palatino Linotype" w:hAnsi="Palatino Linotype" w:cs="Palatino Linotype"/>
        </w:rPr>
      </w:pPr>
      <w:r w:rsidRPr="007D52B5">
        <w:rPr>
          <w:rFonts w:ascii="Palatino Linotype" w:eastAsia="Palatino Linotype" w:hAnsi="Palatino Linotype" w:cs="Palatino Linotype"/>
          <w:b/>
        </w:rPr>
        <w:lastRenderedPageBreak/>
        <w:t xml:space="preserve">3. Interposición del recurso de revisión. </w:t>
      </w:r>
      <w:r w:rsidRPr="007D52B5">
        <w:rPr>
          <w:rFonts w:ascii="Palatino Linotype" w:eastAsia="Palatino Linotype" w:hAnsi="Palatino Linotype" w:cs="Palatino Linotype"/>
        </w:rPr>
        <w:t xml:space="preserve">Inconforme con la respuesta del </w:t>
      </w:r>
      <w:r w:rsidRPr="007D52B5">
        <w:rPr>
          <w:rFonts w:ascii="Palatino Linotype" w:eastAsia="Palatino Linotype" w:hAnsi="Palatino Linotype" w:cs="Palatino Linotype"/>
          <w:b/>
        </w:rPr>
        <w:t>SUJETO OBLIGADO el ahora RECURRENTE</w:t>
      </w:r>
      <w:r w:rsidRPr="007D52B5">
        <w:rPr>
          <w:rFonts w:ascii="Palatino Linotype" w:eastAsia="Palatino Linotype" w:hAnsi="Palatino Linotype" w:cs="Palatino Linotype"/>
        </w:rPr>
        <w:t xml:space="preserve"> interpuso recurso de revisión a través de</w:t>
      </w:r>
      <w:r w:rsidR="004E516C" w:rsidRPr="007D52B5">
        <w:rPr>
          <w:rFonts w:ascii="Palatino Linotype" w:eastAsia="Palatino Linotype" w:hAnsi="Palatino Linotype" w:cs="Palatino Linotype"/>
        </w:rPr>
        <w:t>l SAIMEX, en fecha veintidós de agosto</w:t>
      </w:r>
      <w:r w:rsidRPr="007D52B5">
        <w:rPr>
          <w:rFonts w:ascii="Palatino Linotype" w:eastAsia="Palatino Linotype" w:hAnsi="Palatino Linotype" w:cs="Palatino Linotype"/>
        </w:rPr>
        <w:t xml:space="preserve"> de dos mil veintidós, a través del cual expresó lo siguiente:</w:t>
      </w:r>
    </w:p>
    <w:p w:rsidR="00264E47" w:rsidRPr="007D52B5" w:rsidRDefault="00264E47">
      <w:pPr>
        <w:spacing w:line="360" w:lineRule="auto"/>
        <w:ind w:right="49"/>
        <w:jc w:val="both"/>
        <w:rPr>
          <w:rFonts w:ascii="Palatino Linotype" w:eastAsia="Palatino Linotype" w:hAnsi="Palatino Linotype" w:cs="Palatino Linotype"/>
        </w:rPr>
      </w:pPr>
    </w:p>
    <w:p w:rsidR="00264E47" w:rsidRPr="007D52B5" w:rsidRDefault="003233E0">
      <w:pPr>
        <w:spacing w:line="360" w:lineRule="auto"/>
        <w:rPr>
          <w:rFonts w:ascii="Palatino Linotype" w:eastAsia="Palatino Linotype" w:hAnsi="Palatino Linotype" w:cs="Palatino Linotype"/>
          <w:b/>
        </w:rPr>
      </w:pPr>
      <w:r w:rsidRPr="007D52B5">
        <w:rPr>
          <w:rFonts w:ascii="Palatino Linotype" w:eastAsia="Palatino Linotype" w:hAnsi="Palatino Linotype" w:cs="Palatino Linotype"/>
          <w:b/>
        </w:rPr>
        <w:t>a) Acto impugnado.</w:t>
      </w:r>
    </w:p>
    <w:p w:rsidR="00264E47" w:rsidRPr="007D52B5" w:rsidRDefault="003233E0">
      <w:pPr>
        <w:spacing w:after="240"/>
        <w:ind w:left="851" w:right="90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004E516C" w:rsidRPr="007D52B5">
        <w:rPr>
          <w:rFonts w:ascii="Palatino Linotype" w:eastAsia="Palatino Linotype" w:hAnsi="Palatino Linotype" w:cs="Palatino Linotype"/>
          <w:i/>
          <w:sz w:val="22"/>
          <w:szCs w:val="22"/>
        </w:rPr>
        <w:t>Impugno la respuesta ya que no corresponde con lo solicitado. Prevenir al solicitante emitiendo una respuesta va contra lo establecido en la ley que regula la materia así como los propios lineamientos para la atención a las solicitudes de información pública.</w:t>
      </w:r>
      <w:r w:rsidRPr="007D52B5">
        <w:rPr>
          <w:rFonts w:ascii="Palatino Linotype" w:eastAsia="Palatino Linotype" w:hAnsi="Palatino Linotype" w:cs="Palatino Linotype"/>
          <w:i/>
          <w:sz w:val="22"/>
          <w:szCs w:val="22"/>
        </w:rPr>
        <w:t>” (Sic)</w:t>
      </w:r>
    </w:p>
    <w:p w:rsidR="00264E47" w:rsidRPr="007D52B5" w:rsidRDefault="003233E0">
      <w:pPr>
        <w:spacing w:line="360" w:lineRule="auto"/>
        <w:jc w:val="both"/>
        <w:rPr>
          <w:rFonts w:ascii="Palatino Linotype" w:eastAsia="Palatino Linotype" w:hAnsi="Palatino Linotype" w:cs="Palatino Linotype"/>
          <w:b/>
        </w:rPr>
      </w:pPr>
      <w:r w:rsidRPr="007D52B5">
        <w:rPr>
          <w:rFonts w:ascii="Palatino Linotype" w:eastAsia="Palatino Linotype" w:hAnsi="Palatino Linotype" w:cs="Palatino Linotype"/>
          <w:b/>
        </w:rPr>
        <w:t>b) Motivos de inconformidad.</w:t>
      </w:r>
    </w:p>
    <w:p w:rsidR="004E516C" w:rsidRPr="007D52B5" w:rsidRDefault="004E516C" w:rsidP="004E516C">
      <w:pPr>
        <w:spacing w:after="240"/>
        <w:ind w:left="851" w:right="90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“Impugno la respuesta ya que no corresponde con lo solicitado. Prevenir al solicitante emitiendo una respuesta va contra lo establecido en la ley que regula la materia así como los propios lineamientos para la atención a las solicitudes de información pública.” (Sic)</w:t>
      </w:r>
    </w:p>
    <w:p w:rsidR="004E516C" w:rsidRPr="007D52B5" w:rsidRDefault="004E516C" w:rsidP="004E516C">
      <w:pPr>
        <w:spacing w:after="240"/>
        <w:ind w:left="851" w:right="900"/>
        <w:jc w:val="both"/>
        <w:rPr>
          <w:rFonts w:ascii="Palatino Linotype" w:eastAsia="Palatino Linotype" w:hAnsi="Palatino Linotype" w:cs="Palatino Linotype"/>
          <w:i/>
          <w:sz w:val="22"/>
          <w:szCs w:val="22"/>
        </w:rPr>
      </w:pPr>
    </w:p>
    <w:p w:rsidR="00264E47" w:rsidRPr="007D52B5" w:rsidRDefault="003233E0">
      <w:pPr>
        <w:spacing w:before="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4. Turno. </w:t>
      </w:r>
      <w:r w:rsidRPr="007D52B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4E516C" w:rsidRPr="007D52B5">
        <w:rPr>
          <w:rFonts w:ascii="Palatino Linotype" w:eastAsia="Palatino Linotype" w:hAnsi="Palatino Linotype" w:cs="Palatino Linotype"/>
          <w:b/>
        </w:rPr>
        <w:t>13554</w:t>
      </w:r>
      <w:r w:rsidRPr="007D52B5">
        <w:rPr>
          <w:rFonts w:ascii="Palatino Linotype" w:eastAsia="Palatino Linotype" w:hAnsi="Palatino Linotype" w:cs="Palatino Linotype"/>
          <w:b/>
        </w:rPr>
        <w:t xml:space="preserve">/INFOEM/IP/RR/2022, </w:t>
      </w:r>
      <w:r w:rsidRPr="007D52B5">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7D52B5">
        <w:rPr>
          <w:rFonts w:ascii="Palatino Linotype" w:eastAsia="Palatino Linotype" w:hAnsi="Palatino Linotype" w:cs="Palatino Linotype"/>
          <w:b/>
        </w:rPr>
        <w:t>Guadalupe Ramírez Peña</w:t>
      </w:r>
      <w:r w:rsidRPr="007D52B5">
        <w:rPr>
          <w:rFonts w:ascii="Palatino Linotype" w:eastAsia="Palatino Linotype" w:hAnsi="Palatino Linotype" w:cs="Palatino Linotype"/>
        </w:rPr>
        <w:t>, para su análisis, estudio, elaboración del proyecto y presentación ante el Pleno de este Instituto.</w:t>
      </w:r>
    </w:p>
    <w:p w:rsidR="0061018E" w:rsidRPr="007D52B5" w:rsidRDefault="0061018E">
      <w:pPr>
        <w:spacing w:after="240" w:line="360" w:lineRule="auto"/>
        <w:jc w:val="both"/>
        <w:rPr>
          <w:rFonts w:ascii="Palatino Linotype" w:eastAsia="Palatino Linotype" w:hAnsi="Palatino Linotype" w:cs="Palatino Linotype"/>
          <w:b/>
        </w:rPr>
      </w:pPr>
    </w:p>
    <w:p w:rsidR="00264E47" w:rsidRPr="007D52B5" w:rsidRDefault="00553EC2">
      <w:pPr>
        <w:spacing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5</w:t>
      </w:r>
      <w:r w:rsidR="003233E0" w:rsidRPr="007D52B5">
        <w:rPr>
          <w:rFonts w:ascii="Palatino Linotype" w:eastAsia="Palatino Linotype" w:hAnsi="Palatino Linotype" w:cs="Palatino Linotype"/>
          <w:b/>
        </w:rPr>
        <w:t xml:space="preserve">. Admisión del recurso de revisión: </w:t>
      </w:r>
      <w:r w:rsidR="004E516C" w:rsidRPr="007D52B5">
        <w:rPr>
          <w:rFonts w:ascii="Palatino Linotype" w:eastAsia="Palatino Linotype" w:hAnsi="Palatino Linotype" w:cs="Palatino Linotype"/>
        </w:rPr>
        <w:t>En fecha veinticinco de agosto</w:t>
      </w:r>
      <w:r w:rsidR="003233E0" w:rsidRPr="007D52B5">
        <w:rPr>
          <w:rFonts w:ascii="Palatino Linotype" w:eastAsia="Palatino Linotype" w:hAnsi="Palatino Linotype" w:cs="Palatino Linotype"/>
        </w:rPr>
        <w:t xml:space="preserve"> de dos mil veintidós, la Comisionada ponente, admitió a trámite el recurso de revisión que </w:t>
      </w:r>
      <w:r w:rsidR="003233E0" w:rsidRPr="007D52B5">
        <w:rPr>
          <w:rFonts w:ascii="Palatino Linotype" w:eastAsia="Palatino Linotype" w:hAnsi="Palatino Linotype" w:cs="Palatino Linotype"/>
        </w:rPr>
        <w:lastRenderedPageBreak/>
        <w:t xml:space="preserve">ahora se resuelve, dando un plazo máximo de siete días hábiles para que las partes manifestaran lo que a su derecho resultara conveniente, ofrecieran pruebas, formularan alegatos y el </w:t>
      </w:r>
      <w:r w:rsidR="003233E0" w:rsidRPr="007D52B5">
        <w:rPr>
          <w:rFonts w:ascii="Palatino Linotype" w:eastAsia="Palatino Linotype" w:hAnsi="Palatino Linotype" w:cs="Palatino Linotype"/>
          <w:b/>
        </w:rPr>
        <w:t>SUJETO OBLIGADO</w:t>
      </w:r>
      <w:r w:rsidR="003233E0" w:rsidRPr="007D52B5">
        <w:rPr>
          <w:rFonts w:ascii="Palatino Linotype" w:eastAsia="Palatino Linotype" w:hAnsi="Palatino Linotype" w:cs="Palatino Linotype"/>
        </w:rPr>
        <w:t xml:space="preserve"> presentara su informe justificado. </w:t>
      </w:r>
    </w:p>
    <w:p w:rsidR="00264E47" w:rsidRPr="007D52B5" w:rsidRDefault="00553EC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7D52B5">
        <w:rPr>
          <w:rFonts w:ascii="Palatino Linotype" w:eastAsia="Palatino Linotype" w:hAnsi="Palatino Linotype" w:cs="Palatino Linotype"/>
          <w:b/>
        </w:rPr>
        <w:t>6</w:t>
      </w:r>
      <w:r w:rsidR="003233E0" w:rsidRPr="007D52B5">
        <w:rPr>
          <w:rFonts w:ascii="Palatino Linotype" w:eastAsia="Palatino Linotype" w:hAnsi="Palatino Linotype" w:cs="Palatino Linotype"/>
          <w:b/>
        </w:rPr>
        <w:t>. Manifestaciones</w:t>
      </w:r>
      <w:r w:rsidR="003233E0" w:rsidRPr="007D52B5">
        <w:rPr>
          <w:rFonts w:ascii="Palatino Linotype" w:eastAsia="Palatino Linotype" w:hAnsi="Palatino Linotype" w:cs="Palatino Linotype"/>
        </w:rPr>
        <w:t xml:space="preserve">: De las constancias que integran el expediente en que se actúa se advierte que el </w:t>
      </w:r>
      <w:r w:rsidR="003233E0" w:rsidRPr="007D52B5">
        <w:rPr>
          <w:rFonts w:ascii="Palatino Linotype" w:eastAsia="Palatino Linotype" w:hAnsi="Palatino Linotype" w:cs="Palatino Linotype"/>
          <w:b/>
        </w:rPr>
        <w:t>RECURRENT</w:t>
      </w:r>
      <w:r w:rsidR="003233E0" w:rsidRPr="007D52B5">
        <w:rPr>
          <w:rFonts w:ascii="Palatino Linotype" w:eastAsia="Palatino Linotype" w:hAnsi="Palatino Linotype" w:cs="Palatino Linotype"/>
        </w:rPr>
        <w:t>E, fue omiso en presentar sus alegatos o manifestación alguna.</w:t>
      </w:r>
    </w:p>
    <w:p w:rsidR="004E516C" w:rsidRPr="007D52B5" w:rsidRDefault="004E516C" w:rsidP="004E516C">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su parte, el </w:t>
      </w:r>
      <w:r w:rsidRPr="007D52B5">
        <w:rPr>
          <w:rFonts w:ascii="Palatino Linotype" w:eastAsia="Palatino Linotype" w:hAnsi="Palatino Linotype" w:cs="Palatino Linotype"/>
          <w:b/>
        </w:rPr>
        <w:t xml:space="preserve">SUJETO OBLIGADO, </w:t>
      </w:r>
      <w:r w:rsidRPr="007D52B5">
        <w:rPr>
          <w:rFonts w:ascii="Palatino Linotype" w:eastAsia="Palatino Linotype" w:hAnsi="Palatino Linotype" w:cs="Palatino Linotype"/>
        </w:rPr>
        <w:t>en fecha veintiuno de octubre del año dos mil veintitrés, adjuntó el archivo electrónico denominado:</w:t>
      </w:r>
    </w:p>
    <w:p w:rsidR="004E516C" w:rsidRPr="007D52B5" w:rsidRDefault="004E516C" w:rsidP="004E516C">
      <w:pPr>
        <w:spacing w:before="240" w:line="360" w:lineRule="auto"/>
        <w:ind w:right="49"/>
        <w:jc w:val="both"/>
        <w:rPr>
          <w:rFonts w:ascii="Palatino Linotype" w:eastAsia="Palatino Linotype" w:hAnsi="Palatino Linotype" w:cs="Palatino Linotype"/>
        </w:rPr>
      </w:pPr>
      <w:r w:rsidRPr="007D52B5">
        <w:rPr>
          <w:rFonts w:ascii="Palatino Linotype" w:eastAsia="Palatino Linotype" w:hAnsi="Palatino Linotype" w:cs="Palatino Linotype"/>
        </w:rPr>
        <w:t>“</w:t>
      </w:r>
      <w:hyperlink r:id="rId10" w:history="1">
        <w:r w:rsidRPr="007D52B5">
          <w:rPr>
            <w:rFonts w:ascii="Palatino Linotype" w:eastAsia="Palatino Linotype" w:hAnsi="Palatino Linotype" w:cs="Palatino Linotype"/>
          </w:rPr>
          <w:t>S208 RR.pdf</w:t>
        </w:r>
      </w:hyperlink>
      <w:r w:rsidRPr="007D52B5">
        <w:rPr>
          <w:rFonts w:ascii="Palatino Linotype" w:eastAsia="Palatino Linotype" w:hAnsi="Palatino Linotype" w:cs="Palatino Linotype"/>
        </w:rPr>
        <w:t xml:space="preserve">”, por medio del cual la Unidad de Transparencia informó que anexaba el soporte documental donde se aprecia cedulas REMYTS dichas, proporcionando la liga del catálogo REMYTS del SUJETO OBLIGADO: </w:t>
      </w:r>
    </w:p>
    <w:p w:rsidR="004E516C" w:rsidRPr="007D52B5" w:rsidRDefault="004E516C" w:rsidP="004E516C">
      <w:pPr>
        <w:spacing w:before="240" w:line="360" w:lineRule="auto"/>
        <w:ind w:right="49"/>
        <w:jc w:val="both"/>
        <w:rPr>
          <w:rFonts w:ascii="Palatino Linotype" w:eastAsia="Palatino Linotype" w:hAnsi="Palatino Linotype" w:cs="Palatino Linotype"/>
        </w:rPr>
      </w:pPr>
      <w:r w:rsidRPr="007D52B5">
        <w:rPr>
          <w:rFonts w:ascii="Palatino Linotype" w:eastAsia="Palatino Linotype" w:hAnsi="Palatino Linotype" w:cs="Palatino Linotype"/>
        </w:rPr>
        <w:t>https:/ /tultitlan.gob.mx/mejora-regulatoria/</w:t>
      </w:r>
    </w:p>
    <w:p w:rsidR="004E516C" w:rsidRPr="007D52B5" w:rsidRDefault="004E516C" w:rsidP="004E516C">
      <w:pPr>
        <w:spacing w:line="360" w:lineRule="auto"/>
        <w:jc w:val="both"/>
        <w:rPr>
          <w:rFonts w:ascii="Palatino Linotype" w:eastAsia="Palatino Linotype" w:hAnsi="Palatino Linotype" w:cs="Palatino Linotype"/>
        </w:rPr>
      </w:pPr>
    </w:p>
    <w:p w:rsidR="004E516C" w:rsidRPr="007D52B5" w:rsidRDefault="004E516C" w:rsidP="004E516C">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Dicho archivo, se puso a la vista del </w:t>
      </w:r>
      <w:r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4E516C" w:rsidRPr="007D52B5" w:rsidRDefault="004E516C" w:rsidP="004E516C">
      <w:pPr>
        <w:widowControl w:val="0"/>
        <w:spacing w:after="240" w:line="360" w:lineRule="auto"/>
        <w:contextualSpacing/>
        <w:jc w:val="both"/>
        <w:rPr>
          <w:rFonts w:ascii="Palatino Linotype" w:eastAsia="Palatino Linotype" w:hAnsi="Palatino Linotype" w:cs="Palatino Linotype"/>
          <w:b/>
        </w:rPr>
      </w:pPr>
    </w:p>
    <w:p w:rsidR="00264E47" w:rsidRPr="007D52B5" w:rsidRDefault="00553EC2">
      <w:pPr>
        <w:widowControl w:val="0"/>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7</w:t>
      </w:r>
      <w:r w:rsidR="003233E0" w:rsidRPr="007D52B5">
        <w:rPr>
          <w:rFonts w:ascii="Palatino Linotype" w:eastAsia="Palatino Linotype" w:hAnsi="Palatino Linotype" w:cs="Palatino Linotype"/>
          <w:b/>
        </w:rPr>
        <w:t>.- Ampliación del plazo.</w:t>
      </w:r>
      <w:r w:rsidR="004E516C" w:rsidRPr="007D52B5">
        <w:rPr>
          <w:rFonts w:ascii="Palatino Linotype" w:eastAsia="Palatino Linotype" w:hAnsi="Palatino Linotype" w:cs="Palatino Linotype"/>
        </w:rPr>
        <w:t xml:space="preserve"> En fecha ocho de febrero</w:t>
      </w:r>
      <w:r w:rsidR="003233E0" w:rsidRPr="007D52B5">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rsidR="00264E47" w:rsidRPr="007D52B5" w:rsidRDefault="00264E47">
      <w:pPr>
        <w:widowControl w:val="0"/>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553EC2" w:rsidRPr="007D52B5">
        <w:rPr>
          <w:rFonts w:ascii="Palatino Linotype" w:eastAsia="Palatino Linotype" w:hAnsi="Palatino Linotype" w:cs="Palatino Linotype"/>
        </w:rPr>
        <w:t>en el año dos mil veintiuno</w:t>
      </w:r>
      <w:r w:rsidRPr="007D52B5">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4E516C" w:rsidRPr="007D52B5" w:rsidRDefault="004E516C">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7D52B5">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strike/>
        </w:rPr>
      </w:pPr>
      <w:r w:rsidRPr="007D52B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numPr>
          <w:ilvl w:val="0"/>
          <w:numId w:val="1"/>
        </w:num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64E47" w:rsidRPr="007D52B5" w:rsidRDefault="00264E47">
      <w:pPr>
        <w:spacing w:line="360" w:lineRule="auto"/>
        <w:ind w:left="927"/>
        <w:jc w:val="both"/>
        <w:rPr>
          <w:rFonts w:ascii="Palatino Linotype" w:eastAsia="Palatino Linotype" w:hAnsi="Palatino Linotype" w:cs="Palatino Linotype"/>
        </w:rPr>
      </w:pPr>
    </w:p>
    <w:p w:rsidR="00264E47" w:rsidRPr="007D52B5" w:rsidRDefault="003233E0">
      <w:pPr>
        <w:numPr>
          <w:ilvl w:val="0"/>
          <w:numId w:val="1"/>
        </w:num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Actividad Procesal del interesado. Acciones u omisiones del interesado.</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numPr>
          <w:ilvl w:val="0"/>
          <w:numId w:val="1"/>
        </w:num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Conducta de la Autoridad: Las Acciones u omisiones realizadas en el procedimiento. Así como si la autoridad actuó con la debida diligencia.</w:t>
      </w:r>
    </w:p>
    <w:p w:rsidR="00264E47" w:rsidRPr="007D52B5" w:rsidRDefault="00264E47">
      <w:pPr>
        <w:spacing w:line="360" w:lineRule="auto"/>
        <w:ind w:left="708"/>
        <w:rPr>
          <w:rFonts w:ascii="Palatino Linotype" w:eastAsia="Palatino Linotype" w:hAnsi="Palatino Linotype" w:cs="Palatino Linotype"/>
        </w:rPr>
      </w:pPr>
    </w:p>
    <w:p w:rsidR="00264E47" w:rsidRPr="007D52B5" w:rsidRDefault="003233E0">
      <w:pPr>
        <w:spacing w:line="360" w:lineRule="auto"/>
        <w:ind w:left="567"/>
        <w:jc w:val="both"/>
        <w:rPr>
          <w:rFonts w:ascii="Palatino Linotype" w:eastAsia="Palatino Linotype" w:hAnsi="Palatino Linotype" w:cs="Palatino Linotype"/>
        </w:rPr>
      </w:pPr>
      <w:r w:rsidRPr="007D52B5">
        <w:rPr>
          <w:rFonts w:ascii="Palatino Linotype" w:eastAsia="Palatino Linotype" w:hAnsi="Palatino Linotype" w:cs="Palatino Linotype"/>
        </w:rPr>
        <w:t>d) La afectación generada en la situación jurídica de la persona involucrada en el proceso: Violación a sus derechos humanos.</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D52B5">
        <w:rPr>
          <w:rFonts w:ascii="Palatino Linotype" w:eastAsia="Palatino Linotype" w:hAnsi="Palatino Linotype" w:cs="Palatino Linotype"/>
        </w:rPr>
        <w:lastRenderedPageBreak/>
        <w:t>relación con la actuación del funcionario, como ha acontecido en el caso que nos ocupa.</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b/>
        </w:rPr>
      </w:pPr>
      <w:r w:rsidRPr="007D52B5">
        <w:rPr>
          <w:rFonts w:ascii="Palatino Linotype" w:eastAsia="Palatino Linotype" w:hAnsi="Palatino Linotype" w:cs="Palatino Linotype"/>
        </w:rPr>
        <w:t>Argumento que encuentra sustento en la jurisprudencia P</w:t>
      </w:r>
      <w:proofErr w:type="gramStart"/>
      <w:r w:rsidRPr="007D52B5">
        <w:rPr>
          <w:rFonts w:ascii="Palatino Linotype" w:eastAsia="Palatino Linotype" w:hAnsi="Palatino Linotype" w:cs="Palatino Linotype"/>
        </w:rPr>
        <w:t>./</w:t>
      </w:r>
      <w:proofErr w:type="gramEnd"/>
      <w:r w:rsidRPr="007D52B5">
        <w:rPr>
          <w:rFonts w:ascii="Palatino Linotype" w:eastAsia="Palatino Linotype" w:hAnsi="Palatino Linotype" w:cs="Palatino Linotype"/>
        </w:rPr>
        <w:t xml:space="preserve">J. 32/92 emitida por el Pleno de la Suprema Corte de Justicia de la Nación de rubro </w:t>
      </w:r>
      <w:r w:rsidRPr="007D52B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D52B5">
        <w:rPr>
          <w:rFonts w:ascii="Palatino Linotype" w:eastAsia="Palatino Linotype" w:hAnsi="Palatino Linotype" w:cs="Palatino Linotype"/>
        </w:rPr>
        <w:t>, visible en la Gaceta del Seminario Judicial de la Federación con el registro digital 205635.</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i/>
        </w:rPr>
        <w:t>“PLAZO RAZONABLE PARA RESOLVER. DIMENSIÓN Y EFECTOS DE ESTE CONCEPTO CUANDO SE ADUCE EXCESIVA CARGA DE TRABAJO.”</w:t>
      </w:r>
      <w:r w:rsidRPr="007D52B5">
        <w:rPr>
          <w:rFonts w:ascii="Palatino Linotype" w:eastAsia="Palatino Linotype" w:hAnsi="Palatino Linotype" w:cs="Palatino Linotype"/>
        </w:rPr>
        <w:t xml:space="preserve"> consultable en el Seminario Judicial de la Federación y su gaceta, con el registro digital 2002351.</w:t>
      </w:r>
    </w:p>
    <w:p w:rsidR="00264E47" w:rsidRPr="007D52B5" w:rsidRDefault="00264E47">
      <w:pPr>
        <w:spacing w:line="360" w:lineRule="auto"/>
        <w:jc w:val="both"/>
        <w:rPr>
          <w:rFonts w:ascii="Palatino Linotype" w:eastAsia="Palatino Linotype" w:hAnsi="Palatino Linotype" w:cs="Palatino Linotype"/>
          <w:b/>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i/>
        </w:rPr>
        <w:t>“PLAZO RAZONABLE PARA RESOLVER. CONCEPTO Y ELEMENTOS QUE LO INTEGRAN A LA LUZ DEL DERECHO INTERNACIONAL DE LOS DERECHOS HUMANOS.”</w:t>
      </w:r>
      <w:r w:rsidRPr="007D52B5">
        <w:rPr>
          <w:rFonts w:ascii="Palatino Linotype" w:eastAsia="Palatino Linotype" w:hAnsi="Palatino Linotype" w:cs="Palatino Linotype"/>
        </w:rPr>
        <w:t>, visible en el Seminario Judicial de la Federación y su gaceta, con el registro digital 2002350.</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64E47" w:rsidRPr="007D52B5" w:rsidRDefault="00264E47">
      <w:pPr>
        <w:spacing w:line="360" w:lineRule="auto"/>
        <w:jc w:val="both"/>
        <w:rPr>
          <w:rFonts w:ascii="Palatino Linotype" w:eastAsia="Palatino Linotype" w:hAnsi="Palatino Linotype" w:cs="Palatino Linotype"/>
          <w:b/>
        </w:rPr>
      </w:pPr>
    </w:p>
    <w:p w:rsidR="00264E47" w:rsidRPr="007D52B5" w:rsidRDefault="00553EC2">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8</w:t>
      </w:r>
      <w:r w:rsidR="003233E0" w:rsidRPr="007D52B5">
        <w:rPr>
          <w:rFonts w:ascii="Palatino Linotype" w:eastAsia="Palatino Linotype" w:hAnsi="Palatino Linotype" w:cs="Palatino Linotype"/>
          <w:b/>
        </w:rPr>
        <w:t xml:space="preserve">.- Cierre de instrucción. </w:t>
      </w:r>
      <w:r w:rsidR="00D24F6D" w:rsidRPr="007D52B5">
        <w:rPr>
          <w:rFonts w:ascii="Palatino Linotype" w:eastAsia="Palatino Linotype" w:hAnsi="Palatino Linotype" w:cs="Palatino Linotype"/>
        </w:rPr>
        <w:t xml:space="preserve">El </w:t>
      </w:r>
      <w:r w:rsidR="004E516C" w:rsidRPr="007D52B5">
        <w:rPr>
          <w:rFonts w:ascii="Palatino Linotype" w:eastAsia="Palatino Linotype" w:hAnsi="Palatino Linotype" w:cs="Palatino Linotype"/>
        </w:rPr>
        <w:t>ocho</w:t>
      </w:r>
      <w:r w:rsidR="003233E0" w:rsidRPr="007D52B5">
        <w:rPr>
          <w:rFonts w:ascii="Palatino Linotype" w:eastAsia="Palatino Linotype" w:hAnsi="Palatino Linotype" w:cs="Palatino Linotype"/>
        </w:rPr>
        <w:t xml:space="preserve"> </w:t>
      </w:r>
      <w:r w:rsidR="00D24F6D" w:rsidRPr="007D52B5">
        <w:rPr>
          <w:rFonts w:ascii="Palatino Linotype" w:eastAsia="Palatino Linotype" w:hAnsi="Palatino Linotype" w:cs="Palatino Linotype"/>
        </w:rPr>
        <w:t>de febrero</w:t>
      </w:r>
      <w:r w:rsidR="003233E0" w:rsidRPr="007D52B5">
        <w:rPr>
          <w:rFonts w:ascii="Palatino Linotype" w:eastAsia="Palatino Linotype" w:hAnsi="Palatino Linotype" w:cs="Palatino Linotype"/>
        </w:rPr>
        <w:t xml:space="preserve"> de dos mil veintitrés la Comisionada ponente determinó el cierre de instrucción en términos de la fracción VI del artículo 185 de la Ley de Transparencia y Acceso a la Información Pública del Estado de México y Municipios.</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264E47" w:rsidRPr="007D52B5"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7D52B5">
        <w:rPr>
          <w:rFonts w:ascii="Palatino Linotype" w:eastAsia="Palatino Linotype" w:hAnsi="Palatino Linotype" w:cs="Palatino Linotype"/>
          <w:b/>
          <w:sz w:val="22"/>
          <w:szCs w:val="22"/>
        </w:rPr>
        <w:t>C O N S I D E R A N D O:</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Primero. Competencia. </w:t>
      </w:r>
      <w:r w:rsidRPr="007D52B5">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Segundo. Oportunidad y </w:t>
      </w:r>
      <w:proofErr w:type="spellStart"/>
      <w:r w:rsidRPr="007D52B5">
        <w:rPr>
          <w:rFonts w:ascii="Palatino Linotype" w:eastAsia="Palatino Linotype" w:hAnsi="Palatino Linotype" w:cs="Palatino Linotype"/>
          <w:b/>
        </w:rPr>
        <w:t>Procedibilidad</w:t>
      </w:r>
      <w:proofErr w:type="spellEnd"/>
      <w:r w:rsidRPr="007D52B5">
        <w:rPr>
          <w:rFonts w:ascii="Palatino Linotype" w:eastAsia="Palatino Linotype" w:hAnsi="Palatino Linotype" w:cs="Palatino Linotype"/>
          <w:b/>
        </w:rPr>
        <w:t xml:space="preserve"> del Recurso de Revisión</w:t>
      </w:r>
      <w:r w:rsidRPr="007D52B5">
        <w:rPr>
          <w:rFonts w:ascii="Palatino Linotype" w:eastAsia="Palatino Linotype" w:hAnsi="Palatino Linotype" w:cs="Palatino Linotype"/>
        </w:rPr>
        <w:t xml:space="preserve">. De conformidad con los requisitos de Oportunidad y </w:t>
      </w:r>
      <w:proofErr w:type="spellStart"/>
      <w:r w:rsidRPr="007D52B5">
        <w:rPr>
          <w:rFonts w:ascii="Palatino Linotype" w:eastAsia="Palatino Linotype" w:hAnsi="Palatino Linotype" w:cs="Palatino Linotype"/>
        </w:rPr>
        <w:t>Procedibilidad</w:t>
      </w:r>
      <w:proofErr w:type="spellEnd"/>
      <w:r w:rsidRPr="007D52B5">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emitió su respuesta a la solicitud planteada por el s</w:t>
      </w:r>
      <w:r w:rsidR="004E516C" w:rsidRPr="007D52B5">
        <w:rPr>
          <w:rFonts w:ascii="Palatino Linotype" w:eastAsia="Palatino Linotype" w:hAnsi="Palatino Linotype" w:cs="Palatino Linotype"/>
        </w:rPr>
        <w:t>olicitante en fecha diecinueve</w:t>
      </w:r>
      <w:r w:rsidRPr="007D52B5">
        <w:rPr>
          <w:rFonts w:ascii="Palatino Linotype" w:eastAsia="Palatino Linotype" w:hAnsi="Palatino Linotype" w:cs="Palatino Linotype"/>
        </w:rPr>
        <w:t xml:space="preserve"> de agosto del año dos mil veintidós y la parte </w:t>
      </w:r>
      <w:r w:rsidRPr="007D52B5">
        <w:rPr>
          <w:rFonts w:ascii="Palatino Linotype" w:eastAsia="Palatino Linotype" w:hAnsi="Palatino Linotype" w:cs="Palatino Linotype"/>
          <w:b/>
        </w:rPr>
        <w:lastRenderedPageBreak/>
        <w:t>RECURRENTE</w:t>
      </w:r>
      <w:r w:rsidRPr="007D52B5">
        <w:rPr>
          <w:rFonts w:ascii="Palatino Linotype" w:eastAsia="Palatino Linotype" w:hAnsi="Palatino Linotype" w:cs="Palatino Linotype"/>
        </w:rPr>
        <w:t xml:space="preserve"> presentó su recurs</w:t>
      </w:r>
      <w:r w:rsidR="00D24F6D" w:rsidRPr="007D52B5">
        <w:rPr>
          <w:rFonts w:ascii="Palatino Linotype" w:eastAsia="Palatino Linotype" w:hAnsi="Palatino Linotype" w:cs="Palatino Linotype"/>
        </w:rPr>
        <w:t>o de revi</w:t>
      </w:r>
      <w:r w:rsidR="004E516C" w:rsidRPr="007D52B5">
        <w:rPr>
          <w:rFonts w:ascii="Palatino Linotype" w:eastAsia="Palatino Linotype" w:hAnsi="Palatino Linotype" w:cs="Palatino Linotype"/>
        </w:rPr>
        <w:t>sión el veintidós del mismo mes y año; esto es, al primer</w:t>
      </w:r>
      <w:r w:rsidRPr="007D52B5">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rsidR="004E516C" w:rsidRPr="007D52B5" w:rsidRDefault="004E516C" w:rsidP="004E516C">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cuanto hace a la </w:t>
      </w:r>
      <w:proofErr w:type="spellStart"/>
      <w:r w:rsidRPr="007D52B5">
        <w:rPr>
          <w:rFonts w:ascii="Palatino Linotype" w:eastAsia="Palatino Linotype" w:hAnsi="Palatino Linotype" w:cs="Palatino Linotype"/>
        </w:rPr>
        <w:t>procedibilidad</w:t>
      </w:r>
      <w:proofErr w:type="spellEnd"/>
      <w:r w:rsidRPr="007D52B5">
        <w:rPr>
          <w:rFonts w:ascii="Palatino Linotype" w:eastAsia="Palatino Linotype" w:hAnsi="Palatino Linotype" w:cs="Palatino Linotype"/>
        </w:rPr>
        <w:t xml:space="preserve"> del recurso de revisión, es de suma importancia señalar que la parte </w:t>
      </w:r>
      <w:r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no proporcionó su nombre</w:t>
      </w:r>
      <w:r w:rsidRPr="007D52B5">
        <w:rPr>
          <w:rFonts w:ascii="Palatino Linotype" w:eastAsia="Palatino Linotype" w:hAnsi="Palatino Linotype" w:cs="Palatino Linotype"/>
          <w:b/>
        </w:rPr>
        <w:t>,</w:t>
      </w:r>
      <w:r w:rsidRPr="007D52B5">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E516C" w:rsidRPr="007D52B5" w:rsidRDefault="004E516C" w:rsidP="004E516C">
      <w:pPr>
        <w:spacing w:before="240" w:after="240" w:line="276" w:lineRule="auto"/>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 xml:space="preserve">Las solicitudes </w:t>
      </w:r>
      <w:r w:rsidRPr="007D52B5">
        <w:rPr>
          <w:rFonts w:ascii="Palatino Linotype" w:eastAsia="Palatino Linotype" w:hAnsi="Palatino Linotype" w:cs="Palatino Linotype"/>
          <w:i/>
          <w:sz w:val="22"/>
          <w:szCs w:val="22"/>
        </w:rPr>
        <w:t xml:space="preserve">anónimas, con </w:t>
      </w:r>
      <w:r w:rsidRPr="007D52B5">
        <w:rPr>
          <w:rFonts w:ascii="Palatino Linotype" w:eastAsia="Palatino Linotype" w:hAnsi="Palatino Linotype" w:cs="Palatino Linotype"/>
          <w:b/>
          <w:i/>
          <w:sz w:val="22"/>
          <w:szCs w:val="22"/>
        </w:rPr>
        <w:t>nombre incompleto o seudónimo</w:t>
      </w:r>
      <w:r w:rsidRPr="007D52B5">
        <w:rPr>
          <w:rFonts w:ascii="Palatino Linotype" w:eastAsia="Palatino Linotype" w:hAnsi="Palatino Linotype" w:cs="Palatino Linotype"/>
          <w:i/>
          <w:sz w:val="22"/>
          <w:szCs w:val="22"/>
        </w:rPr>
        <w:t xml:space="preserve"> </w:t>
      </w:r>
      <w:r w:rsidRPr="007D52B5">
        <w:rPr>
          <w:rFonts w:ascii="Palatino Linotype" w:eastAsia="Palatino Linotype" w:hAnsi="Palatino Linotype" w:cs="Palatino Linotype"/>
          <w:b/>
          <w:i/>
          <w:sz w:val="22"/>
          <w:szCs w:val="22"/>
        </w:rPr>
        <w:t>serán procedentes para su trámite por parte del sujeto obligado ante quien se presente</w:t>
      </w:r>
      <w:r w:rsidRPr="007D52B5">
        <w:rPr>
          <w:rFonts w:ascii="Palatino Linotype" w:eastAsia="Palatino Linotype" w:hAnsi="Palatino Linotype" w:cs="Palatino Linotype"/>
          <w:i/>
          <w:sz w:val="22"/>
          <w:szCs w:val="22"/>
        </w:rPr>
        <w:t>. No podrá requerirse información adicional con motivo del nombre proporcionado por el solicitante."(Sic)</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Asimismo, resulta procedente la interposición del recurso de revisión al rubro anotado, toda vez que se actualiza las hipótesis previstas en el artículo 179</w:t>
      </w:r>
      <w:r w:rsidR="00D24F6D" w:rsidRPr="007D52B5">
        <w:rPr>
          <w:rFonts w:ascii="Palatino Linotype" w:eastAsia="Palatino Linotype" w:hAnsi="Palatino Linotype" w:cs="Palatino Linotype"/>
        </w:rPr>
        <w:t>, fracción</w:t>
      </w:r>
      <w:r w:rsidR="00B35831" w:rsidRPr="007D52B5">
        <w:rPr>
          <w:rFonts w:ascii="Palatino Linotype" w:eastAsia="Palatino Linotype" w:hAnsi="Palatino Linotype" w:cs="Palatino Linotype"/>
        </w:rPr>
        <w:t xml:space="preserve"> </w:t>
      </w:r>
      <w:r w:rsidR="00817F8E" w:rsidRPr="007D52B5">
        <w:rPr>
          <w:rFonts w:ascii="Palatino Linotype" w:eastAsia="Palatino Linotype" w:hAnsi="Palatino Linotype" w:cs="Palatino Linotype"/>
        </w:rPr>
        <w:t>VI</w:t>
      </w:r>
      <w:r w:rsidRPr="007D52B5">
        <w:rPr>
          <w:rFonts w:ascii="Palatino Linotype" w:eastAsia="Palatino Linotype" w:hAnsi="Palatino Linotype" w:cs="Palatino Linotype"/>
        </w:rPr>
        <w:t xml:space="preserve"> de la ley de la materia, que a la letra dice:</w:t>
      </w:r>
    </w:p>
    <w:p w:rsidR="00264E47" w:rsidRPr="007D52B5" w:rsidRDefault="003233E0">
      <w:pPr>
        <w:ind w:left="1276" w:right="175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w:t>
      </w:r>
      <w:r w:rsidRPr="007D52B5">
        <w:rPr>
          <w:rFonts w:ascii="Palatino Linotype" w:eastAsia="Palatino Linotype" w:hAnsi="Palatino Linotype" w:cs="Palatino Linotype"/>
          <w:b/>
          <w:i/>
          <w:sz w:val="22"/>
          <w:szCs w:val="22"/>
        </w:rPr>
        <w:t xml:space="preserve">Artículo 179. </w:t>
      </w:r>
      <w:r w:rsidRPr="007D52B5">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7D52B5">
        <w:rPr>
          <w:rFonts w:ascii="Palatino Linotype" w:eastAsia="Palatino Linotype" w:hAnsi="Palatino Linotype" w:cs="Palatino Linotype"/>
          <w:i/>
        </w:rPr>
        <w:t>causas</w:t>
      </w:r>
      <w:r w:rsidRPr="007D52B5">
        <w:rPr>
          <w:rFonts w:ascii="Palatino Linotype" w:eastAsia="Palatino Linotype" w:hAnsi="Palatino Linotype" w:cs="Palatino Linotype"/>
          <w:i/>
          <w:sz w:val="22"/>
          <w:szCs w:val="22"/>
        </w:rPr>
        <w:t>:</w:t>
      </w:r>
    </w:p>
    <w:p w:rsidR="00B35831" w:rsidRPr="007D52B5" w:rsidRDefault="00B35831">
      <w:pPr>
        <w:ind w:left="1276" w:right="175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264E47" w:rsidRPr="007D52B5" w:rsidRDefault="00817F8E">
      <w:pPr>
        <w:ind w:left="1276" w:right="175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VI. La entrega de información que no corresponda con lo solicitado</w:t>
      </w:r>
      <w:r w:rsidR="003233E0" w:rsidRPr="007D52B5">
        <w:rPr>
          <w:rFonts w:ascii="Palatino Linotype" w:eastAsia="Palatino Linotype" w:hAnsi="Palatino Linotype" w:cs="Palatino Linotype"/>
          <w:i/>
          <w:sz w:val="22"/>
          <w:szCs w:val="22"/>
        </w:rPr>
        <w:t>…” (Sic)</w:t>
      </w:r>
    </w:p>
    <w:p w:rsidR="00264E47" w:rsidRPr="007D52B5" w:rsidRDefault="003233E0">
      <w:pPr>
        <w:spacing w:before="280" w:after="28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Tercero. Materia de Revisión</w:t>
      </w:r>
      <w:r w:rsidRPr="007D52B5">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7D52B5">
        <w:rPr>
          <w:rFonts w:ascii="Palatino Linotype" w:eastAsia="Palatino Linotype" w:hAnsi="Palatino Linotype" w:cs="Palatino Linotype"/>
          <w:b/>
        </w:rPr>
        <w:t>verificar si la respuesta</w:t>
      </w:r>
      <w:r w:rsidR="00817F8E" w:rsidRPr="007D52B5">
        <w:rPr>
          <w:rFonts w:ascii="Palatino Linotype" w:eastAsia="Palatino Linotype" w:hAnsi="Palatino Linotype" w:cs="Palatino Linotype"/>
          <w:b/>
        </w:rPr>
        <w:t xml:space="preserve"> como informe justificado otorgados</w:t>
      </w:r>
      <w:r w:rsidRPr="007D52B5">
        <w:rPr>
          <w:rFonts w:ascii="Palatino Linotype" w:eastAsia="Palatino Linotype" w:hAnsi="Palatino Linotype" w:cs="Palatino Linotype"/>
          <w:b/>
        </w:rPr>
        <w:t xml:space="preserve"> por el SUJETO OBLIGADO es adecuada y suficiente para satisfacer el derecho de acceso a la información pública </w:t>
      </w:r>
      <w:r w:rsidRPr="007D52B5">
        <w:rPr>
          <w:rFonts w:ascii="Palatino Linotype" w:eastAsia="Palatino Linotype" w:hAnsi="Palatino Linotype" w:cs="Palatino Linotype"/>
        </w:rPr>
        <w:t xml:space="preserve">del </w:t>
      </w:r>
      <w:r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o en su defecto, en caso de ser procedente, ordenar la entrega de información.</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Cuarto. Estudio de fondo del asunto. </w:t>
      </w:r>
      <w:r w:rsidRPr="007D52B5">
        <w:rPr>
          <w:rFonts w:ascii="Palatino Linotype" w:eastAsia="Palatino Linotype" w:hAnsi="Palatino Linotype" w:cs="Palatino Linotype"/>
        </w:rPr>
        <w:t xml:space="preserve">Es conveniente analizar si la respuesta del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64E47" w:rsidRPr="007D52B5" w:rsidRDefault="003233E0">
      <w:pPr>
        <w:spacing w:before="240"/>
        <w:ind w:left="709" w:right="76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Artículo 4</w:t>
      </w:r>
      <w:r w:rsidRPr="007D52B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64E47" w:rsidRPr="007D52B5" w:rsidRDefault="003233E0">
      <w:pPr>
        <w:ind w:left="709" w:right="76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7D52B5">
        <w:rPr>
          <w:rFonts w:ascii="Palatino Linotype" w:eastAsia="Palatino Linotype" w:hAnsi="Palatino Linotype" w:cs="Palatino Linotype"/>
          <w:b/>
          <w:i/>
          <w:sz w:val="22"/>
          <w:szCs w:val="22"/>
        </w:rPr>
        <w:lastRenderedPageBreak/>
        <w:t>de manera permanente a cualquier persona</w:t>
      </w:r>
      <w:r w:rsidRPr="007D52B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64E47" w:rsidRPr="007D52B5" w:rsidRDefault="003233E0">
      <w:pPr>
        <w:ind w:left="709" w:right="76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D52B5">
        <w:rPr>
          <w:rFonts w:ascii="Palatino Linotype" w:eastAsia="Palatino Linotype" w:hAnsi="Palatino Linotype" w:cs="Palatino Linotype"/>
          <w:i/>
          <w:sz w:val="22"/>
          <w:szCs w:val="22"/>
        </w:rPr>
        <w:t>.”(Sic)</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ind w:left="567" w:right="758"/>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“Artículo 12.-</w:t>
      </w:r>
      <w:r w:rsidRPr="007D52B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64E47" w:rsidRPr="007D52B5" w:rsidRDefault="00264E47">
      <w:pPr>
        <w:ind w:left="567" w:right="758"/>
        <w:jc w:val="both"/>
        <w:rPr>
          <w:rFonts w:ascii="Palatino Linotype" w:eastAsia="Palatino Linotype" w:hAnsi="Palatino Linotype" w:cs="Palatino Linotype"/>
          <w:i/>
          <w:sz w:val="22"/>
          <w:szCs w:val="22"/>
        </w:rPr>
      </w:pPr>
    </w:p>
    <w:p w:rsidR="00264E47" w:rsidRPr="007D52B5" w:rsidRDefault="003233E0">
      <w:pPr>
        <w:ind w:left="567" w:right="758"/>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D52B5">
        <w:rPr>
          <w:rFonts w:ascii="Palatino Linotype" w:eastAsia="Palatino Linotype" w:hAnsi="Palatino Linotype" w:cs="Palatino Linotype"/>
          <w:i/>
          <w:sz w:val="22"/>
          <w:szCs w:val="22"/>
        </w:rPr>
        <w:t xml:space="preserve">. </w:t>
      </w:r>
      <w:r w:rsidRPr="007D52B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64E47" w:rsidRPr="007D52B5" w:rsidRDefault="00264E47">
      <w:pPr>
        <w:spacing w:line="360" w:lineRule="auto"/>
        <w:ind w:right="-93"/>
        <w:jc w:val="both"/>
        <w:rPr>
          <w:rFonts w:ascii="Palatino Linotype" w:eastAsia="Palatino Linotype" w:hAnsi="Palatino Linotype" w:cs="Palatino Linotype"/>
        </w:rPr>
      </w:pPr>
    </w:p>
    <w:p w:rsidR="00264E47" w:rsidRPr="007D52B5" w:rsidRDefault="003233E0">
      <w:pPr>
        <w:spacing w:line="360" w:lineRule="auto"/>
        <w:ind w:right="-93"/>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w:t>
      </w:r>
      <w:r w:rsidRPr="007D52B5">
        <w:rPr>
          <w:rFonts w:ascii="Palatino Linotype" w:eastAsia="Palatino Linotype" w:hAnsi="Palatino Linotype" w:cs="Palatino Linotype"/>
        </w:rPr>
        <w:lastRenderedPageBreak/>
        <w:t>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264E47" w:rsidRPr="007D52B5" w:rsidRDefault="00264E47">
      <w:pPr>
        <w:spacing w:line="360" w:lineRule="auto"/>
        <w:ind w:right="-93"/>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b/>
        </w:rPr>
      </w:pPr>
      <w:r w:rsidRPr="007D52B5">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D52B5">
        <w:rPr>
          <w:rFonts w:ascii="Palatino Linotype" w:eastAsia="Palatino Linotype" w:hAnsi="Palatino Linotype" w:cs="Palatino Linotype"/>
          <w:b/>
        </w:rPr>
        <w:t xml:space="preserve"> </w:t>
      </w:r>
    </w:p>
    <w:p w:rsidR="00264E47" w:rsidRPr="007D52B5" w:rsidRDefault="00264E47">
      <w:pPr>
        <w:ind w:left="851" w:right="850"/>
        <w:jc w:val="both"/>
        <w:rPr>
          <w:rFonts w:ascii="Palatino Linotype" w:eastAsia="Palatino Linotype" w:hAnsi="Palatino Linotype" w:cs="Palatino Linotype"/>
        </w:rPr>
      </w:pPr>
    </w:p>
    <w:p w:rsidR="00264E47" w:rsidRPr="007D52B5" w:rsidRDefault="003233E0">
      <w:pPr>
        <w:ind w:left="851" w:right="90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No existe obligación de elaborar documentos ad hoc para atender las solicitudes de acceso a la información.</w:t>
      </w:r>
      <w:r w:rsidRPr="007D52B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64E47" w:rsidRPr="007D52B5" w:rsidRDefault="003233E0">
      <w:pPr>
        <w:ind w:left="851" w:right="90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Resoluciones: </w:t>
      </w:r>
    </w:p>
    <w:p w:rsidR="00264E47" w:rsidRPr="007D52B5" w:rsidRDefault="003233E0">
      <w:pPr>
        <w:ind w:left="851" w:right="901"/>
        <w:jc w:val="both"/>
        <w:rPr>
          <w:rFonts w:ascii="Palatino Linotype" w:eastAsia="Palatino Linotype" w:hAnsi="Palatino Linotype" w:cs="Palatino Linotype"/>
          <w:i/>
          <w:sz w:val="22"/>
          <w:szCs w:val="22"/>
        </w:rPr>
      </w:pPr>
      <w:r w:rsidRPr="007D52B5">
        <w:rPr>
          <w:rFonts w:ascii="Noto Sans Symbols" w:eastAsia="Noto Sans Symbols" w:hAnsi="Noto Sans Symbols" w:cs="Noto Sans Symbols"/>
          <w:i/>
          <w:sz w:val="22"/>
          <w:szCs w:val="22"/>
        </w:rPr>
        <w:t>∙</w:t>
      </w:r>
      <w:r w:rsidRPr="007D52B5">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264E47" w:rsidRPr="007D52B5" w:rsidRDefault="003233E0">
      <w:pPr>
        <w:ind w:left="851" w:right="901"/>
        <w:jc w:val="both"/>
        <w:rPr>
          <w:rFonts w:ascii="Palatino Linotype" w:eastAsia="Palatino Linotype" w:hAnsi="Palatino Linotype" w:cs="Palatino Linotype"/>
          <w:i/>
          <w:sz w:val="22"/>
          <w:szCs w:val="22"/>
        </w:rPr>
      </w:pPr>
      <w:r w:rsidRPr="007D52B5">
        <w:rPr>
          <w:rFonts w:ascii="Noto Sans Symbols" w:eastAsia="Noto Sans Symbols" w:hAnsi="Noto Sans Symbols" w:cs="Noto Sans Symbols"/>
          <w:i/>
          <w:sz w:val="22"/>
          <w:szCs w:val="22"/>
        </w:rPr>
        <w:t>∙</w:t>
      </w:r>
      <w:r w:rsidRPr="007D52B5">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264E47" w:rsidRPr="007D52B5" w:rsidRDefault="003233E0">
      <w:pPr>
        <w:ind w:left="851" w:right="901"/>
        <w:jc w:val="both"/>
        <w:rPr>
          <w:rFonts w:ascii="Palatino Linotype" w:eastAsia="Palatino Linotype" w:hAnsi="Palatino Linotype" w:cs="Palatino Linotype"/>
          <w:i/>
          <w:sz w:val="22"/>
          <w:szCs w:val="22"/>
        </w:rPr>
      </w:pPr>
      <w:r w:rsidRPr="007D52B5">
        <w:rPr>
          <w:rFonts w:ascii="Noto Sans Symbols" w:eastAsia="Noto Sans Symbols" w:hAnsi="Noto Sans Symbols" w:cs="Noto Sans Symbols"/>
          <w:i/>
          <w:sz w:val="22"/>
          <w:szCs w:val="22"/>
        </w:rPr>
        <w:t>∙</w:t>
      </w:r>
      <w:r w:rsidRPr="007D52B5">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264E47" w:rsidRPr="007D52B5" w:rsidRDefault="00264E47">
      <w:pPr>
        <w:spacing w:line="360" w:lineRule="auto"/>
        <w:ind w:right="-93"/>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7D52B5">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64E47" w:rsidRPr="007D52B5" w:rsidRDefault="00264E47">
      <w:pPr>
        <w:spacing w:line="360" w:lineRule="auto"/>
        <w:jc w:val="both"/>
        <w:rPr>
          <w:rFonts w:ascii="Palatino Linotype" w:eastAsia="Palatino Linotype" w:hAnsi="Palatino Linotype" w:cs="Palatino Linotype"/>
        </w:rPr>
      </w:pPr>
    </w:p>
    <w:p w:rsidR="00264E47" w:rsidRPr="007D52B5" w:rsidRDefault="003233E0">
      <w:pPr>
        <w:spacing w:line="360" w:lineRule="auto"/>
        <w:ind w:right="49"/>
        <w:jc w:val="both"/>
        <w:rPr>
          <w:rFonts w:ascii="Palatino Linotype" w:eastAsia="Palatino Linotype" w:hAnsi="Palatino Linotype" w:cs="Palatino Linotype"/>
        </w:rPr>
      </w:pPr>
      <w:r w:rsidRPr="007D52B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64E47" w:rsidRPr="007D52B5" w:rsidRDefault="00264E47">
      <w:pPr>
        <w:spacing w:line="360" w:lineRule="auto"/>
        <w:ind w:right="49"/>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4717A" w:rsidRPr="007D52B5" w:rsidRDefault="0014717A">
      <w:pPr>
        <w:spacing w:line="360" w:lineRule="auto"/>
        <w:jc w:val="both"/>
        <w:rPr>
          <w:rFonts w:ascii="Palatino Linotype" w:eastAsia="Palatino Linotype" w:hAnsi="Palatino Linotype" w:cs="Palatino Linotype"/>
        </w:rPr>
      </w:pPr>
    </w:p>
    <w:p w:rsidR="0014717A" w:rsidRPr="007D52B5" w:rsidRDefault="0014717A">
      <w:pPr>
        <w:spacing w:line="360" w:lineRule="auto"/>
        <w:jc w:val="both"/>
        <w:rPr>
          <w:rFonts w:ascii="Palatino Linotype" w:eastAsia="Palatino Linotype" w:hAnsi="Palatino Linotype" w:cs="Palatino Linotype"/>
        </w:rPr>
      </w:pPr>
    </w:p>
    <w:p w:rsidR="00264E47" w:rsidRPr="007D52B5" w:rsidRDefault="00264E47">
      <w:pPr>
        <w:ind w:left="851" w:right="899"/>
        <w:jc w:val="both"/>
        <w:rPr>
          <w:rFonts w:ascii="Palatino Linotype" w:eastAsia="Palatino Linotype" w:hAnsi="Palatino Linotype" w:cs="Palatino Linotype"/>
          <w:i/>
          <w:sz w:val="22"/>
          <w:szCs w:val="22"/>
        </w:rPr>
      </w:pPr>
    </w:p>
    <w:p w:rsidR="00264E47" w:rsidRPr="007D52B5" w:rsidRDefault="003233E0">
      <w:pPr>
        <w:ind w:left="851" w:right="89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 xml:space="preserve">Artículo 3. </w:t>
      </w:r>
      <w:r w:rsidRPr="007D52B5">
        <w:rPr>
          <w:rFonts w:ascii="Palatino Linotype" w:eastAsia="Palatino Linotype" w:hAnsi="Palatino Linotype" w:cs="Palatino Linotype"/>
          <w:i/>
          <w:sz w:val="22"/>
          <w:szCs w:val="22"/>
        </w:rPr>
        <w:t>Para los efectos de la presente Ley se entenderá por:</w:t>
      </w:r>
    </w:p>
    <w:p w:rsidR="00264E47" w:rsidRPr="007D52B5" w:rsidRDefault="003233E0">
      <w:pPr>
        <w:ind w:left="851" w:right="89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264E47" w:rsidRPr="007D52B5" w:rsidRDefault="003233E0">
      <w:pPr>
        <w:ind w:left="851" w:right="89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XI. Documento:</w:t>
      </w:r>
      <w:r w:rsidRPr="007D52B5">
        <w:rPr>
          <w:rFonts w:ascii="Palatino Linotype" w:eastAsia="Palatino Linotype" w:hAnsi="Palatino Linotype" w:cs="Palatino Linotype"/>
          <w:i/>
          <w:sz w:val="22"/>
          <w:szCs w:val="22"/>
        </w:rPr>
        <w:t xml:space="preserve"> Los expedientes, reportes, estudios, actas</w:t>
      </w:r>
      <w:r w:rsidRPr="007D52B5">
        <w:rPr>
          <w:rFonts w:ascii="Palatino Linotype" w:eastAsia="Palatino Linotype" w:hAnsi="Palatino Linotype" w:cs="Palatino Linotype"/>
          <w:b/>
          <w:i/>
          <w:sz w:val="22"/>
          <w:szCs w:val="22"/>
        </w:rPr>
        <w:t>,</w:t>
      </w:r>
      <w:r w:rsidRPr="007D52B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64E47" w:rsidRPr="007D52B5" w:rsidRDefault="00264E47">
      <w:pPr>
        <w:ind w:left="851" w:right="899"/>
        <w:jc w:val="both"/>
        <w:rPr>
          <w:rFonts w:ascii="Palatino Linotype" w:eastAsia="Palatino Linotype" w:hAnsi="Palatino Linotype" w:cs="Palatino Linotype"/>
          <w:sz w:val="22"/>
          <w:szCs w:val="22"/>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64E47" w:rsidRPr="007D52B5" w:rsidRDefault="00264E47">
      <w:pPr>
        <w:ind w:left="851" w:right="899"/>
        <w:jc w:val="both"/>
        <w:rPr>
          <w:rFonts w:ascii="Palatino Linotype" w:eastAsia="Palatino Linotype" w:hAnsi="Palatino Linotype" w:cs="Palatino Linotype"/>
        </w:rPr>
      </w:pPr>
    </w:p>
    <w:p w:rsidR="00264E47" w:rsidRPr="007D52B5" w:rsidRDefault="003233E0">
      <w:pPr>
        <w:ind w:left="851" w:right="899"/>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sz w:val="22"/>
          <w:szCs w:val="22"/>
        </w:rPr>
        <w:t>“</w:t>
      </w:r>
      <w:r w:rsidRPr="007D52B5">
        <w:rPr>
          <w:rFonts w:ascii="Palatino Linotype" w:eastAsia="Palatino Linotype" w:hAnsi="Palatino Linotype" w:cs="Palatino Linotype"/>
          <w:b/>
          <w:i/>
          <w:sz w:val="22"/>
          <w:szCs w:val="22"/>
        </w:rPr>
        <w:t>CRITERIO 0002-11</w:t>
      </w:r>
    </w:p>
    <w:p w:rsidR="00264E47" w:rsidRPr="007D52B5" w:rsidRDefault="003233E0">
      <w:pPr>
        <w:ind w:left="851" w:right="89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D52B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64E47" w:rsidRPr="007D52B5" w:rsidRDefault="003233E0">
      <w:pPr>
        <w:ind w:left="851" w:right="89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64E47" w:rsidRPr="007D52B5" w:rsidRDefault="003233E0">
      <w:pPr>
        <w:ind w:left="851" w:right="89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64E47" w:rsidRPr="007D52B5" w:rsidRDefault="003233E0">
      <w:pPr>
        <w:ind w:left="851" w:right="899"/>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264E47" w:rsidRPr="007D52B5" w:rsidRDefault="003233E0">
      <w:pPr>
        <w:ind w:left="851" w:right="899"/>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el particular requirió al </w:t>
      </w:r>
      <w:r w:rsidRPr="007D52B5">
        <w:rPr>
          <w:rFonts w:ascii="Palatino Linotype" w:eastAsia="Palatino Linotype" w:hAnsi="Palatino Linotype" w:cs="Palatino Linotype"/>
          <w:b/>
        </w:rPr>
        <w:t xml:space="preserve">Ayuntamiento de </w:t>
      </w:r>
      <w:r w:rsidR="00D24F6D" w:rsidRPr="007D52B5">
        <w:rPr>
          <w:rFonts w:ascii="Palatino Linotype" w:eastAsia="Palatino Linotype" w:hAnsi="Palatino Linotype" w:cs="Palatino Linotype"/>
          <w:b/>
        </w:rPr>
        <w:t>T</w:t>
      </w:r>
      <w:r w:rsidR="00817F8E" w:rsidRPr="007D52B5">
        <w:rPr>
          <w:rFonts w:ascii="Palatino Linotype" w:eastAsia="Palatino Linotype" w:hAnsi="Palatino Linotype" w:cs="Palatino Linotype"/>
          <w:b/>
        </w:rPr>
        <w:t>ultitlán</w:t>
      </w:r>
      <w:r w:rsidRPr="007D52B5">
        <w:rPr>
          <w:rFonts w:ascii="Palatino Linotype" w:eastAsia="Palatino Linotype" w:hAnsi="Palatino Linotype" w:cs="Palatino Linotype"/>
          <w:b/>
        </w:rPr>
        <w:t>,</w:t>
      </w:r>
      <w:r w:rsidRPr="007D52B5">
        <w:rPr>
          <w:rFonts w:ascii="Palatino Linotype" w:eastAsia="Palatino Linotype" w:hAnsi="Palatino Linotype" w:cs="Palatino Linotype"/>
        </w:rPr>
        <w:t xml:space="preserve"> lo siguiente:</w:t>
      </w:r>
    </w:p>
    <w:p w:rsidR="00817F8E" w:rsidRPr="007D52B5" w:rsidRDefault="00817F8E" w:rsidP="00C85585">
      <w:pPr>
        <w:pStyle w:val="Prrafodelista"/>
        <w:numPr>
          <w:ilvl w:val="0"/>
          <w:numId w:val="8"/>
        </w:num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Los dos últimos expedientes completos respecto del documento identificado como certificado de aportación de mejoras, en versión pública, </w:t>
      </w:r>
      <w:r w:rsidRPr="007D52B5">
        <w:rPr>
          <w:rFonts w:ascii="Palatino Linotype" w:eastAsia="Palatino Linotype" w:hAnsi="Palatino Linotype" w:cs="Palatino Linotype"/>
          <w:sz w:val="24"/>
          <w:szCs w:val="24"/>
        </w:rPr>
        <w:t>del periodo comprendido entre enero de 2022 a junio de 2022.</w:t>
      </w:r>
    </w:p>
    <w:p w:rsidR="00264E47" w:rsidRPr="007D52B5" w:rsidRDefault="003233E0" w:rsidP="00817F8E">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su parte 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w:t>
      </w:r>
      <w:r w:rsidR="00817F8E" w:rsidRPr="007D52B5">
        <w:rPr>
          <w:rFonts w:ascii="Palatino Linotype" w:eastAsia="Palatino Linotype" w:hAnsi="Palatino Linotype" w:cs="Palatino Linotype"/>
        </w:rPr>
        <w:t>en el sentido de que el particular redactara de manera más clara y especifica su solicitud, para que se pudiere turnar la solicitud a las áreas que pudieran contar con la información solicitada</w:t>
      </w:r>
      <w:r w:rsidR="00735E7D" w:rsidRPr="007D52B5">
        <w:rPr>
          <w:rFonts w:ascii="Palatino Linotype" w:eastAsia="Palatino Linotype" w:hAnsi="Palatino Linotype" w:cs="Palatino Linotype"/>
        </w:rPr>
        <w:t xml:space="preserve">. </w:t>
      </w:r>
    </w:p>
    <w:p w:rsidR="00735E7D" w:rsidRPr="007D52B5" w:rsidRDefault="003233E0" w:rsidP="00BB6689">
      <w:pPr>
        <w:spacing w:before="240" w:after="240" w:line="360" w:lineRule="auto"/>
        <w:jc w:val="both"/>
        <w:rPr>
          <w:rFonts w:ascii="Palatino Linotype" w:eastAsia="Palatino Linotype" w:hAnsi="Palatino Linotype" w:cs="Palatino Linotype"/>
          <w:i/>
        </w:rPr>
      </w:pPr>
      <w:r w:rsidRPr="007D52B5">
        <w:rPr>
          <w:rFonts w:ascii="Palatino Linotype" w:eastAsia="Palatino Linotype" w:hAnsi="Palatino Linotype" w:cs="Palatino Linotype"/>
        </w:rPr>
        <w:t xml:space="preserve">Inconforme el </w:t>
      </w:r>
      <w:r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xml:space="preserve"> con la respuesta, interpuso el Recurs</w:t>
      </w:r>
      <w:r w:rsidR="00BB6689" w:rsidRPr="007D52B5">
        <w:rPr>
          <w:rFonts w:ascii="Palatino Linotype" w:eastAsia="Palatino Linotype" w:hAnsi="Palatino Linotype" w:cs="Palatino Linotype"/>
        </w:rPr>
        <w:t>o de Revisión, en lo medular porque lo entregado en respuesta no corresponde con lo solicitado.</w:t>
      </w:r>
    </w:p>
    <w:p w:rsidR="00264E47" w:rsidRPr="007D52B5"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Una vez notificado el recurso de revisión al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este </w:t>
      </w:r>
      <w:r w:rsidR="00BB6689" w:rsidRPr="007D52B5">
        <w:rPr>
          <w:rFonts w:ascii="Palatino Linotype" w:eastAsia="Palatino Linotype" w:hAnsi="Palatino Linotype" w:cs="Palatino Linotype"/>
        </w:rPr>
        <w:t>rindió su informe justificado en donde informó que el soporte documental donde se aprecia las cedulas REMYTS es la siguiente liga electrónica:</w:t>
      </w:r>
    </w:p>
    <w:p w:rsidR="00BB6689" w:rsidRPr="007D52B5" w:rsidRDefault="00BB6689">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BB6689" w:rsidRPr="007D52B5" w:rsidRDefault="00BB6689">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https:/ /tultitlan.gob.mx/mejora-regulatoria/</w:t>
      </w:r>
    </w:p>
    <w:p w:rsidR="00B35831" w:rsidRPr="007D52B5" w:rsidRDefault="00B35831">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Con base en lo precedente, se determina que la información proporcionada por 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en su respuesta</w:t>
      </w:r>
      <w:r w:rsidR="00BB6689" w:rsidRPr="007D52B5">
        <w:rPr>
          <w:rFonts w:ascii="Palatino Linotype" w:eastAsia="Palatino Linotype" w:hAnsi="Palatino Linotype" w:cs="Palatino Linotype"/>
        </w:rPr>
        <w:t xml:space="preserve"> como informe justificado</w:t>
      </w:r>
      <w:r w:rsidRPr="007D52B5">
        <w:rPr>
          <w:rFonts w:ascii="Palatino Linotype" w:eastAsia="Palatino Linotype" w:hAnsi="Palatino Linotype" w:cs="Palatino Linotype"/>
        </w:rPr>
        <w:t xml:space="preserve">, </w:t>
      </w:r>
      <w:r w:rsidR="0061018E" w:rsidRPr="007D52B5">
        <w:rPr>
          <w:rFonts w:ascii="Palatino Linotype" w:eastAsia="Palatino Linotype" w:hAnsi="Palatino Linotype" w:cs="Palatino Linotype"/>
        </w:rPr>
        <w:t xml:space="preserve">no </w:t>
      </w:r>
      <w:r w:rsidRPr="007D52B5">
        <w:rPr>
          <w:rFonts w:ascii="Palatino Linotype" w:eastAsia="Palatino Linotype" w:hAnsi="Palatino Linotype" w:cs="Palatino Linotype"/>
        </w:rPr>
        <w:t xml:space="preserve">cumple con lo establecido por los artículos 4, 12, 24 último párrafo y 162 de la Ley de Transparencia y Acceso a la Información Pública del Estado de México y Municipios; por ello, los motivos de inconformidad acontecen fundados para </w:t>
      </w:r>
      <w:r w:rsidR="00BB6689" w:rsidRPr="007D52B5">
        <w:rPr>
          <w:rFonts w:ascii="Palatino Linotype" w:eastAsia="Palatino Linotype" w:hAnsi="Palatino Linotype" w:cs="Palatino Linotype"/>
        </w:rPr>
        <w:t>revocar</w:t>
      </w:r>
      <w:r w:rsidRPr="007D52B5">
        <w:rPr>
          <w:rFonts w:ascii="Palatino Linotype" w:eastAsia="Palatino Linotype" w:hAnsi="Palatino Linotype" w:cs="Palatino Linotype"/>
        </w:rPr>
        <w:t xml:space="preserve"> la respuesta del </w:t>
      </w:r>
      <w:r w:rsidRPr="007D52B5">
        <w:rPr>
          <w:rFonts w:ascii="Palatino Linotype" w:eastAsia="Palatino Linotype" w:hAnsi="Palatino Linotype" w:cs="Palatino Linotype"/>
          <w:b/>
        </w:rPr>
        <w:lastRenderedPageBreak/>
        <w:t>SUJETO OBLIGADO</w:t>
      </w:r>
      <w:r w:rsidRPr="007D52B5">
        <w:rPr>
          <w:rFonts w:ascii="Palatino Linotype" w:eastAsia="Palatino Linotype" w:hAnsi="Palatino Linotype" w:cs="Palatino Linotype"/>
        </w:rPr>
        <w:t xml:space="preserve"> en razón de las consideraciones de derecho que a continuación se exponen:</w:t>
      </w:r>
    </w:p>
    <w:p w:rsidR="00BB6689" w:rsidRPr="007D52B5" w:rsidRDefault="00BB6689">
      <w:pPr>
        <w:spacing w:line="360" w:lineRule="auto"/>
        <w:jc w:val="both"/>
        <w:rPr>
          <w:rFonts w:ascii="Palatino Linotype" w:eastAsia="Palatino Linotype" w:hAnsi="Palatino Linotype" w:cs="Palatino Linotype"/>
        </w:rPr>
      </w:pPr>
    </w:p>
    <w:p w:rsidR="00BB6689" w:rsidRPr="007D52B5" w:rsidRDefault="00BB6689">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primer término sobre la liga proporcionada por el </w:t>
      </w:r>
      <w:r w:rsidRPr="007D52B5">
        <w:rPr>
          <w:rFonts w:ascii="Palatino Linotype" w:eastAsia="Palatino Linotype" w:hAnsi="Palatino Linotype" w:cs="Palatino Linotype"/>
          <w:b/>
        </w:rPr>
        <w:t>SUJETO OBLIGADO</w:t>
      </w:r>
      <w:r w:rsidR="0069007A" w:rsidRPr="007D52B5">
        <w:rPr>
          <w:rFonts w:ascii="Palatino Linotype" w:eastAsia="Palatino Linotype" w:hAnsi="Palatino Linotype" w:cs="Palatino Linotype"/>
        </w:rPr>
        <w:t>, mediante informe justificado, se procedió a acceder a ella, arrogando la siguiente información:</w:t>
      </w:r>
    </w:p>
    <w:p w:rsidR="0069007A" w:rsidRPr="007D52B5" w:rsidRDefault="0069007A">
      <w:pPr>
        <w:spacing w:line="360" w:lineRule="auto"/>
        <w:jc w:val="both"/>
        <w:rPr>
          <w:rFonts w:ascii="Palatino Linotype" w:eastAsia="Palatino Linotype" w:hAnsi="Palatino Linotype" w:cs="Palatino Linotype"/>
        </w:rPr>
      </w:pPr>
    </w:p>
    <w:p w:rsidR="0069007A" w:rsidRPr="007D52B5" w:rsidRDefault="0069007A">
      <w:pPr>
        <w:spacing w:line="360" w:lineRule="auto"/>
        <w:jc w:val="both"/>
        <w:rPr>
          <w:rFonts w:ascii="Palatino Linotype" w:eastAsia="Palatino Linotype" w:hAnsi="Palatino Linotype" w:cs="Palatino Linotype"/>
        </w:rPr>
      </w:pPr>
      <w:r w:rsidRPr="007D52B5">
        <w:rPr>
          <w:noProof/>
          <w:lang w:val="es-MX" w:eastAsia="es-MX"/>
        </w:rPr>
        <w:drawing>
          <wp:inline distT="0" distB="0" distL="0" distR="0" wp14:anchorId="19D0698F" wp14:editId="020A8F63">
            <wp:extent cx="5520055" cy="3326621"/>
            <wp:effectExtent l="0" t="0" r="444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895" t="9241" r="17423"/>
                    <a:stretch/>
                  </pic:blipFill>
                  <pic:spPr bwMode="auto">
                    <a:xfrm>
                      <a:off x="0" y="0"/>
                      <a:ext cx="5526461" cy="3330482"/>
                    </a:xfrm>
                    <a:prstGeom prst="rect">
                      <a:avLst/>
                    </a:prstGeom>
                    <a:ln>
                      <a:noFill/>
                    </a:ln>
                    <a:extLst>
                      <a:ext uri="{53640926-AAD7-44D8-BBD7-CCE9431645EC}">
                        <a14:shadowObscured xmlns:a14="http://schemas.microsoft.com/office/drawing/2010/main"/>
                      </a:ext>
                    </a:extLst>
                  </pic:spPr>
                </pic:pic>
              </a:graphicData>
            </a:graphic>
          </wp:inline>
        </w:drawing>
      </w:r>
    </w:p>
    <w:p w:rsidR="0069007A" w:rsidRPr="007D52B5" w:rsidRDefault="0069007A" w:rsidP="0069007A">
      <w:pPr>
        <w:spacing w:before="240" w:after="240" w:line="360" w:lineRule="auto"/>
        <w:ind w:right="49"/>
        <w:contextualSpacing/>
        <w:jc w:val="both"/>
        <w:rPr>
          <w:noProof/>
          <w:lang w:val="es-MX" w:eastAsia="es-MX"/>
        </w:rPr>
      </w:pPr>
    </w:p>
    <w:p w:rsidR="0069007A" w:rsidRPr="007D52B5" w:rsidRDefault="0069007A" w:rsidP="0069007A">
      <w:pPr>
        <w:spacing w:before="240" w:after="240" w:line="360" w:lineRule="auto"/>
        <w:ind w:right="49"/>
        <w:contextualSpacing/>
        <w:jc w:val="both"/>
        <w:rPr>
          <w:rFonts w:ascii="Palatino Linotype" w:hAnsi="Palatino Linotype" w:cs="Arial"/>
        </w:rPr>
      </w:pPr>
      <w:r w:rsidRPr="007D52B5">
        <w:rPr>
          <w:rFonts w:ascii="Palatino Linotype" w:hAnsi="Palatino Linotype" w:cs="Arial"/>
        </w:rPr>
        <w:t xml:space="preserve">En donde se observa que dicho enlace corresponde al apartado de Mejora Regulatoria del Ayuntamiento de Tultitlan, sin que se observe la información solicitada por el particular, además que tiene un cumulo de información lo que implica que el </w:t>
      </w:r>
      <w:r w:rsidRPr="007D52B5">
        <w:rPr>
          <w:rFonts w:ascii="Palatino Linotype" w:hAnsi="Palatino Linotype" w:cs="Arial"/>
          <w:b/>
        </w:rPr>
        <w:t>RECURRENTE</w:t>
      </w:r>
      <w:r w:rsidRPr="007D52B5">
        <w:rPr>
          <w:rFonts w:ascii="Palatino Linotype" w:hAnsi="Palatino Linotype" w:cs="Arial"/>
        </w:rPr>
        <w:t xml:space="preserve"> haga una búsqueda dentro de toda la información que yace en dicha liga electrónica; por consiguiente, </w:t>
      </w:r>
      <w:r w:rsidRPr="007D52B5">
        <w:rPr>
          <w:rFonts w:ascii="Palatino Linotype" w:hAnsi="Palatino Linotype"/>
        </w:rPr>
        <w:t xml:space="preserve">no se colmó la pretensión de la </w:t>
      </w:r>
      <w:r w:rsidRPr="007D52B5">
        <w:rPr>
          <w:rFonts w:ascii="Palatino Linotype" w:hAnsi="Palatino Linotype"/>
        </w:rPr>
        <w:lastRenderedPageBreak/>
        <w:t xml:space="preserve">parte </w:t>
      </w:r>
      <w:r w:rsidRPr="007D52B5">
        <w:rPr>
          <w:rFonts w:ascii="Palatino Linotype" w:hAnsi="Palatino Linotype"/>
          <w:b/>
        </w:rPr>
        <w:t>RECURRENTE</w:t>
      </w:r>
      <w:r w:rsidRPr="007D52B5">
        <w:rPr>
          <w:rFonts w:ascii="Palatino Linotype" w:hAnsi="Palatino Linotype"/>
        </w:rPr>
        <w:t xml:space="preserve"> y además no se le detalló el procedimiento específico de acceso a los datos solicitados.</w:t>
      </w:r>
    </w:p>
    <w:p w:rsidR="0069007A" w:rsidRPr="007D52B5" w:rsidRDefault="0069007A" w:rsidP="0069007A">
      <w:pPr>
        <w:pStyle w:val="Sinespaciado"/>
        <w:spacing w:line="360" w:lineRule="auto"/>
        <w:jc w:val="both"/>
        <w:rPr>
          <w:rFonts w:ascii="Palatino Linotype" w:hAnsi="Palatino Linotype"/>
        </w:rPr>
      </w:pPr>
      <w:r w:rsidRPr="007D52B5">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69007A" w:rsidRPr="007D52B5" w:rsidRDefault="0069007A" w:rsidP="0069007A">
      <w:pPr>
        <w:pStyle w:val="Sinespaciado"/>
        <w:spacing w:line="360" w:lineRule="auto"/>
        <w:jc w:val="both"/>
        <w:rPr>
          <w:rFonts w:ascii="Palatino Linotype" w:hAnsi="Palatino Linotype"/>
        </w:rPr>
      </w:pPr>
    </w:p>
    <w:p w:rsidR="0069007A" w:rsidRPr="007D52B5" w:rsidRDefault="0069007A" w:rsidP="0069007A">
      <w:pPr>
        <w:pStyle w:val="Sinespaciado"/>
        <w:ind w:left="567" w:right="567"/>
        <w:jc w:val="both"/>
        <w:rPr>
          <w:rFonts w:ascii="Palatino Linotype" w:hAnsi="Palatino Linotype"/>
          <w:i/>
          <w:sz w:val="22"/>
          <w:szCs w:val="22"/>
        </w:rPr>
      </w:pPr>
      <w:r w:rsidRPr="007D52B5">
        <w:rPr>
          <w:rFonts w:ascii="Palatino Linotype" w:hAnsi="Palatino Linotype"/>
          <w:b/>
          <w:i/>
          <w:sz w:val="22"/>
          <w:szCs w:val="22"/>
        </w:rPr>
        <w:t>“Artículo 11.</w:t>
      </w:r>
      <w:r w:rsidRPr="007D52B5">
        <w:rPr>
          <w:rFonts w:ascii="Palatino Linotype" w:hAnsi="Palatino Linotype"/>
          <w:i/>
          <w:sz w:val="22"/>
          <w:szCs w:val="22"/>
        </w:rPr>
        <w:t xml:space="preserve"> </w:t>
      </w:r>
      <w:r w:rsidRPr="007D52B5">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7D52B5">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69007A" w:rsidRPr="007D52B5" w:rsidRDefault="0069007A" w:rsidP="0069007A">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w:t>
      </w:r>
    </w:p>
    <w:p w:rsidR="0069007A" w:rsidRPr="007D52B5" w:rsidRDefault="0069007A" w:rsidP="0069007A">
      <w:pPr>
        <w:pStyle w:val="Sinespaciado"/>
        <w:ind w:left="567" w:right="567"/>
        <w:jc w:val="both"/>
        <w:rPr>
          <w:rFonts w:ascii="Palatino Linotype" w:hAnsi="Palatino Linotype"/>
          <w:i/>
          <w:sz w:val="22"/>
          <w:szCs w:val="22"/>
        </w:rPr>
      </w:pPr>
    </w:p>
    <w:p w:rsidR="0069007A" w:rsidRPr="007D52B5" w:rsidRDefault="0069007A" w:rsidP="0069007A">
      <w:pPr>
        <w:pStyle w:val="Sinespaciado"/>
        <w:ind w:left="567" w:right="567"/>
        <w:jc w:val="both"/>
        <w:rPr>
          <w:rFonts w:ascii="Palatino Linotype" w:hAnsi="Palatino Linotype"/>
          <w:sz w:val="22"/>
          <w:szCs w:val="22"/>
        </w:rPr>
      </w:pPr>
      <w:r w:rsidRPr="007D52B5">
        <w:rPr>
          <w:rFonts w:ascii="Palatino Linotype" w:hAnsi="Palatino Linotype"/>
          <w:b/>
          <w:i/>
          <w:sz w:val="22"/>
          <w:szCs w:val="22"/>
        </w:rPr>
        <w:t>Artículo 161.</w:t>
      </w:r>
      <w:r w:rsidRPr="007D52B5">
        <w:rPr>
          <w:rFonts w:ascii="Palatino Linotype" w:hAnsi="Palatino Linotype"/>
          <w:i/>
          <w:sz w:val="22"/>
          <w:szCs w:val="22"/>
        </w:rPr>
        <w:t xml:space="preserve"> </w:t>
      </w:r>
      <w:r w:rsidRPr="007D52B5">
        <w:rPr>
          <w:rFonts w:ascii="Palatino Linotype" w:hAnsi="Palatino Linotype"/>
          <w:b/>
          <w:i/>
          <w:sz w:val="22"/>
          <w:szCs w:val="22"/>
          <w:u w:val="single"/>
        </w:rPr>
        <w:t>Cuando la información requerida por el solicitante ya esté disponible al público</w:t>
      </w:r>
      <w:r w:rsidRPr="007D52B5">
        <w:rPr>
          <w:rFonts w:ascii="Palatino Linotype" w:hAnsi="Palatino Linotype"/>
          <w:i/>
          <w:sz w:val="22"/>
          <w:szCs w:val="22"/>
        </w:rPr>
        <w:t xml:space="preserve"> en medios impresos, tales como libros, compendios, trípticos, registros públicos, </w:t>
      </w:r>
      <w:r w:rsidRPr="007D52B5">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69007A" w:rsidRPr="007D52B5" w:rsidRDefault="0069007A" w:rsidP="0069007A">
      <w:pPr>
        <w:pStyle w:val="Sinespaciado"/>
        <w:spacing w:line="360" w:lineRule="auto"/>
        <w:jc w:val="both"/>
        <w:rPr>
          <w:rFonts w:ascii="Palatino Linotype" w:hAnsi="Palatino Linotype"/>
        </w:rPr>
      </w:pPr>
    </w:p>
    <w:p w:rsidR="0069007A" w:rsidRPr="007D52B5" w:rsidRDefault="0069007A" w:rsidP="0069007A">
      <w:pPr>
        <w:pStyle w:val="Sinespaciado"/>
        <w:spacing w:line="360" w:lineRule="auto"/>
        <w:jc w:val="both"/>
        <w:rPr>
          <w:rFonts w:ascii="Palatino Linotype" w:hAnsi="Palatino Linotype"/>
        </w:rPr>
      </w:pPr>
      <w:r w:rsidRPr="007D52B5">
        <w:rPr>
          <w:rFonts w:ascii="Palatino Linotype" w:hAnsi="Palatino Linotype"/>
        </w:rPr>
        <w:t xml:space="preserve">De los artículos transcritos se establecen las características que debe tener la información desde el momento de su generación, publicación y entrega; de igual manera se contempla el procedimiento a seguir por el </w:t>
      </w:r>
      <w:r w:rsidRPr="007D52B5">
        <w:rPr>
          <w:rFonts w:ascii="Palatino Linotype" w:hAnsi="Palatino Linotype"/>
          <w:b/>
        </w:rPr>
        <w:t>SUJETO OBLIGADO</w:t>
      </w:r>
      <w:r w:rsidRPr="007D52B5">
        <w:rPr>
          <w:rFonts w:ascii="Palatino Linotype" w:hAnsi="Palatino Linotype"/>
        </w:rPr>
        <w:t xml:space="preserve"> para informar a los solicitantes sobre información que se encuentre disponible en libros, </w:t>
      </w:r>
      <w:r w:rsidRPr="007D52B5">
        <w:rPr>
          <w:rFonts w:ascii="Palatino Linotype" w:hAnsi="Palatino Linotype"/>
        </w:rPr>
        <w:lastRenderedPageBreak/>
        <w:t>compendios, formatos electrónicos, entre otros, haciéndole saber al solicitante como podrá consultar, reproducir o adquirir la información, en un plazo no mayor a cinco días hábiles, comprendiendo:</w:t>
      </w:r>
    </w:p>
    <w:p w:rsidR="0069007A" w:rsidRPr="007D52B5" w:rsidRDefault="0069007A" w:rsidP="0069007A">
      <w:pPr>
        <w:pStyle w:val="Sinespaciado"/>
        <w:numPr>
          <w:ilvl w:val="0"/>
          <w:numId w:val="9"/>
        </w:numPr>
        <w:ind w:left="1134" w:hanging="567"/>
        <w:jc w:val="both"/>
        <w:rPr>
          <w:rFonts w:ascii="Palatino Linotype" w:hAnsi="Palatino Linotype"/>
        </w:rPr>
      </w:pPr>
      <w:r w:rsidRPr="007D52B5">
        <w:rPr>
          <w:rFonts w:ascii="Palatino Linotype" w:hAnsi="Palatino Linotype"/>
        </w:rPr>
        <w:t>La fuente</w:t>
      </w:r>
    </w:p>
    <w:p w:rsidR="0069007A" w:rsidRPr="007D52B5" w:rsidRDefault="0069007A" w:rsidP="0069007A">
      <w:pPr>
        <w:pStyle w:val="Sinespaciado"/>
        <w:numPr>
          <w:ilvl w:val="0"/>
          <w:numId w:val="9"/>
        </w:numPr>
        <w:ind w:left="1134" w:hanging="567"/>
        <w:jc w:val="both"/>
        <w:rPr>
          <w:rFonts w:ascii="Palatino Linotype" w:hAnsi="Palatino Linotype"/>
        </w:rPr>
      </w:pPr>
      <w:r w:rsidRPr="007D52B5">
        <w:rPr>
          <w:rFonts w:ascii="Palatino Linotype" w:hAnsi="Palatino Linotype"/>
        </w:rPr>
        <w:t>El lugar y</w:t>
      </w:r>
    </w:p>
    <w:p w:rsidR="0069007A" w:rsidRPr="007D52B5" w:rsidRDefault="0069007A" w:rsidP="0069007A">
      <w:pPr>
        <w:pStyle w:val="Sinespaciado"/>
        <w:numPr>
          <w:ilvl w:val="0"/>
          <w:numId w:val="9"/>
        </w:numPr>
        <w:ind w:left="1134" w:hanging="567"/>
        <w:jc w:val="both"/>
        <w:rPr>
          <w:rFonts w:ascii="Palatino Linotype" w:hAnsi="Palatino Linotype"/>
        </w:rPr>
      </w:pPr>
      <w:r w:rsidRPr="007D52B5">
        <w:rPr>
          <w:rFonts w:ascii="Palatino Linotype" w:hAnsi="Palatino Linotype"/>
        </w:rPr>
        <w:t xml:space="preserve">La forma </w:t>
      </w:r>
    </w:p>
    <w:p w:rsidR="0069007A" w:rsidRPr="007D52B5" w:rsidRDefault="0069007A" w:rsidP="0069007A">
      <w:pPr>
        <w:pStyle w:val="Sinespaciado"/>
        <w:spacing w:line="360" w:lineRule="auto"/>
        <w:jc w:val="both"/>
        <w:rPr>
          <w:rFonts w:ascii="Palatino Linotype" w:hAnsi="Palatino Linotype"/>
        </w:rPr>
      </w:pPr>
    </w:p>
    <w:p w:rsidR="0069007A" w:rsidRPr="007D52B5" w:rsidRDefault="0069007A" w:rsidP="0069007A">
      <w:pPr>
        <w:pStyle w:val="Sinespaciado"/>
        <w:spacing w:line="360" w:lineRule="auto"/>
        <w:jc w:val="both"/>
        <w:rPr>
          <w:rFonts w:ascii="Palatino Linotype" w:hAnsi="Palatino Linotype"/>
        </w:rPr>
      </w:pPr>
      <w:r w:rsidRPr="007D52B5">
        <w:rPr>
          <w:rFonts w:ascii="Palatino Linotype" w:hAnsi="Palatino Linotype"/>
        </w:rPr>
        <w:t>Asimismo, se establece que la fuente de la información deberá ser:</w:t>
      </w:r>
    </w:p>
    <w:p w:rsidR="0069007A" w:rsidRPr="007D52B5" w:rsidRDefault="0069007A" w:rsidP="0069007A">
      <w:pPr>
        <w:pStyle w:val="Sinespaciado"/>
        <w:numPr>
          <w:ilvl w:val="0"/>
          <w:numId w:val="10"/>
        </w:numPr>
        <w:ind w:left="1134" w:hanging="556"/>
        <w:jc w:val="both"/>
        <w:rPr>
          <w:rFonts w:ascii="Palatino Linotype" w:hAnsi="Palatino Linotype"/>
        </w:rPr>
      </w:pPr>
      <w:r w:rsidRPr="007D52B5">
        <w:rPr>
          <w:rFonts w:ascii="Palatino Linotype" w:hAnsi="Palatino Linotype"/>
        </w:rPr>
        <w:t>Precisa</w:t>
      </w:r>
    </w:p>
    <w:p w:rsidR="0069007A" w:rsidRPr="007D52B5" w:rsidRDefault="0069007A" w:rsidP="0069007A">
      <w:pPr>
        <w:pStyle w:val="Sinespaciado"/>
        <w:numPr>
          <w:ilvl w:val="0"/>
          <w:numId w:val="10"/>
        </w:numPr>
        <w:ind w:left="1134" w:hanging="556"/>
        <w:jc w:val="both"/>
        <w:rPr>
          <w:rFonts w:ascii="Palatino Linotype" w:hAnsi="Palatino Linotype"/>
        </w:rPr>
      </w:pPr>
      <w:r w:rsidRPr="007D52B5">
        <w:rPr>
          <w:rFonts w:ascii="Palatino Linotype" w:hAnsi="Palatino Linotype"/>
        </w:rPr>
        <w:t>Concreta</w:t>
      </w:r>
    </w:p>
    <w:p w:rsidR="0069007A" w:rsidRPr="007D52B5" w:rsidRDefault="0069007A" w:rsidP="0069007A">
      <w:pPr>
        <w:pStyle w:val="Sinespaciado"/>
        <w:numPr>
          <w:ilvl w:val="0"/>
          <w:numId w:val="10"/>
        </w:numPr>
        <w:ind w:left="1134" w:hanging="556"/>
        <w:jc w:val="both"/>
        <w:rPr>
          <w:rFonts w:ascii="Palatino Linotype" w:hAnsi="Palatino Linotype"/>
        </w:rPr>
      </w:pPr>
      <w:r w:rsidRPr="007D52B5">
        <w:rPr>
          <w:rFonts w:ascii="Palatino Linotype" w:hAnsi="Palatino Linotype"/>
          <w:b/>
        </w:rPr>
        <w:t>Y no debe implicar que el solicitante realice una búsqueda en toda la información que se encuentre disponible</w:t>
      </w:r>
      <w:r w:rsidRPr="007D52B5">
        <w:rPr>
          <w:rFonts w:ascii="Palatino Linotype" w:hAnsi="Palatino Linotype"/>
        </w:rPr>
        <w:t>.</w:t>
      </w:r>
    </w:p>
    <w:p w:rsidR="0069007A" w:rsidRPr="007D52B5" w:rsidRDefault="0069007A" w:rsidP="0069007A">
      <w:pPr>
        <w:pStyle w:val="Sinespaciado"/>
        <w:spacing w:line="360" w:lineRule="auto"/>
        <w:jc w:val="both"/>
        <w:rPr>
          <w:rFonts w:ascii="Palatino Linotype" w:hAnsi="Palatino Linotype"/>
        </w:rPr>
      </w:pPr>
    </w:p>
    <w:p w:rsidR="0069007A" w:rsidRPr="007D52B5" w:rsidRDefault="0069007A" w:rsidP="0069007A">
      <w:pPr>
        <w:pStyle w:val="Sinespaciado"/>
        <w:spacing w:line="360" w:lineRule="auto"/>
        <w:jc w:val="both"/>
        <w:rPr>
          <w:rFonts w:ascii="Palatino Linotype" w:hAnsi="Palatino Linotype"/>
        </w:rPr>
      </w:pPr>
      <w:r w:rsidRPr="007D52B5">
        <w:rPr>
          <w:rFonts w:ascii="Palatino Linotype" w:hAnsi="Palatino Linotype"/>
        </w:rPr>
        <w:t xml:space="preserve">Imperativos legales que establecen el procedimiento que debe seguir el </w:t>
      </w:r>
      <w:r w:rsidRPr="007D52B5">
        <w:rPr>
          <w:rFonts w:ascii="Palatino Linotype" w:hAnsi="Palatino Linotype"/>
          <w:b/>
        </w:rPr>
        <w:t>SUJETO OBLIGADO</w:t>
      </w:r>
      <w:r w:rsidRPr="007D52B5">
        <w:rPr>
          <w:rFonts w:ascii="Palatino Linotype" w:hAnsi="Palatino Linotype"/>
        </w:rPr>
        <w:t xml:space="preserve"> para que pueda tomarse como válida su orientación sobre la forma en que puede consultar la información requerida, y que, en el caso en concreto, no acontece; ello porque el </w:t>
      </w:r>
      <w:r w:rsidRPr="007D52B5">
        <w:rPr>
          <w:rFonts w:ascii="Palatino Linotype" w:hAnsi="Palatino Linotype"/>
          <w:b/>
        </w:rPr>
        <w:t>SUJETO OBLIGADO</w:t>
      </w:r>
      <w:r w:rsidRPr="007D52B5">
        <w:rPr>
          <w:rFonts w:ascii="Palatino Linotype" w:hAnsi="Palatino Linotype"/>
        </w:rPr>
        <w:t xml:space="preserve"> se limitó a indicar la dirección electrónica de su página oficial,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69007A" w:rsidRPr="007D52B5" w:rsidRDefault="0069007A">
      <w:pPr>
        <w:spacing w:line="360" w:lineRule="auto"/>
        <w:jc w:val="both"/>
        <w:rPr>
          <w:rFonts w:ascii="Palatino Linotype" w:eastAsia="Palatino Linotype" w:hAnsi="Palatino Linotype" w:cs="Palatino Linotype"/>
        </w:rPr>
      </w:pPr>
    </w:p>
    <w:p w:rsidR="0069007A" w:rsidRPr="007D52B5" w:rsidRDefault="0069007A"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segundo término, sobre </w:t>
      </w:r>
      <w:bookmarkStart w:id="3" w:name="_heading=h.3znysh7" w:colFirst="0" w:colLast="0"/>
      <w:bookmarkEnd w:id="3"/>
      <w:r w:rsidR="00BB6689" w:rsidRPr="007D52B5">
        <w:rPr>
          <w:rFonts w:ascii="Palatino Linotype" w:eastAsia="Palatino Linotype" w:hAnsi="Palatino Linotype" w:cs="Palatino Linotype"/>
        </w:rPr>
        <w:t xml:space="preserve">el certificado de aportación de mejoras, </w:t>
      </w:r>
      <w:r w:rsidRPr="007D52B5">
        <w:rPr>
          <w:rFonts w:ascii="Palatino Linotype" w:eastAsia="Palatino Linotype" w:hAnsi="Palatino Linotype" w:cs="Palatino Linotype"/>
        </w:rPr>
        <w:t xml:space="preserve">se advierte en la página de trámites y servicios del Gobierno del Estado de México, que puede ser </w:t>
      </w:r>
      <w:r w:rsidRPr="007D52B5">
        <w:rPr>
          <w:rFonts w:ascii="Palatino Linotype" w:eastAsia="Palatino Linotype" w:hAnsi="Palatino Linotype" w:cs="Palatino Linotype"/>
        </w:rPr>
        <w:lastRenderedPageBreak/>
        <w:t xml:space="preserve">consultado en la siguiente liga electrónica </w:t>
      </w:r>
      <w:hyperlink r:id="rId12" w:anchor=":~:text=Certificaci%C3%B3n%20de%20Aportaci%C3%B3n%20de%20Mejoras,lineamientos%20establecidos%20en%20el%20Manual" w:history="1">
        <w:r w:rsidRPr="007D52B5">
          <w:rPr>
            <w:rStyle w:val="Hipervnculo"/>
            <w:rFonts w:ascii="Palatino Linotype" w:eastAsia="Palatino Linotype" w:hAnsi="Palatino Linotype" w:cs="Palatino Linotype"/>
            <w:color w:val="auto"/>
          </w:rPr>
          <w:t>https://sistemas2.edomex.gob.mx/TramitesyServicios/Tramite?tram=17032&amp;cont=0#:~:text=Certificaci%C3%B3n%20de%20Aportaci%C3%B3n%20de%20Mejoras,lineamientos%20establecidos%20en%20el%20Manual</w:t>
        </w:r>
      </w:hyperlink>
      <w:r w:rsidRPr="007D52B5">
        <w:rPr>
          <w:rFonts w:ascii="Palatino Linotype" w:eastAsia="Palatino Linotype" w:hAnsi="Palatino Linotype" w:cs="Palatino Linotype"/>
        </w:rPr>
        <w:t xml:space="preserve">, para mayor referencia, que </w:t>
      </w:r>
      <w:r w:rsidR="00BB6689" w:rsidRPr="007D52B5">
        <w:rPr>
          <w:rFonts w:ascii="Palatino Linotype" w:eastAsia="Palatino Linotype" w:hAnsi="Palatino Linotype" w:cs="Palatino Linotype"/>
        </w:rPr>
        <w:t>es un documento que</w:t>
      </w:r>
      <w:r w:rsidRPr="007D52B5">
        <w:rPr>
          <w:rFonts w:ascii="Palatino Linotype" w:eastAsia="Palatino Linotype" w:hAnsi="Palatino Linotype" w:cs="Palatino Linotype"/>
        </w:rPr>
        <w:t xml:space="preserve"> acredita que el inmueble de interés del solicitante se encuentra regularizado respecto a sus obligaciones impositivas conforme a los lineamientos establecidos en el Manual Catastral y en términos de los que establece el Código Financiero del Estado de México y Municipios.</w:t>
      </w:r>
    </w:p>
    <w:p w:rsidR="0069007A" w:rsidRPr="007D52B5" w:rsidRDefault="0069007A" w:rsidP="00C63898">
      <w:pPr>
        <w:spacing w:line="360" w:lineRule="auto"/>
        <w:jc w:val="both"/>
        <w:rPr>
          <w:rFonts w:ascii="Palatino Linotype" w:eastAsia="Palatino Linotype" w:hAnsi="Palatino Linotype" w:cs="Palatino Linotype"/>
        </w:rPr>
      </w:pPr>
    </w:p>
    <w:p w:rsidR="0069007A" w:rsidRPr="007D52B5" w:rsidRDefault="0069007A"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Por ello es necesario</w:t>
      </w:r>
      <w:r w:rsidR="00A11ED8" w:rsidRPr="007D52B5">
        <w:rPr>
          <w:rFonts w:ascii="Palatino Linotype" w:eastAsia="Palatino Linotype" w:hAnsi="Palatino Linotype" w:cs="Palatino Linotype"/>
        </w:rPr>
        <w:t xml:space="preserve"> a traer lo señalado por </w:t>
      </w:r>
      <w:r w:rsidR="0061018E" w:rsidRPr="007D52B5">
        <w:rPr>
          <w:rFonts w:ascii="Palatino Linotype" w:eastAsia="Palatino Linotype" w:hAnsi="Palatino Linotype" w:cs="Palatino Linotype"/>
        </w:rPr>
        <w:t>el artículo 9 fracción III del Condigo F</w:t>
      </w:r>
      <w:r w:rsidR="00A11ED8" w:rsidRPr="007D52B5">
        <w:rPr>
          <w:rFonts w:ascii="Palatino Linotype" w:eastAsia="Palatino Linotype" w:hAnsi="Palatino Linotype" w:cs="Palatino Linotype"/>
        </w:rPr>
        <w:t>inanciero del Estado de México, que señala:</w:t>
      </w:r>
    </w:p>
    <w:p w:rsidR="00A11ED8" w:rsidRPr="007D52B5" w:rsidRDefault="00A11ED8" w:rsidP="00C63898">
      <w:pPr>
        <w:spacing w:line="360" w:lineRule="auto"/>
        <w:jc w:val="both"/>
        <w:rPr>
          <w:rFonts w:ascii="Palatino Linotype" w:eastAsia="Palatino Linotype" w:hAnsi="Palatino Linotype" w:cs="Palatino Linotype"/>
        </w:rPr>
      </w:pPr>
    </w:p>
    <w:p w:rsidR="00A11ED8" w:rsidRPr="007D52B5" w:rsidRDefault="00A11ED8" w:rsidP="00A11ED8">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“Artículo 9.- Las contribuciones se clasifican en impuestos, derechos, contribuciones o aportaciones de mejoras, y aportaciones y cuotas de seguridad social, las que se definen de la manera siguiente:</w:t>
      </w:r>
    </w:p>
    <w:p w:rsidR="00A11ED8" w:rsidRPr="007D52B5" w:rsidRDefault="00A11ED8" w:rsidP="00A11ED8">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w:t>
      </w:r>
    </w:p>
    <w:p w:rsidR="00A11ED8" w:rsidRPr="007D52B5" w:rsidRDefault="00A11ED8" w:rsidP="00A11ED8">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III. Contribuciones o Aportaciones de Mejoras.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(Sic)</w:t>
      </w:r>
    </w:p>
    <w:p w:rsidR="00BB6689" w:rsidRPr="007D52B5" w:rsidRDefault="00BB6689" w:rsidP="00C63898">
      <w:pPr>
        <w:spacing w:line="360" w:lineRule="auto"/>
        <w:jc w:val="both"/>
        <w:rPr>
          <w:rFonts w:ascii="Palatino Linotype" w:eastAsia="Palatino Linotype" w:hAnsi="Palatino Linotype" w:cs="Palatino Linotype"/>
        </w:rPr>
      </w:pPr>
    </w:p>
    <w:p w:rsidR="00C85585" w:rsidRPr="007D52B5" w:rsidRDefault="00A11ED8"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Luego entonces podemos decir que las aportaciones de mejoras son contribuciones que debe pagar el interesado por beneficios en su inmueble con motivos de la realización de obras públicas o acciones en beneficio de la sociedad o </w:t>
      </w:r>
      <w:r w:rsidR="00C85585" w:rsidRPr="007D52B5">
        <w:rPr>
          <w:rFonts w:ascii="Palatino Linotype" w:eastAsia="Palatino Linotype" w:hAnsi="Palatino Linotype" w:cs="Palatino Linotype"/>
        </w:rPr>
        <w:t xml:space="preserve">el Estado por los </w:t>
      </w:r>
      <w:r w:rsidRPr="007D52B5">
        <w:rPr>
          <w:rFonts w:ascii="Palatino Linotype" w:eastAsia="Palatino Linotype" w:hAnsi="Palatino Linotype" w:cs="Palatino Linotype"/>
        </w:rPr>
        <w:t>beneficios en los inmuebles del Estado derivados de las acciones que efectúen los particulares</w:t>
      </w:r>
      <w:r w:rsidR="00C85585" w:rsidRPr="007D52B5">
        <w:rPr>
          <w:rFonts w:ascii="Palatino Linotype" w:eastAsia="Palatino Linotype" w:hAnsi="Palatino Linotype" w:cs="Palatino Linotype"/>
        </w:rPr>
        <w:t>.</w:t>
      </w:r>
    </w:p>
    <w:p w:rsidR="00C85585" w:rsidRPr="007D52B5" w:rsidRDefault="00C85585"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Contribuciones que son definidas por el diccionario de la Real Academia Española como:</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“Cuota o cantidad que se paga para algún fin, y principalmente la que se impone para las cargas del Estado.” (Sic)</w:t>
      </w:r>
    </w:p>
    <w:p w:rsidR="00B35831" w:rsidRPr="007D52B5" w:rsidRDefault="00C85585"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 </w:t>
      </w:r>
    </w:p>
    <w:p w:rsidR="00A11ED8" w:rsidRPr="007D52B5" w:rsidRDefault="00C85585"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Lo que se robustece con lo señalado por el artículo 202 al 204 del Código </w:t>
      </w:r>
      <w:r w:rsidR="0061018E" w:rsidRPr="007D52B5">
        <w:rPr>
          <w:rFonts w:ascii="Palatino Linotype" w:eastAsia="Palatino Linotype" w:hAnsi="Palatino Linotype" w:cs="Palatino Linotype"/>
        </w:rPr>
        <w:t>Financiero</w:t>
      </w:r>
      <w:r w:rsidRPr="007D52B5">
        <w:rPr>
          <w:rFonts w:ascii="Palatino Linotype" w:eastAsia="Palatino Linotype" w:hAnsi="Palatino Linotype" w:cs="Palatino Linotype"/>
        </w:rPr>
        <w:t xml:space="preserve"> del Estado de México, que señalan:</w:t>
      </w:r>
    </w:p>
    <w:p w:rsidR="00C85585" w:rsidRPr="007D52B5" w:rsidRDefault="00C85585" w:rsidP="00C63898">
      <w:pPr>
        <w:spacing w:line="360" w:lineRule="auto"/>
        <w:jc w:val="both"/>
        <w:rPr>
          <w:rFonts w:ascii="Palatino Linotype" w:eastAsia="Palatino Linotype" w:hAnsi="Palatino Linotype" w:cs="Palatino Linotype"/>
        </w:rPr>
      </w:pP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“Artículo 202.- Están obligadas al pago de aportaciones de mejoras, las personas físicas o jurídicas colectivas, propietarias o poseedoras de bienes inmuebles ubicados dentro del área de beneficio, que obtengan beneficios diferenciales particulares derivados de la ejecución de la obra pública o acción de beneficio social, realizadas por el Estado, los Municipios o los organismos públicos descentralizados, a quien para efectos de este Título se les denominará beneficiario.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Se entiende por área de beneficio, la circunscripción territorial técnicamente determinada, hasta cuyos límites las obras públicas o acciones realizadas por el Estado, los municipios o los organismos públicos descentralizados, produzcan un beneficio a los aportadores o a sus inmuebles.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Artículo 203.- Mediante aportaciones podrán realizarse obras públicas o acciones de beneficio social, como son: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I. Introducción, ampliación y rehabilitación de sistemas de agua potable y drenaje.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II. Construcción, ampliación y rehabilitación de sistemas para el saneamiento del agua. III. Urbanizaciones: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A). Guarniciones y banquetas.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B). Construcción, pavimentación, repavimentación o mantenimiento de calles, vialidades o caminos rurales.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IV. Construcción o reparación de edificios públicos: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A). Escuelas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B). Clínicas y dispensarios médicos.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C). Centros recreativos comunitarios.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D). </w:t>
      </w:r>
      <w:proofErr w:type="spellStart"/>
      <w:r w:rsidRPr="007D52B5">
        <w:rPr>
          <w:rFonts w:ascii="Palatino Linotype" w:hAnsi="Palatino Linotype"/>
          <w:i/>
          <w:sz w:val="22"/>
          <w:szCs w:val="22"/>
        </w:rPr>
        <w:t>Areas</w:t>
      </w:r>
      <w:proofErr w:type="spellEnd"/>
      <w:r w:rsidRPr="007D52B5">
        <w:rPr>
          <w:rFonts w:ascii="Palatino Linotype" w:hAnsi="Palatino Linotype"/>
          <w:i/>
          <w:sz w:val="22"/>
          <w:szCs w:val="22"/>
        </w:rPr>
        <w:t xml:space="preserve"> o instalaciones deportivas.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E). Mercados.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F). Módulos de vigilancia.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V. Adquisición o expropiación de inmuebles para la ejecución de obras públicas o establecimiento de parques ecológicos.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VI. Adquisición de equipo para la prestación de servicios públicos.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lastRenderedPageBreak/>
        <w:t xml:space="preserve">VII. En general, cualquier obra pública o acción de beneficio social.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Artículo 204.- Las obras públicas o acciones de beneficio social cuyos costos se recuperen a través de aportaciones, podrán realizarse: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I. A iniciativa del Gobernador, de los ayuntamientos, o de los Organismos Públicos Descentralizados. </w:t>
      </w:r>
    </w:p>
    <w:p w:rsidR="00C85585" w:rsidRPr="007D52B5" w:rsidRDefault="00C85585" w:rsidP="00C85585">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II. A solicitud de cualquier grupo de ciudadanos que representen los derechos de propiedad o posesión de más del 50% de los inmuebles que integren el área de beneficio.” (Sic)</w:t>
      </w:r>
    </w:p>
    <w:p w:rsidR="00A11ED8" w:rsidRPr="007D52B5" w:rsidRDefault="00A11ED8" w:rsidP="00C63898">
      <w:pPr>
        <w:spacing w:line="360" w:lineRule="auto"/>
        <w:jc w:val="both"/>
        <w:rPr>
          <w:rFonts w:ascii="Palatino Linotype" w:eastAsia="Palatino Linotype" w:hAnsi="Palatino Linotype" w:cs="Palatino Linotype"/>
        </w:rPr>
      </w:pPr>
    </w:p>
    <w:p w:rsidR="00C85585" w:rsidRPr="007D52B5" w:rsidRDefault="00C85585" w:rsidP="00C63898">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Por todo lo anterior, podemos concluir que el certificado de aportación de mejoras es el documento que acredita que el inmueble ya sea de una persona física, jurídico colectiva o del Estado, ha pagado sus contribuciones por los beneficios obtenidos</w:t>
      </w:r>
      <w:r w:rsidR="00865484" w:rsidRPr="007D52B5">
        <w:rPr>
          <w:rFonts w:ascii="Palatino Linotype" w:eastAsia="Palatino Linotype" w:hAnsi="Palatino Linotype" w:cs="Palatino Linotype"/>
        </w:rPr>
        <w:t xml:space="preserve"> en sus inmuebles</w:t>
      </w:r>
      <w:r w:rsidRPr="007D52B5">
        <w:rPr>
          <w:rFonts w:ascii="Palatino Linotype" w:eastAsia="Palatino Linotype" w:hAnsi="Palatino Linotype" w:cs="Palatino Linotype"/>
        </w:rPr>
        <w:t xml:space="preserve"> por la realización de una obra </w:t>
      </w:r>
      <w:r w:rsidR="00865484" w:rsidRPr="007D52B5">
        <w:rPr>
          <w:rFonts w:ascii="Palatino Linotype" w:eastAsia="Palatino Linotype" w:hAnsi="Palatino Linotype" w:cs="Palatino Linotype"/>
        </w:rPr>
        <w:t>pública</w:t>
      </w:r>
      <w:r w:rsidRPr="007D52B5">
        <w:rPr>
          <w:rFonts w:ascii="Palatino Linotype" w:eastAsia="Palatino Linotype" w:hAnsi="Palatino Linotype" w:cs="Palatino Linotype"/>
        </w:rPr>
        <w:t xml:space="preserve"> </w:t>
      </w:r>
      <w:r w:rsidR="00865484" w:rsidRPr="007D52B5">
        <w:rPr>
          <w:rFonts w:ascii="Palatino Linotype" w:eastAsia="Palatino Linotype" w:hAnsi="Palatino Linotype" w:cs="Palatino Linotype"/>
        </w:rPr>
        <w:t>o acciones en beneficio de la sociedad, ejecutada por el estado o por particulares, respectivamente.</w:t>
      </w:r>
    </w:p>
    <w:p w:rsidR="00865484" w:rsidRPr="007D52B5" w:rsidRDefault="00865484" w:rsidP="00865484">
      <w:pPr>
        <w:spacing w:before="280" w:after="280" w:line="360" w:lineRule="auto"/>
        <w:ind w:right="-91"/>
        <w:jc w:val="both"/>
        <w:rPr>
          <w:rFonts w:ascii="Palatino Linotype" w:eastAsia="Palatino Linotype" w:hAnsi="Palatino Linotype" w:cs="Palatino Linotype"/>
        </w:rPr>
      </w:pPr>
      <w:r w:rsidRPr="007D52B5">
        <w:rPr>
          <w:rFonts w:ascii="Palatino Linotype" w:eastAsia="Palatino Linotype" w:hAnsi="Palatino Linotype" w:cs="Palatino Linotype"/>
        </w:rPr>
        <w:t>Ahora bien, regresando a lo que establece el Código Financiero del Estado de México y Municipios, establece en su artículo 9, fracción I, de la clasificación de las contribuciones entre las que se encuentran los impuestos, los cuales deben pagar las personas físicas y jurídicas colectivas, que se encuentren en la situación jurídica o de hecho prevista por el citado ordenamiento.</w:t>
      </w:r>
    </w:p>
    <w:p w:rsidR="00A33C49" w:rsidRPr="007D52B5" w:rsidRDefault="00865484" w:rsidP="00A33C49">
      <w:pPr>
        <w:spacing w:before="280" w:after="280" w:line="360" w:lineRule="auto"/>
        <w:ind w:right="-91"/>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Así tenemos, que dicho ordenamiento establece dentro de los impuestos se encuentra el que deriva de las Contribuciones o Aportaciones de Mejoras, el cual se encuentra regulado en la Sección Sexta denominada “TITULO SEXTO DE LAS APORTACIONES DE MEJORAS”, y que en específico en su artículo 202 prevé que están obligadas al pago de este impuesto las personas físicas y jurídicas </w:t>
      </w:r>
      <w:r w:rsidR="00A33C49" w:rsidRPr="007D52B5">
        <w:rPr>
          <w:rFonts w:ascii="Palatino Linotype" w:eastAsia="Palatino Linotype" w:hAnsi="Palatino Linotype" w:cs="Palatino Linotype"/>
        </w:rPr>
        <w:t xml:space="preserve">colectivas, propietarias o poseedoras de bienes inmuebles ubicados dentro del área de beneficio, que obtengan beneficios diferenciales particulares derivados de la ejecución de la </w:t>
      </w:r>
      <w:r w:rsidR="00A33C49" w:rsidRPr="007D52B5">
        <w:rPr>
          <w:rFonts w:ascii="Palatino Linotype" w:eastAsia="Palatino Linotype" w:hAnsi="Palatino Linotype" w:cs="Palatino Linotype"/>
        </w:rPr>
        <w:lastRenderedPageBreak/>
        <w:t xml:space="preserve">obra pública o acción de beneficio social, realizadas por el Estado, los Municipios o los organismos públicos descentralizados, a quien para efectos de este Título se les denominará beneficiario. </w:t>
      </w:r>
    </w:p>
    <w:p w:rsidR="00865484" w:rsidRPr="007D52B5" w:rsidRDefault="00A33C49" w:rsidP="00A33C49">
      <w:pPr>
        <w:spacing w:before="280" w:after="280" w:line="360" w:lineRule="auto"/>
        <w:ind w:right="-91"/>
        <w:jc w:val="both"/>
        <w:rPr>
          <w:rFonts w:ascii="Palatino Linotype" w:eastAsia="Palatino Linotype" w:hAnsi="Palatino Linotype" w:cs="Palatino Linotype"/>
        </w:rPr>
      </w:pPr>
      <w:r w:rsidRPr="007D52B5">
        <w:rPr>
          <w:rFonts w:ascii="Palatino Linotype" w:eastAsia="Palatino Linotype" w:hAnsi="Palatino Linotype" w:cs="Palatino Linotype"/>
        </w:rPr>
        <w:t>En ese sentido para la obtención del certificado de aportación de mejoras, se advierte que tanto las personas físicas, jurídico colectivas e instituciones públicas, deben presentar ciertos requisitos, los cuales son de acuerdo al certificado de aportación de mejoras que expide al Ayuntamiento de Tultitlán</w:t>
      </w:r>
      <w:r w:rsidR="003619BD" w:rsidRPr="007D52B5">
        <w:rPr>
          <w:rFonts w:ascii="Palatino Linotype" w:eastAsia="Palatino Linotype" w:hAnsi="Palatino Linotype" w:cs="Palatino Linotype"/>
        </w:rPr>
        <w:t xml:space="preserve"> que se inserta a continuación de manera de ejemplo</w:t>
      </w:r>
      <w:r w:rsidRPr="007D52B5">
        <w:rPr>
          <w:rFonts w:ascii="Palatino Linotype" w:eastAsia="Palatino Linotype" w:hAnsi="Palatino Linotype" w:cs="Palatino Linotype"/>
        </w:rPr>
        <w:t xml:space="preserve">, los siguientes:  </w:t>
      </w:r>
    </w:p>
    <w:p w:rsidR="00A33C49" w:rsidRPr="007D52B5" w:rsidRDefault="00A33C49" w:rsidP="00A33C49">
      <w:pPr>
        <w:spacing w:before="280" w:after="280" w:line="360" w:lineRule="auto"/>
        <w:ind w:right="-91"/>
        <w:jc w:val="both"/>
        <w:rPr>
          <w:rFonts w:ascii="Palatino Linotype" w:eastAsia="Palatino Linotype" w:hAnsi="Palatino Linotype" w:cs="Palatino Linotype"/>
          <w:i/>
          <w:sz w:val="22"/>
          <w:szCs w:val="22"/>
        </w:rPr>
      </w:pPr>
      <w:r w:rsidRPr="007D52B5">
        <w:rPr>
          <w:noProof/>
          <w:lang w:val="es-MX" w:eastAsia="es-MX"/>
        </w:rPr>
        <w:drawing>
          <wp:inline distT="0" distB="0" distL="0" distR="0" wp14:anchorId="5D93AE8A" wp14:editId="46FBD779">
            <wp:extent cx="5523326" cy="2361732"/>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95" t="55448" r="24413" b="6138"/>
                    <a:stretch/>
                  </pic:blipFill>
                  <pic:spPr bwMode="auto">
                    <a:xfrm>
                      <a:off x="0" y="0"/>
                      <a:ext cx="5577709" cy="2384986"/>
                    </a:xfrm>
                    <a:prstGeom prst="rect">
                      <a:avLst/>
                    </a:prstGeom>
                    <a:ln>
                      <a:noFill/>
                    </a:ln>
                    <a:extLst>
                      <a:ext uri="{53640926-AAD7-44D8-BBD7-CCE9431645EC}">
                        <a14:shadowObscured xmlns:a14="http://schemas.microsoft.com/office/drawing/2010/main"/>
                      </a:ext>
                    </a:extLst>
                  </pic:spPr>
                </pic:pic>
              </a:graphicData>
            </a:graphic>
          </wp:inline>
        </w:drawing>
      </w:r>
    </w:p>
    <w:p w:rsidR="00A33C49" w:rsidRPr="007D52B5" w:rsidRDefault="00A33C49" w:rsidP="00A33C49">
      <w:pPr>
        <w:spacing w:before="280" w:after="280" w:line="360" w:lineRule="auto"/>
        <w:ind w:right="-91"/>
        <w:jc w:val="both"/>
        <w:rPr>
          <w:rFonts w:ascii="Palatino Linotype" w:eastAsia="Palatino Linotype" w:hAnsi="Palatino Linotype" w:cs="Palatino Linotype"/>
          <w:i/>
          <w:sz w:val="22"/>
          <w:szCs w:val="22"/>
        </w:rPr>
      </w:pPr>
      <w:r w:rsidRPr="007D52B5">
        <w:rPr>
          <w:noProof/>
          <w:lang w:val="es-MX" w:eastAsia="es-MX"/>
        </w:rPr>
        <w:drawing>
          <wp:inline distT="0" distB="0" distL="0" distR="0" wp14:anchorId="21E69274" wp14:editId="1F71364C">
            <wp:extent cx="5464652" cy="488054"/>
            <wp:effectExtent l="0" t="0" r="317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790" t="29146" r="24327" b="63854"/>
                    <a:stretch/>
                  </pic:blipFill>
                  <pic:spPr bwMode="auto">
                    <a:xfrm>
                      <a:off x="0" y="0"/>
                      <a:ext cx="5512051" cy="492287"/>
                    </a:xfrm>
                    <a:prstGeom prst="rect">
                      <a:avLst/>
                    </a:prstGeom>
                    <a:ln>
                      <a:noFill/>
                    </a:ln>
                    <a:extLst>
                      <a:ext uri="{53640926-AAD7-44D8-BBD7-CCE9431645EC}">
                        <a14:shadowObscured xmlns:a14="http://schemas.microsoft.com/office/drawing/2010/main"/>
                      </a:ext>
                    </a:extLst>
                  </pic:spPr>
                </pic:pic>
              </a:graphicData>
            </a:graphic>
          </wp:inline>
        </w:drawing>
      </w:r>
    </w:p>
    <w:p w:rsidR="003619BD" w:rsidRPr="007D52B5" w:rsidRDefault="003619BD" w:rsidP="00A33C49">
      <w:pPr>
        <w:spacing w:before="280" w:after="280" w:line="360" w:lineRule="auto"/>
        <w:ind w:right="-91"/>
        <w:jc w:val="both"/>
        <w:rPr>
          <w:rFonts w:ascii="Palatino Linotype" w:eastAsia="Palatino Linotype" w:hAnsi="Palatino Linotype" w:cs="Palatino Linotype"/>
          <w:i/>
          <w:sz w:val="22"/>
          <w:szCs w:val="22"/>
        </w:rPr>
      </w:pPr>
      <w:r w:rsidRPr="007D52B5">
        <w:rPr>
          <w:noProof/>
          <w:lang w:val="es-MX" w:eastAsia="es-MX"/>
        </w:rPr>
        <w:drawing>
          <wp:inline distT="0" distB="0" distL="0" distR="0" wp14:anchorId="528420FC" wp14:editId="768B6898">
            <wp:extent cx="5413375" cy="8414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402" t="56692" r="24302" b="30145"/>
                    <a:stretch/>
                  </pic:blipFill>
                  <pic:spPr bwMode="auto">
                    <a:xfrm>
                      <a:off x="0" y="0"/>
                      <a:ext cx="5460060" cy="848729"/>
                    </a:xfrm>
                    <a:prstGeom prst="rect">
                      <a:avLst/>
                    </a:prstGeom>
                    <a:ln>
                      <a:noFill/>
                    </a:ln>
                    <a:extLst>
                      <a:ext uri="{53640926-AAD7-44D8-BBD7-CCE9431645EC}">
                        <a14:shadowObscured xmlns:a14="http://schemas.microsoft.com/office/drawing/2010/main"/>
                      </a:ext>
                    </a:extLst>
                  </pic:spPr>
                </pic:pic>
              </a:graphicData>
            </a:graphic>
          </wp:inline>
        </w:drawing>
      </w:r>
    </w:p>
    <w:p w:rsidR="003619BD" w:rsidRPr="007D52B5" w:rsidRDefault="003619BD" w:rsidP="00A33C49">
      <w:pPr>
        <w:spacing w:before="280" w:after="280" w:line="360" w:lineRule="auto"/>
        <w:ind w:right="-91"/>
        <w:jc w:val="both"/>
        <w:rPr>
          <w:rFonts w:ascii="Palatino Linotype" w:eastAsia="Palatino Linotype" w:hAnsi="Palatino Linotype" w:cs="Palatino Linotype"/>
          <w:i/>
          <w:sz w:val="22"/>
          <w:szCs w:val="22"/>
        </w:rPr>
      </w:pPr>
    </w:p>
    <w:p w:rsidR="003619BD" w:rsidRPr="007D52B5" w:rsidRDefault="003619BD" w:rsidP="00A33C49">
      <w:pPr>
        <w:spacing w:before="280" w:after="280" w:line="360" w:lineRule="auto"/>
        <w:ind w:right="-91"/>
        <w:jc w:val="both"/>
        <w:rPr>
          <w:rFonts w:ascii="Palatino Linotype" w:eastAsia="Palatino Linotype" w:hAnsi="Palatino Linotype" w:cs="Palatino Linotype"/>
          <w:i/>
          <w:sz w:val="22"/>
          <w:szCs w:val="22"/>
        </w:rPr>
      </w:pPr>
      <w:r w:rsidRPr="007D52B5">
        <w:rPr>
          <w:noProof/>
          <w:lang w:val="es-MX" w:eastAsia="es-MX"/>
        </w:rPr>
        <w:lastRenderedPageBreak/>
        <w:drawing>
          <wp:inline distT="0" distB="0" distL="0" distR="0" wp14:anchorId="70D0A87F" wp14:editId="0D1AB336">
            <wp:extent cx="5368290" cy="1245379"/>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04" t="69488" r="23993" b="15211"/>
                    <a:stretch/>
                  </pic:blipFill>
                  <pic:spPr bwMode="auto">
                    <a:xfrm>
                      <a:off x="0" y="0"/>
                      <a:ext cx="5414759" cy="1256159"/>
                    </a:xfrm>
                    <a:prstGeom prst="rect">
                      <a:avLst/>
                    </a:prstGeom>
                    <a:ln>
                      <a:noFill/>
                    </a:ln>
                    <a:extLst>
                      <a:ext uri="{53640926-AAD7-44D8-BBD7-CCE9431645EC}">
                        <a14:shadowObscured xmlns:a14="http://schemas.microsoft.com/office/drawing/2010/main"/>
                      </a:ext>
                    </a:extLst>
                  </pic:spPr>
                </pic:pic>
              </a:graphicData>
            </a:graphic>
          </wp:inline>
        </w:drawing>
      </w:r>
    </w:p>
    <w:p w:rsidR="00865484" w:rsidRPr="007D52B5" w:rsidRDefault="00865484" w:rsidP="00865484">
      <w:pPr>
        <w:pBdr>
          <w:top w:val="nil"/>
          <w:left w:val="nil"/>
          <w:bottom w:val="nil"/>
          <w:right w:val="nil"/>
          <w:between w:val="nil"/>
        </w:pBd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De manera que como se aprecia de lo anteriormente citado, los particulares</w:t>
      </w:r>
      <w:r w:rsidR="003619BD" w:rsidRPr="007D52B5">
        <w:rPr>
          <w:rFonts w:ascii="Palatino Linotype" w:eastAsia="Palatino Linotype" w:hAnsi="Palatino Linotype" w:cs="Palatino Linotype"/>
        </w:rPr>
        <w:t>, personas jurídico colectivas e instituciones publica</w:t>
      </w:r>
      <w:r w:rsidRPr="007D52B5">
        <w:rPr>
          <w:rFonts w:ascii="Palatino Linotype" w:eastAsia="Palatino Linotype" w:hAnsi="Palatino Linotype" w:cs="Palatino Linotype"/>
        </w:rPr>
        <w:t xml:space="preserve"> </w:t>
      </w:r>
      <w:r w:rsidR="003619BD" w:rsidRPr="007D52B5">
        <w:rPr>
          <w:rFonts w:ascii="Palatino Linotype" w:eastAsia="Palatino Linotype" w:hAnsi="Palatino Linotype" w:cs="Palatino Linotype"/>
        </w:rPr>
        <w:t xml:space="preserve">que obtenga un beneficio en su inmueble por acciones del estado o particulares, respectivamente; </w:t>
      </w:r>
      <w:r w:rsidRPr="007D52B5">
        <w:rPr>
          <w:rFonts w:ascii="Palatino Linotype" w:eastAsia="Palatino Linotype" w:hAnsi="Palatino Linotype" w:cs="Palatino Linotype"/>
        </w:rPr>
        <w:t>deberán cubrir el pago del impuesto, adicionalmente deberán acompañar este monto con soportes docum</w:t>
      </w:r>
      <w:r w:rsidR="003619BD" w:rsidRPr="007D52B5">
        <w:rPr>
          <w:rFonts w:ascii="Palatino Linotype" w:eastAsia="Palatino Linotype" w:hAnsi="Palatino Linotype" w:cs="Palatino Linotype"/>
        </w:rPr>
        <w:t>entales, los cuales consisten el escrito por medio del cual se dé a conocer el motivo del certificado, identificación oficial del poseedor del inmueble o propietario y el documento que acredite la propiedad e interés jurídico</w:t>
      </w:r>
      <w:r w:rsidRPr="007D52B5">
        <w:rPr>
          <w:rFonts w:ascii="Palatino Linotype" w:eastAsia="Palatino Linotype" w:hAnsi="Palatino Linotype" w:cs="Palatino Linotype"/>
        </w:rPr>
        <w:t>; mismos que conformarán el expediente que obrará en los archivos de la unidad competente al interior de la administración pública municipal, que en este caso es la Tesorería Municipa</w:t>
      </w:r>
      <w:r w:rsidR="00B60F06" w:rsidRPr="007D52B5">
        <w:rPr>
          <w:rFonts w:ascii="Palatino Linotype" w:eastAsia="Palatino Linotype" w:hAnsi="Palatino Linotype" w:cs="Palatino Linotype"/>
        </w:rPr>
        <w:t>l, esto encuentra sustento en el artículo 95 fracción II de la Ley Orgánica Municipal del Estado de México, que señala</w:t>
      </w:r>
      <w:r w:rsidRPr="007D52B5">
        <w:rPr>
          <w:rFonts w:ascii="Palatino Linotype" w:eastAsia="Palatino Linotype" w:hAnsi="Palatino Linotype" w:cs="Palatino Linotype"/>
        </w:rPr>
        <w:t xml:space="preserve">: </w:t>
      </w:r>
    </w:p>
    <w:p w:rsidR="00B60F06" w:rsidRPr="007D52B5" w:rsidRDefault="00B60F06" w:rsidP="00B60F06">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Artículo 95.- Son atribuciones del tesorero municipal: </w:t>
      </w:r>
    </w:p>
    <w:p w:rsidR="00B60F06" w:rsidRPr="007D52B5" w:rsidRDefault="00B60F06" w:rsidP="00B60F06">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w:t>
      </w:r>
    </w:p>
    <w:p w:rsidR="00865484" w:rsidRPr="007D52B5" w:rsidRDefault="00B60F06" w:rsidP="00B60F06">
      <w:pPr>
        <w:pStyle w:val="Sinespaciado"/>
        <w:ind w:left="567" w:right="567"/>
        <w:jc w:val="both"/>
        <w:rPr>
          <w:rFonts w:ascii="Palatino Linotype" w:hAnsi="Palatino Linotype"/>
          <w:i/>
          <w:sz w:val="22"/>
          <w:szCs w:val="22"/>
        </w:rPr>
      </w:pPr>
      <w:r w:rsidRPr="007D52B5">
        <w:rPr>
          <w:rFonts w:ascii="Palatino Linotype" w:hAnsi="Palatino Linotype"/>
          <w:i/>
          <w:sz w:val="22"/>
          <w:szCs w:val="22"/>
        </w:rPr>
        <w:t xml:space="preserve">III. Determinar, liquidar, </w:t>
      </w:r>
      <w:r w:rsidRPr="007D52B5">
        <w:rPr>
          <w:rFonts w:ascii="Palatino Linotype" w:hAnsi="Palatino Linotype"/>
          <w:b/>
          <w:i/>
          <w:sz w:val="22"/>
          <w:szCs w:val="22"/>
        </w:rPr>
        <w:t>recaudar</w:t>
      </w:r>
      <w:r w:rsidRPr="007D52B5">
        <w:rPr>
          <w:rFonts w:ascii="Palatino Linotype" w:hAnsi="Palatino Linotype"/>
          <w:i/>
          <w:sz w:val="22"/>
          <w:szCs w:val="22"/>
        </w:rPr>
        <w:t xml:space="preserve">, fiscalizar y administrar </w:t>
      </w:r>
      <w:r w:rsidRPr="007D52B5">
        <w:rPr>
          <w:rFonts w:ascii="Palatino Linotype" w:hAnsi="Palatino Linotype"/>
          <w:b/>
          <w:i/>
          <w:sz w:val="22"/>
          <w:szCs w:val="22"/>
        </w:rPr>
        <w:t>las contribuciones en los términos de los ordenamientos jurídicos aplicables y, en su caso, aplicar el procedimiento administrativo de ejecución en términos de las disposiciones aplicables…(Sic)</w:t>
      </w:r>
    </w:p>
    <w:p w:rsidR="00865484" w:rsidRPr="007D52B5" w:rsidRDefault="00865484" w:rsidP="00865484">
      <w:pPr>
        <w:spacing w:before="280" w:after="280" w:line="360" w:lineRule="auto"/>
        <w:ind w:right="-121"/>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Adicionalmente, en el portal electrónico </w:t>
      </w:r>
      <w:r w:rsidR="00B60F06" w:rsidRPr="007D52B5">
        <w:rPr>
          <w:rFonts w:ascii="Palatino Linotype" w:eastAsia="Palatino Linotype" w:hAnsi="Palatino Linotype" w:cs="Palatino Linotype"/>
        </w:rPr>
        <w:t>https://tultitlan.gob.mx/documentos/REMTyS/Tesoreria/CERTIFICADO%20DE%20APORTACION%20DE%20MEJORAS.pdf</w:t>
      </w:r>
      <w:r w:rsidRPr="007D52B5">
        <w:rPr>
          <w:rFonts w:ascii="Palatino Linotype" w:eastAsia="Palatino Linotype" w:hAnsi="Palatino Linotype" w:cs="Palatino Linotype"/>
        </w:rPr>
        <w:t xml:space="preserve">, se vislumbra que el trámite de </w:t>
      </w:r>
      <w:r w:rsidR="00B60F06" w:rsidRPr="007D52B5">
        <w:rPr>
          <w:rFonts w:ascii="Palatino Linotype" w:eastAsia="Palatino Linotype" w:hAnsi="Palatino Linotype" w:cs="Palatino Linotype"/>
        </w:rPr>
        <w:t xml:space="preserve">Certificado </w:t>
      </w:r>
      <w:r w:rsidR="00B60F06" w:rsidRPr="007D52B5">
        <w:rPr>
          <w:rFonts w:ascii="Palatino Linotype" w:eastAsia="Palatino Linotype" w:hAnsi="Palatino Linotype" w:cs="Palatino Linotype"/>
        </w:rPr>
        <w:lastRenderedPageBreak/>
        <w:t>de Aportaciones de Mejoras</w:t>
      </w:r>
      <w:r w:rsidRPr="007D52B5">
        <w:rPr>
          <w:rFonts w:ascii="Palatino Linotype" w:eastAsia="Palatino Linotype" w:hAnsi="Palatino Linotype" w:cs="Palatino Linotype"/>
        </w:rPr>
        <w:t xml:space="preserve"> deberá realizarse ante la Tesorería Municipal del </w:t>
      </w:r>
      <w:r w:rsidR="00B60F06"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sirven de referencia las siguientes capturas de pantalla: </w:t>
      </w:r>
    </w:p>
    <w:p w:rsidR="00865484" w:rsidRPr="007D52B5" w:rsidRDefault="00B60F06" w:rsidP="00865484">
      <w:pPr>
        <w:spacing w:before="280" w:after="280" w:line="360" w:lineRule="auto"/>
        <w:ind w:right="-121"/>
        <w:jc w:val="both"/>
        <w:rPr>
          <w:rFonts w:ascii="Palatino Linotype" w:eastAsia="Palatino Linotype" w:hAnsi="Palatino Linotype" w:cs="Palatino Linotype"/>
        </w:rPr>
      </w:pPr>
      <w:r w:rsidRPr="007D52B5">
        <w:rPr>
          <w:noProof/>
          <w:lang w:val="es-MX" w:eastAsia="es-MX"/>
        </w:rPr>
        <w:drawing>
          <wp:inline distT="0" distB="0" distL="0" distR="0" wp14:anchorId="3B50B75A" wp14:editId="0E9EFD45">
            <wp:extent cx="5457825" cy="1329527"/>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996" t="34122" r="26012" b="49163"/>
                    <a:stretch/>
                  </pic:blipFill>
                  <pic:spPr bwMode="auto">
                    <a:xfrm>
                      <a:off x="0" y="0"/>
                      <a:ext cx="5480333" cy="1335010"/>
                    </a:xfrm>
                    <a:prstGeom prst="rect">
                      <a:avLst/>
                    </a:prstGeom>
                    <a:ln>
                      <a:noFill/>
                    </a:ln>
                    <a:extLst>
                      <a:ext uri="{53640926-AAD7-44D8-BBD7-CCE9431645EC}">
                        <a14:shadowObscured xmlns:a14="http://schemas.microsoft.com/office/drawing/2010/main"/>
                      </a:ext>
                    </a:extLst>
                  </pic:spPr>
                </pic:pic>
              </a:graphicData>
            </a:graphic>
          </wp:inline>
        </w:drawing>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De lo citado con antelación, se advierte que la Tesorería Municipal es la unidad administrativa competente al interior del </w:t>
      </w:r>
      <w:r w:rsidR="00B60F06"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b/>
        </w:rPr>
        <w:t xml:space="preserve"> </w:t>
      </w:r>
      <w:r w:rsidRPr="007D52B5">
        <w:rPr>
          <w:rFonts w:ascii="Palatino Linotype" w:eastAsia="Palatino Linotype" w:hAnsi="Palatino Linotype" w:cs="Palatino Linotype"/>
        </w:rPr>
        <w:t xml:space="preserve">para conocer de la presente solicitud, por lo que se debió turnar la solicitud a esta área competente para efecto de que se realizara una búsqueda exhaustiva y razonable. </w:t>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Hasta este punto, se tiene que los particulares deberán realizar este </w:t>
      </w:r>
      <w:proofErr w:type="gramStart"/>
      <w:r w:rsidRPr="007D52B5">
        <w:rPr>
          <w:rFonts w:ascii="Palatino Linotype" w:eastAsia="Palatino Linotype" w:hAnsi="Palatino Linotype" w:cs="Palatino Linotype"/>
        </w:rPr>
        <w:t>trámite  ante</w:t>
      </w:r>
      <w:proofErr w:type="gramEnd"/>
      <w:r w:rsidRPr="007D52B5">
        <w:rPr>
          <w:rFonts w:ascii="Palatino Linotype" w:eastAsia="Palatino Linotype" w:hAnsi="Palatino Linotype" w:cs="Palatino Linotype"/>
        </w:rPr>
        <w:t xml:space="preserve"> la Tesorería Municipal, no obstante, no debe perderse de vista que las instituciones públicas también pudieran efectuar este trámite, por lo que resulta pertinente abordar lo siguiente: </w:t>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primera instancia, la Ley de Bienes del Estado de México y Municipios, en su artículo 5 delega una serie de facultades al Ejecutivo del Estado y a los ayuntamientos, mismas que conviene referir para mejor proveer del presente estudio: </w:t>
      </w:r>
    </w:p>
    <w:p w:rsidR="00865484" w:rsidRPr="007D52B5" w:rsidRDefault="00865484" w:rsidP="00865484">
      <w:pPr>
        <w:spacing w:before="280" w:after="280"/>
        <w:ind w:left="567" w:right="1580"/>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b/>
          <w:i/>
          <w:sz w:val="22"/>
          <w:szCs w:val="22"/>
        </w:rPr>
        <w:t>Artículo 5.- Corresponde</w:t>
      </w:r>
      <w:r w:rsidRPr="007D52B5">
        <w:rPr>
          <w:rFonts w:ascii="Palatino Linotype" w:eastAsia="Palatino Linotype" w:hAnsi="Palatino Linotype" w:cs="Palatino Linotype"/>
          <w:i/>
          <w:sz w:val="22"/>
          <w:szCs w:val="22"/>
        </w:rPr>
        <w:t xml:space="preserve"> al Ejecutivo del Estado por conducto de la Secretaría de Finanzas y </w:t>
      </w:r>
      <w:r w:rsidRPr="007D52B5">
        <w:rPr>
          <w:rFonts w:ascii="Palatino Linotype" w:eastAsia="Palatino Linotype" w:hAnsi="Palatino Linotype" w:cs="Palatino Linotype"/>
          <w:b/>
          <w:i/>
          <w:sz w:val="22"/>
          <w:szCs w:val="22"/>
        </w:rPr>
        <w:t xml:space="preserve">a los ayuntamientos: </w:t>
      </w:r>
    </w:p>
    <w:p w:rsidR="00865484" w:rsidRPr="007D52B5" w:rsidRDefault="00865484" w:rsidP="00865484">
      <w:pPr>
        <w:numPr>
          <w:ilvl w:val="0"/>
          <w:numId w:val="18"/>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lastRenderedPageBreak/>
        <w:t xml:space="preserve">La elaboración del padrón de bienes del dominio público y privado del Estado y de los ayuntamientos;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 xml:space="preserve">Declarar cuando un bien determinado forma parte del dominio público;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Determinar </w:t>
      </w:r>
      <w:proofErr w:type="spellStart"/>
      <w:r w:rsidRPr="007D52B5">
        <w:rPr>
          <w:rFonts w:ascii="Palatino Linotype" w:eastAsia="Palatino Linotype" w:hAnsi="Palatino Linotype" w:cs="Palatino Linotype"/>
          <w:i/>
          <w:sz w:val="22"/>
          <w:szCs w:val="22"/>
        </w:rPr>
        <w:t>cuando</w:t>
      </w:r>
      <w:proofErr w:type="spellEnd"/>
      <w:r w:rsidRPr="007D52B5">
        <w:rPr>
          <w:rFonts w:ascii="Palatino Linotype" w:eastAsia="Palatino Linotype" w:hAnsi="Palatino Linotype" w:cs="Palatino Linotype"/>
          <w:i/>
          <w:sz w:val="22"/>
          <w:szCs w:val="22"/>
        </w:rPr>
        <w:t xml:space="preserve"> un bien del domino privado se incorpora al dominio público;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Afectar los bienes al dominio público del Estado o municipios;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Desafectar del dominio público los bienes cuando éstos no sean necesarios, conforme a lo dispuesto por el artículo 61 fracción XXXVI de la Constitución Política Local;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Desincorporar bienes del patrimonio estatal o municipal, conforme a lo dispuesto por el artículo 61 fracción XXXVI de la Constitución Política del Estado Libre y Soberano de México;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Incorporar al dominio público, los bienes de los organismos auxiliares cuando éstos se encuentren en liquidación, o no sean necesarios para el cumplimiento del objetivo social que aquéllos tengan asignado;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Autorizar el cambio de uso o destino de los bienes de dominio público, así como la sustitución de los usuarios cuando así convenga a las necesidades de la administración pública estatal o municipal; </w:t>
      </w:r>
    </w:p>
    <w:p w:rsidR="00865484" w:rsidRPr="007D52B5" w:rsidRDefault="00865484" w:rsidP="00865484">
      <w:pPr>
        <w:numPr>
          <w:ilvl w:val="0"/>
          <w:numId w:val="18"/>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Adquirir bienes inmuebles o celebrar los actos jurídicos que impliquen la transmisión a título oneroso o gratuito de los bienes del dominio privado, conforme a lo dispuesto por el artículo 61 fracción XXXVI de la Constitución Política del Estado;</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XIII. Llevar el Registro Administrativo de la Propiedad Pública Estatal o Municipal, respectivamente;”</w:t>
      </w:r>
      <w:r w:rsidR="0005559E" w:rsidRPr="007D52B5">
        <w:rPr>
          <w:rFonts w:ascii="Palatino Linotype" w:eastAsia="Palatino Linotype" w:hAnsi="Palatino Linotype" w:cs="Palatino Linotype"/>
          <w:b/>
          <w:i/>
          <w:sz w:val="22"/>
          <w:szCs w:val="22"/>
        </w:rPr>
        <w:t xml:space="preserve"> (Sic)</w:t>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De lo anteriormente citado, se advierte que los ayuntamientos se encuentran constreñidos a elaborar el padrón de bienes del dominio público, así como declarar </w:t>
      </w:r>
      <w:r w:rsidRPr="007D52B5">
        <w:rPr>
          <w:rFonts w:ascii="Palatino Linotype" w:eastAsia="Palatino Linotype" w:hAnsi="Palatino Linotype" w:cs="Palatino Linotype"/>
        </w:rPr>
        <w:lastRenderedPageBreak/>
        <w:t xml:space="preserve">cuando un bien determinado forma parte del dominio público, asimismo les corresponde llevar el Registro Administrativo de la Propiedad Pública Estatal o Municipal según sea el caso. </w:t>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este orden de ideas, derivado de una adquisición de bienes inmuebles, deberá atenderse a lo dispuesto por los Lineamientos para el Registro y Control del Inventario y la Conciliación y Desincorporación de Bienes Muebles e Inmuebles para las Entidades Fiscalizables Municipales del Estado de México, en lo concerniente a las adquisiciones de bienes inmuebles mismos que se trae a colación para mejor proveer del presente estudio: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“CAPÍTULO XX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DE LOS REQUISITOS PARA LA ADQUISICIÓN DE BIENES INMUEBLES</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Sección Primera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 LOS BIENES INMUEBLES POR COMPRA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QUINCUAGÉSIMO SEXTO: Para adquirir bienes inmuebles por compra, se deberán satisfacer los siguientes requisitos: </w:t>
      </w:r>
    </w:p>
    <w:p w:rsidR="00865484" w:rsidRPr="007D52B5" w:rsidRDefault="00865484" w:rsidP="00865484">
      <w:pPr>
        <w:numPr>
          <w:ilvl w:val="0"/>
          <w:numId w:val="19"/>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Observar lo establecido en el Código Civil del Estado de México, en la Ley de Bienes del Estado de México y sus Municipios, así como en el Reglamento del Registro Público de la Propiedad del Estado de México, en el Código Administrativo del Estado de México, entre otros; </w:t>
      </w:r>
    </w:p>
    <w:p w:rsidR="00865484" w:rsidRPr="007D52B5" w:rsidRDefault="00865484" w:rsidP="00865484">
      <w:pPr>
        <w:numPr>
          <w:ilvl w:val="0"/>
          <w:numId w:val="19"/>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Contar con acta del órgano máximo de gobierno, autorizando la adquisición, vía presupuesto de egresos; </w:t>
      </w:r>
    </w:p>
    <w:p w:rsidR="00865484" w:rsidRPr="007D52B5" w:rsidRDefault="00865484" w:rsidP="00865484">
      <w:pPr>
        <w:numPr>
          <w:ilvl w:val="0"/>
          <w:numId w:val="19"/>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Contar con un Comité de arrendamientos en términos de las disposiciones legales aplicables; </w:t>
      </w:r>
    </w:p>
    <w:p w:rsidR="00865484" w:rsidRPr="007D52B5" w:rsidRDefault="00865484" w:rsidP="00865484">
      <w:pPr>
        <w:numPr>
          <w:ilvl w:val="0"/>
          <w:numId w:val="19"/>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 xml:space="preserve">Contar con acta de fallo del Comité de arrendamientos, adquisiciones de inmuebles y enajenaciones;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Los bienes adquiridos se destinarán a cumplir con los planes y programas previamente establecidos; </w:t>
      </w:r>
    </w:p>
    <w:p w:rsidR="00865484" w:rsidRPr="007D52B5" w:rsidRDefault="00865484" w:rsidP="00865484">
      <w:pPr>
        <w:numPr>
          <w:ilvl w:val="0"/>
          <w:numId w:val="19"/>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Constar en escritura pública;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El secretario o en su caso el director general, elaborará la actualización administrativa del inventario de bienes inmuebles, por la adquisición de los bienes al valor de su adquisición, independientemente de su valor catastral y para ello contará con 30 días hábiles a partir de su adquisición, así mismo se deberá integrar un expediente individual por bien;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El síndico realizará las gestiones necesarias para regularizar la propiedad de los bienes inmuebles adquiridos, tendrán para ello un plazo de ciento veinte días hábiles contados a partir de la fecha de la adquisición, rindiendo un informe trimestral al Cabildo para su conocimiento y opinión; </w:t>
      </w:r>
    </w:p>
    <w:p w:rsidR="00865484" w:rsidRPr="007D52B5" w:rsidRDefault="00865484" w:rsidP="00865484">
      <w:pPr>
        <w:pBdr>
          <w:top w:val="nil"/>
          <w:left w:val="nil"/>
          <w:bottom w:val="nil"/>
          <w:right w:val="nil"/>
          <w:between w:val="nil"/>
        </w:pBdr>
        <w:spacing w:before="280" w:after="280"/>
        <w:ind w:left="426" w:right="2147"/>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Lo propio hará en el ámbito de su respectiva competencia, el servidor público titular del organismo descentralizado y fideicomisos públicos.</w:t>
      </w:r>
    </w:p>
    <w:p w:rsidR="00865484" w:rsidRPr="007D52B5" w:rsidRDefault="00865484" w:rsidP="00865484">
      <w:pPr>
        <w:numPr>
          <w:ilvl w:val="0"/>
          <w:numId w:val="19"/>
        </w:numPr>
        <w:pBdr>
          <w:top w:val="nil"/>
          <w:left w:val="nil"/>
          <w:bottom w:val="nil"/>
          <w:right w:val="nil"/>
          <w:between w:val="nil"/>
        </w:pBdr>
        <w:spacing w:before="280" w:after="280"/>
        <w:ind w:left="426" w:right="2147" w:firstLine="284"/>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Registrar contablemente la adquisición del bien; </w:t>
      </w:r>
    </w:p>
    <w:p w:rsidR="00865484" w:rsidRPr="007D52B5" w:rsidRDefault="00865484" w:rsidP="00865484">
      <w:pPr>
        <w:numPr>
          <w:ilvl w:val="0"/>
          <w:numId w:val="19"/>
        </w:numPr>
        <w:pBdr>
          <w:top w:val="nil"/>
          <w:left w:val="nil"/>
          <w:bottom w:val="nil"/>
          <w:right w:val="nil"/>
          <w:between w:val="nil"/>
        </w:pBdr>
        <w:spacing w:before="280" w:after="280"/>
        <w:ind w:left="426" w:right="2147" w:firstLine="284"/>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Realizar el registro en el inventario de bienes inmuebles, libro especial y en el Sistema de Información Inmobiliaria; y </w:t>
      </w:r>
    </w:p>
    <w:p w:rsidR="00865484" w:rsidRPr="007D52B5" w:rsidRDefault="00865484" w:rsidP="00865484">
      <w:pPr>
        <w:numPr>
          <w:ilvl w:val="0"/>
          <w:numId w:val="19"/>
        </w:numPr>
        <w:pBdr>
          <w:top w:val="nil"/>
          <w:left w:val="nil"/>
          <w:bottom w:val="nil"/>
          <w:right w:val="nil"/>
          <w:between w:val="nil"/>
        </w:pBdr>
        <w:spacing w:before="280" w:after="280"/>
        <w:ind w:left="567" w:right="1580" w:firstLine="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Póliza.</w:t>
      </w:r>
    </w:p>
    <w:p w:rsidR="00865484" w:rsidRPr="007D52B5" w:rsidRDefault="00865484" w:rsidP="00865484">
      <w:pPr>
        <w:spacing w:before="280" w:after="280"/>
        <w:ind w:left="284" w:right="1580" w:firstLine="284"/>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Sección Segunda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 LOS BIENES INMUEBLES POR DONACIÓN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QUINCUAGÉSIMO SÉPTIMO: La adquisición por donación, es el acto mediante el cual la entidad fiscalizable recibe bienes inmuebles de forma gratuita de una o varias personas físicas o jurídicas colectivas quienes lo entregan de forma voluntaria con plena libertad y sin recibir nada a cambio.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QUINCUAGÉSIMO OCTAVO: Para adquirir bienes inmuebles por donación, se deberán satisfacer los siguientes requisitos: </w:t>
      </w:r>
    </w:p>
    <w:p w:rsidR="00865484" w:rsidRPr="007D52B5" w:rsidRDefault="00865484" w:rsidP="00865484">
      <w:pPr>
        <w:numPr>
          <w:ilvl w:val="0"/>
          <w:numId w:val="20"/>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 xml:space="preserve">Observar lo establecido en el Código Financiero del Estado de México y Municipios, en el Código Civil del Estado de México, así como en la Ley de Bienes del Estado de México y sus Municipios; </w:t>
      </w:r>
    </w:p>
    <w:p w:rsidR="00865484" w:rsidRPr="007D52B5" w:rsidRDefault="00865484" w:rsidP="00865484">
      <w:pPr>
        <w:numPr>
          <w:ilvl w:val="0"/>
          <w:numId w:val="20"/>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Contar con el convenio de donación, donde se precisen las características del donativo, su valor individual por el bien objeto y la legal procedencia así como especificar si se encuentra libre de gravamen; </w:t>
      </w:r>
    </w:p>
    <w:p w:rsidR="00865484" w:rsidRPr="007D52B5" w:rsidRDefault="00865484" w:rsidP="00865484">
      <w:pPr>
        <w:numPr>
          <w:ilvl w:val="0"/>
          <w:numId w:val="20"/>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 Constar en escritura pública;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El secretario o en su caso el director general, elaborará la actualización administrativa del inventario, por la adquisición de los bienes inmuebles y para ello contará con 30 días hábiles a partir de su adquisición, así mismo se deberá integrar un expediente individual por bien.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El síndico realizará las gestiones necesarias para regularizar la propiedad de los bienes inmuebles adquiridos, tendrá para ello un plazo de ciento veinte días hábiles contados a partir de la fecha de la adquisición, rindiendo un informe trimestral al Cabildo para su conocí miento y opinión.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El tesorero del avalúo expedirá el recibo oficial de ingreso correspondiente por el valor del bien; si no se conoce se establecerá a precio por perito calificado en la materia, o en su defecto a valor catastral.</w:t>
      </w:r>
    </w:p>
    <w:p w:rsidR="00865484" w:rsidRPr="007D52B5" w:rsidRDefault="00865484" w:rsidP="00865484">
      <w:pPr>
        <w:numPr>
          <w:ilvl w:val="0"/>
          <w:numId w:val="20"/>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Registrar contablemente la adquisición del bien; </w:t>
      </w:r>
    </w:p>
    <w:p w:rsidR="00865484" w:rsidRPr="007D52B5" w:rsidRDefault="00865484" w:rsidP="00865484">
      <w:pPr>
        <w:numPr>
          <w:ilvl w:val="0"/>
          <w:numId w:val="20"/>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Contar con el registro en el inventario de bienes inmuebles, libro especial y en el Sistema de Información Inmobiliaria; y </w:t>
      </w:r>
    </w:p>
    <w:p w:rsidR="00865484" w:rsidRPr="007D52B5" w:rsidRDefault="00865484" w:rsidP="00865484">
      <w:pPr>
        <w:numPr>
          <w:ilvl w:val="0"/>
          <w:numId w:val="20"/>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Póliza.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Sección Tercera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 LOS INMUEBLES POR DACIÓN EN PAGO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QUINCUAGÉSIMO NOVENO: La adquisición de bienes inmuebles por dación en pago, es el acto mediante el cual el Ayuntamiento, Organismo Descentralizado de Carácter Municipal, acepta recibir bienes inmuebles de una persona física o jurídica colectiva quienes lo entregan para cubrir créditos fiscales a su cargo, siempre y cuando se puedan destinar a un servicio </w:t>
      </w:r>
      <w:r w:rsidRPr="007D52B5">
        <w:rPr>
          <w:rFonts w:ascii="Palatino Linotype" w:eastAsia="Palatino Linotype" w:hAnsi="Palatino Linotype" w:cs="Palatino Linotype"/>
          <w:i/>
          <w:sz w:val="22"/>
          <w:szCs w:val="22"/>
        </w:rPr>
        <w:lastRenderedPageBreak/>
        <w:t xml:space="preserve">público conforme al valor que resulte del peritaje elaborado por especialista en valuación inmobiliaria registrado ante el Instituto de Información e Investigación Geográfica, Estadística y Catastral del Estado de México.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SEXAGÉSIMO: Para adquirir bienes inmuebles por dación en pago, se deberán satisfacer los siguientes requisitos: </w:t>
      </w:r>
    </w:p>
    <w:p w:rsidR="00865484" w:rsidRPr="007D52B5" w:rsidRDefault="00865484" w:rsidP="00865484">
      <w:pPr>
        <w:numPr>
          <w:ilvl w:val="0"/>
          <w:numId w:val="21"/>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Observar las disposiciones de dación en pago, previstas en lo establecido en el Código Financiero del Estado de México y Municipios, en el Código Civil del Estado de México, así como en la Ley de Bienes del Estado de México y de sus Municipios;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Que el bien se pueda destinar a un servicio público, conforme al valor que resulte del peritaje elaborado por especialista en valuación inmobiliaria registrado ante el Instituto de Información e Investigación Geográfica, Estadística y Catastral; </w:t>
      </w:r>
    </w:p>
    <w:p w:rsidR="00865484" w:rsidRPr="007D52B5" w:rsidRDefault="00865484" w:rsidP="00865484">
      <w:pPr>
        <w:numPr>
          <w:ilvl w:val="0"/>
          <w:numId w:val="21"/>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El acta de cabildo señalando los motivos de pago (en el caso de que la dación sea por uno o varios bienes se deberá especificar el desglose del costo por bien, verificando que la suma de los bienes corresponda al importe de la dación), uso y destino que se le dará al bien inmueble; </w:t>
      </w:r>
    </w:p>
    <w:p w:rsidR="00865484" w:rsidRPr="007D52B5" w:rsidRDefault="00865484" w:rsidP="00865484">
      <w:pPr>
        <w:numPr>
          <w:ilvl w:val="0"/>
          <w:numId w:val="21"/>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Convenio de dación, por el pago en especie, donde se precisen las características del bien o bienes y la legal procedencia de los mismos, así como especificar si se encuentran libres de gravamen.</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El síndico realizará las gestiones necesarias para regularizar la propiedad de los bienes inmuebles adquiridos, tendrán para ello un plazo de ciento veinte días hábiles contados a partir de la fecha de la adquisición, rindiendo un informe trimestral al Cabildo para su conocimiento y opinión, así mismo se deberá integrar un expediente individual por bien.</w:t>
      </w:r>
    </w:p>
    <w:p w:rsidR="00865484" w:rsidRPr="007D52B5" w:rsidRDefault="00865484" w:rsidP="00865484">
      <w:pPr>
        <w:numPr>
          <w:ilvl w:val="0"/>
          <w:numId w:val="21"/>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Registrar contablemente la adquisición del bien; </w:t>
      </w:r>
    </w:p>
    <w:p w:rsidR="00865484" w:rsidRPr="007D52B5" w:rsidRDefault="00865484" w:rsidP="00865484">
      <w:pPr>
        <w:numPr>
          <w:ilvl w:val="0"/>
          <w:numId w:val="21"/>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Contar con el registro en el inventario de bienes inmuebles, libro especial y en Sistema de Información Inmobiliaria; y </w:t>
      </w:r>
    </w:p>
    <w:p w:rsidR="00865484" w:rsidRPr="007D52B5" w:rsidRDefault="00865484" w:rsidP="00865484">
      <w:pPr>
        <w:numPr>
          <w:ilvl w:val="0"/>
          <w:numId w:val="21"/>
        </w:numPr>
        <w:pBdr>
          <w:top w:val="nil"/>
          <w:left w:val="nil"/>
          <w:bottom w:val="nil"/>
          <w:right w:val="nil"/>
          <w:between w:val="nil"/>
        </w:pBdr>
        <w:spacing w:before="280" w:after="280"/>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Póliza.”</w:t>
      </w:r>
      <w:r w:rsidR="0005559E" w:rsidRPr="007D52B5">
        <w:rPr>
          <w:rFonts w:ascii="Palatino Linotype" w:eastAsia="Palatino Linotype" w:hAnsi="Palatino Linotype" w:cs="Palatino Linotype"/>
          <w:i/>
          <w:sz w:val="22"/>
          <w:szCs w:val="22"/>
        </w:rPr>
        <w:t xml:space="preserve"> (Sic)</w:t>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 xml:space="preserve">Con lo citado anteriormente, se vislumbra que los entes públicos, deberán realizar el respectivo registro en el inventario de bienes inmuebles, libro especial y en el Sistema de Información Inmobiliaria, así como regularizar la propiedad de los bienes adquiridos por medio del síndico municipal, esto es, realizando el respectivo traslado de dominio entre otras operaciones. </w:t>
      </w:r>
    </w:p>
    <w:p w:rsidR="00865484" w:rsidRPr="007D52B5" w:rsidRDefault="00865484" w:rsidP="00865484">
      <w:pPr>
        <w:spacing w:before="280" w:after="280" w:line="360" w:lineRule="auto"/>
        <w:ind w:right="20"/>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Debe precisarse que los Lineamientos en referencia regulan diversos mecanismos por los cuales deberá incorporarse la propiedad de los bienes inmuebles propiedad del ayuntamiento, revistiendo interés al presente análisis el libro especial y el inventario general de bienes inmuebles: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“CAPÍTULO X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DEL LIBRO ESPECIAL </w:t>
      </w:r>
    </w:p>
    <w:p w:rsidR="00865484" w:rsidRPr="007D52B5" w:rsidRDefault="00865484" w:rsidP="00865484">
      <w:pPr>
        <w:spacing w:before="280" w:after="280"/>
        <w:ind w:left="567" w:right="1580"/>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 xml:space="preserve">DÉCIMO OCTAVO: El libro especial, es el documento que contiene el registro histórico de los movimientos de bienes muebles e inmuebles propiedad de las entidades fiscalizables, con la expresión de sus valores, características de identificación, uso y destino de los mismos.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Los datos de identificación de los bienes muebles son: número de inventario, nombre del bien, marca, modelo, número de serie, estado de uso, destino, utilidad, número de factura, fecha de adquisición, costo y observaciones. </w:t>
      </w:r>
    </w:p>
    <w:p w:rsidR="00865484" w:rsidRPr="007D52B5" w:rsidRDefault="00865484" w:rsidP="00865484">
      <w:pPr>
        <w:spacing w:before="280" w:after="280"/>
        <w:ind w:left="567" w:right="1580"/>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 xml:space="preserve">Los datos de identificación de los bienes inmuebles son: nombre del bien, calle y número, localidad, colindancias, tipo de inmueble, destino, superficie, medio de adquisición, valor, </w:t>
      </w:r>
      <w:r w:rsidRPr="007D52B5">
        <w:rPr>
          <w:rFonts w:ascii="Palatino Linotype" w:eastAsia="Palatino Linotype" w:hAnsi="Palatino Linotype" w:cs="Palatino Linotype"/>
          <w:b/>
          <w:i/>
          <w:sz w:val="22"/>
          <w:szCs w:val="22"/>
          <w:u w:val="single"/>
        </w:rPr>
        <w:t>situación legal</w:t>
      </w:r>
      <w:r w:rsidRPr="007D52B5">
        <w:rPr>
          <w:rFonts w:ascii="Palatino Linotype" w:eastAsia="Palatino Linotype" w:hAnsi="Palatino Linotype" w:cs="Palatino Linotype"/>
          <w:b/>
          <w:i/>
          <w:sz w:val="22"/>
          <w:szCs w:val="22"/>
        </w:rPr>
        <w:t xml:space="preserve">, </w:t>
      </w:r>
      <w:r w:rsidRPr="007D52B5">
        <w:rPr>
          <w:rFonts w:ascii="Palatino Linotype" w:eastAsia="Palatino Linotype" w:hAnsi="Palatino Linotype" w:cs="Palatino Linotype"/>
          <w:b/>
          <w:i/>
          <w:sz w:val="22"/>
          <w:szCs w:val="22"/>
          <w:u w:val="single"/>
        </w:rPr>
        <w:t>régimen de propiedad</w:t>
      </w:r>
      <w:r w:rsidRPr="007D52B5">
        <w:rPr>
          <w:rFonts w:ascii="Palatino Linotype" w:eastAsia="Palatino Linotype" w:hAnsi="Palatino Linotype" w:cs="Palatino Linotype"/>
          <w:b/>
          <w:i/>
          <w:sz w:val="22"/>
          <w:szCs w:val="22"/>
        </w:rPr>
        <w:t xml:space="preserve"> y observaciones.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DÉCIMO NOVENO: El órgano máximo de gobierno aprobará los movimientos en el libro especial y el síndico o en su caso el director general o su equivalente hará que se inscriban en el mismo</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 xml:space="preserve">CAPÍTULO XII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DEL INVENTARIO GENERAL DE BIENES INMUEBLES </w:t>
      </w:r>
    </w:p>
    <w:p w:rsidR="00865484" w:rsidRPr="007D52B5" w:rsidRDefault="00865484" w:rsidP="00865484">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VIGÉSIMO SÉPTIMO: El inventario general de bienes, es el documento en donde se registran todos los bienes inmuebles propiedad la entidad fiscalizable, el cual deberá contener todas las características de identificación, tales como: nombre, zona,</w:t>
      </w:r>
      <w:r w:rsidRPr="007D52B5">
        <w:rPr>
          <w:rFonts w:ascii="Palatino Linotype" w:eastAsia="Palatino Linotype" w:hAnsi="Palatino Linotype" w:cs="Palatino Linotype"/>
          <w:i/>
          <w:sz w:val="22"/>
          <w:szCs w:val="22"/>
        </w:rPr>
        <w:t xml:space="preserve"> </w:t>
      </w:r>
      <w:r w:rsidRPr="007D52B5">
        <w:rPr>
          <w:rFonts w:ascii="Palatino Linotype" w:eastAsia="Palatino Linotype" w:hAnsi="Palatino Linotype" w:cs="Palatino Linotype"/>
          <w:b/>
          <w:i/>
          <w:sz w:val="22"/>
          <w:szCs w:val="22"/>
        </w:rPr>
        <w:t xml:space="preserve">ubicación, medidas y colindancias, tipo de inmueble, superficie construida, uso, </w:t>
      </w:r>
      <w:r w:rsidRPr="007D52B5">
        <w:rPr>
          <w:rFonts w:ascii="Palatino Linotype" w:eastAsia="Palatino Linotype" w:hAnsi="Palatino Linotype" w:cs="Palatino Linotype"/>
          <w:b/>
          <w:i/>
          <w:sz w:val="22"/>
          <w:szCs w:val="22"/>
          <w:u w:val="single"/>
        </w:rPr>
        <w:t>medio de adquisición, situación legal</w:t>
      </w:r>
      <w:r w:rsidRPr="007D52B5">
        <w:rPr>
          <w:rFonts w:ascii="Palatino Linotype" w:eastAsia="Palatino Linotype" w:hAnsi="Palatino Linotype" w:cs="Palatino Linotype"/>
          <w:b/>
          <w:i/>
          <w:sz w:val="22"/>
          <w:szCs w:val="22"/>
        </w:rPr>
        <w:t>, valor y todos los demás datos que se solicitan en la cédula.</w:t>
      </w:r>
      <w:r w:rsidRPr="007D52B5">
        <w:rPr>
          <w:rFonts w:ascii="Palatino Linotype" w:eastAsia="Palatino Linotype" w:hAnsi="Palatino Linotype" w:cs="Palatino Linotype"/>
          <w:i/>
          <w:sz w:val="22"/>
          <w:szCs w:val="22"/>
        </w:rPr>
        <w:t xml:space="preserve"> (Anexo 3). </w:t>
      </w:r>
    </w:p>
    <w:p w:rsidR="00865484" w:rsidRPr="007D52B5" w:rsidRDefault="00865484" w:rsidP="0005559E">
      <w:pP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VIGÉSIMO OCTAVO: El responsable de la elaboración del inventario general de bienes inmuebles municipales, es el secretario, con la intervención del síndico, y la participación del contralor interno, previamente realizarán una revisión física de todos los bienes inmuebles; al concluirlo deberán asentar sus firmas junto con la del presidente y tesorero. 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Se asegurarán los bienes inmuebles, conforme al estudio de viabilidad, así como a la suficiencia presupuestaria debidamente especificada y aprobada en la partida del gasto del presupuesto de egresos y dentro del programa correspondiente.</w:t>
      </w:r>
      <w:r w:rsidR="0005559E" w:rsidRPr="007D52B5">
        <w:rPr>
          <w:rFonts w:ascii="Palatino Linotype" w:eastAsia="Palatino Linotype" w:hAnsi="Palatino Linotype" w:cs="Palatino Linotype"/>
          <w:i/>
          <w:sz w:val="22"/>
          <w:szCs w:val="22"/>
        </w:rPr>
        <w:t>” (Sic)</w:t>
      </w:r>
    </w:p>
    <w:p w:rsidR="00865484" w:rsidRPr="007D52B5" w:rsidRDefault="00865484" w:rsidP="00865484">
      <w:pPr>
        <w:spacing w:before="280" w:after="28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Como se ha vislumbrado por medio de la presente cita, en ambos documentos destaca la declaración de datos de los bienes inmuebles como: municipio, número del municipio, ente fiscalizable, número de cuenta, nombre de la cuenta, nombre del inmueble, ubicación, localidad, medidas y colindancias, superficie en metros cuadrados, valor del inmueble, uso, clasificación de zona, número de escritura o convenio, número de registro público de la propiedad, clave catastral, valor catastral, situación jurídica, modalidad de adquisición, fecha de adquisición, movimientos, póliza, observaciones y firmas. De ahí que se insista que las instituciones públicas están en posibilidad de </w:t>
      </w:r>
      <w:r w:rsidR="0005559E" w:rsidRPr="007D52B5">
        <w:rPr>
          <w:rFonts w:ascii="Palatino Linotype" w:eastAsia="Palatino Linotype" w:hAnsi="Palatino Linotype" w:cs="Palatino Linotype"/>
        </w:rPr>
        <w:t xml:space="preserve">que haya obtenido beneficios en sus </w:t>
      </w:r>
      <w:r w:rsidR="0005559E" w:rsidRPr="007D52B5">
        <w:rPr>
          <w:rFonts w:ascii="Palatino Linotype" w:eastAsia="Palatino Linotype" w:hAnsi="Palatino Linotype" w:cs="Palatino Linotype"/>
        </w:rPr>
        <w:lastRenderedPageBreak/>
        <w:t>inmuebles por acciones que efectúen las personas a favor del Estado para la realización de obras de impacto vial regional, que directa o indirectamente las beneficien</w:t>
      </w:r>
      <w:r w:rsidRPr="007D52B5">
        <w:rPr>
          <w:rFonts w:ascii="Palatino Linotype" w:eastAsia="Palatino Linotype" w:hAnsi="Palatino Linotype" w:cs="Palatino Linotype"/>
        </w:rPr>
        <w:t>, por lo que de ser el caso en el que durante la temporalidad referida, las instituciones</w:t>
      </w:r>
      <w:r w:rsidR="0005559E" w:rsidRPr="007D52B5">
        <w:rPr>
          <w:rFonts w:ascii="Palatino Linotype" w:eastAsia="Palatino Linotype" w:hAnsi="Palatino Linotype" w:cs="Palatino Linotype"/>
        </w:rPr>
        <w:t xml:space="preserve"> públicas hayan efectuado alguna aportación de mejoras</w:t>
      </w:r>
      <w:r w:rsidRPr="007D52B5">
        <w:rPr>
          <w:rFonts w:ascii="Palatino Linotype" w:eastAsia="Palatino Linotype" w:hAnsi="Palatino Linotype" w:cs="Palatino Linotype"/>
        </w:rPr>
        <w:t>, este Órgano Garante estima procedente la entrega de los expedientes en versión pública de ser procedente.</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Bajo ese contexto, se analizarán de manera enunciativa más no limitativa algunos datos personales que pueden encontrarse dentro de los documentos que pueden dar cuenta de lo requerido por el Particular; esto es, verificar si actualizan la causal de clasificación establecida en el artículo 143, fracción I, de la Ley de Transparencia y Acceso a la Información Pública del Estado de México y Municipios.</w:t>
      </w:r>
    </w:p>
    <w:p w:rsidR="003337D1" w:rsidRPr="007D52B5" w:rsidRDefault="003337D1" w:rsidP="003337D1">
      <w:pPr>
        <w:spacing w:before="240" w:after="240" w:line="360" w:lineRule="auto"/>
        <w:jc w:val="both"/>
        <w:rPr>
          <w:rFonts w:ascii="Palatino Linotype" w:eastAsia="Palatino Linotype" w:hAnsi="Palatino Linotype" w:cs="Palatino Linotype"/>
        </w:rPr>
      </w:pPr>
      <w:bookmarkStart w:id="4" w:name="_heading=h.44sinio" w:colFirst="0" w:colLast="0"/>
      <w:bookmarkEnd w:id="4"/>
      <w:r w:rsidRPr="007D52B5">
        <w:rPr>
          <w:rFonts w:ascii="Palatino Linotype" w:eastAsia="Palatino Linotype" w:hAnsi="Palatino Linotype" w:cs="Palatino Linotype"/>
        </w:rPr>
        <w:t xml:space="preserve">Por lo que se refiere a la </w:t>
      </w:r>
      <w:r w:rsidRPr="007D52B5">
        <w:rPr>
          <w:rFonts w:ascii="Palatino Linotype" w:eastAsia="Palatino Linotype" w:hAnsi="Palatino Linotype" w:cs="Palatino Linotype"/>
          <w:i/>
        </w:rPr>
        <w:t>identificación oficial,</w:t>
      </w:r>
      <w:r w:rsidRPr="007D52B5">
        <w:rPr>
          <w:rFonts w:ascii="Palatino Linotype" w:eastAsia="Palatino Linotype" w:hAnsi="Palatino Linotype" w:cs="Palatino Linotype"/>
        </w:rPr>
        <w:t xml:space="preserve"> se considera como un documento mediante el cual una persona física puede acreditar su identidad, pudiendo ser la credencial para votar, cédula profesional, pasaporte, licencia de conducir, o la tarjeta de residencia temporal o permanente, mismos que por su naturaleza, contienen datos personales como nombre, fotografía, fecha y lugar de nacimiento, edad, sexo, grupo sanguíneo o tipo de sangre, clave única del registro de población, nacionalidad, domicilio, huella digital, firma, número identificador, entre otros, información que, por tratarse de una persona física que actúa en ejercicio de sus derechos personales, al darle publicidad, se vulneraria su ámbito de privacidad afectando esfera más íntima de su titular, en virtud de que le haría identificable, y su utilización indebida pueda dar origen a un riesgo grave para éste.</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 xml:space="preserve">Respecto a la </w:t>
      </w:r>
      <w:r w:rsidRPr="007D52B5">
        <w:rPr>
          <w:rFonts w:ascii="Palatino Linotype" w:eastAsia="Palatino Linotype" w:hAnsi="Palatino Linotype" w:cs="Palatino Linotype"/>
          <w:i/>
        </w:rPr>
        <w:t xml:space="preserve">fotografía, </w:t>
      </w:r>
      <w:r w:rsidRPr="007D52B5">
        <w:rPr>
          <w:rFonts w:ascii="Palatino Linotype" w:eastAsia="Palatino Linotype" w:hAnsi="Palatino Linotype" w:cs="Palatino Linotype"/>
        </w:rPr>
        <w:t>constituye la reproducción fiel de la imagen de una persona, obtenida en papel a través de la impresión en un rollo o placa por medio de cámara fotográfica, o en formato digital. 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 xml:space="preserve">fecha de nacimiento, </w:t>
      </w:r>
      <w:r w:rsidRPr="007D52B5">
        <w:rPr>
          <w:rFonts w:ascii="Palatino Linotype" w:eastAsia="Palatino Linotype" w:hAnsi="Palatino Linotype" w:cs="Palatino Linotype"/>
        </w:rPr>
        <w:t>data o referencia del alumbramiento de una persona, su publicidad permitiría determinar el tiempo que ha vivido su titular; al ser por ello un dato personal que incide en la esfera privada de las personas, requiere de su protección.</w:t>
      </w:r>
    </w:p>
    <w:p w:rsidR="003337D1" w:rsidRPr="007D52B5" w:rsidRDefault="003337D1" w:rsidP="003337D1">
      <w:pPr>
        <w:spacing w:before="240" w:after="240" w:line="360" w:lineRule="auto"/>
        <w:jc w:val="both"/>
        <w:rPr>
          <w:rFonts w:ascii="Palatino Linotype" w:eastAsia="Palatino Linotype" w:hAnsi="Palatino Linotype" w:cs="Palatino Linotype"/>
          <w:i/>
        </w:rPr>
      </w:pPr>
      <w:r w:rsidRPr="007D52B5">
        <w:rPr>
          <w:rFonts w:ascii="Palatino Linotype" w:eastAsia="Palatino Linotype" w:hAnsi="Palatino Linotype" w:cs="Palatino Linotype"/>
        </w:rPr>
        <w:t xml:space="preserve">El </w:t>
      </w:r>
      <w:r w:rsidRPr="007D52B5">
        <w:rPr>
          <w:rFonts w:ascii="Palatino Linotype" w:eastAsia="Palatino Linotype" w:hAnsi="Palatino Linotype" w:cs="Palatino Linotype"/>
          <w:i/>
        </w:rPr>
        <w:t xml:space="preserve">lugar de nacimiento </w:t>
      </w:r>
      <w:r w:rsidRPr="007D52B5">
        <w:rPr>
          <w:rFonts w:ascii="Palatino Linotype" w:eastAsia="Palatino Linotype" w:hAnsi="Palatino Linotype" w:cs="Palatino Linotype"/>
        </w:rPr>
        <w:t>revelaría el estado o país del cual es originario un individuo, lo que permitiría relacionar a una persona física identificada con su origen geográfico o territorial, por lo que se afectaría la intimidad de la persona titular de los mismos</w:t>
      </w:r>
      <w:r w:rsidRPr="007D52B5">
        <w:rPr>
          <w:rFonts w:ascii="Palatino Linotype" w:eastAsia="Palatino Linotype" w:hAnsi="Palatino Linotype" w:cs="Palatino Linotype"/>
          <w:i/>
        </w:rPr>
        <w:t>.</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edad</w:t>
      </w:r>
      <w:r w:rsidRPr="007D52B5">
        <w:rPr>
          <w:rFonts w:ascii="Palatino Linotype" w:eastAsia="Palatino Linotype" w:hAnsi="Palatino Linotype" w:cs="Palatino Linotype"/>
        </w:rPr>
        <w:t>, se refiere a la información natural del tiempo que ha vivido una persona, que por su propia naturaleza incide en la esfera privada la misma;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El </w:t>
      </w:r>
      <w:r w:rsidRPr="007D52B5">
        <w:rPr>
          <w:rFonts w:ascii="Palatino Linotype" w:eastAsia="Palatino Linotype" w:hAnsi="Palatino Linotype" w:cs="Palatino Linotype"/>
          <w:i/>
        </w:rPr>
        <w:t xml:space="preserve">sexo </w:t>
      </w:r>
      <w:r w:rsidRPr="007D52B5">
        <w:rPr>
          <w:rFonts w:ascii="Palatino Linotype" w:eastAsia="Palatino Linotype" w:hAnsi="Palatino Linotype" w:cs="Palatino Linotype"/>
        </w:rPr>
        <w:t xml:space="preserve">es considerado un dato personal, pues con él se distinguen las características biológicas y fisiológicas de una persona y que la harían identificada o identificable, </w:t>
      </w:r>
      <w:r w:rsidRPr="007D52B5">
        <w:rPr>
          <w:rFonts w:ascii="Palatino Linotype" w:eastAsia="Palatino Linotype" w:hAnsi="Palatino Linotype" w:cs="Palatino Linotype"/>
        </w:rPr>
        <w:lastRenderedPageBreak/>
        <w:t>por ejemplo, sus órganos reproductivos, cromosomas, hormonas, etcétera; de esta manera se considera que este dato incide directamente en su ámbito privado y, por ende, en su intimidad.</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 xml:space="preserve">nacionalidad </w:t>
      </w:r>
      <w:r w:rsidRPr="007D52B5">
        <w:rPr>
          <w:rFonts w:ascii="Palatino Linotype" w:eastAsia="Palatino Linotype" w:hAnsi="Palatino Linotype" w:cs="Palatino Linotype"/>
        </w:rPr>
        <w:t xml:space="preserve">es un atributo de la personalidad que señala al individuo como miembro de un Estado, es decir, es el vínculo legal que relaciona a una persona con su nación de origen. En este, sentido la nacionalidad de una persona se considera como información confidencial, en virtud de que su difusión afectaría su esfera de privacidad, revelaría el país del cual es originaria, identificar su origen geográfico, territorial o étnico. </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El </w:t>
      </w:r>
      <w:r w:rsidRPr="007D52B5">
        <w:rPr>
          <w:rFonts w:ascii="Palatino Linotype" w:eastAsia="Palatino Linotype" w:hAnsi="Palatino Linotype" w:cs="Palatino Linotype"/>
          <w:i/>
        </w:rPr>
        <w:t xml:space="preserve">domicilio particular </w:t>
      </w:r>
      <w:r w:rsidRPr="007D52B5">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 en virtud de tratarse de datos personales que reflejan cuestiones de la vida privada de las personas.</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 xml:space="preserve">firma </w:t>
      </w:r>
      <w:r w:rsidRPr="007D52B5">
        <w:rPr>
          <w:rFonts w:ascii="Palatino Linotype" w:eastAsia="Palatino Linotype" w:hAnsi="Palatino Linotype" w:cs="Palatino Linotype"/>
        </w:rPr>
        <w:t>es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 xml:space="preserve">huella dactilar o digital </w:t>
      </w:r>
      <w:r w:rsidRPr="007D52B5">
        <w:rPr>
          <w:rFonts w:ascii="Palatino Linotype" w:eastAsia="Palatino Linotype" w:hAnsi="Palatino Linotype" w:cs="Palatino Linotype"/>
        </w:rPr>
        <w:t xml:space="preserve">es un dato biométrico consistente en la impresión visible o moldeada que produce el contacto de las crestas papilares de un dedo de la mano sobre una superficie, por tanto, se considera que es una característica individual que </w:t>
      </w:r>
      <w:r w:rsidRPr="007D52B5">
        <w:rPr>
          <w:rFonts w:ascii="Palatino Linotype" w:eastAsia="Palatino Linotype" w:hAnsi="Palatino Linotype" w:cs="Palatino Linotype"/>
        </w:rPr>
        <w:lastRenderedPageBreak/>
        <w:t>se utiliza como medio de identificación de las personas y constituye un dato personal.</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clave de elector</w:t>
      </w:r>
      <w:r w:rsidRPr="007D52B5">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7D52B5">
        <w:rPr>
          <w:rFonts w:ascii="Palatino Linotype" w:eastAsia="Palatino Linotype" w:hAnsi="Palatino Linotype" w:cs="Palatino Linotype"/>
        </w:rPr>
        <w:t>homoclave</w:t>
      </w:r>
      <w:proofErr w:type="spellEnd"/>
      <w:r w:rsidRPr="007D52B5">
        <w:rPr>
          <w:rFonts w:ascii="Palatino Linotype" w:eastAsia="Palatino Linotype" w:hAnsi="Palatino Linotype" w:cs="Palatino Linotype"/>
        </w:rPr>
        <w:t xml:space="preserve"> que distingue a su titular de cualquier otro homónimo, por lo tanto, se trata de un dato personal que debe ser protegido.</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El </w:t>
      </w:r>
      <w:r w:rsidRPr="007D52B5">
        <w:rPr>
          <w:rFonts w:ascii="Palatino Linotype" w:eastAsia="Palatino Linotype" w:hAnsi="Palatino Linotype" w:cs="Palatino Linotype"/>
          <w:i/>
        </w:rPr>
        <w:t>número de OCR</w:t>
      </w:r>
      <w:r w:rsidRPr="007D52B5">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7D52B5">
        <w:rPr>
          <w:rFonts w:ascii="Palatino Linotype" w:eastAsia="Palatino Linotype" w:hAnsi="Palatino Linotype" w:cs="Palatino Linotype"/>
        </w:rPr>
        <w:t>geoelectoral</w:t>
      </w:r>
      <w:proofErr w:type="spellEnd"/>
      <w:r w:rsidRPr="007D52B5">
        <w:rPr>
          <w:rFonts w:ascii="Palatino Linotype" w:eastAsia="Palatino Linotype" w:hAnsi="Palatino Linotype" w:cs="Palatino Linotype"/>
        </w:rPr>
        <w:t xml:space="preserve"> ahí contenida, por lo que es susceptible de resguardarse.</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La </w:t>
      </w:r>
      <w:r w:rsidRPr="007D52B5">
        <w:rPr>
          <w:rFonts w:ascii="Palatino Linotype" w:eastAsia="Palatino Linotype" w:hAnsi="Palatino Linotype" w:cs="Palatino Linotype"/>
          <w:i/>
        </w:rPr>
        <w:t xml:space="preserve">clave única del registro de población, </w:t>
      </w:r>
      <w:r w:rsidRPr="007D52B5">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El </w:t>
      </w:r>
      <w:r w:rsidRPr="007D52B5">
        <w:rPr>
          <w:rFonts w:ascii="Palatino Linotype" w:eastAsia="Palatino Linotype" w:hAnsi="Palatino Linotype" w:cs="Palatino Linotype"/>
          <w:i/>
        </w:rPr>
        <w:t xml:space="preserve">registro federal de contribuyentes, </w:t>
      </w:r>
      <w:r w:rsidRPr="007D52B5">
        <w:rPr>
          <w:rFonts w:ascii="Palatino Linotype" w:eastAsia="Palatino Linotype" w:hAnsi="Palatino Linotype" w:cs="Palatino Linotype"/>
        </w:rPr>
        <w:t xml:space="preserve">es una clave alfanumérica que constituye un dato personal, pues se genera con caracteres alfanuméricos a partir del nombre y la fecha de nacimiento de cada persona, y finalmente la </w:t>
      </w:r>
      <w:proofErr w:type="spellStart"/>
      <w:r w:rsidRPr="007D52B5">
        <w:rPr>
          <w:rFonts w:ascii="Palatino Linotype" w:eastAsia="Palatino Linotype" w:hAnsi="Palatino Linotype" w:cs="Palatino Linotype"/>
        </w:rPr>
        <w:t>homoclave</w:t>
      </w:r>
      <w:proofErr w:type="spellEnd"/>
      <w:r w:rsidRPr="007D52B5">
        <w:rPr>
          <w:rFonts w:ascii="Palatino Linotype" w:eastAsia="Palatino Linotype" w:hAnsi="Palatino Linotype" w:cs="Palatino Linotype"/>
        </w:rPr>
        <w:t xml:space="preserve"> que es única e irrepetible, </w:t>
      </w:r>
      <w:r w:rsidRPr="007D52B5">
        <w:rPr>
          <w:rFonts w:ascii="Palatino Linotype" w:eastAsia="Palatino Linotype" w:hAnsi="Palatino Linotype" w:cs="Palatino Linotype"/>
        </w:rPr>
        <w:lastRenderedPageBreak/>
        <w:t>por lo que para su obtención es necesario acreditar ante la autoridad fiscal previamente la identidad de la persona, su fecha de nacimiento, entre otros aspectos.</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Asimismo, las escrituras, contrato de arrendamiento o contrato de comodato, como los documentos que acrediten la propiedad o posesión de un inmueble contienen datos personales, como el nombre de las partes -vendedor, comprador, arrendador, arrendatario, comodante, comodatario-, nombre de terceros, domicilio, registro federal de contribuyentes, clave única de registro de población,  firma, entre otros, mismos que, al pertenecer a una persona física identificada o identificable en ejercicio de sus derechos subjetivos, no son de dominio público.</w:t>
      </w:r>
    </w:p>
    <w:p w:rsidR="003337D1" w:rsidRPr="007D52B5" w:rsidRDefault="003337D1" w:rsidP="003337D1">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Lo mismo ocurre respecto de la </w:t>
      </w:r>
      <w:r w:rsidRPr="007D52B5">
        <w:rPr>
          <w:rFonts w:ascii="Palatino Linotype" w:eastAsia="Palatino Linotype" w:hAnsi="Palatino Linotype" w:cs="Palatino Linotype"/>
          <w:i/>
        </w:rPr>
        <w:t>carta poder</w:t>
      </w:r>
      <w:r w:rsidRPr="007D52B5">
        <w:rPr>
          <w:rFonts w:ascii="Palatino Linotype" w:eastAsia="Palatino Linotype" w:hAnsi="Palatino Linotype" w:cs="Palatino Linotype"/>
        </w:rPr>
        <w:t xml:space="preserve"> o </w:t>
      </w:r>
      <w:r w:rsidRPr="007D52B5">
        <w:rPr>
          <w:rFonts w:ascii="Palatino Linotype" w:eastAsia="Palatino Linotype" w:hAnsi="Palatino Linotype" w:cs="Palatino Linotype"/>
          <w:i/>
        </w:rPr>
        <w:t>poder notarial</w:t>
      </w:r>
      <w:r w:rsidRPr="007D52B5">
        <w:rPr>
          <w:rFonts w:ascii="Palatino Linotype" w:eastAsia="Palatino Linotype" w:hAnsi="Palatino Linotype" w:cs="Palatino Linotype"/>
        </w:rPr>
        <w:t>, en virtud de que la finalidad de dichos documentos es la posibilidad de que una persona autorice a otra para actuar en su nombre en distintos actos jurídicos o materiales, por tanto, al ser un acto celebrado entre particulares relacionado con el derecho civil y no con el derecho público, se le considera un documento privado, que solo incumbe a las partes, razón por la cual no debe ser de dominio público.</w:t>
      </w:r>
    </w:p>
    <w:p w:rsidR="003337D1" w:rsidRPr="007D52B5" w:rsidRDefault="003337D1" w:rsidP="003337D1">
      <w:pPr>
        <w:spacing w:before="240" w:after="240" w:line="360" w:lineRule="auto"/>
        <w:jc w:val="both"/>
        <w:rPr>
          <w:rFonts w:ascii="Palatino Linotype" w:eastAsia="Palatino Linotype" w:hAnsi="Palatino Linotype" w:cs="Palatino Linotype"/>
          <w:b/>
          <w:u w:val="single"/>
        </w:rPr>
      </w:pPr>
      <w:r w:rsidRPr="007D52B5">
        <w:rPr>
          <w:rFonts w:ascii="Palatino Linotype" w:eastAsia="Palatino Linotype" w:hAnsi="Palatino Linotype" w:cs="Palatino Linotype"/>
        </w:rPr>
        <w:t xml:space="preserve">Derivado de lo anterior,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w:t>
      </w:r>
      <w:r w:rsidRPr="007D52B5">
        <w:rPr>
          <w:rFonts w:ascii="Palatino Linotype" w:eastAsia="Palatino Linotype" w:hAnsi="Palatino Linotype" w:cs="Palatino Linotype"/>
          <w:b/>
          <w:u w:val="single"/>
        </w:rPr>
        <w:t>deberá elaborar una versión Pública en la que se testen las partes o secciones clasificadas, indicando su contenido de manera genérica y fundando y motivando su clasificación, de conformidad con el considerando quinto de la presenten resolución.</w:t>
      </w:r>
    </w:p>
    <w:p w:rsidR="00865484" w:rsidRPr="007D52B5" w:rsidRDefault="00865484" w:rsidP="00865484">
      <w:pPr>
        <w:spacing w:before="280" w:after="28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 xml:space="preserve">En este punto es necesario referir que la información que requiere el </w:t>
      </w:r>
      <w:r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xml:space="preserve"> versa sobre todos y cada uno de los expedientes derivados del concepto de </w:t>
      </w:r>
      <w:r w:rsidR="0005559E" w:rsidRPr="007D52B5">
        <w:rPr>
          <w:rFonts w:ascii="Palatino Linotype" w:eastAsia="Palatino Linotype" w:hAnsi="Palatino Linotype" w:cs="Palatino Linotype"/>
        </w:rPr>
        <w:t xml:space="preserve">certificado de aportación de mejoras </w:t>
      </w:r>
      <w:r w:rsidRPr="007D52B5">
        <w:rPr>
          <w:rFonts w:ascii="Palatino Linotype" w:eastAsia="Palatino Linotype" w:hAnsi="Palatino Linotype" w:cs="Palatino Linotype"/>
        </w:rPr>
        <w:t xml:space="preserve">en el periodo comprendido </w:t>
      </w:r>
      <w:r w:rsidR="0005559E" w:rsidRPr="007D52B5">
        <w:rPr>
          <w:rFonts w:ascii="Palatino Linotype" w:eastAsia="Palatino Linotype" w:hAnsi="Palatino Linotype" w:cs="Palatino Linotype"/>
        </w:rPr>
        <w:t>enero de 2022 a junio de 2022</w:t>
      </w:r>
      <w:r w:rsidRPr="007D52B5">
        <w:rPr>
          <w:rFonts w:ascii="Palatino Linotype" w:eastAsia="Palatino Linotype" w:hAnsi="Palatino Linotype" w:cs="Palatino Linotype"/>
        </w:rPr>
        <w:t xml:space="preserve">, el cual es un trámite que debe realizarse para acreditar </w:t>
      </w:r>
      <w:r w:rsidR="004853AB" w:rsidRPr="007D52B5">
        <w:rPr>
          <w:rFonts w:ascii="Palatino Linotype" w:eastAsia="Palatino Linotype" w:hAnsi="Palatino Linotype" w:cs="Palatino Linotype"/>
        </w:rPr>
        <w:t>que el inmueble de interés del solicitante se encuentra regularizado respecto a sus obligaciones impositivas en los artículos 202 al 204</w:t>
      </w:r>
      <w:r w:rsidRPr="007D52B5">
        <w:rPr>
          <w:rFonts w:ascii="Palatino Linotype" w:eastAsia="Palatino Linotype" w:hAnsi="Palatino Linotype" w:cs="Palatino Linotype"/>
        </w:rPr>
        <w:t xml:space="preserve"> del Código Financiero del Estado de México y Municipios. En el presente caso, ni el </w:t>
      </w:r>
      <w:r w:rsidR="004853AB"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xml:space="preserve"> ni el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especificaron si la información requerida versaba sobre inmuebles particulares</w:t>
      </w:r>
      <w:r w:rsidR="005A0C1D" w:rsidRPr="007D52B5">
        <w:rPr>
          <w:rFonts w:ascii="Palatino Linotype" w:eastAsia="Palatino Linotype" w:hAnsi="Palatino Linotype" w:cs="Palatino Linotype"/>
        </w:rPr>
        <w:t>, personas jurídico colectivas</w:t>
      </w:r>
      <w:r w:rsidRPr="007D52B5">
        <w:rPr>
          <w:rFonts w:ascii="Palatino Linotype" w:eastAsia="Palatino Linotype" w:hAnsi="Palatino Linotype" w:cs="Palatino Linotype"/>
        </w:rPr>
        <w:t xml:space="preserve"> o aquellos que pertenecen al municipio, por lo que debe quedar claro que, en los casos en los que únicamente se vean involucrados particulares, estos deberán ser clasificados como información confidencial, en virtud de que esa información no reviste interés público ni abona en la adecuada rendición de cuentas de los sujetos obligados ni contribuye a transparentar la gestión pública, aunado a que </w:t>
      </w:r>
      <w:r w:rsidRPr="007D52B5">
        <w:rPr>
          <w:rFonts w:ascii="Palatino Linotype" w:eastAsia="Palatino Linotype" w:hAnsi="Palatino Linotype" w:cs="Palatino Linotype"/>
          <w:b/>
        </w:rPr>
        <w:t>con su divulgación se revelaría información patrimonial que está íntimamente ligada con los titulares de los datos</w:t>
      </w:r>
      <w:r w:rsidRPr="007D52B5">
        <w:rPr>
          <w:rFonts w:ascii="Palatino Linotype" w:eastAsia="Palatino Linotype" w:hAnsi="Palatino Linotype" w:cs="Palatino Linotype"/>
        </w:rPr>
        <w:t xml:space="preserve"> por tanto, se insiste que no es información pública susceptible de ser entregada y, en consecuencia, el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está constreñido a proteger la documentación en los que se actualice este supuesto en apego a la normatividad aplicable.</w:t>
      </w:r>
    </w:p>
    <w:p w:rsidR="00865484" w:rsidRPr="007D52B5" w:rsidRDefault="00865484" w:rsidP="00865484">
      <w:pPr>
        <w:spacing w:before="280" w:after="28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Es de resaltar el hecho de la información relativa de los particulares propietarios de inmuebles es considerada como un dato personal por la Ley de Protección de Datos Personales en Posesión de Sujeto Obligados del Estado de México y Municipios, que en su artículo 4 fracción XI establece lo siguiente: </w:t>
      </w:r>
    </w:p>
    <w:p w:rsidR="00865484" w:rsidRPr="007D52B5" w:rsidRDefault="00865484" w:rsidP="00865484">
      <w:pPr>
        <w:spacing w:before="280" w:after="280"/>
        <w:ind w:left="567" w:right="158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 xml:space="preserve">“Artículo 4. Para los efectos de esta Ley se entenderá por: </w:t>
      </w:r>
    </w:p>
    <w:p w:rsidR="00865484" w:rsidRPr="007D52B5" w:rsidRDefault="00865484" w:rsidP="00865484">
      <w:pPr>
        <w:spacing w:before="280" w:after="280"/>
        <w:ind w:left="567" w:right="158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 </w:t>
      </w:r>
    </w:p>
    <w:p w:rsidR="00865484" w:rsidRPr="007D52B5" w:rsidRDefault="00865484" w:rsidP="00865484">
      <w:pPr>
        <w:spacing w:before="280" w:after="280"/>
        <w:ind w:left="567" w:right="1582"/>
        <w:jc w:val="both"/>
        <w:rPr>
          <w:rFonts w:ascii="Palatino Linotype" w:eastAsia="Palatino Linotype" w:hAnsi="Palatino Linotype" w:cs="Palatino Linotype"/>
          <w:i/>
          <w:sz w:val="22"/>
          <w:szCs w:val="22"/>
        </w:rPr>
      </w:pPr>
      <w:proofErr w:type="spellStart"/>
      <w:r w:rsidRPr="007D52B5">
        <w:rPr>
          <w:rFonts w:ascii="Palatino Linotype" w:eastAsia="Palatino Linotype" w:hAnsi="Palatino Linotype" w:cs="Palatino Linotype"/>
          <w:i/>
          <w:sz w:val="22"/>
          <w:szCs w:val="22"/>
        </w:rPr>
        <w:t>XI.Datos</w:t>
      </w:r>
      <w:proofErr w:type="spellEnd"/>
      <w:r w:rsidRPr="007D52B5">
        <w:rPr>
          <w:rFonts w:ascii="Palatino Linotype" w:eastAsia="Palatino Linotype" w:hAnsi="Palatino Linotype" w:cs="Palatino Linotype"/>
          <w:i/>
          <w:sz w:val="22"/>
          <w:szCs w:val="22"/>
        </w:rPr>
        <w:t xml:space="preserve"> personales: a la información concerniente a una persona física o jurídica colectiva identificada o identificable, establecida en cualquier formato o modalidad, y que esté almacenada en los sistemas y bases de datos, se considera que una persona es identificable cuando su identidad pueda determinarse directa o indirectamente a través de cualquier documento informativo físico o electrónico.”</w:t>
      </w:r>
      <w:r w:rsidR="004853AB" w:rsidRPr="007D52B5">
        <w:rPr>
          <w:rFonts w:ascii="Palatino Linotype" w:eastAsia="Palatino Linotype" w:hAnsi="Palatino Linotype" w:cs="Palatino Linotype"/>
          <w:i/>
          <w:sz w:val="22"/>
          <w:szCs w:val="22"/>
        </w:rPr>
        <w:t xml:space="preserve"> (Sic)</w:t>
      </w:r>
    </w:p>
    <w:p w:rsidR="00865484" w:rsidRPr="007D52B5" w:rsidRDefault="00865484" w:rsidP="00865484">
      <w:pPr>
        <w:spacing w:before="280" w:after="28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De manera que cuando los datos hacen a una persona física o jurídica colectiva identificada o identificable, establecida en cualquier formato o modalidad, se hablan de datos personales, asimismo debe apuntarse que en el caso en concreto, se identifica que lo solicitado es un dato personal pues hace alusión a información concerniente a personas físicas.</w:t>
      </w:r>
    </w:p>
    <w:p w:rsidR="00865484" w:rsidRPr="007D52B5" w:rsidRDefault="00865484" w:rsidP="00865484">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rPr>
      </w:pPr>
      <w:r w:rsidRPr="007D52B5">
        <w:rPr>
          <w:rFonts w:ascii="Palatino Linotype" w:eastAsia="Palatino Linotype" w:hAnsi="Palatino Linotype" w:cs="Palatino Linotype"/>
        </w:rPr>
        <w:t>De igual forma, el artículo 6 de la Ley referida anteriormente, establece lo siguiente:</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Artículo 6. El Estado garantizará la privacidad de los individuos y velará porque no se incurra en conductas que puedan afectarla arbitrariamente</w:t>
      </w:r>
      <w:r w:rsidRPr="007D52B5">
        <w:rPr>
          <w:rFonts w:ascii="Palatino Linotype" w:eastAsia="Palatino Linotype" w:hAnsi="Palatino Linotype" w:cs="Palatino Linotype"/>
          <w:i/>
          <w:sz w:val="22"/>
          <w:szCs w:val="22"/>
        </w:rPr>
        <w:t xml:space="preserve">.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Los responsables aplicarán las medidas establecidas en esta Ley para la protección de las personas y su dignidad, respecto al tratamiento de sus datos personales. </w:t>
      </w:r>
    </w:p>
    <w:p w:rsidR="00865484" w:rsidRPr="007D52B5" w:rsidRDefault="00865484" w:rsidP="004853AB">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El derecho a la protección de los datos personales solamente se limitará por</w:t>
      </w:r>
      <w:r w:rsidRPr="007D52B5">
        <w:rPr>
          <w:rFonts w:ascii="Palatino Linotype" w:eastAsia="Palatino Linotype" w:hAnsi="Palatino Linotype" w:cs="Palatino Linotype"/>
          <w:i/>
          <w:sz w:val="22"/>
          <w:szCs w:val="22"/>
        </w:rPr>
        <w:t xml:space="preserve"> razones de seguridad pública en términos de la Ley en la materia, disposiciones de orden público, salud pública o </w:t>
      </w:r>
      <w:r w:rsidRPr="007D52B5">
        <w:rPr>
          <w:rFonts w:ascii="Palatino Linotype" w:eastAsia="Palatino Linotype" w:hAnsi="Palatino Linotype" w:cs="Palatino Linotype"/>
          <w:b/>
          <w:i/>
          <w:sz w:val="22"/>
          <w:szCs w:val="22"/>
        </w:rPr>
        <w:t>proteger los derechos de terceros</w:t>
      </w:r>
      <w:r w:rsidRPr="007D52B5">
        <w:rPr>
          <w:rFonts w:ascii="Palatino Linotype" w:eastAsia="Palatino Linotype" w:hAnsi="Palatino Linotype" w:cs="Palatino Linotype"/>
          <w:i/>
          <w:sz w:val="22"/>
          <w:szCs w:val="22"/>
        </w:rPr>
        <w:t>.”</w:t>
      </w:r>
      <w:r w:rsidR="004853AB" w:rsidRPr="007D52B5">
        <w:rPr>
          <w:rFonts w:ascii="Palatino Linotype" w:eastAsia="Palatino Linotype" w:hAnsi="Palatino Linotype" w:cs="Palatino Linotype"/>
          <w:i/>
          <w:sz w:val="22"/>
          <w:szCs w:val="22"/>
        </w:rPr>
        <w:t>(Sic)</w:t>
      </w:r>
    </w:p>
    <w:p w:rsidR="00865484" w:rsidRPr="007D52B5" w:rsidRDefault="00865484" w:rsidP="00865484">
      <w:pPr>
        <w:pBdr>
          <w:top w:val="nil"/>
          <w:left w:val="nil"/>
          <w:bottom w:val="nil"/>
          <w:right w:val="nil"/>
          <w:between w:val="nil"/>
        </w:pBdr>
        <w:spacing w:before="280" w:after="28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Inclusive, la Ley de Transparencia estatal considera que la información privada y los datos personales y sensibles concernientes a una persona física o jurídico </w:t>
      </w:r>
      <w:r w:rsidRPr="007D52B5">
        <w:rPr>
          <w:rFonts w:ascii="Palatino Linotype" w:eastAsia="Palatino Linotype" w:hAnsi="Palatino Linotype" w:cs="Palatino Linotype"/>
        </w:rPr>
        <w:lastRenderedPageBreak/>
        <w:t xml:space="preserve">colectiva identificada o identificable se considera información confidencial, según lo dispone el artículo 143 fracción I, como se observa a continuación: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rsidR="00865484" w:rsidRPr="007D52B5" w:rsidRDefault="00865484" w:rsidP="00865484">
      <w:pPr>
        <w:numPr>
          <w:ilvl w:val="0"/>
          <w:numId w:val="13"/>
        </w:numPr>
        <w:pBdr>
          <w:top w:val="nil"/>
          <w:left w:val="nil"/>
          <w:bottom w:val="nil"/>
          <w:right w:val="nil"/>
          <w:between w:val="nil"/>
        </w:pBdr>
        <w:spacing w:before="280" w:after="280"/>
        <w:ind w:left="567" w:right="1580" w:firstLine="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 refiera a la información privada y los datos personales concernientes a una persona física o jurídico colectiva identificada o identificable; </w:t>
      </w:r>
    </w:p>
    <w:p w:rsidR="00865484" w:rsidRPr="007D52B5" w:rsidRDefault="00865484" w:rsidP="00865484">
      <w:pPr>
        <w:numPr>
          <w:ilvl w:val="0"/>
          <w:numId w:val="13"/>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las mismas, sus representantes y los servidores públicos facultados para ellos. </w:t>
      </w:r>
    </w:p>
    <w:p w:rsidR="00865484" w:rsidRPr="007D52B5" w:rsidRDefault="00865484" w:rsidP="00865484">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r w:rsidR="004853AB" w:rsidRPr="007D52B5">
        <w:rPr>
          <w:rFonts w:ascii="Palatino Linotype" w:eastAsia="Palatino Linotype" w:hAnsi="Palatino Linotype" w:cs="Palatino Linotype"/>
          <w:i/>
          <w:sz w:val="22"/>
          <w:szCs w:val="22"/>
        </w:rPr>
        <w:t>” (Sic)</w:t>
      </w:r>
    </w:p>
    <w:p w:rsidR="00865484" w:rsidRPr="007D52B5" w:rsidRDefault="00865484" w:rsidP="00865484">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rPr>
      </w:pPr>
      <w:r w:rsidRPr="007D52B5">
        <w:rPr>
          <w:rFonts w:ascii="Palatino Linotype" w:eastAsia="Palatino Linotype" w:hAnsi="Palatino Linotype" w:cs="Palatino Linotype"/>
        </w:rPr>
        <w:t>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 los documentos del particular descritos en la solicitud de información. Lo anterior con base a las consideraciones ya establecidas; para mayor abundamiento, se puede citar la tesis aislada 1ª. VII/2012 (10ª.), con número de registro 2000233 de la Décima Época, publicada en el Semanario Judicial de la Federación y su Gaceta, Libro V, febrero de 2012, Tomo 1, página 655 en materia Constitucional, que establece lo siguiente:</w:t>
      </w:r>
    </w:p>
    <w:p w:rsidR="00865484" w:rsidRPr="007D52B5" w:rsidRDefault="00865484" w:rsidP="004853AB">
      <w:pPr>
        <w:pBdr>
          <w:top w:val="nil"/>
          <w:left w:val="nil"/>
          <w:bottom w:val="nil"/>
          <w:right w:val="nil"/>
          <w:between w:val="nil"/>
        </w:pBdr>
        <w:spacing w:before="280" w:after="28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“INFORMACIÓN CONFIDENCIAL. LÍMITE AL DERECHO DE ACCESO A LA INFORMACIÓN (LEY FEDERAL DE TRANSPARENCIA Y ACCESO A LA INFORMACIÓN PÚBLICA </w:t>
      </w:r>
      <w:r w:rsidRPr="007D52B5">
        <w:rPr>
          <w:rFonts w:ascii="Palatino Linotype" w:eastAsia="Palatino Linotype" w:hAnsi="Palatino Linotype" w:cs="Palatino Linotype"/>
          <w:i/>
          <w:sz w:val="22"/>
          <w:szCs w:val="22"/>
        </w:rPr>
        <w:lastRenderedPageBreak/>
        <w:t xml:space="preserve">GUBERNAMENTAL).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w:t>
      </w:r>
      <w:r w:rsidRPr="007D52B5">
        <w:rPr>
          <w:rFonts w:ascii="Palatino Linotype" w:eastAsia="Palatino Linotype" w:hAnsi="Palatino Linotype" w:cs="Palatino Linotype"/>
          <w:b/>
          <w:i/>
          <w:sz w:val="22"/>
          <w:szCs w:val="22"/>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w:t>
      </w:r>
      <w:r w:rsidRPr="007D52B5">
        <w:rPr>
          <w:rFonts w:ascii="Palatino Linotype" w:eastAsia="Palatino Linotype" w:hAnsi="Palatino Linotype" w:cs="Palatino Linotype"/>
          <w:i/>
          <w:sz w:val="22"/>
          <w:szCs w:val="22"/>
        </w:rPr>
        <w:t xml:space="preserve"> </w:t>
      </w:r>
      <w:r w:rsidRPr="007D52B5">
        <w:rPr>
          <w:rFonts w:ascii="Palatino Linotype" w:eastAsia="Palatino Linotype" w:hAnsi="Palatino Linotype" w:cs="Palatino Linotype"/>
          <w:b/>
          <w:i/>
          <w:sz w:val="22"/>
          <w:szCs w:val="22"/>
        </w:rPr>
        <w:t>clasificación el de información confidencial, el cual }restringe el acceso a la información que contenga datos personales que requieran el consentimiento de los individuos para su difusión, distribución o comercialización</w:t>
      </w:r>
      <w:r w:rsidRPr="007D52B5">
        <w:rPr>
          <w:rFonts w:ascii="Palatino Linotype" w:eastAsia="Palatino Linotype" w:hAnsi="Palatino Linotype" w:cs="Palatino Linotype"/>
          <w:i/>
          <w:sz w:val="22"/>
          <w:szCs w:val="22"/>
        </w:rPr>
        <w:t xml:space="preserve">.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7D52B5">
        <w:rPr>
          <w:rFonts w:ascii="Palatino Linotype" w:eastAsia="Palatino Linotype" w:hAnsi="Palatino Linotype" w:cs="Palatino Linotype"/>
          <w:b/>
          <w:i/>
          <w:sz w:val="22"/>
          <w:szCs w:val="22"/>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w:t>
      </w:r>
      <w:r w:rsidRPr="007D52B5">
        <w:rPr>
          <w:rFonts w:ascii="Palatino Linotype" w:eastAsia="Palatino Linotype" w:hAnsi="Palatino Linotype" w:cs="Palatino Linotype"/>
          <w:i/>
          <w:sz w:val="22"/>
          <w:szCs w:val="22"/>
        </w:rPr>
        <w:t xml:space="preserve">. Por último, y conforme a lo dispuesto en el artículo 21 de la ley, la restricción de acceso a la información confidencial no es absoluta, pues puede permitirse su difusión, distribución o comercialización si se obtiene el </w:t>
      </w:r>
      <w:r w:rsidRPr="007D52B5">
        <w:rPr>
          <w:rFonts w:ascii="Palatino Linotype" w:eastAsia="Palatino Linotype" w:hAnsi="Palatino Linotype" w:cs="Palatino Linotype"/>
          <w:i/>
          <w:sz w:val="22"/>
          <w:szCs w:val="22"/>
        </w:rPr>
        <w:lastRenderedPageBreak/>
        <w:t>consentimiento expreso de la persona a que haga referencia la información.”</w:t>
      </w:r>
      <w:r w:rsidR="004853AB" w:rsidRPr="007D52B5">
        <w:rPr>
          <w:rFonts w:ascii="Palatino Linotype" w:eastAsia="Palatino Linotype" w:hAnsi="Palatino Linotype" w:cs="Palatino Linotype"/>
          <w:i/>
          <w:sz w:val="22"/>
          <w:szCs w:val="22"/>
        </w:rPr>
        <w:t>8Sic)</w:t>
      </w:r>
    </w:p>
    <w:p w:rsidR="00865484" w:rsidRPr="007D52B5" w:rsidRDefault="00865484" w:rsidP="00865484">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ese sentido, este Instituto considera que la información solicitada por el Recurrente es susceptible de clasificarse como </w:t>
      </w:r>
      <w:r w:rsidRPr="007D52B5">
        <w:rPr>
          <w:rFonts w:ascii="Palatino Linotype" w:eastAsia="Palatino Linotype" w:hAnsi="Palatino Linotype" w:cs="Palatino Linotype"/>
          <w:b/>
        </w:rPr>
        <w:t>información confidencial</w:t>
      </w:r>
      <w:r w:rsidRPr="007D52B5">
        <w:rPr>
          <w:rFonts w:ascii="Palatino Linotype" w:eastAsia="Palatino Linotype" w:hAnsi="Palatino Linotype" w:cs="Palatino Linotype"/>
        </w:rPr>
        <w:t xml:space="preserve">, por lo que este Instituto considera procedente ordenar al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 xml:space="preserve">que después de haber realizado la búsqueda de los documentos que obran en el área de Tesorería Municipal, se realice el Acuerdo de Clasificación de la Información como Confidencial que al respecto emita su Comité de Transparencia con el cual se deberá fundamentar y motivar adecuadamente la clasificación de la información solicitada, con la finalidad de dar certeza jurídica al particular sobre las razones por las cuales no es procedente la entrega de la información. </w:t>
      </w:r>
    </w:p>
    <w:p w:rsidR="00865484" w:rsidRPr="007D52B5" w:rsidRDefault="00865484" w:rsidP="00865484">
      <w:pPr>
        <w:widowControl w:val="0"/>
        <w:tabs>
          <w:tab w:val="left" w:pos="1701"/>
          <w:tab w:val="left" w:pos="1843"/>
        </w:tabs>
        <w:spacing w:before="36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Al respecto, la Ley de Transparencia y Acceso a la Información Pública del Estado de México y Municipios señala que para la clasificación formal de la información solicitada, el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 xml:space="preserve">deberá remitir el respectivo Acuerdo de Clasificación fundado y motivado donde determine la clasificación de la información como confidencial, de conformidad con los artículos 49 fracción VIII y 132 fracciones I, II y III, así como los numerales del cuarto al décimo primero de los Lineamientos Generales en Materia de Clasificación y Desclasificación de la Información, así como para la Elaboración de Versiones Públicas, que literalmente rezan lo siguiente: </w:t>
      </w:r>
    </w:p>
    <w:p w:rsidR="00865484" w:rsidRPr="007D52B5" w:rsidRDefault="00865484" w:rsidP="00865484">
      <w:pPr>
        <w:widowControl w:val="0"/>
        <w:tabs>
          <w:tab w:val="left" w:pos="1701"/>
          <w:tab w:val="left" w:pos="1843"/>
        </w:tabs>
        <w:spacing w:line="360" w:lineRule="auto"/>
        <w:jc w:val="both"/>
        <w:rPr>
          <w:rFonts w:ascii="Palatino Linotype" w:eastAsia="Palatino Linotype" w:hAnsi="Palatino Linotype" w:cs="Palatino Linotype"/>
        </w:rPr>
      </w:pPr>
    </w:p>
    <w:p w:rsidR="00865484" w:rsidRPr="007D52B5" w:rsidRDefault="00865484" w:rsidP="00865484">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“Artículo 49.</w:t>
      </w:r>
      <w:r w:rsidRPr="007D52B5">
        <w:rPr>
          <w:rFonts w:ascii="Palatino Linotype" w:eastAsia="Palatino Linotype" w:hAnsi="Palatino Linotype" w:cs="Palatino Linotype"/>
          <w:i/>
          <w:sz w:val="22"/>
          <w:szCs w:val="22"/>
        </w:rPr>
        <w:t xml:space="preserve"> Los Comités de Transparencia tendrán las siguientes atribuciones:</w:t>
      </w:r>
    </w:p>
    <w:p w:rsidR="00865484" w:rsidRPr="007D52B5" w:rsidRDefault="00865484" w:rsidP="00865484">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865484" w:rsidRPr="007D52B5" w:rsidRDefault="00865484" w:rsidP="00865484">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VIII. Aprobar, modificar o revocar la clasificación de la información;</w:t>
      </w:r>
    </w:p>
    <w:p w:rsidR="00865484" w:rsidRPr="007D52B5" w:rsidRDefault="00865484" w:rsidP="00865484">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865484" w:rsidRPr="007D52B5" w:rsidRDefault="00865484" w:rsidP="00865484">
      <w:pPr>
        <w:widowControl w:val="0"/>
        <w:tabs>
          <w:tab w:val="left" w:pos="1701"/>
          <w:tab w:val="left" w:pos="1843"/>
        </w:tabs>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lastRenderedPageBreak/>
        <w:t>Artículo 132.</w:t>
      </w:r>
      <w:r w:rsidRPr="007D52B5">
        <w:rPr>
          <w:rFonts w:ascii="Palatino Linotype" w:eastAsia="Palatino Linotype" w:hAnsi="Palatino Linotype" w:cs="Palatino Linotype"/>
          <w:i/>
          <w:sz w:val="22"/>
          <w:szCs w:val="22"/>
        </w:rPr>
        <w:t xml:space="preserve"> La clasificación de la información se llevará a cabo en el momento en que: </w:t>
      </w:r>
    </w:p>
    <w:p w:rsidR="00865484" w:rsidRPr="007D52B5" w:rsidRDefault="00865484" w:rsidP="00865484">
      <w:pPr>
        <w:widowControl w:val="0"/>
        <w:numPr>
          <w:ilvl w:val="0"/>
          <w:numId w:val="15"/>
        </w:numPr>
        <w:tabs>
          <w:tab w:val="left" w:pos="1701"/>
          <w:tab w:val="left" w:pos="1843"/>
        </w:tabs>
        <w:ind w:left="567" w:right="709"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 reciba una solicitud de acceso a la información; </w:t>
      </w:r>
    </w:p>
    <w:p w:rsidR="00865484" w:rsidRPr="007D52B5" w:rsidRDefault="00865484" w:rsidP="00865484">
      <w:pPr>
        <w:widowControl w:val="0"/>
        <w:numPr>
          <w:ilvl w:val="0"/>
          <w:numId w:val="15"/>
        </w:numPr>
        <w:tabs>
          <w:tab w:val="left" w:pos="1701"/>
          <w:tab w:val="left" w:pos="1843"/>
        </w:tabs>
        <w:ind w:left="567" w:right="709"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 determine mediante resolución de autoridad competente; o </w:t>
      </w:r>
    </w:p>
    <w:p w:rsidR="00865484" w:rsidRPr="007D52B5" w:rsidRDefault="00865484" w:rsidP="00865484">
      <w:pPr>
        <w:widowControl w:val="0"/>
        <w:numPr>
          <w:ilvl w:val="0"/>
          <w:numId w:val="15"/>
        </w:numPr>
        <w:tabs>
          <w:tab w:val="left" w:pos="1701"/>
          <w:tab w:val="left" w:pos="1843"/>
        </w:tabs>
        <w:spacing w:after="120"/>
        <w:ind w:left="567" w:right="709"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Se generen versiones públicas para dar cumplimiento a las obligaciones de transparencia previstas en esta Ley.</w:t>
      </w:r>
    </w:p>
    <w:p w:rsidR="00865484" w:rsidRPr="007D52B5" w:rsidRDefault="00865484" w:rsidP="00865484">
      <w:pPr>
        <w:widowControl w:val="0"/>
        <w:tabs>
          <w:tab w:val="left" w:pos="1701"/>
          <w:tab w:val="left" w:pos="1843"/>
        </w:tabs>
        <w:spacing w:before="120" w:after="240"/>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865484" w:rsidRPr="007D52B5" w:rsidRDefault="00865484" w:rsidP="00865484">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Cuarto.</w:t>
      </w:r>
      <w:r w:rsidRPr="007D52B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865484" w:rsidRPr="007D52B5" w:rsidRDefault="00865484" w:rsidP="00865484">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Quinto.</w:t>
      </w:r>
      <w:r w:rsidRPr="007D52B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rsidR="00865484" w:rsidRPr="007D52B5" w:rsidRDefault="00865484" w:rsidP="00865484">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Sexto.</w:t>
      </w:r>
      <w:r w:rsidRPr="007D52B5">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 La clasificación de información se realizará conforme a un análisis caso por caso, mediante la aplicación de la prueba de daño y de interés público. </w:t>
      </w:r>
    </w:p>
    <w:p w:rsidR="00865484" w:rsidRPr="007D52B5" w:rsidRDefault="00865484" w:rsidP="00865484">
      <w:pPr>
        <w:widowControl w:val="0"/>
        <w:tabs>
          <w:tab w:val="left" w:pos="1701"/>
          <w:tab w:val="left" w:pos="1843"/>
          <w:tab w:val="left" w:pos="8222"/>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Séptimo.</w:t>
      </w:r>
      <w:r w:rsidRPr="007D52B5">
        <w:rPr>
          <w:rFonts w:ascii="Palatino Linotype" w:eastAsia="Palatino Linotype" w:hAnsi="Palatino Linotype" w:cs="Palatino Linotype"/>
          <w:i/>
          <w:sz w:val="22"/>
          <w:szCs w:val="22"/>
        </w:rPr>
        <w:t xml:space="preserve"> La clasificación de la información se llevará a cabo en el momento en que: </w:t>
      </w:r>
    </w:p>
    <w:p w:rsidR="00865484" w:rsidRPr="007D52B5" w:rsidRDefault="00865484" w:rsidP="00865484">
      <w:pPr>
        <w:widowControl w:val="0"/>
        <w:numPr>
          <w:ilvl w:val="0"/>
          <w:numId w:val="17"/>
        </w:numPr>
        <w:tabs>
          <w:tab w:val="left" w:pos="1701"/>
          <w:tab w:val="left" w:pos="1843"/>
          <w:tab w:val="left" w:pos="8222"/>
        </w:tabs>
        <w:spacing w:before="240"/>
        <w:ind w:left="567" w:right="1580" w:hanging="14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 reciba una solicitud de acceso a la información; </w:t>
      </w:r>
    </w:p>
    <w:p w:rsidR="00865484" w:rsidRPr="007D52B5" w:rsidRDefault="00865484" w:rsidP="00865484">
      <w:pPr>
        <w:widowControl w:val="0"/>
        <w:numPr>
          <w:ilvl w:val="0"/>
          <w:numId w:val="17"/>
        </w:numPr>
        <w:tabs>
          <w:tab w:val="left" w:pos="1701"/>
          <w:tab w:val="left" w:pos="1843"/>
          <w:tab w:val="left" w:pos="8222"/>
        </w:tabs>
        <w:ind w:left="567" w:right="1580" w:hanging="283"/>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Se determine mediante resolución de autoridad competente, o </w:t>
      </w:r>
    </w:p>
    <w:p w:rsidR="00865484" w:rsidRPr="007D52B5" w:rsidRDefault="00865484" w:rsidP="00865484">
      <w:pPr>
        <w:widowControl w:val="0"/>
        <w:numPr>
          <w:ilvl w:val="0"/>
          <w:numId w:val="17"/>
        </w:numPr>
        <w:tabs>
          <w:tab w:val="left" w:pos="1701"/>
          <w:tab w:val="left" w:pos="1843"/>
          <w:tab w:val="left" w:pos="8222"/>
        </w:tabs>
        <w:spacing w:after="120"/>
        <w:ind w:left="567" w:right="1580" w:hanging="425"/>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Se generen versiones públicas para dar cumplimiento a las obligaciones de transparencia previstas en la Ley General, la Ley Federal y las correspondientes de las entidades federativas.</w:t>
      </w:r>
    </w:p>
    <w:p w:rsidR="00865484" w:rsidRPr="007D52B5" w:rsidRDefault="00865484" w:rsidP="00865484">
      <w:pPr>
        <w:widowControl w:val="0"/>
        <w:tabs>
          <w:tab w:val="left" w:pos="1701"/>
          <w:tab w:val="left" w:pos="1843"/>
        </w:tabs>
        <w:spacing w:before="12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Los titulares de las áreas deberán revisar la clasificación al momento de la recepción de una solicitud de acceso a la información, para verificar si encuadra en una causal de reserva o de confidencialidad. </w:t>
      </w:r>
    </w:p>
    <w:p w:rsidR="00865484" w:rsidRPr="007D52B5" w:rsidRDefault="00865484" w:rsidP="00865484">
      <w:pPr>
        <w:widowControl w:val="0"/>
        <w:tabs>
          <w:tab w:val="left" w:pos="1701"/>
          <w:tab w:val="left" w:pos="1843"/>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Octavo.</w:t>
      </w:r>
      <w:r w:rsidRPr="007D52B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w:t>
      </w:r>
    </w:p>
    <w:p w:rsidR="00865484" w:rsidRPr="007D52B5" w:rsidRDefault="00865484" w:rsidP="00865484">
      <w:pPr>
        <w:widowControl w:val="0"/>
        <w:tabs>
          <w:tab w:val="left" w:pos="1701"/>
          <w:tab w:val="left" w:pos="1843"/>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En caso de referirse a información reservada, la motivación de la clasificación también deberá comprender las circunstancias que justifican el establecimiento de determinado plazo de reserva. </w:t>
      </w:r>
    </w:p>
    <w:p w:rsidR="00865484" w:rsidRPr="007D52B5" w:rsidRDefault="00865484" w:rsidP="00865484">
      <w:pPr>
        <w:widowControl w:val="0"/>
        <w:tabs>
          <w:tab w:val="left" w:pos="1701"/>
          <w:tab w:val="left" w:pos="1843"/>
        </w:tabs>
        <w:spacing w:before="360" w:after="240"/>
        <w:ind w:left="567" w:right="1580"/>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 </w:t>
      </w:r>
    </w:p>
    <w:p w:rsidR="00865484" w:rsidRPr="007D52B5" w:rsidRDefault="00865484" w:rsidP="00865484">
      <w:pPr>
        <w:widowControl w:val="0"/>
        <w:tabs>
          <w:tab w:val="left" w:pos="1701"/>
          <w:tab w:val="left" w:pos="1843"/>
        </w:tabs>
        <w:spacing w:before="360" w:after="240"/>
        <w:ind w:left="142"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Noveno.</w:t>
      </w:r>
      <w:r w:rsidRPr="007D52B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65484" w:rsidRPr="007D52B5" w:rsidRDefault="00865484" w:rsidP="00865484">
      <w:pPr>
        <w:widowControl w:val="0"/>
        <w:tabs>
          <w:tab w:val="left" w:pos="1701"/>
          <w:tab w:val="left" w:pos="1843"/>
        </w:tabs>
        <w:spacing w:before="360" w:after="240"/>
        <w:ind w:left="142"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 </w:t>
      </w:r>
      <w:r w:rsidRPr="007D52B5">
        <w:rPr>
          <w:rFonts w:ascii="Palatino Linotype" w:eastAsia="Palatino Linotype" w:hAnsi="Palatino Linotype" w:cs="Palatino Linotype"/>
          <w:b/>
          <w:i/>
          <w:sz w:val="22"/>
          <w:szCs w:val="22"/>
        </w:rPr>
        <w:t>Décimo.</w:t>
      </w:r>
      <w:r w:rsidRPr="007D52B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En ausencia de los titulares de las áreas, la información será clasificada o desclasificada por la persona que lo supla, en términos de la normativa que rija la actuación </w:t>
      </w:r>
      <w:r w:rsidRPr="007D52B5">
        <w:rPr>
          <w:rFonts w:ascii="Palatino Linotype" w:eastAsia="Palatino Linotype" w:hAnsi="Palatino Linotype" w:cs="Palatino Linotype"/>
          <w:i/>
          <w:sz w:val="22"/>
          <w:szCs w:val="22"/>
        </w:rPr>
        <w:lastRenderedPageBreak/>
        <w:t xml:space="preserve">del sujeto obligado. </w:t>
      </w:r>
    </w:p>
    <w:p w:rsidR="00865484" w:rsidRPr="007D52B5" w:rsidRDefault="00865484" w:rsidP="00865484">
      <w:pPr>
        <w:widowControl w:val="0"/>
        <w:tabs>
          <w:tab w:val="left" w:pos="1701"/>
          <w:tab w:val="left" w:pos="1843"/>
        </w:tabs>
        <w:spacing w:before="360" w:after="240"/>
        <w:ind w:left="142"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Décimo primero.</w:t>
      </w:r>
      <w:r w:rsidRPr="007D52B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roofErr w:type="gramStart"/>
      <w:r w:rsidRPr="007D52B5">
        <w:rPr>
          <w:rFonts w:ascii="Palatino Linotype" w:eastAsia="Palatino Linotype" w:hAnsi="Palatino Linotype" w:cs="Palatino Linotype"/>
          <w:i/>
          <w:sz w:val="22"/>
          <w:szCs w:val="22"/>
        </w:rPr>
        <w:t>”</w:t>
      </w:r>
      <w:r w:rsidR="004853AB" w:rsidRPr="007D52B5">
        <w:rPr>
          <w:rFonts w:ascii="Palatino Linotype" w:eastAsia="Palatino Linotype" w:hAnsi="Palatino Linotype" w:cs="Palatino Linotype"/>
          <w:i/>
          <w:sz w:val="22"/>
          <w:szCs w:val="22"/>
        </w:rPr>
        <w:t>(</w:t>
      </w:r>
      <w:proofErr w:type="gramEnd"/>
      <w:r w:rsidR="004853AB" w:rsidRPr="007D52B5">
        <w:rPr>
          <w:rFonts w:ascii="Palatino Linotype" w:eastAsia="Palatino Linotype" w:hAnsi="Palatino Linotype" w:cs="Palatino Linotype"/>
          <w:i/>
          <w:sz w:val="22"/>
          <w:szCs w:val="22"/>
        </w:rPr>
        <w:t>Sic)</w:t>
      </w:r>
    </w:p>
    <w:p w:rsidR="00865484" w:rsidRPr="007D52B5" w:rsidRDefault="00865484" w:rsidP="00865484">
      <w:pPr>
        <w:widowControl w:val="0"/>
        <w:tabs>
          <w:tab w:val="left" w:pos="1701"/>
          <w:tab w:val="left" w:pos="1843"/>
        </w:tabs>
        <w:spacing w:before="360" w:after="240" w:line="360" w:lineRule="auto"/>
        <w:ind w:left="-14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tanto, dicho acuerdo debe exponer de manera clara las razones por las que se encuadran los supuestos de clasificación de la información, de conformidad con el artículo 135 de la Ley de Transparencia y Acceso a la Información Pública del Estado de México y Municipios, en relación con el numeral octavo de los Lineamientos Generales en Materia de Clasificación y Desclasificación de la Información, así como para la Elaboración de Versiones Públicas, los cuales se insertan para mayor referencia del presente análisis: </w:t>
      </w:r>
    </w:p>
    <w:p w:rsidR="00865484" w:rsidRPr="007D52B5" w:rsidRDefault="00865484" w:rsidP="0086548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Artículo 135.</w:t>
      </w:r>
      <w:r w:rsidRPr="007D52B5">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865484" w:rsidRPr="007D52B5" w:rsidRDefault="00865484" w:rsidP="0086548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865484" w:rsidRPr="007D52B5" w:rsidRDefault="00865484" w:rsidP="0086548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Octavo.</w:t>
      </w:r>
      <w:r w:rsidRPr="007D52B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w:t>
      </w:r>
      <w:r w:rsidR="004853AB" w:rsidRPr="007D52B5">
        <w:rPr>
          <w:rFonts w:ascii="Palatino Linotype" w:eastAsia="Palatino Linotype" w:hAnsi="Palatino Linotype" w:cs="Palatino Linotype"/>
          <w:i/>
          <w:sz w:val="22"/>
          <w:szCs w:val="22"/>
        </w:rPr>
        <w:t>(Sic)</w:t>
      </w:r>
    </w:p>
    <w:p w:rsidR="00865484" w:rsidRPr="007D52B5" w:rsidRDefault="00865484" w:rsidP="00865484">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w:t>
      </w:r>
      <w:r w:rsidR="004853AB"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en ese contexto todo dato personal susceptible de clasificación debe ser protegido.</w:t>
      </w:r>
    </w:p>
    <w:p w:rsidR="00865484" w:rsidRPr="007D52B5" w:rsidRDefault="00865484" w:rsidP="00865484">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Robustece lo anterior, el criterio sustentado por la Segunda Sala de la Suprema Corte de Justicia de la Nación, visible en la página 2518 del Tomo XXII, de la Novena Época del Semanario Judicial de la Federación y su Gaceta, Julio de 2008, de rubro y texto siguientes: </w:t>
      </w:r>
    </w:p>
    <w:p w:rsidR="00865484" w:rsidRPr="007D52B5" w:rsidRDefault="00865484" w:rsidP="00865484">
      <w:pPr>
        <w:widowControl w:val="0"/>
        <w:tabs>
          <w:tab w:val="left" w:pos="1701"/>
          <w:tab w:val="left" w:pos="1843"/>
        </w:tabs>
        <w:spacing w:before="360" w:after="240"/>
        <w:ind w:left="567" w:right="871"/>
        <w:jc w:val="both"/>
        <w:rPr>
          <w:rFonts w:ascii="Palatino Linotype" w:eastAsia="Palatino Linotype" w:hAnsi="Palatino Linotype" w:cs="Palatino Linotype"/>
          <w:b/>
          <w:i/>
          <w:sz w:val="22"/>
          <w:szCs w:val="22"/>
        </w:rPr>
      </w:pPr>
      <w:r w:rsidRPr="007D52B5">
        <w:rPr>
          <w:rFonts w:ascii="Palatino Linotype" w:eastAsia="Palatino Linotype" w:hAnsi="Palatino Linotype" w:cs="Palatino Linotype"/>
          <w:b/>
          <w:i/>
          <w:sz w:val="22"/>
          <w:szCs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p>
    <w:p w:rsidR="00865484" w:rsidRPr="007D52B5" w:rsidRDefault="00865484" w:rsidP="00865484">
      <w:pPr>
        <w:widowControl w:val="0"/>
        <w:tabs>
          <w:tab w:val="left" w:pos="1701"/>
          <w:tab w:val="left" w:pos="1843"/>
        </w:tabs>
        <w:spacing w:before="360" w:after="240"/>
        <w:ind w:left="567" w:right="87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w:t>
      </w:r>
      <w:hyperlink r:id="rId17">
        <w:r w:rsidRPr="007D52B5">
          <w:rPr>
            <w:rFonts w:ascii="Palatino Linotype" w:eastAsia="Palatino Linotype" w:hAnsi="Palatino Linotype" w:cs="Palatino Linotype"/>
            <w:b/>
            <w:i/>
            <w:sz w:val="22"/>
            <w:szCs w:val="22"/>
            <w:u w:val="single"/>
          </w:rPr>
          <w:t>3o., fracción II, y 18, fracción II, de la Ley Federal de Transparencia y Acceso a la Información Pública Gubernamental</w:t>
        </w:r>
      </w:hyperlink>
      <w:r w:rsidRPr="007D52B5">
        <w:rPr>
          <w:rFonts w:ascii="Palatino Linotype" w:eastAsia="Palatino Linotype" w:hAnsi="Palatino Linotype" w:cs="Palatino Linotype"/>
          <w:i/>
          <w:sz w:val="22"/>
          <w:szCs w:val="22"/>
        </w:rPr>
        <w:t>, al tutelar sólo el derecho a la protección de datos personales de las personas físicas y no de las morales, colectivas o jurídicas privadas, no violan la indicada garantía contenida en el artículo </w:t>
      </w:r>
      <w:hyperlink r:id="rId18">
        <w:r w:rsidRPr="007D52B5">
          <w:rPr>
            <w:rFonts w:ascii="Palatino Linotype" w:eastAsia="Palatino Linotype" w:hAnsi="Palatino Linotype" w:cs="Palatino Linotype"/>
            <w:b/>
            <w:i/>
            <w:sz w:val="22"/>
            <w:szCs w:val="22"/>
            <w:u w:val="single"/>
          </w:rPr>
          <w:t>1o. de la Constitución Política de los Estados Unidos Mexicanos</w:t>
        </w:r>
      </w:hyperlink>
      <w:r w:rsidRPr="007D52B5">
        <w:rPr>
          <w:rFonts w:ascii="Palatino Linotype" w:eastAsia="Palatino Linotype" w:hAnsi="Palatino Linotype" w:cs="Palatino Linotype"/>
          <w:i/>
          <w:sz w:val="22"/>
          <w:szCs w:val="22"/>
        </w:rPr>
        <w:t xml:space="preserve">,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w:t>
      </w:r>
      <w:r w:rsidRPr="007D52B5">
        <w:rPr>
          <w:rFonts w:ascii="Palatino Linotype" w:eastAsia="Palatino Linotype" w:hAnsi="Palatino Linotype" w:cs="Palatino Linotype"/>
          <w:i/>
          <w:sz w:val="22"/>
          <w:szCs w:val="22"/>
        </w:rPr>
        <w:lastRenderedPageBreak/>
        <w:t>ya que la protección de datos personales, entre ellos el del patrimonio y su confidencialidad, es una derivación del derecho a la intimidad, del cual únicamente goza el individuo, entendido como la persona humana.”</w:t>
      </w:r>
      <w:r w:rsidR="004853AB" w:rsidRPr="007D52B5">
        <w:rPr>
          <w:rFonts w:ascii="Palatino Linotype" w:eastAsia="Palatino Linotype" w:hAnsi="Palatino Linotype" w:cs="Palatino Linotype"/>
          <w:i/>
          <w:sz w:val="22"/>
          <w:szCs w:val="22"/>
        </w:rPr>
        <w:t xml:space="preserve"> (Sic)</w:t>
      </w:r>
    </w:p>
    <w:p w:rsidR="00865484" w:rsidRPr="007D52B5" w:rsidRDefault="00865484" w:rsidP="00865484">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ende, en el presente caso, el </w:t>
      </w:r>
      <w:r w:rsidR="0061018E" w:rsidRPr="007D52B5">
        <w:rPr>
          <w:rFonts w:ascii="Palatino Linotype" w:eastAsia="Palatino Linotype" w:hAnsi="Palatino Linotype" w:cs="Palatino Linotype"/>
          <w:b/>
        </w:rPr>
        <w:t>SUJETO OBLIGADO</w:t>
      </w:r>
      <w:r w:rsidR="0061018E"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 xml:space="preserve">debe atender las disposiciones en materia de protección de datos personales, a fin de salvaguardar los datos de particulares y emitir el debido Acuerdo que sustente la clasificación que se genere, ya que ésta no se da por simple mandato de ley, sino que es necesario que el Sujeto Obligado, cuando clasifique un documento, ya sea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w:t>
      </w:r>
    </w:p>
    <w:p w:rsidR="00865484" w:rsidRPr="007D52B5" w:rsidRDefault="00865484" w:rsidP="00865484">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Así es, que el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 xml:space="preserve">deberá cumplir con todos y cada uno de los requisitos señalados en la Ley de Protección de Datos Personales en Posesión de Sujetos Obligados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w:t>
      </w:r>
      <w:r w:rsidRPr="007D52B5">
        <w:rPr>
          <w:rFonts w:ascii="Palatino Linotype" w:eastAsia="Palatino Linotype" w:hAnsi="Palatino Linotype" w:cs="Palatino Linotype"/>
        </w:rPr>
        <w:lastRenderedPageBreak/>
        <w:t xml:space="preserve">mismo debe aplicar de manera restrictiva y limitada las hipótesis de clasificación y no hacerlas valer de manera general. Es importante señalar que, para acreditar dichos supuestos jurídicos se debe fundar y motivar correctamente la categorización de la información. </w:t>
      </w:r>
    </w:p>
    <w:p w:rsidR="00865484" w:rsidRPr="007D52B5" w:rsidRDefault="00865484" w:rsidP="00865484">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tanto, la fundamentación y motivación, consiste en la obligación que tiene todo ente público de expresar los preceptos jurídicos aplicables al asunto motivo del acto y las razones o argumentos de su actuar. </w:t>
      </w:r>
    </w:p>
    <w:p w:rsidR="00865484" w:rsidRPr="007D52B5" w:rsidRDefault="00865484" w:rsidP="00865484">
      <w:pPr>
        <w:ind w:left="851" w:right="851"/>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b/>
          <w:i/>
          <w:sz w:val="22"/>
          <w:szCs w:val="22"/>
        </w:rPr>
        <w:t>“FUNDAMENTACIÓN Y MOTIVACIÓN DE LOS ACTOS ADMINISTRATIVOS</w:t>
      </w:r>
      <w:r w:rsidRPr="007D52B5">
        <w:rPr>
          <w:rFonts w:ascii="Palatino Linotype" w:eastAsia="Palatino Linotype" w:hAnsi="Palatino Linotype" w:cs="Palatino Linotype"/>
          <w:i/>
          <w:sz w:val="22"/>
          <w:szCs w:val="22"/>
        </w:rPr>
        <w:t xml:space="preserve">. De acuerdo con  el artículo 16 constitucional, </w:t>
      </w:r>
      <w:r w:rsidRPr="007D52B5">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7D52B5">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7D52B5">
        <w:rPr>
          <w:rFonts w:ascii="Palatino Linotype" w:eastAsia="Palatino Linotype" w:hAnsi="Palatino Linotype" w:cs="Palatino Linotype"/>
          <w:i/>
          <w:sz w:val="22"/>
          <w:szCs w:val="22"/>
        </w:rPr>
        <w:t>subincisos</w:t>
      </w:r>
      <w:proofErr w:type="spellEnd"/>
      <w:r w:rsidRPr="007D52B5">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rsidR="00865484" w:rsidRPr="007D52B5" w:rsidRDefault="00865484" w:rsidP="00865484">
      <w:pPr>
        <w:jc w:val="both"/>
        <w:rPr>
          <w:rFonts w:ascii="Palatino Linotype" w:eastAsia="Palatino Linotype" w:hAnsi="Palatino Linotype" w:cs="Palatino Linotype"/>
          <w:sz w:val="16"/>
          <w:szCs w:val="16"/>
        </w:rPr>
      </w:pPr>
    </w:p>
    <w:p w:rsidR="00865484" w:rsidRPr="007D52B5" w:rsidRDefault="00865484" w:rsidP="00865484">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En consecuencia, la fundamentación y motivación implica que en el acto de </w:t>
      </w:r>
      <w:r w:rsidRPr="007D52B5">
        <w:rPr>
          <w:rFonts w:ascii="Palatino Linotype" w:eastAsia="Palatino Linotype" w:hAnsi="Palatino Linotype" w:cs="Palatino Linotype"/>
        </w:rPr>
        <w:lastRenderedPageBreak/>
        <w:t>autoridad, además de contenerse los supuestos jurídicos aplicables, se expliquen claramente, por qué, a través de la utilización de la norma se emitió el acto. De este modo, la persona que se sienta afectada por el acto, puede impugnar la decisión, permitiéndole una real y auténtica defensa.</w:t>
      </w:r>
    </w:p>
    <w:p w:rsidR="00865484" w:rsidRPr="007D52B5" w:rsidRDefault="00865484" w:rsidP="00865484">
      <w:pPr>
        <w:spacing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Por lo expuesto, con fundamento en el artículo 186 fracción III de la Ley de Transparencia y Acceso a la Información Pública del Estado de México y Municipios, este Órgano Garante considera procedente ordenar la entrega de los </w:t>
      </w:r>
      <w:r w:rsidR="004853AB" w:rsidRPr="007D52B5">
        <w:rPr>
          <w:rFonts w:ascii="Palatino Linotype" w:eastAsia="Palatino Linotype" w:hAnsi="Palatino Linotype" w:cs="Palatino Linotype"/>
        </w:rPr>
        <w:t xml:space="preserve">dos últimos </w:t>
      </w:r>
      <w:r w:rsidRPr="007D52B5">
        <w:rPr>
          <w:rFonts w:ascii="Palatino Linotype" w:eastAsia="Palatino Linotype" w:hAnsi="Palatino Linotype" w:cs="Palatino Linotype"/>
        </w:rPr>
        <w:t>expedientes derivados del concept</w:t>
      </w:r>
      <w:r w:rsidR="004853AB" w:rsidRPr="007D52B5">
        <w:rPr>
          <w:rFonts w:ascii="Palatino Linotype" w:eastAsia="Palatino Linotype" w:hAnsi="Palatino Linotype" w:cs="Palatino Linotype"/>
        </w:rPr>
        <w:t xml:space="preserve">o de aportación de mejoras, </w:t>
      </w:r>
      <w:proofErr w:type="spellStart"/>
      <w:r w:rsidR="004853AB" w:rsidRPr="007D52B5">
        <w:rPr>
          <w:rFonts w:ascii="Palatino Linotype" w:eastAsia="Palatino Linotype" w:hAnsi="Palatino Linotype" w:cs="Palatino Linotype"/>
        </w:rPr>
        <w:t>aperturados</w:t>
      </w:r>
      <w:proofErr w:type="spellEnd"/>
      <w:r w:rsidRPr="007D52B5">
        <w:rPr>
          <w:rFonts w:ascii="Palatino Linotype" w:eastAsia="Palatino Linotype" w:hAnsi="Palatino Linotype" w:cs="Palatino Linotype"/>
        </w:rPr>
        <w:t xml:space="preserve"> por instituciones públicas, generados durante el periodo c</w:t>
      </w:r>
      <w:r w:rsidR="004853AB" w:rsidRPr="007D52B5">
        <w:rPr>
          <w:rFonts w:ascii="Palatino Linotype" w:eastAsia="Palatino Linotype" w:hAnsi="Palatino Linotype" w:cs="Palatino Linotype"/>
        </w:rPr>
        <w:t>omprendido del 01 de enero al 30 de junio</w:t>
      </w:r>
      <w:r w:rsidR="00172559" w:rsidRPr="007D52B5">
        <w:rPr>
          <w:rFonts w:ascii="Palatino Linotype" w:eastAsia="Palatino Linotype" w:hAnsi="Palatino Linotype" w:cs="Palatino Linotype"/>
        </w:rPr>
        <w:t xml:space="preserve"> de 2022</w:t>
      </w:r>
      <w:r w:rsidRPr="007D52B5">
        <w:rPr>
          <w:rFonts w:ascii="Palatino Linotype" w:eastAsia="Palatino Linotype" w:hAnsi="Palatino Linotype" w:cs="Palatino Linotype"/>
        </w:rPr>
        <w:t xml:space="preserve">, de ser procedente en versión pública, tal como se detallará en el considerando siguiente, no obstante, para el caso en el que derivado de una búsqueda exhaustiva y razonable dentro de los archivos del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 xml:space="preserve">no se localice la información requerida deberá manifestarse a la parte solicitante de manera fundada y motivada, toda vez que así se brinda certeza jurídica a los particulares de que el </w:t>
      </w:r>
      <w:r w:rsidR="004853AB" w:rsidRPr="007D52B5">
        <w:rPr>
          <w:rFonts w:ascii="Palatino Linotype" w:eastAsia="Palatino Linotype" w:hAnsi="Palatino Linotype" w:cs="Palatino Linotype"/>
          <w:b/>
        </w:rPr>
        <w:t>SUJETO OBLIGADO</w:t>
      </w:r>
      <w:r w:rsidR="004853AB" w:rsidRPr="007D52B5">
        <w:rPr>
          <w:rFonts w:ascii="Palatino Linotype" w:eastAsia="Palatino Linotype" w:hAnsi="Palatino Linotype" w:cs="Palatino Linotype"/>
        </w:rPr>
        <w:t xml:space="preserve"> </w:t>
      </w:r>
      <w:r w:rsidRPr="007D52B5">
        <w:rPr>
          <w:rFonts w:ascii="Palatino Linotype" w:eastAsia="Palatino Linotype" w:hAnsi="Palatino Linotype" w:cs="Palatino Linotype"/>
        </w:rPr>
        <w:t xml:space="preserve">realizó una búsqueda dentro de sus archivos. </w:t>
      </w:r>
    </w:p>
    <w:p w:rsidR="004853AB" w:rsidRPr="007D52B5" w:rsidRDefault="004853AB" w:rsidP="004853AB">
      <w:pPr>
        <w:spacing w:before="240" w:after="24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Quinto. Versión Pública. </w:t>
      </w:r>
      <w:r w:rsidRPr="007D52B5">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w:t>
      </w:r>
      <w:r w:rsidRPr="007D52B5">
        <w:rPr>
          <w:rFonts w:ascii="Palatino Linotype" w:eastAsia="Palatino Linotype" w:hAnsi="Palatino Linotype" w:cs="Palatino Linotype"/>
        </w:rPr>
        <w:lastRenderedPageBreak/>
        <w:t>cumplimiento a esta resolución, a fin de satisfacer el derecho de acceso a la información pública de la recurrente sin menoscabar el derecho a la protección de los datos personales de terceros.</w:t>
      </w:r>
    </w:p>
    <w:p w:rsidR="004853AB" w:rsidRPr="007D52B5" w:rsidRDefault="004853AB" w:rsidP="004853AB">
      <w:pPr>
        <w:spacing w:before="240" w:after="240" w:line="360" w:lineRule="auto"/>
        <w:ind w:right="162"/>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7D52B5">
        <w:rPr>
          <w:rFonts w:ascii="Palatino Linotype" w:eastAsia="Palatino Linotype" w:hAnsi="Palatino Linotype" w:cs="Palatino Linotype"/>
        </w:rPr>
        <w:t>fracción</w:t>
      </w:r>
      <w:proofErr w:type="gramEnd"/>
      <w:r w:rsidRPr="007D52B5">
        <w:rPr>
          <w:rFonts w:ascii="Palatino Linotype" w:eastAsia="Palatino Linotype" w:hAnsi="Palatino Linotype" w:cs="Palatino Linotype"/>
        </w:rPr>
        <w:t xml:space="preserve"> I de la Ley de Transparencia y Acceso a la Información Pública del Estado de México y Municipios que establecen:</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b/>
          <w:i/>
          <w:sz w:val="22"/>
          <w:szCs w:val="22"/>
        </w:rPr>
        <w:t>Artículo 3</w:t>
      </w:r>
      <w:r w:rsidRPr="007D52B5">
        <w:rPr>
          <w:rFonts w:ascii="Palatino Linotype" w:eastAsia="Palatino Linotype" w:hAnsi="Palatino Linotype" w:cs="Palatino Linotype"/>
          <w:i/>
          <w:sz w:val="22"/>
          <w:szCs w:val="22"/>
        </w:rPr>
        <w:t>. Para los efectos de la presente Ley se entenderá por:</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IX. Datos personales:</w:t>
      </w:r>
      <w:r w:rsidRPr="007D52B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XX. Información clasificada</w:t>
      </w:r>
      <w:r w:rsidRPr="007D52B5">
        <w:rPr>
          <w:rFonts w:ascii="Palatino Linotype" w:eastAsia="Palatino Linotype" w:hAnsi="Palatino Linotype" w:cs="Palatino Linotype"/>
          <w:i/>
          <w:sz w:val="22"/>
          <w:szCs w:val="22"/>
        </w:rPr>
        <w:t>: Aquella considerada por la presente Ley como reservada o confidencial;</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XXI. Información confidencial:</w:t>
      </w:r>
      <w:r w:rsidRPr="007D52B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XLV. Versión pública:</w:t>
      </w:r>
      <w:r w:rsidRPr="007D52B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 xml:space="preserve">Artículo 91. </w:t>
      </w:r>
      <w:r w:rsidRPr="007D52B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 xml:space="preserve">Artículo 132. </w:t>
      </w:r>
      <w:r w:rsidRPr="007D52B5">
        <w:rPr>
          <w:rFonts w:ascii="Palatino Linotype" w:eastAsia="Palatino Linotype" w:hAnsi="Palatino Linotype" w:cs="Palatino Linotype"/>
          <w:i/>
          <w:sz w:val="22"/>
          <w:szCs w:val="22"/>
        </w:rPr>
        <w:t>La clasificación de la información se llevará a cabo en el momento en que:</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w:t>
      </w:r>
      <w:r w:rsidRPr="007D52B5">
        <w:rPr>
          <w:rFonts w:ascii="Palatino Linotype" w:eastAsia="Palatino Linotype" w:hAnsi="Palatino Linotype" w:cs="Palatino Linotype"/>
          <w:i/>
          <w:sz w:val="22"/>
          <w:szCs w:val="22"/>
        </w:rPr>
        <w:t>. Se reciba una solicitud de acceso a la información;</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II</w:t>
      </w:r>
      <w:r w:rsidRPr="007D52B5">
        <w:rPr>
          <w:rFonts w:ascii="Palatino Linotype" w:eastAsia="Palatino Linotype" w:hAnsi="Palatino Linotype" w:cs="Palatino Linotype"/>
          <w:i/>
          <w:sz w:val="22"/>
          <w:szCs w:val="22"/>
        </w:rPr>
        <w:t>. Se determine mediante resolución de autoridad competente; o</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III</w:t>
      </w:r>
      <w:r w:rsidRPr="007D52B5">
        <w:rPr>
          <w:rFonts w:ascii="Palatino Linotype" w:eastAsia="Palatino Linotype" w:hAnsi="Palatino Linotype" w:cs="Palatino Linotype"/>
          <w:i/>
          <w:sz w:val="22"/>
          <w:szCs w:val="22"/>
        </w:rPr>
        <w:t>. Se generen versiones públicas para dar cumplimiento a las obligaciones de transparencia previstas en esta Ley.</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lastRenderedPageBreak/>
        <w:t>Artículo 143</w:t>
      </w:r>
      <w:r w:rsidRPr="007D52B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w:t>
      </w:r>
      <w:r w:rsidRPr="007D52B5">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7D52B5">
        <w:rPr>
          <w:rFonts w:ascii="Palatino Linotype" w:eastAsia="Palatino Linotype" w:hAnsi="Palatino Linotype" w:cs="Palatino Linotype"/>
          <w:i/>
          <w:sz w:val="22"/>
          <w:szCs w:val="22"/>
        </w:rPr>
        <w:t>jurídico</w:t>
      </w:r>
      <w:proofErr w:type="gramEnd"/>
      <w:r w:rsidRPr="007D52B5">
        <w:rPr>
          <w:rFonts w:ascii="Palatino Linotype" w:eastAsia="Palatino Linotype" w:hAnsi="Palatino Linotype" w:cs="Palatino Linotype"/>
          <w:i/>
          <w:sz w:val="22"/>
          <w:szCs w:val="22"/>
        </w:rPr>
        <w:t xml:space="preserve"> colectiva identificada o identificable;</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II.</w:t>
      </w:r>
      <w:r w:rsidRPr="007D52B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III</w:t>
      </w:r>
      <w:r w:rsidRPr="007D52B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4853AB" w:rsidRPr="007D52B5" w:rsidRDefault="004853AB" w:rsidP="004853AB">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853AB" w:rsidRPr="007D52B5" w:rsidRDefault="004853AB" w:rsidP="004853AB">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lastRenderedPageBreak/>
        <w:t>“</w:t>
      </w:r>
      <w:r w:rsidRPr="007D52B5">
        <w:rPr>
          <w:rFonts w:ascii="Palatino Linotype" w:eastAsia="Palatino Linotype" w:hAnsi="Palatino Linotype" w:cs="Palatino Linotype"/>
          <w:b/>
          <w:i/>
          <w:sz w:val="22"/>
          <w:szCs w:val="22"/>
        </w:rPr>
        <w:t>Quincuagésimo sexto</w:t>
      </w:r>
      <w:r w:rsidRPr="007D52B5">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Quincuagésimo séptimo</w:t>
      </w:r>
      <w:r w:rsidRPr="007D52B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w:t>
      </w:r>
      <w:r w:rsidRPr="007D52B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II.</w:t>
      </w:r>
      <w:r w:rsidRPr="007D52B5">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4853AB" w:rsidRPr="007D52B5" w:rsidRDefault="004853AB" w:rsidP="004853AB">
      <w:pPr>
        <w:spacing w:before="120" w:after="120"/>
        <w:ind w:left="993"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III.</w:t>
      </w:r>
      <w:r w:rsidRPr="007D52B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4853AB" w:rsidRPr="007D52B5" w:rsidRDefault="004853AB" w:rsidP="004853AB">
      <w:pPr>
        <w:spacing w:before="120" w:after="120"/>
        <w:ind w:left="851" w:right="902"/>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b/>
          <w:i/>
          <w:sz w:val="22"/>
          <w:szCs w:val="22"/>
        </w:rPr>
        <w:t>Quincuagésimo octavo</w:t>
      </w:r>
      <w:r w:rsidRPr="007D52B5">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4853AB" w:rsidRPr="007D52B5" w:rsidRDefault="004853AB" w:rsidP="004853AB">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853AB" w:rsidRPr="007D52B5" w:rsidRDefault="004853AB" w:rsidP="004853AB">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7D52B5" w:rsidRPr="007D52B5" w:rsidTr="00CA3092">
        <w:tc>
          <w:tcPr>
            <w:tcW w:w="4253" w:type="dxa"/>
            <w:gridSpan w:val="2"/>
            <w:tcBorders>
              <w:top w:val="nil"/>
              <w:left w:val="nil"/>
              <w:right w:val="nil"/>
            </w:tcBorders>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Total</w:t>
            </w:r>
          </w:p>
        </w:tc>
      </w:tr>
      <w:tr w:rsidR="007D52B5" w:rsidRPr="007D52B5" w:rsidTr="00CA3092">
        <w:tc>
          <w:tcPr>
            <w:tcW w:w="1134" w:type="dxa"/>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Concepto</w:t>
            </w:r>
          </w:p>
        </w:tc>
        <w:tc>
          <w:tcPr>
            <w:tcW w:w="3119" w:type="dxa"/>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Dónde</w:t>
            </w:r>
          </w:p>
        </w:tc>
        <w:tc>
          <w:tcPr>
            <w:tcW w:w="1129" w:type="dxa"/>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Concepto</w:t>
            </w:r>
          </w:p>
        </w:tc>
        <w:tc>
          <w:tcPr>
            <w:tcW w:w="3446" w:type="dxa"/>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Dónde</w:t>
            </w:r>
          </w:p>
        </w:tc>
      </w:tr>
      <w:tr w:rsidR="007D52B5" w:rsidRPr="007D52B5" w:rsidTr="00CA3092">
        <w:tc>
          <w:tcPr>
            <w:tcW w:w="8828" w:type="dxa"/>
            <w:gridSpan w:val="4"/>
          </w:tcPr>
          <w:p w:rsidR="004853AB" w:rsidRPr="007D52B5" w:rsidRDefault="004853AB" w:rsidP="00CA3092">
            <w:pPr>
              <w:jc w:val="center"/>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Sello oficial o logotipo del sujeto obligado</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Fecha de clasificación</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Fecha de clasificación</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Área</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señalará el nombre del área del cual es titular quien clasifica.</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Área</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señalará el nombre del área de la cual es el titular quien clasifica.</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Información reservada</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7D52B5">
              <w:rPr>
                <w:rFonts w:ascii="Palatino Linotype" w:eastAsia="Palatino Linotype" w:hAnsi="Palatino Linotype" w:cs="Palatino Linotype"/>
                <w:sz w:val="12"/>
                <w:szCs w:val="12"/>
              </w:rPr>
              <w:t>anotarán</w:t>
            </w:r>
            <w:proofErr w:type="gramEnd"/>
            <w:r w:rsidRPr="007D52B5">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Reservado</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Leyenda de información RESERVADA.</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Fundamento legal</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Periodo de reserva</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Ampliación del periodo de reserva</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Fundamento legal</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Confidencial</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Ampliación del periodo de reserva</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Fundamento legal</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Confidencial</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Leyenda de información CONFIDENCIAL.</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Rúbrica del titular del área</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Rúbrica autógrafa de quien clasifica.</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Fundamento legal</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Fecha de desclasificación</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anotará la fecha en que se desclasifica el documento.</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Rúbrica del titular del área</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Rúbrica autógrafa de quien clasifica.</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Rúbrica y cargo del servidor público</w:t>
            </w: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Rúbrica autógrafa de quien desclasifica.</w:t>
            </w: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Fecha de desclasificación</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Se anotará la fecha en que se desclasifica.</w:t>
            </w:r>
          </w:p>
        </w:tc>
      </w:tr>
      <w:tr w:rsidR="007D52B5"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Partes o secciones reservadas o confidenciales</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 xml:space="preserve">En caso que una vez desclasificado el expediente, </w:t>
            </w:r>
            <w:proofErr w:type="spellStart"/>
            <w:r w:rsidRPr="007D52B5">
              <w:rPr>
                <w:rFonts w:ascii="Palatino Linotype" w:eastAsia="Palatino Linotype" w:hAnsi="Palatino Linotype" w:cs="Palatino Linotype"/>
                <w:sz w:val="12"/>
                <w:szCs w:val="12"/>
              </w:rPr>
              <w:t>subsistanpartes</w:t>
            </w:r>
            <w:proofErr w:type="spellEnd"/>
            <w:r w:rsidRPr="007D52B5">
              <w:rPr>
                <w:rFonts w:ascii="Palatino Linotype" w:eastAsia="Palatino Linotype" w:hAnsi="Palatino Linotype" w:cs="Palatino Linotype"/>
                <w:sz w:val="12"/>
                <w:szCs w:val="12"/>
              </w:rPr>
              <w:t xml:space="preserve"> o secciones del mismo reservadas o confidenciales, se señalará este hecho.</w:t>
            </w:r>
          </w:p>
        </w:tc>
      </w:tr>
      <w:tr w:rsidR="004853AB" w:rsidRPr="007D52B5" w:rsidTr="00CA3092">
        <w:tc>
          <w:tcPr>
            <w:tcW w:w="1134" w:type="dxa"/>
          </w:tcPr>
          <w:p w:rsidR="004853AB" w:rsidRPr="007D52B5" w:rsidRDefault="004853AB" w:rsidP="00CA3092">
            <w:pPr>
              <w:jc w:val="both"/>
              <w:rPr>
                <w:rFonts w:ascii="Palatino Linotype" w:eastAsia="Palatino Linotype" w:hAnsi="Palatino Linotype" w:cs="Palatino Linotype"/>
                <w:b/>
                <w:sz w:val="12"/>
                <w:szCs w:val="12"/>
              </w:rPr>
            </w:pPr>
          </w:p>
        </w:tc>
        <w:tc>
          <w:tcPr>
            <w:tcW w:w="3119" w:type="dxa"/>
          </w:tcPr>
          <w:p w:rsidR="004853AB" w:rsidRPr="007D52B5" w:rsidRDefault="004853AB" w:rsidP="00CA3092">
            <w:pPr>
              <w:jc w:val="both"/>
              <w:rPr>
                <w:rFonts w:ascii="Palatino Linotype" w:eastAsia="Palatino Linotype" w:hAnsi="Palatino Linotype" w:cs="Palatino Linotype"/>
                <w:sz w:val="12"/>
                <w:szCs w:val="12"/>
              </w:rPr>
            </w:pPr>
          </w:p>
        </w:tc>
        <w:tc>
          <w:tcPr>
            <w:tcW w:w="1129" w:type="dxa"/>
          </w:tcPr>
          <w:p w:rsidR="004853AB" w:rsidRPr="007D52B5" w:rsidRDefault="004853AB" w:rsidP="00CA3092">
            <w:pPr>
              <w:jc w:val="both"/>
              <w:rPr>
                <w:rFonts w:ascii="Palatino Linotype" w:eastAsia="Palatino Linotype" w:hAnsi="Palatino Linotype" w:cs="Palatino Linotype"/>
                <w:b/>
                <w:sz w:val="12"/>
                <w:szCs w:val="12"/>
              </w:rPr>
            </w:pPr>
            <w:r w:rsidRPr="007D52B5">
              <w:rPr>
                <w:rFonts w:ascii="Palatino Linotype" w:eastAsia="Palatino Linotype" w:hAnsi="Palatino Linotype" w:cs="Palatino Linotype"/>
                <w:b/>
                <w:sz w:val="12"/>
                <w:szCs w:val="12"/>
              </w:rPr>
              <w:t>Rúbrica y cargo del servidor público</w:t>
            </w:r>
          </w:p>
        </w:tc>
        <w:tc>
          <w:tcPr>
            <w:tcW w:w="3446" w:type="dxa"/>
          </w:tcPr>
          <w:p w:rsidR="004853AB" w:rsidRPr="007D52B5" w:rsidRDefault="004853AB" w:rsidP="00CA3092">
            <w:pPr>
              <w:jc w:val="both"/>
              <w:rPr>
                <w:rFonts w:ascii="Palatino Linotype" w:eastAsia="Palatino Linotype" w:hAnsi="Palatino Linotype" w:cs="Palatino Linotype"/>
                <w:sz w:val="12"/>
                <w:szCs w:val="12"/>
              </w:rPr>
            </w:pPr>
            <w:r w:rsidRPr="007D52B5">
              <w:rPr>
                <w:rFonts w:ascii="Palatino Linotype" w:eastAsia="Palatino Linotype" w:hAnsi="Palatino Linotype" w:cs="Palatino Linotype"/>
                <w:sz w:val="12"/>
                <w:szCs w:val="12"/>
              </w:rPr>
              <w:t>Rúbrica autógrafa de quien desclasifica.</w:t>
            </w:r>
          </w:p>
        </w:tc>
      </w:tr>
    </w:tbl>
    <w:p w:rsidR="004853AB" w:rsidRPr="007D52B5" w:rsidRDefault="004853AB" w:rsidP="004853AB">
      <w:pPr>
        <w:spacing w:before="240" w:after="240" w:line="360" w:lineRule="auto"/>
        <w:jc w:val="both"/>
        <w:rPr>
          <w:rFonts w:ascii="Palatino Linotype" w:eastAsia="Palatino Linotype" w:hAnsi="Palatino Linotype" w:cs="Palatino Linotype"/>
        </w:rPr>
      </w:pPr>
    </w:p>
    <w:p w:rsidR="00264E47" w:rsidRPr="007D52B5" w:rsidRDefault="003233E0">
      <w:pPr>
        <w:spacing w:before="240" w:after="240"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rPr>
        <w:t xml:space="preserve">Así, con fundamento en lo prescrito en los artículos 5 párrafos vigésimo, vigésimo primero y vigésimo segundo de la Constitución Política del Estado Libre y Soberano de México; 2, fracción II; 29, 36 fracciones I y II; 176, 178, 181, 185 y 186 fracción II de </w:t>
      </w:r>
      <w:r w:rsidRPr="007D52B5">
        <w:rPr>
          <w:rFonts w:ascii="Palatino Linotype" w:eastAsia="Palatino Linotype" w:hAnsi="Palatino Linotype" w:cs="Palatino Linotype"/>
        </w:rPr>
        <w:lastRenderedPageBreak/>
        <w:t>la Ley de Transparencia y Acceso a la Información Pública del Estado de México y Municipios, este Pleno:</w:t>
      </w:r>
    </w:p>
    <w:p w:rsidR="00264E47" w:rsidRPr="007D52B5" w:rsidRDefault="003233E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D52B5">
        <w:rPr>
          <w:rFonts w:ascii="Palatino Linotype" w:eastAsia="Palatino Linotype" w:hAnsi="Palatino Linotype" w:cs="Palatino Linotype"/>
          <w:b/>
          <w:sz w:val="22"/>
          <w:szCs w:val="22"/>
        </w:rPr>
        <w:t>R E S U E L V E:</w:t>
      </w: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Primero. </w:t>
      </w:r>
      <w:r w:rsidRPr="007D52B5">
        <w:rPr>
          <w:rFonts w:ascii="Palatino Linotype" w:eastAsia="Palatino Linotype" w:hAnsi="Palatino Linotype" w:cs="Palatino Linotype"/>
        </w:rPr>
        <w:t>Resulta</w:t>
      </w:r>
      <w:r w:rsidR="00060617" w:rsidRPr="007D52B5">
        <w:rPr>
          <w:rFonts w:ascii="Palatino Linotype" w:eastAsia="Palatino Linotype" w:hAnsi="Palatino Linotype" w:cs="Palatino Linotype"/>
          <w:b/>
        </w:rPr>
        <w:t xml:space="preserve"> </w:t>
      </w:r>
      <w:r w:rsidRPr="007D52B5">
        <w:rPr>
          <w:rFonts w:ascii="Palatino Linotype" w:eastAsia="Palatino Linotype" w:hAnsi="Palatino Linotype" w:cs="Palatino Linotype"/>
          <w:b/>
        </w:rPr>
        <w:t>FUNDADO</w:t>
      </w:r>
      <w:r w:rsidRPr="007D52B5">
        <w:rPr>
          <w:rFonts w:ascii="Palatino Linotype" w:eastAsia="Palatino Linotype" w:hAnsi="Palatino Linotype" w:cs="Palatino Linotype"/>
        </w:rPr>
        <w:t xml:space="preserve"> el motivo de inconformidad hecho valer por el </w:t>
      </w:r>
      <w:r w:rsidRPr="007D52B5">
        <w:rPr>
          <w:rFonts w:ascii="Palatino Linotype" w:eastAsia="Palatino Linotype" w:hAnsi="Palatino Linotype" w:cs="Palatino Linotype"/>
          <w:b/>
        </w:rPr>
        <w:t>RECURRENTE</w:t>
      </w:r>
      <w:r w:rsidRPr="007D52B5">
        <w:rPr>
          <w:rFonts w:ascii="Palatino Linotype" w:eastAsia="Palatino Linotype" w:hAnsi="Palatino Linotype" w:cs="Palatino Linotype"/>
        </w:rPr>
        <w:t xml:space="preserve"> en el Recurso de Revisión </w:t>
      </w:r>
      <w:r w:rsidR="004853AB" w:rsidRPr="007D52B5">
        <w:rPr>
          <w:rFonts w:ascii="Palatino Linotype" w:eastAsia="Palatino Linotype" w:hAnsi="Palatino Linotype" w:cs="Palatino Linotype"/>
          <w:b/>
        </w:rPr>
        <w:t>13554</w:t>
      </w:r>
      <w:r w:rsidRPr="007D52B5">
        <w:rPr>
          <w:rFonts w:ascii="Palatino Linotype" w:eastAsia="Palatino Linotype" w:hAnsi="Palatino Linotype" w:cs="Palatino Linotype"/>
          <w:b/>
        </w:rPr>
        <w:t xml:space="preserve">/INFOEM/IP/RR/2022, </w:t>
      </w:r>
      <w:r w:rsidRPr="007D52B5">
        <w:rPr>
          <w:rFonts w:ascii="Palatino Linotype" w:eastAsia="Palatino Linotype" w:hAnsi="Palatino Linotype" w:cs="Palatino Linotype"/>
        </w:rPr>
        <w:t xml:space="preserve">por lo que, en términos del considerando </w:t>
      </w:r>
      <w:r w:rsidRPr="007D52B5">
        <w:rPr>
          <w:rFonts w:ascii="Palatino Linotype" w:eastAsia="Palatino Linotype" w:hAnsi="Palatino Linotype" w:cs="Palatino Linotype"/>
          <w:b/>
        </w:rPr>
        <w:t xml:space="preserve">Cuarto </w:t>
      </w:r>
      <w:r w:rsidRPr="007D52B5">
        <w:rPr>
          <w:rFonts w:ascii="Palatino Linotype" w:eastAsia="Palatino Linotype" w:hAnsi="Palatino Linotype" w:cs="Palatino Linotype"/>
        </w:rPr>
        <w:t xml:space="preserve">de esta resolución, se </w:t>
      </w:r>
      <w:r w:rsidR="00306997" w:rsidRPr="007D52B5">
        <w:rPr>
          <w:rFonts w:ascii="Palatino Linotype" w:eastAsia="Palatino Linotype" w:hAnsi="Palatino Linotype" w:cs="Palatino Linotype"/>
          <w:b/>
        </w:rPr>
        <w:t>REVOCA</w:t>
      </w:r>
      <w:r w:rsidRPr="007D52B5">
        <w:rPr>
          <w:rFonts w:ascii="Palatino Linotype" w:eastAsia="Palatino Linotype" w:hAnsi="Palatino Linotype" w:cs="Palatino Linotype"/>
          <w:b/>
        </w:rPr>
        <w:t xml:space="preserve"> </w:t>
      </w:r>
      <w:r w:rsidRPr="007D52B5">
        <w:rPr>
          <w:rFonts w:ascii="Palatino Linotype" w:eastAsia="Palatino Linotype" w:hAnsi="Palatino Linotype" w:cs="Palatino Linotype"/>
        </w:rPr>
        <w:t xml:space="preserve">la respuesta emitida por 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w:t>
      </w:r>
    </w:p>
    <w:p w:rsidR="00264E47" w:rsidRPr="007D52B5" w:rsidRDefault="00264E47">
      <w:pPr>
        <w:spacing w:line="360" w:lineRule="auto"/>
        <w:ind w:right="49"/>
        <w:jc w:val="both"/>
        <w:rPr>
          <w:rFonts w:ascii="Palatino Linotype" w:eastAsia="Palatino Linotype" w:hAnsi="Palatino Linotype" w:cs="Palatino Linotype"/>
          <w:b/>
        </w:rPr>
      </w:pPr>
    </w:p>
    <w:p w:rsidR="00264E47" w:rsidRPr="007D52B5" w:rsidRDefault="003233E0">
      <w:pPr>
        <w:spacing w:line="360" w:lineRule="auto"/>
        <w:ind w:right="49"/>
        <w:jc w:val="both"/>
        <w:rPr>
          <w:rFonts w:ascii="Palatino Linotype" w:eastAsia="Palatino Linotype" w:hAnsi="Palatino Linotype" w:cs="Palatino Linotype"/>
        </w:rPr>
      </w:pPr>
      <w:r w:rsidRPr="007D52B5">
        <w:rPr>
          <w:rFonts w:ascii="Palatino Linotype" w:eastAsia="Palatino Linotype" w:hAnsi="Palatino Linotype" w:cs="Palatino Linotype"/>
          <w:b/>
        </w:rPr>
        <w:t xml:space="preserve">Segundo. </w:t>
      </w:r>
      <w:r w:rsidRPr="007D52B5">
        <w:rPr>
          <w:rFonts w:ascii="Palatino Linotype" w:eastAsia="Palatino Linotype" w:hAnsi="Palatino Linotype" w:cs="Palatino Linotype"/>
        </w:rPr>
        <w:t>Se</w:t>
      </w:r>
      <w:r w:rsidRPr="007D52B5">
        <w:rPr>
          <w:rFonts w:ascii="Palatino Linotype" w:eastAsia="Palatino Linotype" w:hAnsi="Palatino Linotype" w:cs="Palatino Linotype"/>
          <w:b/>
        </w:rPr>
        <w:t xml:space="preserve"> ORDENA </w:t>
      </w:r>
      <w:r w:rsidRPr="007D52B5">
        <w:rPr>
          <w:rFonts w:ascii="Palatino Linotype" w:eastAsia="Palatino Linotype" w:hAnsi="Palatino Linotype" w:cs="Palatino Linotype"/>
        </w:rPr>
        <w:t xml:space="preserve">al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a que,</w:t>
      </w:r>
      <w:r w:rsidRPr="007D52B5">
        <w:rPr>
          <w:rFonts w:ascii="Palatino Linotype" w:eastAsia="Palatino Linotype" w:hAnsi="Palatino Linotype" w:cs="Palatino Linotype"/>
          <w:b/>
        </w:rPr>
        <w:t xml:space="preserve"> </w:t>
      </w:r>
      <w:r w:rsidRPr="007D52B5">
        <w:rPr>
          <w:rFonts w:ascii="Palatino Linotype" w:eastAsia="Palatino Linotype" w:hAnsi="Palatino Linotype" w:cs="Palatino Linotype"/>
        </w:rPr>
        <w:t>en términos del Considerando Cuarto</w:t>
      </w:r>
      <w:r w:rsidR="00C63898" w:rsidRPr="007D52B5">
        <w:rPr>
          <w:rFonts w:ascii="Palatino Linotype" w:eastAsia="Palatino Linotype" w:hAnsi="Palatino Linotype" w:cs="Palatino Linotype"/>
        </w:rPr>
        <w:t xml:space="preserve"> y Quinto</w:t>
      </w:r>
      <w:r w:rsidRPr="007D52B5">
        <w:rPr>
          <w:rFonts w:ascii="Palatino Linotype" w:eastAsia="Palatino Linotype" w:hAnsi="Palatino Linotype" w:cs="Palatino Linotype"/>
        </w:rPr>
        <w:t xml:space="preserve">, haga entrega vía Sistema de Acceso a la Información Mexiquense (SAIMEX), </w:t>
      </w:r>
      <w:r w:rsidR="00C63898" w:rsidRPr="007D52B5">
        <w:rPr>
          <w:rFonts w:ascii="Palatino Linotype" w:eastAsia="Palatino Linotype" w:hAnsi="Palatino Linotype" w:cs="Palatino Linotype"/>
        </w:rPr>
        <w:t xml:space="preserve">previa búsqueda exhaustiva y razonable, en versión pública de ser procedente </w:t>
      </w:r>
      <w:r w:rsidRPr="007D52B5">
        <w:rPr>
          <w:rFonts w:ascii="Palatino Linotype" w:eastAsia="Palatino Linotype" w:hAnsi="Palatino Linotype" w:cs="Palatino Linotype"/>
        </w:rPr>
        <w:t xml:space="preserve">del documento </w:t>
      </w:r>
      <w:r w:rsidR="00C63898" w:rsidRPr="007D52B5">
        <w:rPr>
          <w:rFonts w:ascii="Palatino Linotype" w:eastAsia="Palatino Linotype" w:hAnsi="Palatino Linotype" w:cs="Palatino Linotype"/>
        </w:rPr>
        <w:t xml:space="preserve">o documentos </w:t>
      </w:r>
      <w:r w:rsidRPr="007D52B5">
        <w:rPr>
          <w:rFonts w:ascii="Palatino Linotype" w:eastAsia="Palatino Linotype" w:hAnsi="Palatino Linotype" w:cs="Palatino Linotype"/>
        </w:rPr>
        <w:t>en donde conste lo siguiente:</w:t>
      </w:r>
    </w:p>
    <w:p w:rsidR="00BC3D2C" w:rsidRPr="007D52B5" w:rsidRDefault="00BC3D2C">
      <w:pPr>
        <w:spacing w:line="360" w:lineRule="auto"/>
        <w:ind w:right="49"/>
        <w:jc w:val="both"/>
        <w:rPr>
          <w:rFonts w:ascii="Palatino Linotype" w:eastAsia="Palatino Linotype" w:hAnsi="Palatino Linotype" w:cs="Palatino Linotype"/>
        </w:rPr>
      </w:pPr>
    </w:p>
    <w:p w:rsidR="00756DB3" w:rsidRPr="007D52B5" w:rsidRDefault="004853AB" w:rsidP="00306997">
      <w:pPr>
        <w:pStyle w:val="Prrafodelista"/>
        <w:numPr>
          <w:ilvl w:val="0"/>
          <w:numId w:val="22"/>
        </w:numPr>
        <w:spacing w:line="360" w:lineRule="auto"/>
        <w:ind w:right="49"/>
        <w:jc w:val="both"/>
        <w:rPr>
          <w:rFonts w:ascii="Palatino Linotype" w:eastAsia="Palatino Linotype" w:hAnsi="Palatino Linotype" w:cs="Palatino Linotype"/>
          <w:sz w:val="24"/>
          <w:szCs w:val="24"/>
        </w:rPr>
      </w:pPr>
      <w:r w:rsidRPr="007D52B5">
        <w:rPr>
          <w:rFonts w:ascii="Palatino Linotype" w:eastAsia="Palatino Linotype" w:hAnsi="Palatino Linotype" w:cs="Palatino Linotype"/>
          <w:sz w:val="24"/>
          <w:szCs w:val="24"/>
        </w:rPr>
        <w:t xml:space="preserve">Los dos últimos expedientes </w:t>
      </w:r>
      <w:r w:rsidR="00306997" w:rsidRPr="007D52B5">
        <w:rPr>
          <w:rFonts w:ascii="Palatino Linotype" w:eastAsia="Palatino Linotype" w:hAnsi="Palatino Linotype" w:cs="Palatino Linotype"/>
          <w:sz w:val="24"/>
          <w:szCs w:val="24"/>
        </w:rPr>
        <w:t>generados con motivo de la expedición</w:t>
      </w:r>
      <w:r w:rsidR="00BC3D2C" w:rsidRPr="007D52B5">
        <w:rPr>
          <w:rFonts w:ascii="Palatino Linotype" w:eastAsia="Palatino Linotype" w:hAnsi="Palatino Linotype" w:cs="Palatino Linotype"/>
          <w:sz w:val="24"/>
          <w:szCs w:val="24"/>
        </w:rPr>
        <w:t xml:space="preserve"> certificados </w:t>
      </w:r>
      <w:r w:rsidRPr="007D52B5">
        <w:rPr>
          <w:rFonts w:ascii="Palatino Linotype" w:eastAsia="Palatino Linotype" w:hAnsi="Palatino Linotype" w:cs="Palatino Linotype"/>
          <w:sz w:val="24"/>
          <w:szCs w:val="24"/>
        </w:rPr>
        <w:t>de aportación de mejoras,</w:t>
      </w:r>
      <w:r w:rsidR="00BC3D2C" w:rsidRPr="007D52B5">
        <w:rPr>
          <w:rFonts w:ascii="Palatino Linotype" w:eastAsia="Palatino Linotype" w:hAnsi="Palatino Linotype" w:cs="Palatino Linotype"/>
          <w:sz w:val="24"/>
          <w:szCs w:val="24"/>
        </w:rPr>
        <w:t xml:space="preserve"> </w:t>
      </w:r>
      <w:r w:rsidR="00306997" w:rsidRPr="007D52B5">
        <w:rPr>
          <w:rFonts w:ascii="Palatino Linotype" w:eastAsia="Palatino Linotype" w:hAnsi="Palatino Linotype" w:cs="Palatino Linotype"/>
          <w:sz w:val="24"/>
          <w:szCs w:val="24"/>
        </w:rPr>
        <w:t xml:space="preserve">solicitados por Instituciones Públicas </w:t>
      </w:r>
      <w:r w:rsidRPr="007D52B5">
        <w:rPr>
          <w:rFonts w:ascii="Palatino Linotype" w:eastAsia="Palatino Linotype" w:hAnsi="Palatino Linotype" w:cs="Palatino Linotype"/>
          <w:sz w:val="24"/>
          <w:szCs w:val="24"/>
        </w:rPr>
        <w:t>durante el periodo comprendido del 01</w:t>
      </w:r>
      <w:r w:rsidR="00172559" w:rsidRPr="007D52B5">
        <w:rPr>
          <w:rFonts w:ascii="Palatino Linotype" w:eastAsia="Palatino Linotype" w:hAnsi="Palatino Linotype" w:cs="Palatino Linotype"/>
          <w:sz w:val="24"/>
          <w:szCs w:val="24"/>
        </w:rPr>
        <w:t xml:space="preserve"> de enero al 30 de junio de 2022</w:t>
      </w:r>
      <w:r w:rsidR="00756DB3" w:rsidRPr="007D52B5">
        <w:rPr>
          <w:rFonts w:ascii="Palatino Linotype" w:eastAsia="Palatino Linotype" w:hAnsi="Palatino Linotype" w:cs="Palatino Linotype"/>
          <w:sz w:val="24"/>
          <w:szCs w:val="24"/>
        </w:rPr>
        <w:t>.</w:t>
      </w:r>
      <w:r w:rsidR="00CA3092" w:rsidRPr="007D52B5">
        <w:rPr>
          <w:rFonts w:ascii="Palatino Linotype" w:eastAsia="Palatino Linotype" w:hAnsi="Palatino Linotype" w:cs="Palatino Linotype"/>
          <w:sz w:val="24"/>
          <w:szCs w:val="24"/>
        </w:rPr>
        <w:t xml:space="preserve"> </w:t>
      </w:r>
    </w:p>
    <w:p w:rsidR="003B0CFB" w:rsidRPr="007D52B5" w:rsidRDefault="003B0CFB" w:rsidP="003B0CFB">
      <w:p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Para el caso de las versiones públicas, se deberá entregar el Acuerdo del Comité de Transparencia mediante el cual se funde y motive la eliminación de los datos y documentos clasificados en su totalidad como confidencial, en términos de los artículos 49, fracción VIII, 143, fracción I y 149 de la Ley de Transparencia y Acceso a la Información Pública del Estado de México y Municipios.</w:t>
      </w:r>
    </w:p>
    <w:p w:rsidR="00BC3D2C" w:rsidRPr="007D52B5" w:rsidRDefault="00306997" w:rsidP="003B0CFB">
      <w:pPr>
        <w:pBdr>
          <w:top w:val="nil"/>
          <w:left w:val="nil"/>
          <w:bottom w:val="nil"/>
          <w:right w:val="nil"/>
          <w:between w:val="nil"/>
        </w:pBdr>
        <w:spacing w:before="240" w:after="240" w:line="360" w:lineRule="auto"/>
        <w:ind w:left="357" w:right="51"/>
        <w:contextualSpacing/>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sz w:val="22"/>
          <w:szCs w:val="22"/>
          <w:lang w:eastAsia="en-US"/>
        </w:rPr>
        <w:t>2.-</w:t>
      </w:r>
      <w:r w:rsidRPr="007D52B5">
        <w:rPr>
          <w:rFonts w:ascii="Palatino Linotype" w:eastAsia="Palatino Linotype" w:hAnsi="Palatino Linotype" w:cs="Palatino Linotype"/>
          <w:i/>
          <w:sz w:val="22"/>
          <w:szCs w:val="22"/>
        </w:rPr>
        <w:t xml:space="preserve"> </w:t>
      </w:r>
      <w:r w:rsidRPr="007D52B5">
        <w:rPr>
          <w:rFonts w:ascii="Palatino Linotype" w:eastAsia="Palatino Linotype" w:hAnsi="Palatino Linotype" w:cs="Palatino Linotype"/>
          <w:lang w:eastAsia="en-US"/>
        </w:rPr>
        <w:t xml:space="preserve">El </w:t>
      </w:r>
      <w:r w:rsidR="008D0F25" w:rsidRPr="007D52B5">
        <w:rPr>
          <w:rFonts w:ascii="Palatino Linotype" w:eastAsia="Palatino Linotype" w:hAnsi="Palatino Linotype" w:cs="Palatino Linotype"/>
          <w:lang w:eastAsia="en-US"/>
        </w:rPr>
        <w:t>Acuerdo que emi</w:t>
      </w:r>
      <w:r w:rsidRPr="007D52B5">
        <w:rPr>
          <w:rFonts w:ascii="Palatino Linotype" w:eastAsia="Palatino Linotype" w:hAnsi="Palatino Linotype" w:cs="Palatino Linotype"/>
          <w:lang w:eastAsia="en-US"/>
        </w:rPr>
        <w:t xml:space="preserve">ta el Comité de Transparencia del Ayuntamiento de Tultitlan </w:t>
      </w:r>
      <w:r w:rsidR="00A94DAC" w:rsidRPr="007D52B5">
        <w:rPr>
          <w:rFonts w:ascii="Palatino Linotype" w:eastAsia="Palatino Linotype" w:hAnsi="Palatino Linotype" w:cs="Palatino Linotype"/>
          <w:lang w:eastAsia="en-US"/>
        </w:rPr>
        <w:t>por medio del cual clasifiqué</w:t>
      </w:r>
      <w:r w:rsidR="00BC3D2C" w:rsidRPr="007D52B5">
        <w:rPr>
          <w:rFonts w:ascii="Palatino Linotype" w:eastAsia="Palatino Linotype" w:hAnsi="Palatino Linotype" w:cs="Palatino Linotype"/>
          <w:lang w:eastAsia="en-US"/>
        </w:rPr>
        <w:t xml:space="preserve"> como información confidencial </w:t>
      </w:r>
      <w:r w:rsidR="00A94DAC" w:rsidRPr="007D52B5">
        <w:rPr>
          <w:rFonts w:ascii="Palatino Linotype" w:eastAsia="Palatino Linotype" w:hAnsi="Palatino Linotype" w:cs="Palatino Linotype"/>
        </w:rPr>
        <w:t xml:space="preserve">los dos últimos expedientes generados con motivo de la expedición certificados de </w:t>
      </w:r>
      <w:r w:rsidR="00A94DAC" w:rsidRPr="007D52B5">
        <w:rPr>
          <w:rFonts w:ascii="Palatino Linotype" w:eastAsia="Palatino Linotype" w:hAnsi="Palatino Linotype" w:cs="Palatino Linotype"/>
        </w:rPr>
        <w:lastRenderedPageBreak/>
        <w:t>aportación de mejoras, durante el periodo comprendido del 01 de enero al 30 de junio de 202</w:t>
      </w:r>
      <w:r w:rsidR="00A363D0" w:rsidRPr="007D52B5">
        <w:rPr>
          <w:rFonts w:ascii="Palatino Linotype" w:eastAsia="Palatino Linotype" w:hAnsi="Palatino Linotype" w:cs="Palatino Linotype"/>
        </w:rPr>
        <w:t>2</w:t>
      </w:r>
      <w:r w:rsidR="00A94DAC" w:rsidRPr="007D52B5">
        <w:rPr>
          <w:rFonts w:ascii="Palatino Linotype" w:eastAsia="Palatino Linotype" w:hAnsi="Palatino Linotype" w:cs="Palatino Linotype"/>
        </w:rPr>
        <w:t>, que hayan sido solicitados por particular</w:t>
      </w:r>
      <w:r w:rsidR="00762985" w:rsidRPr="007D52B5">
        <w:rPr>
          <w:rFonts w:ascii="Palatino Linotype" w:eastAsia="Palatino Linotype" w:hAnsi="Palatino Linotype" w:cs="Palatino Linotype"/>
        </w:rPr>
        <w:t>es</w:t>
      </w:r>
      <w:r w:rsidR="00A94DAC" w:rsidRPr="007D52B5">
        <w:rPr>
          <w:rFonts w:ascii="Palatino Linotype" w:eastAsia="Palatino Linotype" w:hAnsi="Palatino Linotype" w:cs="Palatino Linotype"/>
        </w:rPr>
        <w:t xml:space="preserve"> y/o </w:t>
      </w:r>
      <w:r w:rsidR="00762985" w:rsidRPr="007D52B5">
        <w:rPr>
          <w:rFonts w:ascii="Palatino Linotype" w:eastAsia="Palatino Linotype" w:hAnsi="Palatino Linotype" w:cs="Palatino Linotype"/>
        </w:rPr>
        <w:t xml:space="preserve">personas </w:t>
      </w:r>
      <w:r w:rsidR="00A94DAC" w:rsidRPr="007D52B5">
        <w:rPr>
          <w:rFonts w:ascii="Palatino Linotype" w:eastAsia="Palatino Linotype" w:hAnsi="Palatino Linotype" w:cs="Palatino Linotype"/>
        </w:rPr>
        <w:t xml:space="preserve">jurídico colectivas, y </w:t>
      </w:r>
      <w:r w:rsidR="00BC3D2C" w:rsidRPr="007D52B5">
        <w:rPr>
          <w:rFonts w:ascii="Palatino Linotype" w:eastAsia="Palatino Linotype" w:hAnsi="Palatino Linotype" w:cs="Palatino Linotype"/>
        </w:rPr>
        <w:t xml:space="preserve">notificar el respectivo acuerdo de clasificación al particular en términos de los </w:t>
      </w:r>
      <w:r w:rsidR="00762985" w:rsidRPr="007D52B5">
        <w:rPr>
          <w:rFonts w:ascii="Palatino Linotype" w:eastAsia="Palatino Linotype" w:hAnsi="Palatino Linotype" w:cs="Palatino Linotype"/>
        </w:rPr>
        <w:t>artículos 49 fracción VIII, 122, 143 fracciones I y II y 149 de la Ley de Transparencia y Acceso a la Información Pública del Estado de México y Municipios</w:t>
      </w:r>
      <w:r w:rsidR="00BC3D2C" w:rsidRPr="007D52B5">
        <w:rPr>
          <w:rFonts w:ascii="Palatino Linotype" w:eastAsia="Palatino Linotype" w:hAnsi="Palatino Linotype" w:cs="Palatino Linotype"/>
        </w:rPr>
        <w:t>, al momento de dar cumplimiento a la resolución.</w:t>
      </w:r>
      <w:r w:rsidR="00BC3D2C" w:rsidRPr="007D52B5">
        <w:rPr>
          <w:rFonts w:ascii="Palatino Linotype" w:eastAsia="Palatino Linotype" w:hAnsi="Palatino Linotype" w:cs="Palatino Linotype"/>
          <w:i/>
          <w:sz w:val="22"/>
          <w:szCs w:val="22"/>
        </w:rPr>
        <w:t xml:space="preserve"> </w:t>
      </w:r>
    </w:p>
    <w:p w:rsidR="003337D1" w:rsidRPr="007D52B5" w:rsidRDefault="003337D1" w:rsidP="003B0CFB">
      <w:pPr>
        <w:pBdr>
          <w:top w:val="nil"/>
          <w:left w:val="nil"/>
          <w:bottom w:val="nil"/>
          <w:right w:val="nil"/>
          <w:between w:val="nil"/>
        </w:pBdr>
        <w:spacing w:before="240" w:after="240" w:line="360" w:lineRule="auto"/>
        <w:ind w:left="357" w:right="51"/>
        <w:contextualSpacing/>
        <w:jc w:val="both"/>
        <w:rPr>
          <w:rFonts w:ascii="Palatino Linotype" w:eastAsia="Palatino Linotype" w:hAnsi="Palatino Linotype" w:cs="Palatino Linotype"/>
          <w:i/>
          <w:sz w:val="22"/>
          <w:szCs w:val="22"/>
        </w:rPr>
      </w:pPr>
    </w:p>
    <w:p w:rsidR="00A94DAC" w:rsidRPr="007D52B5" w:rsidRDefault="00BC3D2C" w:rsidP="00A94DAC">
      <w:p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i/>
          <w:sz w:val="22"/>
          <w:szCs w:val="22"/>
        </w:rPr>
      </w:pPr>
      <w:r w:rsidRPr="007D52B5">
        <w:rPr>
          <w:rFonts w:ascii="Palatino Linotype" w:eastAsia="Palatino Linotype" w:hAnsi="Palatino Linotype" w:cs="Palatino Linotype"/>
          <w:i/>
          <w:sz w:val="22"/>
          <w:szCs w:val="22"/>
        </w:rPr>
        <w:t>De ser el caso en el que el Sujeto Obligado</w:t>
      </w:r>
      <w:r w:rsidR="00A94DAC" w:rsidRPr="007D52B5">
        <w:rPr>
          <w:rFonts w:ascii="Palatino Linotype" w:eastAsia="Palatino Linotype" w:hAnsi="Palatino Linotype" w:cs="Palatino Linotype"/>
          <w:i/>
          <w:sz w:val="22"/>
          <w:szCs w:val="22"/>
        </w:rPr>
        <w:t xml:space="preserve"> no</w:t>
      </w:r>
      <w:r w:rsidRPr="007D52B5">
        <w:rPr>
          <w:rFonts w:ascii="Palatino Linotype" w:eastAsia="Palatino Linotype" w:hAnsi="Palatino Linotype" w:cs="Palatino Linotype"/>
          <w:i/>
          <w:sz w:val="22"/>
          <w:szCs w:val="22"/>
        </w:rPr>
        <w:t xml:space="preserve"> </w:t>
      </w:r>
      <w:r w:rsidR="008D0F25" w:rsidRPr="007D52B5">
        <w:rPr>
          <w:rFonts w:ascii="Palatino Linotype" w:eastAsia="Palatino Linotype" w:hAnsi="Palatino Linotype" w:cs="Palatino Linotype"/>
          <w:i/>
          <w:sz w:val="22"/>
          <w:szCs w:val="22"/>
        </w:rPr>
        <w:t>hay</w:t>
      </w:r>
      <w:r w:rsidR="00A94DAC" w:rsidRPr="007D52B5">
        <w:rPr>
          <w:rFonts w:ascii="Palatino Linotype" w:eastAsia="Palatino Linotype" w:hAnsi="Palatino Linotype" w:cs="Palatino Linotype"/>
          <w:i/>
          <w:sz w:val="22"/>
          <w:szCs w:val="22"/>
        </w:rPr>
        <w:t>a expedido</w:t>
      </w:r>
      <w:r w:rsidRPr="007D52B5">
        <w:rPr>
          <w:rFonts w:ascii="Palatino Linotype" w:eastAsia="Palatino Linotype" w:hAnsi="Palatino Linotype" w:cs="Palatino Linotype"/>
          <w:i/>
          <w:sz w:val="22"/>
          <w:szCs w:val="22"/>
        </w:rPr>
        <w:t xml:space="preserve"> certificados de aportación de mejoras ni de instituciones públicas</w:t>
      </w:r>
      <w:r w:rsidR="00A94DAC" w:rsidRPr="007D52B5">
        <w:rPr>
          <w:rFonts w:ascii="Palatino Linotype" w:eastAsia="Palatino Linotype" w:hAnsi="Palatino Linotype" w:cs="Palatino Linotype"/>
          <w:i/>
          <w:sz w:val="22"/>
          <w:szCs w:val="22"/>
        </w:rPr>
        <w:t>,</w:t>
      </w:r>
      <w:r w:rsidRPr="007D52B5">
        <w:rPr>
          <w:rFonts w:ascii="Palatino Linotype" w:eastAsia="Palatino Linotype" w:hAnsi="Palatino Linotype" w:cs="Palatino Linotype"/>
          <w:i/>
          <w:sz w:val="22"/>
          <w:szCs w:val="22"/>
        </w:rPr>
        <w:t xml:space="preserve"> ni particulares</w:t>
      </w:r>
      <w:r w:rsidR="00A94DAC" w:rsidRPr="007D52B5">
        <w:rPr>
          <w:rFonts w:ascii="Palatino Linotype" w:eastAsia="Palatino Linotype" w:hAnsi="Palatino Linotype" w:cs="Palatino Linotype"/>
          <w:i/>
          <w:sz w:val="22"/>
          <w:szCs w:val="22"/>
        </w:rPr>
        <w:t xml:space="preserve"> y/o </w:t>
      </w:r>
      <w:r w:rsidR="00762985" w:rsidRPr="007D52B5">
        <w:rPr>
          <w:rFonts w:ascii="Palatino Linotype" w:eastAsia="Palatino Linotype" w:hAnsi="Palatino Linotype" w:cs="Palatino Linotype"/>
          <w:i/>
          <w:sz w:val="22"/>
          <w:szCs w:val="22"/>
        </w:rPr>
        <w:t xml:space="preserve">personas </w:t>
      </w:r>
      <w:r w:rsidR="00A94DAC" w:rsidRPr="007D52B5">
        <w:rPr>
          <w:rFonts w:ascii="Palatino Linotype" w:eastAsia="Palatino Linotype" w:hAnsi="Palatino Linotype" w:cs="Palatino Linotype"/>
          <w:i/>
          <w:sz w:val="22"/>
          <w:szCs w:val="22"/>
        </w:rPr>
        <w:t>jurídico colectivas</w:t>
      </w:r>
      <w:r w:rsidRPr="007D52B5">
        <w:rPr>
          <w:rFonts w:ascii="Palatino Linotype" w:eastAsia="Palatino Linotype" w:hAnsi="Palatino Linotype" w:cs="Palatino Linotype"/>
          <w:i/>
          <w:sz w:val="22"/>
          <w:szCs w:val="22"/>
        </w:rPr>
        <w:t xml:space="preserve"> durante la temporalidad señalada en la solicitud, </w:t>
      </w:r>
      <w:r w:rsidR="00A94DAC" w:rsidRPr="007D52B5">
        <w:rPr>
          <w:rFonts w:ascii="Palatino Linotype" w:eastAsia="Palatino Linotype" w:hAnsi="Palatino Linotype" w:cs="Palatino Linotype"/>
          <w:i/>
          <w:sz w:val="22"/>
          <w:szCs w:val="22"/>
        </w:rPr>
        <w:t>bastara que así se lo haga saber a la particular de manera fundada y motivada en términos de lo señalado por el segundo párrafo del artículo 19 de la Ley en la materia</w:t>
      </w: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t>Tercero. Notifíquese vía SAIMEX,</w:t>
      </w:r>
      <w:r w:rsidRPr="007D52B5">
        <w:rPr>
          <w:rFonts w:ascii="Palatino Linotype" w:eastAsia="Palatino Linotype" w:hAnsi="Palatino Linotype" w:cs="Palatino Linotype"/>
          <w:b/>
          <w:i/>
        </w:rPr>
        <w:t xml:space="preserve"> </w:t>
      </w:r>
      <w:r w:rsidRPr="007D52B5">
        <w:rPr>
          <w:rFonts w:ascii="Palatino Linotype" w:eastAsia="Palatino Linotype" w:hAnsi="Palatino Linotype" w:cs="Palatino Linotyp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A94DAC" w:rsidRPr="007D52B5" w:rsidRDefault="003233E0" w:rsidP="00A94DAC">
      <w:pPr>
        <w:spacing w:before="240" w:after="240" w:line="360" w:lineRule="auto"/>
        <w:jc w:val="both"/>
        <w:rPr>
          <w:rFonts w:ascii="Palatino Linotype" w:hAnsi="Palatino Linotype" w:cs="Arial"/>
          <w:sz w:val="25"/>
          <w:szCs w:val="25"/>
        </w:rPr>
      </w:pPr>
      <w:r w:rsidRPr="007D52B5">
        <w:rPr>
          <w:rFonts w:ascii="Palatino Linotype" w:eastAsia="Palatino Linotype" w:hAnsi="Palatino Linotype" w:cs="Palatino Linotype"/>
          <w:b/>
        </w:rPr>
        <w:t xml:space="preserve">Cuarto. </w:t>
      </w:r>
      <w:r w:rsidR="00A94DAC" w:rsidRPr="007D52B5">
        <w:rPr>
          <w:rFonts w:ascii="Palatino Linotype" w:hAnsi="Palatino Linotype" w:cs="Arial"/>
          <w:b/>
          <w:bCs/>
          <w:shd w:val="clear" w:color="auto" w:fill="FFFFFF"/>
        </w:rPr>
        <w:t>Notifíquese vía SAIMEX</w:t>
      </w:r>
      <w:r w:rsidR="00A94DAC" w:rsidRPr="007D52B5">
        <w:rPr>
          <w:rFonts w:ascii="Palatino Linotype" w:hAnsi="Palatino Linotype" w:cs="Arial"/>
        </w:rPr>
        <w:t xml:space="preserve">  a la parte </w:t>
      </w:r>
      <w:r w:rsidR="00A94DAC" w:rsidRPr="007D52B5">
        <w:rPr>
          <w:rFonts w:ascii="Palatino Linotype" w:hAnsi="Palatino Linotype" w:cs="Arial"/>
          <w:b/>
        </w:rPr>
        <w:t>RECURRENTE</w:t>
      </w:r>
      <w:r w:rsidR="00A94DAC" w:rsidRPr="007D52B5">
        <w:rPr>
          <w:rFonts w:ascii="Palatino Linotype" w:hAnsi="Palatino Linotype" w:cs="Arial"/>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264E47" w:rsidRPr="007D52B5" w:rsidRDefault="003233E0">
      <w:pPr>
        <w:spacing w:line="360" w:lineRule="auto"/>
        <w:jc w:val="both"/>
        <w:rPr>
          <w:rFonts w:ascii="Palatino Linotype" w:eastAsia="Palatino Linotype" w:hAnsi="Palatino Linotype" w:cs="Palatino Linotype"/>
        </w:rPr>
      </w:pPr>
      <w:r w:rsidRPr="007D52B5">
        <w:rPr>
          <w:rFonts w:ascii="Palatino Linotype" w:eastAsia="Palatino Linotype" w:hAnsi="Palatino Linotype" w:cs="Palatino Linotype"/>
          <w:b/>
        </w:rPr>
        <w:lastRenderedPageBreak/>
        <w:t>Quinto.</w:t>
      </w:r>
      <w:r w:rsidRPr="007D52B5">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7D52B5">
        <w:rPr>
          <w:rFonts w:ascii="Palatino Linotype" w:eastAsia="Palatino Linotype" w:hAnsi="Palatino Linotype" w:cs="Palatino Linotype"/>
          <w:b/>
        </w:rPr>
        <w:t>SUJETO OBLIGADO</w:t>
      </w:r>
      <w:r w:rsidRPr="007D52B5">
        <w:rPr>
          <w:rFonts w:ascii="Palatino Linotype" w:eastAsia="Palatino Linotype" w:hAnsi="Palatino Linotype" w:cs="Palatino Linotype"/>
        </w:rPr>
        <w:t xml:space="preserve"> de manera fundada y motivada, podrá solicitar una ampliación de plazo para el cumplimiento de la presente resolución.</w:t>
      </w:r>
      <w:r w:rsidR="008D0F25" w:rsidRPr="007D52B5">
        <w:rPr>
          <w:rFonts w:ascii="Palatino Linotype" w:eastAsia="Palatino Linotype" w:hAnsi="Palatino Linotype" w:cs="Palatino Linotype"/>
        </w:rPr>
        <w:t xml:space="preserve"> </w:t>
      </w:r>
    </w:p>
    <w:p w:rsidR="00264E47" w:rsidRPr="007D52B5" w:rsidRDefault="003233E0">
      <w:pPr>
        <w:spacing w:before="240" w:after="240" w:line="360" w:lineRule="auto"/>
        <w:jc w:val="both"/>
        <w:rPr>
          <w:rFonts w:ascii="Palatino Linotype" w:eastAsia="Palatino Linotype" w:hAnsi="Palatino Linotype" w:cs="Palatino Linotype"/>
        </w:rPr>
        <w:sectPr w:rsidR="00264E47" w:rsidRPr="007D52B5">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7D52B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C63898" w:rsidRPr="007D52B5">
        <w:rPr>
          <w:rFonts w:ascii="Palatino Linotype" w:eastAsia="Palatino Linotype" w:hAnsi="Palatino Linotype" w:cs="Palatino Linotype"/>
        </w:rPr>
        <w:t xml:space="preserve"> GUAD</w:t>
      </w:r>
      <w:r w:rsidR="00BC3D2C" w:rsidRPr="007D52B5">
        <w:rPr>
          <w:rFonts w:ascii="Palatino Linotype" w:eastAsia="Palatino Linotype" w:hAnsi="Palatino Linotype" w:cs="Palatino Linotype"/>
        </w:rPr>
        <w:t>ALUPE RAMÍREZ PEÑA; EN LA SEXTA</w:t>
      </w:r>
      <w:r w:rsidRPr="007D52B5">
        <w:rPr>
          <w:rFonts w:ascii="Palatino Linotype" w:eastAsia="Palatino Linotype" w:hAnsi="Palatino Linotype" w:cs="Palatino Linotype"/>
        </w:rPr>
        <w:t xml:space="preserve"> SESIÓN ORDINARIA CELEBRADA EL </w:t>
      </w:r>
      <w:r w:rsidR="00BC3D2C" w:rsidRPr="007D52B5">
        <w:rPr>
          <w:rFonts w:ascii="Palatino Linotype" w:eastAsia="Palatino Linotype" w:hAnsi="Palatino Linotype" w:cs="Palatino Linotype"/>
        </w:rPr>
        <w:t>QUINCE</w:t>
      </w:r>
      <w:r w:rsidR="00C63898" w:rsidRPr="007D52B5">
        <w:rPr>
          <w:rFonts w:ascii="Palatino Linotype" w:eastAsia="Palatino Linotype" w:hAnsi="Palatino Linotype" w:cs="Palatino Linotype"/>
        </w:rPr>
        <w:t xml:space="preserve"> DE FEBRERO</w:t>
      </w:r>
      <w:r w:rsidRPr="007D52B5">
        <w:rPr>
          <w:rFonts w:ascii="Palatino Linotype" w:eastAsia="Palatino Linotype" w:hAnsi="Palatino Linotype" w:cs="Palatino Linotype"/>
        </w:rPr>
        <w:t xml:space="preserve"> DEL DOS MIL VEINTITRÉS, ANTE EL SECRETARIO TÉCNICO DEL PLENO ALEXIS TAPIA RAMÍREZ.                             </w:t>
      </w:r>
    </w:p>
    <w:p w:rsidR="00264E47" w:rsidRPr="007D52B5" w:rsidRDefault="00264E47">
      <w:pPr>
        <w:spacing w:before="240" w:after="240" w:line="360" w:lineRule="auto"/>
        <w:jc w:val="both"/>
        <w:rPr>
          <w:rFonts w:ascii="Palatino Linotype" w:eastAsia="Palatino Linotype" w:hAnsi="Palatino Linotype" w:cs="Palatino Linotype"/>
        </w:rPr>
      </w:pPr>
    </w:p>
    <w:sectPr w:rsidR="00264E47" w:rsidRPr="007D52B5">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D3E" w:rsidRDefault="00986D3E">
      <w:r>
        <w:separator/>
      </w:r>
    </w:p>
  </w:endnote>
  <w:endnote w:type="continuationSeparator" w:id="0">
    <w:p w:rsidR="00986D3E" w:rsidRDefault="0098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F81" w:rsidRDefault="00AD5F8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2D99">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2D99">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rsidR="00AD5F81" w:rsidRDefault="00AD5F81">
    <w:pPr>
      <w:pBdr>
        <w:top w:val="nil"/>
        <w:left w:val="nil"/>
        <w:bottom w:val="nil"/>
        <w:right w:val="nil"/>
        <w:between w:val="nil"/>
      </w:pBdr>
      <w:tabs>
        <w:tab w:val="center" w:pos="4252"/>
        <w:tab w:val="right" w:pos="8504"/>
      </w:tabs>
      <w:rPr>
        <w:color w:val="000000"/>
      </w:rPr>
    </w:pPr>
  </w:p>
  <w:p w:rsidR="00AD5F81" w:rsidRDefault="00AD5F8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F81" w:rsidRDefault="00AD5F8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A2D9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A2D99">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rsidR="00AD5F81" w:rsidRDefault="00AD5F8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D3E" w:rsidRDefault="00986D3E">
      <w:r>
        <w:separator/>
      </w:r>
    </w:p>
  </w:footnote>
  <w:footnote w:type="continuationSeparator" w:id="0">
    <w:p w:rsidR="00986D3E" w:rsidRDefault="00986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F81" w:rsidRDefault="00AD5F81">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AD5F81">
      <w:tc>
        <w:tcPr>
          <w:tcW w:w="2551" w:type="dxa"/>
          <w:vAlign w:val="center"/>
        </w:tcPr>
        <w:p w:rsidR="00AD5F81" w:rsidRDefault="00AD5F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AD5F81" w:rsidRDefault="00AD5F8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13554/INFOEM/IP/RR/2022</w:t>
          </w:r>
        </w:p>
      </w:tc>
    </w:tr>
    <w:tr w:rsidR="00AD5F81">
      <w:trPr>
        <w:trHeight w:val="228"/>
      </w:trPr>
      <w:tc>
        <w:tcPr>
          <w:tcW w:w="2551" w:type="dxa"/>
          <w:vAlign w:val="center"/>
        </w:tcPr>
        <w:p w:rsidR="00AD5F81" w:rsidRDefault="00AD5F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AD5F81" w:rsidRDefault="00AD5F81" w:rsidP="008A5C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Tultitlán.</w:t>
          </w:r>
        </w:p>
      </w:tc>
    </w:tr>
    <w:tr w:rsidR="00AD5F81">
      <w:tc>
        <w:tcPr>
          <w:tcW w:w="2551" w:type="dxa"/>
          <w:vAlign w:val="center"/>
        </w:tcPr>
        <w:p w:rsidR="00AD5F81" w:rsidRDefault="00AD5F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AD5F81" w:rsidRDefault="00AD5F8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D5F81" w:rsidRDefault="00AD5F8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F81" w:rsidRDefault="00AD5F81">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AD5F81">
      <w:tc>
        <w:tcPr>
          <w:tcW w:w="2551" w:type="dxa"/>
          <w:vAlign w:val="center"/>
        </w:tcPr>
        <w:p w:rsidR="00AD5F81" w:rsidRDefault="00AD5F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AD5F81" w:rsidRDefault="00AD5F8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13554/INFOEM/IP/RR/2022. </w:t>
          </w:r>
        </w:p>
      </w:tc>
    </w:tr>
    <w:tr w:rsidR="00AD5F81">
      <w:tc>
        <w:tcPr>
          <w:tcW w:w="2551" w:type="dxa"/>
          <w:vAlign w:val="center"/>
        </w:tcPr>
        <w:p w:rsidR="00AD5F81" w:rsidRDefault="00AD5F8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AD5F81" w:rsidRDefault="00AD5F81">
          <w:pPr>
            <w:jc w:val="both"/>
            <w:rPr>
              <w:rFonts w:ascii="Palatino Linotype" w:eastAsia="Palatino Linotype" w:hAnsi="Palatino Linotype" w:cs="Palatino Linotype"/>
              <w:b/>
              <w:sz w:val="22"/>
              <w:szCs w:val="22"/>
            </w:rPr>
          </w:pPr>
        </w:p>
      </w:tc>
    </w:tr>
    <w:tr w:rsidR="00AD5F81">
      <w:trPr>
        <w:trHeight w:val="228"/>
      </w:trPr>
      <w:tc>
        <w:tcPr>
          <w:tcW w:w="2551" w:type="dxa"/>
          <w:vAlign w:val="center"/>
        </w:tcPr>
        <w:p w:rsidR="00AD5F81" w:rsidRDefault="00AD5F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AD5F81" w:rsidRDefault="00AD5F81" w:rsidP="008A5C5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Tultitlán.</w:t>
          </w:r>
        </w:p>
      </w:tc>
    </w:tr>
    <w:tr w:rsidR="00AD5F81">
      <w:tc>
        <w:tcPr>
          <w:tcW w:w="2551" w:type="dxa"/>
          <w:vAlign w:val="center"/>
        </w:tcPr>
        <w:p w:rsidR="00AD5F81" w:rsidRDefault="00AD5F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AD5F81" w:rsidRDefault="00AD5F8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D5F81" w:rsidRDefault="00AD5F8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F81" w:rsidRDefault="00AD5F81">
    <w:pPr>
      <w:pBdr>
        <w:top w:val="nil"/>
        <w:left w:val="nil"/>
        <w:bottom w:val="nil"/>
        <w:right w:val="nil"/>
        <w:between w:val="nil"/>
      </w:pBdr>
      <w:tabs>
        <w:tab w:val="center" w:pos="4252"/>
        <w:tab w:val="right" w:pos="8504"/>
      </w:tabs>
      <w:jc w:val="both"/>
      <w:rPr>
        <w:rFonts w:ascii="Calibri" w:eastAsia="Calibri" w:hAnsi="Calibri" w:cs="Calibri"/>
        <w:color w:val="000000"/>
      </w:rPr>
    </w:pPr>
  </w:p>
  <w:p w:rsidR="00AD5F81" w:rsidRDefault="00AD5F8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74C3"/>
    <w:multiLevelType w:val="multilevel"/>
    <w:tmpl w:val="568A7BE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906E3"/>
    <w:multiLevelType w:val="multilevel"/>
    <w:tmpl w:val="AE8A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51E5E"/>
    <w:multiLevelType w:val="multilevel"/>
    <w:tmpl w:val="4194602A"/>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nsid w:val="16FA3BEF"/>
    <w:multiLevelType w:val="multilevel"/>
    <w:tmpl w:val="014E8B3E"/>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D6B4628"/>
    <w:multiLevelType w:val="multilevel"/>
    <w:tmpl w:val="4EBE48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915B92"/>
    <w:multiLevelType w:val="multilevel"/>
    <w:tmpl w:val="713A40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9B0006"/>
    <w:multiLevelType w:val="hybridMultilevel"/>
    <w:tmpl w:val="395E43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137F53"/>
    <w:multiLevelType w:val="multilevel"/>
    <w:tmpl w:val="C57E20B6"/>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1E224E9"/>
    <w:multiLevelType w:val="multilevel"/>
    <w:tmpl w:val="4CC6AE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85B4C1C"/>
    <w:multiLevelType w:val="hybridMultilevel"/>
    <w:tmpl w:val="1EF05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0891844"/>
    <w:multiLevelType w:val="hybridMultilevel"/>
    <w:tmpl w:val="2FF09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9F54CD"/>
    <w:multiLevelType w:val="multilevel"/>
    <w:tmpl w:val="F6220B5A"/>
    <w:lvl w:ilvl="0">
      <w:start w:val="1"/>
      <w:numFmt w:val="upp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4E0B4B30"/>
    <w:multiLevelType w:val="multilevel"/>
    <w:tmpl w:val="4E4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6D79CD"/>
    <w:multiLevelType w:val="multilevel"/>
    <w:tmpl w:val="EF90F0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D328D4"/>
    <w:multiLevelType w:val="hybridMultilevel"/>
    <w:tmpl w:val="395E43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5FB74932"/>
    <w:multiLevelType w:val="multilevel"/>
    <w:tmpl w:val="AF2010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B4A11DB"/>
    <w:multiLevelType w:val="multilevel"/>
    <w:tmpl w:val="6CAEB1D6"/>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9"/>
  </w:num>
  <w:num w:numId="3">
    <w:abstractNumId w:val="11"/>
  </w:num>
  <w:num w:numId="4">
    <w:abstractNumId w:val="14"/>
  </w:num>
  <w:num w:numId="5">
    <w:abstractNumId w:val="10"/>
  </w:num>
  <w:num w:numId="6">
    <w:abstractNumId w:val="12"/>
  </w:num>
  <w:num w:numId="7">
    <w:abstractNumId w:val="1"/>
  </w:num>
  <w:num w:numId="8">
    <w:abstractNumId w:val="6"/>
  </w:num>
  <w:num w:numId="9">
    <w:abstractNumId w:val="21"/>
  </w:num>
  <w:num w:numId="10">
    <w:abstractNumId w:val="17"/>
  </w:num>
  <w:num w:numId="11">
    <w:abstractNumId w:val="8"/>
  </w:num>
  <w:num w:numId="12">
    <w:abstractNumId w:val="7"/>
  </w:num>
  <w:num w:numId="13">
    <w:abstractNumId w:val="5"/>
  </w:num>
  <w:num w:numId="14">
    <w:abstractNumId w:val="3"/>
  </w:num>
  <w:num w:numId="15">
    <w:abstractNumId w:val="4"/>
  </w:num>
  <w:num w:numId="16">
    <w:abstractNumId w:val="13"/>
  </w:num>
  <w:num w:numId="17">
    <w:abstractNumId w:val="19"/>
  </w:num>
  <w:num w:numId="18">
    <w:abstractNumId w:val="0"/>
  </w:num>
  <w:num w:numId="19">
    <w:abstractNumId w:val="18"/>
  </w:num>
  <w:num w:numId="20">
    <w:abstractNumId w:val="2"/>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47"/>
    <w:rsid w:val="0005559E"/>
    <w:rsid w:val="00060617"/>
    <w:rsid w:val="00085F2A"/>
    <w:rsid w:val="0014198C"/>
    <w:rsid w:val="0014717A"/>
    <w:rsid w:val="00151648"/>
    <w:rsid w:val="00172559"/>
    <w:rsid w:val="001B378B"/>
    <w:rsid w:val="00264E47"/>
    <w:rsid w:val="002817BE"/>
    <w:rsid w:val="00306997"/>
    <w:rsid w:val="003233E0"/>
    <w:rsid w:val="003337D1"/>
    <w:rsid w:val="00334F3C"/>
    <w:rsid w:val="00342494"/>
    <w:rsid w:val="003619BD"/>
    <w:rsid w:val="003B0CFB"/>
    <w:rsid w:val="003E7CFD"/>
    <w:rsid w:val="004853AB"/>
    <w:rsid w:val="00491848"/>
    <w:rsid w:val="004B025F"/>
    <w:rsid w:val="004E516C"/>
    <w:rsid w:val="00553EC2"/>
    <w:rsid w:val="00590E87"/>
    <w:rsid w:val="005A0C1D"/>
    <w:rsid w:val="005B625C"/>
    <w:rsid w:val="0061018E"/>
    <w:rsid w:val="006510B3"/>
    <w:rsid w:val="0069007A"/>
    <w:rsid w:val="006D7558"/>
    <w:rsid w:val="00735E7D"/>
    <w:rsid w:val="00756DB3"/>
    <w:rsid w:val="00762985"/>
    <w:rsid w:val="00797842"/>
    <w:rsid w:val="007A2D99"/>
    <w:rsid w:val="007D52B5"/>
    <w:rsid w:val="008050E3"/>
    <w:rsid w:val="00817F8E"/>
    <w:rsid w:val="00865484"/>
    <w:rsid w:val="008A5C54"/>
    <w:rsid w:val="008D0F25"/>
    <w:rsid w:val="00986D3E"/>
    <w:rsid w:val="009D56C1"/>
    <w:rsid w:val="00A04C0B"/>
    <w:rsid w:val="00A11ED8"/>
    <w:rsid w:val="00A33C49"/>
    <w:rsid w:val="00A34427"/>
    <w:rsid w:val="00A363D0"/>
    <w:rsid w:val="00A94DAC"/>
    <w:rsid w:val="00AD5F81"/>
    <w:rsid w:val="00B35831"/>
    <w:rsid w:val="00B60F06"/>
    <w:rsid w:val="00BB6689"/>
    <w:rsid w:val="00BC3D2C"/>
    <w:rsid w:val="00C00921"/>
    <w:rsid w:val="00C63898"/>
    <w:rsid w:val="00C85585"/>
    <w:rsid w:val="00CA3092"/>
    <w:rsid w:val="00CB7DC4"/>
    <w:rsid w:val="00CE7731"/>
    <w:rsid w:val="00D044B4"/>
    <w:rsid w:val="00D24F6D"/>
    <w:rsid w:val="00DC28B4"/>
    <w:rsid w:val="00E6231E"/>
    <w:rsid w:val="00E87BB1"/>
    <w:rsid w:val="00F57EB3"/>
    <w:rsid w:val="00F946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character" w:customStyle="1" w:styleId="d">
    <w:name w:val="d"/>
    <w:basedOn w:val="Fuentedeprrafopredeter"/>
    <w:rsid w:val="00C85585"/>
  </w:style>
  <w:style w:type="character" w:customStyle="1" w:styleId="g">
    <w:name w:val="g"/>
    <w:basedOn w:val="Fuentedeprrafopredeter"/>
    <w:rsid w:val="00C85585"/>
  </w:style>
  <w:style w:type="character" w:customStyle="1" w:styleId="b">
    <w:name w:val="b"/>
    <w:basedOn w:val="Fuentedeprrafopredeter"/>
    <w:rsid w:val="00C85585"/>
  </w:style>
  <w:style w:type="paragraph" w:styleId="Listaconvietas2">
    <w:name w:val="List Bullet 2"/>
    <w:basedOn w:val="Normal"/>
    <w:uiPriority w:val="99"/>
    <w:unhideWhenUsed/>
    <w:rsid w:val="00865484"/>
    <w:pPr>
      <w:numPr>
        <w:numId w:val="12"/>
      </w:numPr>
      <w:contextualSpacing/>
    </w:pPr>
    <w:rPr>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616645">
      <w:bodyDiv w:val="1"/>
      <w:marLeft w:val="0"/>
      <w:marRight w:val="0"/>
      <w:marTop w:val="0"/>
      <w:marBottom w:val="0"/>
      <w:divBdr>
        <w:top w:val="none" w:sz="0" w:space="0" w:color="auto"/>
        <w:left w:val="none" w:sz="0" w:space="0" w:color="auto"/>
        <w:bottom w:val="none" w:sz="0" w:space="0" w:color="auto"/>
        <w:right w:val="none" w:sz="0" w:space="0" w:color="auto"/>
      </w:divBdr>
    </w:div>
    <w:div w:id="1297174953">
      <w:bodyDiv w:val="1"/>
      <w:marLeft w:val="0"/>
      <w:marRight w:val="0"/>
      <w:marTop w:val="0"/>
      <w:marBottom w:val="0"/>
      <w:divBdr>
        <w:top w:val="none" w:sz="0" w:space="0" w:color="auto"/>
        <w:left w:val="none" w:sz="0" w:space="0" w:color="auto"/>
        <w:bottom w:val="none" w:sz="0" w:space="0" w:color="auto"/>
        <w:right w:val="none" w:sz="0" w:space="0" w:color="auto"/>
      </w:divBdr>
    </w:div>
    <w:div w:id="1729838860">
      <w:bodyDiv w:val="1"/>
      <w:marLeft w:val="0"/>
      <w:marRight w:val="0"/>
      <w:marTop w:val="0"/>
      <w:marBottom w:val="0"/>
      <w:divBdr>
        <w:top w:val="none" w:sz="0" w:space="0" w:color="auto"/>
        <w:left w:val="none" w:sz="0" w:space="0" w:color="auto"/>
        <w:bottom w:val="none" w:sz="0" w:space="0" w:color="auto"/>
        <w:right w:val="none" w:sz="0" w:space="0" w:color="auto"/>
      </w:divBdr>
    </w:div>
    <w:div w:id="2023506041">
      <w:bodyDiv w:val="1"/>
      <w:marLeft w:val="0"/>
      <w:marRight w:val="0"/>
      <w:marTop w:val="0"/>
      <w:marBottom w:val="0"/>
      <w:divBdr>
        <w:top w:val="none" w:sz="0" w:space="0" w:color="auto"/>
        <w:left w:val="none" w:sz="0" w:space="0" w:color="auto"/>
        <w:bottom w:val="none" w:sz="0" w:space="0" w:color="auto"/>
        <w:right w:val="none" w:sz="0" w:space="0" w:color="auto"/>
      </w:divBdr>
    </w:div>
    <w:div w:id="2025400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16678.page" TargetMode="External"/><Relationship Id="rId13" Type="http://schemas.openxmlformats.org/officeDocument/2006/relationships/image" Target="media/image2.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istemas2.edomex.gob.mx/TramitesyServicios/Tramite?tram=17032&amp;cont=0" TargetMode="External"/><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saimex.org.mx/saimex/solicitud/downloadAttach/161166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543866.page"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14866</Words>
  <Characters>81767</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cp:lastPrinted>2023-02-17T16:12:00Z</cp:lastPrinted>
  <dcterms:created xsi:type="dcterms:W3CDTF">2023-02-23T20:41:00Z</dcterms:created>
  <dcterms:modified xsi:type="dcterms:W3CDTF">2023-02-23T20:41:00Z</dcterms:modified>
</cp:coreProperties>
</file>