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DE700" w14:textId="77777777" w:rsidR="00ED34B5" w:rsidRPr="001B69EF" w:rsidRDefault="00ED34B5" w:rsidP="00ED34B5">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1B69E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57FDB" w:rsidRPr="001B69EF">
        <w:rPr>
          <w:rFonts w:ascii="Palatino Linotype" w:eastAsia="Times New Roman" w:hAnsi="Palatino Linotype" w:cs="Arial"/>
          <w:color w:val="000000"/>
          <w:sz w:val="24"/>
          <w:szCs w:val="24"/>
          <w:lang w:eastAsia="es-MX"/>
        </w:rPr>
        <w:t>veinte</w:t>
      </w:r>
      <w:r w:rsidR="00B3453A" w:rsidRPr="001B69EF">
        <w:rPr>
          <w:rFonts w:ascii="Palatino Linotype" w:eastAsia="Times New Roman" w:hAnsi="Palatino Linotype" w:cs="Arial"/>
          <w:color w:val="000000"/>
          <w:sz w:val="24"/>
          <w:szCs w:val="24"/>
          <w:lang w:eastAsia="es-MX"/>
        </w:rPr>
        <w:t xml:space="preserve"> de </w:t>
      </w:r>
      <w:r w:rsidR="00D56910" w:rsidRPr="001B69EF">
        <w:rPr>
          <w:rFonts w:ascii="Palatino Linotype" w:eastAsia="Times New Roman" w:hAnsi="Palatino Linotype" w:cs="Arial"/>
          <w:color w:val="000000"/>
          <w:sz w:val="24"/>
          <w:szCs w:val="24"/>
          <w:lang w:eastAsia="es-MX"/>
        </w:rPr>
        <w:t>septiembre</w:t>
      </w:r>
      <w:r w:rsidR="00B3453A" w:rsidRPr="001B69EF">
        <w:rPr>
          <w:rFonts w:ascii="Palatino Linotype" w:eastAsia="Times New Roman" w:hAnsi="Palatino Linotype" w:cs="Arial"/>
          <w:color w:val="000000"/>
          <w:sz w:val="24"/>
          <w:szCs w:val="24"/>
          <w:lang w:eastAsia="es-MX"/>
        </w:rPr>
        <w:t xml:space="preserve"> </w:t>
      </w:r>
      <w:r w:rsidRPr="001B69EF">
        <w:rPr>
          <w:rFonts w:ascii="Palatino Linotype" w:eastAsia="Times New Roman" w:hAnsi="Palatino Linotype" w:cs="Arial"/>
          <w:color w:val="000000"/>
          <w:sz w:val="24"/>
          <w:szCs w:val="24"/>
          <w:lang w:eastAsia="es-MX"/>
        </w:rPr>
        <w:t>de dos mil veintitrés.</w:t>
      </w:r>
    </w:p>
    <w:p w14:paraId="26E3EB34" w14:textId="77777777" w:rsidR="00ED34B5" w:rsidRPr="001B69EF" w:rsidRDefault="00ED34B5" w:rsidP="00ED34B5">
      <w:pPr>
        <w:shd w:val="clear" w:color="auto" w:fill="FFFFFF"/>
        <w:spacing w:after="0" w:line="360" w:lineRule="auto"/>
        <w:jc w:val="both"/>
        <w:rPr>
          <w:rFonts w:ascii="Palatino Linotype" w:eastAsia="Times New Roman" w:hAnsi="Palatino Linotype" w:cs="Arial"/>
          <w:color w:val="000000"/>
          <w:sz w:val="2"/>
          <w:szCs w:val="24"/>
          <w:lang w:eastAsia="es-MX"/>
        </w:rPr>
      </w:pPr>
    </w:p>
    <w:p w14:paraId="10C2FB91" w14:textId="77777777" w:rsidR="00ED34B5" w:rsidRPr="001B69EF" w:rsidRDefault="00ED34B5" w:rsidP="00ED34B5">
      <w:pPr>
        <w:tabs>
          <w:tab w:val="left" w:pos="1701"/>
        </w:tabs>
        <w:spacing w:after="0" w:line="360" w:lineRule="auto"/>
        <w:jc w:val="both"/>
        <w:rPr>
          <w:rFonts w:ascii="Palatino Linotype" w:hAnsi="Palatino Linotype" w:cs="Arial"/>
          <w:b/>
          <w:sz w:val="24"/>
        </w:rPr>
      </w:pPr>
    </w:p>
    <w:p w14:paraId="23399CB4" w14:textId="77777777" w:rsidR="00ED34B5" w:rsidRPr="001B69EF" w:rsidRDefault="00ED34B5" w:rsidP="00ED34B5">
      <w:pPr>
        <w:tabs>
          <w:tab w:val="left" w:pos="1701"/>
        </w:tabs>
        <w:spacing w:after="0" w:line="360" w:lineRule="auto"/>
        <w:jc w:val="both"/>
        <w:rPr>
          <w:rFonts w:ascii="Palatino Linotype" w:hAnsi="Palatino Linotype" w:cs="Arial"/>
          <w:sz w:val="24"/>
        </w:rPr>
      </w:pPr>
      <w:r w:rsidRPr="001B69EF">
        <w:rPr>
          <w:rFonts w:ascii="Palatino Linotype" w:hAnsi="Palatino Linotype" w:cs="Arial"/>
          <w:b/>
          <w:sz w:val="24"/>
        </w:rPr>
        <w:t>VISTO</w:t>
      </w:r>
      <w:r w:rsidRPr="001B69EF">
        <w:rPr>
          <w:rFonts w:ascii="Palatino Linotype" w:hAnsi="Palatino Linotype" w:cs="Arial"/>
          <w:sz w:val="24"/>
        </w:rPr>
        <w:t xml:space="preserve"> el expediente electrónico formado con motivo del recurso de revisión número </w:t>
      </w:r>
      <w:r w:rsidR="00B3453A" w:rsidRPr="001B69EF">
        <w:rPr>
          <w:rFonts w:ascii="Palatino Linotype" w:hAnsi="Palatino Linotype" w:cs="Arial"/>
          <w:b/>
          <w:sz w:val="24"/>
        </w:rPr>
        <w:t>16260</w:t>
      </w:r>
      <w:r w:rsidRPr="001B69EF">
        <w:rPr>
          <w:rFonts w:ascii="Palatino Linotype" w:hAnsi="Palatino Linotype" w:cs="Arial"/>
          <w:b/>
          <w:bCs/>
          <w:sz w:val="24"/>
          <w:lang w:eastAsia="es-MX"/>
        </w:rPr>
        <w:t>/INFOEM/IP/RR/2022</w:t>
      </w:r>
      <w:r w:rsidRPr="001B69EF">
        <w:rPr>
          <w:rFonts w:ascii="Palatino Linotype" w:hAnsi="Palatino Linotype" w:cs="Arial"/>
          <w:sz w:val="24"/>
        </w:rPr>
        <w:t xml:space="preserve">, </w:t>
      </w:r>
      <w:r w:rsidRPr="001B69EF">
        <w:rPr>
          <w:rFonts w:ascii="Palatino Linotype" w:hAnsi="Palatino Linotype" w:cs="Arial"/>
          <w:sz w:val="24"/>
          <w:szCs w:val="24"/>
        </w:rPr>
        <w:t xml:space="preserve">interpuesto </w:t>
      </w:r>
      <w:r w:rsidRPr="001B69EF">
        <w:rPr>
          <w:rFonts w:ascii="Palatino Linotype" w:hAnsi="Palatino Linotype" w:cs="Arial"/>
          <w:bCs/>
          <w:sz w:val="24"/>
          <w:szCs w:val="24"/>
        </w:rPr>
        <w:t>por</w:t>
      </w:r>
      <w:r w:rsidRPr="001B69EF">
        <w:rPr>
          <w:rFonts w:ascii="Palatino Linotype" w:hAnsi="Palatino Linotype" w:cs="Arial"/>
          <w:b/>
          <w:bCs/>
          <w:sz w:val="24"/>
          <w:szCs w:val="24"/>
        </w:rPr>
        <w:t xml:space="preserve"> persona que no proporcionó nombre,</w:t>
      </w:r>
      <w:r w:rsidRPr="001B69EF">
        <w:rPr>
          <w:rFonts w:ascii="Palatino Linotype" w:hAnsi="Palatino Linotype" w:cs="Arial"/>
          <w:b/>
          <w:sz w:val="24"/>
          <w:szCs w:val="24"/>
        </w:rPr>
        <w:t xml:space="preserve"> </w:t>
      </w:r>
      <w:r w:rsidRPr="001B69EF">
        <w:rPr>
          <w:rFonts w:ascii="Palatino Linotype" w:hAnsi="Palatino Linotype" w:cs="Arial"/>
          <w:sz w:val="24"/>
          <w:szCs w:val="24"/>
        </w:rPr>
        <w:t xml:space="preserve">en lo sucesivo </w:t>
      </w:r>
      <w:r w:rsidRPr="001B69EF">
        <w:rPr>
          <w:rFonts w:ascii="Palatino Linotype" w:hAnsi="Palatino Linotype" w:cs="Arial"/>
          <w:b/>
          <w:bCs/>
          <w:sz w:val="24"/>
          <w:szCs w:val="24"/>
        </w:rPr>
        <w:t>el Recurrente</w:t>
      </w:r>
      <w:r w:rsidRPr="001B69EF">
        <w:rPr>
          <w:rFonts w:ascii="Palatino Linotype" w:hAnsi="Palatino Linotype" w:cs="Arial"/>
          <w:sz w:val="24"/>
          <w:szCs w:val="24"/>
        </w:rPr>
        <w:t xml:space="preserve">, en contra de la falta de respuesta del </w:t>
      </w:r>
      <w:r w:rsidRPr="001B69EF">
        <w:rPr>
          <w:rFonts w:ascii="Palatino Linotype" w:hAnsi="Palatino Linotype" w:cs="Arial"/>
          <w:b/>
          <w:sz w:val="24"/>
          <w:szCs w:val="24"/>
        </w:rPr>
        <w:t xml:space="preserve">Ayuntamiento de </w:t>
      </w:r>
      <w:r w:rsidR="00B3453A" w:rsidRPr="001B69EF">
        <w:rPr>
          <w:rFonts w:ascii="Palatino Linotype" w:hAnsi="Palatino Linotype" w:cs="Arial"/>
          <w:b/>
          <w:sz w:val="24"/>
          <w:szCs w:val="24"/>
        </w:rPr>
        <w:t>Naucalpan de Juárez</w:t>
      </w:r>
      <w:r w:rsidRPr="001B69EF">
        <w:rPr>
          <w:rFonts w:ascii="Palatino Linotype" w:hAnsi="Palatino Linotype" w:cs="Arial"/>
          <w:sz w:val="24"/>
          <w:szCs w:val="24"/>
        </w:rPr>
        <w:t>, en lo subsecuente</w:t>
      </w:r>
      <w:r w:rsidRPr="001B69EF">
        <w:rPr>
          <w:rFonts w:ascii="Palatino Linotype" w:hAnsi="Palatino Linotype" w:cs="Arial"/>
          <w:b/>
          <w:sz w:val="24"/>
          <w:szCs w:val="24"/>
        </w:rPr>
        <w:t xml:space="preserve"> </w:t>
      </w:r>
      <w:r w:rsidRPr="001B69EF">
        <w:rPr>
          <w:rFonts w:ascii="Palatino Linotype" w:hAnsi="Palatino Linotype" w:cs="Arial"/>
          <w:sz w:val="24"/>
          <w:szCs w:val="24"/>
        </w:rPr>
        <w:t xml:space="preserve">el </w:t>
      </w:r>
      <w:r w:rsidRPr="001B69EF">
        <w:rPr>
          <w:rFonts w:ascii="Palatino Linotype" w:hAnsi="Palatino Linotype" w:cs="Arial"/>
          <w:b/>
          <w:sz w:val="24"/>
          <w:szCs w:val="24"/>
        </w:rPr>
        <w:t>Sujeto Obligado</w:t>
      </w:r>
      <w:r w:rsidRPr="001B69EF">
        <w:rPr>
          <w:rFonts w:ascii="Palatino Linotype" w:hAnsi="Palatino Linotype" w:cs="Arial"/>
          <w:sz w:val="24"/>
          <w:szCs w:val="24"/>
        </w:rPr>
        <w:t>,</w:t>
      </w:r>
      <w:r w:rsidRPr="001B69EF">
        <w:rPr>
          <w:rFonts w:ascii="Palatino Linotype" w:hAnsi="Palatino Linotype" w:cs="Arial"/>
          <w:b/>
          <w:sz w:val="24"/>
          <w:szCs w:val="24"/>
        </w:rPr>
        <w:t xml:space="preserve"> </w:t>
      </w:r>
      <w:r w:rsidRPr="001B69EF">
        <w:rPr>
          <w:rFonts w:ascii="Palatino Linotype" w:hAnsi="Palatino Linotype" w:cs="Arial"/>
          <w:sz w:val="24"/>
          <w:szCs w:val="24"/>
        </w:rPr>
        <w:t>se procede a</w:t>
      </w:r>
      <w:r w:rsidRPr="001B69EF">
        <w:rPr>
          <w:rFonts w:ascii="Palatino Linotype" w:hAnsi="Palatino Linotype" w:cs="Arial"/>
          <w:sz w:val="24"/>
        </w:rPr>
        <w:t xml:space="preserve"> dictar la presente resolución.</w:t>
      </w:r>
    </w:p>
    <w:p w14:paraId="743D739D" w14:textId="77777777" w:rsidR="00ED34B5" w:rsidRPr="001B69EF" w:rsidRDefault="00ED34B5" w:rsidP="00ED34B5">
      <w:pPr>
        <w:tabs>
          <w:tab w:val="left" w:pos="1701"/>
        </w:tabs>
        <w:spacing w:after="0" w:line="360" w:lineRule="auto"/>
        <w:jc w:val="both"/>
        <w:rPr>
          <w:rFonts w:ascii="Palatino Linotype" w:hAnsi="Palatino Linotype" w:cs="Arial"/>
          <w:sz w:val="24"/>
        </w:rPr>
      </w:pPr>
    </w:p>
    <w:p w14:paraId="74894026" w14:textId="77777777" w:rsidR="00ED34B5" w:rsidRPr="001B69EF" w:rsidRDefault="00ED34B5" w:rsidP="00ED34B5">
      <w:pPr>
        <w:spacing w:after="0" w:line="360" w:lineRule="auto"/>
        <w:jc w:val="center"/>
        <w:rPr>
          <w:rFonts w:ascii="Palatino Linotype" w:hAnsi="Palatino Linotype"/>
          <w:b/>
          <w:sz w:val="28"/>
        </w:rPr>
      </w:pPr>
      <w:r w:rsidRPr="001B69EF">
        <w:rPr>
          <w:rFonts w:ascii="Palatino Linotype" w:hAnsi="Palatino Linotype"/>
          <w:b/>
          <w:sz w:val="28"/>
        </w:rPr>
        <w:t>A N T E C E D E N T E S   D E L   A S U N T O</w:t>
      </w:r>
    </w:p>
    <w:p w14:paraId="506EE438" w14:textId="77777777" w:rsidR="00ED34B5" w:rsidRPr="001B69EF" w:rsidRDefault="00ED34B5" w:rsidP="00ED34B5">
      <w:pPr>
        <w:spacing w:after="0" w:line="360" w:lineRule="auto"/>
        <w:jc w:val="center"/>
        <w:rPr>
          <w:rFonts w:ascii="Palatino Linotype" w:hAnsi="Palatino Linotype"/>
          <w:b/>
          <w:sz w:val="24"/>
        </w:rPr>
      </w:pPr>
    </w:p>
    <w:p w14:paraId="49362045" w14:textId="77777777" w:rsidR="00ED34B5" w:rsidRPr="001B69EF" w:rsidRDefault="00ED34B5" w:rsidP="00ED34B5">
      <w:pPr>
        <w:spacing w:after="0" w:line="360" w:lineRule="auto"/>
        <w:jc w:val="both"/>
        <w:rPr>
          <w:rFonts w:ascii="Palatino Linotype" w:hAnsi="Palatino Linotype"/>
        </w:rPr>
      </w:pPr>
      <w:r w:rsidRPr="001B69EF">
        <w:rPr>
          <w:rFonts w:ascii="Palatino Linotype" w:hAnsi="Palatino Linotype" w:cs="Arial"/>
          <w:b/>
          <w:sz w:val="28"/>
        </w:rPr>
        <w:t>PRIMERO.</w:t>
      </w:r>
      <w:r w:rsidRPr="001B69EF">
        <w:rPr>
          <w:rFonts w:ascii="Palatino Linotype" w:hAnsi="Palatino Linotype" w:cs="Arial"/>
        </w:rPr>
        <w:t xml:space="preserve"> </w:t>
      </w:r>
      <w:r w:rsidRPr="001B69EF">
        <w:rPr>
          <w:rFonts w:ascii="Palatino Linotype" w:hAnsi="Palatino Linotype"/>
          <w:b/>
          <w:sz w:val="28"/>
          <w:szCs w:val="28"/>
        </w:rPr>
        <w:t>De la Solicitud de Información.</w:t>
      </w:r>
    </w:p>
    <w:p w14:paraId="3C80CE6F" w14:textId="77777777" w:rsidR="00ED34B5" w:rsidRPr="001B69EF" w:rsidRDefault="00ED34B5" w:rsidP="00ED34B5">
      <w:pPr>
        <w:spacing w:after="0" w:line="360" w:lineRule="auto"/>
        <w:jc w:val="both"/>
        <w:rPr>
          <w:rFonts w:ascii="Palatino Linotype" w:hAnsi="Palatino Linotype" w:cs="Arial"/>
          <w:sz w:val="24"/>
        </w:rPr>
      </w:pPr>
      <w:r w:rsidRPr="001B69EF">
        <w:rPr>
          <w:rFonts w:ascii="Palatino Linotype" w:hAnsi="Palatino Linotype" w:cs="Arial"/>
          <w:sz w:val="24"/>
        </w:rPr>
        <w:t xml:space="preserve">En fecha </w:t>
      </w:r>
      <w:r w:rsidR="00B3453A" w:rsidRPr="001B69EF">
        <w:rPr>
          <w:rFonts w:ascii="Palatino Linotype" w:hAnsi="Palatino Linotype" w:cs="Arial"/>
          <w:sz w:val="24"/>
        </w:rPr>
        <w:t xml:space="preserve">trece de octubre </w:t>
      </w:r>
      <w:r w:rsidRPr="001B69EF">
        <w:rPr>
          <w:rFonts w:ascii="Palatino Linotype" w:hAnsi="Palatino Linotype" w:cs="Arial"/>
          <w:sz w:val="24"/>
        </w:rPr>
        <w:t xml:space="preserve">de dos mil veintidós, el </w:t>
      </w:r>
      <w:r w:rsidRPr="001B69EF">
        <w:rPr>
          <w:rFonts w:ascii="Palatino Linotype" w:hAnsi="Palatino Linotype" w:cs="Arial"/>
          <w:b/>
          <w:sz w:val="24"/>
        </w:rPr>
        <w:t>Recurrente</w:t>
      </w:r>
      <w:r w:rsidRPr="001B69EF">
        <w:rPr>
          <w:rFonts w:ascii="Palatino Linotype" w:hAnsi="Palatino Linotype" w:cs="Arial"/>
          <w:sz w:val="24"/>
        </w:rPr>
        <w:t xml:space="preserve">, presentó a través del Sistema de Acceso a la Información Mexiquense, en lo subsecuente el </w:t>
      </w:r>
      <w:r w:rsidRPr="001B69EF">
        <w:rPr>
          <w:rFonts w:ascii="Palatino Linotype" w:hAnsi="Palatino Linotype" w:cs="Arial"/>
          <w:b/>
          <w:sz w:val="24"/>
        </w:rPr>
        <w:t>SAIMEX</w:t>
      </w:r>
      <w:r w:rsidRPr="001B69EF">
        <w:rPr>
          <w:rFonts w:ascii="Palatino Linotype" w:hAnsi="Palatino Linotype" w:cs="Arial"/>
          <w:sz w:val="24"/>
        </w:rPr>
        <w:t xml:space="preserve"> ante el </w:t>
      </w:r>
      <w:r w:rsidRPr="001B69EF">
        <w:rPr>
          <w:rFonts w:ascii="Palatino Linotype" w:hAnsi="Palatino Linotype" w:cs="Arial"/>
          <w:b/>
          <w:sz w:val="24"/>
        </w:rPr>
        <w:t>Sujeto Obligado</w:t>
      </w:r>
      <w:r w:rsidRPr="001B69EF">
        <w:rPr>
          <w:rFonts w:ascii="Palatino Linotype" w:hAnsi="Palatino Linotype" w:cs="Arial"/>
          <w:sz w:val="24"/>
        </w:rPr>
        <w:t>, la solicitud de acceso a la información pública, a la que se le asignó el número de expediente</w:t>
      </w:r>
      <w:r w:rsidR="00B3453A" w:rsidRPr="001B69EF">
        <w:rPr>
          <w:rFonts w:ascii="Verdana" w:hAnsi="Verdana"/>
          <w:b/>
          <w:bCs/>
          <w:color w:val="FF0000"/>
        </w:rPr>
        <w:t xml:space="preserve"> </w:t>
      </w:r>
      <w:r w:rsidR="00B3453A" w:rsidRPr="001B69EF">
        <w:rPr>
          <w:rFonts w:ascii="Palatino Linotype" w:hAnsi="Palatino Linotype"/>
          <w:b/>
          <w:bCs/>
          <w:sz w:val="24"/>
          <w:szCs w:val="24"/>
        </w:rPr>
        <w:t>00910/NAUCALPA/IP/2022</w:t>
      </w:r>
      <w:r w:rsidRPr="001B69EF">
        <w:rPr>
          <w:rFonts w:ascii="Palatino Linotype" w:hAnsi="Palatino Linotype" w:cs="Arial"/>
          <w:sz w:val="24"/>
        </w:rPr>
        <w:t>, mediante la cual solicitó lo siguiente:</w:t>
      </w:r>
    </w:p>
    <w:p w14:paraId="347C4A39" w14:textId="77777777" w:rsidR="00ED34B5" w:rsidRPr="001B69EF" w:rsidRDefault="00ED34B5" w:rsidP="00ED34B5">
      <w:pPr>
        <w:spacing w:after="0" w:line="360" w:lineRule="auto"/>
        <w:jc w:val="both"/>
        <w:rPr>
          <w:rFonts w:ascii="Palatino Linotype" w:hAnsi="Palatino Linotype" w:cs="Arial"/>
          <w:sz w:val="24"/>
        </w:rPr>
      </w:pPr>
    </w:p>
    <w:p w14:paraId="1F3834A4" w14:textId="77777777" w:rsidR="00ED34B5" w:rsidRPr="001B69EF" w:rsidRDefault="00ED34B5" w:rsidP="00ED34B5">
      <w:pPr>
        <w:spacing w:line="360" w:lineRule="auto"/>
        <w:ind w:left="567"/>
        <w:jc w:val="both"/>
        <w:rPr>
          <w:rFonts w:ascii="Palatino Linotype" w:hAnsi="Palatino Linotype" w:cs="Arial"/>
          <w:i/>
          <w:sz w:val="24"/>
        </w:rPr>
      </w:pPr>
      <w:bookmarkStart w:id="0" w:name="_Hlk82038186"/>
      <w:r w:rsidRPr="001B69EF">
        <w:rPr>
          <w:rFonts w:ascii="Palatino Linotype" w:hAnsi="Palatino Linotype" w:cs="Arial"/>
          <w:i/>
          <w:sz w:val="24"/>
        </w:rPr>
        <w:t>“</w:t>
      </w:r>
      <w:r w:rsidR="00B3453A" w:rsidRPr="001B69EF">
        <w:rPr>
          <w:rFonts w:ascii="Palatino Linotype" w:hAnsi="Palatino Linotype"/>
          <w:i/>
          <w:sz w:val="24"/>
          <w:szCs w:val="24"/>
        </w:rPr>
        <w:t xml:space="preserve">solicito se me entreguen los vales por un viaje de mezcla asfáltica del 2019 a 2022 los expedientes que se formaron con motivo del pago del ayuntamiento por los vales los pagos realizados a los proveedores de la mezcla asfáltica la lista de deudores a esos proveedores los </w:t>
      </w:r>
      <w:r w:rsidR="00B3453A" w:rsidRPr="001B69EF">
        <w:rPr>
          <w:rFonts w:ascii="Palatino Linotype" w:hAnsi="Palatino Linotype"/>
          <w:i/>
          <w:sz w:val="24"/>
          <w:szCs w:val="24"/>
        </w:rPr>
        <w:lastRenderedPageBreak/>
        <w:t>contratos de adquisición de bienes y servicios de los proveedores de la mezcla asfaltiva</w:t>
      </w:r>
      <w:r w:rsidRPr="001B69EF">
        <w:rPr>
          <w:rFonts w:ascii="Palatino Linotype" w:hAnsi="Palatino Linotype" w:cs="Arial"/>
          <w:i/>
          <w:sz w:val="24"/>
        </w:rPr>
        <w:t>” (Sic).</w:t>
      </w:r>
    </w:p>
    <w:bookmarkEnd w:id="0"/>
    <w:p w14:paraId="4A483971" w14:textId="77777777" w:rsidR="00ED34B5" w:rsidRPr="001B69EF" w:rsidRDefault="00ED34B5" w:rsidP="00ED34B5">
      <w:pPr>
        <w:spacing w:after="0" w:line="360" w:lineRule="auto"/>
        <w:ind w:right="850"/>
        <w:jc w:val="both"/>
        <w:rPr>
          <w:rFonts w:ascii="Palatino Linotype" w:hAnsi="Palatino Linotype" w:cs="Arial"/>
          <w:b/>
          <w:sz w:val="2"/>
        </w:rPr>
      </w:pPr>
    </w:p>
    <w:p w14:paraId="4FD070ED" w14:textId="77777777" w:rsidR="00ED34B5" w:rsidRPr="001B69EF" w:rsidRDefault="00ED34B5" w:rsidP="00ED34B5">
      <w:pPr>
        <w:spacing w:after="0" w:line="360" w:lineRule="auto"/>
        <w:ind w:right="850"/>
        <w:jc w:val="both"/>
        <w:rPr>
          <w:rFonts w:ascii="Palatino Linotype" w:hAnsi="Palatino Linotype" w:cs="Arial"/>
          <w:b/>
          <w:sz w:val="2"/>
        </w:rPr>
      </w:pPr>
    </w:p>
    <w:p w14:paraId="0A891BE0" w14:textId="77777777" w:rsidR="00ED34B5" w:rsidRPr="001B69EF" w:rsidRDefault="00ED34B5" w:rsidP="00ED34B5">
      <w:pPr>
        <w:spacing w:after="0" w:line="360" w:lineRule="auto"/>
        <w:ind w:right="850"/>
        <w:jc w:val="both"/>
        <w:rPr>
          <w:rFonts w:ascii="Palatino Linotype" w:hAnsi="Palatino Linotype" w:cs="Arial"/>
          <w:b/>
          <w:sz w:val="2"/>
        </w:rPr>
      </w:pPr>
    </w:p>
    <w:p w14:paraId="48FF29CE" w14:textId="77777777" w:rsidR="00ED34B5" w:rsidRPr="001B69EF" w:rsidRDefault="00ED34B5" w:rsidP="00ED34B5">
      <w:pPr>
        <w:spacing w:after="0" w:line="360" w:lineRule="auto"/>
        <w:ind w:right="850"/>
        <w:jc w:val="both"/>
        <w:rPr>
          <w:rFonts w:ascii="Palatino Linotype" w:hAnsi="Palatino Linotype" w:cs="Arial"/>
          <w:b/>
          <w:sz w:val="2"/>
        </w:rPr>
      </w:pPr>
    </w:p>
    <w:p w14:paraId="7FF39DF9" w14:textId="77777777" w:rsidR="00ED34B5" w:rsidRPr="001B69EF" w:rsidRDefault="00ED34B5" w:rsidP="00ED34B5">
      <w:pPr>
        <w:spacing w:after="0" w:line="360" w:lineRule="auto"/>
        <w:ind w:right="850"/>
        <w:jc w:val="both"/>
        <w:rPr>
          <w:rFonts w:ascii="Palatino Linotype" w:hAnsi="Palatino Linotype" w:cs="Arial"/>
          <w:b/>
          <w:sz w:val="2"/>
        </w:rPr>
      </w:pPr>
    </w:p>
    <w:p w14:paraId="40004701" w14:textId="77777777" w:rsidR="00ED34B5" w:rsidRPr="001B69EF" w:rsidRDefault="00ED34B5" w:rsidP="00ED34B5">
      <w:pPr>
        <w:spacing w:after="0" w:line="360" w:lineRule="auto"/>
        <w:ind w:right="850"/>
        <w:jc w:val="both"/>
        <w:rPr>
          <w:rFonts w:ascii="Palatino Linotype" w:hAnsi="Palatino Linotype" w:cs="Arial"/>
          <w:b/>
          <w:sz w:val="2"/>
        </w:rPr>
      </w:pPr>
    </w:p>
    <w:p w14:paraId="65B0BA6B" w14:textId="77777777" w:rsidR="00ED34B5" w:rsidRPr="001B69EF" w:rsidRDefault="00ED34B5" w:rsidP="00ED34B5">
      <w:pPr>
        <w:spacing w:after="0" w:line="360" w:lineRule="auto"/>
        <w:ind w:right="850"/>
        <w:jc w:val="both"/>
        <w:rPr>
          <w:rFonts w:ascii="Palatino Linotype" w:hAnsi="Palatino Linotype" w:cs="Arial"/>
          <w:b/>
          <w:sz w:val="2"/>
        </w:rPr>
      </w:pPr>
    </w:p>
    <w:p w14:paraId="47EC7888" w14:textId="77777777" w:rsidR="00ED34B5" w:rsidRPr="001B69EF" w:rsidRDefault="00ED34B5" w:rsidP="00ED34B5">
      <w:pPr>
        <w:spacing w:after="0" w:line="360" w:lineRule="auto"/>
        <w:jc w:val="both"/>
        <w:rPr>
          <w:rFonts w:ascii="Palatino Linotype" w:hAnsi="Palatino Linotype" w:cs="Arial"/>
          <w:b/>
          <w:sz w:val="24"/>
        </w:rPr>
      </w:pPr>
    </w:p>
    <w:p w14:paraId="55D8D531" w14:textId="77777777" w:rsidR="00ED34B5" w:rsidRPr="001B69EF" w:rsidRDefault="00ED34B5" w:rsidP="00B3453A">
      <w:pPr>
        <w:spacing w:after="0" w:line="360" w:lineRule="auto"/>
        <w:jc w:val="both"/>
        <w:rPr>
          <w:rFonts w:ascii="Palatino Linotype" w:hAnsi="Palatino Linotype" w:cs="Arial"/>
          <w:b/>
          <w:sz w:val="24"/>
        </w:rPr>
      </w:pPr>
      <w:r w:rsidRPr="001B69EF">
        <w:rPr>
          <w:rFonts w:ascii="Palatino Linotype" w:hAnsi="Palatino Linotype" w:cs="Arial"/>
          <w:b/>
          <w:sz w:val="24"/>
        </w:rPr>
        <w:t xml:space="preserve">Modalidad de entrega: </w:t>
      </w:r>
      <w:r w:rsidRPr="001B69EF">
        <w:rPr>
          <w:rFonts w:ascii="Palatino Linotype" w:hAnsi="Palatino Linotype" w:cs="Arial"/>
          <w:sz w:val="24"/>
        </w:rPr>
        <w:t>A través del Sistema de Acceso a la Información Mexiquense</w:t>
      </w:r>
      <w:r w:rsidRPr="001B69EF">
        <w:rPr>
          <w:rFonts w:ascii="Palatino Linotype" w:hAnsi="Palatino Linotype" w:cs="Arial"/>
          <w:b/>
          <w:sz w:val="24"/>
        </w:rPr>
        <w:t xml:space="preserve"> (SAIMEX).</w:t>
      </w:r>
    </w:p>
    <w:p w14:paraId="7A77A631" w14:textId="77777777" w:rsidR="00ED34B5" w:rsidRPr="001B69EF" w:rsidRDefault="00B3453A" w:rsidP="00ED34B5">
      <w:pPr>
        <w:spacing w:before="240" w:line="360" w:lineRule="auto"/>
        <w:jc w:val="both"/>
        <w:rPr>
          <w:rFonts w:ascii="Palatino Linotype" w:hAnsi="Palatino Linotype" w:cs="Arial"/>
          <w:b/>
          <w:sz w:val="28"/>
        </w:rPr>
      </w:pPr>
      <w:r w:rsidRPr="001B69EF">
        <w:rPr>
          <w:rFonts w:ascii="Palatino Linotype" w:hAnsi="Palatino Linotype" w:cs="Arial"/>
          <w:b/>
          <w:sz w:val="28"/>
        </w:rPr>
        <w:t>SEGUNDO</w:t>
      </w:r>
      <w:r w:rsidR="00ED34B5" w:rsidRPr="001B69EF">
        <w:rPr>
          <w:rFonts w:ascii="Palatino Linotype" w:hAnsi="Palatino Linotype" w:cs="Arial"/>
          <w:b/>
          <w:sz w:val="28"/>
        </w:rPr>
        <w:t xml:space="preserve">. </w:t>
      </w:r>
      <w:r w:rsidR="00ED34B5" w:rsidRPr="001B69EF">
        <w:rPr>
          <w:rFonts w:ascii="Palatino Linotype" w:hAnsi="Palatino Linotype" w:cs="Arial"/>
          <w:b/>
          <w:sz w:val="28"/>
          <w:szCs w:val="20"/>
        </w:rPr>
        <w:t>De la falta de respuesta del Sujeto Obligado.</w:t>
      </w:r>
    </w:p>
    <w:p w14:paraId="5B2FAD7F" w14:textId="77777777" w:rsidR="00ED34B5" w:rsidRPr="001B69EF" w:rsidRDefault="00ED34B5" w:rsidP="00ED34B5">
      <w:pPr>
        <w:spacing w:before="240" w:line="360" w:lineRule="auto"/>
        <w:jc w:val="both"/>
        <w:rPr>
          <w:rFonts w:ascii="Palatino Linotype" w:hAnsi="Palatino Linotype" w:cs="Arial"/>
          <w:sz w:val="24"/>
          <w:szCs w:val="24"/>
        </w:rPr>
      </w:pPr>
      <w:r w:rsidRPr="001B69EF">
        <w:rPr>
          <w:rFonts w:ascii="Palatino Linotype" w:hAnsi="Palatino Linotype" w:cs="Arial"/>
          <w:sz w:val="24"/>
          <w:szCs w:val="24"/>
        </w:rPr>
        <w:t xml:space="preserve">En el expediente electrónico </w:t>
      </w:r>
      <w:r w:rsidRPr="001B69EF">
        <w:rPr>
          <w:rFonts w:ascii="Palatino Linotype" w:hAnsi="Palatino Linotype" w:cs="Arial"/>
          <w:b/>
          <w:sz w:val="24"/>
          <w:szCs w:val="24"/>
        </w:rPr>
        <w:t>SAIMEX</w:t>
      </w:r>
      <w:r w:rsidRPr="001B69EF">
        <w:rPr>
          <w:rFonts w:ascii="Palatino Linotype" w:hAnsi="Palatino Linotype" w:cs="Arial"/>
          <w:sz w:val="24"/>
          <w:szCs w:val="24"/>
        </w:rPr>
        <w:t xml:space="preserve">, se aprecia que </w:t>
      </w:r>
      <w:r w:rsidRPr="001B69EF">
        <w:rPr>
          <w:rFonts w:ascii="Palatino Linotype" w:hAnsi="Palatino Linotype" w:cs="Arial"/>
          <w:b/>
          <w:sz w:val="24"/>
          <w:szCs w:val="24"/>
        </w:rPr>
        <w:t xml:space="preserve">El Sujeto Obligado </w:t>
      </w:r>
      <w:r w:rsidRPr="001B69EF">
        <w:rPr>
          <w:rFonts w:ascii="Palatino Linotype" w:hAnsi="Palatino Linotype" w:cs="Arial"/>
          <w:sz w:val="24"/>
          <w:szCs w:val="24"/>
        </w:rPr>
        <w:t xml:space="preserve">fue omiso en dar respuesta a la solicitud de información presentada por </w:t>
      </w:r>
      <w:r w:rsidRPr="001B69EF">
        <w:rPr>
          <w:rFonts w:ascii="Palatino Linotype" w:hAnsi="Palatino Linotype" w:cs="Arial"/>
          <w:b/>
          <w:sz w:val="24"/>
          <w:szCs w:val="24"/>
        </w:rPr>
        <w:t xml:space="preserve">el Recurrente, </w:t>
      </w:r>
      <w:r w:rsidRPr="001B69EF">
        <w:rPr>
          <w:rFonts w:ascii="Palatino Linotype" w:hAnsi="Palatino Linotype" w:cs="Arial"/>
          <w:sz w:val="24"/>
          <w:szCs w:val="24"/>
        </w:rPr>
        <w:t xml:space="preserve">derivado de lo anterior, se constituye la figura de la </w:t>
      </w:r>
      <w:r w:rsidRPr="001B69EF">
        <w:rPr>
          <w:rFonts w:ascii="Palatino Linotype" w:hAnsi="Palatino Linotype" w:cs="Arial"/>
          <w:b/>
          <w:sz w:val="24"/>
          <w:szCs w:val="24"/>
        </w:rPr>
        <w:t xml:space="preserve">NEGATIVA FICTA, </w:t>
      </w:r>
      <w:r w:rsidRPr="001B69EF">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F1FB92D" w14:textId="77777777" w:rsidR="00ED34B5" w:rsidRPr="001B69EF" w:rsidRDefault="00ED34B5" w:rsidP="00ED34B5">
      <w:pPr>
        <w:spacing w:before="240" w:line="360" w:lineRule="auto"/>
        <w:jc w:val="both"/>
        <w:rPr>
          <w:rFonts w:ascii="Palatino Linotype" w:hAnsi="Palatino Linotype" w:cs="Arial"/>
          <w:sz w:val="24"/>
          <w:szCs w:val="24"/>
        </w:rPr>
      </w:pPr>
    </w:p>
    <w:p w14:paraId="0F0FDD99" w14:textId="77777777" w:rsidR="00ED34B5" w:rsidRPr="001B69EF" w:rsidRDefault="00B3453A" w:rsidP="00ED34B5">
      <w:pPr>
        <w:spacing w:after="0" w:line="360" w:lineRule="auto"/>
        <w:jc w:val="both"/>
        <w:rPr>
          <w:rFonts w:ascii="Palatino Linotype" w:hAnsi="Palatino Linotype" w:cs="Arial"/>
          <w:b/>
          <w:sz w:val="28"/>
        </w:rPr>
      </w:pPr>
      <w:r w:rsidRPr="001B69EF">
        <w:rPr>
          <w:rFonts w:ascii="Palatino Linotype" w:hAnsi="Palatino Linotype" w:cs="Arial"/>
          <w:b/>
          <w:sz w:val="28"/>
        </w:rPr>
        <w:t>TERCERO</w:t>
      </w:r>
      <w:r w:rsidR="00ED34B5" w:rsidRPr="001B69EF">
        <w:rPr>
          <w:rFonts w:ascii="Palatino Linotype" w:hAnsi="Palatino Linotype" w:cs="Arial"/>
          <w:b/>
          <w:sz w:val="28"/>
        </w:rPr>
        <w:t xml:space="preserve">. </w:t>
      </w:r>
      <w:r w:rsidR="00ED34B5" w:rsidRPr="001B69EF">
        <w:rPr>
          <w:rFonts w:ascii="Palatino Linotype" w:hAnsi="Palatino Linotype"/>
          <w:b/>
          <w:sz w:val="28"/>
        </w:rPr>
        <w:t>Del recurso de revisión.</w:t>
      </w:r>
    </w:p>
    <w:p w14:paraId="6EB4FFC9" w14:textId="77777777" w:rsidR="00ED34B5" w:rsidRPr="001B69EF" w:rsidRDefault="00ED34B5" w:rsidP="00ED34B5">
      <w:pPr>
        <w:spacing w:after="0" w:line="360" w:lineRule="auto"/>
        <w:jc w:val="both"/>
        <w:rPr>
          <w:rFonts w:ascii="Palatino Linotype" w:hAnsi="Palatino Linotype" w:cs="Arial"/>
          <w:sz w:val="24"/>
        </w:rPr>
      </w:pPr>
      <w:r w:rsidRPr="001B69EF">
        <w:rPr>
          <w:rFonts w:ascii="Palatino Linotype" w:hAnsi="Palatino Linotype" w:cs="Arial"/>
          <w:sz w:val="24"/>
          <w:szCs w:val="24"/>
        </w:rPr>
        <w:t xml:space="preserve">Inconforme con la </w:t>
      </w:r>
      <w:r w:rsidR="00CB4044" w:rsidRPr="001B69EF">
        <w:rPr>
          <w:rFonts w:ascii="Palatino Linotype" w:hAnsi="Palatino Linotype" w:cs="Arial"/>
          <w:sz w:val="24"/>
          <w:szCs w:val="24"/>
        </w:rPr>
        <w:t xml:space="preserve">falta de </w:t>
      </w:r>
      <w:r w:rsidRPr="001B69EF">
        <w:rPr>
          <w:rFonts w:ascii="Palatino Linotype" w:hAnsi="Palatino Linotype" w:cs="Arial"/>
          <w:sz w:val="24"/>
          <w:szCs w:val="24"/>
        </w:rPr>
        <w:t xml:space="preserve">respuesta por </w:t>
      </w:r>
      <w:r w:rsidR="00CB4044" w:rsidRPr="001B69EF">
        <w:rPr>
          <w:rFonts w:ascii="Palatino Linotype" w:hAnsi="Palatino Linotype" w:cs="Arial"/>
          <w:sz w:val="24"/>
          <w:szCs w:val="24"/>
        </w:rPr>
        <w:t>parte d</w:t>
      </w:r>
      <w:r w:rsidRPr="001B69EF">
        <w:rPr>
          <w:rFonts w:ascii="Palatino Linotype" w:hAnsi="Palatino Linotype" w:cs="Arial"/>
          <w:sz w:val="24"/>
          <w:szCs w:val="24"/>
        </w:rPr>
        <w:t>el</w:t>
      </w:r>
      <w:r w:rsidRPr="001B69EF">
        <w:rPr>
          <w:rFonts w:ascii="Palatino Linotype" w:hAnsi="Palatino Linotype" w:cs="Arial"/>
          <w:b/>
          <w:sz w:val="24"/>
          <w:szCs w:val="24"/>
        </w:rPr>
        <w:t xml:space="preserve"> Sujeto Obligado</w:t>
      </w:r>
      <w:r w:rsidRPr="001B69EF">
        <w:rPr>
          <w:rFonts w:ascii="Palatino Linotype" w:hAnsi="Palatino Linotype" w:cs="Arial"/>
          <w:sz w:val="24"/>
          <w:szCs w:val="24"/>
        </w:rPr>
        <w:t>, el Recurrente</w:t>
      </w:r>
      <w:r w:rsidRPr="001B69EF">
        <w:rPr>
          <w:rFonts w:ascii="Palatino Linotype" w:hAnsi="Palatino Linotype" w:cs="Arial"/>
          <w:b/>
          <w:sz w:val="24"/>
          <w:szCs w:val="24"/>
        </w:rPr>
        <w:t xml:space="preserve"> </w:t>
      </w:r>
      <w:r w:rsidRPr="001B69EF">
        <w:rPr>
          <w:rFonts w:ascii="Palatino Linotype" w:hAnsi="Palatino Linotype" w:cs="Arial"/>
          <w:sz w:val="24"/>
          <w:szCs w:val="24"/>
        </w:rPr>
        <w:t xml:space="preserve">interpuso el presente recurso de revisión, en fecha </w:t>
      </w:r>
      <w:r w:rsidR="00B3453A" w:rsidRPr="001B69EF">
        <w:rPr>
          <w:rFonts w:ascii="Palatino Linotype" w:hAnsi="Palatino Linotype"/>
          <w:sz w:val="24"/>
        </w:rPr>
        <w:t xml:space="preserve">ocho de noviembre </w:t>
      </w:r>
      <w:r w:rsidRPr="001B69EF">
        <w:rPr>
          <w:rFonts w:ascii="Palatino Linotype" w:hAnsi="Palatino Linotype"/>
          <w:sz w:val="24"/>
        </w:rPr>
        <w:t>de dos mil veintidós</w:t>
      </w:r>
      <w:r w:rsidRPr="001B69EF">
        <w:rPr>
          <w:rFonts w:ascii="Palatino Linotype" w:hAnsi="Palatino Linotype" w:cs="Arial"/>
          <w:sz w:val="24"/>
          <w:szCs w:val="24"/>
        </w:rPr>
        <w:t>, el cual fue registrado</w:t>
      </w:r>
      <w:r w:rsidRPr="001B69EF">
        <w:rPr>
          <w:rFonts w:ascii="Palatino Linotype" w:hAnsi="Palatino Linotype" w:cs="Arial"/>
          <w:b/>
          <w:sz w:val="24"/>
          <w:szCs w:val="24"/>
        </w:rPr>
        <w:t xml:space="preserve"> </w:t>
      </w:r>
      <w:r w:rsidRPr="001B69EF">
        <w:rPr>
          <w:rFonts w:ascii="Palatino Linotype" w:hAnsi="Palatino Linotype" w:cs="Arial"/>
          <w:sz w:val="24"/>
          <w:szCs w:val="24"/>
        </w:rPr>
        <w:t xml:space="preserve">en el sistema electrónico con el expediente número </w:t>
      </w:r>
      <w:r w:rsidR="00B3453A" w:rsidRPr="001B69EF">
        <w:rPr>
          <w:rFonts w:ascii="Palatino Linotype" w:hAnsi="Palatino Linotype" w:cs="Arial"/>
          <w:b/>
          <w:sz w:val="24"/>
          <w:szCs w:val="24"/>
        </w:rPr>
        <w:t>16260</w:t>
      </w:r>
      <w:r w:rsidRPr="001B69EF">
        <w:rPr>
          <w:rFonts w:ascii="Palatino Linotype" w:hAnsi="Palatino Linotype" w:cs="Arial"/>
          <w:b/>
          <w:bCs/>
          <w:sz w:val="24"/>
          <w:szCs w:val="24"/>
          <w:lang w:eastAsia="es-MX"/>
        </w:rPr>
        <w:t>/INFOEM/IP/RR/2022</w:t>
      </w:r>
      <w:r w:rsidRPr="001B69EF">
        <w:rPr>
          <w:rFonts w:ascii="Palatino Linotype" w:hAnsi="Palatino Linotype" w:cs="Arial"/>
          <w:sz w:val="24"/>
          <w:szCs w:val="24"/>
        </w:rPr>
        <w:t xml:space="preserve">, en el cual </w:t>
      </w:r>
      <w:r w:rsidRPr="001B69EF">
        <w:rPr>
          <w:rFonts w:ascii="Palatino Linotype" w:hAnsi="Palatino Linotype" w:cs="Arial"/>
          <w:sz w:val="24"/>
        </w:rPr>
        <w:t>arguye, las siguientes manifestaciones:</w:t>
      </w:r>
    </w:p>
    <w:p w14:paraId="30C5AD9E" w14:textId="77777777" w:rsidR="00ED34B5" w:rsidRPr="001B69EF" w:rsidRDefault="00ED34B5" w:rsidP="00ED34B5">
      <w:pPr>
        <w:spacing w:after="0" w:line="360" w:lineRule="auto"/>
        <w:jc w:val="both"/>
        <w:rPr>
          <w:rFonts w:ascii="Palatino Linotype" w:hAnsi="Palatino Linotype" w:cs="Arial"/>
          <w:sz w:val="24"/>
        </w:rPr>
      </w:pPr>
    </w:p>
    <w:p w14:paraId="2AA259F2" w14:textId="77777777" w:rsidR="00B3453A" w:rsidRPr="001B69EF" w:rsidRDefault="00B3453A" w:rsidP="00CB4044">
      <w:pPr>
        <w:pStyle w:val="Prrafodelista"/>
        <w:numPr>
          <w:ilvl w:val="0"/>
          <w:numId w:val="1"/>
        </w:numPr>
        <w:jc w:val="both"/>
        <w:rPr>
          <w:rFonts w:ascii="Palatino Linotype" w:hAnsi="Palatino Linotype" w:cs="Arial"/>
        </w:rPr>
      </w:pPr>
      <w:r w:rsidRPr="001B69EF">
        <w:rPr>
          <w:rFonts w:ascii="Palatino Linotype" w:hAnsi="Palatino Linotype" w:cs="Arial"/>
          <w:b/>
        </w:rPr>
        <w:t xml:space="preserve">Acto Impugnado </w:t>
      </w:r>
    </w:p>
    <w:p w14:paraId="316160B2" w14:textId="77777777" w:rsidR="00B3453A" w:rsidRPr="001B69EF" w:rsidRDefault="00B3453A" w:rsidP="00B3453A">
      <w:pPr>
        <w:pStyle w:val="Prrafodelista"/>
        <w:tabs>
          <w:tab w:val="left" w:pos="8364"/>
        </w:tabs>
        <w:ind w:left="720" w:right="851"/>
        <w:jc w:val="both"/>
        <w:rPr>
          <w:rFonts w:ascii="Palatino Linotype" w:hAnsi="Palatino Linotype" w:cs="Arial"/>
          <w:i/>
        </w:rPr>
      </w:pPr>
      <w:r w:rsidRPr="001B69EF">
        <w:rPr>
          <w:rFonts w:ascii="Palatino Linotype" w:hAnsi="Palatino Linotype" w:cs="Arial"/>
          <w:i/>
        </w:rPr>
        <w:t>"</w:t>
      </w:r>
      <w:r w:rsidRPr="001B69EF">
        <w:t xml:space="preserve"> </w:t>
      </w:r>
      <w:r w:rsidRPr="001B69EF">
        <w:rPr>
          <w:rFonts w:ascii="Palatino Linotype" w:hAnsi="Palatino Linotype"/>
          <w:i/>
          <w:color w:val="000000"/>
        </w:rPr>
        <w:t>no proporcionan ninguna clase de información dentro del termino establecido</w:t>
      </w:r>
      <w:r w:rsidRPr="001B69EF">
        <w:rPr>
          <w:rFonts w:ascii="Palatino Linotype" w:hAnsi="Palatino Linotype" w:cs="Arial"/>
          <w:i/>
        </w:rPr>
        <w:t>” [Sic].</w:t>
      </w:r>
    </w:p>
    <w:p w14:paraId="7FC766F3" w14:textId="77777777" w:rsidR="00B3453A" w:rsidRPr="001B69EF" w:rsidRDefault="00B3453A" w:rsidP="00B3453A">
      <w:pPr>
        <w:pStyle w:val="Prrafodelista"/>
        <w:ind w:left="720"/>
        <w:jc w:val="both"/>
        <w:rPr>
          <w:rFonts w:ascii="Palatino Linotype" w:hAnsi="Palatino Linotype" w:cs="Arial"/>
        </w:rPr>
      </w:pPr>
    </w:p>
    <w:p w14:paraId="1FC573C3" w14:textId="77777777" w:rsidR="00CB4044" w:rsidRPr="001B69EF" w:rsidRDefault="00CB4044" w:rsidP="00CB4044">
      <w:pPr>
        <w:pStyle w:val="Prrafodelista"/>
        <w:numPr>
          <w:ilvl w:val="0"/>
          <w:numId w:val="1"/>
        </w:numPr>
        <w:jc w:val="both"/>
        <w:rPr>
          <w:rFonts w:ascii="Palatino Linotype" w:hAnsi="Palatino Linotype" w:cs="Arial"/>
        </w:rPr>
      </w:pPr>
      <w:r w:rsidRPr="001B69EF">
        <w:rPr>
          <w:rFonts w:ascii="Palatino Linotype" w:hAnsi="Palatino Linotype" w:cs="Arial"/>
          <w:b/>
        </w:rPr>
        <w:t>Razones o Motivos de Inconformidad</w:t>
      </w:r>
      <w:r w:rsidRPr="001B69EF">
        <w:rPr>
          <w:rFonts w:ascii="Palatino Linotype" w:hAnsi="Palatino Linotype" w:cs="Arial"/>
        </w:rPr>
        <w:t xml:space="preserve">: </w:t>
      </w:r>
    </w:p>
    <w:p w14:paraId="74F6C080" w14:textId="77777777" w:rsidR="00ED34B5" w:rsidRPr="001B69EF" w:rsidRDefault="00ED34B5" w:rsidP="00CB4044">
      <w:pPr>
        <w:pStyle w:val="Prrafodelista"/>
        <w:ind w:left="720"/>
        <w:jc w:val="both"/>
        <w:rPr>
          <w:rFonts w:ascii="Palatino Linotype" w:hAnsi="Palatino Linotype" w:cs="Arial"/>
          <w:b/>
        </w:rPr>
      </w:pPr>
    </w:p>
    <w:p w14:paraId="3943E556" w14:textId="77777777" w:rsidR="00ED34B5" w:rsidRPr="001B69EF" w:rsidRDefault="00ED34B5" w:rsidP="00B3453A">
      <w:pPr>
        <w:tabs>
          <w:tab w:val="left" w:pos="8364"/>
        </w:tabs>
        <w:spacing w:after="0" w:line="240" w:lineRule="auto"/>
        <w:ind w:left="709" w:right="851"/>
        <w:jc w:val="both"/>
        <w:rPr>
          <w:rFonts w:ascii="Palatino Linotype" w:hAnsi="Palatino Linotype"/>
          <w:i/>
          <w:color w:val="000000"/>
          <w:sz w:val="24"/>
          <w:szCs w:val="24"/>
        </w:rPr>
      </w:pPr>
      <w:r w:rsidRPr="001B69EF">
        <w:rPr>
          <w:rFonts w:ascii="Palatino Linotype" w:hAnsi="Palatino Linotype" w:cs="Arial"/>
          <w:i/>
        </w:rPr>
        <w:t>"</w:t>
      </w:r>
      <w:r w:rsidRPr="001B69EF">
        <w:t xml:space="preserve"> </w:t>
      </w:r>
      <w:r w:rsidR="00B3453A" w:rsidRPr="001B69EF">
        <w:rPr>
          <w:rFonts w:ascii="Palatino Linotype" w:hAnsi="Palatino Linotype"/>
          <w:i/>
          <w:color w:val="000000"/>
          <w:sz w:val="24"/>
          <w:szCs w:val="24"/>
        </w:rPr>
        <w:t>ha operado la mi favor la negativa ficta por no emitir la información dentro del termino de 15 dias</w:t>
      </w:r>
      <w:r w:rsidRPr="001B69EF">
        <w:rPr>
          <w:rFonts w:ascii="Palatino Linotype" w:hAnsi="Palatino Linotype" w:cs="Arial"/>
          <w:i/>
        </w:rPr>
        <w:t>” [Sic].</w:t>
      </w:r>
    </w:p>
    <w:p w14:paraId="7CC1F160" w14:textId="77777777" w:rsidR="00ED34B5" w:rsidRPr="001B69EF" w:rsidRDefault="00ED34B5" w:rsidP="00ED34B5">
      <w:pPr>
        <w:spacing w:after="0" w:line="240" w:lineRule="auto"/>
        <w:ind w:left="851" w:right="851"/>
        <w:jc w:val="both"/>
        <w:rPr>
          <w:rFonts w:ascii="Palatino Linotype" w:hAnsi="Palatino Linotype" w:cs="Arial"/>
          <w:i/>
          <w:sz w:val="24"/>
        </w:rPr>
      </w:pPr>
    </w:p>
    <w:p w14:paraId="3755E79C" w14:textId="77777777" w:rsidR="00ED34B5" w:rsidRPr="001B69EF" w:rsidRDefault="00ED34B5" w:rsidP="00ED34B5">
      <w:pPr>
        <w:pStyle w:val="Sinespaciado"/>
      </w:pPr>
    </w:p>
    <w:p w14:paraId="75A32FB3" w14:textId="77777777" w:rsidR="00ED34B5" w:rsidRPr="001B69EF" w:rsidRDefault="00B3453A" w:rsidP="00ED34B5">
      <w:pPr>
        <w:spacing w:after="0" w:line="360" w:lineRule="auto"/>
        <w:jc w:val="both"/>
        <w:rPr>
          <w:rFonts w:ascii="Palatino Linotype" w:hAnsi="Palatino Linotype" w:cs="Arial"/>
          <w:b/>
          <w:sz w:val="24"/>
          <w:szCs w:val="24"/>
        </w:rPr>
      </w:pPr>
      <w:r w:rsidRPr="001B69EF">
        <w:rPr>
          <w:rFonts w:ascii="Palatino Linotype" w:hAnsi="Palatino Linotype" w:cs="Arial"/>
          <w:b/>
          <w:sz w:val="28"/>
        </w:rPr>
        <w:t>CUARTO</w:t>
      </w:r>
      <w:r w:rsidR="00ED34B5" w:rsidRPr="001B69EF">
        <w:rPr>
          <w:rFonts w:ascii="Palatino Linotype" w:hAnsi="Palatino Linotype" w:cs="Arial"/>
          <w:b/>
          <w:sz w:val="24"/>
          <w:szCs w:val="24"/>
        </w:rPr>
        <w:t xml:space="preserve">. </w:t>
      </w:r>
      <w:r w:rsidR="00ED34B5" w:rsidRPr="001B69EF">
        <w:rPr>
          <w:rFonts w:ascii="Palatino Linotype" w:hAnsi="Palatino Linotype" w:cs="Arial"/>
          <w:b/>
          <w:sz w:val="28"/>
          <w:szCs w:val="28"/>
        </w:rPr>
        <w:t>Del turno y admisión del recurso de revisión.</w:t>
      </w:r>
    </w:p>
    <w:p w14:paraId="1069D2AD" w14:textId="77777777" w:rsidR="00ED34B5" w:rsidRPr="001B69EF" w:rsidRDefault="00ED34B5" w:rsidP="00ED34B5">
      <w:pPr>
        <w:spacing w:after="0" w:line="360" w:lineRule="auto"/>
        <w:jc w:val="both"/>
        <w:rPr>
          <w:rFonts w:ascii="Palatino Linotype" w:hAnsi="Palatino Linotype" w:cs="Arial"/>
          <w:sz w:val="24"/>
          <w:szCs w:val="24"/>
        </w:rPr>
      </w:pPr>
      <w:r w:rsidRPr="001B69EF">
        <w:rPr>
          <w:rFonts w:ascii="Palatino Linotype" w:hAnsi="Palatino Linotype" w:cs="Arial"/>
          <w:sz w:val="24"/>
          <w:szCs w:val="24"/>
        </w:rPr>
        <w:t xml:space="preserve">El medio de impugnación le fue turnado al Comisionado Presidente </w:t>
      </w:r>
      <w:r w:rsidRPr="001B69EF">
        <w:rPr>
          <w:rFonts w:ascii="Palatino Linotype" w:hAnsi="Palatino Linotype" w:cs="Arial"/>
          <w:b/>
          <w:sz w:val="24"/>
          <w:szCs w:val="24"/>
        </w:rPr>
        <w:t>José Martínez Vilchis</w:t>
      </w:r>
      <w:r w:rsidRPr="001B69EF">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w:t>
      </w:r>
      <w:r w:rsidRPr="001B69EF">
        <w:rPr>
          <w:rFonts w:ascii="Palatino Linotype" w:hAnsi="Palatino Linotype" w:cs="Arial"/>
          <w:b/>
          <w:sz w:val="24"/>
          <w:szCs w:val="24"/>
        </w:rPr>
        <w:t>acuerdo de admisión</w:t>
      </w:r>
      <w:r w:rsidRPr="001B69EF">
        <w:rPr>
          <w:rFonts w:ascii="Palatino Linotype" w:hAnsi="Palatino Linotype" w:cs="Arial"/>
          <w:sz w:val="24"/>
          <w:szCs w:val="24"/>
        </w:rPr>
        <w:t xml:space="preserve"> en fecha </w:t>
      </w:r>
      <w:r w:rsidR="00B3453A" w:rsidRPr="001B69EF">
        <w:rPr>
          <w:rFonts w:ascii="Palatino Linotype" w:hAnsi="Palatino Linotype"/>
          <w:sz w:val="24"/>
        </w:rPr>
        <w:t xml:space="preserve">catorce de noviembre </w:t>
      </w:r>
      <w:r w:rsidR="00CB4044" w:rsidRPr="001B69EF">
        <w:rPr>
          <w:rFonts w:ascii="Palatino Linotype" w:hAnsi="Palatino Linotype"/>
          <w:sz w:val="24"/>
        </w:rPr>
        <w:t>de dos mil veintidós</w:t>
      </w:r>
      <w:r w:rsidRPr="001B69EF">
        <w:rPr>
          <w:rFonts w:ascii="Palatino Linotype" w:hAnsi="Palatino Linotype" w:cs="Arial"/>
          <w:sz w:val="24"/>
          <w:szCs w:val="24"/>
        </w:rPr>
        <w:t>, determinándose en él, un plazo de siete días para que las partes manifestaran lo que a su derecho corresponda en términos del numeral ya citado.</w:t>
      </w:r>
    </w:p>
    <w:p w14:paraId="46C3F902" w14:textId="77777777" w:rsidR="00ED34B5" w:rsidRPr="001B69EF" w:rsidRDefault="00ED34B5" w:rsidP="00ED34B5">
      <w:pPr>
        <w:spacing w:after="0" w:line="360" w:lineRule="auto"/>
        <w:jc w:val="both"/>
        <w:rPr>
          <w:rFonts w:ascii="Palatino Linotype" w:hAnsi="Palatino Linotype" w:cs="Arial"/>
          <w:sz w:val="24"/>
          <w:szCs w:val="24"/>
        </w:rPr>
      </w:pPr>
    </w:p>
    <w:p w14:paraId="6734AA79" w14:textId="77777777" w:rsidR="00ED34B5" w:rsidRPr="001B69EF" w:rsidRDefault="00B3453A" w:rsidP="00ED34B5">
      <w:pPr>
        <w:spacing w:after="0" w:line="360" w:lineRule="auto"/>
        <w:jc w:val="both"/>
        <w:rPr>
          <w:rFonts w:ascii="Palatino Linotype" w:hAnsi="Palatino Linotype" w:cs="Arial"/>
          <w:b/>
          <w:sz w:val="28"/>
          <w:szCs w:val="28"/>
        </w:rPr>
      </w:pPr>
      <w:r w:rsidRPr="001B69EF">
        <w:rPr>
          <w:rFonts w:ascii="Palatino Linotype" w:hAnsi="Palatino Linotype" w:cs="Arial"/>
          <w:b/>
          <w:sz w:val="28"/>
        </w:rPr>
        <w:t>QUINTO</w:t>
      </w:r>
      <w:r w:rsidR="00ED34B5" w:rsidRPr="001B69EF">
        <w:rPr>
          <w:rFonts w:ascii="Palatino Linotype" w:hAnsi="Palatino Linotype" w:cs="Arial"/>
          <w:b/>
          <w:sz w:val="28"/>
        </w:rPr>
        <w:t xml:space="preserve">. </w:t>
      </w:r>
      <w:r w:rsidR="00ED34B5" w:rsidRPr="001B69EF">
        <w:rPr>
          <w:rFonts w:ascii="Palatino Linotype" w:hAnsi="Palatino Linotype" w:cs="Arial"/>
          <w:b/>
          <w:sz w:val="28"/>
          <w:szCs w:val="28"/>
        </w:rPr>
        <w:t>De la etapa de instrucción.</w:t>
      </w:r>
    </w:p>
    <w:p w14:paraId="6A7CE19C" w14:textId="77777777" w:rsidR="00B3453A" w:rsidRPr="001B69EF" w:rsidRDefault="00ED34B5" w:rsidP="00ED34B5">
      <w:pPr>
        <w:spacing w:after="0" w:line="360" w:lineRule="auto"/>
        <w:jc w:val="both"/>
        <w:rPr>
          <w:rFonts w:ascii="Palatino Linotype" w:hAnsi="Palatino Linotype" w:cs="Arial"/>
          <w:b/>
          <w:sz w:val="24"/>
          <w:szCs w:val="24"/>
        </w:rPr>
      </w:pPr>
      <w:r w:rsidRPr="001B69EF">
        <w:rPr>
          <w:rFonts w:ascii="Palatino Linotype" w:hAnsi="Palatino Linotype" w:cs="Arial"/>
          <w:sz w:val="24"/>
          <w:szCs w:val="24"/>
        </w:rPr>
        <w:t>De las constancias que obran en el expediente electrónico del SAIMEX, se advierte que el Sujeto Obligado rindió su informe justificado por medio de los archivos electrónicos</w:t>
      </w:r>
      <w:r w:rsidR="00B3453A" w:rsidRPr="001B69EF">
        <w:rPr>
          <w:rFonts w:ascii="Palatino Linotype" w:hAnsi="Palatino Linotype" w:cs="Arial"/>
          <w:sz w:val="24"/>
          <w:szCs w:val="24"/>
        </w:rPr>
        <w:t xml:space="preserve"> </w:t>
      </w:r>
    </w:p>
    <w:p w14:paraId="53E80EF6" w14:textId="77777777" w:rsidR="00ED34B5" w:rsidRPr="001B69EF" w:rsidRDefault="00B3453A" w:rsidP="00D56910">
      <w:pPr>
        <w:spacing w:line="360" w:lineRule="auto"/>
        <w:jc w:val="both"/>
        <w:rPr>
          <w:rFonts w:ascii="Palatino Linotype" w:hAnsi="Palatino Linotype" w:cs="Arial"/>
          <w:i/>
          <w:sz w:val="24"/>
          <w:szCs w:val="24"/>
        </w:rPr>
      </w:pPr>
      <w:r w:rsidRPr="001B69EF">
        <w:rPr>
          <w:rFonts w:ascii="Palatino Linotype" w:hAnsi="Palatino Linotype"/>
          <w:b/>
          <w:i/>
          <w:sz w:val="24"/>
          <w:szCs w:val="24"/>
        </w:rPr>
        <w:t>“</w:t>
      </w:r>
      <w:hyperlink r:id="rId7" w:history="1">
        <w:r w:rsidRPr="001B69EF">
          <w:rPr>
            <w:rStyle w:val="Hipervnculo"/>
            <w:rFonts w:ascii="Palatino Linotype" w:hAnsi="Palatino Linotype" w:cs="Arial"/>
            <w:b/>
            <w:bCs/>
            <w:i/>
            <w:color w:val="auto"/>
            <w:sz w:val="24"/>
            <w:szCs w:val="24"/>
            <w:u w:val="none"/>
          </w:rPr>
          <w:t>TM-STE-SC-205-2022.pdf</w:t>
        </w:r>
      </w:hyperlink>
      <w:r w:rsidRPr="001B69EF">
        <w:rPr>
          <w:rFonts w:ascii="Palatino Linotype" w:hAnsi="Palatino Linotype"/>
          <w:b/>
          <w:i/>
          <w:sz w:val="24"/>
          <w:szCs w:val="24"/>
        </w:rPr>
        <w:t>”, “</w:t>
      </w:r>
      <w:hyperlink r:id="rId8" w:history="1">
        <w:r w:rsidRPr="001B69EF">
          <w:rPr>
            <w:rStyle w:val="Hipervnculo"/>
            <w:rFonts w:ascii="Palatino Linotype" w:hAnsi="Palatino Linotype" w:cs="Arial"/>
            <w:b/>
            <w:bCs/>
            <w:i/>
            <w:color w:val="auto"/>
            <w:sz w:val="24"/>
            <w:szCs w:val="24"/>
            <w:u w:val="none"/>
          </w:rPr>
          <w:t>MNJ-SA-DRM-CTAB-LPN-005-2020.pdf</w:t>
        </w:r>
      </w:hyperlink>
      <w:r w:rsidRPr="001B69EF">
        <w:rPr>
          <w:rFonts w:ascii="Palatino Linotype" w:hAnsi="Palatino Linotype"/>
          <w:b/>
          <w:i/>
          <w:sz w:val="24"/>
          <w:szCs w:val="24"/>
        </w:rPr>
        <w:t>” y “</w:t>
      </w:r>
      <w:r w:rsidRPr="001B69EF">
        <w:rPr>
          <w:rFonts w:ascii="Palatino Linotype" w:hAnsi="Palatino Linotype"/>
          <w:i/>
          <w:sz w:val="24"/>
          <w:szCs w:val="24"/>
        </w:rPr>
        <w:t xml:space="preserve"> </w:t>
      </w:r>
      <w:hyperlink r:id="rId9" w:history="1">
        <w:r w:rsidRPr="001B69EF">
          <w:rPr>
            <w:rStyle w:val="Hipervnculo"/>
            <w:rFonts w:ascii="Palatino Linotype" w:hAnsi="Palatino Linotype" w:cs="Arial"/>
            <w:b/>
            <w:bCs/>
            <w:i/>
            <w:color w:val="auto"/>
            <w:sz w:val="24"/>
            <w:szCs w:val="24"/>
            <w:u w:val="none"/>
          </w:rPr>
          <w:t>DGA-SRM-M-574-2022.pdf</w:t>
        </w:r>
      </w:hyperlink>
      <w:r w:rsidRPr="001B69EF">
        <w:rPr>
          <w:rFonts w:ascii="Palatino Linotype" w:hAnsi="Palatino Linotype"/>
          <w:b/>
          <w:i/>
          <w:sz w:val="24"/>
          <w:szCs w:val="24"/>
        </w:rPr>
        <w:t>”</w:t>
      </w:r>
      <w:r w:rsidR="00D56910" w:rsidRPr="001B69EF">
        <w:rPr>
          <w:rFonts w:ascii="Palatino Linotype" w:hAnsi="Palatino Linotype"/>
          <w:b/>
          <w:i/>
          <w:sz w:val="24"/>
          <w:szCs w:val="24"/>
        </w:rPr>
        <w:t>, “MNJ-DGA-IR-12-2022.pdf”y “MNJ-DGA-IR-002-2022.pdf”</w:t>
      </w:r>
      <w:r w:rsidR="00ED34B5" w:rsidRPr="001B69EF">
        <w:rPr>
          <w:rFonts w:ascii="Palatino Linotype" w:hAnsi="Palatino Linotype" w:cs="Arial"/>
          <w:b/>
          <w:sz w:val="24"/>
          <w:szCs w:val="24"/>
        </w:rPr>
        <w:t>,</w:t>
      </w:r>
      <w:r w:rsidR="00ED34B5" w:rsidRPr="001B69EF">
        <w:rPr>
          <w:rFonts w:ascii="Palatino Linotype" w:hAnsi="Palatino Linotype" w:cs="Arial"/>
          <w:sz w:val="24"/>
          <w:szCs w:val="24"/>
        </w:rPr>
        <w:t xml:space="preserve"> mismos que fueron puestos a la vista del Recurrente</w:t>
      </w:r>
      <w:r w:rsidR="00D56910" w:rsidRPr="001B69EF">
        <w:rPr>
          <w:rFonts w:ascii="Palatino Linotype" w:hAnsi="Palatino Linotype" w:cs="Arial"/>
          <w:sz w:val="24"/>
          <w:szCs w:val="24"/>
        </w:rPr>
        <w:t>, con excepción de los últimos dos archivos</w:t>
      </w:r>
      <w:r w:rsidR="00ED34B5" w:rsidRPr="001B69EF">
        <w:rPr>
          <w:rFonts w:ascii="Palatino Linotype" w:hAnsi="Palatino Linotype" w:cs="Arial"/>
          <w:sz w:val="24"/>
          <w:szCs w:val="24"/>
        </w:rPr>
        <w:t>. P</w:t>
      </w:r>
      <w:r w:rsidRPr="001B69EF">
        <w:rPr>
          <w:rFonts w:ascii="Palatino Linotype" w:hAnsi="Palatino Linotype" w:cs="Arial"/>
          <w:sz w:val="24"/>
          <w:szCs w:val="24"/>
        </w:rPr>
        <w:t xml:space="preserve">or su parte, el Recurrente </w:t>
      </w:r>
      <w:r w:rsidR="00D56910" w:rsidRPr="001B69EF">
        <w:rPr>
          <w:rFonts w:ascii="Palatino Linotype" w:hAnsi="Palatino Linotype" w:cs="Arial"/>
          <w:sz w:val="24"/>
          <w:szCs w:val="24"/>
        </w:rPr>
        <w:t>rindió sus pruebas y</w:t>
      </w:r>
      <w:r w:rsidR="00ED34B5" w:rsidRPr="001B69EF">
        <w:rPr>
          <w:rFonts w:ascii="Palatino Linotype" w:hAnsi="Palatino Linotype" w:cs="Arial"/>
          <w:sz w:val="24"/>
          <w:szCs w:val="24"/>
        </w:rPr>
        <w:t xml:space="preserve"> alegatos</w:t>
      </w:r>
      <w:r w:rsidRPr="001B69EF">
        <w:rPr>
          <w:rFonts w:ascii="Palatino Linotype" w:hAnsi="Palatino Linotype" w:cs="Arial"/>
          <w:sz w:val="24"/>
          <w:szCs w:val="24"/>
        </w:rPr>
        <w:t xml:space="preserve"> por medio de los archivos electrónicos “</w:t>
      </w:r>
      <w:hyperlink r:id="rId10" w:history="1">
        <w:r w:rsidRPr="001B69EF">
          <w:rPr>
            <w:rStyle w:val="Hipervnculo"/>
            <w:rFonts w:ascii="Palatino Linotype" w:hAnsi="Palatino Linotype" w:cs="Arial"/>
            <w:b/>
            <w:bCs/>
            <w:i/>
            <w:color w:val="auto"/>
            <w:sz w:val="24"/>
            <w:szCs w:val="24"/>
            <w:u w:val="none"/>
          </w:rPr>
          <w:t>alegatos.docx</w:t>
        </w:r>
      </w:hyperlink>
      <w:r w:rsidRPr="001B69EF">
        <w:rPr>
          <w:rFonts w:ascii="Palatino Linotype" w:hAnsi="Palatino Linotype"/>
          <w:i/>
          <w:sz w:val="24"/>
          <w:szCs w:val="24"/>
        </w:rPr>
        <w:t>”, “</w:t>
      </w:r>
      <w:hyperlink r:id="rId11" w:history="1">
        <w:r w:rsidRPr="001B69EF">
          <w:rPr>
            <w:rStyle w:val="Hipervnculo"/>
            <w:rFonts w:ascii="Palatino Linotype" w:hAnsi="Palatino Linotype" w:cs="Arial"/>
            <w:b/>
            <w:bCs/>
            <w:i/>
            <w:color w:val="auto"/>
            <w:sz w:val="24"/>
            <w:szCs w:val="24"/>
            <w:u w:val="none"/>
          </w:rPr>
          <w:t>RECURSO DE REVISIÓNn.docx</w:t>
        </w:r>
      </w:hyperlink>
      <w:r w:rsidRPr="001B69EF">
        <w:rPr>
          <w:rFonts w:ascii="Palatino Linotype" w:hAnsi="Palatino Linotype" w:cs="Arial"/>
          <w:i/>
          <w:sz w:val="24"/>
          <w:szCs w:val="24"/>
        </w:rPr>
        <w:t xml:space="preserve">” y “ </w:t>
      </w:r>
      <w:hyperlink r:id="rId12" w:history="1">
        <w:r w:rsidRPr="001B69EF">
          <w:rPr>
            <w:rStyle w:val="Hipervnculo"/>
            <w:rFonts w:ascii="Palatino Linotype" w:hAnsi="Palatino Linotype" w:cs="Arial"/>
            <w:b/>
            <w:bCs/>
            <w:i/>
            <w:color w:val="auto"/>
            <w:sz w:val="24"/>
            <w:szCs w:val="24"/>
            <w:u w:val="none"/>
          </w:rPr>
          <w:t>vales.pdf</w:t>
        </w:r>
      </w:hyperlink>
      <w:r w:rsidRPr="001B69EF">
        <w:rPr>
          <w:rFonts w:ascii="Palatino Linotype" w:hAnsi="Palatino Linotype" w:cs="Arial"/>
          <w:i/>
          <w:sz w:val="24"/>
          <w:szCs w:val="24"/>
        </w:rPr>
        <w:t>”</w:t>
      </w:r>
      <w:r w:rsidR="00ED34B5" w:rsidRPr="001B69EF">
        <w:rPr>
          <w:rFonts w:ascii="Palatino Linotype" w:hAnsi="Palatino Linotype" w:cs="Arial"/>
          <w:sz w:val="24"/>
          <w:szCs w:val="24"/>
        </w:rPr>
        <w:t>.</w:t>
      </w:r>
    </w:p>
    <w:p w14:paraId="0892E5C9" w14:textId="77777777" w:rsidR="00ED34B5" w:rsidRPr="001B69EF" w:rsidRDefault="00ED34B5" w:rsidP="00ED34B5">
      <w:pPr>
        <w:spacing w:after="0" w:line="360" w:lineRule="auto"/>
        <w:jc w:val="both"/>
        <w:rPr>
          <w:rFonts w:ascii="Palatino Linotype" w:hAnsi="Palatino Linotype" w:cs="Arial"/>
          <w:sz w:val="24"/>
          <w:szCs w:val="24"/>
        </w:rPr>
      </w:pPr>
    </w:p>
    <w:p w14:paraId="06861183" w14:textId="77777777" w:rsidR="00ED34B5" w:rsidRPr="001B69EF" w:rsidRDefault="00ED34B5" w:rsidP="00ED34B5">
      <w:pPr>
        <w:spacing w:after="0" w:line="360" w:lineRule="auto"/>
        <w:jc w:val="both"/>
        <w:rPr>
          <w:rFonts w:ascii="Palatino Linotype" w:hAnsi="Palatino Linotype" w:cs="Arial"/>
          <w:sz w:val="24"/>
          <w:szCs w:val="24"/>
        </w:rPr>
      </w:pPr>
      <w:r w:rsidRPr="001B69EF">
        <w:rPr>
          <w:rFonts w:ascii="Palatino Linotype" w:hAnsi="Palatino Linotype" w:cs="Arial"/>
          <w:sz w:val="24"/>
          <w:szCs w:val="24"/>
        </w:rPr>
        <w:lastRenderedPageBreak/>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05A789F" w14:textId="77777777" w:rsidR="00ED34B5" w:rsidRPr="001B69EF" w:rsidRDefault="00ED34B5" w:rsidP="00ED34B5">
      <w:pPr>
        <w:spacing w:after="0" w:line="360" w:lineRule="auto"/>
        <w:jc w:val="both"/>
        <w:rPr>
          <w:rFonts w:ascii="Palatino Linotype" w:hAnsi="Palatino Linotype" w:cs="Arial"/>
          <w:sz w:val="24"/>
          <w:szCs w:val="24"/>
        </w:rPr>
      </w:pPr>
    </w:p>
    <w:p w14:paraId="09D26825" w14:textId="77777777" w:rsidR="00ED34B5" w:rsidRPr="001B69EF" w:rsidRDefault="00B3453A" w:rsidP="00ED34B5">
      <w:pPr>
        <w:spacing w:after="0" w:line="360" w:lineRule="auto"/>
        <w:jc w:val="both"/>
        <w:rPr>
          <w:rFonts w:ascii="Palatino Linotype" w:hAnsi="Palatino Linotype" w:cs="Arial"/>
          <w:b/>
          <w:sz w:val="28"/>
          <w:szCs w:val="28"/>
        </w:rPr>
      </w:pPr>
      <w:r w:rsidRPr="001B69EF">
        <w:rPr>
          <w:rFonts w:ascii="Palatino Linotype" w:hAnsi="Palatino Linotype" w:cs="Arial"/>
          <w:b/>
          <w:sz w:val="28"/>
        </w:rPr>
        <w:t>SEXTO</w:t>
      </w:r>
      <w:r w:rsidR="00ED34B5" w:rsidRPr="001B69EF">
        <w:rPr>
          <w:rFonts w:ascii="Palatino Linotype" w:hAnsi="Palatino Linotype" w:cs="Arial"/>
          <w:b/>
          <w:sz w:val="28"/>
        </w:rPr>
        <w:t xml:space="preserve">. </w:t>
      </w:r>
      <w:r w:rsidR="00ED34B5" w:rsidRPr="001B69EF">
        <w:rPr>
          <w:rFonts w:ascii="Palatino Linotype" w:hAnsi="Palatino Linotype" w:cs="Arial"/>
          <w:b/>
          <w:sz w:val="28"/>
          <w:szCs w:val="28"/>
        </w:rPr>
        <w:t>Del cierre de la etapa de instrucción.</w:t>
      </w:r>
    </w:p>
    <w:p w14:paraId="67F21AFF" w14:textId="77777777" w:rsidR="00ED34B5" w:rsidRPr="001B69EF" w:rsidRDefault="00ED34B5" w:rsidP="00ED34B5">
      <w:pPr>
        <w:spacing w:after="0" w:line="360" w:lineRule="auto"/>
        <w:jc w:val="both"/>
        <w:rPr>
          <w:rFonts w:ascii="Palatino Linotype" w:hAnsi="Palatino Linotype" w:cs="Arial"/>
          <w:sz w:val="24"/>
          <w:szCs w:val="24"/>
        </w:rPr>
      </w:pPr>
      <w:r w:rsidRPr="001B69EF">
        <w:rPr>
          <w:rFonts w:ascii="Palatino Linotype" w:hAnsi="Palatino Linotype" w:cs="Arial"/>
          <w:sz w:val="24"/>
          <w:szCs w:val="24"/>
        </w:rPr>
        <w:t>En fecha</w:t>
      </w:r>
      <w:r w:rsidR="00837EC7" w:rsidRPr="001B69EF">
        <w:rPr>
          <w:rFonts w:ascii="Palatino Linotype" w:eastAsia="Calibri" w:hAnsi="Palatino Linotype" w:cs="Arial"/>
          <w:b/>
          <w:sz w:val="24"/>
          <w:lang w:val="es-ES_tradnl"/>
        </w:rPr>
        <w:t xml:space="preserve"> primero de diciembre de dos mil veintidós</w:t>
      </w:r>
      <w:r w:rsidRPr="001B69EF">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14:paraId="4E029462" w14:textId="77777777" w:rsidR="00ED34B5" w:rsidRPr="001B69EF" w:rsidRDefault="00ED34B5" w:rsidP="00ED34B5">
      <w:pPr>
        <w:spacing w:after="0" w:line="360" w:lineRule="auto"/>
        <w:jc w:val="both"/>
        <w:rPr>
          <w:rFonts w:ascii="Palatino Linotype" w:hAnsi="Palatino Linotype" w:cs="Arial"/>
          <w:sz w:val="24"/>
          <w:szCs w:val="24"/>
        </w:rPr>
      </w:pPr>
    </w:p>
    <w:p w14:paraId="54035515" w14:textId="77777777" w:rsidR="00ED34B5" w:rsidRPr="001B69EF" w:rsidRDefault="00B3453A" w:rsidP="00ED34B5">
      <w:pPr>
        <w:spacing w:line="360" w:lineRule="auto"/>
        <w:jc w:val="both"/>
        <w:rPr>
          <w:rFonts w:ascii="Palatino Linotype" w:eastAsia="Calibri" w:hAnsi="Palatino Linotype" w:cs="Arial"/>
          <w:b/>
          <w:sz w:val="28"/>
          <w:lang w:val="es-ES_tradnl"/>
        </w:rPr>
      </w:pPr>
      <w:r w:rsidRPr="001B69EF">
        <w:rPr>
          <w:rFonts w:ascii="Palatino Linotype" w:hAnsi="Palatino Linotype" w:cs="Arial"/>
          <w:b/>
          <w:sz w:val="28"/>
        </w:rPr>
        <w:t>SÉPTIMO</w:t>
      </w:r>
      <w:r w:rsidR="00ED34B5" w:rsidRPr="001B69EF">
        <w:rPr>
          <w:rFonts w:ascii="Palatino Linotype" w:hAnsi="Palatino Linotype" w:cs="Arial"/>
          <w:b/>
          <w:sz w:val="28"/>
        </w:rPr>
        <w:t xml:space="preserve">. </w:t>
      </w:r>
      <w:r w:rsidR="00ED34B5" w:rsidRPr="001B69EF">
        <w:rPr>
          <w:rFonts w:ascii="Palatino Linotype" w:hAnsi="Palatino Linotype" w:cs="Arial"/>
          <w:b/>
          <w:sz w:val="28"/>
          <w:szCs w:val="28"/>
        </w:rPr>
        <w:t xml:space="preserve">De la ampliación </w:t>
      </w:r>
      <w:r w:rsidR="00ED34B5" w:rsidRPr="001B69EF">
        <w:rPr>
          <w:rFonts w:ascii="Palatino Linotype" w:eastAsia="Calibri" w:hAnsi="Palatino Linotype" w:cs="Arial"/>
          <w:b/>
          <w:sz w:val="28"/>
          <w:lang w:val="es-ES_tradnl"/>
        </w:rPr>
        <w:t>del término para resolver.</w:t>
      </w:r>
    </w:p>
    <w:p w14:paraId="1EE3EC89" w14:textId="77777777" w:rsidR="00ED34B5" w:rsidRPr="001B69EF" w:rsidRDefault="00ED34B5" w:rsidP="00ED34B5">
      <w:pPr>
        <w:spacing w:line="360" w:lineRule="auto"/>
        <w:jc w:val="both"/>
        <w:rPr>
          <w:rFonts w:ascii="Palatino Linotype" w:eastAsia="Calibri" w:hAnsi="Palatino Linotype" w:cs="Arial"/>
          <w:sz w:val="24"/>
          <w:lang w:val="es-ES_tradnl"/>
        </w:rPr>
      </w:pPr>
      <w:r w:rsidRPr="001B69EF">
        <w:rPr>
          <w:rFonts w:ascii="Palatino Linotype" w:eastAsia="Calibri" w:hAnsi="Palatino Linotype" w:cs="Arial"/>
          <w:sz w:val="24"/>
          <w:lang w:val="es-ES_tradnl"/>
        </w:rPr>
        <w:t>En fecha</w:t>
      </w:r>
      <w:r w:rsidR="00837EC7" w:rsidRPr="001B69EF">
        <w:rPr>
          <w:rFonts w:ascii="Palatino Linotype" w:eastAsia="Calibri" w:hAnsi="Palatino Linotype" w:cs="Arial"/>
          <w:sz w:val="24"/>
          <w:lang w:val="es-ES_tradnl"/>
        </w:rPr>
        <w:t xml:space="preserve"> </w:t>
      </w:r>
      <w:r w:rsidR="00837EC7" w:rsidRPr="001B69EF">
        <w:rPr>
          <w:rFonts w:ascii="Palatino Linotype" w:eastAsia="Calibri" w:hAnsi="Palatino Linotype" w:cs="Arial"/>
          <w:b/>
          <w:sz w:val="24"/>
          <w:lang w:val="es-ES_tradnl"/>
        </w:rPr>
        <w:t>diecisiete de enero de dos mil veintitrés</w:t>
      </w:r>
      <w:r w:rsidRPr="001B69EF">
        <w:rPr>
          <w:rFonts w:ascii="Palatino Linotype" w:eastAsia="Calibri" w:hAnsi="Palatino Linotype" w:cs="Arial"/>
          <w:sz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28F5F872" w14:textId="77777777" w:rsidR="00ED34B5" w:rsidRPr="001B69EF" w:rsidRDefault="00ED34B5" w:rsidP="00ED34B5">
      <w:pPr>
        <w:spacing w:after="0" w:line="360" w:lineRule="auto"/>
        <w:jc w:val="both"/>
        <w:rPr>
          <w:rFonts w:ascii="Palatino Linotype" w:hAnsi="Palatino Linotype"/>
          <w:sz w:val="24"/>
          <w:szCs w:val="24"/>
          <w:lang w:val="es-ES_tradnl"/>
        </w:rPr>
      </w:pPr>
    </w:p>
    <w:p w14:paraId="7F48FB7C"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B69EF">
        <w:rPr>
          <w:rFonts w:ascii="Palatino Linotype" w:hAnsi="Palatino Linotype"/>
          <w:sz w:val="24"/>
          <w:szCs w:val="24"/>
          <w:lang w:val="es-ES_tradnl"/>
        </w:rPr>
        <w:t xml:space="preserve">Este organismo garante no pasa por alto justificar, </w:t>
      </w:r>
      <w:r w:rsidRPr="001B69EF">
        <w:rPr>
          <w:rFonts w:ascii="Palatino Linotype" w:hAnsi="Palatino Linotype"/>
          <w:bCs/>
          <w:sz w:val="24"/>
          <w:szCs w:val="24"/>
          <w:lang w:val="es-ES_tradnl"/>
        </w:rPr>
        <w:t xml:space="preserve">que el plazo para emitir resolución en el presente asunto </w:t>
      </w:r>
      <w:r w:rsidRPr="001B69EF">
        <w:rPr>
          <w:rFonts w:ascii="Palatino Linotype" w:hAnsi="Palatino Linotype"/>
          <w:sz w:val="24"/>
          <w:szCs w:val="24"/>
          <w:lang w:val="es-ES_tradnl"/>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1B69EF">
        <w:rPr>
          <w:rFonts w:ascii="Palatino Linotype" w:hAnsi="Palatino Linotype"/>
          <w:sz w:val="24"/>
          <w:szCs w:val="24"/>
          <w:lang w:val="es-ES_tradnl"/>
        </w:rPr>
        <w:lastRenderedPageBreak/>
        <w:t>técnicas y humanas del personal encargado de la proyección de las resoluciones a dichos medios de impugnación.</w:t>
      </w:r>
    </w:p>
    <w:p w14:paraId="2DE4CE97"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B69EF">
        <w:rPr>
          <w:rFonts w:ascii="Palatino Linotype" w:hAnsi="Palatino Linotype"/>
          <w:sz w:val="24"/>
          <w:szCs w:val="24"/>
          <w:lang w:val="es-ES_tradnl"/>
        </w:rPr>
        <w:t xml:space="preserve"> </w:t>
      </w:r>
    </w:p>
    <w:p w14:paraId="3DD64B26"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B69EF">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1B69EF">
        <w:rPr>
          <w:rFonts w:ascii="Palatino Linotype" w:hAnsi="Palatino Linotype"/>
          <w:bCs/>
          <w:sz w:val="24"/>
          <w:szCs w:val="24"/>
          <w:lang w:val="es-ES_tradnl"/>
        </w:rPr>
        <w:t>el plazo para emitir resolución</w:t>
      </w:r>
      <w:r w:rsidRPr="001B69EF">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10DD7E8"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B69EF">
        <w:rPr>
          <w:rFonts w:ascii="Palatino Linotype" w:hAnsi="Palatino Linotype"/>
          <w:sz w:val="24"/>
          <w:szCs w:val="24"/>
          <w:lang w:val="es-ES_tradnl"/>
        </w:rPr>
        <w:t xml:space="preserve"> </w:t>
      </w:r>
    </w:p>
    <w:p w14:paraId="6B20B6B8"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B69EF">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0EB012"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B69EF">
        <w:rPr>
          <w:rFonts w:ascii="Palatino Linotype" w:hAnsi="Palatino Linotype"/>
          <w:sz w:val="24"/>
          <w:szCs w:val="24"/>
          <w:lang w:val="es-ES_tradnl"/>
        </w:rPr>
        <w:t xml:space="preserve"> </w:t>
      </w:r>
    </w:p>
    <w:p w14:paraId="0B858CDE"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B69EF">
        <w:rPr>
          <w:rFonts w:ascii="Palatino Linotype" w:hAnsi="Palatino Linotype"/>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D79CA76"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B69EF">
        <w:rPr>
          <w:rFonts w:ascii="Palatino Linotype" w:hAnsi="Palatino Linotype"/>
          <w:sz w:val="24"/>
          <w:szCs w:val="24"/>
          <w:lang w:val="es-ES_tradnl"/>
        </w:rPr>
        <w:t xml:space="preserve"> </w:t>
      </w:r>
    </w:p>
    <w:p w14:paraId="6458D1FA"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B69EF">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3E7C5E1B"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432F611" w14:textId="77777777" w:rsidR="00ED34B5" w:rsidRPr="001B69EF" w:rsidRDefault="00ED34B5" w:rsidP="00ED34B5">
      <w:pPr>
        <w:numPr>
          <w:ilvl w:val="0"/>
          <w:numId w:val="9"/>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B69EF">
        <w:rPr>
          <w:rFonts w:ascii="Palatino Linotype" w:hAnsi="Palatino Linotype"/>
          <w:b/>
          <w:sz w:val="24"/>
          <w:szCs w:val="24"/>
          <w:lang w:val="es-ES_tradnl"/>
        </w:rPr>
        <w:lastRenderedPageBreak/>
        <w:t>Complejidad del asunto:</w:t>
      </w:r>
      <w:r w:rsidRPr="001B69EF">
        <w:rPr>
          <w:rFonts w:ascii="Palatino Linotype" w:hAnsi="Palatino Linotype"/>
          <w:sz w:val="24"/>
          <w:szCs w:val="24"/>
          <w:lang w:val="es-ES_tradnl"/>
        </w:rPr>
        <w:t xml:space="preserve"> La complejidad de la prueba, la pluralidad de sujetos procesales, el tiempo transcurrido, las características y contexto del recurso.</w:t>
      </w:r>
    </w:p>
    <w:p w14:paraId="7216D638" w14:textId="77777777" w:rsidR="00ED34B5" w:rsidRPr="001B69EF" w:rsidRDefault="00ED34B5" w:rsidP="00ED34B5">
      <w:pPr>
        <w:numPr>
          <w:ilvl w:val="0"/>
          <w:numId w:val="9"/>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B69EF">
        <w:rPr>
          <w:rFonts w:ascii="Palatino Linotype" w:hAnsi="Palatino Linotype"/>
          <w:b/>
          <w:sz w:val="24"/>
          <w:szCs w:val="24"/>
          <w:lang w:val="es-ES_tradnl"/>
        </w:rPr>
        <w:t>Actividad Procesal del interesado:</w:t>
      </w:r>
      <w:r w:rsidRPr="001B69EF">
        <w:rPr>
          <w:rFonts w:ascii="Palatino Linotype" w:hAnsi="Palatino Linotype"/>
          <w:sz w:val="24"/>
          <w:szCs w:val="24"/>
          <w:lang w:val="es-ES_tradnl"/>
        </w:rPr>
        <w:t xml:space="preserve"> Acciones u omisiones del interesado.</w:t>
      </w:r>
    </w:p>
    <w:p w14:paraId="71251FB2" w14:textId="77777777" w:rsidR="00ED34B5" w:rsidRPr="001B69EF" w:rsidRDefault="00ED34B5" w:rsidP="00ED34B5">
      <w:pPr>
        <w:numPr>
          <w:ilvl w:val="0"/>
          <w:numId w:val="9"/>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B69EF">
        <w:rPr>
          <w:rFonts w:ascii="Palatino Linotype" w:hAnsi="Palatino Linotype"/>
          <w:b/>
          <w:sz w:val="24"/>
          <w:szCs w:val="24"/>
          <w:lang w:val="es-ES_tradnl"/>
        </w:rPr>
        <w:t>Conducta de la Autoridad:</w:t>
      </w:r>
      <w:r w:rsidRPr="001B69EF">
        <w:rPr>
          <w:rFonts w:ascii="Palatino Linotype" w:hAnsi="Palatino Linotype"/>
          <w:sz w:val="24"/>
          <w:szCs w:val="24"/>
          <w:lang w:val="es-ES_tradnl"/>
        </w:rPr>
        <w:t xml:space="preserve"> Las Acciones u omisiones realizadas en el procedimiento. Así como si la autoridad actuó con la debida diligencia.</w:t>
      </w:r>
    </w:p>
    <w:p w14:paraId="383DEB85" w14:textId="77777777" w:rsidR="00ED34B5" w:rsidRPr="001B69EF" w:rsidRDefault="00ED34B5" w:rsidP="00ED34B5">
      <w:pPr>
        <w:numPr>
          <w:ilvl w:val="0"/>
          <w:numId w:val="9"/>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B69EF">
        <w:rPr>
          <w:rFonts w:ascii="Palatino Linotype" w:hAnsi="Palatino Linotype"/>
          <w:b/>
          <w:sz w:val="24"/>
          <w:szCs w:val="24"/>
          <w:lang w:val="es-ES_tradnl"/>
        </w:rPr>
        <w:t>La afectación generada en la situación jurídica de la persona involucrada en el proceso:</w:t>
      </w:r>
      <w:r w:rsidRPr="001B69EF">
        <w:rPr>
          <w:rFonts w:ascii="Palatino Linotype" w:hAnsi="Palatino Linotype"/>
          <w:sz w:val="24"/>
          <w:szCs w:val="24"/>
          <w:lang w:val="es-ES_tradnl"/>
        </w:rPr>
        <w:t xml:space="preserve"> Violación a sus derechos humanos.</w:t>
      </w:r>
    </w:p>
    <w:p w14:paraId="3A8130E6"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93DAA65"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B69EF">
        <w:rPr>
          <w:rFonts w:ascii="Palatino Linotype" w:hAnsi="Palatino Linotype"/>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DBE9912"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402F9BE"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B69EF">
        <w:rPr>
          <w:rFonts w:ascii="Palatino Linotype" w:hAnsi="Palatino Linotype"/>
          <w:sz w:val="24"/>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133BC52"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68CC8EDF"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B69EF">
        <w:rPr>
          <w:rFonts w:ascii="Palatino Linotype" w:hAnsi="Palatino Linotype"/>
          <w:sz w:val="24"/>
          <w:szCs w:val="24"/>
          <w:lang w:val="es-ES_tradn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1B69EF">
        <w:rPr>
          <w:rFonts w:ascii="Palatino Linotype" w:hAnsi="Palatino Linotype"/>
          <w:sz w:val="24"/>
          <w:szCs w:val="24"/>
          <w:lang w:val="es-ES_tradnl"/>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91EF3C"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1B938BB1"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B69EF">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14:paraId="0662D64D"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18C40903"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B69EF">
        <w:rPr>
          <w:rFonts w:ascii="Palatino Linotype" w:hAnsi="Palatino Linotype"/>
          <w:sz w:val="24"/>
          <w:szCs w:val="24"/>
          <w:lang w:val="es-ES_tradnl"/>
        </w:rPr>
        <w:t>“</w:t>
      </w:r>
      <w:r w:rsidRPr="001B69EF">
        <w:rPr>
          <w:rFonts w:ascii="Palatino Linotype" w:hAnsi="Palatino Linotype"/>
          <w:b/>
          <w:sz w:val="24"/>
          <w:szCs w:val="24"/>
          <w:lang w:val="es-ES_tradnl"/>
        </w:rPr>
        <w:t>PLAZO RAZONABLE PARA RESOLVER. DIMENSIÓN Y EFECTOS DE ESTE CONCEPTO CUANDO SE ADUCE EXCESIVA CARGA DE TRABAJO.”</w:t>
      </w:r>
      <w:r w:rsidRPr="001B69EF">
        <w:rPr>
          <w:rFonts w:ascii="Palatino Linotype" w:hAnsi="Palatino Linotype"/>
          <w:sz w:val="24"/>
          <w:szCs w:val="24"/>
          <w:lang w:val="es-ES_tradnl"/>
        </w:rPr>
        <w:t xml:space="preserve"> consultable en el Seminario Judicial de la Federación y su gaceta, con el registro digital 2002351.</w:t>
      </w:r>
    </w:p>
    <w:p w14:paraId="339A850B"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9EEBF60"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B69EF">
        <w:rPr>
          <w:rFonts w:ascii="Palatino Linotype" w:hAnsi="Palatino Linotype"/>
          <w:sz w:val="24"/>
          <w:szCs w:val="24"/>
          <w:lang w:val="es-ES_tradnl"/>
        </w:rPr>
        <w:t>“</w:t>
      </w:r>
      <w:r w:rsidRPr="001B69EF">
        <w:rPr>
          <w:rFonts w:ascii="Palatino Linotype" w:hAnsi="Palatino Linotype"/>
          <w:b/>
          <w:sz w:val="24"/>
          <w:szCs w:val="24"/>
          <w:lang w:val="es-ES_tradnl"/>
        </w:rPr>
        <w:t>PLAZO RAZONABLE PARA RESOLVER. CONCEPTO Y ELEMENTOS QUE LO INTEGRAN A LA LUZ DEL DERECHO INTERNACIONAL DE LOS DERECHOS HUMANOS.”,</w:t>
      </w:r>
      <w:r w:rsidRPr="001B69EF">
        <w:rPr>
          <w:rFonts w:ascii="Palatino Linotype" w:hAnsi="Palatino Linotype"/>
          <w:sz w:val="24"/>
          <w:szCs w:val="24"/>
          <w:lang w:val="es-ES_tradnl"/>
        </w:rPr>
        <w:t xml:space="preserve"> visible en el Seminario Judicial de la Federación y su gaceta, con el registro digital 2002350.</w:t>
      </w:r>
    </w:p>
    <w:p w14:paraId="6730B18B"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5218225F" w14:textId="77777777" w:rsidR="00ED34B5" w:rsidRPr="001B69EF"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B69EF">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14:paraId="02EB808A" w14:textId="77777777" w:rsidR="00ED34B5" w:rsidRPr="001B69EF" w:rsidRDefault="00ED34B5" w:rsidP="00ED34B5">
      <w:pPr>
        <w:spacing w:after="0" w:line="360" w:lineRule="auto"/>
        <w:jc w:val="both"/>
        <w:rPr>
          <w:rFonts w:ascii="Palatino Linotype" w:hAnsi="Palatino Linotype" w:cs="Arial"/>
          <w:sz w:val="24"/>
          <w:szCs w:val="24"/>
        </w:rPr>
      </w:pPr>
    </w:p>
    <w:p w14:paraId="1FAEE26F" w14:textId="77777777" w:rsidR="00ED34B5" w:rsidRPr="001B69EF" w:rsidRDefault="00ED34B5" w:rsidP="00ED34B5">
      <w:pPr>
        <w:spacing w:after="0" w:line="360" w:lineRule="auto"/>
        <w:jc w:val="center"/>
        <w:rPr>
          <w:rFonts w:ascii="Palatino Linotype" w:hAnsi="Palatino Linotype" w:cs="Arial"/>
          <w:b/>
          <w:sz w:val="28"/>
        </w:rPr>
      </w:pPr>
      <w:r w:rsidRPr="001B69EF">
        <w:rPr>
          <w:rFonts w:ascii="Palatino Linotype" w:hAnsi="Palatino Linotype" w:cs="Arial"/>
          <w:b/>
          <w:sz w:val="28"/>
        </w:rPr>
        <w:lastRenderedPageBreak/>
        <w:t xml:space="preserve">C O N S I D E R A N D O </w:t>
      </w:r>
    </w:p>
    <w:p w14:paraId="13318DED" w14:textId="77777777" w:rsidR="00ED34B5" w:rsidRPr="001B69EF" w:rsidRDefault="00ED34B5" w:rsidP="00ED34B5">
      <w:pPr>
        <w:pStyle w:val="Sinespaciado"/>
        <w:rPr>
          <w:rFonts w:ascii="Palatino Linotype" w:hAnsi="Palatino Linotype"/>
        </w:rPr>
      </w:pPr>
    </w:p>
    <w:p w14:paraId="6F1E8028" w14:textId="77777777" w:rsidR="00ED34B5" w:rsidRPr="001B69EF" w:rsidRDefault="00ED34B5" w:rsidP="00ED34B5">
      <w:pPr>
        <w:spacing w:after="0" w:line="360" w:lineRule="auto"/>
        <w:jc w:val="both"/>
        <w:rPr>
          <w:rFonts w:ascii="Palatino Linotype" w:hAnsi="Palatino Linotype" w:cs="Arial"/>
          <w:sz w:val="24"/>
        </w:rPr>
      </w:pPr>
      <w:r w:rsidRPr="001B69EF">
        <w:rPr>
          <w:rFonts w:ascii="Palatino Linotype" w:hAnsi="Palatino Linotype" w:cs="Arial"/>
          <w:b/>
          <w:sz w:val="28"/>
        </w:rPr>
        <w:t>PRIMERO.</w:t>
      </w:r>
      <w:r w:rsidRPr="001B69EF">
        <w:rPr>
          <w:rFonts w:ascii="Palatino Linotype" w:hAnsi="Palatino Linotype" w:cs="Arial"/>
          <w:b/>
        </w:rPr>
        <w:t xml:space="preserve"> </w:t>
      </w:r>
      <w:r w:rsidRPr="001B69EF">
        <w:rPr>
          <w:rFonts w:ascii="Palatino Linotype" w:hAnsi="Palatino Linotype" w:cs="Arial"/>
          <w:b/>
          <w:sz w:val="28"/>
          <w:szCs w:val="28"/>
        </w:rPr>
        <w:t>De la competencia</w:t>
      </w:r>
      <w:r w:rsidRPr="001B69EF">
        <w:rPr>
          <w:rFonts w:ascii="Palatino Linotype" w:hAnsi="Palatino Linotype" w:cs="Arial"/>
          <w:sz w:val="28"/>
          <w:szCs w:val="28"/>
        </w:rPr>
        <w:t>.</w:t>
      </w:r>
    </w:p>
    <w:p w14:paraId="00276E2E" w14:textId="77777777" w:rsidR="00ED34B5" w:rsidRPr="001B69EF" w:rsidRDefault="00ED34B5" w:rsidP="00ED34B5">
      <w:pPr>
        <w:pStyle w:val="Sinespaciado"/>
        <w:spacing w:line="360" w:lineRule="auto"/>
        <w:jc w:val="both"/>
        <w:rPr>
          <w:rFonts w:ascii="Palatino Linotype" w:hAnsi="Palatino Linotype"/>
        </w:rPr>
      </w:pPr>
      <w:r w:rsidRPr="001B69EF">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w:t>
      </w:r>
      <w:r w:rsidR="00837EC7" w:rsidRPr="001B69EF">
        <w:rPr>
          <w:rFonts w:ascii="Palatino Linotype" w:hAnsi="Palatino Linotype"/>
        </w:rPr>
        <w:t>s; 5, párrafos trigésimo segundo y trigésimo tercero</w:t>
      </w:r>
      <w:r w:rsidRPr="001B69EF">
        <w:rPr>
          <w:rFonts w:ascii="Palatino Linotype" w:hAnsi="Palatino Linotype"/>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3BA80B4" w14:textId="77777777" w:rsidR="00ED34B5" w:rsidRPr="001B69EF" w:rsidRDefault="00ED34B5" w:rsidP="00ED34B5">
      <w:pPr>
        <w:pStyle w:val="Prrafodelista"/>
        <w:autoSpaceDE w:val="0"/>
        <w:autoSpaceDN w:val="0"/>
        <w:adjustRightInd w:val="0"/>
        <w:spacing w:line="360" w:lineRule="auto"/>
        <w:ind w:left="0"/>
        <w:jc w:val="both"/>
        <w:rPr>
          <w:rFonts w:ascii="Palatino Linotype" w:hAnsi="Palatino Linotype" w:cs="Arial"/>
          <w:b/>
          <w:sz w:val="28"/>
        </w:rPr>
      </w:pPr>
    </w:p>
    <w:p w14:paraId="24E83064" w14:textId="77777777" w:rsidR="00ED34B5" w:rsidRPr="001B69EF" w:rsidRDefault="00ED34B5" w:rsidP="00ED34B5">
      <w:pPr>
        <w:pStyle w:val="Prrafodelista"/>
        <w:autoSpaceDE w:val="0"/>
        <w:autoSpaceDN w:val="0"/>
        <w:adjustRightInd w:val="0"/>
        <w:spacing w:line="360" w:lineRule="auto"/>
        <w:ind w:left="0"/>
        <w:jc w:val="both"/>
        <w:rPr>
          <w:rFonts w:ascii="Palatino Linotype" w:hAnsi="Palatino Linotype" w:cs="Arial"/>
          <w:b/>
        </w:rPr>
      </w:pPr>
      <w:r w:rsidRPr="001B69EF">
        <w:rPr>
          <w:rFonts w:ascii="Palatino Linotype" w:hAnsi="Palatino Linotype" w:cs="Arial"/>
          <w:b/>
          <w:sz w:val="28"/>
        </w:rPr>
        <w:t>SEGUNDO</w:t>
      </w:r>
      <w:r w:rsidRPr="001B69EF">
        <w:rPr>
          <w:rFonts w:ascii="Palatino Linotype" w:hAnsi="Palatino Linotype" w:cs="Arial"/>
          <w:b/>
        </w:rPr>
        <w:t xml:space="preserve">. </w:t>
      </w:r>
      <w:r w:rsidRPr="001B69EF">
        <w:rPr>
          <w:rFonts w:ascii="Palatino Linotype" w:hAnsi="Palatino Linotype" w:cs="Arial"/>
          <w:b/>
          <w:sz w:val="28"/>
          <w:szCs w:val="28"/>
        </w:rPr>
        <w:t>Sobre los alcances del recurso de revisión.</w:t>
      </w:r>
      <w:r w:rsidRPr="001B69EF">
        <w:rPr>
          <w:rFonts w:ascii="Palatino Linotype" w:hAnsi="Palatino Linotype" w:cs="Arial"/>
          <w:b/>
        </w:rPr>
        <w:t xml:space="preserve"> </w:t>
      </w:r>
    </w:p>
    <w:p w14:paraId="7A953A9C" w14:textId="77777777" w:rsidR="00ED34B5" w:rsidRPr="001B69EF" w:rsidRDefault="00ED34B5" w:rsidP="00ED34B5">
      <w:pPr>
        <w:autoSpaceDE w:val="0"/>
        <w:autoSpaceDN w:val="0"/>
        <w:adjustRightInd w:val="0"/>
        <w:spacing w:after="0" w:line="360" w:lineRule="auto"/>
        <w:jc w:val="both"/>
        <w:rPr>
          <w:rFonts w:ascii="Palatino Linotype" w:hAnsi="Palatino Linotype" w:cs="Arial"/>
          <w:sz w:val="24"/>
          <w:szCs w:val="24"/>
        </w:rPr>
      </w:pPr>
      <w:r w:rsidRPr="001B69EF">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9F67B3A" w14:textId="77777777" w:rsidR="00ED34B5" w:rsidRPr="001B69EF" w:rsidRDefault="00ED34B5" w:rsidP="00ED34B5">
      <w:pPr>
        <w:autoSpaceDE w:val="0"/>
        <w:autoSpaceDN w:val="0"/>
        <w:adjustRightInd w:val="0"/>
        <w:spacing w:after="0" w:line="360" w:lineRule="auto"/>
        <w:jc w:val="both"/>
        <w:rPr>
          <w:rFonts w:ascii="Palatino Linotype" w:hAnsi="Palatino Linotype" w:cs="Arial"/>
          <w:sz w:val="24"/>
          <w:szCs w:val="24"/>
        </w:rPr>
      </w:pPr>
    </w:p>
    <w:p w14:paraId="0FE24EBE" w14:textId="77777777" w:rsidR="00ED34B5" w:rsidRPr="001B69EF" w:rsidRDefault="00ED34B5" w:rsidP="00ED34B5">
      <w:pPr>
        <w:autoSpaceDE w:val="0"/>
        <w:autoSpaceDN w:val="0"/>
        <w:adjustRightInd w:val="0"/>
        <w:spacing w:after="0" w:line="360" w:lineRule="auto"/>
        <w:jc w:val="both"/>
        <w:rPr>
          <w:rFonts w:ascii="Palatino Linotype" w:hAnsi="Palatino Linotype" w:cs="Arial"/>
          <w:sz w:val="24"/>
          <w:szCs w:val="24"/>
        </w:rPr>
      </w:pPr>
      <w:r w:rsidRPr="001B69EF">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77F38D5C" w14:textId="77777777" w:rsidR="00ED34B5" w:rsidRPr="001B69EF" w:rsidRDefault="00ED34B5" w:rsidP="00ED34B5">
      <w:pPr>
        <w:autoSpaceDE w:val="0"/>
        <w:autoSpaceDN w:val="0"/>
        <w:adjustRightInd w:val="0"/>
        <w:spacing w:after="0" w:line="360" w:lineRule="auto"/>
        <w:jc w:val="both"/>
        <w:rPr>
          <w:rFonts w:ascii="Palatino Linotype" w:hAnsi="Palatino Linotype" w:cs="Arial"/>
          <w:sz w:val="24"/>
          <w:szCs w:val="24"/>
        </w:rPr>
      </w:pPr>
    </w:p>
    <w:p w14:paraId="5583076B" w14:textId="77777777" w:rsidR="00ED34B5" w:rsidRPr="001B69EF"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B69EF">
        <w:rPr>
          <w:rFonts w:ascii="Palatino Linotype" w:eastAsia="Times New Roman" w:hAnsi="Palatino Linotype" w:cs="Arial"/>
          <w:i/>
          <w:lang w:val="es-ES" w:eastAsia="es-ES"/>
        </w:rPr>
        <w:t>“</w:t>
      </w:r>
      <w:r w:rsidRPr="001B69EF">
        <w:rPr>
          <w:rFonts w:ascii="Palatino Linotype" w:eastAsia="Times New Roman" w:hAnsi="Palatino Linotype" w:cs="Arial"/>
          <w:b/>
          <w:i/>
          <w:lang w:val="es-ES" w:eastAsia="es-ES"/>
        </w:rPr>
        <w:t>Artículo 163.</w:t>
      </w:r>
      <w:r w:rsidRPr="001B69EF">
        <w:rPr>
          <w:rFonts w:ascii="Palatino Linotype" w:eastAsia="Times New Roman" w:hAnsi="Palatino Linotype" w:cs="Arial"/>
          <w:i/>
          <w:lang w:val="es-ES" w:eastAsia="es-ES"/>
        </w:rPr>
        <w:t xml:space="preserve"> </w:t>
      </w:r>
      <w:r w:rsidRPr="001B69EF">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EC07D99" w14:textId="77777777" w:rsidR="00ED34B5" w:rsidRPr="001B69EF"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B69EF">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99F155F" w14:textId="77777777" w:rsidR="00ED34B5" w:rsidRPr="001B69EF" w:rsidRDefault="00ED34B5" w:rsidP="00ED34B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B69EF">
        <w:rPr>
          <w:rFonts w:ascii="Palatino Linotype" w:eastAsia="Times New Roman" w:hAnsi="Palatino Linotype" w:cs="Arial"/>
          <w:lang w:val="es-ES" w:eastAsia="es-ES"/>
        </w:rPr>
        <w:t>(Énfasis añadido)</w:t>
      </w:r>
    </w:p>
    <w:p w14:paraId="4703BF98" w14:textId="77777777" w:rsidR="00ED34B5" w:rsidRPr="001B69EF" w:rsidRDefault="00ED34B5" w:rsidP="00ED34B5">
      <w:pPr>
        <w:autoSpaceDE w:val="0"/>
        <w:autoSpaceDN w:val="0"/>
        <w:adjustRightInd w:val="0"/>
        <w:spacing w:after="0" w:line="360" w:lineRule="auto"/>
        <w:jc w:val="both"/>
        <w:rPr>
          <w:rFonts w:ascii="Palatino Linotype" w:hAnsi="Palatino Linotype" w:cs="Arial"/>
          <w:sz w:val="24"/>
          <w:szCs w:val="24"/>
        </w:rPr>
      </w:pPr>
    </w:p>
    <w:p w14:paraId="75D9FB23" w14:textId="77777777" w:rsidR="00ED34B5" w:rsidRPr="001B69EF" w:rsidRDefault="00ED34B5" w:rsidP="00ED34B5">
      <w:pPr>
        <w:autoSpaceDE w:val="0"/>
        <w:autoSpaceDN w:val="0"/>
        <w:adjustRightInd w:val="0"/>
        <w:spacing w:after="0" w:line="360" w:lineRule="auto"/>
        <w:jc w:val="both"/>
        <w:rPr>
          <w:rFonts w:ascii="Palatino Linotype" w:hAnsi="Palatino Linotype" w:cs="Arial"/>
          <w:sz w:val="24"/>
          <w:szCs w:val="24"/>
        </w:rPr>
      </w:pPr>
      <w:r w:rsidRPr="001B69EF">
        <w:rPr>
          <w:rFonts w:ascii="Palatino Linotype" w:hAnsi="Palatino Linotype" w:cs="Arial"/>
          <w:sz w:val="24"/>
          <w:szCs w:val="24"/>
        </w:rPr>
        <w:t xml:space="preserve">De la interpretación al precepto legal inserto, se advierte que el plazo que les asiste a los </w:t>
      </w:r>
      <w:r w:rsidRPr="001B69EF">
        <w:rPr>
          <w:rFonts w:ascii="Palatino Linotype" w:hAnsi="Palatino Linotype" w:cs="Arial"/>
          <w:b/>
          <w:sz w:val="24"/>
          <w:szCs w:val="24"/>
        </w:rPr>
        <w:t>sujetos</w:t>
      </w:r>
      <w:r w:rsidRPr="001B69EF">
        <w:rPr>
          <w:rFonts w:ascii="Palatino Linotype" w:hAnsi="Palatino Linotype" w:cs="Arial"/>
          <w:sz w:val="24"/>
          <w:szCs w:val="24"/>
        </w:rPr>
        <w:t xml:space="preserve"> </w:t>
      </w:r>
      <w:r w:rsidRPr="001B69EF">
        <w:rPr>
          <w:rFonts w:ascii="Palatino Linotype" w:hAnsi="Palatino Linotype" w:cs="Arial"/>
          <w:b/>
          <w:sz w:val="24"/>
          <w:szCs w:val="24"/>
        </w:rPr>
        <w:t>obligados</w:t>
      </w:r>
      <w:r w:rsidRPr="001B69EF">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6847483" w14:textId="77777777" w:rsidR="00ED34B5" w:rsidRPr="001B69EF" w:rsidRDefault="00ED34B5" w:rsidP="00ED34B5">
      <w:pPr>
        <w:autoSpaceDE w:val="0"/>
        <w:autoSpaceDN w:val="0"/>
        <w:adjustRightInd w:val="0"/>
        <w:spacing w:after="0" w:line="360" w:lineRule="auto"/>
        <w:jc w:val="both"/>
        <w:rPr>
          <w:rFonts w:ascii="Palatino Linotype" w:hAnsi="Palatino Linotype" w:cs="Arial"/>
          <w:sz w:val="24"/>
          <w:szCs w:val="24"/>
        </w:rPr>
      </w:pPr>
    </w:p>
    <w:p w14:paraId="627696BC" w14:textId="77777777" w:rsidR="00ED34B5" w:rsidRPr="001B69EF" w:rsidRDefault="00ED34B5" w:rsidP="00ED34B5">
      <w:pPr>
        <w:autoSpaceDE w:val="0"/>
        <w:autoSpaceDN w:val="0"/>
        <w:adjustRightInd w:val="0"/>
        <w:spacing w:after="0" w:line="360" w:lineRule="auto"/>
        <w:jc w:val="both"/>
        <w:rPr>
          <w:rFonts w:ascii="Palatino Linotype" w:hAnsi="Palatino Linotype" w:cs="Arial"/>
          <w:sz w:val="24"/>
          <w:szCs w:val="24"/>
        </w:rPr>
      </w:pPr>
      <w:r w:rsidRPr="001B69EF">
        <w:rPr>
          <w:rFonts w:ascii="Palatino Linotype" w:hAnsi="Palatino Linotype" w:cs="Arial"/>
          <w:sz w:val="24"/>
          <w:szCs w:val="24"/>
        </w:rPr>
        <w:t xml:space="preserve">Se constituye la figura jurídica de la </w:t>
      </w:r>
      <w:r w:rsidRPr="001B69EF">
        <w:rPr>
          <w:rFonts w:ascii="Palatino Linotype" w:hAnsi="Palatino Linotype" w:cs="Arial"/>
          <w:b/>
          <w:i/>
          <w:sz w:val="24"/>
          <w:szCs w:val="24"/>
        </w:rPr>
        <w:t>NEGATIVA FICTA</w:t>
      </w:r>
      <w:r w:rsidRPr="001B69EF">
        <w:rPr>
          <w:rFonts w:ascii="Palatino Linotype" w:hAnsi="Palatino Linotype" w:cs="Arial"/>
          <w:sz w:val="24"/>
          <w:szCs w:val="24"/>
        </w:rPr>
        <w:t xml:space="preserve">, cuya esencia consiste en atribuir un efecto negativo al silencio de la autoridad administrativa frente a las instancias y solicitudes que hagan los particulares. Por su parte el artículo 178 de la Ley </w:t>
      </w:r>
      <w:r w:rsidRPr="001B69EF">
        <w:rPr>
          <w:rFonts w:ascii="Palatino Linotype" w:hAnsi="Palatino Linotype" w:cs="Arial"/>
          <w:sz w:val="24"/>
          <w:szCs w:val="24"/>
        </w:rPr>
        <w:lastRenderedPageBreak/>
        <w:t>de Transparencia y Acceso a la Información Pública del Estado de México y Municipios, establece:</w:t>
      </w:r>
    </w:p>
    <w:p w14:paraId="7A819FA2" w14:textId="77777777" w:rsidR="00ED34B5" w:rsidRPr="001B69EF" w:rsidRDefault="00ED34B5" w:rsidP="00ED34B5">
      <w:pPr>
        <w:spacing w:after="0" w:line="240" w:lineRule="auto"/>
        <w:rPr>
          <w:rFonts w:ascii="Palatino Linotype" w:hAnsi="Palatino Linotype"/>
        </w:rPr>
      </w:pPr>
    </w:p>
    <w:p w14:paraId="59D5F4EC" w14:textId="77777777" w:rsidR="00ED34B5" w:rsidRPr="001B69EF"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B69EF">
        <w:rPr>
          <w:rFonts w:ascii="Palatino Linotype" w:eastAsia="Times New Roman" w:hAnsi="Palatino Linotype" w:cs="Arial"/>
          <w:i/>
          <w:lang w:val="es-ES" w:eastAsia="es-ES"/>
        </w:rPr>
        <w:t>“</w:t>
      </w:r>
      <w:r w:rsidRPr="001B69EF">
        <w:rPr>
          <w:rFonts w:ascii="Palatino Linotype" w:eastAsia="Times New Roman" w:hAnsi="Palatino Linotype" w:cs="Arial"/>
          <w:b/>
          <w:i/>
          <w:lang w:val="es-ES" w:eastAsia="es-ES"/>
        </w:rPr>
        <w:t>Artículo 178.</w:t>
      </w:r>
      <w:r w:rsidRPr="001B69EF">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021F14F" w14:textId="77777777" w:rsidR="00ED34B5" w:rsidRPr="001B69EF"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31330292" w14:textId="77777777" w:rsidR="00ED34B5" w:rsidRPr="001B69EF"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B69EF">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B69EF">
        <w:rPr>
          <w:rFonts w:ascii="Palatino Linotype" w:eastAsia="Times New Roman" w:hAnsi="Palatino Linotype" w:cs="Arial"/>
          <w:i/>
          <w:lang w:val="es-ES" w:eastAsia="es-ES"/>
        </w:rPr>
        <w:t>, acompañado con el documento que pruebe la fecha en que presentó la solicitud.</w:t>
      </w:r>
    </w:p>
    <w:p w14:paraId="0CF66E97" w14:textId="77777777" w:rsidR="00ED34B5" w:rsidRPr="001B69EF"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4FD46A8" w14:textId="77777777" w:rsidR="00ED34B5" w:rsidRPr="001B69EF"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B69EF">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638C96E3" w14:textId="77777777" w:rsidR="00ED34B5" w:rsidRPr="001B69EF"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38565F9" w14:textId="77777777" w:rsidR="00ED34B5" w:rsidRPr="001B69EF" w:rsidRDefault="00ED34B5" w:rsidP="00ED34B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B69EF">
        <w:rPr>
          <w:rFonts w:ascii="Palatino Linotype" w:eastAsia="Times New Roman" w:hAnsi="Palatino Linotype" w:cs="Arial"/>
          <w:lang w:val="es-ES" w:eastAsia="es-ES"/>
        </w:rPr>
        <w:t>(Énfasis añadido)</w:t>
      </w:r>
    </w:p>
    <w:p w14:paraId="4FA5BD53" w14:textId="77777777" w:rsidR="00ED34B5" w:rsidRPr="001B69EF" w:rsidRDefault="00ED34B5" w:rsidP="00ED34B5">
      <w:pPr>
        <w:autoSpaceDE w:val="0"/>
        <w:autoSpaceDN w:val="0"/>
        <w:adjustRightInd w:val="0"/>
        <w:spacing w:after="0" w:line="360" w:lineRule="auto"/>
        <w:jc w:val="both"/>
        <w:rPr>
          <w:rFonts w:ascii="Palatino Linotype" w:hAnsi="Palatino Linotype" w:cs="Arial"/>
          <w:sz w:val="24"/>
          <w:szCs w:val="24"/>
        </w:rPr>
      </w:pPr>
    </w:p>
    <w:p w14:paraId="245CF803" w14:textId="77777777" w:rsidR="00ED34B5" w:rsidRPr="001B69EF" w:rsidRDefault="00ED34B5" w:rsidP="00ED34B5">
      <w:pPr>
        <w:autoSpaceDE w:val="0"/>
        <w:autoSpaceDN w:val="0"/>
        <w:adjustRightInd w:val="0"/>
        <w:spacing w:after="0" w:line="360" w:lineRule="auto"/>
        <w:jc w:val="both"/>
        <w:rPr>
          <w:rFonts w:ascii="Palatino Linotype" w:hAnsi="Palatino Linotype" w:cs="Arial"/>
          <w:sz w:val="24"/>
          <w:szCs w:val="24"/>
        </w:rPr>
      </w:pPr>
      <w:r w:rsidRPr="001B69EF">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B69EF">
        <w:rPr>
          <w:rFonts w:ascii="Palatino Linotype" w:hAnsi="Palatino Linotype" w:cs="Arial"/>
          <w:b/>
          <w:sz w:val="24"/>
          <w:szCs w:val="24"/>
        </w:rPr>
        <w:t>Sujeto Obligado</w:t>
      </w:r>
      <w:r w:rsidRPr="001B69EF">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DA36348" w14:textId="77777777" w:rsidR="00ED34B5" w:rsidRPr="001B69EF" w:rsidRDefault="00ED34B5" w:rsidP="00ED34B5">
      <w:pPr>
        <w:pStyle w:val="Prrafodelista"/>
        <w:autoSpaceDE w:val="0"/>
        <w:autoSpaceDN w:val="0"/>
        <w:adjustRightInd w:val="0"/>
        <w:spacing w:line="360" w:lineRule="auto"/>
        <w:ind w:left="0"/>
        <w:jc w:val="both"/>
        <w:rPr>
          <w:rFonts w:ascii="Palatino Linotype" w:hAnsi="Palatino Linotype" w:cs="Arial"/>
          <w:b/>
        </w:rPr>
      </w:pPr>
    </w:p>
    <w:p w14:paraId="202492FB" w14:textId="77777777" w:rsidR="00ED34B5" w:rsidRPr="001B69EF" w:rsidRDefault="00ED34B5" w:rsidP="00ED34B5">
      <w:pPr>
        <w:pStyle w:val="Prrafodelista"/>
        <w:autoSpaceDE w:val="0"/>
        <w:autoSpaceDN w:val="0"/>
        <w:adjustRightInd w:val="0"/>
        <w:spacing w:line="360" w:lineRule="auto"/>
        <w:ind w:left="0"/>
        <w:jc w:val="both"/>
        <w:rPr>
          <w:rFonts w:ascii="Palatino Linotype" w:hAnsi="Palatino Linotype" w:cs="Arial"/>
          <w:b/>
          <w:sz w:val="28"/>
        </w:rPr>
      </w:pPr>
      <w:r w:rsidRPr="001B69EF">
        <w:rPr>
          <w:rFonts w:ascii="Palatino Linotype" w:hAnsi="Palatino Linotype" w:cs="Arial"/>
          <w:b/>
          <w:sz w:val="28"/>
        </w:rPr>
        <w:t>TERCERO. De las causas de improcedencia.</w:t>
      </w:r>
    </w:p>
    <w:p w14:paraId="36276826" w14:textId="77777777" w:rsidR="00ED34B5" w:rsidRPr="001B69EF" w:rsidRDefault="00ED34B5" w:rsidP="00ED34B5">
      <w:pPr>
        <w:pStyle w:val="Prrafodelista"/>
        <w:autoSpaceDE w:val="0"/>
        <w:autoSpaceDN w:val="0"/>
        <w:adjustRightInd w:val="0"/>
        <w:spacing w:line="360" w:lineRule="auto"/>
        <w:ind w:left="0"/>
        <w:jc w:val="both"/>
        <w:rPr>
          <w:rFonts w:ascii="Palatino Linotype" w:hAnsi="Palatino Linotype" w:cs="Arial"/>
        </w:rPr>
      </w:pPr>
      <w:r w:rsidRPr="001B69EF">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0D33FCA" w14:textId="77777777" w:rsidR="00ED34B5" w:rsidRPr="001B69EF" w:rsidRDefault="00ED34B5" w:rsidP="00ED34B5">
      <w:pPr>
        <w:pStyle w:val="Prrafodelista"/>
        <w:autoSpaceDE w:val="0"/>
        <w:autoSpaceDN w:val="0"/>
        <w:adjustRightInd w:val="0"/>
        <w:spacing w:line="360" w:lineRule="auto"/>
        <w:ind w:left="0"/>
        <w:jc w:val="both"/>
        <w:rPr>
          <w:rFonts w:ascii="Palatino Linotype" w:hAnsi="Palatino Linotype" w:cs="Arial"/>
        </w:rPr>
      </w:pPr>
    </w:p>
    <w:p w14:paraId="6342F4E2" w14:textId="77777777" w:rsidR="00ED34B5" w:rsidRPr="001B69EF" w:rsidRDefault="00ED34B5" w:rsidP="00ED34B5">
      <w:pPr>
        <w:pStyle w:val="Prrafodelista"/>
        <w:autoSpaceDE w:val="0"/>
        <w:autoSpaceDN w:val="0"/>
        <w:adjustRightInd w:val="0"/>
        <w:spacing w:line="360" w:lineRule="auto"/>
        <w:ind w:left="0"/>
        <w:jc w:val="both"/>
        <w:rPr>
          <w:rFonts w:ascii="Palatino Linotype" w:hAnsi="Palatino Linotype" w:cs="Arial"/>
        </w:rPr>
      </w:pPr>
      <w:r w:rsidRPr="001B69EF">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B69EF">
        <w:rPr>
          <w:rStyle w:val="Refdenotaalpie"/>
          <w:rFonts w:ascii="Palatino Linotype" w:hAnsi="Palatino Linotype" w:cs="Arial"/>
        </w:rPr>
        <w:footnoteReference w:id="1"/>
      </w:r>
      <w:r w:rsidRPr="001B69EF">
        <w:rPr>
          <w:rFonts w:ascii="Palatino Linotype" w:hAnsi="Palatino Linotype" w:cs="Arial"/>
        </w:rPr>
        <w:t>.</w:t>
      </w:r>
    </w:p>
    <w:p w14:paraId="1AB96D67" w14:textId="77777777" w:rsidR="00ED34B5" w:rsidRPr="001B69EF" w:rsidRDefault="00ED34B5" w:rsidP="00ED34B5">
      <w:pPr>
        <w:pStyle w:val="Prrafodelista"/>
        <w:autoSpaceDE w:val="0"/>
        <w:autoSpaceDN w:val="0"/>
        <w:adjustRightInd w:val="0"/>
        <w:spacing w:line="360" w:lineRule="auto"/>
        <w:ind w:left="0"/>
        <w:jc w:val="both"/>
        <w:rPr>
          <w:rFonts w:ascii="Palatino Linotype" w:hAnsi="Palatino Linotype" w:cs="Arial"/>
        </w:rPr>
      </w:pPr>
    </w:p>
    <w:p w14:paraId="56A6C017" w14:textId="77777777" w:rsidR="00ED34B5" w:rsidRPr="001B69EF" w:rsidRDefault="00ED34B5" w:rsidP="00ED34B5">
      <w:pPr>
        <w:pStyle w:val="Prrafodelista"/>
        <w:autoSpaceDE w:val="0"/>
        <w:autoSpaceDN w:val="0"/>
        <w:adjustRightInd w:val="0"/>
        <w:spacing w:line="360" w:lineRule="auto"/>
        <w:ind w:left="0"/>
        <w:jc w:val="both"/>
        <w:rPr>
          <w:rFonts w:ascii="Palatino Linotype" w:hAnsi="Palatino Linotype" w:cs="Arial"/>
          <w:b/>
          <w:sz w:val="28"/>
        </w:rPr>
      </w:pPr>
      <w:r w:rsidRPr="001B69EF">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56240A9F" w14:textId="77777777" w:rsidR="00ED34B5" w:rsidRPr="001B69EF" w:rsidRDefault="00ED34B5" w:rsidP="00ED34B5">
      <w:pPr>
        <w:pStyle w:val="Prrafodelista"/>
        <w:autoSpaceDE w:val="0"/>
        <w:autoSpaceDN w:val="0"/>
        <w:adjustRightInd w:val="0"/>
        <w:spacing w:line="360" w:lineRule="auto"/>
        <w:ind w:left="0"/>
        <w:jc w:val="both"/>
        <w:rPr>
          <w:rFonts w:ascii="Palatino Linotype" w:hAnsi="Palatino Linotype" w:cs="Arial"/>
        </w:rPr>
      </w:pPr>
    </w:p>
    <w:p w14:paraId="3FB84E8D" w14:textId="77777777" w:rsidR="00ED34B5" w:rsidRPr="001B69EF" w:rsidRDefault="00ED34B5" w:rsidP="00ED34B5">
      <w:pPr>
        <w:pStyle w:val="Prrafodelista"/>
        <w:autoSpaceDE w:val="0"/>
        <w:autoSpaceDN w:val="0"/>
        <w:adjustRightInd w:val="0"/>
        <w:spacing w:line="360" w:lineRule="auto"/>
        <w:ind w:left="0"/>
        <w:jc w:val="both"/>
        <w:rPr>
          <w:rFonts w:ascii="Palatino Linotype" w:hAnsi="Palatino Linotype" w:cs="Arial"/>
          <w:b/>
          <w:sz w:val="28"/>
        </w:rPr>
      </w:pPr>
      <w:r w:rsidRPr="001B69EF">
        <w:rPr>
          <w:rFonts w:ascii="Palatino Linotype" w:hAnsi="Palatino Linotype" w:cs="Arial"/>
          <w:b/>
          <w:sz w:val="28"/>
        </w:rPr>
        <w:t>CUARTO. Estudio y resolución del asunto.</w:t>
      </w:r>
    </w:p>
    <w:p w14:paraId="1CAA5A6E" w14:textId="77777777" w:rsidR="00FF3CD3" w:rsidRPr="001B69EF" w:rsidRDefault="00FF3CD3" w:rsidP="00FF3CD3">
      <w:pPr>
        <w:pStyle w:val="Prrafodelista"/>
        <w:autoSpaceDE w:val="0"/>
        <w:autoSpaceDN w:val="0"/>
        <w:adjustRightInd w:val="0"/>
        <w:spacing w:line="360" w:lineRule="auto"/>
        <w:ind w:left="0"/>
        <w:jc w:val="both"/>
        <w:rPr>
          <w:rFonts w:ascii="Palatino Linotype" w:hAnsi="Palatino Linotype" w:cs="Arial"/>
        </w:rPr>
      </w:pPr>
      <w:r w:rsidRPr="001B69EF">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E5BF451" w14:textId="77777777" w:rsidR="002B5FDA" w:rsidRPr="001B69EF" w:rsidRDefault="002B5FDA" w:rsidP="00FF3CD3">
      <w:pPr>
        <w:tabs>
          <w:tab w:val="left" w:pos="709"/>
        </w:tabs>
        <w:spacing w:after="0" w:line="360" w:lineRule="auto"/>
        <w:jc w:val="both"/>
        <w:rPr>
          <w:rFonts w:ascii="Palatino Linotype" w:hAnsi="Palatino Linotype" w:cs="Arial"/>
          <w:sz w:val="24"/>
          <w:szCs w:val="24"/>
        </w:rPr>
      </w:pPr>
    </w:p>
    <w:p w14:paraId="38B8B6C5" w14:textId="77777777" w:rsidR="00FF3CD3" w:rsidRPr="001B69EF" w:rsidRDefault="00FF3CD3" w:rsidP="00FF3CD3">
      <w:pPr>
        <w:tabs>
          <w:tab w:val="left" w:pos="709"/>
        </w:tabs>
        <w:spacing w:after="0" w:line="360" w:lineRule="auto"/>
        <w:jc w:val="both"/>
        <w:rPr>
          <w:rFonts w:ascii="Palatino Linotype" w:hAnsi="Palatino Linotype" w:cs="Arial"/>
          <w:sz w:val="24"/>
          <w:szCs w:val="24"/>
        </w:rPr>
      </w:pPr>
      <w:r w:rsidRPr="001B69EF">
        <w:rPr>
          <w:rFonts w:ascii="Palatino Linotype" w:hAnsi="Palatino Linotype" w:cs="Arial"/>
          <w:sz w:val="24"/>
          <w:szCs w:val="24"/>
        </w:rPr>
        <w:t>El estudio del presente recurso de revisión tiene como antecedentes, que el hoy Recurrente</w:t>
      </w:r>
      <w:r w:rsidRPr="001B69EF">
        <w:rPr>
          <w:rFonts w:ascii="Palatino Linotype" w:hAnsi="Palatino Linotype" w:cs="Arial"/>
          <w:b/>
          <w:sz w:val="24"/>
          <w:szCs w:val="24"/>
        </w:rPr>
        <w:t xml:space="preserve"> </w:t>
      </w:r>
      <w:r w:rsidRPr="001B69EF">
        <w:rPr>
          <w:rFonts w:ascii="Palatino Linotype" w:hAnsi="Palatino Linotype" w:cs="Arial"/>
          <w:sz w:val="24"/>
          <w:szCs w:val="24"/>
        </w:rPr>
        <w:t xml:space="preserve">solicitó al Ayuntamiento de </w:t>
      </w:r>
      <w:r w:rsidR="002528C9" w:rsidRPr="001B69EF">
        <w:rPr>
          <w:rFonts w:ascii="Palatino Linotype" w:hAnsi="Palatino Linotype" w:cs="Arial"/>
          <w:sz w:val="24"/>
          <w:szCs w:val="24"/>
        </w:rPr>
        <w:t>Naucalpan de Juárez</w:t>
      </w:r>
      <w:r w:rsidRPr="001B69EF">
        <w:rPr>
          <w:rFonts w:ascii="Palatino Linotype" w:hAnsi="Palatino Linotype" w:cs="Arial"/>
          <w:sz w:val="24"/>
          <w:szCs w:val="24"/>
        </w:rPr>
        <w:t>,</w:t>
      </w:r>
      <w:r w:rsidRPr="001B69EF">
        <w:rPr>
          <w:rFonts w:ascii="Palatino Linotype" w:hAnsi="Palatino Linotype" w:cs="Arial"/>
          <w:b/>
          <w:sz w:val="24"/>
          <w:szCs w:val="24"/>
        </w:rPr>
        <w:t xml:space="preserve"> </w:t>
      </w:r>
      <w:r w:rsidRPr="001B69EF">
        <w:rPr>
          <w:rFonts w:ascii="Palatino Linotype" w:hAnsi="Palatino Linotype" w:cs="Arial"/>
          <w:sz w:val="24"/>
          <w:szCs w:val="24"/>
        </w:rPr>
        <w:t>la siguiente</w:t>
      </w:r>
      <w:r w:rsidRPr="001B69EF">
        <w:rPr>
          <w:rFonts w:ascii="Palatino Linotype" w:hAnsi="Palatino Linotype" w:cs="Arial"/>
          <w:b/>
          <w:sz w:val="24"/>
          <w:szCs w:val="24"/>
        </w:rPr>
        <w:t xml:space="preserve"> </w:t>
      </w:r>
      <w:r w:rsidRPr="001B69EF">
        <w:rPr>
          <w:rFonts w:ascii="Palatino Linotype" w:hAnsi="Palatino Linotype" w:cs="Arial"/>
          <w:sz w:val="24"/>
          <w:szCs w:val="24"/>
        </w:rPr>
        <w:t>información:</w:t>
      </w:r>
    </w:p>
    <w:p w14:paraId="21487A43" w14:textId="77777777" w:rsidR="00FF3CD3" w:rsidRPr="001B69EF" w:rsidRDefault="00FF3CD3" w:rsidP="00FF3CD3">
      <w:pPr>
        <w:tabs>
          <w:tab w:val="left" w:pos="709"/>
        </w:tabs>
        <w:spacing w:after="0" w:line="360" w:lineRule="auto"/>
        <w:jc w:val="both"/>
        <w:rPr>
          <w:rFonts w:ascii="Palatino Linotype" w:hAnsi="Palatino Linotype" w:cs="Arial"/>
          <w:sz w:val="24"/>
          <w:szCs w:val="24"/>
        </w:rPr>
      </w:pPr>
    </w:p>
    <w:p w14:paraId="748715E2" w14:textId="77777777" w:rsidR="002528C9" w:rsidRPr="001B69EF" w:rsidRDefault="002528C9" w:rsidP="002528C9">
      <w:pPr>
        <w:pStyle w:val="Sinespaciado"/>
        <w:numPr>
          <w:ilvl w:val="0"/>
          <w:numId w:val="5"/>
        </w:numPr>
        <w:spacing w:line="360" w:lineRule="auto"/>
        <w:jc w:val="both"/>
        <w:rPr>
          <w:rFonts w:ascii="Palatino Linotype" w:hAnsi="Palatino Linotype"/>
        </w:rPr>
      </w:pPr>
      <w:r w:rsidRPr="001B69EF">
        <w:rPr>
          <w:rFonts w:ascii="Palatino Linotype" w:hAnsi="Palatino Linotype"/>
        </w:rPr>
        <w:lastRenderedPageBreak/>
        <w:t xml:space="preserve">Vales por un viaje de mezcla asfáltica del 2019 a 2022 </w:t>
      </w:r>
    </w:p>
    <w:p w14:paraId="7D5F6C1E" w14:textId="77777777" w:rsidR="002528C9" w:rsidRPr="001B69EF" w:rsidRDefault="002528C9" w:rsidP="002528C9">
      <w:pPr>
        <w:pStyle w:val="Sinespaciado"/>
        <w:numPr>
          <w:ilvl w:val="0"/>
          <w:numId w:val="5"/>
        </w:numPr>
        <w:spacing w:line="360" w:lineRule="auto"/>
        <w:jc w:val="both"/>
        <w:rPr>
          <w:rFonts w:ascii="Palatino Linotype" w:hAnsi="Palatino Linotype"/>
        </w:rPr>
      </w:pPr>
      <w:r w:rsidRPr="001B69EF">
        <w:rPr>
          <w:rFonts w:ascii="Palatino Linotype" w:hAnsi="Palatino Linotype"/>
        </w:rPr>
        <w:t xml:space="preserve">Expedientes que se formaron con motivo del pago del ayuntamiento por los vales </w:t>
      </w:r>
    </w:p>
    <w:p w14:paraId="50C3C630" w14:textId="77777777" w:rsidR="002528C9" w:rsidRPr="001B69EF" w:rsidRDefault="002528C9" w:rsidP="002528C9">
      <w:pPr>
        <w:pStyle w:val="Sinespaciado"/>
        <w:numPr>
          <w:ilvl w:val="0"/>
          <w:numId w:val="5"/>
        </w:numPr>
        <w:spacing w:line="360" w:lineRule="auto"/>
        <w:jc w:val="both"/>
        <w:rPr>
          <w:rFonts w:ascii="Palatino Linotype" w:hAnsi="Palatino Linotype"/>
        </w:rPr>
      </w:pPr>
      <w:r w:rsidRPr="001B69EF">
        <w:rPr>
          <w:rFonts w:ascii="Palatino Linotype" w:hAnsi="Palatino Linotype"/>
        </w:rPr>
        <w:t>Pagos realizados a los proveedores de la mezcla asfáltica</w:t>
      </w:r>
    </w:p>
    <w:p w14:paraId="0197130E" w14:textId="77777777" w:rsidR="002528C9" w:rsidRPr="001B69EF" w:rsidRDefault="002528C9" w:rsidP="002528C9">
      <w:pPr>
        <w:pStyle w:val="Sinespaciado"/>
        <w:numPr>
          <w:ilvl w:val="0"/>
          <w:numId w:val="5"/>
        </w:numPr>
        <w:spacing w:line="360" w:lineRule="auto"/>
        <w:jc w:val="both"/>
        <w:rPr>
          <w:rFonts w:ascii="Palatino Linotype" w:hAnsi="Palatino Linotype"/>
        </w:rPr>
      </w:pPr>
      <w:r w:rsidRPr="001B69EF">
        <w:rPr>
          <w:rFonts w:ascii="Palatino Linotype" w:hAnsi="Palatino Linotype"/>
        </w:rPr>
        <w:t xml:space="preserve">Lista de deudores </w:t>
      </w:r>
      <w:r w:rsidR="005A66EE" w:rsidRPr="001B69EF">
        <w:rPr>
          <w:rFonts w:ascii="Palatino Linotype" w:hAnsi="Palatino Linotype"/>
        </w:rPr>
        <w:t>del Ayuntamiento</w:t>
      </w:r>
      <w:r w:rsidRPr="001B69EF">
        <w:rPr>
          <w:rFonts w:ascii="Palatino Linotype" w:hAnsi="Palatino Linotype"/>
        </w:rPr>
        <w:t xml:space="preserve"> </w:t>
      </w:r>
    </w:p>
    <w:p w14:paraId="1BC2BDFB" w14:textId="77777777" w:rsidR="00FF3CD3" w:rsidRPr="001B69EF" w:rsidRDefault="002528C9" w:rsidP="002528C9">
      <w:pPr>
        <w:pStyle w:val="Sinespaciado"/>
        <w:numPr>
          <w:ilvl w:val="0"/>
          <w:numId w:val="5"/>
        </w:numPr>
        <w:spacing w:line="360" w:lineRule="auto"/>
        <w:jc w:val="both"/>
        <w:rPr>
          <w:rFonts w:ascii="Palatino Linotype" w:hAnsi="Palatino Linotype"/>
        </w:rPr>
      </w:pPr>
      <w:r w:rsidRPr="001B69EF">
        <w:rPr>
          <w:rFonts w:ascii="Palatino Linotype" w:hAnsi="Palatino Linotype"/>
        </w:rPr>
        <w:t>Contratos de adquisición de bienes y servicios de los proveedores de la mezcla asfáltica</w:t>
      </w:r>
      <w:r w:rsidR="00FF3CD3" w:rsidRPr="001B69EF">
        <w:rPr>
          <w:rFonts w:ascii="Palatino Linotype" w:hAnsi="Palatino Linotype"/>
        </w:rPr>
        <w:t>.</w:t>
      </w:r>
    </w:p>
    <w:p w14:paraId="18FEFB03" w14:textId="77777777" w:rsidR="00FF3CD3" w:rsidRPr="001B69EF" w:rsidRDefault="00FF3CD3" w:rsidP="00FF3CD3">
      <w:pPr>
        <w:spacing w:after="0" w:line="360" w:lineRule="auto"/>
        <w:jc w:val="both"/>
        <w:rPr>
          <w:rFonts w:ascii="Palatino Linotype" w:eastAsia="Arial Unicode MS" w:hAnsi="Palatino Linotype" w:cs="Arial"/>
          <w:sz w:val="24"/>
          <w:szCs w:val="24"/>
        </w:rPr>
      </w:pPr>
    </w:p>
    <w:p w14:paraId="08F0633E" w14:textId="77777777" w:rsidR="00FF3CD3" w:rsidRPr="001B69EF" w:rsidRDefault="00FF3CD3" w:rsidP="00FF3CD3">
      <w:pPr>
        <w:autoSpaceDE w:val="0"/>
        <w:autoSpaceDN w:val="0"/>
        <w:adjustRightInd w:val="0"/>
        <w:spacing w:line="360" w:lineRule="auto"/>
        <w:jc w:val="both"/>
        <w:rPr>
          <w:rFonts w:ascii="Palatino Linotype" w:hAnsi="Palatino Linotype" w:cs="Arial"/>
          <w:sz w:val="24"/>
          <w:szCs w:val="24"/>
        </w:rPr>
      </w:pPr>
      <w:r w:rsidRPr="001B69EF">
        <w:rPr>
          <w:rFonts w:ascii="Palatino Linotype" w:hAnsi="Palatino Linotype" w:cs="Arial"/>
          <w:sz w:val="24"/>
          <w:szCs w:val="24"/>
        </w:rPr>
        <w:t xml:space="preserve">De conformidad con las constancias que obran en el expediente electrónico, se observa que el </w:t>
      </w:r>
      <w:r w:rsidRPr="001B69EF">
        <w:rPr>
          <w:rFonts w:ascii="Palatino Linotype" w:hAnsi="Palatino Linotype" w:cs="Arial"/>
          <w:b/>
          <w:sz w:val="24"/>
          <w:szCs w:val="24"/>
        </w:rPr>
        <w:t>Sujeto Obligado</w:t>
      </w:r>
      <w:r w:rsidRPr="001B69EF">
        <w:rPr>
          <w:rFonts w:ascii="Palatino Linotype" w:hAnsi="Palatino Linotype" w:cs="Arial"/>
          <w:sz w:val="24"/>
          <w:szCs w:val="24"/>
        </w:rPr>
        <w:t xml:space="preserve"> fue omiso en dar respuesta a la solicitud de información por lo que se constituye la figura jurídica de la </w:t>
      </w:r>
      <w:r w:rsidRPr="001B69EF">
        <w:rPr>
          <w:rFonts w:ascii="Palatino Linotype" w:hAnsi="Palatino Linotype" w:cs="Arial"/>
          <w:b/>
          <w:i/>
          <w:sz w:val="24"/>
          <w:szCs w:val="24"/>
        </w:rPr>
        <w:t>NEGATIVA FICTA</w:t>
      </w:r>
      <w:r w:rsidRPr="001B69EF">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091C05C0" w14:textId="77777777" w:rsidR="00FF3CD3" w:rsidRPr="001B69EF" w:rsidRDefault="00FF3CD3" w:rsidP="00FF3CD3">
      <w:pPr>
        <w:pStyle w:val="Prrafodelista"/>
        <w:ind w:left="1440"/>
        <w:rPr>
          <w:rFonts w:ascii="Palatino Linotype" w:hAnsi="Palatino Linotype"/>
        </w:rPr>
      </w:pPr>
    </w:p>
    <w:p w14:paraId="131545C5" w14:textId="77777777" w:rsidR="00FF3CD3" w:rsidRPr="001B69EF" w:rsidRDefault="00FF3CD3" w:rsidP="00FF3CD3">
      <w:pPr>
        <w:autoSpaceDE w:val="0"/>
        <w:autoSpaceDN w:val="0"/>
        <w:adjustRightInd w:val="0"/>
        <w:ind w:left="567" w:right="567"/>
        <w:jc w:val="both"/>
        <w:rPr>
          <w:rFonts w:ascii="Palatino Linotype" w:hAnsi="Palatino Linotype" w:cs="Arial"/>
          <w:i/>
        </w:rPr>
      </w:pPr>
      <w:r w:rsidRPr="001B69EF">
        <w:rPr>
          <w:rFonts w:ascii="Palatino Linotype" w:hAnsi="Palatino Linotype" w:cs="Arial"/>
          <w:i/>
        </w:rPr>
        <w:t>“</w:t>
      </w:r>
      <w:r w:rsidRPr="001B69EF">
        <w:rPr>
          <w:rFonts w:ascii="Palatino Linotype" w:hAnsi="Palatino Linotype" w:cs="Arial"/>
          <w:b/>
          <w:i/>
        </w:rPr>
        <w:t>Artículo 178.</w:t>
      </w:r>
      <w:r w:rsidRPr="001B69EF">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2225C70" w14:textId="77777777" w:rsidR="00FF3CD3" w:rsidRPr="001B69EF" w:rsidRDefault="00FF3CD3" w:rsidP="00FF3CD3">
      <w:pPr>
        <w:autoSpaceDE w:val="0"/>
        <w:autoSpaceDN w:val="0"/>
        <w:adjustRightInd w:val="0"/>
        <w:ind w:left="567" w:right="567"/>
        <w:jc w:val="both"/>
        <w:rPr>
          <w:rFonts w:ascii="Palatino Linotype" w:hAnsi="Palatino Linotype" w:cs="Arial"/>
          <w:i/>
        </w:rPr>
      </w:pPr>
      <w:r w:rsidRPr="001B69EF">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1B69EF">
        <w:rPr>
          <w:rFonts w:ascii="Palatino Linotype" w:hAnsi="Palatino Linotype" w:cs="Arial"/>
          <w:i/>
        </w:rPr>
        <w:t>, acompañado con el documento que pruebe la fecha en que presentó la solicitud.</w:t>
      </w:r>
    </w:p>
    <w:p w14:paraId="6B4109EB" w14:textId="77777777" w:rsidR="00FF3CD3" w:rsidRPr="001B69EF" w:rsidRDefault="00FF3CD3" w:rsidP="00FF3CD3">
      <w:pPr>
        <w:autoSpaceDE w:val="0"/>
        <w:autoSpaceDN w:val="0"/>
        <w:adjustRightInd w:val="0"/>
        <w:ind w:left="567" w:right="567"/>
        <w:jc w:val="both"/>
        <w:rPr>
          <w:rFonts w:ascii="Palatino Linotype" w:hAnsi="Palatino Linotype" w:cs="Arial"/>
          <w:i/>
        </w:rPr>
      </w:pPr>
      <w:r w:rsidRPr="001B69EF">
        <w:rPr>
          <w:rFonts w:ascii="Palatino Linotype" w:hAnsi="Palatino Linotype" w:cs="Arial"/>
          <w:i/>
        </w:rPr>
        <w:t>En el caso de que se interponga ante la Unidad de Transparencia, ésta deberá remitir el recurso de revisión al Instituto a más tardar al día siguiente de haberlo recibido.”</w:t>
      </w:r>
    </w:p>
    <w:p w14:paraId="39265AAB" w14:textId="77777777" w:rsidR="00FF3CD3" w:rsidRPr="001B69EF" w:rsidRDefault="00FF3CD3" w:rsidP="00FF3CD3">
      <w:pPr>
        <w:autoSpaceDE w:val="0"/>
        <w:autoSpaceDN w:val="0"/>
        <w:adjustRightInd w:val="0"/>
        <w:ind w:left="360" w:right="567"/>
        <w:jc w:val="both"/>
        <w:rPr>
          <w:rFonts w:ascii="Palatino Linotype" w:hAnsi="Palatino Linotype" w:cs="Arial"/>
          <w:i/>
        </w:rPr>
      </w:pPr>
    </w:p>
    <w:p w14:paraId="0F712FB6" w14:textId="77777777" w:rsidR="00FF3CD3" w:rsidRPr="001B69EF" w:rsidRDefault="00FF3CD3" w:rsidP="00FF3CD3">
      <w:pPr>
        <w:autoSpaceDE w:val="0"/>
        <w:autoSpaceDN w:val="0"/>
        <w:adjustRightInd w:val="0"/>
        <w:ind w:left="360" w:right="567"/>
        <w:jc w:val="right"/>
        <w:rPr>
          <w:rFonts w:ascii="Palatino Linotype" w:hAnsi="Palatino Linotype" w:cs="Arial"/>
        </w:rPr>
      </w:pPr>
      <w:r w:rsidRPr="001B69EF">
        <w:rPr>
          <w:rFonts w:ascii="Palatino Linotype" w:hAnsi="Palatino Linotype" w:cs="Arial"/>
        </w:rPr>
        <w:lastRenderedPageBreak/>
        <w:t>(Énfasis añadido)</w:t>
      </w:r>
    </w:p>
    <w:p w14:paraId="04400794" w14:textId="77777777" w:rsidR="00FF3CD3" w:rsidRPr="001B69EF" w:rsidRDefault="00FF3CD3" w:rsidP="00FF3CD3">
      <w:pPr>
        <w:pStyle w:val="INFOEM"/>
        <w:ind w:left="0" w:right="0"/>
        <w:rPr>
          <w:i w:val="0"/>
          <w:sz w:val="24"/>
        </w:rPr>
      </w:pPr>
      <w:r w:rsidRPr="001B69EF">
        <w:rPr>
          <w:rFonts w:eastAsia="Palatino Linotype" w:cs="Palatino Linotype"/>
          <w:i w:val="0"/>
          <w:color w:val="000000"/>
          <w:sz w:val="24"/>
          <w:szCs w:val="24"/>
        </w:rPr>
        <w:t xml:space="preserve">Ante la falta de respuesta por parte del </w:t>
      </w:r>
      <w:r w:rsidRPr="001B69EF">
        <w:rPr>
          <w:rFonts w:eastAsia="Palatino Linotype" w:cs="Palatino Linotype"/>
          <w:b/>
          <w:i w:val="0"/>
          <w:color w:val="000000"/>
          <w:sz w:val="24"/>
          <w:szCs w:val="24"/>
        </w:rPr>
        <w:t>Sujeto Obligado</w:t>
      </w:r>
      <w:r w:rsidRPr="001B69EF">
        <w:rPr>
          <w:rFonts w:eastAsia="Palatino Linotype" w:cs="Palatino Linotype"/>
          <w:i w:val="0"/>
          <w:color w:val="000000"/>
          <w:sz w:val="24"/>
          <w:szCs w:val="24"/>
        </w:rPr>
        <w:t xml:space="preserve">, el </w:t>
      </w:r>
      <w:r w:rsidRPr="001B69EF">
        <w:rPr>
          <w:rFonts w:eastAsia="Palatino Linotype" w:cs="Palatino Linotype"/>
          <w:b/>
          <w:i w:val="0"/>
          <w:color w:val="000000"/>
          <w:sz w:val="24"/>
          <w:szCs w:val="24"/>
        </w:rPr>
        <w:t>Recurrente</w:t>
      </w:r>
      <w:r w:rsidRPr="001B69EF">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1B69EF">
        <w:rPr>
          <w:rFonts w:cs="Arial"/>
          <w:bCs/>
          <w:i w:val="0"/>
          <w:sz w:val="24"/>
        </w:rPr>
        <w:t>, señalando sustancialmente como sus razones o motivos de inconformidad, lo siguiente:</w:t>
      </w:r>
      <w:r w:rsidRPr="001B69EF" w:rsidDel="00107C3B">
        <w:rPr>
          <w:b/>
          <w:i w:val="0"/>
          <w:sz w:val="24"/>
        </w:rPr>
        <w:t xml:space="preserve"> </w:t>
      </w:r>
      <w:r w:rsidRPr="001B69EF">
        <w:rPr>
          <w:i w:val="0"/>
          <w:sz w:val="24"/>
        </w:rPr>
        <w:t>“</w:t>
      </w:r>
      <w:r w:rsidR="002528C9" w:rsidRPr="001B69EF">
        <w:rPr>
          <w:sz w:val="24"/>
        </w:rPr>
        <w:t>ha operado la mi favor la negativa ficta por no emitir la información dentro del termino de 15 dias</w:t>
      </w:r>
      <w:r w:rsidRPr="001B69EF">
        <w:rPr>
          <w:sz w:val="24"/>
        </w:rPr>
        <w:t>” (Sic)</w:t>
      </w:r>
      <w:r w:rsidRPr="001B69EF">
        <w:rPr>
          <w:i w:val="0"/>
          <w:sz w:val="24"/>
        </w:rPr>
        <w:t xml:space="preserve">. </w:t>
      </w:r>
    </w:p>
    <w:p w14:paraId="276F5D8F" w14:textId="77777777" w:rsidR="00FF3CD3" w:rsidRPr="001B69EF" w:rsidRDefault="00FF3CD3" w:rsidP="00FF3CD3">
      <w:pPr>
        <w:tabs>
          <w:tab w:val="left" w:pos="709"/>
        </w:tabs>
        <w:spacing w:line="360" w:lineRule="auto"/>
        <w:jc w:val="both"/>
        <w:rPr>
          <w:rFonts w:ascii="Palatino Linotype" w:hAnsi="Palatino Linotype" w:cs="Arial"/>
          <w:sz w:val="24"/>
        </w:rPr>
      </w:pPr>
    </w:p>
    <w:p w14:paraId="7664F18A" w14:textId="77777777" w:rsidR="00FF3CD3" w:rsidRPr="001B69EF" w:rsidRDefault="00FF3CD3" w:rsidP="00FF3CD3">
      <w:pPr>
        <w:tabs>
          <w:tab w:val="left" w:pos="709"/>
        </w:tabs>
        <w:spacing w:line="360" w:lineRule="auto"/>
        <w:jc w:val="both"/>
        <w:rPr>
          <w:rFonts w:ascii="Palatino Linotype" w:hAnsi="Palatino Linotype" w:cs="Arial"/>
          <w:sz w:val="24"/>
        </w:rPr>
      </w:pPr>
      <w:r w:rsidRPr="001B69EF">
        <w:rPr>
          <w:rFonts w:ascii="Palatino Linotype" w:hAnsi="Palatino Linotype" w:cs="Arial"/>
          <w:sz w:val="24"/>
        </w:rPr>
        <w:t xml:space="preserve">Aunado a lo anterior, mediante informe justificado rendido por </w:t>
      </w:r>
      <w:r w:rsidRPr="001B69EF">
        <w:rPr>
          <w:rFonts w:ascii="Palatino Linotype" w:hAnsi="Palatino Linotype" w:cs="Arial"/>
          <w:b/>
          <w:sz w:val="24"/>
        </w:rPr>
        <w:t>El Sujeto Obligado</w:t>
      </w:r>
      <w:r w:rsidRPr="001B69EF">
        <w:rPr>
          <w:rFonts w:ascii="Palatino Linotype" w:hAnsi="Palatino Linotype" w:cs="Arial"/>
          <w:sz w:val="24"/>
        </w:rPr>
        <w:t>,</w:t>
      </w:r>
      <w:r w:rsidRPr="001B69EF">
        <w:rPr>
          <w:rFonts w:ascii="Palatino Linotype" w:hAnsi="Palatino Linotype" w:cs="Arial"/>
          <w:b/>
          <w:sz w:val="24"/>
        </w:rPr>
        <w:t xml:space="preserve"> </w:t>
      </w:r>
      <w:r w:rsidRPr="001B69EF">
        <w:rPr>
          <w:rFonts w:ascii="Palatino Linotype" w:hAnsi="Palatino Linotype" w:cs="Arial"/>
          <w:bCs/>
          <w:sz w:val="24"/>
        </w:rPr>
        <w:t>remitió a</w:t>
      </w:r>
      <w:r w:rsidRPr="001B69EF">
        <w:rPr>
          <w:rFonts w:ascii="Palatino Linotype" w:hAnsi="Palatino Linotype" w:cs="Arial"/>
          <w:sz w:val="24"/>
        </w:rPr>
        <w:t xml:space="preserve"> través del Sistema de Acceso a la Información Mexiquense (</w:t>
      </w:r>
      <w:r w:rsidRPr="001B69EF">
        <w:rPr>
          <w:rFonts w:ascii="Palatino Linotype" w:hAnsi="Palatino Linotype" w:cs="Arial"/>
          <w:b/>
          <w:sz w:val="24"/>
        </w:rPr>
        <w:t xml:space="preserve">SAIMEX) </w:t>
      </w:r>
      <w:r w:rsidRPr="001B69EF">
        <w:rPr>
          <w:rFonts w:ascii="Palatino Linotype" w:hAnsi="Palatino Linotype" w:cs="Arial"/>
          <w:sz w:val="24"/>
        </w:rPr>
        <w:t>los siguientes archivos denominados:</w:t>
      </w:r>
    </w:p>
    <w:p w14:paraId="19933CFC" w14:textId="77777777" w:rsidR="00FF3CD3" w:rsidRPr="001B69EF" w:rsidRDefault="002528C9" w:rsidP="002528C9">
      <w:pPr>
        <w:pStyle w:val="Prrafodelista"/>
        <w:numPr>
          <w:ilvl w:val="0"/>
          <w:numId w:val="6"/>
        </w:numPr>
        <w:spacing w:line="360" w:lineRule="auto"/>
        <w:jc w:val="both"/>
        <w:rPr>
          <w:rFonts w:ascii="Palatino Linotype" w:hAnsi="Palatino Linotype" w:cs="Arial"/>
          <w:b/>
          <w:i/>
        </w:rPr>
      </w:pPr>
      <w:r w:rsidRPr="001B69EF">
        <w:rPr>
          <w:rFonts w:ascii="Palatino Linotype" w:hAnsi="Palatino Linotype" w:cs="Arial"/>
          <w:b/>
          <w:i/>
          <w:lang w:val="es-ES_tradnl"/>
        </w:rPr>
        <w:t>DGA-SRM-M-574-2022.pdf</w:t>
      </w:r>
      <w:r w:rsidR="00FF3CD3" w:rsidRPr="001B69EF">
        <w:rPr>
          <w:rFonts w:ascii="Palatino Linotype" w:hAnsi="Palatino Linotype" w:cs="Arial"/>
          <w:b/>
          <w:i/>
        </w:rPr>
        <w:t xml:space="preserve">: </w:t>
      </w:r>
      <w:r w:rsidR="00FF3CD3" w:rsidRPr="001B69EF">
        <w:rPr>
          <w:rFonts w:ascii="Palatino Linotype" w:hAnsi="Palatino Linotype" w:cs="Arial"/>
        </w:rPr>
        <w:t>constante de dos fojas, en formato PDF, que contiene el informe justificado del Sujeto Obligado, firmado por el</w:t>
      </w:r>
      <w:r w:rsidR="008546E3" w:rsidRPr="001B69EF">
        <w:rPr>
          <w:rFonts w:ascii="Palatino Linotype" w:hAnsi="Palatino Linotype" w:cs="Arial"/>
        </w:rPr>
        <w:t xml:space="preserve"> Director General de Administración, dirigido al</w:t>
      </w:r>
      <w:r w:rsidR="00FF3CD3" w:rsidRPr="001B69EF">
        <w:rPr>
          <w:rFonts w:ascii="Palatino Linotype" w:hAnsi="Palatino Linotype" w:cs="Arial"/>
        </w:rPr>
        <w:t xml:space="preserve"> Titular de la Unidad de Transparencia, en los siguientes términos:</w:t>
      </w:r>
    </w:p>
    <w:p w14:paraId="40976125" w14:textId="77777777" w:rsidR="00FF3CD3" w:rsidRPr="001B69EF" w:rsidRDefault="00FF3CD3" w:rsidP="00FF3CD3">
      <w:pPr>
        <w:pStyle w:val="Citas"/>
      </w:pPr>
      <w:r w:rsidRPr="001B69EF">
        <w:t>“(…)</w:t>
      </w:r>
    </w:p>
    <w:p w14:paraId="0A769ADE" w14:textId="77777777" w:rsidR="00FF3CD3" w:rsidRPr="001B69EF" w:rsidRDefault="00092AA7" w:rsidP="00FF3CD3">
      <w:pPr>
        <w:pStyle w:val="Citas"/>
      </w:pPr>
      <w:r w:rsidRPr="001B69EF">
        <w:t xml:space="preserve">Le </w:t>
      </w:r>
      <w:r w:rsidR="00E7599A" w:rsidRPr="001B69EF">
        <w:t xml:space="preserve">informo que esta </w:t>
      </w:r>
      <w:r w:rsidR="00E7599A" w:rsidRPr="001B69EF">
        <w:rPr>
          <w:b/>
        </w:rPr>
        <w:t>Dirección General de Administración es competente únicamente</w:t>
      </w:r>
      <w:r w:rsidR="00E7599A" w:rsidRPr="001B69EF">
        <w:t xml:space="preserve"> para proporcionar la información relativa a: </w:t>
      </w:r>
      <w:r w:rsidR="00E7599A" w:rsidRPr="001B69EF">
        <w:rPr>
          <w:b/>
        </w:rPr>
        <w:t>“los contratos de bienes y servicios de los proveedores de la mezcla” (sic) asfáltica.</w:t>
      </w:r>
      <w:r w:rsidR="00E7599A" w:rsidRPr="001B69EF">
        <w:t xml:space="preserve"> Así, se realizó la búsqueda exhaustiva y razonada de la información, dentro de los archivos de trámite y concentración que obran en la Subdirección de Recursos Materiales encontrándose los contratos identificados como:</w:t>
      </w:r>
    </w:p>
    <w:p w14:paraId="031FE2A3" w14:textId="77777777" w:rsidR="00E7599A" w:rsidRPr="001B69EF" w:rsidRDefault="00E7599A" w:rsidP="00E7599A">
      <w:pPr>
        <w:pStyle w:val="Citas"/>
        <w:numPr>
          <w:ilvl w:val="0"/>
          <w:numId w:val="22"/>
        </w:numPr>
        <w:rPr>
          <w:b/>
        </w:rPr>
      </w:pPr>
      <w:r w:rsidRPr="001B69EF">
        <w:rPr>
          <w:b/>
        </w:rPr>
        <w:t>MNJ/SA/DRM/CTAB-LPN-/005/2020</w:t>
      </w:r>
    </w:p>
    <w:p w14:paraId="79462C3A" w14:textId="77777777" w:rsidR="00E7599A" w:rsidRPr="001B69EF" w:rsidRDefault="00E7599A" w:rsidP="00E7599A">
      <w:pPr>
        <w:pStyle w:val="Citas"/>
        <w:numPr>
          <w:ilvl w:val="0"/>
          <w:numId w:val="22"/>
        </w:numPr>
        <w:rPr>
          <w:b/>
        </w:rPr>
      </w:pPr>
      <w:r w:rsidRPr="001B69EF">
        <w:rPr>
          <w:b/>
        </w:rPr>
        <w:lastRenderedPageBreak/>
        <w:t>MNJ/DGA/IR/12/2022</w:t>
      </w:r>
    </w:p>
    <w:p w14:paraId="141BA2F0" w14:textId="77777777" w:rsidR="00E7599A" w:rsidRPr="001B69EF" w:rsidRDefault="00E7599A" w:rsidP="00E7599A">
      <w:pPr>
        <w:pStyle w:val="Citas"/>
        <w:numPr>
          <w:ilvl w:val="0"/>
          <w:numId w:val="22"/>
        </w:numPr>
        <w:rPr>
          <w:b/>
        </w:rPr>
      </w:pPr>
      <w:r w:rsidRPr="001B69EF">
        <w:rPr>
          <w:b/>
        </w:rPr>
        <w:t>MNJ/DGA/IR</w:t>
      </w:r>
      <w:r w:rsidR="00B95AC4" w:rsidRPr="001B69EF">
        <w:rPr>
          <w:b/>
        </w:rPr>
        <w:t>/002/2022</w:t>
      </w:r>
    </w:p>
    <w:p w14:paraId="034690F5" w14:textId="77777777" w:rsidR="00B95AC4" w:rsidRPr="001B69EF" w:rsidRDefault="00B95AC4" w:rsidP="00B95AC4">
      <w:pPr>
        <w:pStyle w:val="Citas"/>
        <w:ind w:left="720"/>
      </w:pPr>
      <w:r w:rsidRPr="001B69EF">
        <w:t>Los cuales se remiten en copia simple de forma adjunta al presente escrito a efecto de tener por rendido el informe justificado solicitado mediante oficio UTAIP/0646/2022.</w:t>
      </w:r>
    </w:p>
    <w:p w14:paraId="4533AA38" w14:textId="77777777" w:rsidR="00FF3CD3" w:rsidRPr="001B69EF" w:rsidRDefault="00FF3CD3" w:rsidP="00FF3CD3">
      <w:pPr>
        <w:pStyle w:val="Citas"/>
      </w:pPr>
      <w:r w:rsidRPr="001B69EF">
        <w:rPr>
          <w:b/>
        </w:rPr>
        <w:t xml:space="preserve"> (…</w:t>
      </w:r>
      <w:r w:rsidRPr="001B69EF">
        <w:t>)”</w:t>
      </w:r>
    </w:p>
    <w:p w14:paraId="6A160E6B" w14:textId="77777777" w:rsidR="00FF3CD3" w:rsidRPr="001B69EF" w:rsidRDefault="002528C9" w:rsidP="00B95AC4">
      <w:pPr>
        <w:pStyle w:val="Citas"/>
        <w:numPr>
          <w:ilvl w:val="0"/>
          <w:numId w:val="6"/>
        </w:numPr>
        <w:rPr>
          <w:b/>
          <w:u w:val="single"/>
        </w:rPr>
      </w:pPr>
      <w:r w:rsidRPr="001B69EF">
        <w:rPr>
          <w:b/>
          <w:sz w:val="24"/>
        </w:rPr>
        <w:t>MNJ-SA-DRM-CTAB-LPN-005-2020.pdf</w:t>
      </w:r>
      <w:r w:rsidR="00FF3CD3" w:rsidRPr="001B69EF">
        <w:rPr>
          <w:b/>
          <w:sz w:val="24"/>
        </w:rPr>
        <w:t xml:space="preserve">: </w:t>
      </w:r>
      <w:r w:rsidR="00FF3CD3" w:rsidRPr="001B69EF">
        <w:rPr>
          <w:i w:val="0"/>
          <w:sz w:val="24"/>
        </w:rPr>
        <w:t xml:space="preserve">constante de </w:t>
      </w:r>
      <w:r w:rsidR="00B95AC4" w:rsidRPr="001B69EF">
        <w:rPr>
          <w:i w:val="0"/>
          <w:sz w:val="24"/>
        </w:rPr>
        <w:t>siete</w:t>
      </w:r>
      <w:r w:rsidR="00FF3CD3" w:rsidRPr="001B69EF">
        <w:rPr>
          <w:i w:val="0"/>
          <w:sz w:val="24"/>
        </w:rPr>
        <w:t xml:space="preserve"> fojas, en formato PDF, que contiene </w:t>
      </w:r>
      <w:r w:rsidR="00B95AC4" w:rsidRPr="001B69EF">
        <w:rPr>
          <w:i w:val="0"/>
          <w:sz w:val="24"/>
        </w:rPr>
        <w:t xml:space="preserve">el Contrato de Adquisición de Bienes, relativo a la adquisición de mezcla asfáltica. </w:t>
      </w:r>
    </w:p>
    <w:p w14:paraId="6B341B2D" w14:textId="77777777" w:rsidR="00FF3CD3" w:rsidRPr="001B69EF" w:rsidRDefault="00FF3CD3" w:rsidP="00FF3CD3">
      <w:pPr>
        <w:pStyle w:val="Citas"/>
      </w:pPr>
      <w:r w:rsidRPr="001B69EF">
        <w:t>(…)”</w:t>
      </w:r>
    </w:p>
    <w:p w14:paraId="4903744D" w14:textId="77777777" w:rsidR="002528C9" w:rsidRPr="001B69EF" w:rsidRDefault="002528C9" w:rsidP="00B95AC4">
      <w:pPr>
        <w:pStyle w:val="Citas"/>
        <w:numPr>
          <w:ilvl w:val="0"/>
          <w:numId w:val="6"/>
        </w:numPr>
        <w:rPr>
          <w:b/>
          <w:sz w:val="24"/>
        </w:rPr>
      </w:pPr>
      <w:r w:rsidRPr="001B69EF">
        <w:rPr>
          <w:b/>
          <w:sz w:val="24"/>
        </w:rPr>
        <w:t xml:space="preserve">TM-STE-SC-205-2022.pdf: </w:t>
      </w:r>
      <w:r w:rsidR="00B95AC4" w:rsidRPr="001B69EF">
        <w:rPr>
          <w:i w:val="0"/>
          <w:sz w:val="24"/>
        </w:rPr>
        <w:t>constante de cuatro fojas, en formato PDF, que contiene el informe justificado del Sujeto Obligado, firmado por la Tesorera Municipal, dirigido al Titular de la Unidad de Transparencia, en los siguientes términos, en el que sustancialmente refiere que no es competente para conocer de la solicitud, tal como se ilustra:</w:t>
      </w:r>
    </w:p>
    <w:p w14:paraId="249177A1" w14:textId="77777777" w:rsidR="00B95AC4" w:rsidRPr="001B69EF" w:rsidRDefault="00B95AC4" w:rsidP="00B95AC4">
      <w:pPr>
        <w:pStyle w:val="Citas"/>
        <w:ind w:left="720"/>
        <w:jc w:val="center"/>
        <w:rPr>
          <w:b/>
          <w:sz w:val="24"/>
        </w:rPr>
      </w:pPr>
      <w:r w:rsidRPr="001B69EF">
        <w:rPr>
          <w:b/>
          <w:noProof/>
          <w:sz w:val="24"/>
          <w:lang w:eastAsia="es-MX"/>
        </w:rPr>
        <w:lastRenderedPageBreak/>
        <w:drawing>
          <wp:anchor distT="0" distB="0" distL="114300" distR="114300" simplePos="0" relativeHeight="251662336" behindDoc="0" locked="0" layoutInCell="1" allowOverlap="1" wp14:anchorId="4B87F8E4" wp14:editId="3A64262F">
            <wp:simplePos x="0" y="0"/>
            <wp:positionH relativeFrom="margin">
              <wp:posOffset>923925</wp:posOffset>
            </wp:positionH>
            <wp:positionV relativeFrom="margin">
              <wp:posOffset>3219450</wp:posOffset>
            </wp:positionV>
            <wp:extent cx="3609975" cy="417489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7CBDD3.tmp"/>
                    <pic:cNvPicPr/>
                  </pic:nvPicPr>
                  <pic:blipFill>
                    <a:blip r:embed="rId13">
                      <a:extLst>
                        <a:ext uri="{28A0092B-C50C-407E-A947-70E740481C1C}">
                          <a14:useLocalDpi xmlns:a14="http://schemas.microsoft.com/office/drawing/2010/main" val="0"/>
                        </a:ext>
                      </a:extLst>
                    </a:blip>
                    <a:stretch>
                      <a:fillRect/>
                    </a:stretch>
                  </pic:blipFill>
                  <pic:spPr>
                    <a:xfrm>
                      <a:off x="0" y="0"/>
                      <a:ext cx="3609975" cy="4174895"/>
                    </a:xfrm>
                    <a:prstGeom prst="rect">
                      <a:avLst/>
                    </a:prstGeom>
                  </pic:spPr>
                </pic:pic>
              </a:graphicData>
            </a:graphic>
          </wp:anchor>
        </w:drawing>
      </w:r>
    </w:p>
    <w:p w14:paraId="7BA7242A" w14:textId="77777777" w:rsidR="00FF3CD3" w:rsidRPr="001B69EF" w:rsidRDefault="00B95AC4" w:rsidP="00B95AC4">
      <w:pPr>
        <w:pStyle w:val="Citas"/>
        <w:jc w:val="center"/>
        <w:rPr>
          <w:b/>
        </w:rPr>
      </w:pPr>
      <w:r w:rsidRPr="001B69EF">
        <w:rPr>
          <w:b/>
          <w:noProof/>
          <w:lang w:eastAsia="es-MX"/>
        </w:rPr>
        <w:lastRenderedPageBreak/>
        <w:drawing>
          <wp:inline distT="0" distB="0" distL="0" distR="0" wp14:anchorId="2F19AD5F" wp14:editId="071CD641">
            <wp:extent cx="4474632" cy="5019675"/>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7C46FA.tmp"/>
                    <pic:cNvPicPr/>
                  </pic:nvPicPr>
                  <pic:blipFill>
                    <a:blip r:embed="rId14">
                      <a:extLst>
                        <a:ext uri="{28A0092B-C50C-407E-A947-70E740481C1C}">
                          <a14:useLocalDpi xmlns:a14="http://schemas.microsoft.com/office/drawing/2010/main" val="0"/>
                        </a:ext>
                      </a:extLst>
                    </a:blip>
                    <a:stretch>
                      <a:fillRect/>
                    </a:stretch>
                  </pic:blipFill>
                  <pic:spPr>
                    <a:xfrm>
                      <a:off x="0" y="0"/>
                      <a:ext cx="4493625" cy="5040981"/>
                    </a:xfrm>
                    <a:prstGeom prst="rect">
                      <a:avLst/>
                    </a:prstGeom>
                  </pic:spPr>
                </pic:pic>
              </a:graphicData>
            </a:graphic>
          </wp:inline>
        </w:drawing>
      </w:r>
    </w:p>
    <w:p w14:paraId="562366CD" w14:textId="77777777" w:rsidR="00A8035E" w:rsidRPr="001B69EF" w:rsidRDefault="00283567" w:rsidP="00283567">
      <w:pPr>
        <w:spacing w:line="360" w:lineRule="auto"/>
        <w:jc w:val="both"/>
        <w:rPr>
          <w:rFonts w:ascii="Palatino Linotype" w:hAnsi="Palatino Linotype" w:cs="Arial"/>
          <w:sz w:val="24"/>
        </w:rPr>
      </w:pPr>
      <w:r w:rsidRPr="001B69EF">
        <w:rPr>
          <w:rFonts w:ascii="Palatino Linotype" w:hAnsi="Palatino Linotype" w:cs="Arial"/>
          <w:sz w:val="24"/>
        </w:rPr>
        <w:t>El Sujeto Obligado adjunto mediante informe justificado los archivos denominados “</w:t>
      </w:r>
      <w:r w:rsidRPr="001B69EF">
        <w:rPr>
          <w:rFonts w:ascii="Palatino Linotype" w:hAnsi="Palatino Linotype" w:cs="Arial"/>
          <w:b/>
          <w:sz w:val="24"/>
        </w:rPr>
        <w:t xml:space="preserve">MNJ-DGA-IR-12-2022.pdf” y “MNJ-DGA-IR-002-2022.pdf”, </w:t>
      </w:r>
      <w:r w:rsidRPr="001B69EF">
        <w:rPr>
          <w:rFonts w:ascii="Palatino Linotype" w:hAnsi="Palatino Linotype" w:cs="Arial"/>
          <w:sz w:val="24"/>
        </w:rPr>
        <w:t xml:space="preserve">documentos que no fueron puestos a la vista del Recurrente por contener datos personales como </w:t>
      </w:r>
      <w:r w:rsidR="00343CAB" w:rsidRPr="001B69EF">
        <w:rPr>
          <w:rFonts w:ascii="Palatino Linotype" w:hAnsi="Palatino Linotype" w:cs="Arial"/>
          <w:sz w:val="24"/>
        </w:rPr>
        <w:t xml:space="preserve">lo son: </w:t>
      </w:r>
      <w:r w:rsidRPr="001B69EF">
        <w:rPr>
          <w:rFonts w:ascii="Palatino Linotype" w:hAnsi="Palatino Linotype" w:cs="Arial"/>
          <w:sz w:val="24"/>
        </w:rPr>
        <w:t xml:space="preserve">el número de la credencial para votar del representante legal del proveedor, correos y teléfonos particulares. </w:t>
      </w:r>
    </w:p>
    <w:p w14:paraId="272BB6F1" w14:textId="77777777" w:rsidR="00A8035E" w:rsidRPr="001B69EF" w:rsidRDefault="00F24250" w:rsidP="00FF3CD3">
      <w:pPr>
        <w:spacing w:line="360" w:lineRule="auto"/>
        <w:jc w:val="both"/>
        <w:rPr>
          <w:rFonts w:ascii="Palatino Linotype" w:hAnsi="Palatino Linotype" w:cs="Arial"/>
          <w:sz w:val="24"/>
        </w:rPr>
      </w:pPr>
      <w:r w:rsidRPr="001B69EF">
        <w:rPr>
          <w:rFonts w:ascii="Palatino Linotype" w:hAnsi="Palatino Linotype" w:cs="Arial"/>
          <w:sz w:val="24"/>
        </w:rPr>
        <w:t>Por su parte, el Recurrente adjunto los archivos electrónicos denominados:</w:t>
      </w:r>
    </w:p>
    <w:p w14:paraId="531607AD" w14:textId="77777777" w:rsidR="00306B93" w:rsidRPr="001B69EF" w:rsidRDefault="00F24250" w:rsidP="00141F5C">
      <w:pPr>
        <w:pStyle w:val="Prrafodelista"/>
        <w:numPr>
          <w:ilvl w:val="0"/>
          <w:numId w:val="6"/>
        </w:numPr>
        <w:spacing w:line="360" w:lineRule="auto"/>
        <w:jc w:val="both"/>
        <w:rPr>
          <w:rFonts w:ascii="Palatino Linotype" w:hAnsi="Palatino Linotype" w:cs="Arial"/>
          <w:b/>
          <w:i/>
        </w:rPr>
      </w:pPr>
      <w:r w:rsidRPr="001B69EF">
        <w:rPr>
          <w:rFonts w:ascii="Palatino Linotype" w:hAnsi="Palatino Linotype" w:cs="Arial"/>
          <w:b/>
          <w:i/>
        </w:rPr>
        <w:lastRenderedPageBreak/>
        <w:t xml:space="preserve">vales.pdf: </w:t>
      </w:r>
      <w:r w:rsidRPr="001B69EF">
        <w:rPr>
          <w:rFonts w:ascii="Palatino Linotype" w:hAnsi="Palatino Linotype" w:cs="Arial"/>
        </w:rPr>
        <w:t xml:space="preserve">constante de </w:t>
      </w:r>
      <w:r w:rsidR="00306B93" w:rsidRPr="001B69EF">
        <w:rPr>
          <w:rFonts w:ascii="Palatino Linotype" w:hAnsi="Palatino Linotype" w:cs="Arial"/>
        </w:rPr>
        <w:t>nueve fojas, en formato pdf, contiene nueve vales, autorizados por el Secretario de Administración y el Coordinador General de Unidades Administrativas, tal como se ilustra:</w:t>
      </w:r>
    </w:p>
    <w:p w14:paraId="0F3166AB" w14:textId="77777777" w:rsidR="00306B93" w:rsidRPr="001B69EF" w:rsidRDefault="00306B93" w:rsidP="00306B93">
      <w:pPr>
        <w:pStyle w:val="Prrafodelista"/>
        <w:spacing w:line="360" w:lineRule="auto"/>
        <w:ind w:left="720"/>
        <w:jc w:val="both"/>
        <w:rPr>
          <w:rFonts w:ascii="Palatino Linotype" w:hAnsi="Palatino Linotype" w:cs="Arial"/>
          <w:b/>
          <w:i/>
        </w:rPr>
      </w:pPr>
      <w:r w:rsidRPr="001B69EF">
        <w:rPr>
          <w:rFonts w:ascii="Palatino Linotype" w:hAnsi="Palatino Linotype" w:cs="Arial"/>
          <w:b/>
          <w:i/>
          <w:noProof/>
          <w:lang w:val="es-MX" w:eastAsia="es-MX"/>
        </w:rPr>
        <w:drawing>
          <wp:inline distT="0" distB="0" distL="0" distR="0" wp14:anchorId="78542CB0" wp14:editId="50435B2A">
            <wp:extent cx="5850890" cy="14166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6C5A23.tmp"/>
                    <pic:cNvPicPr/>
                  </pic:nvPicPr>
                  <pic:blipFill>
                    <a:blip r:embed="rId15">
                      <a:extLst>
                        <a:ext uri="{28A0092B-C50C-407E-A947-70E740481C1C}">
                          <a14:useLocalDpi xmlns:a14="http://schemas.microsoft.com/office/drawing/2010/main" val="0"/>
                        </a:ext>
                      </a:extLst>
                    </a:blip>
                    <a:stretch>
                      <a:fillRect/>
                    </a:stretch>
                  </pic:blipFill>
                  <pic:spPr>
                    <a:xfrm>
                      <a:off x="0" y="0"/>
                      <a:ext cx="5850890" cy="1416685"/>
                    </a:xfrm>
                    <a:prstGeom prst="rect">
                      <a:avLst/>
                    </a:prstGeom>
                  </pic:spPr>
                </pic:pic>
              </a:graphicData>
            </a:graphic>
          </wp:inline>
        </w:drawing>
      </w:r>
    </w:p>
    <w:p w14:paraId="753C7A65" w14:textId="77777777" w:rsidR="00F24250" w:rsidRPr="001B69EF" w:rsidRDefault="00F24250" w:rsidP="00141F5C">
      <w:pPr>
        <w:pStyle w:val="Prrafodelista"/>
        <w:numPr>
          <w:ilvl w:val="0"/>
          <w:numId w:val="6"/>
        </w:numPr>
        <w:spacing w:line="360" w:lineRule="auto"/>
        <w:jc w:val="both"/>
        <w:rPr>
          <w:rFonts w:ascii="Palatino Linotype" w:hAnsi="Palatino Linotype" w:cs="Arial"/>
          <w:b/>
          <w:i/>
        </w:rPr>
      </w:pPr>
      <w:r w:rsidRPr="001B69EF">
        <w:rPr>
          <w:rFonts w:ascii="Palatino Linotype" w:hAnsi="Palatino Linotype" w:cs="Arial"/>
          <w:b/>
          <w:i/>
        </w:rPr>
        <w:t>RECURSO DE REVISIÓNn.docx</w:t>
      </w:r>
      <w:r w:rsidR="007001D7" w:rsidRPr="001B69EF">
        <w:rPr>
          <w:rFonts w:ascii="Palatino Linotype" w:hAnsi="Palatino Linotype" w:cs="Arial"/>
          <w:b/>
          <w:i/>
        </w:rPr>
        <w:t xml:space="preserve">: </w:t>
      </w:r>
      <w:r w:rsidR="007001D7" w:rsidRPr="001B69EF">
        <w:rPr>
          <w:rFonts w:ascii="Palatino Linotype" w:hAnsi="Palatino Linotype" w:cs="Arial"/>
        </w:rPr>
        <w:t>el recurrente manifestó lo siguiente:</w:t>
      </w:r>
    </w:p>
    <w:p w14:paraId="2C307173" w14:textId="77777777" w:rsidR="007001D7" w:rsidRPr="001B69EF" w:rsidRDefault="007001D7" w:rsidP="007001D7">
      <w:pPr>
        <w:pStyle w:val="INFOEM"/>
        <w:jc w:val="right"/>
        <w:rPr>
          <w:b/>
        </w:rPr>
      </w:pPr>
      <w:r w:rsidRPr="001B69EF">
        <w:rPr>
          <w:b/>
        </w:rPr>
        <w:t>“RECURSO DE REVISIÓN: 16260/INFOEM/IP/RR/2022</w:t>
      </w:r>
    </w:p>
    <w:p w14:paraId="597D0CE3" w14:textId="77777777" w:rsidR="007001D7" w:rsidRPr="001B69EF" w:rsidRDefault="007001D7" w:rsidP="007001D7">
      <w:pPr>
        <w:pStyle w:val="INFOEM"/>
      </w:pPr>
      <w:r w:rsidRPr="001B69EF">
        <w:t>Me permito ofrecer como pruebas los documentales consistentes en los vales de los cuales se desprende se solicita la información, solicitando se sirva tomarlas en cuenta al momento de emitir el fallo definitivo.” (Sic)</w:t>
      </w:r>
    </w:p>
    <w:p w14:paraId="2D643E94" w14:textId="77777777" w:rsidR="00F24250" w:rsidRPr="001B69EF" w:rsidRDefault="00F24250" w:rsidP="007001D7">
      <w:pPr>
        <w:pStyle w:val="INFOEM"/>
        <w:numPr>
          <w:ilvl w:val="0"/>
          <w:numId w:val="6"/>
        </w:numPr>
        <w:rPr>
          <w:rFonts w:cs="Arial"/>
          <w:b/>
          <w:sz w:val="28"/>
        </w:rPr>
      </w:pPr>
      <w:r w:rsidRPr="001B69EF">
        <w:rPr>
          <w:rFonts w:cs="Arial"/>
          <w:b/>
          <w:sz w:val="24"/>
        </w:rPr>
        <w:t xml:space="preserve">alegatos.docx: </w:t>
      </w:r>
      <w:r w:rsidR="007001D7" w:rsidRPr="001B69EF">
        <w:rPr>
          <w:rFonts w:cs="Arial"/>
          <w:i w:val="0"/>
          <w:sz w:val="24"/>
        </w:rPr>
        <w:t>el recurrente manifestó lo siguiente:</w:t>
      </w:r>
    </w:p>
    <w:p w14:paraId="79C16CA2" w14:textId="77777777" w:rsidR="007001D7" w:rsidRPr="001B69EF" w:rsidRDefault="007001D7" w:rsidP="007001D7">
      <w:pPr>
        <w:pStyle w:val="INFOEM"/>
        <w:jc w:val="center"/>
        <w:rPr>
          <w:b/>
        </w:rPr>
      </w:pPr>
      <w:r w:rsidRPr="001B69EF">
        <w:rPr>
          <w:b/>
        </w:rPr>
        <w:t>“Alegatos</w:t>
      </w:r>
    </w:p>
    <w:p w14:paraId="0C717DE3" w14:textId="77777777" w:rsidR="007001D7" w:rsidRPr="001B69EF" w:rsidRDefault="007001D7" w:rsidP="007001D7">
      <w:pPr>
        <w:pStyle w:val="INFOEM"/>
      </w:pPr>
      <w:r w:rsidRPr="001B69EF">
        <w:t xml:space="preserve">Desde luego que la respuesta emitida por este sujeto obligado resulta incongruente con lo solicitado, porque por principio de dicha unidad de transparencia remitió de manera por demás infundada y notoriamente dolosa a una a una oficina pública incompetente, resultando que la información es incompleta. </w:t>
      </w:r>
    </w:p>
    <w:p w14:paraId="78F72AD4" w14:textId="77777777" w:rsidR="007001D7" w:rsidRPr="001B69EF" w:rsidRDefault="007001D7" w:rsidP="007001D7">
      <w:pPr>
        <w:pStyle w:val="INFOEM"/>
      </w:pPr>
      <w:r w:rsidRPr="001B69EF">
        <w:t xml:space="preserve">Como se desprende de petición primigenia, solicité del sujeto obligado los expedientes que se formaron con motivo de la mezcla asfáltica, remitiendo solo el contrato cuando el expediente se conforma, con todo el procedimiento de adquisición de bienes en la </w:t>
      </w:r>
      <w:r w:rsidRPr="001B69EF">
        <w:lastRenderedPageBreak/>
        <w:t xml:space="preserve">modalidad que el sujeto obligado haya elegido para la compra de bienes y servicios, a saber LICITACIÓN PUBLICA, INVITACIÓN RESTRINGIDA O ADJUDICACIÓN DIRECTA, fallo, contrato, documento que acredite la entrega del bien o servicio contratado, la factura, el comprobante de pago por parte del sujeto obligado y la garantía, conforme a lo establecido por la ley en materia de contratación de bienes de ahí que su información resulta incompleta, sin que pase desapercibido que se solicitaron los años 2019, 2020 y 2021. </w:t>
      </w:r>
    </w:p>
    <w:p w14:paraId="3D32FE27" w14:textId="77777777" w:rsidR="007001D7" w:rsidRPr="001B69EF" w:rsidRDefault="007001D7" w:rsidP="007001D7">
      <w:pPr>
        <w:pStyle w:val="INFOEM"/>
      </w:pPr>
      <w:r w:rsidRPr="001B69EF">
        <w:t>Resultando ineficaces sus argumentos emitidos por el sujeto obligado, porque obra en el presente expediente electrónico la prueba de la existencia de los vales de mezcla asfáltica de los cuales se solicitan los expedientes.” (Sic)</w:t>
      </w:r>
    </w:p>
    <w:p w14:paraId="684CF0D0" w14:textId="77777777" w:rsidR="00F24250" w:rsidRPr="001B69EF" w:rsidRDefault="00F24250" w:rsidP="00343CA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6ABF42D0" w14:textId="77777777" w:rsidR="00343CAB" w:rsidRPr="001B69EF" w:rsidRDefault="00343CAB" w:rsidP="00343CA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1B69EF">
        <w:rPr>
          <w:rFonts w:ascii="Palatino Linotype" w:eastAsia="Palatino Linotype" w:hAnsi="Palatino Linotype" w:cs="Palatino Linotype"/>
          <w:color w:val="000000"/>
          <w:sz w:val="24"/>
          <w:szCs w:val="24"/>
          <w:lang w:val="es-ES_tradnl" w:eastAsia="es-MX"/>
        </w:rPr>
        <w:t xml:space="preserve">Ahora bien, quedando establecido lo anterior, este Órgano Garante considera viable realizar el estudio en aras de establecer si </w:t>
      </w:r>
      <w:r w:rsidR="00C34021" w:rsidRPr="001B69EF">
        <w:rPr>
          <w:rFonts w:ascii="Palatino Linotype" w:eastAsia="Palatino Linotype" w:hAnsi="Palatino Linotype" w:cs="Palatino Linotype"/>
          <w:color w:val="000000"/>
          <w:sz w:val="24"/>
          <w:szCs w:val="24"/>
          <w:lang w:val="es-ES_tradnl" w:eastAsia="es-MX"/>
        </w:rPr>
        <w:t>el Informe Justificado</w:t>
      </w:r>
      <w:r w:rsidRPr="001B69EF">
        <w:rPr>
          <w:rFonts w:ascii="Palatino Linotype" w:eastAsia="Palatino Linotype" w:hAnsi="Palatino Linotype" w:cs="Palatino Linotype"/>
          <w:color w:val="000000"/>
          <w:sz w:val="24"/>
          <w:szCs w:val="24"/>
          <w:lang w:val="es-ES_tradnl" w:eastAsia="es-MX"/>
        </w:rPr>
        <w:t xml:space="preserve"> del Sujeto Obligado colma la pretensión del Recurrente</w:t>
      </w:r>
      <w:r w:rsidR="00C34021" w:rsidRPr="001B69EF">
        <w:rPr>
          <w:rFonts w:ascii="Palatino Linotype" w:eastAsia="Palatino Linotype" w:hAnsi="Palatino Linotype" w:cs="Palatino Linotype"/>
          <w:color w:val="000000"/>
          <w:sz w:val="24"/>
          <w:szCs w:val="24"/>
          <w:lang w:val="es-ES_tradnl" w:eastAsia="es-MX"/>
        </w:rPr>
        <w:t>:</w:t>
      </w:r>
      <w:r w:rsidRPr="001B69EF">
        <w:rPr>
          <w:rFonts w:ascii="Palatino Linotype" w:eastAsia="Palatino Linotype" w:hAnsi="Palatino Linotype" w:cs="Palatino Linotype"/>
          <w:color w:val="000000"/>
          <w:sz w:val="24"/>
          <w:szCs w:val="24"/>
          <w:lang w:val="es-ES_tradnl" w:eastAsia="es-MX"/>
        </w:rPr>
        <w:t xml:space="preserve"> </w:t>
      </w:r>
    </w:p>
    <w:p w14:paraId="46730AF1" w14:textId="77777777" w:rsidR="00343CAB" w:rsidRPr="001B69EF" w:rsidRDefault="00343CAB" w:rsidP="00343CAB">
      <w:pPr>
        <w:spacing w:after="0" w:line="360" w:lineRule="auto"/>
        <w:jc w:val="both"/>
        <w:rPr>
          <w:rFonts w:ascii="Palatino Linotype" w:hAnsi="Palatino Linotype"/>
          <w:color w:val="000000"/>
          <w:sz w:val="24"/>
          <w:szCs w:val="24"/>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14"/>
        <w:gridCol w:w="3013"/>
        <w:gridCol w:w="3015"/>
      </w:tblGrid>
      <w:tr w:rsidR="00343CAB" w:rsidRPr="001B69EF" w14:paraId="2E1AD1C4" w14:textId="77777777" w:rsidTr="0085737D">
        <w:trPr>
          <w:trHeight w:val="828"/>
        </w:trPr>
        <w:tc>
          <w:tcPr>
            <w:tcW w:w="3014" w:type="dxa"/>
            <w:shd w:val="clear" w:color="auto" w:fill="E7E6E6" w:themeFill="background2"/>
          </w:tcPr>
          <w:p w14:paraId="4677902C" w14:textId="77777777" w:rsidR="00343CAB" w:rsidRPr="001B69EF" w:rsidRDefault="00343CAB" w:rsidP="0085737D">
            <w:pPr>
              <w:spacing w:line="360" w:lineRule="auto"/>
              <w:jc w:val="center"/>
              <w:rPr>
                <w:rFonts w:ascii="Palatino Linotype" w:hAnsi="Palatino Linotype"/>
                <w:b/>
                <w:i/>
                <w:color w:val="000000"/>
                <w:sz w:val="24"/>
                <w:szCs w:val="24"/>
              </w:rPr>
            </w:pPr>
            <w:r w:rsidRPr="001B69EF">
              <w:rPr>
                <w:rFonts w:ascii="Palatino Linotype" w:hAnsi="Palatino Linotype"/>
                <w:b/>
                <w:i/>
                <w:color w:val="000000"/>
                <w:sz w:val="24"/>
                <w:szCs w:val="24"/>
              </w:rPr>
              <w:t>Requerimientos</w:t>
            </w:r>
          </w:p>
        </w:tc>
        <w:tc>
          <w:tcPr>
            <w:tcW w:w="3013" w:type="dxa"/>
            <w:shd w:val="clear" w:color="auto" w:fill="E7E6E6" w:themeFill="background2"/>
          </w:tcPr>
          <w:p w14:paraId="73E2D2E7" w14:textId="77777777" w:rsidR="00343CAB" w:rsidRPr="001B69EF" w:rsidRDefault="00343CAB" w:rsidP="0085737D">
            <w:pPr>
              <w:spacing w:line="360" w:lineRule="auto"/>
              <w:jc w:val="center"/>
              <w:rPr>
                <w:rFonts w:ascii="Palatino Linotype" w:hAnsi="Palatino Linotype"/>
                <w:b/>
                <w:i/>
                <w:color w:val="000000"/>
                <w:sz w:val="24"/>
                <w:szCs w:val="24"/>
              </w:rPr>
            </w:pPr>
            <w:r w:rsidRPr="001B69EF">
              <w:rPr>
                <w:rFonts w:ascii="Palatino Linotype" w:hAnsi="Palatino Linotype"/>
                <w:b/>
                <w:i/>
                <w:color w:val="000000"/>
                <w:sz w:val="24"/>
                <w:szCs w:val="24"/>
              </w:rPr>
              <w:t xml:space="preserve">Informe </w:t>
            </w:r>
            <w:r w:rsidR="00FA069E" w:rsidRPr="001B69EF">
              <w:rPr>
                <w:rFonts w:ascii="Palatino Linotype" w:hAnsi="Palatino Linotype"/>
                <w:b/>
                <w:i/>
                <w:color w:val="000000"/>
                <w:sz w:val="24"/>
                <w:szCs w:val="24"/>
              </w:rPr>
              <w:t>Justificado</w:t>
            </w:r>
          </w:p>
        </w:tc>
        <w:tc>
          <w:tcPr>
            <w:tcW w:w="3015" w:type="dxa"/>
            <w:shd w:val="clear" w:color="auto" w:fill="E7E6E6" w:themeFill="background2"/>
          </w:tcPr>
          <w:p w14:paraId="5FC1EFD6" w14:textId="77777777" w:rsidR="00343CAB" w:rsidRPr="001B69EF" w:rsidRDefault="00343CAB" w:rsidP="0085737D">
            <w:pPr>
              <w:spacing w:line="360" w:lineRule="auto"/>
              <w:jc w:val="center"/>
              <w:rPr>
                <w:rFonts w:ascii="Palatino Linotype" w:hAnsi="Palatino Linotype"/>
                <w:b/>
                <w:i/>
                <w:color w:val="000000"/>
                <w:sz w:val="24"/>
                <w:szCs w:val="24"/>
              </w:rPr>
            </w:pPr>
            <w:r w:rsidRPr="001B69EF">
              <w:rPr>
                <w:rFonts w:ascii="Palatino Linotype" w:hAnsi="Palatino Linotype"/>
                <w:b/>
                <w:i/>
                <w:color w:val="000000"/>
                <w:sz w:val="24"/>
                <w:szCs w:val="24"/>
              </w:rPr>
              <w:t>Colma</w:t>
            </w:r>
          </w:p>
        </w:tc>
      </w:tr>
      <w:tr w:rsidR="00000CBA" w:rsidRPr="001B69EF" w14:paraId="3CCF37CE" w14:textId="77777777" w:rsidTr="0085737D">
        <w:trPr>
          <w:trHeight w:val="828"/>
        </w:trPr>
        <w:tc>
          <w:tcPr>
            <w:tcW w:w="3014" w:type="dxa"/>
          </w:tcPr>
          <w:p w14:paraId="55EE0AB1" w14:textId="77777777" w:rsidR="00000CBA" w:rsidRPr="001B69EF" w:rsidRDefault="00000CBA" w:rsidP="00C34021">
            <w:pPr>
              <w:pStyle w:val="Prrafodelista"/>
              <w:numPr>
                <w:ilvl w:val="0"/>
                <w:numId w:val="30"/>
              </w:numPr>
              <w:ind w:left="303" w:hanging="284"/>
              <w:jc w:val="both"/>
              <w:rPr>
                <w:rFonts w:ascii="Palatino Linotype" w:hAnsi="Palatino Linotype"/>
                <w:color w:val="000000"/>
              </w:rPr>
            </w:pPr>
            <w:r w:rsidRPr="001B69EF">
              <w:rPr>
                <w:rFonts w:ascii="Palatino Linotype" w:hAnsi="Palatino Linotype"/>
              </w:rPr>
              <w:t>Vales por un viaje de mezcla asfáltica del 2019 a 2022</w:t>
            </w:r>
          </w:p>
        </w:tc>
        <w:tc>
          <w:tcPr>
            <w:tcW w:w="3013" w:type="dxa"/>
            <w:vMerge w:val="restart"/>
          </w:tcPr>
          <w:p w14:paraId="281D14E0" w14:textId="77777777" w:rsidR="00000CBA" w:rsidRPr="001B69EF" w:rsidRDefault="00000CBA" w:rsidP="00B1502C">
            <w:pPr>
              <w:jc w:val="both"/>
              <w:rPr>
                <w:rFonts w:ascii="Palatino Linotype" w:hAnsi="Palatino Linotype"/>
                <w:color w:val="000000"/>
                <w:sz w:val="24"/>
                <w:szCs w:val="24"/>
              </w:rPr>
            </w:pPr>
            <w:r w:rsidRPr="001B69EF">
              <w:rPr>
                <w:rFonts w:ascii="Palatino Linotype" w:hAnsi="Palatino Linotype"/>
                <w:color w:val="000000"/>
                <w:sz w:val="24"/>
                <w:szCs w:val="24"/>
              </w:rPr>
              <w:t xml:space="preserve">El </w:t>
            </w:r>
            <w:r w:rsidR="00C34021" w:rsidRPr="001B69EF">
              <w:rPr>
                <w:rFonts w:ascii="Palatino Linotype" w:hAnsi="Palatino Linotype"/>
                <w:color w:val="000000"/>
                <w:sz w:val="24"/>
                <w:szCs w:val="24"/>
              </w:rPr>
              <w:t>T</w:t>
            </w:r>
            <w:r w:rsidRPr="001B69EF">
              <w:rPr>
                <w:rFonts w:ascii="Palatino Linotype" w:hAnsi="Palatino Linotype"/>
                <w:color w:val="000000"/>
                <w:sz w:val="24"/>
                <w:szCs w:val="24"/>
              </w:rPr>
              <w:t>esorero manifestó no generar la información</w:t>
            </w:r>
            <w:r w:rsidR="00C34021" w:rsidRPr="001B69EF">
              <w:rPr>
                <w:rFonts w:ascii="Palatino Linotype" w:hAnsi="Palatino Linotype"/>
                <w:color w:val="000000"/>
                <w:sz w:val="24"/>
                <w:szCs w:val="24"/>
              </w:rPr>
              <w:t xml:space="preserve">, siendo atribución del Departamento de Bacheo, dependiente de la Dirección de Servicios Públicos. </w:t>
            </w:r>
          </w:p>
        </w:tc>
        <w:tc>
          <w:tcPr>
            <w:tcW w:w="3015" w:type="dxa"/>
          </w:tcPr>
          <w:p w14:paraId="7EB6906A" w14:textId="77777777" w:rsidR="00000CBA" w:rsidRPr="001B69EF" w:rsidRDefault="00000CBA" w:rsidP="0085737D">
            <w:pPr>
              <w:spacing w:line="360" w:lineRule="auto"/>
              <w:jc w:val="center"/>
              <w:rPr>
                <w:rFonts w:ascii="Palatino Linotype" w:hAnsi="Palatino Linotype"/>
                <w:b/>
                <w:i/>
                <w:color w:val="000000"/>
                <w:sz w:val="24"/>
                <w:szCs w:val="24"/>
              </w:rPr>
            </w:pPr>
            <w:r w:rsidRPr="001B69EF">
              <w:rPr>
                <w:rFonts w:ascii="Palatino Linotype" w:hAnsi="Palatino Linotype"/>
                <w:b/>
                <w:i/>
                <w:color w:val="000000"/>
                <w:sz w:val="24"/>
                <w:szCs w:val="24"/>
              </w:rPr>
              <w:t xml:space="preserve">No </w:t>
            </w:r>
          </w:p>
        </w:tc>
      </w:tr>
      <w:tr w:rsidR="00000CBA" w:rsidRPr="001B69EF" w14:paraId="2AAF3452" w14:textId="77777777" w:rsidTr="00FA069E">
        <w:trPr>
          <w:trHeight w:val="1844"/>
        </w:trPr>
        <w:tc>
          <w:tcPr>
            <w:tcW w:w="3014" w:type="dxa"/>
          </w:tcPr>
          <w:p w14:paraId="749CB911" w14:textId="77777777" w:rsidR="00000CBA" w:rsidRPr="001B69EF" w:rsidRDefault="00000CBA" w:rsidP="00C34021">
            <w:pPr>
              <w:pStyle w:val="Sinespaciado"/>
              <w:numPr>
                <w:ilvl w:val="0"/>
                <w:numId w:val="30"/>
              </w:numPr>
              <w:ind w:left="303" w:hanging="284"/>
              <w:jc w:val="both"/>
              <w:rPr>
                <w:rFonts w:ascii="Palatino Linotype" w:hAnsi="Palatino Linotype"/>
              </w:rPr>
            </w:pPr>
            <w:r w:rsidRPr="001B69EF">
              <w:rPr>
                <w:rFonts w:ascii="Palatino Linotype" w:hAnsi="Palatino Linotype"/>
              </w:rPr>
              <w:t xml:space="preserve">Expedientes que se formaron con motivo del pago del ayuntamiento por los vales </w:t>
            </w:r>
          </w:p>
        </w:tc>
        <w:tc>
          <w:tcPr>
            <w:tcW w:w="3013" w:type="dxa"/>
            <w:vMerge/>
          </w:tcPr>
          <w:p w14:paraId="3B74BC35" w14:textId="77777777" w:rsidR="00000CBA" w:rsidRPr="001B69EF" w:rsidRDefault="00000CBA" w:rsidP="0085737D">
            <w:pPr>
              <w:spacing w:line="360" w:lineRule="auto"/>
              <w:jc w:val="both"/>
              <w:rPr>
                <w:rFonts w:ascii="Palatino Linotype" w:hAnsi="Palatino Linotype"/>
                <w:color w:val="000000"/>
                <w:sz w:val="24"/>
                <w:szCs w:val="24"/>
              </w:rPr>
            </w:pPr>
          </w:p>
        </w:tc>
        <w:tc>
          <w:tcPr>
            <w:tcW w:w="3015" w:type="dxa"/>
          </w:tcPr>
          <w:p w14:paraId="086520FD" w14:textId="77777777" w:rsidR="00000CBA" w:rsidRPr="001B69EF" w:rsidRDefault="00000CBA" w:rsidP="0085737D">
            <w:pPr>
              <w:spacing w:line="360" w:lineRule="auto"/>
              <w:jc w:val="center"/>
              <w:rPr>
                <w:rFonts w:ascii="Palatino Linotype" w:hAnsi="Palatino Linotype"/>
                <w:b/>
                <w:i/>
                <w:color w:val="000000"/>
                <w:sz w:val="24"/>
                <w:szCs w:val="24"/>
              </w:rPr>
            </w:pPr>
            <w:r w:rsidRPr="001B69EF">
              <w:rPr>
                <w:rFonts w:ascii="Palatino Linotype" w:hAnsi="Palatino Linotype"/>
                <w:b/>
                <w:i/>
                <w:color w:val="000000"/>
                <w:sz w:val="24"/>
                <w:szCs w:val="24"/>
              </w:rPr>
              <w:t xml:space="preserve">No </w:t>
            </w:r>
          </w:p>
        </w:tc>
      </w:tr>
      <w:tr w:rsidR="00000CBA" w:rsidRPr="001B69EF" w14:paraId="7EF275DF" w14:textId="77777777" w:rsidTr="0085737D">
        <w:trPr>
          <w:trHeight w:val="828"/>
        </w:trPr>
        <w:tc>
          <w:tcPr>
            <w:tcW w:w="3014" w:type="dxa"/>
          </w:tcPr>
          <w:p w14:paraId="1E77004A" w14:textId="77777777" w:rsidR="00000CBA" w:rsidRPr="001B69EF" w:rsidRDefault="00000CBA" w:rsidP="00C34021">
            <w:pPr>
              <w:pStyle w:val="Sinespaciado"/>
              <w:numPr>
                <w:ilvl w:val="0"/>
                <w:numId w:val="30"/>
              </w:numPr>
              <w:ind w:left="303" w:hanging="284"/>
              <w:jc w:val="both"/>
              <w:rPr>
                <w:rFonts w:ascii="Palatino Linotype" w:hAnsi="Palatino Linotype"/>
              </w:rPr>
            </w:pPr>
            <w:r w:rsidRPr="001B69EF">
              <w:rPr>
                <w:rFonts w:ascii="Palatino Linotype" w:hAnsi="Palatino Linotype"/>
              </w:rPr>
              <w:lastRenderedPageBreak/>
              <w:t>Pagos realizados a los proveedores de la mezcla asfáltica</w:t>
            </w:r>
          </w:p>
        </w:tc>
        <w:tc>
          <w:tcPr>
            <w:tcW w:w="3013" w:type="dxa"/>
            <w:vMerge/>
          </w:tcPr>
          <w:p w14:paraId="5652C9D5" w14:textId="77777777" w:rsidR="00000CBA" w:rsidRPr="001B69EF" w:rsidRDefault="00000CBA" w:rsidP="0085737D">
            <w:pPr>
              <w:spacing w:line="360" w:lineRule="auto"/>
              <w:jc w:val="both"/>
              <w:rPr>
                <w:rFonts w:ascii="Palatino Linotype" w:hAnsi="Palatino Linotype"/>
                <w:color w:val="000000"/>
                <w:sz w:val="24"/>
                <w:szCs w:val="24"/>
              </w:rPr>
            </w:pPr>
          </w:p>
        </w:tc>
        <w:tc>
          <w:tcPr>
            <w:tcW w:w="3015" w:type="dxa"/>
          </w:tcPr>
          <w:p w14:paraId="4115DE00" w14:textId="77777777" w:rsidR="00000CBA" w:rsidRPr="001B69EF" w:rsidRDefault="00000CBA" w:rsidP="00000CBA">
            <w:pPr>
              <w:spacing w:line="360" w:lineRule="auto"/>
              <w:jc w:val="center"/>
              <w:rPr>
                <w:rFonts w:ascii="Palatino Linotype" w:hAnsi="Palatino Linotype"/>
                <w:b/>
                <w:i/>
                <w:color w:val="000000"/>
                <w:sz w:val="24"/>
                <w:szCs w:val="24"/>
              </w:rPr>
            </w:pPr>
            <w:r w:rsidRPr="001B69EF">
              <w:rPr>
                <w:rFonts w:ascii="Palatino Linotype" w:hAnsi="Palatino Linotype"/>
                <w:b/>
                <w:i/>
                <w:color w:val="000000"/>
                <w:sz w:val="24"/>
                <w:szCs w:val="24"/>
              </w:rPr>
              <w:t>No</w:t>
            </w:r>
          </w:p>
        </w:tc>
      </w:tr>
      <w:tr w:rsidR="00FA069E" w:rsidRPr="001B69EF" w14:paraId="60D4B40A" w14:textId="77777777" w:rsidTr="0085737D">
        <w:trPr>
          <w:trHeight w:val="828"/>
        </w:trPr>
        <w:tc>
          <w:tcPr>
            <w:tcW w:w="3014" w:type="dxa"/>
          </w:tcPr>
          <w:p w14:paraId="36A0DDFB" w14:textId="77777777" w:rsidR="00FA069E" w:rsidRPr="001B69EF" w:rsidRDefault="00FA069E" w:rsidP="005A66EE">
            <w:pPr>
              <w:pStyle w:val="Sinespaciado"/>
              <w:numPr>
                <w:ilvl w:val="0"/>
                <w:numId w:val="30"/>
              </w:numPr>
              <w:ind w:left="303" w:hanging="284"/>
              <w:jc w:val="both"/>
              <w:rPr>
                <w:rFonts w:ascii="Palatino Linotype" w:hAnsi="Palatino Linotype"/>
                <w:color w:val="000000"/>
              </w:rPr>
            </w:pPr>
            <w:r w:rsidRPr="001B69EF">
              <w:rPr>
                <w:rFonts w:ascii="Palatino Linotype" w:hAnsi="Palatino Linotype"/>
              </w:rPr>
              <w:t xml:space="preserve">Lista de deudores </w:t>
            </w:r>
            <w:r w:rsidR="005A66EE" w:rsidRPr="001B69EF">
              <w:rPr>
                <w:rFonts w:ascii="Palatino Linotype" w:hAnsi="Palatino Linotype"/>
              </w:rPr>
              <w:t xml:space="preserve">del Ayuntamiento por concepto de mezcla asfáltica </w:t>
            </w:r>
          </w:p>
        </w:tc>
        <w:tc>
          <w:tcPr>
            <w:tcW w:w="3013" w:type="dxa"/>
          </w:tcPr>
          <w:p w14:paraId="5470A44C" w14:textId="77777777" w:rsidR="00FA069E" w:rsidRPr="001B69EF" w:rsidRDefault="00000CBA" w:rsidP="00000CBA">
            <w:pPr>
              <w:jc w:val="both"/>
              <w:rPr>
                <w:rFonts w:ascii="Palatino Linotype" w:hAnsi="Palatino Linotype"/>
                <w:color w:val="000000"/>
                <w:sz w:val="24"/>
                <w:szCs w:val="24"/>
              </w:rPr>
            </w:pPr>
            <w:r w:rsidRPr="001B69EF">
              <w:rPr>
                <w:rFonts w:ascii="Palatino Linotype" w:hAnsi="Palatino Linotype"/>
                <w:color w:val="000000"/>
                <w:sz w:val="24"/>
                <w:szCs w:val="24"/>
              </w:rPr>
              <w:t>El Tesorero manifestó que no le corresponde al Ayuntamiento conocer los deudores de los proveedores.</w:t>
            </w:r>
          </w:p>
        </w:tc>
        <w:tc>
          <w:tcPr>
            <w:tcW w:w="3015" w:type="dxa"/>
          </w:tcPr>
          <w:p w14:paraId="005BE7B5" w14:textId="77777777" w:rsidR="00000CBA" w:rsidRPr="001B69EF" w:rsidRDefault="005A66EE" w:rsidP="00000CBA">
            <w:pPr>
              <w:spacing w:line="360" w:lineRule="auto"/>
              <w:jc w:val="center"/>
              <w:rPr>
                <w:rFonts w:ascii="Palatino Linotype" w:hAnsi="Palatino Linotype"/>
                <w:b/>
                <w:i/>
                <w:color w:val="000000"/>
                <w:sz w:val="24"/>
                <w:szCs w:val="24"/>
              </w:rPr>
            </w:pPr>
            <w:r w:rsidRPr="001B69EF">
              <w:rPr>
                <w:rFonts w:ascii="Palatino Linotype" w:hAnsi="Palatino Linotype"/>
                <w:b/>
                <w:i/>
                <w:color w:val="000000"/>
                <w:sz w:val="24"/>
                <w:szCs w:val="24"/>
              </w:rPr>
              <w:t>No</w:t>
            </w:r>
          </w:p>
        </w:tc>
      </w:tr>
      <w:tr w:rsidR="00FA069E" w:rsidRPr="001B69EF" w14:paraId="08060149" w14:textId="77777777" w:rsidTr="0085737D">
        <w:trPr>
          <w:trHeight w:val="828"/>
        </w:trPr>
        <w:tc>
          <w:tcPr>
            <w:tcW w:w="3014" w:type="dxa"/>
          </w:tcPr>
          <w:p w14:paraId="5B0BC0B2" w14:textId="77777777" w:rsidR="00FA069E" w:rsidRPr="001B69EF" w:rsidRDefault="00FA069E" w:rsidP="00C34021">
            <w:pPr>
              <w:pStyle w:val="Prrafodelista"/>
              <w:numPr>
                <w:ilvl w:val="0"/>
                <w:numId w:val="30"/>
              </w:numPr>
              <w:ind w:left="303" w:hanging="284"/>
              <w:rPr>
                <w:rFonts w:ascii="Palatino Linotype" w:hAnsi="Palatino Linotype"/>
                <w:color w:val="000000"/>
              </w:rPr>
            </w:pPr>
            <w:r w:rsidRPr="001B69EF">
              <w:rPr>
                <w:rFonts w:ascii="Palatino Linotype" w:hAnsi="Palatino Linotype"/>
              </w:rPr>
              <w:t>Contratos de adquisición de bienes y servicios de los proveedores de la mezcla asfáltica</w:t>
            </w:r>
          </w:p>
        </w:tc>
        <w:tc>
          <w:tcPr>
            <w:tcW w:w="3013" w:type="dxa"/>
          </w:tcPr>
          <w:p w14:paraId="6CEC4574" w14:textId="77777777" w:rsidR="00FA069E" w:rsidRPr="001B69EF" w:rsidRDefault="00000CBA" w:rsidP="00000CBA">
            <w:pPr>
              <w:jc w:val="both"/>
              <w:rPr>
                <w:rFonts w:ascii="Palatino Linotype" w:hAnsi="Palatino Linotype"/>
                <w:color w:val="000000"/>
                <w:szCs w:val="24"/>
              </w:rPr>
            </w:pPr>
            <w:r w:rsidRPr="001B69EF">
              <w:rPr>
                <w:rFonts w:ascii="Palatino Linotype" w:hAnsi="Palatino Linotype"/>
                <w:color w:val="000000"/>
                <w:szCs w:val="24"/>
              </w:rPr>
              <w:t xml:space="preserve">El Director General de Administración, entrego 3 archivos que contienen los contratos de adquisición de mescla asfáltica, solo fue puesto a la vista el archivo </w:t>
            </w:r>
            <w:r w:rsidRPr="001B69EF">
              <w:rPr>
                <w:rFonts w:ascii="Palatino Linotype" w:hAnsi="Palatino Linotype"/>
                <w:b/>
                <w:color w:val="000000"/>
                <w:szCs w:val="24"/>
              </w:rPr>
              <w:t>MNJ/SA/DRM/CTAB-LPN-/005/2020.</w:t>
            </w:r>
          </w:p>
        </w:tc>
        <w:tc>
          <w:tcPr>
            <w:tcW w:w="3015" w:type="dxa"/>
          </w:tcPr>
          <w:p w14:paraId="3F315659" w14:textId="77777777" w:rsidR="00FA069E" w:rsidRPr="001B69EF" w:rsidRDefault="00000CBA" w:rsidP="00000CBA">
            <w:pPr>
              <w:spacing w:line="360" w:lineRule="auto"/>
              <w:jc w:val="center"/>
              <w:rPr>
                <w:rFonts w:ascii="Palatino Linotype" w:hAnsi="Palatino Linotype"/>
                <w:b/>
                <w:color w:val="000000"/>
                <w:sz w:val="24"/>
                <w:szCs w:val="24"/>
              </w:rPr>
            </w:pPr>
            <w:r w:rsidRPr="001B69EF">
              <w:rPr>
                <w:rFonts w:ascii="Palatino Linotype" w:hAnsi="Palatino Linotype"/>
                <w:b/>
                <w:color w:val="000000"/>
                <w:sz w:val="24"/>
                <w:szCs w:val="24"/>
              </w:rPr>
              <w:t>Parcialmente</w:t>
            </w:r>
          </w:p>
          <w:p w14:paraId="62CA5AB0" w14:textId="77777777" w:rsidR="00000CBA" w:rsidRPr="001B69EF" w:rsidRDefault="00000CBA" w:rsidP="00000CBA">
            <w:pPr>
              <w:jc w:val="both"/>
              <w:rPr>
                <w:rFonts w:ascii="Palatino Linotype" w:hAnsi="Palatino Linotype"/>
                <w:b/>
                <w:color w:val="000000"/>
                <w:sz w:val="24"/>
                <w:szCs w:val="24"/>
              </w:rPr>
            </w:pPr>
          </w:p>
        </w:tc>
      </w:tr>
    </w:tbl>
    <w:p w14:paraId="696BFDD9" w14:textId="77777777" w:rsidR="00343CAB" w:rsidRPr="001B69EF" w:rsidRDefault="00343CAB" w:rsidP="00343CAB">
      <w:pPr>
        <w:spacing w:after="0" w:line="360" w:lineRule="auto"/>
        <w:jc w:val="both"/>
        <w:rPr>
          <w:rFonts w:ascii="Palatino Linotype" w:hAnsi="Palatino Linotype"/>
          <w:color w:val="000000"/>
          <w:sz w:val="24"/>
          <w:szCs w:val="24"/>
        </w:rPr>
      </w:pPr>
    </w:p>
    <w:p w14:paraId="6EF64DBD" w14:textId="77777777" w:rsidR="00FA069E" w:rsidRPr="001B69EF" w:rsidRDefault="00FA069E" w:rsidP="00FA069E">
      <w:pPr>
        <w:spacing w:line="360" w:lineRule="auto"/>
        <w:jc w:val="both"/>
        <w:rPr>
          <w:rFonts w:ascii="Palatino Linotype" w:hAnsi="Palatino Linotype" w:cs="Arial"/>
          <w:noProof/>
          <w:color w:val="000000"/>
          <w:sz w:val="24"/>
          <w:lang w:eastAsia="es-MX"/>
        </w:rPr>
      </w:pPr>
      <w:r w:rsidRPr="001B69EF">
        <w:rPr>
          <w:rFonts w:ascii="Palatino Linotype" w:hAnsi="Palatino Linotype" w:cs="Arial"/>
          <w:sz w:val="24"/>
        </w:rPr>
        <w:t xml:space="preserve">Bajo este contexto, a efecto de identificar las unidades administrativas competentes se traen a colación los </w:t>
      </w:r>
      <w:r w:rsidRPr="001B69EF">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7A1138AD" w14:textId="77777777" w:rsidR="00FA069E" w:rsidRPr="001B69EF" w:rsidRDefault="00FA069E" w:rsidP="00FA069E">
      <w:pPr>
        <w:tabs>
          <w:tab w:val="left" w:pos="709"/>
        </w:tabs>
        <w:spacing w:before="240" w:line="360" w:lineRule="auto"/>
        <w:ind w:left="851" w:right="851"/>
        <w:jc w:val="both"/>
        <w:rPr>
          <w:rFonts w:ascii="Palatino Linotype" w:hAnsi="Palatino Linotype"/>
          <w:i/>
        </w:rPr>
      </w:pPr>
      <w:r w:rsidRPr="001B69EF">
        <w:rPr>
          <w:rFonts w:ascii="Palatino Linotype" w:hAnsi="Palatino Linotype"/>
          <w:i/>
        </w:rPr>
        <w:t>“Artículo 24. Para el cumplimiento de los objetivos de esta Ley, los sujetos obligados deberán cumplir con las siguientes obligaciones, según corresponda, de acuerdo a su naturaleza:</w:t>
      </w:r>
    </w:p>
    <w:p w14:paraId="01B85025" w14:textId="77777777" w:rsidR="00FA069E" w:rsidRPr="001B69EF" w:rsidRDefault="00FA069E" w:rsidP="00FA069E">
      <w:pPr>
        <w:tabs>
          <w:tab w:val="left" w:pos="709"/>
        </w:tabs>
        <w:spacing w:before="240" w:line="360" w:lineRule="auto"/>
        <w:ind w:left="851" w:right="851"/>
        <w:jc w:val="both"/>
        <w:rPr>
          <w:rFonts w:ascii="Palatino Linotype" w:hAnsi="Palatino Linotype"/>
          <w:i/>
        </w:rPr>
      </w:pPr>
      <w:r w:rsidRPr="001B69EF">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6E74255" w14:textId="77777777" w:rsidR="00FA069E" w:rsidRPr="001B69EF" w:rsidRDefault="00FA069E" w:rsidP="00FA069E">
      <w:pPr>
        <w:tabs>
          <w:tab w:val="left" w:pos="709"/>
        </w:tabs>
        <w:spacing w:before="240" w:line="360" w:lineRule="auto"/>
        <w:ind w:left="851" w:right="851"/>
        <w:jc w:val="both"/>
        <w:rPr>
          <w:rFonts w:ascii="Palatino Linotype" w:hAnsi="Palatino Linotype"/>
          <w:b/>
          <w:i/>
        </w:rPr>
      </w:pPr>
      <w:r w:rsidRPr="001B69EF">
        <w:rPr>
          <w:rFonts w:ascii="Palatino Linotype" w:hAnsi="Palatino Linotype"/>
          <w:b/>
          <w:i/>
        </w:rPr>
        <w:t>(…)</w:t>
      </w:r>
    </w:p>
    <w:p w14:paraId="40E874C6" w14:textId="77777777" w:rsidR="00FA069E" w:rsidRPr="001B69EF" w:rsidRDefault="00FA069E" w:rsidP="00FA069E">
      <w:pPr>
        <w:tabs>
          <w:tab w:val="left" w:pos="709"/>
        </w:tabs>
        <w:spacing w:before="240" w:line="360" w:lineRule="auto"/>
        <w:ind w:left="851" w:right="851"/>
        <w:jc w:val="both"/>
        <w:rPr>
          <w:rFonts w:ascii="Palatino Linotype" w:hAnsi="Palatino Linotype"/>
          <w:i/>
        </w:rPr>
      </w:pPr>
      <w:r w:rsidRPr="001B69EF">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0D49BC2" w14:textId="77777777" w:rsidR="00FA069E" w:rsidRPr="001B69EF" w:rsidRDefault="00FA069E" w:rsidP="00FA069E">
      <w:pPr>
        <w:pStyle w:val="INFOEM"/>
      </w:pPr>
      <w:r w:rsidRPr="001B69EF">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6768346C" w14:textId="77777777" w:rsidR="00FA069E" w:rsidRPr="001B69EF" w:rsidRDefault="00FA069E" w:rsidP="00FA069E">
      <w:pPr>
        <w:pStyle w:val="Citas"/>
        <w:rPr>
          <w:bCs/>
          <w:sz w:val="24"/>
          <w:szCs w:val="24"/>
        </w:rPr>
      </w:pPr>
      <w:r w:rsidRPr="001B69EF">
        <w:t xml:space="preserve"> (…)” </w:t>
      </w:r>
      <w:r w:rsidRPr="001B69EF">
        <w:rPr>
          <w:b/>
          <w:bCs/>
        </w:rPr>
        <w:t>(Sic)</w:t>
      </w:r>
    </w:p>
    <w:p w14:paraId="23AFEFFF" w14:textId="77777777" w:rsidR="00FA069E" w:rsidRPr="001B69EF" w:rsidRDefault="00FA069E" w:rsidP="00FA069E">
      <w:pPr>
        <w:spacing w:before="240" w:line="360" w:lineRule="auto"/>
        <w:jc w:val="both"/>
        <w:rPr>
          <w:rFonts w:ascii="Palatino Linotype" w:hAnsi="Palatino Linotype"/>
        </w:rPr>
      </w:pPr>
    </w:p>
    <w:p w14:paraId="2F96DE88" w14:textId="77777777" w:rsidR="00FA069E" w:rsidRPr="001B69EF" w:rsidRDefault="00FA069E" w:rsidP="00FA069E">
      <w:pPr>
        <w:spacing w:before="240" w:line="360" w:lineRule="auto"/>
        <w:jc w:val="both"/>
        <w:rPr>
          <w:rFonts w:ascii="Palatino Linotype" w:hAnsi="Palatino Linotype"/>
          <w:sz w:val="24"/>
        </w:rPr>
      </w:pPr>
      <w:r w:rsidRPr="001B69EF">
        <w:rPr>
          <w:rFonts w:ascii="Palatino Linotype" w:hAnsi="Palatino Linotype"/>
          <w:noProof/>
          <w:color w:val="C00000"/>
          <w:lang w:eastAsia="es-MX"/>
        </w:rPr>
        <mc:AlternateContent>
          <mc:Choice Requires="wps">
            <w:drawing>
              <wp:anchor distT="0" distB="0" distL="114300" distR="114300" simplePos="0" relativeHeight="251664384" behindDoc="0" locked="0" layoutInCell="1" allowOverlap="1" wp14:anchorId="430D4495" wp14:editId="6F0CD84D">
                <wp:simplePos x="0" y="0"/>
                <wp:positionH relativeFrom="column">
                  <wp:posOffset>-41910</wp:posOffset>
                </wp:positionH>
                <wp:positionV relativeFrom="paragraph">
                  <wp:posOffset>2237740</wp:posOffset>
                </wp:positionV>
                <wp:extent cx="290195" cy="625475"/>
                <wp:effectExtent l="19050" t="19050" r="14605" b="22225"/>
                <wp:wrapNone/>
                <wp:docPr id="3" name="Elipse 3"/>
                <wp:cNvGraphicFramePr/>
                <a:graphic xmlns:a="http://schemas.openxmlformats.org/drawingml/2006/main">
                  <a:graphicData uri="http://schemas.microsoft.com/office/word/2010/wordprocessingShape">
                    <wps:wsp>
                      <wps:cNvSpPr/>
                      <wps:spPr>
                        <a:xfrm>
                          <a:off x="0" y="0"/>
                          <a:ext cx="290195" cy="625475"/>
                        </a:xfrm>
                        <a:prstGeom prst="ellipse">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E7DFB4D" id="Elipse 3" o:spid="_x0000_s1026" style="position:absolute;margin-left:-3.3pt;margin-top:176.2pt;width:22.85pt;height:4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" filled="f" strokecolor="white [3212]" strokeweight="2.25pt">
                <v:stroke joinstyle="miter"/>
              </v:oval>
            </w:pict>
          </mc:Fallback>
        </mc:AlternateContent>
      </w:r>
      <w:r w:rsidRPr="001B69EF">
        <w:rPr>
          <w:rFonts w:ascii="Palatino Linotype" w:hAnsi="Palatino Linotype"/>
          <w:noProof/>
          <w:color w:val="C00000"/>
          <w:lang w:eastAsia="es-MX"/>
        </w:rPr>
        <mc:AlternateContent>
          <mc:Choice Requires="wps">
            <w:drawing>
              <wp:anchor distT="0" distB="0" distL="114300" distR="114300" simplePos="0" relativeHeight="251665408" behindDoc="0" locked="0" layoutInCell="1" allowOverlap="1" wp14:anchorId="5AD2E973" wp14:editId="6852B4C5">
                <wp:simplePos x="0" y="0"/>
                <wp:positionH relativeFrom="column">
                  <wp:posOffset>605790</wp:posOffset>
                </wp:positionH>
                <wp:positionV relativeFrom="paragraph">
                  <wp:posOffset>2247266</wp:posOffset>
                </wp:positionV>
                <wp:extent cx="335915" cy="642620"/>
                <wp:effectExtent l="19050" t="19050" r="26035" b="24130"/>
                <wp:wrapNone/>
                <wp:docPr id="5" name="Elipse 5"/>
                <wp:cNvGraphicFramePr/>
                <a:graphic xmlns:a="http://schemas.openxmlformats.org/drawingml/2006/main">
                  <a:graphicData uri="http://schemas.microsoft.com/office/word/2010/wordprocessingShape">
                    <wps:wsp>
                      <wps:cNvSpPr/>
                      <wps:spPr>
                        <a:xfrm>
                          <a:off x="0" y="0"/>
                          <a:ext cx="335915" cy="642620"/>
                        </a:xfrm>
                        <a:prstGeom prst="ellipse">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32A4118" id="Elipse 5" o:spid="_x0000_s1026" style="position:absolute;margin-left:47.7pt;margin-top:176.95pt;width:26.45pt;height:5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" filled="f" strokecolor="white [3212]" strokeweight="2.25pt">
                <v:stroke joinstyle="miter"/>
              </v:oval>
            </w:pict>
          </mc:Fallback>
        </mc:AlternateContent>
      </w:r>
      <w:r w:rsidRPr="001B69EF">
        <w:rPr>
          <w:rFonts w:ascii="Palatino Linotype" w:hAnsi="Palatino Linotype"/>
          <w:sz w:val="24"/>
        </w:rPr>
        <w:t>Sirven de sustento las siguientes imágenes ilustrativas:</w:t>
      </w:r>
    </w:p>
    <w:p w14:paraId="49E3D987" w14:textId="77777777" w:rsidR="00FA069E" w:rsidRPr="001B69EF" w:rsidRDefault="00C34021" w:rsidP="00C34021">
      <w:pPr>
        <w:spacing w:after="0" w:line="360" w:lineRule="auto"/>
        <w:jc w:val="center"/>
        <w:rPr>
          <w:rFonts w:ascii="Palatino Linotype" w:hAnsi="Palatino Linotype"/>
          <w:color w:val="000000"/>
          <w:sz w:val="24"/>
          <w:szCs w:val="24"/>
        </w:rPr>
      </w:pPr>
      <w:r w:rsidRPr="001B69EF">
        <w:rPr>
          <w:rFonts w:ascii="Palatino Linotype" w:hAnsi="Palatino Linotype"/>
          <w:noProof/>
          <w:color w:val="000000"/>
          <w:sz w:val="24"/>
          <w:szCs w:val="24"/>
          <w:lang w:eastAsia="es-MX"/>
        </w:rPr>
        <w:lastRenderedPageBreak/>
        <w:drawing>
          <wp:inline distT="0" distB="0" distL="0" distR="0" wp14:anchorId="47EDDB28" wp14:editId="0AFD7576">
            <wp:extent cx="4057650" cy="414264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6CB3FA.tmp"/>
                    <pic:cNvPicPr/>
                  </pic:nvPicPr>
                  <pic:blipFill>
                    <a:blip r:embed="rId16">
                      <a:extLst>
                        <a:ext uri="{28A0092B-C50C-407E-A947-70E740481C1C}">
                          <a14:useLocalDpi xmlns:a14="http://schemas.microsoft.com/office/drawing/2010/main" val="0"/>
                        </a:ext>
                      </a:extLst>
                    </a:blip>
                    <a:stretch>
                      <a:fillRect/>
                    </a:stretch>
                  </pic:blipFill>
                  <pic:spPr>
                    <a:xfrm>
                      <a:off x="0" y="0"/>
                      <a:ext cx="4061911" cy="4146995"/>
                    </a:xfrm>
                    <a:prstGeom prst="rect">
                      <a:avLst/>
                    </a:prstGeom>
                  </pic:spPr>
                </pic:pic>
              </a:graphicData>
            </a:graphic>
          </wp:inline>
        </w:drawing>
      </w:r>
    </w:p>
    <w:p w14:paraId="451CECE1" w14:textId="77777777" w:rsidR="009827D2" w:rsidRPr="001B69EF" w:rsidRDefault="009827D2" w:rsidP="00C34021">
      <w:pPr>
        <w:spacing w:after="0" w:line="360" w:lineRule="auto"/>
        <w:jc w:val="center"/>
        <w:rPr>
          <w:rFonts w:ascii="Palatino Linotype" w:hAnsi="Palatino Linotype"/>
          <w:color w:val="000000"/>
          <w:sz w:val="24"/>
          <w:szCs w:val="24"/>
        </w:rPr>
      </w:pPr>
      <w:r w:rsidRPr="001B69EF">
        <w:rPr>
          <w:rFonts w:ascii="Palatino Linotype" w:hAnsi="Palatino Linotype"/>
          <w:noProof/>
          <w:color w:val="000000"/>
          <w:sz w:val="24"/>
          <w:szCs w:val="24"/>
          <w:lang w:eastAsia="es-MX"/>
        </w:rPr>
        <w:drawing>
          <wp:inline distT="0" distB="0" distL="0" distR="0" wp14:anchorId="388FE0DF" wp14:editId="02B29CEA">
            <wp:extent cx="5850890" cy="2661285"/>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28F686.tmp"/>
                    <pic:cNvPicPr/>
                  </pic:nvPicPr>
                  <pic:blipFill>
                    <a:blip r:embed="rId17">
                      <a:extLst>
                        <a:ext uri="{28A0092B-C50C-407E-A947-70E740481C1C}">
                          <a14:useLocalDpi xmlns:a14="http://schemas.microsoft.com/office/drawing/2010/main" val="0"/>
                        </a:ext>
                      </a:extLst>
                    </a:blip>
                    <a:stretch>
                      <a:fillRect/>
                    </a:stretch>
                  </pic:blipFill>
                  <pic:spPr>
                    <a:xfrm>
                      <a:off x="0" y="0"/>
                      <a:ext cx="5850890" cy="2661285"/>
                    </a:xfrm>
                    <a:prstGeom prst="rect">
                      <a:avLst/>
                    </a:prstGeom>
                  </pic:spPr>
                </pic:pic>
              </a:graphicData>
            </a:graphic>
          </wp:inline>
        </w:drawing>
      </w:r>
    </w:p>
    <w:p w14:paraId="01B84F9B" w14:textId="77777777" w:rsidR="00C34021" w:rsidRPr="001B69EF" w:rsidRDefault="00C34021" w:rsidP="00343CAB">
      <w:pPr>
        <w:spacing w:after="0" w:line="360" w:lineRule="auto"/>
        <w:jc w:val="both"/>
        <w:rPr>
          <w:rFonts w:ascii="Palatino Linotype" w:hAnsi="Palatino Linotype"/>
          <w:color w:val="000000"/>
          <w:sz w:val="24"/>
          <w:szCs w:val="24"/>
        </w:rPr>
      </w:pPr>
    </w:p>
    <w:p w14:paraId="16D294F3" w14:textId="77777777" w:rsidR="00C34021" w:rsidRPr="001B69EF" w:rsidRDefault="00C34021" w:rsidP="00343CAB">
      <w:pPr>
        <w:spacing w:after="0" w:line="360" w:lineRule="auto"/>
        <w:jc w:val="both"/>
        <w:rPr>
          <w:rFonts w:ascii="Palatino Linotype" w:hAnsi="Palatino Linotype"/>
          <w:color w:val="000000"/>
          <w:sz w:val="24"/>
          <w:szCs w:val="24"/>
        </w:rPr>
      </w:pPr>
    </w:p>
    <w:p w14:paraId="27A8E521" w14:textId="77777777" w:rsidR="006067D0" w:rsidRPr="001B69EF" w:rsidRDefault="006067D0" w:rsidP="006067D0">
      <w:pPr>
        <w:spacing w:line="360" w:lineRule="auto"/>
        <w:jc w:val="both"/>
        <w:rPr>
          <w:rFonts w:ascii="Palatino Linotype" w:hAnsi="Palatino Linotype"/>
          <w:sz w:val="24"/>
        </w:rPr>
      </w:pPr>
      <w:r w:rsidRPr="001B69EF">
        <w:rPr>
          <w:rFonts w:ascii="Palatino Linotype" w:hAnsi="Palatino Linotype"/>
          <w:sz w:val="24"/>
        </w:rPr>
        <w:t xml:space="preserve">De lo expuesto con anterioridad, se desprende que </w:t>
      </w:r>
      <w:r w:rsidRPr="001B69EF">
        <w:rPr>
          <w:rFonts w:ascii="Palatino Linotype" w:hAnsi="Palatino Linotype"/>
          <w:b/>
          <w:sz w:val="24"/>
        </w:rPr>
        <w:t xml:space="preserve">El Sujeto Obligado </w:t>
      </w:r>
      <w:r w:rsidRPr="001B69EF">
        <w:rPr>
          <w:rFonts w:ascii="Palatino Linotype" w:hAnsi="Palatino Linotype"/>
          <w:sz w:val="24"/>
        </w:rPr>
        <w:t>se auxilia de diversas Direcciones, Subdirecciones, Departamentos y Unidades Administrativas para cumplir con sus fines y objetivos, resultando de nuestro más amplio interés la Direcció</w:t>
      </w:r>
      <w:r w:rsidR="009827D2" w:rsidRPr="001B69EF">
        <w:rPr>
          <w:rFonts w:ascii="Palatino Linotype" w:hAnsi="Palatino Linotype"/>
          <w:sz w:val="24"/>
        </w:rPr>
        <w:t>n General de Servicios Públicos y la Dirección General de Administración.</w:t>
      </w:r>
      <w:r w:rsidRPr="001B69EF">
        <w:rPr>
          <w:rFonts w:ascii="Palatino Linotype" w:hAnsi="Palatino Linotype"/>
          <w:sz w:val="24"/>
        </w:rPr>
        <w:t xml:space="preserve"> </w:t>
      </w:r>
    </w:p>
    <w:p w14:paraId="156AEBF9" w14:textId="77777777" w:rsidR="00C34021" w:rsidRPr="001B69EF" w:rsidRDefault="00C34021" w:rsidP="00343CAB">
      <w:pPr>
        <w:spacing w:after="0" w:line="360" w:lineRule="auto"/>
        <w:jc w:val="both"/>
        <w:rPr>
          <w:rFonts w:ascii="Palatino Linotype" w:hAnsi="Palatino Linotype"/>
          <w:color w:val="000000"/>
          <w:sz w:val="24"/>
          <w:szCs w:val="24"/>
        </w:rPr>
      </w:pPr>
    </w:p>
    <w:p w14:paraId="41EB5FC9" w14:textId="77777777" w:rsidR="006067D0" w:rsidRPr="001B69EF" w:rsidRDefault="006067D0" w:rsidP="006067D0">
      <w:pPr>
        <w:spacing w:after="0" w:line="360" w:lineRule="auto"/>
        <w:jc w:val="both"/>
        <w:rPr>
          <w:rFonts w:ascii="Palatino Linotype" w:eastAsia="Times New Roman" w:hAnsi="Palatino Linotype" w:cs="Times New Roman"/>
          <w:sz w:val="24"/>
          <w:szCs w:val="24"/>
          <w:lang w:val="es-ES" w:eastAsia="es-ES"/>
        </w:rPr>
      </w:pPr>
      <w:r w:rsidRPr="001B69EF">
        <w:rPr>
          <w:rFonts w:ascii="Palatino Linotype" w:eastAsia="Times New Roman" w:hAnsi="Palatino Linotype" w:cs="Times New Roman"/>
          <w:sz w:val="24"/>
          <w:szCs w:val="24"/>
          <w:lang w:val="es-ES" w:eastAsia="es-ES"/>
        </w:rPr>
        <w:t>Ahora bien, la Ley de Transparencia y Acceso a la Información Pública del Estado de México y Municipios, prevé en su artículo 23 fracción IV,</w:t>
      </w:r>
      <w:r w:rsidRPr="001B69EF">
        <w:t xml:space="preserve"> </w:t>
      </w:r>
      <w:r w:rsidRPr="001B69EF">
        <w:rPr>
          <w:rFonts w:ascii="Palatino Linotype" w:eastAsia="Times New Roman" w:hAnsi="Palatino Linotype" w:cs="Times New Roman"/>
          <w:sz w:val="24"/>
          <w:szCs w:val="24"/>
          <w:lang w:val="es-ES" w:eastAsia="es-ES"/>
        </w:rPr>
        <w:t>que los Ayuntamientos se encuentran obligados a transparentar y permitir el acceso a la información que generen, posean o administren; de ahí que la Ley de la materia delimita perfectamente los alcances de las obligaciones que corresponden a los Ayuntamientos, como se advierte enseguida:</w:t>
      </w:r>
    </w:p>
    <w:p w14:paraId="7DC681ED" w14:textId="77777777" w:rsidR="006067D0" w:rsidRPr="001B69EF" w:rsidRDefault="006067D0" w:rsidP="006067D0">
      <w:pPr>
        <w:spacing w:after="0" w:line="360" w:lineRule="auto"/>
        <w:jc w:val="both"/>
        <w:rPr>
          <w:rFonts w:ascii="Palatino Linotype" w:eastAsia="Times New Roman" w:hAnsi="Palatino Linotype" w:cs="Times New Roman"/>
          <w:sz w:val="24"/>
          <w:szCs w:val="24"/>
          <w:lang w:val="es-ES" w:eastAsia="es-ES"/>
        </w:rPr>
      </w:pPr>
    </w:p>
    <w:p w14:paraId="43734E1E" w14:textId="77777777" w:rsidR="006067D0" w:rsidRPr="001B69EF" w:rsidRDefault="006067D0" w:rsidP="006067D0">
      <w:pPr>
        <w:spacing w:after="0" w:line="240" w:lineRule="auto"/>
        <w:ind w:left="567" w:right="567"/>
        <w:jc w:val="both"/>
        <w:rPr>
          <w:rFonts w:ascii="Palatino Linotype" w:eastAsia="Times New Roman" w:hAnsi="Palatino Linotype" w:cs="Arial"/>
          <w:i/>
          <w:szCs w:val="24"/>
          <w:lang w:val="es-ES" w:eastAsia="es-ES"/>
        </w:rPr>
      </w:pPr>
      <w:r w:rsidRPr="001B69EF">
        <w:rPr>
          <w:rFonts w:ascii="Palatino Linotype" w:eastAsia="Times New Roman" w:hAnsi="Palatino Linotype" w:cs="Arial"/>
          <w:b/>
          <w:i/>
          <w:szCs w:val="24"/>
          <w:lang w:val="es-ES" w:eastAsia="es-ES"/>
        </w:rPr>
        <w:t>“Artículo 23.</w:t>
      </w:r>
      <w:r w:rsidRPr="001B69EF">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3988B9D4" w14:textId="77777777" w:rsidR="006067D0" w:rsidRPr="001B69EF" w:rsidRDefault="006067D0" w:rsidP="006067D0">
      <w:pPr>
        <w:spacing w:after="0" w:line="240" w:lineRule="auto"/>
        <w:ind w:left="567" w:right="567"/>
        <w:jc w:val="both"/>
        <w:rPr>
          <w:rFonts w:ascii="Palatino Linotype" w:eastAsia="Times New Roman" w:hAnsi="Palatino Linotype" w:cs="Arial"/>
          <w:i/>
          <w:szCs w:val="24"/>
          <w:lang w:val="es-ES" w:eastAsia="es-ES"/>
        </w:rPr>
      </w:pPr>
      <w:r w:rsidRPr="001B69EF">
        <w:rPr>
          <w:rFonts w:ascii="Palatino Linotype" w:eastAsia="Times New Roman" w:hAnsi="Palatino Linotype" w:cs="Arial"/>
          <w:b/>
          <w:i/>
          <w:szCs w:val="24"/>
          <w:lang w:val="es-ES" w:eastAsia="es-ES"/>
        </w:rPr>
        <w:t>IV. Los ayuntamientos y las dependencias, organismos, órganos y entidades de la administración municipal</w:t>
      </w:r>
      <w:r w:rsidRPr="001B69EF">
        <w:rPr>
          <w:rFonts w:ascii="Palatino Linotype" w:eastAsia="Times New Roman" w:hAnsi="Palatino Linotype" w:cs="Arial"/>
          <w:i/>
          <w:szCs w:val="24"/>
          <w:lang w:val="es-ES" w:eastAsia="es-ES"/>
        </w:rPr>
        <w:t>;”</w:t>
      </w:r>
    </w:p>
    <w:p w14:paraId="4D4DC731" w14:textId="77777777" w:rsidR="006067D0" w:rsidRPr="001B69EF" w:rsidRDefault="006067D0" w:rsidP="006067D0">
      <w:pPr>
        <w:spacing w:after="0" w:line="240" w:lineRule="auto"/>
        <w:ind w:left="567" w:right="567"/>
        <w:jc w:val="right"/>
        <w:rPr>
          <w:rFonts w:ascii="Palatino Linotype" w:eastAsia="Times New Roman" w:hAnsi="Palatino Linotype" w:cs="Arial"/>
          <w:i/>
          <w:szCs w:val="24"/>
          <w:lang w:val="es-ES" w:eastAsia="es-ES"/>
        </w:rPr>
      </w:pPr>
      <w:r w:rsidRPr="001B69EF">
        <w:rPr>
          <w:rFonts w:ascii="Palatino Linotype" w:eastAsia="Times New Roman" w:hAnsi="Palatino Linotype" w:cs="Arial"/>
          <w:i/>
          <w:szCs w:val="24"/>
          <w:lang w:val="es-ES" w:eastAsia="es-ES"/>
        </w:rPr>
        <w:t xml:space="preserve"> (Énfasis añadido)</w:t>
      </w:r>
    </w:p>
    <w:p w14:paraId="3BDF8016" w14:textId="77777777" w:rsidR="006067D0" w:rsidRPr="001B69EF" w:rsidRDefault="006067D0" w:rsidP="006067D0">
      <w:pPr>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14:paraId="0841AB4E" w14:textId="77777777" w:rsidR="006067D0" w:rsidRPr="001B69EF" w:rsidRDefault="006067D0" w:rsidP="006067D0">
      <w:pPr>
        <w:autoSpaceDE w:val="0"/>
        <w:autoSpaceDN w:val="0"/>
        <w:adjustRightInd w:val="0"/>
        <w:spacing w:after="0" w:line="360" w:lineRule="auto"/>
        <w:ind w:right="51"/>
        <w:jc w:val="both"/>
        <w:rPr>
          <w:rFonts w:ascii="Palatino Linotype" w:hAnsi="Palatino Linotype" w:cs="Arial"/>
          <w:sz w:val="24"/>
          <w:szCs w:val="24"/>
        </w:rPr>
      </w:pPr>
      <w:r w:rsidRPr="001B69EF">
        <w:rPr>
          <w:rFonts w:ascii="Palatino Linotype" w:eastAsia="Times New Roman" w:hAnsi="Palatino Linotype" w:cs="Arial"/>
          <w:sz w:val="24"/>
          <w:szCs w:val="24"/>
          <w:lang w:val="es-ES" w:eastAsia="es-ES"/>
        </w:rPr>
        <w:t>Del precepto legal en cita se establece que los Ayuntamientos, y las dependencias, organismos, órganos y entidades de la administración municipal se encuentran obligados a transparentar y permitir el acceso a la información que generen, posean o administren; de ahí que la Ley de la materia delimita perfectamente los alcances de las obligaciones que corresponden a los Ayuntamientos y las dependencias, organismos, órganos y entidades de la administración municipal.</w:t>
      </w:r>
    </w:p>
    <w:p w14:paraId="5A55849C" w14:textId="77777777" w:rsidR="006067D0" w:rsidRPr="001B69EF" w:rsidRDefault="006067D0" w:rsidP="006067D0">
      <w:pPr>
        <w:spacing w:after="0" w:line="360" w:lineRule="auto"/>
        <w:jc w:val="both"/>
        <w:rPr>
          <w:rFonts w:ascii="Palatino Linotype" w:hAnsi="Palatino Linotype"/>
          <w:sz w:val="24"/>
          <w:szCs w:val="24"/>
        </w:rPr>
      </w:pPr>
    </w:p>
    <w:p w14:paraId="1DCD3422" w14:textId="77777777" w:rsidR="006067D0" w:rsidRPr="001B69EF" w:rsidRDefault="006067D0" w:rsidP="006067D0">
      <w:pPr>
        <w:spacing w:after="0" w:line="360" w:lineRule="auto"/>
        <w:contextualSpacing/>
        <w:jc w:val="both"/>
        <w:rPr>
          <w:rFonts w:ascii="Palatino Linotype" w:eastAsia="Times New Roman" w:hAnsi="Palatino Linotype" w:cs="Arial"/>
          <w:bCs/>
          <w:color w:val="000000"/>
          <w:sz w:val="24"/>
          <w:szCs w:val="24"/>
          <w:lang w:eastAsia="es-ES"/>
        </w:rPr>
      </w:pPr>
      <w:r w:rsidRPr="001B69EF">
        <w:rPr>
          <w:rFonts w:ascii="Palatino Linotype" w:eastAsia="Times New Roman" w:hAnsi="Palatino Linotype" w:cs="Arial"/>
          <w:bCs/>
          <w:color w:val="000000"/>
          <w:sz w:val="24"/>
          <w:szCs w:val="24"/>
          <w:lang w:eastAsia="es-ES"/>
        </w:rPr>
        <w:t>Así,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455BF8F" w14:textId="77777777" w:rsidR="006067D0" w:rsidRPr="001B69EF" w:rsidRDefault="006067D0" w:rsidP="006067D0">
      <w:pPr>
        <w:spacing w:after="0" w:line="360" w:lineRule="auto"/>
        <w:contextualSpacing/>
        <w:jc w:val="both"/>
        <w:rPr>
          <w:rFonts w:ascii="Palatino Linotype" w:eastAsia="Times New Roman" w:hAnsi="Palatino Linotype" w:cs="Arial"/>
          <w:bCs/>
          <w:color w:val="000000"/>
          <w:sz w:val="24"/>
          <w:szCs w:val="24"/>
          <w:lang w:eastAsia="es-ES"/>
        </w:rPr>
      </w:pPr>
    </w:p>
    <w:p w14:paraId="48A2CE87" w14:textId="77777777" w:rsidR="006067D0" w:rsidRPr="001B69EF" w:rsidRDefault="006067D0" w:rsidP="006067D0">
      <w:pPr>
        <w:spacing w:after="0" w:line="360" w:lineRule="auto"/>
        <w:ind w:left="567"/>
        <w:contextualSpacing/>
        <w:jc w:val="both"/>
        <w:rPr>
          <w:rFonts w:ascii="Palatino Linotype" w:eastAsia="Times New Roman" w:hAnsi="Palatino Linotype" w:cs="Arial"/>
          <w:bCs/>
          <w:color w:val="000000"/>
          <w:sz w:val="24"/>
          <w:szCs w:val="24"/>
          <w:lang w:eastAsia="es-ES"/>
        </w:rPr>
      </w:pPr>
      <w:r w:rsidRPr="001B69EF">
        <w:rPr>
          <w:rFonts w:ascii="Palatino Linotype" w:eastAsia="Times New Roman" w:hAnsi="Palatino Linotype" w:cs="Arial"/>
          <w:bCs/>
          <w:color w:val="000000"/>
          <w:sz w:val="24"/>
          <w:szCs w:val="24"/>
          <w:lang w:eastAsia="es-ES"/>
        </w:rPr>
        <w:t xml:space="preserve">1. </w:t>
      </w:r>
      <w:r w:rsidRPr="001B69EF">
        <w:rPr>
          <w:rFonts w:ascii="Palatino Linotype" w:eastAsia="Times New Roman" w:hAnsi="Palatino Linotype" w:cs="Arial"/>
          <w:b/>
          <w:bCs/>
          <w:color w:val="000000"/>
          <w:sz w:val="24"/>
          <w:szCs w:val="24"/>
          <w:lang w:eastAsia="es-ES"/>
        </w:rPr>
        <w:t>Las Unidades de Transparencia garantizarán que las solicitudes de acceso a la información se turnen a todas las áreas competentes</w:t>
      </w:r>
      <w:r w:rsidRPr="001B69EF">
        <w:rPr>
          <w:rFonts w:ascii="Palatino Linotype" w:eastAsia="Times New Roman" w:hAnsi="Palatino Linotype" w:cs="Arial"/>
          <w:bCs/>
          <w:color w:val="000000"/>
          <w:sz w:val="24"/>
          <w:szCs w:val="24"/>
          <w:lang w:eastAsia="es-ES"/>
        </w:rPr>
        <w:t xml:space="preserve"> que cuenten con la información o deban tenerla -de acuerdo a las facultades, competencias y funciones-, con el objeto de que dichas áreas realicen una búsqueda exhaustiva y razonable de la información requerida, y </w:t>
      </w:r>
    </w:p>
    <w:p w14:paraId="28D9FB5E" w14:textId="77777777" w:rsidR="006067D0" w:rsidRPr="001B69EF" w:rsidRDefault="006067D0" w:rsidP="006067D0">
      <w:pPr>
        <w:spacing w:after="0" w:line="360" w:lineRule="auto"/>
        <w:ind w:left="567"/>
        <w:contextualSpacing/>
        <w:jc w:val="both"/>
        <w:rPr>
          <w:rFonts w:ascii="Palatino Linotype" w:eastAsia="Times New Roman" w:hAnsi="Palatino Linotype" w:cs="Arial"/>
          <w:bCs/>
          <w:color w:val="000000"/>
          <w:sz w:val="24"/>
          <w:szCs w:val="24"/>
          <w:lang w:eastAsia="es-ES"/>
        </w:rPr>
      </w:pPr>
      <w:r w:rsidRPr="001B69EF">
        <w:rPr>
          <w:rFonts w:ascii="Palatino Linotype" w:eastAsia="Times New Roman" w:hAnsi="Palatino Linotype" w:cs="Arial"/>
          <w:bCs/>
          <w:color w:val="000000"/>
          <w:sz w:val="24"/>
          <w:szCs w:val="24"/>
          <w:lang w:eastAsia="es-ES"/>
        </w:rPr>
        <w:t xml:space="preserve">2. Los sujetos obligados otorgaran acceso a los documentos que se encuentren en sus archivos o que estén obligados a documentar de acuerdo con sus facultades, competencias o funciones, en el formato en que la solicitante manifieste, de entre aquellos formatos existentes. </w:t>
      </w:r>
    </w:p>
    <w:p w14:paraId="4D8D1552" w14:textId="77777777" w:rsidR="0085737D" w:rsidRPr="001B69EF" w:rsidRDefault="0085737D" w:rsidP="0085737D">
      <w:pPr>
        <w:spacing w:after="0" w:line="360" w:lineRule="auto"/>
        <w:contextualSpacing/>
        <w:jc w:val="both"/>
        <w:rPr>
          <w:rFonts w:ascii="Palatino Linotype" w:eastAsia="Times New Roman" w:hAnsi="Palatino Linotype" w:cs="Arial"/>
          <w:bCs/>
          <w:color w:val="000000"/>
          <w:sz w:val="24"/>
          <w:szCs w:val="24"/>
          <w:lang w:eastAsia="es-ES"/>
        </w:rPr>
      </w:pPr>
    </w:p>
    <w:p w14:paraId="3877D244" w14:textId="77777777" w:rsidR="0085737D" w:rsidRPr="001B69EF" w:rsidRDefault="0085737D" w:rsidP="0085737D">
      <w:pPr>
        <w:spacing w:after="0" w:line="360" w:lineRule="auto"/>
        <w:contextualSpacing/>
        <w:jc w:val="both"/>
        <w:rPr>
          <w:rFonts w:ascii="Palatino Linotype" w:eastAsia="Times New Roman" w:hAnsi="Palatino Linotype" w:cs="Arial"/>
          <w:bCs/>
          <w:color w:val="000000"/>
          <w:sz w:val="24"/>
          <w:szCs w:val="24"/>
          <w:lang w:eastAsia="es-ES"/>
        </w:rPr>
      </w:pPr>
      <w:r w:rsidRPr="001B69EF">
        <w:rPr>
          <w:rFonts w:ascii="Palatino Linotype" w:eastAsia="Times New Roman" w:hAnsi="Palatino Linotype" w:cs="Arial"/>
          <w:bCs/>
          <w:color w:val="000000"/>
          <w:sz w:val="24"/>
          <w:szCs w:val="24"/>
          <w:lang w:eastAsia="es-ES"/>
        </w:rPr>
        <w:t xml:space="preserve">Ahora bien, el Reglamento Interno de la Dirección General de Servicios Públicos establece que dicha dirección contará con un Departamento de Bacheo, mismo que deberá elaborar un programa de bacheo atendiendo a su presupuesto autorizado, de igual manera, debe enviar los comprobantes de gastos de materiales y combustibles, tal como lo refiere en sus artículos: </w:t>
      </w:r>
    </w:p>
    <w:p w14:paraId="67CA4E9F" w14:textId="77777777" w:rsidR="0085737D" w:rsidRPr="001B69EF" w:rsidRDefault="0085737D" w:rsidP="0085737D">
      <w:pPr>
        <w:pStyle w:val="INFOEM"/>
        <w:jc w:val="center"/>
        <w:rPr>
          <w:b/>
          <w:lang w:eastAsia="es-ES"/>
        </w:rPr>
      </w:pPr>
      <w:r w:rsidRPr="001B69EF">
        <w:rPr>
          <w:b/>
          <w:lang w:eastAsia="es-ES"/>
        </w:rPr>
        <w:t>Sección Quinta</w:t>
      </w:r>
    </w:p>
    <w:p w14:paraId="57371462" w14:textId="77777777" w:rsidR="0085737D" w:rsidRPr="001B69EF" w:rsidRDefault="0085737D" w:rsidP="0085737D">
      <w:pPr>
        <w:pStyle w:val="INFOEM"/>
        <w:jc w:val="center"/>
        <w:rPr>
          <w:b/>
          <w:lang w:eastAsia="es-ES"/>
        </w:rPr>
      </w:pPr>
      <w:r w:rsidRPr="001B69EF">
        <w:rPr>
          <w:b/>
          <w:lang w:eastAsia="es-ES"/>
        </w:rPr>
        <w:t>Del Departamento de Bacheo</w:t>
      </w:r>
    </w:p>
    <w:p w14:paraId="7715DFA5" w14:textId="77777777" w:rsidR="0085737D" w:rsidRPr="001B69EF" w:rsidRDefault="0085737D" w:rsidP="002B5FDA">
      <w:pPr>
        <w:pStyle w:val="INFOEM"/>
        <w:spacing w:line="240" w:lineRule="auto"/>
        <w:rPr>
          <w:lang w:eastAsia="es-ES"/>
        </w:rPr>
      </w:pPr>
      <w:r w:rsidRPr="001B69EF">
        <w:rPr>
          <w:b/>
          <w:lang w:eastAsia="es-ES"/>
        </w:rPr>
        <w:lastRenderedPageBreak/>
        <w:t>Artículo 28.-</w:t>
      </w:r>
      <w:r w:rsidRPr="001B69EF">
        <w:rPr>
          <w:lang w:eastAsia="es-ES"/>
        </w:rPr>
        <w:t xml:space="preserve"> El Departamento de Bacheo estará a cargo de un titular, que se denominará Jefe(a) del Departamento de Bacheo; y tendrá las atribuciones siguientes: </w:t>
      </w:r>
    </w:p>
    <w:p w14:paraId="1D31BA4D" w14:textId="77777777" w:rsidR="0085737D" w:rsidRPr="001B69EF" w:rsidRDefault="0085737D" w:rsidP="002B5FDA">
      <w:pPr>
        <w:pStyle w:val="INFOEM"/>
        <w:numPr>
          <w:ilvl w:val="0"/>
          <w:numId w:val="31"/>
        </w:numPr>
        <w:spacing w:line="240" w:lineRule="auto"/>
        <w:rPr>
          <w:lang w:eastAsia="es-ES"/>
        </w:rPr>
      </w:pPr>
      <w:r w:rsidRPr="001B69EF">
        <w:rPr>
          <w:b/>
          <w:lang w:eastAsia="es-ES"/>
        </w:rPr>
        <w:t>Elaborar el programa mensual, semestral y anual de bacheo en pavimentos asfalticos en conjunto con su superior jerárquico,</w:t>
      </w:r>
      <w:r w:rsidRPr="001B69EF">
        <w:rPr>
          <w:lang w:eastAsia="es-ES"/>
        </w:rPr>
        <w:t xml:space="preserve"> para atender la mayor cantidad de los pueblos, colonias, fraccionamientos residenciales, industriales, campestres y ejidos del Municipio, tomando en cuenta el presupuesto autorizado para la compra de material;</w:t>
      </w:r>
    </w:p>
    <w:p w14:paraId="17C4CB1B" w14:textId="77777777" w:rsidR="0085737D" w:rsidRPr="001B69EF" w:rsidRDefault="0085737D" w:rsidP="002B5FDA">
      <w:pPr>
        <w:pStyle w:val="INFOEM"/>
        <w:numPr>
          <w:ilvl w:val="0"/>
          <w:numId w:val="31"/>
        </w:numPr>
        <w:spacing w:line="240" w:lineRule="auto"/>
        <w:rPr>
          <w:lang w:eastAsia="es-ES"/>
        </w:rPr>
      </w:pPr>
      <w:r w:rsidRPr="001B69EF">
        <w:rPr>
          <w:lang w:eastAsia="es-ES"/>
        </w:rPr>
        <w:t xml:space="preserve">Promover trabajos con la participación de la ciudadanía, a efecto de consolidar la colaboración del gobierno y los ciudadanos naucalpenses para lograr un avance en la recuperación de las vialidades del Municipio; </w:t>
      </w:r>
    </w:p>
    <w:p w14:paraId="73B087F2" w14:textId="77777777" w:rsidR="0085737D" w:rsidRPr="001B69EF" w:rsidRDefault="0085737D" w:rsidP="002B5FDA">
      <w:pPr>
        <w:pStyle w:val="INFOEM"/>
        <w:numPr>
          <w:ilvl w:val="0"/>
          <w:numId w:val="31"/>
        </w:numPr>
        <w:spacing w:line="240" w:lineRule="auto"/>
        <w:rPr>
          <w:lang w:eastAsia="es-ES"/>
        </w:rPr>
      </w:pPr>
      <w:r w:rsidRPr="001B69EF">
        <w:rPr>
          <w:lang w:eastAsia="es-ES"/>
        </w:rPr>
        <w:t xml:space="preserve">Supervisar las cuadrillas especiales que realicen actividades prioritarias en vialidades principales y reportes de la comunidad; </w:t>
      </w:r>
    </w:p>
    <w:p w14:paraId="565C5782" w14:textId="77777777" w:rsidR="0085737D" w:rsidRPr="001B69EF" w:rsidRDefault="0085737D" w:rsidP="002B5FDA">
      <w:pPr>
        <w:pStyle w:val="INFOEM"/>
        <w:numPr>
          <w:ilvl w:val="0"/>
          <w:numId w:val="31"/>
        </w:numPr>
        <w:spacing w:line="240" w:lineRule="auto"/>
        <w:rPr>
          <w:lang w:eastAsia="es-ES"/>
        </w:rPr>
      </w:pPr>
      <w:r w:rsidRPr="001B69EF">
        <w:rPr>
          <w:lang w:eastAsia="es-ES"/>
        </w:rPr>
        <w:t xml:space="preserve">Coordinarse cuando así resulte necesario con la Dirección General de Obras Públicas, previa autorización de su superior jerárquico, para el cumplimiento de las funciones a su cargo; </w:t>
      </w:r>
    </w:p>
    <w:p w14:paraId="2F95F529" w14:textId="77777777" w:rsidR="0085737D" w:rsidRPr="001B69EF" w:rsidRDefault="0085737D" w:rsidP="002B5FDA">
      <w:pPr>
        <w:pStyle w:val="INFOEM"/>
        <w:numPr>
          <w:ilvl w:val="0"/>
          <w:numId w:val="31"/>
        </w:numPr>
        <w:spacing w:line="240" w:lineRule="auto"/>
        <w:rPr>
          <w:lang w:eastAsia="es-ES"/>
        </w:rPr>
      </w:pPr>
      <w:r w:rsidRPr="001B69EF">
        <w:rPr>
          <w:lang w:eastAsia="es-ES"/>
        </w:rPr>
        <w:t xml:space="preserve">Emitir opiniones respecto al cumplimiento de obras y programas de trabajo;  </w:t>
      </w:r>
    </w:p>
    <w:p w14:paraId="26EB050E" w14:textId="77777777" w:rsidR="0085737D" w:rsidRPr="001B69EF" w:rsidRDefault="0085737D" w:rsidP="002B5FDA">
      <w:pPr>
        <w:pStyle w:val="INFOEM"/>
        <w:numPr>
          <w:ilvl w:val="0"/>
          <w:numId w:val="31"/>
        </w:numPr>
        <w:spacing w:line="240" w:lineRule="auto"/>
        <w:rPr>
          <w:lang w:eastAsia="es-ES"/>
        </w:rPr>
      </w:pPr>
      <w:r w:rsidRPr="001B69EF">
        <w:rPr>
          <w:lang w:eastAsia="es-ES"/>
        </w:rPr>
        <w:t xml:space="preserve">Procurar que el personal involucrado en los proyectos, ejecución, supervisión y mantenimiento, estén debidamente capacitados en los procesos a ejecutar en diferentes vías; </w:t>
      </w:r>
    </w:p>
    <w:p w14:paraId="212DB7CA" w14:textId="77777777" w:rsidR="0085737D" w:rsidRPr="001B69EF" w:rsidRDefault="0085737D" w:rsidP="002B5FDA">
      <w:pPr>
        <w:pStyle w:val="INFOEM"/>
        <w:numPr>
          <w:ilvl w:val="0"/>
          <w:numId w:val="31"/>
        </w:numPr>
        <w:spacing w:line="240" w:lineRule="auto"/>
        <w:rPr>
          <w:lang w:eastAsia="es-ES"/>
        </w:rPr>
      </w:pPr>
      <w:r w:rsidRPr="001B69EF">
        <w:rPr>
          <w:lang w:eastAsia="es-ES"/>
        </w:rPr>
        <w:t xml:space="preserve">Coordinarse con las distintas áreas vinculadas al desarrollo de los objetivos establecidos por la Dirección General para el eficiente ejercicio de sus funciones; </w:t>
      </w:r>
    </w:p>
    <w:p w14:paraId="71F081B8" w14:textId="77777777" w:rsidR="0085737D" w:rsidRPr="001B69EF" w:rsidRDefault="0085737D" w:rsidP="002B5FDA">
      <w:pPr>
        <w:pStyle w:val="INFOEM"/>
        <w:numPr>
          <w:ilvl w:val="0"/>
          <w:numId w:val="31"/>
        </w:numPr>
        <w:spacing w:line="240" w:lineRule="auto"/>
        <w:rPr>
          <w:b/>
          <w:u w:val="single"/>
          <w:lang w:eastAsia="es-ES"/>
        </w:rPr>
      </w:pPr>
      <w:r w:rsidRPr="001B69EF">
        <w:rPr>
          <w:b/>
          <w:u w:val="single"/>
          <w:lang w:eastAsia="es-ES"/>
        </w:rPr>
        <w:t xml:space="preserve">Enviar comprobaciones de gastos de materiales y combustibles a la subdirección, para su debida conciliación con a la Subdirección Administrativa; y </w:t>
      </w:r>
    </w:p>
    <w:p w14:paraId="32AD58AB" w14:textId="77777777" w:rsidR="0085737D" w:rsidRPr="001B69EF" w:rsidRDefault="0085737D" w:rsidP="002B5FDA">
      <w:pPr>
        <w:pStyle w:val="INFOEM"/>
        <w:numPr>
          <w:ilvl w:val="0"/>
          <w:numId w:val="31"/>
        </w:numPr>
        <w:spacing w:line="240" w:lineRule="auto"/>
        <w:rPr>
          <w:lang w:eastAsia="es-ES"/>
        </w:rPr>
      </w:pPr>
      <w:r w:rsidRPr="001B69EF">
        <w:rPr>
          <w:lang w:eastAsia="es-ES"/>
        </w:rPr>
        <w:t>Las demás que le sean conferidas por su superior jerárquico</w:t>
      </w:r>
    </w:p>
    <w:p w14:paraId="3F2F7675" w14:textId="77777777" w:rsidR="0085737D" w:rsidRPr="001B69EF" w:rsidRDefault="00141F5C" w:rsidP="0085737D">
      <w:pPr>
        <w:spacing w:after="0" w:line="360" w:lineRule="auto"/>
        <w:contextualSpacing/>
        <w:jc w:val="both"/>
        <w:rPr>
          <w:rFonts w:ascii="Palatino Linotype" w:eastAsia="Times New Roman" w:hAnsi="Palatino Linotype" w:cs="Arial"/>
          <w:bCs/>
          <w:color w:val="000000"/>
          <w:sz w:val="24"/>
          <w:szCs w:val="24"/>
          <w:lang w:eastAsia="es-ES"/>
        </w:rPr>
      </w:pPr>
      <w:r w:rsidRPr="001B69EF">
        <w:rPr>
          <w:rFonts w:ascii="Palatino Linotype" w:eastAsia="Times New Roman" w:hAnsi="Palatino Linotype" w:cs="Arial"/>
          <w:bCs/>
          <w:color w:val="000000"/>
          <w:sz w:val="24"/>
          <w:szCs w:val="24"/>
          <w:lang w:eastAsia="es-ES"/>
        </w:rPr>
        <w:t xml:space="preserve">De los vales enviados por el recurrente se advierte que fueron autorizados por el Coordinador General de Unidades Administrativas, por lo que resulta oportuno traer a </w:t>
      </w:r>
      <w:r w:rsidRPr="001B69EF">
        <w:rPr>
          <w:rFonts w:ascii="Palatino Linotype" w:eastAsia="Times New Roman" w:hAnsi="Palatino Linotype" w:cs="Arial"/>
          <w:bCs/>
          <w:color w:val="000000"/>
          <w:sz w:val="24"/>
          <w:szCs w:val="24"/>
          <w:lang w:eastAsia="es-ES"/>
        </w:rPr>
        <w:lastRenderedPageBreak/>
        <w:t>colación el Reglamento Interno de la Dirección General de Administración del Municipio de Naucalpan, en sus artículos:</w:t>
      </w:r>
    </w:p>
    <w:p w14:paraId="1AE03448" w14:textId="77777777" w:rsidR="00141F5C" w:rsidRPr="001B69EF" w:rsidRDefault="00141F5C" w:rsidP="002B5FDA">
      <w:pPr>
        <w:pStyle w:val="INFOEM"/>
        <w:spacing w:line="240" w:lineRule="auto"/>
        <w:jc w:val="center"/>
        <w:rPr>
          <w:b/>
          <w:lang w:eastAsia="es-ES"/>
        </w:rPr>
      </w:pPr>
      <w:r w:rsidRPr="001B69EF">
        <w:rPr>
          <w:b/>
          <w:lang w:eastAsia="es-ES"/>
        </w:rPr>
        <w:t>Capítulo Segundo</w:t>
      </w:r>
    </w:p>
    <w:p w14:paraId="26427677" w14:textId="77777777" w:rsidR="00141F5C" w:rsidRPr="001B69EF" w:rsidRDefault="00141F5C" w:rsidP="002B5FDA">
      <w:pPr>
        <w:pStyle w:val="INFOEM"/>
        <w:spacing w:line="240" w:lineRule="auto"/>
        <w:jc w:val="center"/>
        <w:rPr>
          <w:b/>
          <w:lang w:eastAsia="es-ES"/>
        </w:rPr>
      </w:pPr>
      <w:r w:rsidRPr="001B69EF">
        <w:rPr>
          <w:b/>
          <w:lang w:eastAsia="es-ES"/>
        </w:rPr>
        <w:t>De la Coordinación General de Unidades Administrativas</w:t>
      </w:r>
    </w:p>
    <w:p w14:paraId="5EC77192" w14:textId="77777777" w:rsidR="00141F5C" w:rsidRPr="001B69EF" w:rsidRDefault="00141F5C" w:rsidP="002B5FDA">
      <w:pPr>
        <w:pStyle w:val="INFOEM"/>
        <w:spacing w:line="240" w:lineRule="auto"/>
        <w:rPr>
          <w:lang w:eastAsia="es-ES"/>
        </w:rPr>
      </w:pPr>
      <w:r w:rsidRPr="001B69EF">
        <w:rPr>
          <w:b/>
          <w:lang w:eastAsia="es-ES"/>
        </w:rPr>
        <w:t xml:space="preserve">Artículo 12.- </w:t>
      </w:r>
      <w:r w:rsidRPr="001B69EF">
        <w:rPr>
          <w:lang w:eastAsia="es-ES"/>
        </w:rPr>
        <w:t>La Coordinación General de Unidades Administrativas, estará a cargo de un titular; que se denominará Coordinador (a) General de Unidades Administrativas y tendrá las atribuciones siguientes:</w:t>
      </w:r>
    </w:p>
    <w:p w14:paraId="245CCCAD" w14:textId="77777777" w:rsidR="00141F5C" w:rsidRPr="001B69EF" w:rsidRDefault="00141F5C" w:rsidP="002B5FDA">
      <w:pPr>
        <w:pStyle w:val="INFOEM"/>
        <w:numPr>
          <w:ilvl w:val="0"/>
          <w:numId w:val="34"/>
        </w:numPr>
        <w:spacing w:line="240" w:lineRule="auto"/>
        <w:rPr>
          <w:b/>
          <w:lang w:eastAsia="es-ES"/>
        </w:rPr>
      </w:pPr>
      <w:r w:rsidRPr="001B69EF">
        <w:rPr>
          <w:b/>
          <w:lang w:eastAsia="es-ES"/>
        </w:rPr>
        <w:t xml:space="preserve">Administrar los recursos materiales, financieros, tecnológicos y humanos a su cargo; </w:t>
      </w:r>
    </w:p>
    <w:p w14:paraId="1724CC23" w14:textId="77777777" w:rsidR="00141F5C" w:rsidRPr="001B69EF" w:rsidRDefault="00141F5C" w:rsidP="002B5FDA">
      <w:pPr>
        <w:pStyle w:val="INFOEM"/>
        <w:numPr>
          <w:ilvl w:val="0"/>
          <w:numId w:val="34"/>
        </w:numPr>
        <w:spacing w:line="240" w:lineRule="auto"/>
        <w:rPr>
          <w:lang w:eastAsia="es-ES"/>
        </w:rPr>
      </w:pPr>
      <w:r w:rsidRPr="001B69EF">
        <w:rPr>
          <w:lang w:eastAsia="es-ES"/>
        </w:rPr>
        <w:t xml:space="preserve">Acordar con el (la) Director (a) General, los asuntos de su competencia que así lo requieran; </w:t>
      </w:r>
    </w:p>
    <w:p w14:paraId="79B81289" w14:textId="77777777" w:rsidR="00141F5C" w:rsidRPr="001B69EF" w:rsidRDefault="00141F5C" w:rsidP="002B5FDA">
      <w:pPr>
        <w:pStyle w:val="INFOEM"/>
        <w:numPr>
          <w:ilvl w:val="0"/>
          <w:numId w:val="34"/>
        </w:numPr>
        <w:spacing w:line="240" w:lineRule="auto"/>
        <w:rPr>
          <w:lang w:eastAsia="es-ES"/>
        </w:rPr>
      </w:pPr>
      <w:r w:rsidRPr="001B69EF">
        <w:rPr>
          <w:lang w:eastAsia="es-ES"/>
        </w:rPr>
        <w:t xml:space="preserve">Proponer, previo acuerdo con el (la) Director (a) General, los movimientos del personal a su cargo; </w:t>
      </w:r>
    </w:p>
    <w:p w14:paraId="25ABF7F9" w14:textId="77777777" w:rsidR="00141F5C" w:rsidRPr="001B69EF" w:rsidRDefault="00141F5C" w:rsidP="002B5FDA">
      <w:pPr>
        <w:pStyle w:val="INFOEM"/>
        <w:numPr>
          <w:ilvl w:val="0"/>
          <w:numId w:val="34"/>
        </w:numPr>
        <w:spacing w:line="240" w:lineRule="auto"/>
        <w:rPr>
          <w:lang w:eastAsia="es-ES"/>
        </w:rPr>
      </w:pPr>
      <w:r w:rsidRPr="001B69EF">
        <w:rPr>
          <w:lang w:eastAsia="es-ES"/>
        </w:rPr>
        <w:t xml:space="preserve">Coordinar las actividades y evaluar el desempeño del personal a su cargo; </w:t>
      </w:r>
    </w:p>
    <w:p w14:paraId="5154DC01" w14:textId="77777777" w:rsidR="00141F5C" w:rsidRPr="001B69EF" w:rsidRDefault="00141F5C" w:rsidP="002B5FDA">
      <w:pPr>
        <w:pStyle w:val="INFOEM"/>
        <w:numPr>
          <w:ilvl w:val="0"/>
          <w:numId w:val="34"/>
        </w:numPr>
        <w:spacing w:line="240" w:lineRule="auto"/>
        <w:rPr>
          <w:lang w:eastAsia="es-ES"/>
        </w:rPr>
      </w:pPr>
      <w:r w:rsidRPr="001B69EF">
        <w:rPr>
          <w:lang w:eastAsia="es-ES"/>
        </w:rPr>
        <w:t xml:space="preserve">Apoyar y coordinar a las Subdirecciones, mediante lineamientos, manuales, disposiciones y circulares necesarias para la correcta integración del Presupuesto de Egresos; </w:t>
      </w:r>
    </w:p>
    <w:p w14:paraId="3F88F651" w14:textId="77777777" w:rsidR="00141F5C" w:rsidRPr="001B69EF" w:rsidRDefault="00141F5C" w:rsidP="002B5FDA">
      <w:pPr>
        <w:pStyle w:val="INFOEM"/>
        <w:numPr>
          <w:ilvl w:val="0"/>
          <w:numId w:val="34"/>
        </w:numPr>
        <w:spacing w:line="240" w:lineRule="auto"/>
        <w:rPr>
          <w:lang w:eastAsia="es-ES"/>
        </w:rPr>
      </w:pPr>
      <w:r w:rsidRPr="001B69EF">
        <w:rPr>
          <w:lang w:eastAsia="es-ES"/>
        </w:rPr>
        <w:t xml:space="preserve">Integrar, analizar y presentar ante el (la) Director (a) General, los proyectos de presupuestos de egresos de la Dirección General; </w:t>
      </w:r>
    </w:p>
    <w:p w14:paraId="045E671C" w14:textId="77777777" w:rsidR="00141F5C" w:rsidRPr="001B69EF" w:rsidRDefault="00141F5C" w:rsidP="002B5FDA">
      <w:pPr>
        <w:pStyle w:val="INFOEM"/>
        <w:numPr>
          <w:ilvl w:val="0"/>
          <w:numId w:val="34"/>
        </w:numPr>
        <w:spacing w:line="240" w:lineRule="auto"/>
        <w:rPr>
          <w:lang w:eastAsia="es-ES"/>
        </w:rPr>
      </w:pPr>
      <w:r w:rsidRPr="001B69EF">
        <w:rPr>
          <w:lang w:eastAsia="es-ES"/>
        </w:rPr>
        <w:t xml:space="preserve">Administrar y resguardar los recursos financieros asignados al Fondo Fijo; </w:t>
      </w:r>
    </w:p>
    <w:p w14:paraId="34A63CF1" w14:textId="77777777" w:rsidR="00141F5C" w:rsidRPr="001B69EF" w:rsidRDefault="00141F5C" w:rsidP="002B5FDA">
      <w:pPr>
        <w:pStyle w:val="INFOEM"/>
        <w:numPr>
          <w:ilvl w:val="0"/>
          <w:numId w:val="34"/>
        </w:numPr>
        <w:spacing w:line="240" w:lineRule="auto"/>
        <w:rPr>
          <w:lang w:eastAsia="es-ES"/>
        </w:rPr>
      </w:pPr>
      <w:r w:rsidRPr="001B69EF">
        <w:rPr>
          <w:lang w:eastAsia="es-ES"/>
        </w:rPr>
        <w:t>Dar el debido seguimiento y control del presupuesto de egresos, inventarios de bienes muebles, conservación y mantenimiento de las unidades del parque vehicular de la Dirección General, conforme a los lineamientos administrativos de carácter interno, así como aquellas disposiciones inherentes a las actividades desempeñadas por los servidores públicos;</w:t>
      </w:r>
    </w:p>
    <w:p w14:paraId="687CC3FD" w14:textId="77777777" w:rsidR="00141F5C" w:rsidRPr="001B69EF" w:rsidRDefault="00141F5C" w:rsidP="002B5FDA">
      <w:pPr>
        <w:pStyle w:val="INFOEM"/>
        <w:numPr>
          <w:ilvl w:val="0"/>
          <w:numId w:val="34"/>
        </w:numPr>
        <w:spacing w:line="240" w:lineRule="auto"/>
        <w:rPr>
          <w:lang w:eastAsia="es-ES"/>
        </w:rPr>
      </w:pPr>
      <w:r w:rsidRPr="001B69EF">
        <w:rPr>
          <w:lang w:eastAsia="es-ES"/>
        </w:rPr>
        <w:lastRenderedPageBreak/>
        <w:t xml:space="preserve">Apoyar y coordinar a las Subdirecciones, difundiendo los lineamientos, manuales, disposiciones y circulares necesarias para el adecuado control de los recursos materiales, humanos, financieros y tecnológicos; </w:t>
      </w:r>
    </w:p>
    <w:p w14:paraId="1577A3F8" w14:textId="77777777" w:rsidR="00141F5C" w:rsidRPr="001B69EF" w:rsidRDefault="00141F5C" w:rsidP="002B5FDA">
      <w:pPr>
        <w:pStyle w:val="INFOEM"/>
        <w:numPr>
          <w:ilvl w:val="0"/>
          <w:numId w:val="34"/>
        </w:numPr>
        <w:spacing w:line="240" w:lineRule="auto"/>
        <w:rPr>
          <w:lang w:eastAsia="es-ES"/>
        </w:rPr>
      </w:pPr>
      <w:r w:rsidRPr="001B69EF">
        <w:rPr>
          <w:lang w:eastAsia="es-ES"/>
        </w:rPr>
        <w:t xml:space="preserve">Emitir los lineamientos, disposiciones y circulares necesarias a las Coordinaciones Administrativas de las Dependencias, para el adecuado control de los recursos materiales, humanos, financieros y tecnológicos; XI. </w:t>
      </w:r>
    </w:p>
    <w:p w14:paraId="29DA1984" w14:textId="77777777" w:rsidR="00141F5C" w:rsidRPr="001B69EF" w:rsidRDefault="00141F5C" w:rsidP="002B5FDA">
      <w:pPr>
        <w:pStyle w:val="INFOEM"/>
        <w:numPr>
          <w:ilvl w:val="0"/>
          <w:numId w:val="34"/>
        </w:numPr>
        <w:spacing w:line="240" w:lineRule="auto"/>
        <w:rPr>
          <w:lang w:eastAsia="es-ES"/>
        </w:rPr>
      </w:pPr>
      <w:r w:rsidRPr="001B69EF">
        <w:rPr>
          <w:lang w:eastAsia="es-ES"/>
        </w:rPr>
        <w:t xml:space="preserve">Asesorar y apoyar a los Coordinadores Administrativos de las Dependencias que así lo requieran; </w:t>
      </w:r>
    </w:p>
    <w:p w14:paraId="2F11AE2D" w14:textId="77777777" w:rsidR="00141F5C" w:rsidRPr="001B69EF" w:rsidRDefault="00141F5C" w:rsidP="002B5FDA">
      <w:pPr>
        <w:pStyle w:val="INFOEM"/>
        <w:numPr>
          <w:ilvl w:val="0"/>
          <w:numId w:val="34"/>
        </w:numPr>
        <w:spacing w:line="240" w:lineRule="auto"/>
        <w:rPr>
          <w:lang w:eastAsia="es-ES"/>
        </w:rPr>
      </w:pPr>
      <w:r w:rsidRPr="001B69EF">
        <w:rPr>
          <w:lang w:eastAsia="es-ES"/>
        </w:rPr>
        <w:t xml:space="preserve">Proponer al (a) Director (a) General, las políticas y procedimientos necesarios para la administración de los recursos materiales y humanos con los que cuenta; </w:t>
      </w:r>
    </w:p>
    <w:p w14:paraId="5453CA4A" w14:textId="77777777" w:rsidR="00141F5C" w:rsidRPr="001B69EF" w:rsidRDefault="00141F5C" w:rsidP="002B5FDA">
      <w:pPr>
        <w:pStyle w:val="INFOEM"/>
        <w:numPr>
          <w:ilvl w:val="0"/>
          <w:numId w:val="34"/>
        </w:numPr>
        <w:spacing w:line="240" w:lineRule="auto"/>
        <w:rPr>
          <w:lang w:eastAsia="es-ES"/>
        </w:rPr>
      </w:pPr>
      <w:r w:rsidRPr="001B69EF">
        <w:rPr>
          <w:lang w:eastAsia="es-ES"/>
        </w:rPr>
        <w:t xml:space="preserve">Elaborar el programa de actividades y recopilar de las diversas unidades administrativas que integran la Dirección General, las metas para el presupuesto anual de dicha dependencia; </w:t>
      </w:r>
    </w:p>
    <w:p w14:paraId="2D845FD6" w14:textId="77777777" w:rsidR="00141F5C" w:rsidRPr="001B69EF" w:rsidRDefault="00141F5C" w:rsidP="002B5FDA">
      <w:pPr>
        <w:pStyle w:val="INFOEM"/>
        <w:numPr>
          <w:ilvl w:val="0"/>
          <w:numId w:val="34"/>
        </w:numPr>
        <w:spacing w:line="240" w:lineRule="auto"/>
        <w:rPr>
          <w:lang w:eastAsia="es-ES"/>
        </w:rPr>
      </w:pPr>
      <w:r w:rsidRPr="001B69EF">
        <w:rPr>
          <w:lang w:eastAsia="es-ES"/>
        </w:rPr>
        <w:t xml:space="preserve">Distribuir equitativamente el fondo fijo de la Dirección General, entre las diversas unidades administrativas que la integran, así como determinar y controlar el sistema para su mejor distribución y aprovechamiento; </w:t>
      </w:r>
    </w:p>
    <w:p w14:paraId="4A5D5E3F" w14:textId="77777777" w:rsidR="00141F5C" w:rsidRPr="001B69EF" w:rsidRDefault="00141F5C" w:rsidP="002B5FDA">
      <w:pPr>
        <w:pStyle w:val="INFOEM"/>
        <w:numPr>
          <w:ilvl w:val="0"/>
          <w:numId w:val="34"/>
        </w:numPr>
        <w:spacing w:line="240" w:lineRule="auto"/>
        <w:rPr>
          <w:lang w:eastAsia="es-ES"/>
        </w:rPr>
      </w:pPr>
      <w:r w:rsidRPr="001B69EF">
        <w:rPr>
          <w:lang w:eastAsia="es-ES"/>
        </w:rPr>
        <w:t xml:space="preserve">Elaborar y firmar las afectaciones presupuestales para el trámite de fondos fijos y gastos a comprobar, con apego a las disposiciones administrativas y legales correspondientes; </w:t>
      </w:r>
    </w:p>
    <w:p w14:paraId="7AF577FE" w14:textId="77777777" w:rsidR="00141F5C" w:rsidRPr="001B69EF" w:rsidRDefault="00141F5C" w:rsidP="002B5FDA">
      <w:pPr>
        <w:pStyle w:val="INFOEM"/>
        <w:numPr>
          <w:ilvl w:val="0"/>
          <w:numId w:val="34"/>
        </w:numPr>
        <w:spacing w:line="240" w:lineRule="auto"/>
        <w:rPr>
          <w:lang w:eastAsia="es-ES"/>
        </w:rPr>
      </w:pPr>
      <w:r w:rsidRPr="001B69EF">
        <w:rPr>
          <w:lang w:eastAsia="es-ES"/>
        </w:rPr>
        <w:t xml:space="preserve">Realizar la conciliación de fondos por partida presupuestal, de acuerdo a la clasificación del gasto, con apego a las disposiciones administrativas y legales correspondientes; </w:t>
      </w:r>
    </w:p>
    <w:p w14:paraId="360934B3" w14:textId="77777777" w:rsidR="00141F5C" w:rsidRPr="001B69EF" w:rsidRDefault="00141F5C" w:rsidP="002B5FDA">
      <w:pPr>
        <w:pStyle w:val="INFOEM"/>
        <w:numPr>
          <w:ilvl w:val="0"/>
          <w:numId w:val="34"/>
        </w:numPr>
        <w:spacing w:line="240" w:lineRule="auto"/>
        <w:rPr>
          <w:lang w:eastAsia="es-ES"/>
        </w:rPr>
      </w:pPr>
      <w:r w:rsidRPr="001B69EF">
        <w:rPr>
          <w:lang w:eastAsia="es-ES"/>
        </w:rPr>
        <w:t xml:space="preserve">Programar y tramitar las actividades de almacenamiento y suministro de enseres, materiales de papelería, equipo y demás bienes, así como la obtención de servicios que requiera la Dirección General, para el desarrollo de sus funciones; </w:t>
      </w:r>
    </w:p>
    <w:p w14:paraId="1A378063" w14:textId="77777777" w:rsidR="00141F5C" w:rsidRPr="001B69EF" w:rsidRDefault="00141F5C" w:rsidP="002B5FDA">
      <w:pPr>
        <w:pStyle w:val="INFOEM"/>
        <w:numPr>
          <w:ilvl w:val="0"/>
          <w:numId w:val="34"/>
        </w:numPr>
        <w:spacing w:line="240" w:lineRule="auto"/>
        <w:rPr>
          <w:lang w:eastAsia="es-ES"/>
        </w:rPr>
      </w:pPr>
      <w:r w:rsidRPr="001B69EF">
        <w:rPr>
          <w:lang w:eastAsia="es-ES"/>
        </w:rPr>
        <w:t xml:space="preserve">Elaborar las requisiciones de bienes y servicios, según las necesidades de cada Unidad Administrativa de la Dirección General, conforme a la legislación aplicable; </w:t>
      </w:r>
    </w:p>
    <w:p w14:paraId="5E4502C5" w14:textId="77777777" w:rsidR="00141F5C" w:rsidRPr="001B69EF" w:rsidRDefault="00141F5C" w:rsidP="002B5FDA">
      <w:pPr>
        <w:pStyle w:val="INFOEM"/>
        <w:numPr>
          <w:ilvl w:val="0"/>
          <w:numId w:val="34"/>
        </w:numPr>
        <w:spacing w:line="240" w:lineRule="auto"/>
        <w:rPr>
          <w:lang w:eastAsia="es-ES"/>
        </w:rPr>
      </w:pPr>
      <w:r w:rsidRPr="001B69EF">
        <w:rPr>
          <w:lang w:eastAsia="es-ES"/>
        </w:rPr>
        <w:lastRenderedPageBreak/>
        <w:t xml:space="preserve">Solicitar a la dependencia o Unidad Administrativa correspondiente, el mantenimiento preventivo, correctivo y de apoyo a vehículos, computadoras, máquinas de fotocopiado, oficinas y demás equipo y bienes asignados a la Dirección General, que permitan un mejor desempeño de las labores administrativas; </w:t>
      </w:r>
    </w:p>
    <w:p w14:paraId="1888313C" w14:textId="77777777" w:rsidR="00141F5C" w:rsidRPr="001B69EF" w:rsidRDefault="00141F5C" w:rsidP="002B5FDA">
      <w:pPr>
        <w:pStyle w:val="INFOEM"/>
        <w:numPr>
          <w:ilvl w:val="0"/>
          <w:numId w:val="34"/>
        </w:numPr>
        <w:spacing w:line="240" w:lineRule="auto"/>
        <w:rPr>
          <w:lang w:eastAsia="es-ES"/>
        </w:rPr>
      </w:pPr>
      <w:r w:rsidRPr="001B69EF">
        <w:rPr>
          <w:b/>
          <w:lang w:eastAsia="es-ES"/>
        </w:rPr>
        <w:t>Participar como área usuaria dentro de los concursos, licitaciones y acuerdos que por su naturaleza sean de su competencia, observando en todo momento la legislación en materia de enajenaciones, adquisiciones, arrendamientos y servicios, de carácter federal, estatal o municipal, según corresponda</w:t>
      </w:r>
      <w:r w:rsidRPr="001B69EF">
        <w:rPr>
          <w:lang w:eastAsia="es-ES"/>
        </w:rPr>
        <w:t xml:space="preserve">; </w:t>
      </w:r>
    </w:p>
    <w:p w14:paraId="3BD59354" w14:textId="77777777" w:rsidR="002B5FDA" w:rsidRPr="001B69EF" w:rsidRDefault="00141F5C" w:rsidP="002B5FDA">
      <w:pPr>
        <w:pStyle w:val="INFOEM"/>
        <w:numPr>
          <w:ilvl w:val="0"/>
          <w:numId w:val="34"/>
        </w:numPr>
        <w:spacing w:line="240" w:lineRule="auto"/>
        <w:rPr>
          <w:lang w:eastAsia="es-ES"/>
        </w:rPr>
      </w:pPr>
      <w:r w:rsidRPr="001B69EF">
        <w:rPr>
          <w:lang w:eastAsia="es-ES"/>
        </w:rPr>
        <w:t xml:space="preserve">Dar seguimiento a los convenios y contratos de su competencia que se hayan celebrado; </w:t>
      </w:r>
    </w:p>
    <w:p w14:paraId="0B81D0C4" w14:textId="77777777" w:rsidR="00141F5C" w:rsidRPr="001B69EF" w:rsidRDefault="00141F5C" w:rsidP="002B5FDA">
      <w:pPr>
        <w:pStyle w:val="INFOEM"/>
        <w:spacing w:line="240" w:lineRule="auto"/>
        <w:ind w:left="1571"/>
        <w:rPr>
          <w:lang w:eastAsia="es-ES"/>
        </w:rPr>
      </w:pPr>
      <w:r w:rsidRPr="001B69EF">
        <w:rPr>
          <w:lang w:eastAsia="es-ES"/>
        </w:rPr>
        <w:t>(…)</w:t>
      </w:r>
    </w:p>
    <w:p w14:paraId="0E329B1D" w14:textId="77777777" w:rsidR="002B5FDA" w:rsidRPr="001B69EF" w:rsidRDefault="003F2E55" w:rsidP="002B5FDA">
      <w:pPr>
        <w:pStyle w:val="Citas"/>
        <w:tabs>
          <w:tab w:val="left" w:pos="7470"/>
        </w:tabs>
        <w:spacing w:line="240" w:lineRule="auto"/>
        <w:ind w:left="0" w:right="72"/>
        <w:rPr>
          <w:rFonts w:eastAsia="Calibri"/>
          <w:i w:val="0"/>
          <w:sz w:val="24"/>
        </w:rPr>
      </w:pPr>
      <w:r w:rsidRPr="001B69EF">
        <w:rPr>
          <w:rFonts w:eastAsia="Calibri"/>
          <w:i w:val="0"/>
          <w:sz w:val="24"/>
        </w:rPr>
        <w:t>Por otro lado, el Reglamento Interior de la Tesorería Municipal establece lo siguiente en sus artículos:</w:t>
      </w:r>
    </w:p>
    <w:p w14:paraId="46756BF2" w14:textId="77777777" w:rsidR="003F2E55" w:rsidRPr="001B69EF" w:rsidRDefault="003F2E55" w:rsidP="003F2E55">
      <w:pPr>
        <w:pStyle w:val="Citas"/>
        <w:tabs>
          <w:tab w:val="left" w:pos="7470"/>
        </w:tabs>
        <w:spacing w:line="240" w:lineRule="auto"/>
        <w:ind w:left="0" w:right="72"/>
        <w:jc w:val="center"/>
        <w:rPr>
          <w:rFonts w:eastAsia="Calibri"/>
          <w:b/>
          <w:sz w:val="24"/>
        </w:rPr>
      </w:pPr>
      <w:r w:rsidRPr="001B69EF">
        <w:rPr>
          <w:rFonts w:eastAsia="Calibri"/>
          <w:b/>
          <w:sz w:val="24"/>
        </w:rPr>
        <w:t>De la Caja General</w:t>
      </w:r>
    </w:p>
    <w:p w14:paraId="21BAF689" w14:textId="77777777" w:rsidR="003F2E55" w:rsidRPr="001B69EF" w:rsidRDefault="003F2E55" w:rsidP="003F2E55">
      <w:pPr>
        <w:pStyle w:val="Citas"/>
        <w:tabs>
          <w:tab w:val="left" w:pos="7470"/>
        </w:tabs>
        <w:spacing w:line="240" w:lineRule="auto"/>
        <w:ind w:left="0" w:right="72"/>
        <w:rPr>
          <w:rFonts w:eastAsia="Calibri"/>
          <w:sz w:val="24"/>
        </w:rPr>
      </w:pPr>
      <w:r w:rsidRPr="001B69EF">
        <w:rPr>
          <w:rFonts w:eastAsia="Calibri"/>
          <w:sz w:val="24"/>
        </w:rPr>
        <w:t xml:space="preserve">Artículo 40.- La Caja General, estará a cargo de un titular que se denominará titular de la Caja General y tendrá las atribuciones siguientes: </w:t>
      </w:r>
    </w:p>
    <w:p w14:paraId="1C90B486" w14:textId="77777777" w:rsidR="003F2E55" w:rsidRPr="001B69EF" w:rsidRDefault="003F2E55" w:rsidP="003F2E55">
      <w:pPr>
        <w:pStyle w:val="Citas"/>
        <w:numPr>
          <w:ilvl w:val="0"/>
          <w:numId w:val="37"/>
        </w:numPr>
        <w:tabs>
          <w:tab w:val="left" w:pos="7470"/>
        </w:tabs>
        <w:spacing w:line="240" w:lineRule="auto"/>
        <w:ind w:right="72"/>
        <w:rPr>
          <w:rFonts w:eastAsia="Calibri"/>
          <w:sz w:val="24"/>
        </w:rPr>
      </w:pPr>
      <w:r w:rsidRPr="001B69EF">
        <w:rPr>
          <w:rFonts w:eastAsia="Calibri"/>
          <w:sz w:val="24"/>
        </w:rPr>
        <w:t xml:space="preserve">Administrar la disponibilidad de los recursos financieros con que cuenta el Municipio, para dar cumplimiento a los compromisos adquiridos por éste, proporcionando información veraz y oportuna para la correcta toma de decisiones; </w:t>
      </w:r>
    </w:p>
    <w:p w14:paraId="766A287B" w14:textId="77777777" w:rsidR="003F2E55" w:rsidRPr="001B69EF" w:rsidRDefault="003F2E55" w:rsidP="003F2E55">
      <w:pPr>
        <w:pStyle w:val="Citas"/>
        <w:numPr>
          <w:ilvl w:val="0"/>
          <w:numId w:val="37"/>
        </w:numPr>
        <w:tabs>
          <w:tab w:val="left" w:pos="7470"/>
        </w:tabs>
        <w:spacing w:line="240" w:lineRule="auto"/>
        <w:ind w:right="72"/>
        <w:rPr>
          <w:rFonts w:eastAsia="Calibri"/>
          <w:i w:val="0"/>
          <w:sz w:val="24"/>
        </w:rPr>
      </w:pPr>
      <w:r w:rsidRPr="001B69EF">
        <w:rPr>
          <w:rFonts w:eastAsia="Calibri"/>
          <w:b/>
          <w:sz w:val="24"/>
        </w:rPr>
        <w:t>Efectuar los pagos a proveedores y acreedores, de acuerdo al programa y el flujo de efectivo</w:t>
      </w:r>
      <w:r w:rsidRPr="001B69EF">
        <w:rPr>
          <w:rFonts w:eastAsia="Calibri"/>
          <w:sz w:val="24"/>
        </w:rPr>
        <w:t xml:space="preserve">; </w:t>
      </w:r>
    </w:p>
    <w:p w14:paraId="619FF28A" w14:textId="77777777" w:rsidR="003F2E55" w:rsidRPr="001B69EF" w:rsidRDefault="003F2E55" w:rsidP="003F2E55">
      <w:pPr>
        <w:pStyle w:val="Citas"/>
        <w:numPr>
          <w:ilvl w:val="0"/>
          <w:numId w:val="37"/>
        </w:numPr>
        <w:tabs>
          <w:tab w:val="left" w:pos="7470"/>
        </w:tabs>
        <w:spacing w:line="240" w:lineRule="auto"/>
        <w:ind w:right="72"/>
        <w:rPr>
          <w:rFonts w:eastAsia="Calibri"/>
          <w:i w:val="0"/>
          <w:sz w:val="24"/>
        </w:rPr>
      </w:pPr>
      <w:r w:rsidRPr="001B69EF">
        <w:rPr>
          <w:rFonts w:eastAsia="Calibri"/>
          <w:sz w:val="24"/>
        </w:rPr>
        <w:t xml:space="preserve">Conciliar diariamente los movimientos bancarios derivados de los ingresos y egresos; </w:t>
      </w:r>
    </w:p>
    <w:p w14:paraId="50287BB6" w14:textId="77777777" w:rsidR="003F2E55" w:rsidRPr="001B69EF" w:rsidRDefault="003F2E55" w:rsidP="003F2E55">
      <w:pPr>
        <w:pStyle w:val="Citas"/>
        <w:numPr>
          <w:ilvl w:val="0"/>
          <w:numId w:val="37"/>
        </w:numPr>
        <w:tabs>
          <w:tab w:val="left" w:pos="7470"/>
        </w:tabs>
        <w:spacing w:line="240" w:lineRule="auto"/>
        <w:ind w:right="72"/>
        <w:rPr>
          <w:rFonts w:eastAsia="Calibri"/>
          <w:b/>
          <w:i w:val="0"/>
          <w:sz w:val="24"/>
        </w:rPr>
      </w:pPr>
      <w:r w:rsidRPr="001B69EF">
        <w:rPr>
          <w:rFonts w:eastAsia="Calibri"/>
          <w:b/>
          <w:sz w:val="24"/>
        </w:rPr>
        <w:t>Resguardar las cuentas por pagar y los cheques expedidos no cobrados;</w:t>
      </w:r>
    </w:p>
    <w:p w14:paraId="3C1EDE51" w14:textId="77777777" w:rsidR="003F2E55" w:rsidRPr="001B69EF" w:rsidRDefault="003F2E55" w:rsidP="003F2E55">
      <w:pPr>
        <w:pStyle w:val="Citas"/>
        <w:numPr>
          <w:ilvl w:val="0"/>
          <w:numId w:val="37"/>
        </w:numPr>
        <w:tabs>
          <w:tab w:val="left" w:pos="7470"/>
        </w:tabs>
        <w:spacing w:line="240" w:lineRule="auto"/>
        <w:ind w:right="72"/>
        <w:rPr>
          <w:rFonts w:eastAsia="Calibri"/>
          <w:i w:val="0"/>
          <w:sz w:val="24"/>
        </w:rPr>
      </w:pPr>
      <w:r w:rsidRPr="001B69EF">
        <w:rPr>
          <w:rFonts w:eastAsia="Calibri"/>
          <w:sz w:val="24"/>
        </w:rPr>
        <w:t>Recibir los cortes diarios de las diferentes cajas recaudadoras que tiene el Municipio, previa validación del área competente de la Subtesorería de Ingresos;</w:t>
      </w:r>
    </w:p>
    <w:p w14:paraId="0743A42B" w14:textId="77777777" w:rsidR="003F2E55" w:rsidRPr="001B69EF" w:rsidRDefault="003F2E55" w:rsidP="003F2E55">
      <w:pPr>
        <w:pStyle w:val="Citas"/>
        <w:numPr>
          <w:ilvl w:val="0"/>
          <w:numId w:val="37"/>
        </w:numPr>
        <w:tabs>
          <w:tab w:val="left" w:pos="7470"/>
        </w:tabs>
        <w:spacing w:line="240" w:lineRule="auto"/>
        <w:ind w:right="72"/>
        <w:rPr>
          <w:rFonts w:eastAsia="Calibri"/>
          <w:i w:val="0"/>
          <w:sz w:val="24"/>
        </w:rPr>
      </w:pPr>
      <w:r w:rsidRPr="001B69EF">
        <w:rPr>
          <w:rFonts w:eastAsia="Calibri"/>
          <w:sz w:val="24"/>
        </w:rPr>
        <w:lastRenderedPageBreak/>
        <w:t>Elaborar el informe diario de ingresos, en coordinación con el Departamento de Bancos;</w:t>
      </w:r>
    </w:p>
    <w:p w14:paraId="48FDB7D3" w14:textId="77777777" w:rsidR="003F2E55" w:rsidRPr="001B69EF" w:rsidRDefault="003F2E55" w:rsidP="003F2E55">
      <w:pPr>
        <w:pStyle w:val="Citas"/>
        <w:numPr>
          <w:ilvl w:val="0"/>
          <w:numId w:val="37"/>
        </w:numPr>
        <w:tabs>
          <w:tab w:val="left" w:pos="7470"/>
        </w:tabs>
        <w:spacing w:line="240" w:lineRule="auto"/>
        <w:ind w:right="72"/>
        <w:rPr>
          <w:rFonts w:eastAsia="Calibri"/>
          <w:i w:val="0"/>
          <w:sz w:val="24"/>
        </w:rPr>
      </w:pPr>
      <w:r w:rsidRPr="001B69EF">
        <w:rPr>
          <w:rFonts w:eastAsia="Calibri"/>
          <w:sz w:val="24"/>
        </w:rPr>
        <w:t>Integrar la documentación inherente a los egresos, remitiéndola para su resguardo al Departamento de Contabilidad;</w:t>
      </w:r>
    </w:p>
    <w:p w14:paraId="4881E7F4" w14:textId="77777777" w:rsidR="003F2E55" w:rsidRPr="001B69EF" w:rsidRDefault="003F2E55" w:rsidP="003F2E55">
      <w:pPr>
        <w:pStyle w:val="Citas"/>
        <w:numPr>
          <w:ilvl w:val="0"/>
          <w:numId w:val="37"/>
        </w:numPr>
        <w:tabs>
          <w:tab w:val="left" w:pos="7470"/>
        </w:tabs>
        <w:spacing w:line="240" w:lineRule="auto"/>
        <w:ind w:right="72"/>
        <w:rPr>
          <w:rFonts w:eastAsia="Calibri"/>
          <w:i w:val="0"/>
          <w:sz w:val="24"/>
        </w:rPr>
      </w:pPr>
      <w:r w:rsidRPr="001B69EF">
        <w:rPr>
          <w:rFonts w:eastAsia="Calibri"/>
          <w:sz w:val="24"/>
        </w:rPr>
        <w:t xml:space="preserve">Recibir, verificar y depositar la recaudación diaria de las cajas receptoras que integran la Tesorería; </w:t>
      </w:r>
    </w:p>
    <w:p w14:paraId="3AAC4E5D" w14:textId="77777777" w:rsidR="003F2E55" w:rsidRPr="001B69EF" w:rsidRDefault="003F2E55" w:rsidP="003F2E55">
      <w:pPr>
        <w:pStyle w:val="Citas"/>
        <w:numPr>
          <w:ilvl w:val="0"/>
          <w:numId w:val="37"/>
        </w:numPr>
        <w:tabs>
          <w:tab w:val="left" w:pos="7470"/>
        </w:tabs>
        <w:spacing w:line="240" w:lineRule="auto"/>
        <w:ind w:right="72"/>
        <w:rPr>
          <w:rFonts w:eastAsia="Calibri"/>
          <w:i w:val="0"/>
          <w:sz w:val="24"/>
        </w:rPr>
      </w:pPr>
      <w:r w:rsidRPr="001B69EF">
        <w:rPr>
          <w:rFonts w:eastAsia="Calibri"/>
          <w:sz w:val="24"/>
        </w:rPr>
        <w:t xml:space="preserve">Recibir, verificar y depositar los reintegros de nómina; y </w:t>
      </w:r>
    </w:p>
    <w:p w14:paraId="7F470DA3" w14:textId="77777777" w:rsidR="003F2E55" w:rsidRPr="001B69EF" w:rsidRDefault="003F2E55" w:rsidP="003F2E55">
      <w:pPr>
        <w:pStyle w:val="Citas"/>
        <w:numPr>
          <w:ilvl w:val="0"/>
          <w:numId w:val="37"/>
        </w:numPr>
        <w:tabs>
          <w:tab w:val="left" w:pos="7470"/>
        </w:tabs>
        <w:spacing w:line="240" w:lineRule="auto"/>
        <w:ind w:right="72"/>
        <w:rPr>
          <w:rFonts w:eastAsia="Calibri"/>
          <w:i w:val="0"/>
          <w:sz w:val="24"/>
        </w:rPr>
      </w:pPr>
      <w:r w:rsidRPr="001B69EF">
        <w:rPr>
          <w:rFonts w:eastAsia="Calibri"/>
          <w:sz w:val="24"/>
        </w:rPr>
        <w:t>Las demás que le sean encomendados por su superior jerárquico.</w:t>
      </w:r>
    </w:p>
    <w:p w14:paraId="63E32DD5" w14:textId="77777777" w:rsidR="002B5FDA" w:rsidRPr="001B69EF" w:rsidRDefault="002B5FDA" w:rsidP="002B5FDA">
      <w:pPr>
        <w:spacing w:line="360" w:lineRule="auto"/>
        <w:ind w:right="142"/>
        <w:jc w:val="both"/>
        <w:rPr>
          <w:rFonts w:ascii="Palatino Linotype" w:hAnsi="Palatino Linotype"/>
          <w:sz w:val="24"/>
          <w:lang w:val="es-ES_tradnl"/>
        </w:rPr>
      </w:pPr>
      <w:r w:rsidRPr="001B69EF">
        <w:rPr>
          <w:rFonts w:ascii="Palatino Linotype" w:hAnsi="Palatino Linotype"/>
          <w:sz w:val="24"/>
        </w:rPr>
        <w:t xml:space="preserve">Aunado a lo antes expuesto, cabe señalar que la información referida forma parte de las Obligaciones de Transparencia Comunes del </w:t>
      </w:r>
      <w:r w:rsidRPr="001B69EF">
        <w:rPr>
          <w:rFonts w:ascii="Palatino Linotype" w:hAnsi="Palatino Linotype"/>
          <w:b/>
          <w:sz w:val="24"/>
        </w:rPr>
        <w:t>Sujeto Obligado</w:t>
      </w:r>
      <w:r w:rsidRPr="001B69EF">
        <w:rPr>
          <w:rFonts w:ascii="Palatino Linotype" w:hAnsi="Palatino Linotype"/>
          <w:sz w:val="24"/>
        </w:rPr>
        <w:t xml:space="preserve">, lo que nos </w:t>
      </w:r>
      <w:r w:rsidRPr="001B69EF">
        <w:rPr>
          <w:rFonts w:ascii="Palatino Linotype" w:hAnsi="Palatino Linotype"/>
          <w:sz w:val="24"/>
          <w:lang w:val="es-ES_tradnl"/>
        </w:rPr>
        <w:t xml:space="preserve">permite traer a colación lo dispuesto por </w:t>
      </w:r>
      <w:bookmarkStart w:id="1" w:name="_Hlk115810533"/>
      <w:r w:rsidRPr="001B69EF">
        <w:rPr>
          <w:rFonts w:ascii="Palatino Linotype" w:hAnsi="Palatino Linotype"/>
          <w:sz w:val="24"/>
          <w:lang w:val="es-ES_tradnl"/>
        </w:rPr>
        <w:t xml:space="preserve">la fracción XXIX del artículo 92 de la Ley de Transparencia y Acceso a la Información Pública del Estado de México y Municipios </w:t>
      </w:r>
      <w:bookmarkEnd w:id="1"/>
      <w:r w:rsidRPr="001B69EF">
        <w:rPr>
          <w:rFonts w:ascii="Palatino Linotype" w:hAnsi="Palatino Linotype"/>
          <w:sz w:val="24"/>
          <w:lang w:val="es-ES_tradnl"/>
        </w:rPr>
        <w:t>en el cual se aprecia lo siguiente:</w:t>
      </w:r>
    </w:p>
    <w:p w14:paraId="1D623BE4" w14:textId="77777777" w:rsidR="002B5FDA" w:rsidRPr="001B69EF" w:rsidRDefault="002B5FDA" w:rsidP="002B5FDA">
      <w:pPr>
        <w:tabs>
          <w:tab w:val="left" w:pos="851"/>
        </w:tabs>
        <w:spacing w:before="120" w:after="120"/>
        <w:ind w:left="851" w:right="851"/>
        <w:jc w:val="both"/>
        <w:rPr>
          <w:rFonts w:ascii="Palatino Linotype" w:hAnsi="Palatino Linotype" w:cs="Arial"/>
          <w:i/>
        </w:rPr>
      </w:pPr>
      <w:r w:rsidRPr="001B69EF">
        <w:rPr>
          <w:rFonts w:ascii="Palatino Linotype" w:hAnsi="Palatino Linotype" w:cs="Arial"/>
          <w:i/>
        </w:rPr>
        <w:t>“</w:t>
      </w:r>
      <w:r w:rsidRPr="001B69EF">
        <w:rPr>
          <w:rFonts w:ascii="Palatino Linotype" w:hAnsi="Palatino Linotype" w:cs="Arial"/>
          <w:b/>
          <w:i/>
        </w:rPr>
        <w:t>Artículo 92</w:t>
      </w:r>
      <w:r w:rsidRPr="001B69EF">
        <w:rPr>
          <w:rFonts w:ascii="Palatino Linotype" w:hAnsi="Palatino Linotype" w:cs="Arial"/>
          <w:i/>
        </w:rPr>
        <w:t xml:space="preserve">. </w:t>
      </w:r>
      <w:r w:rsidRPr="001B69EF">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Pr="001B69EF">
        <w:rPr>
          <w:rFonts w:ascii="Palatino Linotype" w:hAnsi="Palatino Linotype" w:cs="Arial"/>
          <w:i/>
        </w:rPr>
        <w:t xml:space="preserve">, de acuerdo con sus facultades, atribuciones, funciones u objeto social, según corresponda, la información, </w:t>
      </w:r>
      <w:r w:rsidRPr="001B69EF">
        <w:rPr>
          <w:rFonts w:ascii="Palatino Linotype" w:hAnsi="Palatino Linotype" w:cs="Arial"/>
          <w:b/>
          <w:i/>
          <w:u w:val="single"/>
        </w:rPr>
        <w:t>por lo menos, de los temas, documentos y políticas que a continuación se señalan</w:t>
      </w:r>
      <w:r w:rsidRPr="001B69EF">
        <w:rPr>
          <w:rFonts w:ascii="Palatino Linotype" w:hAnsi="Palatino Linotype" w:cs="Arial"/>
          <w:i/>
        </w:rPr>
        <w:t>:</w:t>
      </w:r>
    </w:p>
    <w:p w14:paraId="5CA068CD" w14:textId="77777777" w:rsidR="002B5FDA" w:rsidRPr="001B69EF" w:rsidRDefault="002B5FDA" w:rsidP="002B5FDA">
      <w:pPr>
        <w:tabs>
          <w:tab w:val="left" w:pos="851"/>
        </w:tabs>
        <w:spacing w:before="120" w:after="120"/>
        <w:ind w:left="851" w:right="851"/>
        <w:jc w:val="both"/>
      </w:pPr>
    </w:p>
    <w:p w14:paraId="10E16B8C" w14:textId="77777777" w:rsidR="002B5FDA" w:rsidRPr="001B69EF" w:rsidRDefault="002B5FDA" w:rsidP="002B5FDA">
      <w:pPr>
        <w:tabs>
          <w:tab w:val="left" w:pos="851"/>
        </w:tabs>
        <w:spacing w:before="120" w:after="120"/>
        <w:ind w:left="851" w:right="851"/>
        <w:jc w:val="both"/>
        <w:rPr>
          <w:rFonts w:ascii="Palatino Linotype" w:hAnsi="Palatino Linotype"/>
          <w:b/>
          <w:bCs/>
          <w:i/>
          <w:iCs/>
        </w:rPr>
      </w:pPr>
      <w:r w:rsidRPr="001B69EF">
        <w:rPr>
          <w:rFonts w:ascii="Palatino Linotype" w:hAnsi="Palatino Linotype"/>
          <w:b/>
          <w:bCs/>
          <w:i/>
          <w:iCs/>
        </w:rPr>
        <w:t xml:space="preserve">XXV. La información financiera sobre el presupuesto asignado, así como los informes del ejercicio trimestral del gasto, en términos de la Ley General de Contabilidad Gubernamental y demás disposiciones jurídicas aplicables; </w:t>
      </w:r>
    </w:p>
    <w:p w14:paraId="32E7A2FE" w14:textId="77777777" w:rsidR="002B5FDA" w:rsidRPr="001B69EF" w:rsidRDefault="002B5FDA" w:rsidP="002B5FDA">
      <w:pPr>
        <w:tabs>
          <w:tab w:val="left" w:pos="851"/>
        </w:tabs>
        <w:spacing w:before="120" w:after="120"/>
        <w:ind w:left="851" w:right="851"/>
        <w:jc w:val="both"/>
        <w:rPr>
          <w:rFonts w:ascii="Palatino Linotype" w:hAnsi="Palatino Linotype"/>
          <w:b/>
          <w:i/>
        </w:rPr>
      </w:pPr>
    </w:p>
    <w:p w14:paraId="7B64A889" w14:textId="77777777" w:rsidR="002B5FDA" w:rsidRPr="001B69EF" w:rsidRDefault="002B5FDA" w:rsidP="002B5FDA">
      <w:pPr>
        <w:tabs>
          <w:tab w:val="left" w:pos="851"/>
        </w:tabs>
        <w:spacing w:before="120" w:after="120"/>
        <w:ind w:left="851" w:right="851"/>
        <w:jc w:val="both"/>
        <w:rPr>
          <w:rFonts w:ascii="Palatino Linotype" w:hAnsi="Palatino Linotype"/>
          <w:b/>
          <w:i/>
        </w:rPr>
      </w:pPr>
      <w:r w:rsidRPr="001B69EF">
        <w:rPr>
          <w:rFonts w:ascii="Palatino Linotype" w:hAnsi="Palatino Linotype"/>
          <w:b/>
          <w:i/>
        </w:rPr>
        <w:t xml:space="preserve">XXIX. </w:t>
      </w:r>
      <w:r w:rsidRPr="001B69EF">
        <w:rPr>
          <w:rFonts w:ascii="Palatino Linotype" w:hAnsi="Palatino Linotype"/>
          <w:bCs/>
          <w:i/>
        </w:rPr>
        <w:t xml:space="preserve">La información sobre los procesos y resultados sobre </w:t>
      </w:r>
      <w:r w:rsidRPr="001B69EF">
        <w:rPr>
          <w:rFonts w:ascii="Palatino Linotype" w:hAnsi="Palatino Linotype"/>
          <w:b/>
          <w:i/>
          <w:u w:val="single"/>
        </w:rPr>
        <w:t>procedimientos de adjudicación directa, invitación restringida y licitación de cualquier naturaleza</w:t>
      </w:r>
      <w:r w:rsidRPr="001B69EF">
        <w:rPr>
          <w:rFonts w:ascii="Palatino Linotype" w:hAnsi="Palatino Linotype"/>
          <w:bCs/>
          <w:i/>
        </w:rPr>
        <w:t xml:space="preserve">, </w:t>
      </w:r>
      <w:r w:rsidRPr="001B69EF">
        <w:rPr>
          <w:rFonts w:ascii="Palatino Linotype" w:hAnsi="Palatino Linotype"/>
          <w:b/>
          <w:i/>
        </w:rPr>
        <w:t>incluyendo la versión pública</w:t>
      </w:r>
      <w:r w:rsidRPr="001B69EF">
        <w:rPr>
          <w:rFonts w:ascii="Palatino Linotype" w:hAnsi="Palatino Linotype"/>
          <w:bCs/>
          <w:i/>
        </w:rPr>
        <w:t xml:space="preserve"> del expediente respectivo y </w:t>
      </w:r>
      <w:r w:rsidRPr="001B69EF">
        <w:rPr>
          <w:rFonts w:ascii="Palatino Linotype" w:hAnsi="Palatino Linotype"/>
          <w:b/>
          <w:i/>
        </w:rPr>
        <w:t xml:space="preserve">de los contratos celebrados, que deberán contener, por los menos, lo siguiente: </w:t>
      </w:r>
    </w:p>
    <w:p w14:paraId="5FA28DCC" w14:textId="77777777" w:rsidR="002B5FDA" w:rsidRPr="001B69EF" w:rsidRDefault="002B5FDA" w:rsidP="002B5FDA">
      <w:pPr>
        <w:tabs>
          <w:tab w:val="left" w:pos="851"/>
        </w:tabs>
        <w:spacing w:before="120" w:after="120"/>
        <w:ind w:left="851" w:right="851"/>
        <w:jc w:val="both"/>
        <w:rPr>
          <w:rFonts w:ascii="Palatino Linotype" w:hAnsi="Palatino Linotype"/>
          <w:b/>
          <w:i/>
          <w:u w:val="single"/>
        </w:rPr>
      </w:pPr>
      <w:r w:rsidRPr="001B69EF">
        <w:rPr>
          <w:rFonts w:ascii="Palatino Linotype" w:hAnsi="Palatino Linotype"/>
          <w:b/>
          <w:i/>
          <w:u w:val="single"/>
        </w:rPr>
        <w:lastRenderedPageBreak/>
        <w:t xml:space="preserve">a) </w:t>
      </w:r>
      <w:r w:rsidRPr="001B69EF">
        <w:rPr>
          <w:rFonts w:ascii="Palatino Linotype" w:hAnsi="Palatino Linotype"/>
          <w:b/>
          <w:bCs/>
          <w:i/>
          <w:u w:val="single"/>
        </w:rPr>
        <w:t>De licitaciones públicas o procedimientos de invitación restringida</w:t>
      </w:r>
      <w:r w:rsidRPr="001B69EF">
        <w:rPr>
          <w:rFonts w:ascii="Palatino Linotype" w:hAnsi="Palatino Linotype"/>
          <w:b/>
          <w:i/>
          <w:u w:val="single"/>
        </w:rPr>
        <w:t xml:space="preserve">: </w:t>
      </w:r>
    </w:p>
    <w:p w14:paraId="7A26B907" w14:textId="77777777" w:rsidR="002B5FDA" w:rsidRPr="001B69EF" w:rsidRDefault="002B5FDA" w:rsidP="002B5FDA">
      <w:pPr>
        <w:tabs>
          <w:tab w:val="left" w:pos="851"/>
        </w:tabs>
        <w:spacing w:before="120" w:after="120"/>
        <w:ind w:left="851" w:right="851"/>
        <w:jc w:val="both"/>
        <w:rPr>
          <w:rFonts w:ascii="Palatino Linotype" w:hAnsi="Palatino Linotype"/>
          <w:bCs/>
          <w:i/>
        </w:rPr>
      </w:pPr>
      <w:r w:rsidRPr="001B69EF">
        <w:rPr>
          <w:rFonts w:ascii="Palatino Linotype" w:hAnsi="Palatino Linotype"/>
          <w:b/>
          <w:i/>
        </w:rPr>
        <w:t xml:space="preserve">1) </w:t>
      </w:r>
      <w:r w:rsidRPr="001B69EF">
        <w:rPr>
          <w:rFonts w:ascii="Palatino Linotype" w:hAnsi="Palatino Linotype"/>
          <w:bCs/>
          <w:i/>
        </w:rPr>
        <w:t xml:space="preserve">La convocatoria o invitación emitida, así como los fundamentos legales aplicados para llevarla a cabo; </w:t>
      </w:r>
    </w:p>
    <w:p w14:paraId="3A952D4A" w14:textId="77777777" w:rsidR="002B5FDA" w:rsidRPr="001B69EF" w:rsidRDefault="002B5FDA" w:rsidP="002B5FDA">
      <w:pPr>
        <w:tabs>
          <w:tab w:val="left" w:pos="851"/>
        </w:tabs>
        <w:spacing w:before="120" w:after="120"/>
        <w:ind w:left="851" w:right="851"/>
        <w:jc w:val="both"/>
        <w:rPr>
          <w:rFonts w:ascii="Palatino Linotype" w:hAnsi="Palatino Linotype"/>
          <w:bCs/>
          <w:i/>
        </w:rPr>
      </w:pPr>
      <w:r w:rsidRPr="001B69EF">
        <w:rPr>
          <w:rFonts w:ascii="Palatino Linotype" w:hAnsi="Palatino Linotype"/>
          <w:bCs/>
          <w:i/>
        </w:rPr>
        <w:t xml:space="preserve">2) Los nombres de los participantes o invitados; </w:t>
      </w:r>
    </w:p>
    <w:p w14:paraId="07F75185" w14:textId="77777777" w:rsidR="002B5FDA" w:rsidRPr="001B69EF" w:rsidRDefault="002B5FDA" w:rsidP="002B5FDA">
      <w:pPr>
        <w:tabs>
          <w:tab w:val="left" w:pos="851"/>
        </w:tabs>
        <w:spacing w:before="120" w:after="120"/>
        <w:ind w:left="851" w:right="851"/>
        <w:jc w:val="both"/>
        <w:rPr>
          <w:rFonts w:ascii="Palatino Linotype" w:hAnsi="Palatino Linotype"/>
          <w:bCs/>
          <w:i/>
        </w:rPr>
      </w:pPr>
      <w:r w:rsidRPr="001B69EF">
        <w:rPr>
          <w:rFonts w:ascii="Palatino Linotype" w:hAnsi="Palatino Linotype"/>
          <w:bCs/>
          <w:i/>
        </w:rPr>
        <w:t xml:space="preserve">3) El nombre del ganador y las razones que lo justifican; </w:t>
      </w:r>
    </w:p>
    <w:p w14:paraId="35FF026E" w14:textId="77777777" w:rsidR="002B5FDA" w:rsidRPr="001B69EF" w:rsidRDefault="002B5FDA" w:rsidP="002B5FDA">
      <w:pPr>
        <w:tabs>
          <w:tab w:val="left" w:pos="851"/>
        </w:tabs>
        <w:spacing w:before="120" w:after="120"/>
        <w:ind w:left="851" w:right="851"/>
        <w:jc w:val="both"/>
        <w:rPr>
          <w:rFonts w:ascii="Palatino Linotype" w:hAnsi="Palatino Linotype"/>
          <w:bCs/>
          <w:i/>
        </w:rPr>
      </w:pPr>
      <w:r w:rsidRPr="001B69EF">
        <w:rPr>
          <w:rFonts w:ascii="Palatino Linotype" w:hAnsi="Palatino Linotype"/>
          <w:bCs/>
          <w:i/>
        </w:rPr>
        <w:t xml:space="preserve">4) El área solicitante y la responsable de su ejecución; </w:t>
      </w:r>
    </w:p>
    <w:p w14:paraId="130D08C3" w14:textId="77777777" w:rsidR="002B5FDA" w:rsidRPr="001B69EF" w:rsidRDefault="002B5FDA" w:rsidP="002B5FDA">
      <w:pPr>
        <w:tabs>
          <w:tab w:val="left" w:pos="851"/>
        </w:tabs>
        <w:spacing w:before="120" w:after="120"/>
        <w:ind w:left="851" w:right="851"/>
        <w:jc w:val="both"/>
        <w:rPr>
          <w:rFonts w:ascii="Palatino Linotype" w:hAnsi="Palatino Linotype"/>
          <w:bCs/>
          <w:i/>
        </w:rPr>
      </w:pPr>
      <w:r w:rsidRPr="001B69EF">
        <w:rPr>
          <w:rFonts w:ascii="Palatino Linotype" w:hAnsi="Palatino Linotype"/>
          <w:bCs/>
          <w:i/>
        </w:rPr>
        <w:t xml:space="preserve">5) Las convocatorias e invitaciones emitidas; </w:t>
      </w:r>
    </w:p>
    <w:p w14:paraId="7615C94C" w14:textId="77777777" w:rsidR="002B5FDA" w:rsidRPr="001B69EF" w:rsidRDefault="002B5FDA" w:rsidP="002B5FDA">
      <w:pPr>
        <w:tabs>
          <w:tab w:val="left" w:pos="851"/>
        </w:tabs>
        <w:spacing w:before="120" w:after="120"/>
        <w:ind w:left="851" w:right="851"/>
        <w:jc w:val="both"/>
        <w:rPr>
          <w:rFonts w:ascii="Palatino Linotype" w:hAnsi="Palatino Linotype"/>
          <w:bCs/>
          <w:i/>
        </w:rPr>
      </w:pPr>
      <w:r w:rsidRPr="001B69EF">
        <w:rPr>
          <w:rFonts w:ascii="Palatino Linotype" w:hAnsi="Palatino Linotype"/>
          <w:bCs/>
          <w:i/>
        </w:rPr>
        <w:t xml:space="preserve">6) Los dictámenes y fallo de adjudicación; </w:t>
      </w:r>
    </w:p>
    <w:p w14:paraId="3CD86C1C" w14:textId="77777777" w:rsidR="002B5FDA" w:rsidRPr="001B69EF" w:rsidRDefault="002B5FDA" w:rsidP="002B5FDA">
      <w:pPr>
        <w:tabs>
          <w:tab w:val="left" w:pos="851"/>
        </w:tabs>
        <w:spacing w:before="120" w:after="120"/>
        <w:ind w:left="851" w:right="851"/>
        <w:jc w:val="both"/>
        <w:rPr>
          <w:rFonts w:ascii="Palatino Linotype" w:hAnsi="Palatino Linotype"/>
          <w:b/>
          <w:i/>
        </w:rPr>
      </w:pPr>
      <w:r w:rsidRPr="001B69EF">
        <w:rPr>
          <w:rFonts w:ascii="Palatino Linotype" w:hAnsi="Palatino Linotype"/>
          <w:b/>
          <w:i/>
        </w:rPr>
        <w:t xml:space="preserve">7) El contrato y, en su caso, sus anexos; </w:t>
      </w:r>
    </w:p>
    <w:p w14:paraId="55B83F9E" w14:textId="77777777" w:rsidR="002B5FDA" w:rsidRPr="001B69EF" w:rsidRDefault="002B5FDA" w:rsidP="002B5FDA">
      <w:pPr>
        <w:tabs>
          <w:tab w:val="left" w:pos="851"/>
        </w:tabs>
        <w:spacing w:before="120" w:after="120"/>
        <w:ind w:left="851" w:right="851"/>
        <w:jc w:val="both"/>
        <w:rPr>
          <w:rFonts w:ascii="Palatino Linotype" w:hAnsi="Palatino Linotype"/>
          <w:bCs/>
          <w:i/>
        </w:rPr>
      </w:pPr>
      <w:r w:rsidRPr="001B69EF">
        <w:rPr>
          <w:rFonts w:ascii="Palatino Linotype" w:hAnsi="Palatino Linotype"/>
          <w:bCs/>
          <w:i/>
        </w:rPr>
        <w:t xml:space="preserve">8) Los mecanismos de vigilancia y supervisión, incluyendo en su caso, los estudios de impacto urbano y ambiental, según corresponda; </w:t>
      </w:r>
    </w:p>
    <w:p w14:paraId="186D7B40" w14:textId="77777777" w:rsidR="002B5FDA" w:rsidRPr="001B69EF" w:rsidRDefault="002B5FDA" w:rsidP="002B5FDA">
      <w:pPr>
        <w:tabs>
          <w:tab w:val="left" w:pos="851"/>
        </w:tabs>
        <w:spacing w:before="120" w:after="120"/>
        <w:ind w:left="851" w:right="851"/>
        <w:jc w:val="both"/>
        <w:rPr>
          <w:rFonts w:ascii="Palatino Linotype" w:hAnsi="Palatino Linotype"/>
          <w:bCs/>
          <w:i/>
        </w:rPr>
      </w:pPr>
      <w:r w:rsidRPr="001B69EF">
        <w:rPr>
          <w:rFonts w:ascii="Palatino Linotype" w:hAnsi="Palatino Linotype"/>
          <w:bCs/>
          <w:i/>
        </w:rPr>
        <w:t xml:space="preserve">9) La partida presupuestal, de conformidad con el clasificador por objeto del gasto, en el caso de ser aplicable; </w:t>
      </w:r>
    </w:p>
    <w:p w14:paraId="3B1DFA7A" w14:textId="77777777" w:rsidR="002B5FDA" w:rsidRPr="001B69EF" w:rsidRDefault="002B5FDA" w:rsidP="002B5FDA">
      <w:pPr>
        <w:tabs>
          <w:tab w:val="left" w:pos="851"/>
        </w:tabs>
        <w:spacing w:before="120" w:after="120"/>
        <w:ind w:left="851" w:right="851"/>
        <w:jc w:val="both"/>
        <w:rPr>
          <w:rFonts w:ascii="Palatino Linotype" w:hAnsi="Palatino Linotype"/>
          <w:bCs/>
          <w:i/>
        </w:rPr>
      </w:pPr>
      <w:r w:rsidRPr="001B69EF">
        <w:rPr>
          <w:rFonts w:ascii="Palatino Linotype" w:hAnsi="Palatino Linotype"/>
          <w:bCs/>
          <w:i/>
        </w:rPr>
        <w:t xml:space="preserve">10) Origen de los recursos especificando si son federales, estatales o municipales, así como el tipo de fondo de participación o aportación respectiva; </w:t>
      </w:r>
    </w:p>
    <w:p w14:paraId="081EE4F4" w14:textId="77777777" w:rsidR="002B5FDA" w:rsidRPr="001B69EF" w:rsidRDefault="002B5FDA" w:rsidP="002B5FDA">
      <w:pPr>
        <w:tabs>
          <w:tab w:val="left" w:pos="851"/>
        </w:tabs>
        <w:spacing w:before="120" w:after="120"/>
        <w:ind w:left="851" w:right="851"/>
        <w:jc w:val="both"/>
        <w:rPr>
          <w:rFonts w:ascii="Palatino Linotype" w:hAnsi="Palatino Linotype"/>
          <w:i/>
        </w:rPr>
      </w:pPr>
      <w:r w:rsidRPr="001B69EF">
        <w:rPr>
          <w:rFonts w:ascii="Palatino Linotype" w:hAnsi="Palatino Linotype"/>
          <w:i/>
        </w:rPr>
        <w:t xml:space="preserve">11) Los convenios modificatorios que, en su caso, sean firmados, precisando el objeto y la fecha de celebración; </w:t>
      </w:r>
    </w:p>
    <w:p w14:paraId="244214D2" w14:textId="77777777" w:rsidR="002B5FDA" w:rsidRPr="001B69EF" w:rsidRDefault="002B5FDA" w:rsidP="002B5FDA">
      <w:pPr>
        <w:tabs>
          <w:tab w:val="left" w:pos="851"/>
        </w:tabs>
        <w:spacing w:before="120" w:after="120"/>
        <w:ind w:left="851" w:right="851"/>
        <w:jc w:val="both"/>
        <w:rPr>
          <w:rFonts w:ascii="Palatino Linotype" w:hAnsi="Palatino Linotype"/>
          <w:bCs/>
          <w:i/>
        </w:rPr>
      </w:pPr>
      <w:r w:rsidRPr="001B69EF">
        <w:rPr>
          <w:rFonts w:ascii="Palatino Linotype" w:hAnsi="Palatino Linotype"/>
          <w:bCs/>
          <w:i/>
        </w:rPr>
        <w:t xml:space="preserve">12) Los informes de avance físico y financiero sobre las obras o servicios contratados; </w:t>
      </w:r>
    </w:p>
    <w:p w14:paraId="16258E43" w14:textId="77777777" w:rsidR="002B5FDA" w:rsidRPr="001B69EF" w:rsidRDefault="002B5FDA" w:rsidP="002B5FDA">
      <w:pPr>
        <w:tabs>
          <w:tab w:val="left" w:pos="851"/>
        </w:tabs>
        <w:spacing w:before="120" w:after="120"/>
        <w:ind w:left="851" w:right="851"/>
        <w:jc w:val="both"/>
        <w:rPr>
          <w:rFonts w:ascii="Palatino Linotype" w:hAnsi="Palatino Linotype"/>
          <w:bCs/>
          <w:i/>
        </w:rPr>
      </w:pPr>
      <w:r w:rsidRPr="001B69EF">
        <w:rPr>
          <w:rFonts w:ascii="Palatino Linotype" w:hAnsi="Palatino Linotype"/>
          <w:bCs/>
          <w:i/>
        </w:rPr>
        <w:t xml:space="preserve">13) El convenio de terminación; y </w:t>
      </w:r>
    </w:p>
    <w:p w14:paraId="39CF6F3D" w14:textId="77777777" w:rsidR="002B5FDA" w:rsidRPr="001B69EF" w:rsidRDefault="002B5FDA" w:rsidP="002B5FDA">
      <w:pPr>
        <w:tabs>
          <w:tab w:val="left" w:pos="851"/>
        </w:tabs>
        <w:spacing w:before="120" w:after="120"/>
        <w:ind w:left="851" w:right="851"/>
        <w:jc w:val="both"/>
        <w:rPr>
          <w:rFonts w:ascii="Palatino Linotype" w:hAnsi="Palatino Linotype"/>
          <w:bCs/>
          <w:i/>
        </w:rPr>
      </w:pPr>
      <w:r w:rsidRPr="001B69EF">
        <w:rPr>
          <w:rFonts w:ascii="Palatino Linotype" w:hAnsi="Palatino Linotype"/>
          <w:bCs/>
          <w:i/>
        </w:rPr>
        <w:t xml:space="preserve">14) El finiquito. </w:t>
      </w:r>
    </w:p>
    <w:p w14:paraId="65EB5B43" w14:textId="77777777" w:rsidR="002B5FDA" w:rsidRPr="001B69EF" w:rsidRDefault="002B5FDA" w:rsidP="002B5FDA">
      <w:pPr>
        <w:tabs>
          <w:tab w:val="left" w:pos="851"/>
        </w:tabs>
        <w:spacing w:before="120" w:after="120"/>
        <w:ind w:left="851" w:right="851"/>
        <w:jc w:val="both"/>
        <w:rPr>
          <w:rFonts w:ascii="Palatino Linotype" w:hAnsi="Palatino Linotype"/>
          <w:b/>
          <w:i/>
          <w:u w:val="single"/>
        </w:rPr>
      </w:pPr>
      <w:r w:rsidRPr="001B69EF">
        <w:rPr>
          <w:rFonts w:ascii="Palatino Linotype" w:hAnsi="Palatino Linotype"/>
          <w:b/>
          <w:i/>
          <w:u w:val="single"/>
        </w:rPr>
        <w:t xml:space="preserve">b) De las adjudicaciones directas: </w:t>
      </w:r>
    </w:p>
    <w:p w14:paraId="11190CF5" w14:textId="77777777" w:rsidR="002B5FDA" w:rsidRPr="001B69EF" w:rsidRDefault="002B5FDA" w:rsidP="002B5FDA">
      <w:pPr>
        <w:tabs>
          <w:tab w:val="left" w:pos="851"/>
        </w:tabs>
        <w:spacing w:before="120" w:after="120"/>
        <w:ind w:left="851" w:right="851"/>
        <w:jc w:val="both"/>
        <w:rPr>
          <w:rFonts w:ascii="Palatino Linotype" w:hAnsi="Palatino Linotype"/>
          <w:bCs/>
          <w:i/>
        </w:rPr>
      </w:pPr>
      <w:r w:rsidRPr="001B69EF">
        <w:rPr>
          <w:rFonts w:ascii="Palatino Linotype" w:hAnsi="Palatino Linotype"/>
          <w:bCs/>
          <w:i/>
        </w:rPr>
        <w:t xml:space="preserve">1) La propuesta enviada por el participante; </w:t>
      </w:r>
    </w:p>
    <w:p w14:paraId="0912D0E6" w14:textId="77777777" w:rsidR="002B5FDA" w:rsidRPr="001B69EF" w:rsidRDefault="002B5FDA" w:rsidP="002B5FDA">
      <w:pPr>
        <w:tabs>
          <w:tab w:val="left" w:pos="851"/>
        </w:tabs>
        <w:spacing w:before="120" w:after="120"/>
        <w:ind w:left="851" w:right="851"/>
        <w:jc w:val="both"/>
        <w:rPr>
          <w:rFonts w:ascii="Palatino Linotype" w:hAnsi="Palatino Linotype"/>
          <w:i/>
        </w:rPr>
      </w:pPr>
      <w:r w:rsidRPr="001B69EF">
        <w:rPr>
          <w:rFonts w:ascii="Palatino Linotype" w:hAnsi="Palatino Linotype"/>
          <w:i/>
        </w:rPr>
        <w:t xml:space="preserve">2) Los motivos y fundamentos legales aplicados para llevarla a cabo; </w:t>
      </w:r>
    </w:p>
    <w:p w14:paraId="31E4BC61" w14:textId="77777777" w:rsidR="002B5FDA" w:rsidRPr="001B69EF" w:rsidRDefault="002B5FDA" w:rsidP="002B5FDA">
      <w:pPr>
        <w:tabs>
          <w:tab w:val="left" w:pos="851"/>
        </w:tabs>
        <w:spacing w:before="120" w:after="120"/>
        <w:ind w:left="851" w:right="851"/>
        <w:jc w:val="both"/>
        <w:rPr>
          <w:rFonts w:ascii="Palatino Linotype" w:hAnsi="Palatino Linotype"/>
          <w:bCs/>
          <w:i/>
        </w:rPr>
      </w:pPr>
      <w:r w:rsidRPr="001B69EF">
        <w:rPr>
          <w:rFonts w:ascii="Palatino Linotype" w:hAnsi="Palatino Linotype"/>
          <w:bCs/>
          <w:i/>
        </w:rPr>
        <w:t xml:space="preserve">3) La autorización del ejercicio de la opción; </w:t>
      </w:r>
    </w:p>
    <w:p w14:paraId="2F1BB140" w14:textId="77777777" w:rsidR="002B5FDA" w:rsidRPr="001B69EF" w:rsidRDefault="002B5FDA" w:rsidP="002B5FDA">
      <w:pPr>
        <w:tabs>
          <w:tab w:val="left" w:pos="851"/>
        </w:tabs>
        <w:spacing w:before="120" w:after="120"/>
        <w:ind w:left="851" w:right="851"/>
        <w:jc w:val="both"/>
        <w:rPr>
          <w:rFonts w:ascii="Palatino Linotype" w:hAnsi="Palatino Linotype"/>
          <w:bCs/>
          <w:i/>
        </w:rPr>
      </w:pPr>
      <w:r w:rsidRPr="001B69EF">
        <w:rPr>
          <w:rFonts w:ascii="Palatino Linotype" w:hAnsi="Palatino Linotype"/>
          <w:bCs/>
          <w:i/>
        </w:rPr>
        <w:t xml:space="preserve">4) En su caso, las cotizaciones consideradas, especificando los nombres de los proveedores y sus montos; </w:t>
      </w:r>
    </w:p>
    <w:p w14:paraId="546BC030" w14:textId="77777777" w:rsidR="002B5FDA" w:rsidRPr="001B69EF" w:rsidRDefault="002B5FDA" w:rsidP="002B5FDA">
      <w:pPr>
        <w:tabs>
          <w:tab w:val="left" w:pos="851"/>
        </w:tabs>
        <w:spacing w:before="120" w:after="120"/>
        <w:ind w:left="851" w:right="851"/>
        <w:jc w:val="both"/>
        <w:rPr>
          <w:rFonts w:ascii="Palatino Linotype" w:hAnsi="Palatino Linotype"/>
          <w:i/>
        </w:rPr>
      </w:pPr>
      <w:r w:rsidRPr="001B69EF">
        <w:rPr>
          <w:rFonts w:ascii="Palatino Linotype" w:hAnsi="Palatino Linotype"/>
          <w:bCs/>
          <w:i/>
        </w:rPr>
        <w:t>5</w:t>
      </w:r>
      <w:r w:rsidRPr="001B69EF">
        <w:rPr>
          <w:rFonts w:ascii="Palatino Linotype" w:hAnsi="Palatino Linotype"/>
          <w:i/>
        </w:rPr>
        <w:t xml:space="preserve">) El nombre de la persona física o jurídica colectiva adjudicada; </w:t>
      </w:r>
    </w:p>
    <w:p w14:paraId="44B8C668" w14:textId="77777777" w:rsidR="002B5FDA" w:rsidRPr="001B69EF" w:rsidRDefault="002B5FDA" w:rsidP="002B5FDA">
      <w:pPr>
        <w:tabs>
          <w:tab w:val="left" w:pos="851"/>
        </w:tabs>
        <w:spacing w:before="120" w:after="120"/>
        <w:ind w:left="851" w:right="851"/>
        <w:jc w:val="both"/>
        <w:rPr>
          <w:rFonts w:ascii="Palatino Linotype" w:hAnsi="Palatino Linotype"/>
          <w:bCs/>
          <w:i/>
        </w:rPr>
      </w:pPr>
      <w:r w:rsidRPr="001B69EF">
        <w:rPr>
          <w:rFonts w:ascii="Palatino Linotype" w:hAnsi="Palatino Linotype"/>
          <w:bCs/>
          <w:i/>
        </w:rPr>
        <w:t xml:space="preserve">6) La unidad administrativa solicitante y la responsable de su ejecución; </w:t>
      </w:r>
    </w:p>
    <w:p w14:paraId="7FA05CDE" w14:textId="77777777" w:rsidR="002B5FDA" w:rsidRPr="001B69EF" w:rsidRDefault="002B5FDA" w:rsidP="002B5FDA">
      <w:pPr>
        <w:tabs>
          <w:tab w:val="left" w:pos="851"/>
        </w:tabs>
        <w:spacing w:before="120" w:after="120"/>
        <w:ind w:left="851" w:right="851"/>
        <w:jc w:val="both"/>
        <w:rPr>
          <w:rFonts w:ascii="Palatino Linotype" w:hAnsi="Palatino Linotype"/>
          <w:b/>
          <w:i/>
        </w:rPr>
      </w:pPr>
      <w:r w:rsidRPr="001B69EF">
        <w:rPr>
          <w:rFonts w:ascii="Palatino Linotype" w:hAnsi="Palatino Linotype"/>
          <w:b/>
          <w:bCs/>
          <w:i/>
        </w:rPr>
        <w:lastRenderedPageBreak/>
        <w:t xml:space="preserve">7) </w:t>
      </w:r>
      <w:r w:rsidRPr="001B69EF">
        <w:rPr>
          <w:rFonts w:ascii="Palatino Linotype" w:hAnsi="Palatino Linotype"/>
          <w:b/>
          <w:i/>
        </w:rPr>
        <w:t xml:space="preserve">El número, fecha, el monto del contrato y el plazo de entrega o de ejecución de los servicios u obra; </w:t>
      </w:r>
    </w:p>
    <w:p w14:paraId="4617AFBA" w14:textId="77777777" w:rsidR="002B5FDA" w:rsidRPr="001B69EF" w:rsidRDefault="002B5FDA" w:rsidP="002B5FDA">
      <w:pPr>
        <w:tabs>
          <w:tab w:val="left" w:pos="851"/>
        </w:tabs>
        <w:spacing w:before="120" w:after="120"/>
        <w:ind w:left="851" w:right="851"/>
        <w:jc w:val="both"/>
        <w:rPr>
          <w:rFonts w:ascii="Palatino Linotype" w:hAnsi="Palatino Linotype"/>
          <w:i/>
        </w:rPr>
      </w:pPr>
      <w:r w:rsidRPr="001B69EF">
        <w:rPr>
          <w:rFonts w:ascii="Palatino Linotype" w:hAnsi="Palatino Linotype"/>
          <w:i/>
        </w:rPr>
        <w:t>8) Los mecanismos de vigilancia y supervisión, incluyendo, en su caso, los estudios de impacto urbano y ambiental, según corresponda;</w:t>
      </w:r>
    </w:p>
    <w:p w14:paraId="15BD4ECF" w14:textId="77777777" w:rsidR="002B5FDA" w:rsidRPr="001B69EF" w:rsidRDefault="002B5FDA" w:rsidP="002B5FDA">
      <w:pPr>
        <w:tabs>
          <w:tab w:val="left" w:pos="851"/>
        </w:tabs>
        <w:spacing w:before="120" w:after="120"/>
        <w:ind w:left="851" w:right="851"/>
        <w:jc w:val="both"/>
        <w:rPr>
          <w:rFonts w:ascii="Palatino Linotype" w:hAnsi="Palatino Linotype"/>
          <w:i/>
        </w:rPr>
      </w:pPr>
      <w:r w:rsidRPr="001B69EF">
        <w:rPr>
          <w:rFonts w:ascii="Palatino Linotype" w:hAnsi="Palatino Linotype"/>
          <w:i/>
        </w:rPr>
        <w:t xml:space="preserve"> 9) Los informes de avance sobre las obras o servicios contratados; </w:t>
      </w:r>
    </w:p>
    <w:p w14:paraId="1A8525AE" w14:textId="77777777" w:rsidR="002B5FDA" w:rsidRPr="001B69EF" w:rsidRDefault="002B5FDA" w:rsidP="002B5FDA">
      <w:pPr>
        <w:tabs>
          <w:tab w:val="left" w:pos="851"/>
        </w:tabs>
        <w:spacing w:before="120" w:after="120"/>
        <w:ind w:left="851" w:right="851"/>
        <w:jc w:val="both"/>
        <w:rPr>
          <w:rFonts w:ascii="Palatino Linotype" w:hAnsi="Palatino Linotype"/>
          <w:bCs/>
          <w:i/>
        </w:rPr>
      </w:pPr>
      <w:r w:rsidRPr="001B69EF">
        <w:rPr>
          <w:rFonts w:ascii="Palatino Linotype" w:hAnsi="Palatino Linotype"/>
          <w:bCs/>
          <w:i/>
        </w:rPr>
        <w:t xml:space="preserve">10) El convenio de terminación; y </w:t>
      </w:r>
    </w:p>
    <w:p w14:paraId="01034CD2" w14:textId="77777777" w:rsidR="002B5FDA" w:rsidRPr="001B69EF" w:rsidRDefault="002B5FDA" w:rsidP="002B5FDA">
      <w:pPr>
        <w:tabs>
          <w:tab w:val="left" w:pos="851"/>
        </w:tabs>
        <w:spacing w:before="120" w:after="120"/>
        <w:ind w:left="851" w:right="851"/>
        <w:jc w:val="both"/>
        <w:rPr>
          <w:rFonts w:ascii="Palatino Linotype" w:hAnsi="Palatino Linotype"/>
          <w:bCs/>
          <w:i/>
        </w:rPr>
      </w:pPr>
      <w:r w:rsidRPr="001B69EF">
        <w:rPr>
          <w:rFonts w:ascii="Palatino Linotype" w:hAnsi="Palatino Linotype"/>
          <w:bCs/>
          <w:i/>
        </w:rPr>
        <w:t xml:space="preserve">11) </w:t>
      </w:r>
      <w:r w:rsidRPr="001B69EF">
        <w:rPr>
          <w:rFonts w:ascii="Palatino Linotype" w:hAnsi="Palatino Linotype"/>
          <w:i/>
        </w:rPr>
        <w:t>El finiquito</w:t>
      </w:r>
      <w:r w:rsidRPr="001B69EF">
        <w:rPr>
          <w:rFonts w:ascii="Palatino Linotype" w:hAnsi="Palatino Linotype"/>
          <w:bCs/>
          <w:i/>
        </w:rPr>
        <w:t>.;</w:t>
      </w:r>
    </w:p>
    <w:p w14:paraId="76A6C823" w14:textId="77777777" w:rsidR="002B5FDA" w:rsidRPr="001B69EF" w:rsidRDefault="002B5FDA" w:rsidP="002B5FDA">
      <w:pPr>
        <w:tabs>
          <w:tab w:val="left" w:pos="851"/>
        </w:tabs>
        <w:spacing w:before="120" w:after="120"/>
        <w:ind w:left="851" w:right="851"/>
        <w:jc w:val="both"/>
        <w:rPr>
          <w:rFonts w:ascii="Palatino Linotype" w:hAnsi="Palatino Linotype"/>
          <w:bCs/>
          <w:i/>
        </w:rPr>
      </w:pPr>
      <w:r w:rsidRPr="001B69EF">
        <w:rPr>
          <w:rFonts w:ascii="Palatino Linotype" w:hAnsi="Palatino Linotype"/>
          <w:bCs/>
          <w:i/>
        </w:rPr>
        <w:t>(…)</w:t>
      </w:r>
    </w:p>
    <w:p w14:paraId="7758DB3A" w14:textId="77777777" w:rsidR="002B5FDA" w:rsidRPr="001B69EF" w:rsidRDefault="002B5FDA" w:rsidP="002B5FDA">
      <w:pPr>
        <w:tabs>
          <w:tab w:val="left" w:pos="851"/>
        </w:tabs>
        <w:spacing w:before="120" w:after="120"/>
        <w:ind w:left="851" w:right="851"/>
        <w:jc w:val="both"/>
        <w:rPr>
          <w:rFonts w:ascii="Palatino Linotype" w:hAnsi="Palatino Linotype" w:cs="Arial"/>
          <w:bCs/>
          <w:i/>
        </w:rPr>
      </w:pPr>
      <w:r w:rsidRPr="001B69EF">
        <w:rPr>
          <w:rFonts w:ascii="Palatino Linotype" w:hAnsi="Palatino Linotype" w:cs="Arial"/>
          <w:bCs/>
          <w:i/>
        </w:rPr>
        <w:t xml:space="preserve">XXXII. Las concesiones, </w:t>
      </w:r>
      <w:r w:rsidRPr="001B69EF">
        <w:rPr>
          <w:rFonts w:ascii="Palatino Linotype" w:hAnsi="Palatino Linotype" w:cs="Arial"/>
          <w:b/>
          <w:i/>
          <w:u w:val="single"/>
        </w:rPr>
        <w:t>contratos,</w:t>
      </w:r>
      <w:r w:rsidRPr="001B69EF">
        <w:rPr>
          <w:rFonts w:ascii="Palatino Linotype" w:hAnsi="Palatino Linotype" w:cs="Arial"/>
          <w:b/>
          <w:i/>
        </w:rPr>
        <w:t xml:space="preserve"> </w:t>
      </w:r>
      <w:r w:rsidRPr="001B69EF">
        <w:rPr>
          <w:rFonts w:ascii="Palatino Linotype" w:hAnsi="Palatino Linotype" w:cs="Arial"/>
          <w:i/>
        </w:rPr>
        <w:t>convenios</w:t>
      </w:r>
      <w:r w:rsidRPr="001B69EF">
        <w:rPr>
          <w:rFonts w:ascii="Palatino Linotype" w:hAnsi="Palatino Linotype" w:cs="Arial"/>
          <w:bCs/>
          <w:i/>
        </w:rPr>
        <w:t xml:space="preserve">, permisos, licencias o autorizaciones otorgados, </w:t>
      </w:r>
      <w:r w:rsidRPr="001B69EF">
        <w:rPr>
          <w:rFonts w:ascii="Palatino Linotype" w:hAnsi="Palatino Linotype" w:cs="Arial"/>
          <w:b/>
          <w:i/>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1B69EF">
        <w:rPr>
          <w:rFonts w:ascii="Palatino Linotype" w:hAnsi="Palatino Linotype" w:cs="Arial"/>
          <w:bCs/>
          <w:i/>
        </w:rPr>
        <w:t>;</w:t>
      </w:r>
    </w:p>
    <w:p w14:paraId="26DF36D5" w14:textId="77777777" w:rsidR="002B5FDA" w:rsidRPr="001B69EF" w:rsidRDefault="002B5FDA" w:rsidP="002B5FDA">
      <w:pPr>
        <w:autoSpaceDE w:val="0"/>
        <w:autoSpaceDN w:val="0"/>
        <w:adjustRightInd w:val="0"/>
        <w:spacing w:before="240" w:line="360" w:lineRule="auto"/>
        <w:jc w:val="both"/>
        <w:rPr>
          <w:rFonts w:ascii="Palatino Linotype" w:hAnsi="Palatino Linotype"/>
          <w:lang w:val="es-ES_tradnl"/>
        </w:rPr>
      </w:pPr>
    </w:p>
    <w:p w14:paraId="5C475F78" w14:textId="77777777" w:rsidR="002B5FDA" w:rsidRPr="001B69EF" w:rsidRDefault="002B5FDA" w:rsidP="002B5FDA">
      <w:pPr>
        <w:spacing w:line="360" w:lineRule="auto"/>
        <w:jc w:val="both"/>
        <w:rPr>
          <w:rFonts w:ascii="Palatino Linotype" w:hAnsi="Palatino Linotype" w:cs="Arial"/>
          <w:sz w:val="24"/>
        </w:rPr>
      </w:pPr>
      <w:r w:rsidRPr="001B69EF">
        <w:rPr>
          <w:rFonts w:ascii="Palatino Linotype" w:hAnsi="Palatino Linotype"/>
          <w:sz w:val="24"/>
        </w:rPr>
        <w:t xml:space="preserve">Del numeral citado, se observa que </w:t>
      </w:r>
      <w:r w:rsidRPr="001B69EF">
        <w:rPr>
          <w:rFonts w:ascii="Palatino Linotype" w:hAnsi="Palatino Linotype" w:cs="Arial"/>
          <w:sz w:val="24"/>
        </w:rPr>
        <w:t>la información solicitada forma parte de las Obligaciones de Transparencia Comunes de los Sujetos Obligados, las cuales deben poner a disposición de manera permanente y actualizada en los respectivos medios electrónicos, como lo es el portal de Información Pública de Oficio Mexiquense (IPOMEX) y por tanto el Sujeto Obligado debe contar con la información requerida.</w:t>
      </w:r>
    </w:p>
    <w:p w14:paraId="3926737C" w14:textId="77777777" w:rsidR="002B5FDA" w:rsidRPr="001B69EF" w:rsidRDefault="002B5FDA" w:rsidP="002B5FDA">
      <w:pPr>
        <w:spacing w:line="360" w:lineRule="auto"/>
        <w:jc w:val="both"/>
        <w:rPr>
          <w:rFonts w:ascii="Palatino Linotype" w:hAnsi="Palatino Linotype" w:cs="Arial"/>
        </w:rPr>
      </w:pPr>
    </w:p>
    <w:p w14:paraId="13291D50" w14:textId="77777777" w:rsidR="002B5FDA" w:rsidRPr="001B69EF" w:rsidRDefault="002B5FDA" w:rsidP="002B5FDA">
      <w:pPr>
        <w:spacing w:line="360" w:lineRule="auto"/>
        <w:jc w:val="both"/>
        <w:rPr>
          <w:rFonts w:ascii="Palatino Linotype" w:hAnsi="Palatino Linotype"/>
          <w:sz w:val="24"/>
        </w:rPr>
      </w:pPr>
      <w:r w:rsidRPr="001B69EF">
        <w:rPr>
          <w:rFonts w:ascii="Palatino Linotype" w:hAnsi="Palatino Linotype" w:cs="Arial"/>
          <w:sz w:val="24"/>
        </w:rPr>
        <w:t>Robustece lo anterior, lo estipulado en los</w:t>
      </w:r>
      <w:r w:rsidRPr="001B69EF">
        <w:rPr>
          <w:rFonts w:ascii="Palatino Linotype" w:hAnsi="Palatino Linotype"/>
          <w:sz w:val="24"/>
        </w:rPr>
        <w:t xml:space="preserve"> artículos 87, 93, 94 y 95, fracciones I, IV, V, XVI y XVII de la Ley Orgánica Municipal del Estado de México; porciones normativas que disponen a la literalidad lo siguiente: </w:t>
      </w:r>
    </w:p>
    <w:p w14:paraId="2B56418F" w14:textId="77777777" w:rsidR="002B5FDA" w:rsidRPr="001B69EF" w:rsidRDefault="002B5FDA" w:rsidP="002B5FDA">
      <w:pPr>
        <w:spacing w:line="360" w:lineRule="auto"/>
        <w:jc w:val="both"/>
        <w:rPr>
          <w:rFonts w:ascii="Palatino Linotype" w:hAnsi="Palatino Linotype"/>
        </w:rPr>
      </w:pPr>
    </w:p>
    <w:p w14:paraId="271DC6F8" w14:textId="77777777" w:rsidR="002B5FDA" w:rsidRPr="001B69EF" w:rsidRDefault="002B5FDA" w:rsidP="002B5FDA">
      <w:pPr>
        <w:ind w:left="567" w:right="567"/>
        <w:jc w:val="center"/>
        <w:rPr>
          <w:rFonts w:ascii="Palatino Linotype" w:hAnsi="Palatino Linotype"/>
          <w:b/>
          <w:i/>
        </w:rPr>
      </w:pPr>
      <w:r w:rsidRPr="001B69EF">
        <w:rPr>
          <w:rFonts w:ascii="Palatino Linotype" w:hAnsi="Palatino Linotype"/>
          <w:b/>
          <w:i/>
        </w:rPr>
        <w:t>LEY ORGÁNICA MUNICIPAL DEL ESTADO DE MÉXICO</w:t>
      </w:r>
    </w:p>
    <w:p w14:paraId="3C66DE87" w14:textId="77777777" w:rsidR="002B5FDA" w:rsidRPr="001B69EF" w:rsidRDefault="002B5FDA" w:rsidP="002B5FDA">
      <w:pPr>
        <w:ind w:left="567" w:right="567"/>
        <w:jc w:val="both"/>
        <w:rPr>
          <w:rFonts w:ascii="Palatino Linotype" w:hAnsi="Palatino Linotype"/>
          <w:i/>
        </w:rPr>
      </w:pPr>
    </w:p>
    <w:p w14:paraId="5173B0FE" w14:textId="77777777" w:rsidR="002B5FDA" w:rsidRPr="001B69EF" w:rsidRDefault="002B5FDA" w:rsidP="002B5FDA">
      <w:pPr>
        <w:ind w:left="567" w:right="567"/>
        <w:jc w:val="both"/>
        <w:rPr>
          <w:rFonts w:ascii="Palatino Linotype" w:hAnsi="Palatino Linotype"/>
          <w:i/>
        </w:rPr>
      </w:pPr>
      <w:r w:rsidRPr="001B69EF">
        <w:rPr>
          <w:rFonts w:ascii="Palatino Linotype" w:hAnsi="Palatino Linotype"/>
          <w:i/>
        </w:rPr>
        <w:t>“</w:t>
      </w:r>
      <w:r w:rsidRPr="001B69EF">
        <w:rPr>
          <w:rFonts w:ascii="Palatino Linotype" w:hAnsi="Palatino Linotype"/>
          <w:b/>
          <w:i/>
        </w:rPr>
        <w:t xml:space="preserve">Artículo 87.- </w:t>
      </w:r>
      <w:r w:rsidRPr="001B69EF">
        <w:rPr>
          <w:rFonts w:ascii="Palatino Linotype" w:hAnsi="Palatino Linotype"/>
          <w:i/>
        </w:rPr>
        <w:t>Para el despacho, estudio y planeación de los diversos asuntos de la administración municipal, el ayuntamiento contará por lo menos con las siguientes Dependencias:</w:t>
      </w:r>
    </w:p>
    <w:p w14:paraId="5E59D2D8" w14:textId="77777777" w:rsidR="002B5FDA" w:rsidRPr="001B69EF" w:rsidRDefault="002B5FDA" w:rsidP="002B5FDA">
      <w:pPr>
        <w:ind w:left="567" w:right="567"/>
        <w:jc w:val="both"/>
        <w:rPr>
          <w:rFonts w:ascii="Palatino Linotype" w:hAnsi="Palatino Linotype"/>
          <w:i/>
        </w:rPr>
      </w:pPr>
      <w:r w:rsidRPr="001B69EF">
        <w:rPr>
          <w:rFonts w:ascii="Palatino Linotype" w:hAnsi="Palatino Linotype"/>
          <w:i/>
        </w:rPr>
        <w:t>I. La secretaría del ayuntamiento;</w:t>
      </w:r>
    </w:p>
    <w:p w14:paraId="36FA88C1" w14:textId="77777777" w:rsidR="002B5FDA" w:rsidRPr="001B69EF" w:rsidRDefault="002B5FDA" w:rsidP="002B5FDA">
      <w:pPr>
        <w:ind w:left="567" w:right="567"/>
        <w:jc w:val="both"/>
        <w:rPr>
          <w:rFonts w:ascii="Palatino Linotype" w:hAnsi="Palatino Linotype"/>
          <w:i/>
        </w:rPr>
      </w:pPr>
      <w:r w:rsidRPr="001B69EF">
        <w:rPr>
          <w:rFonts w:ascii="Palatino Linotype" w:hAnsi="Palatino Linotype"/>
          <w:i/>
          <w:u w:val="single"/>
        </w:rPr>
        <w:t>II. La tesorería municipal</w:t>
      </w:r>
      <w:r w:rsidRPr="001B69EF">
        <w:rPr>
          <w:rFonts w:ascii="Palatino Linotype" w:hAnsi="Palatino Linotype"/>
          <w:i/>
        </w:rPr>
        <w:t>.</w:t>
      </w:r>
    </w:p>
    <w:p w14:paraId="445D1740" w14:textId="77777777" w:rsidR="002B5FDA" w:rsidRPr="001B69EF" w:rsidRDefault="002B5FDA" w:rsidP="002B5FDA">
      <w:pPr>
        <w:ind w:left="567" w:right="567"/>
        <w:jc w:val="both"/>
        <w:rPr>
          <w:rFonts w:ascii="Palatino Linotype" w:hAnsi="Palatino Linotype"/>
          <w:i/>
        </w:rPr>
      </w:pPr>
      <w:r w:rsidRPr="001B69EF">
        <w:rPr>
          <w:rFonts w:ascii="Palatino Linotype" w:hAnsi="Palatino Linotype"/>
          <w:i/>
        </w:rPr>
        <w:t>III. La Dirección de Obras Públicas o equivalente.</w:t>
      </w:r>
    </w:p>
    <w:p w14:paraId="4251C280" w14:textId="77777777" w:rsidR="002B5FDA" w:rsidRPr="001B69EF" w:rsidRDefault="002B5FDA" w:rsidP="002B5FDA">
      <w:pPr>
        <w:ind w:left="567" w:right="567"/>
        <w:jc w:val="both"/>
        <w:rPr>
          <w:rFonts w:ascii="Palatino Linotype" w:hAnsi="Palatino Linotype"/>
          <w:i/>
        </w:rPr>
      </w:pPr>
      <w:r w:rsidRPr="001B69EF">
        <w:rPr>
          <w:rFonts w:ascii="Palatino Linotype" w:hAnsi="Palatino Linotype"/>
          <w:i/>
        </w:rPr>
        <w:t>IV. La Dirección de Desarrollo Económico o equivalente.</w:t>
      </w:r>
    </w:p>
    <w:p w14:paraId="559F7094" w14:textId="77777777" w:rsidR="002B5FDA" w:rsidRPr="001B69EF" w:rsidRDefault="002B5FDA" w:rsidP="002B5FDA">
      <w:pPr>
        <w:ind w:left="567" w:right="567"/>
        <w:jc w:val="both"/>
        <w:rPr>
          <w:rFonts w:ascii="Palatino Linotype" w:hAnsi="Palatino Linotype"/>
          <w:i/>
        </w:rPr>
      </w:pPr>
      <w:r w:rsidRPr="001B69EF">
        <w:rPr>
          <w:rFonts w:ascii="Palatino Linotype" w:hAnsi="Palatino Linotype"/>
          <w:i/>
        </w:rPr>
        <w:t>V. La Dirección de Desarrollo Urbano o equivalente;</w:t>
      </w:r>
    </w:p>
    <w:p w14:paraId="60AED3ED" w14:textId="77777777" w:rsidR="002B5FDA" w:rsidRPr="001B69EF" w:rsidRDefault="002B5FDA" w:rsidP="002B5FDA">
      <w:pPr>
        <w:ind w:left="567" w:right="567"/>
        <w:jc w:val="both"/>
        <w:rPr>
          <w:rFonts w:ascii="Palatino Linotype" w:hAnsi="Palatino Linotype"/>
          <w:i/>
        </w:rPr>
      </w:pPr>
      <w:r w:rsidRPr="001B69EF">
        <w:rPr>
          <w:rFonts w:ascii="Palatino Linotype" w:hAnsi="Palatino Linotype"/>
          <w:i/>
        </w:rPr>
        <w:t>VI. La Dirección de Ecología o equivalente.</w:t>
      </w:r>
    </w:p>
    <w:p w14:paraId="2E051619" w14:textId="77777777" w:rsidR="002B5FDA" w:rsidRPr="001B69EF" w:rsidRDefault="002B5FDA" w:rsidP="002B5FDA">
      <w:pPr>
        <w:ind w:left="567" w:right="567"/>
        <w:jc w:val="both"/>
        <w:rPr>
          <w:rFonts w:ascii="Palatino Linotype" w:hAnsi="Palatino Linotype"/>
          <w:i/>
        </w:rPr>
      </w:pPr>
      <w:r w:rsidRPr="001B69EF">
        <w:rPr>
          <w:rFonts w:ascii="Palatino Linotype" w:hAnsi="Palatino Linotype"/>
          <w:i/>
        </w:rPr>
        <w:t>VII. La Dirección de Desarrollo Social o equivalente.</w:t>
      </w:r>
    </w:p>
    <w:p w14:paraId="142D7F3F" w14:textId="77777777" w:rsidR="002B5FDA" w:rsidRPr="001B69EF" w:rsidRDefault="002B5FDA" w:rsidP="002B5FDA">
      <w:pPr>
        <w:ind w:left="567" w:right="567"/>
        <w:jc w:val="both"/>
        <w:rPr>
          <w:rFonts w:ascii="Palatino Linotype" w:hAnsi="Palatino Linotype"/>
          <w:i/>
        </w:rPr>
      </w:pPr>
      <w:r w:rsidRPr="001B69EF">
        <w:rPr>
          <w:rFonts w:ascii="Palatino Linotype" w:hAnsi="Palatino Linotype"/>
          <w:i/>
        </w:rPr>
        <w:t>VIII. La Coordinación Municipal de Protección Civil o equivalente.</w:t>
      </w:r>
    </w:p>
    <w:p w14:paraId="30775646" w14:textId="77777777" w:rsidR="002B5FDA" w:rsidRPr="001B69EF" w:rsidRDefault="002B5FDA" w:rsidP="002B5FDA">
      <w:pPr>
        <w:ind w:left="567" w:right="567"/>
        <w:jc w:val="both"/>
        <w:rPr>
          <w:rFonts w:ascii="Palatino Linotype" w:hAnsi="Palatino Linotype"/>
          <w:i/>
        </w:rPr>
      </w:pPr>
      <w:r w:rsidRPr="001B69EF">
        <w:rPr>
          <w:rFonts w:ascii="Palatino Linotype" w:hAnsi="Palatino Linotype"/>
          <w:i/>
        </w:rPr>
        <w:t>IX. La Dirección de las Mujeres o equivalente.”</w:t>
      </w:r>
    </w:p>
    <w:p w14:paraId="6D3592B8" w14:textId="77777777" w:rsidR="002B5FDA" w:rsidRPr="001B69EF" w:rsidRDefault="002B5FDA" w:rsidP="002B5FDA">
      <w:pPr>
        <w:ind w:left="567" w:right="567"/>
        <w:jc w:val="both"/>
        <w:rPr>
          <w:rFonts w:ascii="Palatino Linotype" w:eastAsia="Calibri" w:hAnsi="Palatino Linotype" w:cs="Arial"/>
          <w:i/>
          <w:lang w:val="es-ES_tradnl"/>
        </w:rPr>
      </w:pPr>
      <w:r w:rsidRPr="001B69EF">
        <w:rPr>
          <w:rFonts w:ascii="Palatino Linotype" w:eastAsia="Calibri" w:hAnsi="Palatino Linotype" w:cs="Arial"/>
          <w:b/>
          <w:i/>
          <w:lang w:val="es-ES_tradnl"/>
        </w:rPr>
        <w:t>Artículo 93</w:t>
      </w:r>
      <w:r w:rsidRPr="001B69EF">
        <w:rPr>
          <w:rFonts w:ascii="Palatino Linotype" w:eastAsia="Calibri" w:hAnsi="Palatino Linotype" w:cs="Arial"/>
          <w:i/>
          <w:lang w:val="es-ES_tradnl"/>
        </w:rPr>
        <w:t xml:space="preserve">.- </w:t>
      </w:r>
      <w:r w:rsidRPr="001B69EF">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1B69EF">
        <w:rPr>
          <w:rFonts w:ascii="Palatino Linotype" w:eastAsia="Calibri" w:hAnsi="Palatino Linotype" w:cs="Arial"/>
          <w:i/>
          <w:lang w:val="es-ES_tradnl"/>
        </w:rPr>
        <w:t>.</w:t>
      </w:r>
    </w:p>
    <w:p w14:paraId="3B4A8E23" w14:textId="77777777" w:rsidR="002B5FDA" w:rsidRPr="001B69EF" w:rsidRDefault="002B5FDA" w:rsidP="002B5FDA">
      <w:pPr>
        <w:ind w:left="567" w:right="567"/>
        <w:jc w:val="both"/>
        <w:rPr>
          <w:rFonts w:ascii="Palatino Linotype" w:eastAsia="Calibri" w:hAnsi="Palatino Linotype" w:cs="Arial"/>
          <w:i/>
          <w:lang w:val="es-ES_tradnl"/>
        </w:rPr>
      </w:pPr>
      <w:r w:rsidRPr="001B69EF">
        <w:rPr>
          <w:rFonts w:ascii="Palatino Linotype" w:eastAsia="Calibri" w:hAnsi="Palatino Linotype" w:cs="Arial"/>
          <w:b/>
          <w:bCs/>
          <w:i/>
          <w:lang w:val="es-ES_tradnl"/>
        </w:rPr>
        <w:t>Artículo 94.-</w:t>
      </w:r>
      <w:r w:rsidRPr="001B69EF">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363BA0C5" w14:textId="77777777" w:rsidR="002B5FDA" w:rsidRPr="001B69EF" w:rsidRDefault="002B5FDA" w:rsidP="002B5FDA">
      <w:pPr>
        <w:ind w:left="567" w:right="567"/>
        <w:jc w:val="both"/>
        <w:rPr>
          <w:rFonts w:ascii="Palatino Linotype" w:hAnsi="Palatino Linotype"/>
          <w:i/>
        </w:rPr>
      </w:pPr>
      <w:r w:rsidRPr="001B69EF">
        <w:rPr>
          <w:rFonts w:ascii="Palatino Linotype" w:hAnsi="Palatino Linotype"/>
          <w:i/>
        </w:rPr>
        <w:t>“</w:t>
      </w:r>
      <w:r w:rsidRPr="001B69EF">
        <w:rPr>
          <w:rFonts w:ascii="Palatino Linotype" w:hAnsi="Palatino Linotype"/>
          <w:b/>
          <w:i/>
        </w:rPr>
        <w:t>Artículo 95.-</w:t>
      </w:r>
      <w:r w:rsidRPr="001B69EF">
        <w:rPr>
          <w:rFonts w:ascii="Palatino Linotype" w:hAnsi="Palatino Linotype"/>
          <w:i/>
        </w:rPr>
        <w:t xml:space="preserve"> Son atribuciones del </w:t>
      </w:r>
      <w:r w:rsidRPr="001B69EF">
        <w:rPr>
          <w:rFonts w:ascii="Palatino Linotype" w:hAnsi="Palatino Linotype"/>
          <w:b/>
          <w:i/>
          <w:u w:val="single"/>
        </w:rPr>
        <w:t>tesorero municipal</w:t>
      </w:r>
      <w:r w:rsidRPr="001B69EF">
        <w:rPr>
          <w:rFonts w:ascii="Palatino Linotype" w:hAnsi="Palatino Linotype"/>
          <w:i/>
        </w:rPr>
        <w:t xml:space="preserve">: </w:t>
      </w:r>
    </w:p>
    <w:p w14:paraId="2893670E" w14:textId="77777777" w:rsidR="002B5FDA" w:rsidRPr="001B69EF" w:rsidRDefault="002B5FDA" w:rsidP="002B5FDA">
      <w:pPr>
        <w:ind w:left="567" w:right="567"/>
        <w:jc w:val="both"/>
        <w:rPr>
          <w:rFonts w:ascii="Palatino Linotype" w:hAnsi="Palatino Linotype"/>
          <w:i/>
        </w:rPr>
      </w:pPr>
      <w:r w:rsidRPr="001B69EF">
        <w:rPr>
          <w:rFonts w:ascii="Palatino Linotype" w:hAnsi="Palatino Linotype"/>
          <w:i/>
        </w:rPr>
        <w:t>I. Administrar la hacienda pública municipal, de conformidad con las disposiciones legales aplicables;</w:t>
      </w:r>
    </w:p>
    <w:p w14:paraId="39E5547C" w14:textId="77777777" w:rsidR="002B5FDA" w:rsidRPr="001B69EF" w:rsidRDefault="002B5FDA" w:rsidP="002B5FDA">
      <w:pPr>
        <w:ind w:left="567" w:right="567"/>
        <w:jc w:val="both"/>
        <w:rPr>
          <w:rFonts w:ascii="Palatino Linotype" w:hAnsi="Palatino Linotype"/>
          <w:i/>
        </w:rPr>
      </w:pPr>
      <w:r w:rsidRPr="001B69EF">
        <w:rPr>
          <w:rFonts w:ascii="Palatino Linotype" w:hAnsi="Palatino Linotype"/>
          <w:i/>
        </w:rPr>
        <w:t>(…)</w:t>
      </w:r>
    </w:p>
    <w:p w14:paraId="2DE6EF11" w14:textId="77777777" w:rsidR="002B5FDA" w:rsidRPr="001B69EF" w:rsidRDefault="002B5FDA" w:rsidP="002B5FDA">
      <w:pPr>
        <w:ind w:left="567" w:right="567"/>
        <w:jc w:val="both"/>
        <w:rPr>
          <w:rFonts w:ascii="Palatino Linotype" w:hAnsi="Palatino Linotype"/>
          <w:i/>
          <w:u w:val="single"/>
        </w:rPr>
      </w:pPr>
      <w:r w:rsidRPr="001B69EF">
        <w:rPr>
          <w:rFonts w:ascii="Palatino Linotype" w:hAnsi="Palatino Linotype"/>
          <w:i/>
        </w:rPr>
        <w:t>IV</w:t>
      </w:r>
      <w:r w:rsidRPr="001B69EF">
        <w:rPr>
          <w:rFonts w:ascii="Palatino Linotype" w:hAnsi="Palatino Linotype"/>
          <w:b/>
          <w:i/>
          <w:u w:val="single"/>
        </w:rPr>
        <w:t>. Llevar los registros contables, financieros y administrativos de los ingresos, egresos, e inventarios;</w:t>
      </w:r>
    </w:p>
    <w:p w14:paraId="0F6E26BC" w14:textId="77777777" w:rsidR="002B5FDA" w:rsidRPr="001B69EF" w:rsidRDefault="002B5FDA" w:rsidP="002B5FDA">
      <w:pPr>
        <w:ind w:left="567" w:right="567"/>
        <w:jc w:val="both"/>
        <w:rPr>
          <w:rFonts w:ascii="Palatino Linotype" w:hAnsi="Palatino Linotype"/>
          <w:i/>
        </w:rPr>
      </w:pPr>
      <w:r w:rsidRPr="001B69EF">
        <w:rPr>
          <w:rFonts w:ascii="Palatino Linotype" w:hAnsi="Palatino Linotype"/>
          <w:i/>
        </w:rPr>
        <w:lastRenderedPageBreak/>
        <w:t>V. Proporcionar oportunamente al ayuntamiento todos los datos o informes que sean necesarios para la formulación del Presupuesto de Egresos Municipales, vigilando que se ajuste a las disposiciones de esta Ley y otros ordenamientos aplicables;</w:t>
      </w:r>
    </w:p>
    <w:p w14:paraId="0FD0BFAF" w14:textId="77777777" w:rsidR="002B5FDA" w:rsidRPr="001B69EF" w:rsidRDefault="002B5FDA" w:rsidP="002B5FDA">
      <w:pPr>
        <w:ind w:left="567" w:right="567"/>
        <w:jc w:val="both"/>
        <w:rPr>
          <w:rFonts w:ascii="Palatino Linotype" w:hAnsi="Palatino Linotype"/>
          <w:i/>
        </w:rPr>
      </w:pPr>
      <w:r w:rsidRPr="001B69EF">
        <w:rPr>
          <w:rFonts w:ascii="Palatino Linotype" w:hAnsi="Palatino Linotype"/>
          <w:i/>
        </w:rPr>
        <w:t>(…)</w:t>
      </w:r>
    </w:p>
    <w:p w14:paraId="565657B1" w14:textId="77777777" w:rsidR="002B5FDA" w:rsidRPr="001B69EF" w:rsidRDefault="002B5FDA" w:rsidP="002B5FDA">
      <w:pPr>
        <w:ind w:left="567" w:right="567"/>
        <w:jc w:val="both"/>
        <w:rPr>
          <w:rFonts w:ascii="Palatino Linotype" w:hAnsi="Palatino Linotype"/>
          <w:i/>
        </w:rPr>
      </w:pPr>
      <w:r w:rsidRPr="001B69EF">
        <w:rPr>
          <w:rFonts w:ascii="Palatino Linotype" w:hAnsi="Palatino Linotype"/>
          <w:i/>
        </w:rPr>
        <w:t xml:space="preserve">XVI. Glosar oportunamente las cuentas del ayuntamiento; </w:t>
      </w:r>
    </w:p>
    <w:p w14:paraId="496F0734" w14:textId="77777777" w:rsidR="002B5FDA" w:rsidRPr="001B69EF" w:rsidRDefault="002B5FDA" w:rsidP="002B5FDA">
      <w:pPr>
        <w:ind w:left="567" w:right="567"/>
        <w:jc w:val="both"/>
        <w:rPr>
          <w:rFonts w:ascii="Palatino Linotype" w:hAnsi="Palatino Linotype"/>
          <w:i/>
        </w:rPr>
      </w:pPr>
      <w:r w:rsidRPr="001B69EF">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437430EE" w14:textId="77777777" w:rsidR="002B5FDA" w:rsidRPr="001B69EF" w:rsidRDefault="002B5FDA" w:rsidP="002B5FDA">
      <w:pPr>
        <w:ind w:left="567" w:right="567"/>
        <w:jc w:val="both"/>
        <w:rPr>
          <w:rFonts w:ascii="Palatino Linotype" w:hAnsi="Palatino Linotype"/>
          <w:i/>
        </w:rPr>
      </w:pPr>
      <w:r w:rsidRPr="001B69EF">
        <w:rPr>
          <w:rFonts w:ascii="Palatino Linotype" w:hAnsi="Palatino Linotype"/>
          <w:i/>
        </w:rPr>
        <w:t>(…)” (Sic)</w:t>
      </w:r>
    </w:p>
    <w:p w14:paraId="5B85E889" w14:textId="77777777" w:rsidR="002B5FDA" w:rsidRPr="001B69EF" w:rsidRDefault="002B5FDA" w:rsidP="002B5FD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B36B3F3" w14:textId="77777777" w:rsidR="002B5FDA" w:rsidRPr="001B69EF" w:rsidRDefault="002B5FDA" w:rsidP="002B5FDA">
      <w:pPr>
        <w:pStyle w:val="Prrafodelista"/>
        <w:spacing w:line="360" w:lineRule="auto"/>
        <w:ind w:left="0" w:right="49"/>
        <w:contextualSpacing/>
        <w:jc w:val="both"/>
        <w:rPr>
          <w:rFonts w:ascii="Palatino Linotype" w:hAnsi="Palatino Linotype" w:cs="Arial"/>
        </w:rPr>
      </w:pPr>
      <w:r w:rsidRPr="001B69EF">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1B69EF">
        <w:rPr>
          <w:rFonts w:ascii="Palatino Linotype" w:hAnsi="Palatino Linotype" w:cs="Arial"/>
          <w:b/>
        </w:rPr>
        <w:t>siendo atribución del Tesorero Municipal la de llevar los registros contables, financieros y administrativos de los ingresos, egresos e inventarios</w:t>
      </w:r>
      <w:r w:rsidRPr="001B69EF">
        <w:rPr>
          <w:rFonts w:ascii="Palatino Linotype" w:hAnsi="Palatino Linotype" w:cs="Arial"/>
        </w:rPr>
        <w:t>.</w:t>
      </w:r>
    </w:p>
    <w:p w14:paraId="3CA2457F" w14:textId="77777777" w:rsidR="002B5FDA" w:rsidRPr="001B69EF" w:rsidRDefault="002B5FDA" w:rsidP="0085737D">
      <w:pPr>
        <w:pStyle w:val="Citas"/>
        <w:tabs>
          <w:tab w:val="left" w:pos="7470"/>
        </w:tabs>
        <w:ind w:left="0" w:right="72"/>
        <w:rPr>
          <w:rFonts w:eastAsia="Calibri"/>
          <w:i w:val="0"/>
          <w:sz w:val="24"/>
        </w:rPr>
      </w:pPr>
    </w:p>
    <w:p w14:paraId="3850F945" w14:textId="77777777" w:rsidR="0085737D" w:rsidRPr="001B69EF" w:rsidRDefault="0085737D" w:rsidP="0085737D">
      <w:pPr>
        <w:pStyle w:val="Citas"/>
        <w:tabs>
          <w:tab w:val="left" w:pos="7470"/>
        </w:tabs>
        <w:ind w:left="0" w:right="72"/>
        <w:rPr>
          <w:bCs/>
          <w:i w:val="0"/>
          <w:sz w:val="24"/>
          <w:szCs w:val="24"/>
        </w:rPr>
      </w:pPr>
      <w:r w:rsidRPr="001B69EF">
        <w:rPr>
          <w:rFonts w:eastAsia="Calibri"/>
          <w:i w:val="0"/>
          <w:sz w:val="24"/>
        </w:rPr>
        <w:t xml:space="preserve">Por lo anterior, debe </w:t>
      </w:r>
      <w:r w:rsidRPr="001B69EF">
        <w:rPr>
          <w:bCs/>
          <w:i w:val="0"/>
          <w:sz w:val="24"/>
          <w:szCs w:val="24"/>
        </w:rPr>
        <w:t>arribarse a las siguientes consideraciones:</w:t>
      </w:r>
    </w:p>
    <w:p w14:paraId="1577A7A2" w14:textId="77777777" w:rsidR="0085737D" w:rsidRPr="001B69EF" w:rsidRDefault="0085737D" w:rsidP="0085737D">
      <w:pPr>
        <w:pStyle w:val="Sinespaciado"/>
        <w:numPr>
          <w:ilvl w:val="0"/>
          <w:numId w:val="15"/>
        </w:numPr>
        <w:spacing w:line="360" w:lineRule="auto"/>
        <w:jc w:val="both"/>
        <w:rPr>
          <w:rFonts w:ascii="Palatino Linotype" w:hAnsi="Palatino Linotype"/>
        </w:rPr>
      </w:pPr>
      <w:r w:rsidRPr="001B69EF">
        <w:rPr>
          <w:rFonts w:ascii="Palatino Linotype" w:hAnsi="Palatino Linotype"/>
        </w:rPr>
        <w:t xml:space="preserve">El derecho de acceso a la información versa esencialmente en acceder a información registrada en cualquier soporte documental que en ejercicio de las atribuciones conferidas sea generada, poseída o administrada por los </w:t>
      </w:r>
      <w:r w:rsidRPr="001B69EF">
        <w:rPr>
          <w:rFonts w:ascii="Palatino Linotype" w:hAnsi="Palatino Linotype"/>
          <w:b/>
          <w:bCs/>
        </w:rPr>
        <w:t xml:space="preserve">Sujetos Obligados. </w:t>
      </w:r>
    </w:p>
    <w:p w14:paraId="2A66A3FB" w14:textId="77777777" w:rsidR="0085737D" w:rsidRPr="001B69EF" w:rsidRDefault="0085737D" w:rsidP="0085737D">
      <w:pPr>
        <w:pStyle w:val="Sinespaciado"/>
        <w:numPr>
          <w:ilvl w:val="0"/>
          <w:numId w:val="15"/>
        </w:numPr>
        <w:spacing w:line="360" w:lineRule="auto"/>
        <w:jc w:val="both"/>
        <w:rPr>
          <w:rFonts w:ascii="Palatino Linotype" w:hAnsi="Palatino Linotype"/>
        </w:rPr>
      </w:pPr>
      <w:r w:rsidRPr="001B69EF">
        <w:rPr>
          <w:rFonts w:ascii="Palatino Linotype" w:hAnsi="Palatino Linotype"/>
        </w:rPr>
        <w:t xml:space="preserve">En términos del numeral 162 de la Ley de Transparencia local, las unidades de transparencia deberán de garantizar que las solicitudes de información </w:t>
      </w:r>
      <w:r w:rsidRPr="001B69EF">
        <w:rPr>
          <w:rFonts w:ascii="Palatino Linotype" w:hAnsi="Palatino Linotype"/>
        </w:rPr>
        <w:lastRenderedPageBreak/>
        <w:t xml:space="preserve">formuladas por la ciudadanía sean turnadas a todas las áreas administrativas en razón de las facultades, competencias y funciones reservadas, porción normativa inobservada por </w:t>
      </w:r>
      <w:r w:rsidRPr="001B69EF">
        <w:rPr>
          <w:rFonts w:ascii="Palatino Linotype" w:hAnsi="Palatino Linotype"/>
          <w:b/>
          <w:bCs/>
        </w:rPr>
        <w:t xml:space="preserve">El Sujeto Obligado. </w:t>
      </w:r>
    </w:p>
    <w:p w14:paraId="3EAD9B84" w14:textId="77777777" w:rsidR="0085737D" w:rsidRPr="001B69EF" w:rsidRDefault="0085737D" w:rsidP="0085737D">
      <w:pPr>
        <w:pStyle w:val="Prrafodelista"/>
        <w:numPr>
          <w:ilvl w:val="0"/>
          <w:numId w:val="15"/>
        </w:numPr>
        <w:spacing w:line="360" w:lineRule="auto"/>
        <w:jc w:val="both"/>
        <w:rPr>
          <w:rFonts w:ascii="Palatino Linotype" w:hAnsi="Palatino Linotype" w:cs="Arial"/>
        </w:rPr>
      </w:pPr>
      <w:r w:rsidRPr="001B69EF">
        <w:rPr>
          <w:rFonts w:ascii="Palatino Linotype" w:hAnsi="Palatino Linotype" w:cs="Arial"/>
        </w:rPr>
        <w:t xml:space="preserve">Resulta evidente para esta Ponencia que la Unidad de Transparencia del </w:t>
      </w:r>
      <w:r w:rsidRPr="001B69EF">
        <w:rPr>
          <w:rFonts w:ascii="Palatino Linotype" w:hAnsi="Palatino Linotype" w:cs="Arial"/>
          <w:b/>
        </w:rPr>
        <w:t>Sujeto Obligado</w:t>
      </w:r>
      <w:r w:rsidRPr="001B69EF">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1B69EF">
        <w:rPr>
          <w:rFonts w:ascii="Palatino Linotype" w:hAnsi="Palatino Linotype" w:cs="Arial"/>
          <w:b/>
        </w:rPr>
        <w:t>Recurrente</w:t>
      </w:r>
      <w:r w:rsidRPr="001B69EF">
        <w:rPr>
          <w:rFonts w:ascii="Palatino Linotype" w:hAnsi="Palatino Linotype" w:cs="Arial"/>
        </w:rPr>
        <w:t>.</w:t>
      </w:r>
    </w:p>
    <w:p w14:paraId="2533EDCC" w14:textId="77777777" w:rsidR="0085737D" w:rsidRPr="001B69EF" w:rsidRDefault="0085737D" w:rsidP="00855E64">
      <w:pPr>
        <w:pStyle w:val="Prrafodelista"/>
        <w:numPr>
          <w:ilvl w:val="0"/>
          <w:numId w:val="15"/>
        </w:numPr>
        <w:spacing w:line="360" w:lineRule="auto"/>
        <w:jc w:val="both"/>
        <w:rPr>
          <w:rFonts w:ascii="Palatino Linotype" w:eastAsia="Calibri" w:hAnsi="Palatino Linotype" w:cs="Arial"/>
          <w:b/>
        </w:rPr>
      </w:pPr>
      <w:r w:rsidRPr="001B69EF">
        <w:rPr>
          <w:rFonts w:ascii="Palatino Linotype" w:hAnsi="Palatino Linotype"/>
        </w:rPr>
        <w:t xml:space="preserve">Que, de una interpretación sistemática al Organigrama del Ayuntamiento de </w:t>
      </w:r>
      <w:r w:rsidR="00855E64" w:rsidRPr="001B69EF">
        <w:rPr>
          <w:rFonts w:ascii="Palatino Linotype" w:hAnsi="Palatino Linotype"/>
        </w:rPr>
        <w:t>Naucalpan de Juárez</w:t>
      </w:r>
      <w:r w:rsidRPr="001B69EF">
        <w:rPr>
          <w:rFonts w:ascii="Palatino Linotype" w:hAnsi="Palatino Linotype"/>
        </w:rPr>
        <w:t xml:space="preserve">, se advierte que la Dirección de </w:t>
      </w:r>
      <w:r w:rsidR="00855E64" w:rsidRPr="001B69EF">
        <w:rPr>
          <w:rFonts w:ascii="Palatino Linotype" w:hAnsi="Palatino Linotype"/>
        </w:rPr>
        <w:t xml:space="preserve">General de </w:t>
      </w:r>
      <w:r w:rsidRPr="001B69EF">
        <w:rPr>
          <w:rFonts w:ascii="Palatino Linotype" w:hAnsi="Palatino Linotype"/>
        </w:rPr>
        <w:t>Administración</w:t>
      </w:r>
      <w:r w:rsidR="00855E64" w:rsidRPr="001B69EF">
        <w:rPr>
          <w:rFonts w:ascii="Palatino Linotype" w:hAnsi="Palatino Linotype"/>
        </w:rPr>
        <w:t xml:space="preserve">, </w:t>
      </w:r>
      <w:r w:rsidR="002B5FDA" w:rsidRPr="001B69EF">
        <w:rPr>
          <w:rFonts w:ascii="Palatino Linotype" w:hAnsi="Palatino Linotype"/>
        </w:rPr>
        <w:t xml:space="preserve">la </w:t>
      </w:r>
      <w:r w:rsidR="00855E64" w:rsidRPr="001B69EF">
        <w:rPr>
          <w:rFonts w:ascii="Palatino Linotype" w:hAnsi="Palatino Linotype"/>
        </w:rPr>
        <w:t xml:space="preserve">Dirección General de Servicios Públicos y la Tesorería Municipal </w:t>
      </w:r>
      <w:r w:rsidRPr="001B69EF">
        <w:rPr>
          <w:rFonts w:ascii="Palatino Linotype" w:hAnsi="Palatino Linotype"/>
        </w:rPr>
        <w:t>resulta</w:t>
      </w:r>
      <w:r w:rsidR="00855E64" w:rsidRPr="001B69EF">
        <w:rPr>
          <w:rFonts w:ascii="Palatino Linotype" w:hAnsi="Palatino Linotype"/>
        </w:rPr>
        <w:t>n</w:t>
      </w:r>
      <w:r w:rsidRPr="001B69EF">
        <w:rPr>
          <w:rFonts w:ascii="Palatino Linotype" w:hAnsi="Palatino Linotype"/>
        </w:rPr>
        <w:t xml:space="preserve"> competente</w:t>
      </w:r>
      <w:r w:rsidR="00855E64" w:rsidRPr="001B69EF">
        <w:rPr>
          <w:rFonts w:ascii="Palatino Linotype" w:hAnsi="Palatino Linotype"/>
        </w:rPr>
        <w:t>s</w:t>
      </w:r>
      <w:r w:rsidRPr="001B69EF">
        <w:rPr>
          <w:rFonts w:ascii="Palatino Linotype" w:hAnsi="Palatino Linotype"/>
        </w:rPr>
        <w:t xml:space="preserve"> para conocer y atender la solicitud de información número </w:t>
      </w:r>
      <w:r w:rsidR="00855E64" w:rsidRPr="001B69EF">
        <w:rPr>
          <w:rFonts w:ascii="Palatino Linotype" w:hAnsi="Palatino Linotype"/>
          <w:b/>
        </w:rPr>
        <w:t>00910/NAUCALPA/IP/2022</w:t>
      </w:r>
      <w:r w:rsidRPr="001B69EF">
        <w:rPr>
          <w:rFonts w:ascii="Palatino Linotype" w:hAnsi="Palatino Linotype"/>
          <w:b/>
        </w:rPr>
        <w:t>.</w:t>
      </w:r>
    </w:p>
    <w:p w14:paraId="54367297" w14:textId="77777777" w:rsidR="0085737D" w:rsidRPr="001B69EF" w:rsidRDefault="0085737D" w:rsidP="0085737D">
      <w:pPr>
        <w:spacing w:before="240" w:line="360" w:lineRule="auto"/>
        <w:jc w:val="both"/>
        <w:rPr>
          <w:rFonts w:ascii="Palatino Linotype" w:hAnsi="Palatino Linotype"/>
          <w:sz w:val="24"/>
          <w:szCs w:val="24"/>
        </w:rPr>
      </w:pPr>
      <w:r w:rsidRPr="001B69EF">
        <w:rPr>
          <w:rFonts w:ascii="Palatino Linotype" w:hAnsi="Palatino Linotype"/>
          <w:sz w:val="24"/>
          <w:szCs w:val="24"/>
        </w:rPr>
        <w:t>Con base en lo anteriormente expuesto, resulta procedente ordenar una búsqueda exhaustiva y razonable, a efecto de hacer entrega, en versión pública de ser procedente de la siguiente información:</w:t>
      </w:r>
    </w:p>
    <w:p w14:paraId="47D6EFA2" w14:textId="77777777" w:rsidR="0085737D" w:rsidRPr="001B69EF" w:rsidRDefault="000A1F2E" w:rsidP="0085737D">
      <w:pPr>
        <w:pStyle w:val="Prrafodelista"/>
        <w:numPr>
          <w:ilvl w:val="0"/>
          <w:numId w:val="32"/>
        </w:numPr>
        <w:spacing w:before="240" w:line="360" w:lineRule="auto"/>
        <w:ind w:left="851"/>
        <w:jc w:val="both"/>
        <w:rPr>
          <w:rFonts w:ascii="Palatino Linotype" w:hAnsi="Palatino Linotype"/>
        </w:rPr>
      </w:pPr>
      <w:r w:rsidRPr="001B69EF">
        <w:rPr>
          <w:rFonts w:ascii="Palatino Linotype" w:hAnsi="Palatino Linotype"/>
        </w:rPr>
        <w:t xml:space="preserve">“Vales por un Viaje de Mezcla Asfáltica”, del primero de enero de dos mil diecinueve a la fecha de la solicitud. </w:t>
      </w:r>
    </w:p>
    <w:p w14:paraId="1BB3FF75" w14:textId="77777777" w:rsidR="000A1F2E" w:rsidRPr="001B69EF" w:rsidRDefault="000A1F2E" w:rsidP="0085737D">
      <w:pPr>
        <w:pStyle w:val="Prrafodelista"/>
        <w:numPr>
          <w:ilvl w:val="0"/>
          <w:numId w:val="32"/>
        </w:numPr>
        <w:spacing w:before="240" w:line="360" w:lineRule="auto"/>
        <w:ind w:left="851"/>
        <w:jc w:val="both"/>
        <w:rPr>
          <w:rFonts w:ascii="Palatino Linotype" w:hAnsi="Palatino Linotype"/>
        </w:rPr>
      </w:pPr>
      <w:r w:rsidRPr="001B69EF">
        <w:rPr>
          <w:rFonts w:ascii="Palatino Linotype" w:hAnsi="Palatino Linotype"/>
        </w:rPr>
        <w:t>De los Vales referidos en el punto anterior: los expedientes de Licitación, Invitación Restringida y/o Adjudicación Directa para el suministro de mezcla asfáltica, del primero de enero de dos mil diecinueve a la fecha de la solicitud.</w:t>
      </w:r>
    </w:p>
    <w:p w14:paraId="635BEAAB" w14:textId="77777777" w:rsidR="002F600B" w:rsidRPr="001B69EF" w:rsidRDefault="002F600B" w:rsidP="002F600B">
      <w:pPr>
        <w:pStyle w:val="Prrafodelista"/>
        <w:numPr>
          <w:ilvl w:val="0"/>
          <w:numId w:val="32"/>
        </w:numPr>
        <w:spacing w:before="240" w:line="360" w:lineRule="auto"/>
        <w:ind w:left="851"/>
        <w:jc w:val="both"/>
        <w:rPr>
          <w:rFonts w:ascii="Palatino Linotype" w:hAnsi="Palatino Linotype"/>
        </w:rPr>
      </w:pPr>
      <w:r w:rsidRPr="001B69EF">
        <w:rPr>
          <w:rFonts w:ascii="Palatino Linotype" w:hAnsi="Palatino Linotype"/>
        </w:rPr>
        <w:lastRenderedPageBreak/>
        <w:t>Listado de proveedores a los que se les adeuda por concepto de mezcla asfáltica, del primero de enero de dos mil diecinueve al trece de octubre de dos mil veintidós.</w:t>
      </w:r>
    </w:p>
    <w:p w14:paraId="584680AE" w14:textId="77777777" w:rsidR="0085737D" w:rsidRPr="001B69EF" w:rsidRDefault="0085737D" w:rsidP="0085737D">
      <w:pPr>
        <w:tabs>
          <w:tab w:val="left" w:pos="2130"/>
        </w:tabs>
        <w:spacing w:after="0" w:line="360" w:lineRule="auto"/>
        <w:jc w:val="both"/>
        <w:rPr>
          <w:rFonts w:ascii="Palatino Linotype" w:hAnsi="Palatino Linotype" w:cs="Arial"/>
          <w:iCs/>
          <w:sz w:val="24"/>
          <w:szCs w:val="24"/>
        </w:rPr>
      </w:pPr>
    </w:p>
    <w:p w14:paraId="23C375E5" w14:textId="77777777" w:rsidR="0085737D" w:rsidRPr="001B69EF" w:rsidRDefault="0085737D" w:rsidP="0085737D">
      <w:pPr>
        <w:tabs>
          <w:tab w:val="left" w:pos="2130"/>
        </w:tabs>
        <w:spacing w:after="0" w:line="360" w:lineRule="auto"/>
        <w:jc w:val="both"/>
        <w:rPr>
          <w:rFonts w:ascii="Palatino Linotype" w:eastAsia="Calibri" w:hAnsi="Palatino Linotype" w:cs="Tahoma"/>
          <w:bCs/>
          <w:sz w:val="24"/>
          <w:szCs w:val="24"/>
          <w:lang w:val="es-ES" w:eastAsia="es-ES"/>
        </w:rPr>
      </w:pPr>
      <w:r w:rsidRPr="001B69EF">
        <w:rPr>
          <w:rFonts w:ascii="Palatino Linotype" w:eastAsia="Calibri" w:hAnsi="Palatino Linotype" w:cs="Tahoma"/>
          <w:bCs/>
          <w:sz w:val="24"/>
          <w:szCs w:val="24"/>
          <w:lang w:val="es-ES" w:eastAsia="es-ES"/>
        </w:rPr>
        <w:t>Finalmente, la información requerida</w:t>
      </w:r>
      <w:r w:rsidRPr="001B69EF">
        <w:rPr>
          <w:rFonts w:ascii="Palatino Linotype" w:eastAsia="Calibri" w:hAnsi="Palatino Linotype" w:cs="Tahoma"/>
          <w:b/>
          <w:bCs/>
          <w:sz w:val="24"/>
          <w:szCs w:val="24"/>
          <w:lang w:val="es-ES" w:eastAsia="es-ES"/>
        </w:rPr>
        <w:t xml:space="preserve">, </w:t>
      </w:r>
      <w:r w:rsidRPr="001B69EF">
        <w:rPr>
          <w:rFonts w:ascii="Palatino Linotype" w:eastAsia="Calibri" w:hAnsi="Palatino Linotype" w:cs="Tahoma"/>
          <w:bCs/>
          <w:sz w:val="24"/>
          <w:szCs w:val="24"/>
          <w:lang w:val="es-ES" w:eastAsia="es-E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w:t>
      </w:r>
      <w:r w:rsidR="002F600B" w:rsidRPr="001B69EF">
        <w:rPr>
          <w:rFonts w:ascii="Palatino Linotype" w:eastAsia="Calibri" w:hAnsi="Palatino Linotype" w:cs="Tahoma"/>
          <w:bCs/>
          <w:sz w:val="24"/>
          <w:szCs w:val="24"/>
          <w:lang w:val="es-ES" w:eastAsia="es-ES"/>
        </w:rPr>
        <w:t>7</w:t>
      </w:r>
    </w:p>
    <w:p w14:paraId="1C8E8E23" w14:textId="77777777" w:rsidR="002F600B" w:rsidRPr="001B69EF" w:rsidRDefault="002F600B" w:rsidP="0085737D">
      <w:pPr>
        <w:tabs>
          <w:tab w:val="left" w:pos="2130"/>
        </w:tabs>
        <w:spacing w:after="0" w:line="360" w:lineRule="auto"/>
        <w:jc w:val="both"/>
        <w:rPr>
          <w:rFonts w:ascii="Palatino Linotype" w:eastAsia="Calibri" w:hAnsi="Palatino Linotype" w:cs="Tahoma"/>
          <w:bCs/>
          <w:sz w:val="24"/>
          <w:szCs w:val="24"/>
          <w:lang w:val="es-ES" w:eastAsia="es-ES"/>
        </w:rPr>
      </w:pPr>
    </w:p>
    <w:p w14:paraId="23EF942E" w14:textId="77777777" w:rsidR="002F600B" w:rsidRPr="001B69EF" w:rsidRDefault="002F600B" w:rsidP="002F600B">
      <w:pPr>
        <w:spacing w:line="360" w:lineRule="auto"/>
        <w:jc w:val="both"/>
        <w:rPr>
          <w:rFonts w:ascii="Palatino Linotype" w:hAnsi="Palatino Linotype"/>
          <w:sz w:val="24"/>
        </w:rPr>
      </w:pPr>
      <w:r w:rsidRPr="001B69EF">
        <w:rPr>
          <w:rFonts w:ascii="Palatino Linotype" w:hAnsi="Palatino Linotype"/>
          <w:sz w:val="24"/>
        </w:rPr>
        <w:t>En el punto 3 y para el supuesto de que no cuente con la información, el área competente deberá hacer del conocimiento al Recurrente de manera clara y precisa.</w:t>
      </w:r>
    </w:p>
    <w:p w14:paraId="39147CC8" w14:textId="77777777" w:rsidR="002F600B" w:rsidRPr="001B69EF" w:rsidRDefault="002F600B" w:rsidP="0085737D">
      <w:pPr>
        <w:tabs>
          <w:tab w:val="left" w:pos="2130"/>
        </w:tabs>
        <w:spacing w:after="0" w:line="360" w:lineRule="auto"/>
        <w:jc w:val="both"/>
        <w:rPr>
          <w:rFonts w:ascii="Palatino Linotype" w:eastAsia="Calibri" w:hAnsi="Palatino Linotype" w:cs="Tahoma"/>
          <w:bCs/>
          <w:sz w:val="24"/>
          <w:szCs w:val="24"/>
          <w:lang w:val="es-ES" w:eastAsia="es-ES"/>
        </w:rPr>
      </w:pPr>
    </w:p>
    <w:p w14:paraId="6203D6DA" w14:textId="77777777" w:rsidR="0085737D" w:rsidRPr="001B69EF" w:rsidRDefault="0085737D" w:rsidP="0085737D">
      <w:pPr>
        <w:spacing w:after="0" w:line="360" w:lineRule="auto"/>
        <w:ind w:right="51"/>
        <w:jc w:val="both"/>
        <w:rPr>
          <w:rFonts w:ascii="Palatino Linotype" w:eastAsiaTheme="minorEastAsia" w:hAnsi="Palatino Linotype" w:cs="Arial"/>
          <w:sz w:val="24"/>
          <w:szCs w:val="24"/>
          <w:lang w:val="es-ES_tradnl" w:eastAsia="es-ES"/>
        </w:rPr>
      </w:pPr>
    </w:p>
    <w:p w14:paraId="48564D00" w14:textId="77777777" w:rsidR="0085737D" w:rsidRPr="001B69EF" w:rsidRDefault="006B13D9" w:rsidP="0085737D">
      <w:pPr>
        <w:spacing w:after="0" w:line="360" w:lineRule="auto"/>
        <w:ind w:right="51"/>
        <w:jc w:val="both"/>
        <w:rPr>
          <w:rFonts w:ascii="Palatino Linotype" w:eastAsia="Times New Roman" w:hAnsi="Palatino Linotype" w:cs="Times New Roman"/>
          <w:b/>
          <w:iCs/>
          <w:sz w:val="24"/>
          <w:szCs w:val="24"/>
          <w:lang w:val="es-ES" w:eastAsia="es-ES"/>
        </w:rPr>
      </w:pPr>
      <w:r w:rsidRPr="001B69EF">
        <w:rPr>
          <w:rFonts w:ascii="Palatino Linotype" w:eastAsia="Times New Roman" w:hAnsi="Palatino Linotype" w:cs="Times New Roman"/>
          <w:b/>
          <w:iCs/>
          <w:sz w:val="24"/>
          <w:szCs w:val="24"/>
          <w:lang w:val="es-ES" w:eastAsia="es-ES"/>
        </w:rPr>
        <w:t>Vista a los Ó</w:t>
      </w:r>
      <w:r w:rsidR="0085737D" w:rsidRPr="001B69EF">
        <w:rPr>
          <w:rFonts w:ascii="Palatino Linotype" w:eastAsia="Times New Roman" w:hAnsi="Palatino Linotype" w:cs="Times New Roman"/>
          <w:b/>
          <w:iCs/>
          <w:sz w:val="24"/>
          <w:szCs w:val="24"/>
          <w:lang w:val="es-ES" w:eastAsia="es-ES"/>
        </w:rPr>
        <w:t xml:space="preserve">rganos </w:t>
      </w:r>
      <w:r w:rsidRPr="001B69EF">
        <w:rPr>
          <w:rFonts w:ascii="Palatino Linotype" w:eastAsia="Times New Roman" w:hAnsi="Palatino Linotype" w:cs="Times New Roman"/>
          <w:b/>
          <w:iCs/>
          <w:sz w:val="24"/>
          <w:szCs w:val="24"/>
          <w:lang w:val="es-ES" w:eastAsia="es-ES"/>
        </w:rPr>
        <w:t>I</w:t>
      </w:r>
      <w:r w:rsidR="0085737D" w:rsidRPr="001B69EF">
        <w:rPr>
          <w:rFonts w:ascii="Palatino Linotype" w:eastAsia="Times New Roman" w:hAnsi="Palatino Linotype" w:cs="Times New Roman"/>
          <w:b/>
          <w:iCs/>
          <w:sz w:val="24"/>
          <w:szCs w:val="24"/>
          <w:lang w:val="es-ES" w:eastAsia="es-ES"/>
        </w:rPr>
        <w:t>nterno</w:t>
      </w:r>
      <w:r w:rsidRPr="001B69EF">
        <w:rPr>
          <w:rFonts w:ascii="Palatino Linotype" w:eastAsia="Times New Roman" w:hAnsi="Palatino Linotype" w:cs="Times New Roman"/>
          <w:b/>
          <w:iCs/>
          <w:sz w:val="24"/>
          <w:szCs w:val="24"/>
          <w:lang w:val="es-ES" w:eastAsia="es-ES"/>
        </w:rPr>
        <w:t>s</w:t>
      </w:r>
      <w:r w:rsidR="0085737D" w:rsidRPr="001B69EF">
        <w:rPr>
          <w:rFonts w:ascii="Palatino Linotype" w:eastAsia="Times New Roman" w:hAnsi="Palatino Linotype" w:cs="Times New Roman"/>
          <w:b/>
          <w:iCs/>
          <w:sz w:val="24"/>
          <w:szCs w:val="24"/>
          <w:lang w:val="es-ES" w:eastAsia="es-ES"/>
        </w:rPr>
        <w:t xml:space="preserve"> </w:t>
      </w:r>
      <w:r w:rsidRPr="001B69EF">
        <w:rPr>
          <w:rFonts w:ascii="Palatino Linotype" w:eastAsia="Times New Roman" w:hAnsi="Palatino Linotype" w:cs="Times New Roman"/>
          <w:b/>
          <w:iCs/>
          <w:sz w:val="24"/>
          <w:szCs w:val="24"/>
          <w:lang w:val="es-ES" w:eastAsia="es-ES"/>
        </w:rPr>
        <w:t xml:space="preserve">de Control </w:t>
      </w:r>
      <w:r w:rsidR="0085737D" w:rsidRPr="001B69EF">
        <w:rPr>
          <w:rFonts w:ascii="Palatino Linotype" w:eastAsia="Times New Roman" w:hAnsi="Palatino Linotype" w:cs="Times New Roman"/>
          <w:b/>
          <w:iCs/>
          <w:sz w:val="24"/>
          <w:szCs w:val="24"/>
          <w:lang w:val="es-ES" w:eastAsia="es-ES"/>
        </w:rPr>
        <w:t xml:space="preserve">competentes </w:t>
      </w:r>
    </w:p>
    <w:p w14:paraId="31D4D0BE" w14:textId="77777777" w:rsidR="0085737D" w:rsidRPr="001B69EF" w:rsidRDefault="0085737D" w:rsidP="0085737D">
      <w:pPr>
        <w:spacing w:after="0" w:line="360" w:lineRule="auto"/>
        <w:ind w:right="51"/>
        <w:jc w:val="both"/>
        <w:rPr>
          <w:rFonts w:ascii="Palatino Linotype" w:eastAsia="Times New Roman" w:hAnsi="Palatino Linotype" w:cs="Times New Roman"/>
          <w:b/>
          <w:iCs/>
          <w:sz w:val="24"/>
          <w:szCs w:val="24"/>
          <w:lang w:val="es-ES" w:eastAsia="es-ES"/>
        </w:rPr>
      </w:pPr>
    </w:p>
    <w:p w14:paraId="4C58D766" w14:textId="77777777" w:rsidR="0085737D" w:rsidRPr="001B69EF" w:rsidRDefault="0085737D" w:rsidP="0085737D">
      <w:pPr>
        <w:spacing w:after="0" w:line="360" w:lineRule="auto"/>
        <w:ind w:right="51"/>
        <w:jc w:val="both"/>
        <w:rPr>
          <w:rFonts w:ascii="Palatino Linotype" w:eastAsia="Times New Roman" w:hAnsi="Palatino Linotype" w:cs="Times New Roman"/>
          <w:iCs/>
          <w:sz w:val="24"/>
          <w:szCs w:val="24"/>
          <w:lang w:val="es-ES" w:eastAsia="es-ES"/>
        </w:rPr>
      </w:pPr>
      <w:r w:rsidRPr="001B69EF">
        <w:rPr>
          <w:rFonts w:ascii="Palatino Linotype" w:eastAsia="Times New Roman" w:hAnsi="Palatino Linotype" w:cs="Times New Roman"/>
          <w:iCs/>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w:t>
      </w:r>
      <w:r w:rsidRPr="001B69EF">
        <w:rPr>
          <w:rFonts w:ascii="Palatino Linotype" w:eastAsia="Times New Roman" w:hAnsi="Palatino Linotype" w:cs="Times New Roman"/>
          <w:iCs/>
          <w:sz w:val="24"/>
          <w:szCs w:val="24"/>
          <w:lang w:val="es-ES" w:eastAsia="es-ES"/>
        </w:rPr>
        <w:lastRenderedPageBreak/>
        <w:t xml:space="preserve">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074C3DBF" w14:textId="77777777" w:rsidR="0085737D" w:rsidRPr="001B69EF" w:rsidRDefault="0085737D" w:rsidP="0085737D">
      <w:pPr>
        <w:spacing w:after="0" w:line="360" w:lineRule="auto"/>
        <w:ind w:right="51"/>
        <w:jc w:val="both"/>
        <w:rPr>
          <w:rFonts w:ascii="Palatino Linotype" w:eastAsia="Times New Roman" w:hAnsi="Palatino Linotype" w:cs="Times New Roman"/>
          <w:iCs/>
          <w:sz w:val="24"/>
          <w:szCs w:val="24"/>
          <w:lang w:val="es-ES" w:eastAsia="es-ES"/>
        </w:rPr>
      </w:pPr>
    </w:p>
    <w:p w14:paraId="12E98C20" w14:textId="77777777" w:rsidR="0085737D" w:rsidRPr="001B69EF" w:rsidRDefault="0085737D" w:rsidP="0085737D">
      <w:pPr>
        <w:spacing w:after="0" w:line="360" w:lineRule="auto"/>
        <w:ind w:right="51"/>
        <w:jc w:val="both"/>
        <w:rPr>
          <w:rFonts w:ascii="Palatino Linotype" w:eastAsia="Times New Roman" w:hAnsi="Palatino Linotype" w:cs="Times New Roman"/>
          <w:iCs/>
          <w:sz w:val="24"/>
          <w:szCs w:val="24"/>
          <w:lang w:val="es-ES" w:eastAsia="es-ES"/>
        </w:rPr>
      </w:pPr>
      <w:r w:rsidRPr="001B69EF">
        <w:rPr>
          <w:rFonts w:ascii="Palatino Linotype" w:eastAsia="Times New Roman" w:hAnsi="Palatino Linotype" w:cs="Times New Roman"/>
          <w:iCs/>
          <w:sz w:val="24"/>
          <w:szCs w:val="24"/>
          <w:lang w:val="es-ES" w:eastAsia="es-ES"/>
        </w:rPr>
        <w:t>En efecto, la Secretaría Técnica del P</w:t>
      </w:r>
      <w:r w:rsidR="006B13D9" w:rsidRPr="001B69EF">
        <w:rPr>
          <w:rFonts w:ascii="Palatino Linotype" w:eastAsia="Times New Roman" w:hAnsi="Palatino Linotype" w:cs="Times New Roman"/>
          <w:iCs/>
          <w:sz w:val="24"/>
          <w:szCs w:val="24"/>
          <w:lang w:val="es-ES" w:eastAsia="es-ES"/>
        </w:rPr>
        <w:t>leno hará del conocimiento del Ó</w:t>
      </w:r>
      <w:r w:rsidRPr="001B69EF">
        <w:rPr>
          <w:rFonts w:ascii="Palatino Linotype" w:eastAsia="Times New Roman" w:hAnsi="Palatino Linotype" w:cs="Times New Roman"/>
          <w:iCs/>
          <w:sz w:val="24"/>
          <w:szCs w:val="24"/>
          <w:lang w:val="es-ES" w:eastAsia="es-ES"/>
        </w:rPr>
        <w:t xml:space="preserve">rgano </w:t>
      </w:r>
      <w:r w:rsidR="006B13D9" w:rsidRPr="001B69EF">
        <w:rPr>
          <w:rFonts w:ascii="Palatino Linotype" w:eastAsia="Times New Roman" w:hAnsi="Palatino Linotype" w:cs="Times New Roman"/>
          <w:iCs/>
          <w:sz w:val="24"/>
          <w:szCs w:val="24"/>
          <w:lang w:val="es-ES" w:eastAsia="es-ES"/>
        </w:rPr>
        <w:t>Interno de C</w:t>
      </w:r>
      <w:r w:rsidRPr="001B69EF">
        <w:rPr>
          <w:rFonts w:ascii="Palatino Linotype" w:eastAsia="Times New Roman" w:hAnsi="Palatino Linotype" w:cs="Times New Roman"/>
          <w:iCs/>
          <w:sz w:val="24"/>
          <w:szCs w:val="24"/>
          <w:lang w:val="es-ES" w:eastAsia="es-ES"/>
        </w:rPr>
        <w:t>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24B162E5" w14:textId="77777777" w:rsidR="0085737D" w:rsidRPr="001B69EF" w:rsidRDefault="0085737D" w:rsidP="0085737D">
      <w:pPr>
        <w:spacing w:after="0" w:line="360" w:lineRule="auto"/>
        <w:ind w:right="51"/>
        <w:jc w:val="both"/>
        <w:rPr>
          <w:rFonts w:ascii="Palatino Linotype" w:eastAsia="Times New Roman" w:hAnsi="Palatino Linotype" w:cs="Times New Roman"/>
          <w:iCs/>
          <w:sz w:val="24"/>
          <w:szCs w:val="24"/>
          <w:lang w:val="es-ES" w:eastAsia="es-ES"/>
        </w:rPr>
      </w:pPr>
    </w:p>
    <w:p w14:paraId="442BB8AB" w14:textId="77777777" w:rsidR="0085737D" w:rsidRPr="001B69EF" w:rsidRDefault="0085737D" w:rsidP="0085737D">
      <w:pPr>
        <w:spacing w:after="0" w:line="360" w:lineRule="auto"/>
        <w:ind w:right="51"/>
        <w:jc w:val="both"/>
        <w:rPr>
          <w:rFonts w:ascii="Palatino Linotype" w:eastAsia="Times New Roman" w:hAnsi="Palatino Linotype" w:cs="Times New Roman"/>
          <w:iCs/>
          <w:sz w:val="24"/>
          <w:szCs w:val="24"/>
          <w:lang w:val="es-ES" w:eastAsia="es-ES"/>
        </w:rPr>
      </w:pPr>
      <w:r w:rsidRPr="001B69EF">
        <w:rPr>
          <w:rFonts w:ascii="Palatino Linotype" w:eastAsia="Times New Roman" w:hAnsi="Palatino Linotype" w:cs="Times New Roman"/>
          <w:iCs/>
          <w:sz w:val="24"/>
          <w:szCs w:val="24"/>
          <w:lang w:val="es-ES"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C584AEA" w14:textId="77777777" w:rsidR="0085737D" w:rsidRPr="001B69EF" w:rsidRDefault="0085737D" w:rsidP="0085737D">
      <w:pPr>
        <w:spacing w:after="0" w:line="360" w:lineRule="auto"/>
        <w:ind w:right="51"/>
        <w:jc w:val="both"/>
        <w:rPr>
          <w:rFonts w:ascii="Palatino Linotype" w:eastAsia="Times New Roman" w:hAnsi="Palatino Linotype" w:cs="Times New Roman"/>
          <w:iCs/>
          <w:sz w:val="24"/>
          <w:szCs w:val="24"/>
          <w:lang w:val="es-ES" w:eastAsia="es-ES"/>
        </w:rPr>
      </w:pPr>
    </w:p>
    <w:p w14:paraId="423EE832" w14:textId="77777777" w:rsidR="0085737D" w:rsidRPr="001B69EF" w:rsidRDefault="0085737D" w:rsidP="0085737D">
      <w:pPr>
        <w:spacing w:after="0" w:line="360" w:lineRule="auto"/>
        <w:ind w:right="51"/>
        <w:jc w:val="both"/>
        <w:rPr>
          <w:rFonts w:ascii="Palatino Linotype" w:eastAsia="Times New Roman" w:hAnsi="Palatino Linotype" w:cs="Times New Roman"/>
          <w:iCs/>
          <w:sz w:val="24"/>
          <w:szCs w:val="24"/>
          <w:lang w:val="es-ES" w:eastAsia="es-ES"/>
        </w:rPr>
      </w:pPr>
      <w:r w:rsidRPr="001B69EF">
        <w:rPr>
          <w:rFonts w:ascii="Palatino Linotype" w:eastAsia="Times New Roman" w:hAnsi="Palatino Linotype" w:cs="Times New Roman"/>
          <w:iCs/>
          <w:sz w:val="24"/>
          <w:szCs w:val="24"/>
          <w:lang w:val="es-ES" w:eastAsia="es-ES"/>
        </w:rPr>
        <w:t>Artículo 222. Son causas de responsabilidad administrativa de los servidores públicos de los sujetos obligados, por incumplimiento de las obligaciones establecidas en la materia de la presente Ley, las siguientes:</w:t>
      </w:r>
    </w:p>
    <w:p w14:paraId="025EA34E" w14:textId="77777777" w:rsidR="0085737D" w:rsidRPr="001B69EF" w:rsidRDefault="0085737D" w:rsidP="0085737D">
      <w:pPr>
        <w:spacing w:after="0" w:line="360" w:lineRule="auto"/>
        <w:ind w:right="51"/>
        <w:jc w:val="both"/>
        <w:rPr>
          <w:rFonts w:ascii="Palatino Linotype" w:eastAsia="Times New Roman" w:hAnsi="Palatino Linotype" w:cs="Times New Roman"/>
          <w:iCs/>
          <w:sz w:val="24"/>
          <w:szCs w:val="24"/>
          <w:lang w:val="es-ES" w:eastAsia="es-ES"/>
        </w:rPr>
      </w:pPr>
      <w:r w:rsidRPr="001B69EF">
        <w:rPr>
          <w:rFonts w:ascii="Palatino Linotype" w:eastAsia="Times New Roman" w:hAnsi="Palatino Linotype" w:cs="Times New Roman"/>
          <w:iCs/>
          <w:sz w:val="24"/>
          <w:szCs w:val="24"/>
          <w:lang w:val="es-ES" w:eastAsia="es-ES"/>
        </w:rPr>
        <w:t>(…)</w:t>
      </w:r>
    </w:p>
    <w:p w14:paraId="03AB9259" w14:textId="77777777" w:rsidR="0085737D" w:rsidRPr="001B69EF" w:rsidRDefault="0085737D" w:rsidP="0085737D">
      <w:pPr>
        <w:spacing w:after="0" w:line="360" w:lineRule="auto"/>
        <w:ind w:right="51"/>
        <w:jc w:val="both"/>
        <w:rPr>
          <w:rFonts w:ascii="Palatino Linotype" w:eastAsia="Times New Roman" w:hAnsi="Palatino Linotype" w:cs="Times New Roman"/>
          <w:iCs/>
          <w:sz w:val="24"/>
          <w:szCs w:val="24"/>
          <w:lang w:val="es-ES" w:eastAsia="es-ES"/>
        </w:rPr>
      </w:pPr>
      <w:r w:rsidRPr="001B69EF">
        <w:rPr>
          <w:rFonts w:ascii="Palatino Linotype" w:eastAsia="Times New Roman" w:hAnsi="Palatino Linotype" w:cs="Times New Roman"/>
          <w:iCs/>
          <w:sz w:val="24"/>
          <w:szCs w:val="24"/>
          <w:lang w:val="es-ES" w:eastAsia="es-ES"/>
        </w:rPr>
        <w:lastRenderedPageBreak/>
        <w:t>I. Cualquier acto u omisión que provoque la suspensión o deficiencia en la atención de las solicitudes de información;</w:t>
      </w:r>
    </w:p>
    <w:p w14:paraId="681A1DD9" w14:textId="77777777" w:rsidR="0085737D" w:rsidRPr="001B69EF" w:rsidRDefault="0085737D" w:rsidP="0085737D">
      <w:pPr>
        <w:spacing w:after="0" w:line="360" w:lineRule="auto"/>
        <w:ind w:right="51"/>
        <w:jc w:val="both"/>
        <w:rPr>
          <w:rFonts w:ascii="Palatino Linotype" w:eastAsia="Times New Roman" w:hAnsi="Palatino Linotype" w:cs="Times New Roman"/>
          <w:iCs/>
          <w:sz w:val="24"/>
          <w:szCs w:val="24"/>
          <w:lang w:val="es-ES" w:eastAsia="es-ES"/>
        </w:rPr>
      </w:pPr>
      <w:r w:rsidRPr="001B69EF">
        <w:rPr>
          <w:rFonts w:ascii="Palatino Linotype" w:eastAsia="Times New Roman" w:hAnsi="Palatino Linotype" w:cs="Times New Roman"/>
          <w:iCs/>
          <w:sz w:val="24"/>
          <w:szCs w:val="24"/>
          <w:lang w:val="es-ES" w:eastAsia="es-ES"/>
        </w:rPr>
        <w:t>II. La falta de respuesta a las solicitudes de información en los plazos señalados en la normatividad aplicable;</w:t>
      </w:r>
    </w:p>
    <w:p w14:paraId="4CF80389" w14:textId="77777777" w:rsidR="0085737D" w:rsidRPr="001B69EF" w:rsidRDefault="0085737D" w:rsidP="0085737D">
      <w:pPr>
        <w:spacing w:after="0" w:line="360" w:lineRule="auto"/>
        <w:ind w:right="51"/>
        <w:jc w:val="both"/>
        <w:rPr>
          <w:rFonts w:ascii="Palatino Linotype" w:eastAsia="Times New Roman" w:hAnsi="Palatino Linotype" w:cs="Times New Roman"/>
          <w:iCs/>
          <w:sz w:val="24"/>
          <w:szCs w:val="24"/>
          <w:lang w:val="es-ES" w:eastAsia="es-ES"/>
        </w:rPr>
      </w:pPr>
      <w:r w:rsidRPr="001B69EF">
        <w:rPr>
          <w:rFonts w:ascii="Palatino Linotype" w:eastAsia="Times New Roman" w:hAnsi="Palatino Linotype" w:cs="Times New Roman"/>
          <w:iCs/>
          <w:sz w:val="24"/>
          <w:szCs w:val="24"/>
          <w:lang w:val="es-ES" w:eastAsia="es-ES"/>
        </w:rPr>
        <w:t>(…)” (Sic)</w:t>
      </w:r>
    </w:p>
    <w:p w14:paraId="61AC7709" w14:textId="77777777" w:rsidR="0085737D" w:rsidRPr="001B69EF" w:rsidRDefault="0085737D" w:rsidP="0085737D">
      <w:pPr>
        <w:spacing w:after="0" w:line="360" w:lineRule="auto"/>
        <w:ind w:right="51"/>
        <w:jc w:val="both"/>
        <w:rPr>
          <w:rFonts w:ascii="Palatino Linotype" w:eastAsia="Times New Roman" w:hAnsi="Palatino Linotype" w:cs="Times New Roman"/>
          <w:iCs/>
          <w:sz w:val="24"/>
          <w:szCs w:val="24"/>
          <w:lang w:val="es-ES" w:eastAsia="es-ES"/>
        </w:rPr>
      </w:pPr>
    </w:p>
    <w:p w14:paraId="305F6D10" w14:textId="77777777" w:rsidR="0085737D" w:rsidRPr="001B69EF" w:rsidRDefault="0085737D" w:rsidP="0085737D">
      <w:pPr>
        <w:spacing w:after="0" w:line="360" w:lineRule="auto"/>
        <w:ind w:right="51"/>
        <w:jc w:val="both"/>
        <w:rPr>
          <w:rFonts w:ascii="Palatino Linotype" w:eastAsia="Times New Roman" w:hAnsi="Palatino Linotype" w:cs="Times New Roman"/>
          <w:iCs/>
          <w:sz w:val="24"/>
          <w:szCs w:val="24"/>
          <w:lang w:val="es-ES" w:eastAsia="es-ES"/>
        </w:rPr>
      </w:pPr>
      <w:r w:rsidRPr="001B69EF">
        <w:rPr>
          <w:rFonts w:ascii="Palatino Linotype" w:eastAsia="Times New Roman" w:hAnsi="Palatino Linotype" w:cs="Times New Roman"/>
          <w:iCs/>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57E7BBA7" w14:textId="77777777" w:rsidR="0085737D" w:rsidRPr="001B69EF" w:rsidRDefault="0085737D" w:rsidP="0085737D">
      <w:pPr>
        <w:spacing w:after="0" w:line="360" w:lineRule="auto"/>
        <w:ind w:right="51"/>
        <w:jc w:val="both"/>
        <w:rPr>
          <w:rFonts w:ascii="Palatino Linotype" w:eastAsia="Times New Roman" w:hAnsi="Palatino Linotype" w:cs="Times New Roman"/>
          <w:iCs/>
          <w:sz w:val="24"/>
          <w:szCs w:val="24"/>
          <w:lang w:val="es-ES" w:eastAsia="es-ES"/>
        </w:rPr>
      </w:pPr>
      <w:r w:rsidRPr="001B69EF">
        <w:rPr>
          <w:rFonts w:ascii="Palatino Linotype" w:eastAsia="Times New Roman" w:hAnsi="Palatino Linotype" w:cs="Times New Roman"/>
          <w:iCs/>
          <w:sz w:val="24"/>
          <w:szCs w:val="24"/>
          <w:lang w:val="es-ES" w:eastAsia="es-ES"/>
        </w:rPr>
        <w:t>“Artículo 19. Corresponde a la Secretaría Técnica del Pleno ejercer las atribuciones siguientes:</w:t>
      </w:r>
    </w:p>
    <w:p w14:paraId="7016E263" w14:textId="77777777" w:rsidR="0085737D" w:rsidRPr="001B69EF" w:rsidRDefault="0085737D" w:rsidP="0085737D">
      <w:pPr>
        <w:spacing w:after="0" w:line="360" w:lineRule="auto"/>
        <w:ind w:right="51"/>
        <w:jc w:val="both"/>
        <w:rPr>
          <w:rFonts w:ascii="Palatino Linotype" w:eastAsia="Times New Roman" w:hAnsi="Palatino Linotype" w:cs="Times New Roman"/>
          <w:iCs/>
          <w:sz w:val="24"/>
          <w:szCs w:val="24"/>
          <w:lang w:val="es-ES" w:eastAsia="es-ES"/>
        </w:rPr>
      </w:pPr>
      <w:r w:rsidRPr="001B69EF">
        <w:rPr>
          <w:rFonts w:ascii="Palatino Linotype" w:eastAsia="Times New Roman" w:hAnsi="Palatino Linotype" w:cs="Times New Roman"/>
          <w:iCs/>
          <w:sz w:val="24"/>
          <w:szCs w:val="24"/>
          <w:lang w:val="es-ES" w:eastAsia="es-ES"/>
        </w:rPr>
        <w:t>(…)</w:t>
      </w:r>
    </w:p>
    <w:p w14:paraId="38F7DF4F" w14:textId="77777777" w:rsidR="0085737D" w:rsidRPr="001B69EF" w:rsidRDefault="0085737D" w:rsidP="0085737D">
      <w:pPr>
        <w:spacing w:after="0" w:line="360" w:lineRule="auto"/>
        <w:ind w:right="51"/>
        <w:jc w:val="both"/>
        <w:rPr>
          <w:rFonts w:ascii="Palatino Linotype" w:eastAsia="Times New Roman" w:hAnsi="Palatino Linotype" w:cs="Times New Roman"/>
          <w:iCs/>
          <w:sz w:val="24"/>
          <w:szCs w:val="24"/>
          <w:lang w:val="es-ES" w:eastAsia="es-ES"/>
        </w:rPr>
      </w:pPr>
      <w:r w:rsidRPr="001B69EF">
        <w:rPr>
          <w:rFonts w:ascii="Palatino Linotype" w:eastAsia="Times New Roman" w:hAnsi="Palatino Linotype" w:cs="Times New Roman"/>
          <w:iCs/>
          <w:sz w:val="24"/>
          <w:szCs w:val="24"/>
          <w:lang w:val="es-ES" w:eastAsia="es-ES"/>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183EB08B" w14:textId="77777777" w:rsidR="0085737D" w:rsidRPr="001B69EF" w:rsidRDefault="0085737D" w:rsidP="0085737D">
      <w:pPr>
        <w:spacing w:after="0" w:line="360" w:lineRule="auto"/>
        <w:ind w:right="51"/>
        <w:jc w:val="both"/>
        <w:rPr>
          <w:rFonts w:ascii="Palatino Linotype" w:eastAsia="Times New Roman" w:hAnsi="Palatino Linotype" w:cs="Times New Roman"/>
          <w:iCs/>
          <w:sz w:val="24"/>
          <w:szCs w:val="24"/>
          <w:lang w:val="es-ES" w:eastAsia="es-ES"/>
        </w:rPr>
      </w:pPr>
    </w:p>
    <w:p w14:paraId="38078BFA" w14:textId="77777777" w:rsidR="0085737D" w:rsidRPr="001B69EF" w:rsidRDefault="0085737D" w:rsidP="0085737D">
      <w:pPr>
        <w:spacing w:after="0" w:line="360" w:lineRule="auto"/>
        <w:ind w:right="51"/>
        <w:jc w:val="both"/>
        <w:rPr>
          <w:rFonts w:ascii="Palatino Linotype" w:eastAsia="Times New Roman" w:hAnsi="Palatino Linotype" w:cs="Times New Roman"/>
          <w:iCs/>
          <w:sz w:val="24"/>
          <w:szCs w:val="24"/>
          <w:lang w:val="es-ES" w:eastAsia="es-ES"/>
        </w:rPr>
      </w:pPr>
      <w:r w:rsidRPr="001B69EF">
        <w:rPr>
          <w:rFonts w:ascii="Palatino Linotype" w:eastAsia="Times New Roman" w:hAnsi="Palatino Linotype" w:cs="Times New Roman"/>
          <w:iCs/>
          <w:sz w:val="24"/>
          <w:szCs w:val="24"/>
          <w:lang w:val="es-ES" w:eastAsia="es-ES"/>
        </w:rPr>
        <w:t xml:space="preserve">Por lo que es menester en este asunto, dar vista a la Secretaría Técnica del Pleno a efecto de que ejerza las atribuciones previstas en la normatividad aplicable y comunique al  Órgano de Control Interno competente para que éste último en ejercicio de sus atribuciones atienda las directivas marcadas en la propia Ley de la materia, con fundamento en el artículo 190, de la ley de la materia, el cual señala que cuando este </w:t>
      </w:r>
      <w:r w:rsidRPr="001B69EF">
        <w:rPr>
          <w:rFonts w:ascii="Palatino Linotype" w:eastAsia="Times New Roman" w:hAnsi="Palatino Linotype" w:cs="Times New Roman"/>
          <w:iCs/>
          <w:sz w:val="24"/>
          <w:szCs w:val="24"/>
          <w:lang w:val="es-ES" w:eastAsia="es-ES"/>
        </w:rPr>
        <w:lastRenderedPageBreak/>
        <w:t>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491DA9A" w14:textId="77777777" w:rsidR="0085737D" w:rsidRPr="001B69EF" w:rsidRDefault="0085737D" w:rsidP="0085737D">
      <w:pPr>
        <w:spacing w:after="0" w:line="360" w:lineRule="auto"/>
        <w:ind w:right="51"/>
        <w:jc w:val="both"/>
        <w:rPr>
          <w:rFonts w:ascii="Palatino Linotype" w:eastAsiaTheme="minorEastAsia" w:hAnsi="Palatino Linotype" w:cs="Arial"/>
          <w:sz w:val="24"/>
          <w:szCs w:val="24"/>
          <w:lang w:val="es-ES_tradnl" w:eastAsia="es-ES"/>
        </w:rPr>
      </w:pPr>
    </w:p>
    <w:p w14:paraId="3A7C052F" w14:textId="77777777" w:rsidR="0085737D" w:rsidRPr="001B69EF" w:rsidRDefault="0085737D" w:rsidP="0085737D">
      <w:pPr>
        <w:numPr>
          <w:ilvl w:val="0"/>
          <w:numId w:val="4"/>
        </w:numPr>
        <w:spacing w:after="0" w:line="360" w:lineRule="auto"/>
        <w:jc w:val="both"/>
        <w:rPr>
          <w:rFonts w:ascii="Palatino Linotype" w:eastAsia="Times New Roman" w:hAnsi="Palatino Linotype" w:cs="Arial"/>
          <w:b/>
          <w:i/>
          <w:sz w:val="28"/>
          <w:szCs w:val="24"/>
          <w:lang w:val="es-ES" w:eastAsia="es-ES"/>
        </w:rPr>
      </w:pPr>
      <w:r w:rsidRPr="001B69EF">
        <w:rPr>
          <w:rFonts w:ascii="Palatino Linotype" w:eastAsia="Times New Roman" w:hAnsi="Palatino Linotype" w:cs="Arial"/>
          <w:b/>
          <w:i/>
          <w:sz w:val="28"/>
          <w:szCs w:val="24"/>
          <w:lang w:val="es-ES" w:eastAsia="es-ES"/>
        </w:rPr>
        <w:t>De la Versión pública</w:t>
      </w:r>
    </w:p>
    <w:p w14:paraId="42DFC19A" w14:textId="77777777" w:rsidR="0085737D" w:rsidRPr="001B69EF" w:rsidRDefault="0085737D" w:rsidP="0085737D">
      <w:pPr>
        <w:autoSpaceDE w:val="0"/>
        <w:autoSpaceDN w:val="0"/>
        <w:adjustRightInd w:val="0"/>
        <w:spacing w:after="0" w:line="360" w:lineRule="auto"/>
        <w:jc w:val="both"/>
        <w:rPr>
          <w:rFonts w:ascii="Palatino Linotype" w:eastAsia="Times New Roman" w:hAnsi="Palatino Linotype" w:cs="Times New Roman"/>
          <w:bCs/>
          <w:sz w:val="24"/>
          <w:szCs w:val="24"/>
          <w:lang w:eastAsia="es-ES"/>
        </w:rPr>
      </w:pPr>
    </w:p>
    <w:p w14:paraId="1D130F82" w14:textId="77777777" w:rsidR="00DF0D66" w:rsidRPr="001B69EF" w:rsidRDefault="00DF0D66" w:rsidP="00DF0D66">
      <w:pPr>
        <w:tabs>
          <w:tab w:val="left" w:pos="7938"/>
        </w:tabs>
        <w:spacing w:before="240" w:after="240" w:line="360" w:lineRule="auto"/>
        <w:jc w:val="both"/>
        <w:rPr>
          <w:rFonts w:ascii="Palatino Linotype" w:eastAsia="Arial Unicode MS" w:hAnsi="Palatino Linotype" w:cs="Arial"/>
          <w:sz w:val="24"/>
          <w:szCs w:val="24"/>
          <w:lang w:val="es-ES" w:eastAsia="es-ES"/>
        </w:rPr>
      </w:pPr>
      <w:r w:rsidRPr="001B69EF">
        <w:rPr>
          <w:rFonts w:ascii="Palatino Linotype" w:eastAsia="Arial Unicode MS" w:hAnsi="Palatino Linotype" w:cs="Arial"/>
          <w:sz w:val="24"/>
          <w:szCs w:val="24"/>
          <w:lang w:val="es-ES" w:eastAsia="es-ES"/>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F46AA8A" w14:textId="77777777" w:rsidR="00DF0D66" w:rsidRPr="001B69EF" w:rsidRDefault="00DF0D66" w:rsidP="00DF0D66">
      <w:pPr>
        <w:spacing w:before="240" w:after="0" w:line="360" w:lineRule="auto"/>
        <w:ind w:left="851" w:right="851"/>
        <w:jc w:val="both"/>
        <w:rPr>
          <w:rFonts w:ascii="Palatino Linotype" w:eastAsia="Times New Roman" w:hAnsi="Palatino Linotype" w:cs="Arial"/>
          <w:i/>
          <w:sz w:val="24"/>
          <w:szCs w:val="24"/>
          <w:lang w:val="es-ES" w:eastAsia="es-ES"/>
        </w:rPr>
      </w:pPr>
      <w:r w:rsidRPr="001B69EF">
        <w:rPr>
          <w:rFonts w:ascii="Palatino Linotype" w:eastAsia="Times New Roman" w:hAnsi="Palatino Linotype" w:cs="Arial"/>
          <w:i/>
          <w:sz w:val="24"/>
          <w:szCs w:val="24"/>
          <w:lang w:val="es-ES" w:eastAsia="es-ES"/>
        </w:rPr>
        <w:t>“Artículo 3. Para los efectos de la presente Ley se entenderá por:</w:t>
      </w:r>
    </w:p>
    <w:p w14:paraId="550978CD" w14:textId="77777777" w:rsidR="00DF0D66" w:rsidRPr="001B69EF" w:rsidRDefault="00DF0D66" w:rsidP="00DF0D66">
      <w:pPr>
        <w:spacing w:before="240" w:after="0" w:line="360" w:lineRule="auto"/>
        <w:ind w:left="851" w:right="851"/>
        <w:jc w:val="both"/>
        <w:rPr>
          <w:rFonts w:ascii="Palatino Linotype" w:eastAsia="Times New Roman" w:hAnsi="Palatino Linotype" w:cs="Arial"/>
          <w:i/>
          <w:sz w:val="24"/>
          <w:szCs w:val="24"/>
          <w:lang w:val="es-ES" w:eastAsia="es-ES"/>
        </w:rPr>
      </w:pPr>
      <w:r w:rsidRPr="001B69EF">
        <w:rPr>
          <w:rFonts w:ascii="Palatino Linotype" w:eastAsia="Times New Roman" w:hAnsi="Palatino Linotype" w:cs="Arial"/>
          <w:i/>
          <w:sz w:val="24"/>
          <w:szCs w:val="24"/>
          <w:lang w:val="es-ES" w:eastAsia="es-ES"/>
        </w:rPr>
        <w:t>(…)</w:t>
      </w:r>
    </w:p>
    <w:p w14:paraId="676C364C" w14:textId="77777777" w:rsidR="00DF0D66" w:rsidRPr="001B69EF" w:rsidRDefault="00DF0D66" w:rsidP="00DF0D66">
      <w:pPr>
        <w:spacing w:before="240" w:after="0" w:line="360" w:lineRule="auto"/>
        <w:ind w:left="851" w:right="851"/>
        <w:jc w:val="both"/>
        <w:rPr>
          <w:rFonts w:ascii="Palatino Linotype" w:eastAsia="Times New Roman" w:hAnsi="Palatino Linotype" w:cs="Arial"/>
          <w:b/>
          <w:i/>
          <w:sz w:val="24"/>
          <w:szCs w:val="24"/>
          <w:lang w:val="es-ES" w:eastAsia="es-ES"/>
        </w:rPr>
      </w:pPr>
      <w:r w:rsidRPr="001B69EF">
        <w:rPr>
          <w:rFonts w:ascii="Palatino Linotype" w:eastAsia="Times New Roman" w:hAnsi="Palatino Linotype" w:cs="Arial"/>
          <w:b/>
          <w:i/>
          <w:sz w:val="24"/>
          <w:szCs w:val="24"/>
          <w:u w:val="single"/>
          <w:lang w:val="es-ES" w:eastAsia="es-ES"/>
        </w:rPr>
        <w:lastRenderedPageBreak/>
        <w:t>IX. Datos personales:</w:t>
      </w:r>
      <w:r w:rsidRPr="001B69EF">
        <w:rPr>
          <w:rFonts w:ascii="Palatino Linotype" w:eastAsia="Times New Roman" w:hAnsi="Palatino Linotype" w:cs="Arial"/>
          <w:b/>
          <w:i/>
          <w:sz w:val="24"/>
          <w:szCs w:val="24"/>
          <w:lang w:val="es-ES" w:eastAsia="es-ES"/>
        </w:rPr>
        <w:t xml:space="preserve"> </w:t>
      </w:r>
      <w:r w:rsidRPr="001B69EF">
        <w:rPr>
          <w:rFonts w:ascii="Palatino Linotype" w:eastAsia="Times New Roman" w:hAnsi="Palatino Linotype" w:cs="Arial"/>
          <w:i/>
          <w:sz w:val="24"/>
          <w:szCs w:val="24"/>
          <w:lang w:val="es-ES" w:eastAsia="es-ES"/>
        </w:rPr>
        <w:t>La información concerniente a una persona, identificada o identificable según lo dispuesto por la Ley de Protección de Datos Personales del Estado de México;</w:t>
      </w:r>
    </w:p>
    <w:p w14:paraId="3D6BFC0B" w14:textId="77777777" w:rsidR="00DF0D66" w:rsidRPr="001B69EF" w:rsidRDefault="00DF0D66" w:rsidP="00DF0D66">
      <w:pPr>
        <w:spacing w:before="240" w:after="0" w:line="360" w:lineRule="auto"/>
        <w:ind w:left="851" w:right="851"/>
        <w:jc w:val="both"/>
        <w:rPr>
          <w:rFonts w:ascii="Palatino Linotype" w:eastAsia="Times New Roman" w:hAnsi="Palatino Linotype" w:cs="Arial"/>
          <w:b/>
          <w:i/>
          <w:sz w:val="24"/>
          <w:szCs w:val="24"/>
          <w:lang w:val="es-ES" w:eastAsia="es-ES"/>
        </w:rPr>
      </w:pPr>
      <w:r w:rsidRPr="001B69EF">
        <w:rPr>
          <w:rFonts w:ascii="Palatino Linotype" w:eastAsia="Times New Roman" w:hAnsi="Palatino Linotype" w:cs="Arial"/>
          <w:b/>
          <w:i/>
          <w:sz w:val="24"/>
          <w:szCs w:val="24"/>
          <w:lang w:val="es-ES" w:eastAsia="es-ES"/>
        </w:rPr>
        <w:t>(…)</w:t>
      </w:r>
    </w:p>
    <w:p w14:paraId="72B10431" w14:textId="77777777" w:rsidR="00DF0D66" w:rsidRPr="001B69EF" w:rsidRDefault="00DF0D66" w:rsidP="00DF0D66">
      <w:pPr>
        <w:spacing w:before="240" w:after="0" w:line="360" w:lineRule="auto"/>
        <w:ind w:left="851" w:right="851"/>
        <w:jc w:val="both"/>
        <w:rPr>
          <w:rFonts w:ascii="Palatino Linotype" w:eastAsia="Times New Roman" w:hAnsi="Palatino Linotype" w:cs="Arial"/>
          <w:b/>
          <w:i/>
          <w:sz w:val="24"/>
          <w:szCs w:val="24"/>
          <w:lang w:val="es-ES" w:eastAsia="es-ES"/>
        </w:rPr>
      </w:pPr>
      <w:r w:rsidRPr="001B69EF">
        <w:rPr>
          <w:rFonts w:ascii="Palatino Linotype" w:eastAsia="Times New Roman" w:hAnsi="Palatino Linotype" w:cs="Arial"/>
          <w:b/>
          <w:i/>
          <w:sz w:val="24"/>
          <w:szCs w:val="24"/>
          <w:u w:val="single"/>
          <w:lang w:val="es-ES" w:eastAsia="es-ES"/>
        </w:rPr>
        <w:t>XLV. Versión pública:</w:t>
      </w:r>
      <w:r w:rsidRPr="001B69EF">
        <w:rPr>
          <w:rFonts w:ascii="Palatino Linotype" w:eastAsia="Times New Roman" w:hAnsi="Palatino Linotype" w:cs="Arial"/>
          <w:b/>
          <w:i/>
          <w:sz w:val="24"/>
          <w:szCs w:val="24"/>
          <w:lang w:val="es-ES" w:eastAsia="es-ES"/>
        </w:rPr>
        <w:t xml:space="preserve"> </w:t>
      </w:r>
      <w:r w:rsidRPr="001B69EF">
        <w:rPr>
          <w:rFonts w:ascii="Palatino Linotype" w:eastAsia="Times New Roman" w:hAnsi="Palatino Linotype" w:cs="Arial"/>
          <w:i/>
          <w:sz w:val="24"/>
          <w:szCs w:val="24"/>
          <w:lang w:val="es-ES" w:eastAsia="es-ES"/>
        </w:rPr>
        <w:t>Documento en el que se elimine, suprime o borra la información clasificada como reservada o confidencial para permitir su acceso.</w:t>
      </w:r>
    </w:p>
    <w:p w14:paraId="0BFAAF9C" w14:textId="77777777" w:rsidR="00DF0D66" w:rsidRPr="001B69EF" w:rsidRDefault="00DF0D66" w:rsidP="00DF0D66">
      <w:pPr>
        <w:spacing w:before="240" w:after="0" w:line="360" w:lineRule="auto"/>
        <w:ind w:left="851" w:right="851"/>
        <w:jc w:val="both"/>
        <w:rPr>
          <w:rFonts w:ascii="Palatino Linotype" w:eastAsia="Times New Roman" w:hAnsi="Palatino Linotype" w:cs="Arial"/>
          <w:b/>
          <w:i/>
          <w:sz w:val="24"/>
          <w:szCs w:val="24"/>
          <w:lang w:val="es-ES" w:eastAsia="es-ES"/>
        </w:rPr>
      </w:pPr>
      <w:r w:rsidRPr="001B69EF">
        <w:rPr>
          <w:rFonts w:ascii="Palatino Linotype" w:eastAsia="Times New Roman" w:hAnsi="Palatino Linotype" w:cs="Arial"/>
          <w:i/>
          <w:sz w:val="24"/>
          <w:szCs w:val="24"/>
          <w:lang w:val="es-ES" w:eastAsia="es-ES"/>
        </w:rPr>
        <w:t xml:space="preserve">Artículo 122. </w:t>
      </w:r>
      <w:r w:rsidRPr="001B69EF">
        <w:rPr>
          <w:rFonts w:ascii="Palatino Linotype" w:eastAsia="Times New Roman" w:hAnsi="Palatino Linotype" w:cs="Arial"/>
          <w:b/>
          <w:i/>
          <w:sz w:val="24"/>
          <w:szCs w:val="24"/>
          <w:u w:val="single"/>
          <w:lang w:val="es-ES" w:eastAsia="es-ES"/>
        </w:rPr>
        <w:t>La clasificación es el proceso mediante el cual el sujeto obligado determina que la información en su poder actualiza alguno de los supuestos de reserva o confidencialidad, de conformidad con lo dispuesto en el presente título.</w:t>
      </w:r>
    </w:p>
    <w:p w14:paraId="2B2FA50D" w14:textId="77777777" w:rsidR="00DF0D66" w:rsidRPr="001B69EF" w:rsidRDefault="00DF0D66" w:rsidP="00DF0D66">
      <w:pPr>
        <w:spacing w:before="240" w:after="0" w:line="360" w:lineRule="auto"/>
        <w:ind w:left="851" w:right="851"/>
        <w:jc w:val="both"/>
        <w:rPr>
          <w:rFonts w:ascii="Palatino Linotype" w:eastAsia="Times New Roman" w:hAnsi="Palatino Linotype" w:cs="Arial"/>
          <w:i/>
          <w:sz w:val="24"/>
          <w:szCs w:val="24"/>
          <w:lang w:val="es-ES" w:eastAsia="es-ES"/>
        </w:rPr>
      </w:pPr>
      <w:r w:rsidRPr="001B69EF">
        <w:rPr>
          <w:rFonts w:ascii="Palatino Linotype" w:eastAsia="Times New Roman" w:hAnsi="Palatino Linotype" w:cs="Arial"/>
          <w:i/>
          <w:sz w:val="24"/>
          <w:szCs w:val="24"/>
          <w:lang w:val="es-ES" w:eastAsia="es-ES"/>
        </w:rPr>
        <w:t>[…]</w:t>
      </w:r>
    </w:p>
    <w:p w14:paraId="5DDBB219" w14:textId="77777777" w:rsidR="00DF0D66" w:rsidRPr="001B69EF" w:rsidRDefault="00DF0D66" w:rsidP="00DF0D66">
      <w:pPr>
        <w:spacing w:before="240" w:after="0" w:line="360" w:lineRule="auto"/>
        <w:ind w:left="851" w:right="851"/>
        <w:jc w:val="both"/>
        <w:rPr>
          <w:rFonts w:ascii="Palatino Linotype" w:eastAsia="Times New Roman" w:hAnsi="Palatino Linotype" w:cs="Arial"/>
          <w:i/>
          <w:sz w:val="24"/>
          <w:szCs w:val="24"/>
          <w:lang w:val="es-ES" w:eastAsia="es-ES"/>
        </w:rPr>
      </w:pPr>
      <w:r w:rsidRPr="001B69EF">
        <w:rPr>
          <w:rFonts w:ascii="Palatino Linotype" w:eastAsia="Times New Roman" w:hAnsi="Palatino Linotype" w:cs="Arial"/>
          <w:i/>
          <w:sz w:val="24"/>
          <w:szCs w:val="24"/>
          <w:lang w:val="es-ES" w:eastAsia="es-ES"/>
        </w:rPr>
        <w:t>Artículo 132. La clasificación de la información se llevará a cabo en el momento en que:</w:t>
      </w:r>
    </w:p>
    <w:p w14:paraId="504C42C5" w14:textId="77777777" w:rsidR="00DF0D66" w:rsidRPr="001B69EF" w:rsidRDefault="00DF0D66" w:rsidP="00DF0D66">
      <w:pPr>
        <w:spacing w:before="240" w:after="0" w:line="360" w:lineRule="auto"/>
        <w:ind w:left="851" w:right="851"/>
        <w:jc w:val="both"/>
        <w:rPr>
          <w:rFonts w:ascii="Palatino Linotype" w:eastAsia="Times New Roman" w:hAnsi="Palatino Linotype" w:cs="Arial"/>
          <w:i/>
          <w:sz w:val="24"/>
          <w:szCs w:val="24"/>
          <w:lang w:val="es-ES" w:eastAsia="es-ES"/>
        </w:rPr>
      </w:pPr>
      <w:r w:rsidRPr="001B69EF">
        <w:rPr>
          <w:rFonts w:ascii="Palatino Linotype" w:eastAsia="Times New Roman" w:hAnsi="Palatino Linotype" w:cs="Arial"/>
          <w:i/>
          <w:sz w:val="24"/>
          <w:szCs w:val="24"/>
          <w:lang w:val="es-ES" w:eastAsia="es-ES"/>
        </w:rPr>
        <w:t>[…]</w:t>
      </w:r>
    </w:p>
    <w:p w14:paraId="18AA69AB" w14:textId="77777777" w:rsidR="00DF0D66" w:rsidRPr="001B69EF" w:rsidRDefault="00DF0D66" w:rsidP="00DF0D66">
      <w:pPr>
        <w:spacing w:before="240" w:after="0" w:line="360" w:lineRule="auto"/>
        <w:ind w:left="851" w:right="851"/>
        <w:jc w:val="both"/>
        <w:rPr>
          <w:rFonts w:ascii="Palatino Linotype" w:eastAsia="Times New Roman" w:hAnsi="Palatino Linotype" w:cs="Arial"/>
          <w:b/>
          <w:i/>
          <w:sz w:val="24"/>
          <w:szCs w:val="24"/>
          <w:u w:val="single"/>
          <w:lang w:val="es-ES" w:eastAsia="es-ES"/>
        </w:rPr>
      </w:pPr>
      <w:r w:rsidRPr="001B69EF">
        <w:rPr>
          <w:rFonts w:ascii="Palatino Linotype" w:eastAsia="Times New Roman" w:hAnsi="Palatino Linotype" w:cs="Arial"/>
          <w:b/>
          <w:i/>
          <w:sz w:val="24"/>
          <w:szCs w:val="24"/>
          <w:u w:val="single"/>
          <w:lang w:val="es-ES" w:eastAsia="es-ES"/>
        </w:rPr>
        <w:t>II. Se determine mediante resolución de autoridad competente; o</w:t>
      </w:r>
    </w:p>
    <w:p w14:paraId="5CA48063" w14:textId="77777777" w:rsidR="00DF0D66" w:rsidRPr="001B69EF" w:rsidRDefault="00DF0D66" w:rsidP="00DF0D66">
      <w:pPr>
        <w:spacing w:before="240" w:after="0" w:line="360" w:lineRule="auto"/>
        <w:ind w:left="851" w:right="851"/>
        <w:jc w:val="both"/>
        <w:rPr>
          <w:rFonts w:ascii="Palatino Linotype" w:eastAsia="Times New Roman" w:hAnsi="Palatino Linotype" w:cs="Arial"/>
          <w:b/>
          <w:i/>
          <w:sz w:val="24"/>
          <w:szCs w:val="24"/>
          <w:lang w:val="es-ES" w:eastAsia="es-ES"/>
        </w:rPr>
      </w:pPr>
      <w:r w:rsidRPr="001B69EF">
        <w:rPr>
          <w:rFonts w:ascii="Palatino Linotype" w:eastAsia="Times New Roman" w:hAnsi="Palatino Linotype" w:cs="Arial"/>
          <w:b/>
          <w:i/>
          <w:sz w:val="24"/>
          <w:szCs w:val="24"/>
          <w:lang w:val="es-ES" w:eastAsia="es-ES"/>
        </w:rPr>
        <w:t>(…)</w:t>
      </w:r>
    </w:p>
    <w:p w14:paraId="2DDE49CE" w14:textId="77777777" w:rsidR="00DF0D66" w:rsidRPr="001B69EF" w:rsidRDefault="00DF0D66" w:rsidP="00DF0D66">
      <w:pPr>
        <w:spacing w:before="240" w:after="0" w:line="360" w:lineRule="auto"/>
        <w:ind w:left="851" w:right="851"/>
        <w:jc w:val="both"/>
        <w:rPr>
          <w:rFonts w:ascii="Palatino Linotype" w:eastAsia="Times New Roman" w:hAnsi="Palatino Linotype" w:cs="Arial"/>
          <w:b/>
          <w:i/>
          <w:sz w:val="24"/>
          <w:szCs w:val="24"/>
          <w:lang w:val="es-ES" w:eastAsia="es-ES"/>
        </w:rPr>
      </w:pPr>
      <w:r w:rsidRPr="001B69EF">
        <w:rPr>
          <w:rFonts w:ascii="Palatino Linotype" w:eastAsia="Times New Roman" w:hAnsi="Palatino Linotype" w:cs="Arial"/>
          <w:i/>
          <w:sz w:val="24"/>
          <w:szCs w:val="24"/>
          <w:lang w:val="es-ES" w:eastAsia="es-ES"/>
        </w:rPr>
        <w:t xml:space="preserve">Artículo 137. Cuando un mismo medio, impreso o electrónico, contenga información pública y reservada o confidencial, la Unidad de Transparencia para efectos de atender una solicitud de información, deberán elaborar una </w:t>
      </w:r>
      <w:r w:rsidRPr="001B69EF">
        <w:rPr>
          <w:rFonts w:ascii="Palatino Linotype" w:eastAsia="Times New Roman" w:hAnsi="Palatino Linotype" w:cs="Arial"/>
          <w:i/>
          <w:sz w:val="24"/>
          <w:szCs w:val="24"/>
          <w:lang w:val="es-ES" w:eastAsia="es-ES"/>
        </w:rPr>
        <w:lastRenderedPageBreak/>
        <w:t>versión pública en la que se testen las partes o secciones clasificadas, indicando su contenido</w:t>
      </w:r>
      <w:r w:rsidRPr="001B69EF">
        <w:rPr>
          <w:rFonts w:ascii="Palatino Linotype" w:eastAsia="Times New Roman" w:hAnsi="Palatino Linotype" w:cs="Arial"/>
          <w:b/>
          <w:i/>
          <w:sz w:val="24"/>
          <w:szCs w:val="24"/>
          <w:lang w:val="es-ES" w:eastAsia="es-ES"/>
        </w:rPr>
        <w:t xml:space="preserve"> </w:t>
      </w:r>
      <w:r w:rsidRPr="001B69EF">
        <w:rPr>
          <w:rFonts w:ascii="Palatino Linotype" w:eastAsia="Times New Roman" w:hAnsi="Palatino Linotype" w:cs="Arial"/>
          <w:b/>
          <w:i/>
          <w:sz w:val="24"/>
          <w:szCs w:val="24"/>
          <w:u w:val="single"/>
          <w:lang w:val="es-ES" w:eastAsia="es-ES"/>
        </w:rPr>
        <w:t xml:space="preserve">de manera genérica y fundando y motivando su clasificación.” </w:t>
      </w:r>
      <w:r w:rsidRPr="001B69EF">
        <w:rPr>
          <w:rFonts w:ascii="Palatino Linotype" w:eastAsia="Times New Roman" w:hAnsi="Palatino Linotype" w:cs="Arial"/>
          <w:b/>
          <w:i/>
          <w:sz w:val="24"/>
          <w:szCs w:val="24"/>
          <w:lang w:val="es-ES" w:eastAsia="es-ES"/>
        </w:rPr>
        <w:t>[Sic]</w:t>
      </w:r>
    </w:p>
    <w:p w14:paraId="43C236A2" w14:textId="77777777" w:rsidR="00DF0D66" w:rsidRPr="001B69EF" w:rsidRDefault="00DF0D66" w:rsidP="00DF0D66">
      <w:pPr>
        <w:spacing w:after="0" w:line="360" w:lineRule="auto"/>
        <w:ind w:right="51"/>
        <w:jc w:val="both"/>
        <w:rPr>
          <w:rFonts w:ascii="Palatino Linotype" w:eastAsia="Arial Unicode MS" w:hAnsi="Palatino Linotype" w:cs="Arial"/>
          <w:sz w:val="24"/>
          <w:szCs w:val="24"/>
          <w:lang w:val="es-ES" w:eastAsia="es-ES"/>
        </w:rPr>
      </w:pPr>
    </w:p>
    <w:p w14:paraId="0CB6B3AE" w14:textId="77777777" w:rsidR="00DF0D66" w:rsidRPr="001B69EF" w:rsidRDefault="00DF0D66" w:rsidP="00DF0D66">
      <w:pPr>
        <w:spacing w:after="0" w:line="360" w:lineRule="auto"/>
        <w:ind w:right="51"/>
        <w:jc w:val="both"/>
        <w:rPr>
          <w:rFonts w:ascii="Palatino Linotype" w:eastAsia="Times New Roman" w:hAnsi="Palatino Linotype" w:cs="Arial"/>
          <w:sz w:val="24"/>
          <w:szCs w:val="24"/>
          <w:lang w:val="es-ES" w:eastAsia="es-ES"/>
        </w:rPr>
      </w:pPr>
      <w:r w:rsidRPr="001B69EF">
        <w:rPr>
          <w:rFonts w:ascii="Palatino Linotype" w:eastAsia="Arial Unicode MS" w:hAnsi="Palatino Linotype" w:cs="Arial"/>
          <w:sz w:val="24"/>
          <w:szCs w:val="24"/>
          <w:lang w:val="es-ES" w:eastAsia="es-ES"/>
        </w:rPr>
        <w:t xml:space="preserve">Verbigracia, previo a poner a disposición la información correspondiente debe considerarse que tiene carácter de confidencial </w:t>
      </w:r>
      <w:r w:rsidRPr="001B69EF">
        <w:rPr>
          <w:rFonts w:ascii="Palatino Linotype" w:eastAsia="Times New Roman" w:hAnsi="Palatino Linotype" w:cs="Arial"/>
          <w:sz w:val="24"/>
          <w:szCs w:val="24"/>
          <w:lang w:val="es-ES" w:eastAsia="es-ES"/>
        </w:rPr>
        <w:t xml:space="preserve">el </w:t>
      </w:r>
      <w:r w:rsidRPr="001B69EF">
        <w:rPr>
          <w:rFonts w:ascii="Palatino Linotype" w:eastAsia="Times New Roman" w:hAnsi="Palatino Linotype" w:cs="Arial"/>
          <w:b/>
          <w:sz w:val="24"/>
          <w:szCs w:val="24"/>
          <w:lang w:val="es-ES" w:eastAsia="es-ES"/>
        </w:rPr>
        <w:t>Registro Federal de Contribuyentes (RFC) que no sean de proveedores</w:t>
      </w:r>
      <w:r w:rsidRPr="001B69EF">
        <w:rPr>
          <w:rFonts w:ascii="Palatino Linotype" w:eastAsia="Times New Roman" w:hAnsi="Palatino Linotype" w:cs="Arial"/>
          <w:sz w:val="24"/>
          <w:szCs w:val="24"/>
          <w:lang w:val="es-ES" w:eastAsia="es-ES"/>
        </w:rPr>
        <w:t>,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817D0FB" w14:textId="77777777" w:rsidR="00DF0D66" w:rsidRPr="001B69EF" w:rsidRDefault="00DF0D66" w:rsidP="00DF0D66">
      <w:pPr>
        <w:spacing w:before="240" w:after="240" w:line="360" w:lineRule="auto"/>
        <w:ind w:right="-91"/>
        <w:jc w:val="both"/>
        <w:rPr>
          <w:rFonts w:ascii="Palatino Linotype" w:eastAsia="Times New Roman" w:hAnsi="Palatino Linotype" w:cs="Arial"/>
          <w:sz w:val="24"/>
          <w:szCs w:val="24"/>
          <w:lang w:val="es-ES" w:eastAsia="es-MX"/>
        </w:rPr>
      </w:pPr>
      <w:r w:rsidRPr="001B69EF">
        <w:rPr>
          <w:rFonts w:ascii="Palatino Linotype" w:eastAsia="Times New Roman" w:hAnsi="Palatino Linotype" w:cs="Arial"/>
          <w:sz w:val="24"/>
          <w:szCs w:val="24"/>
          <w:lang w:val="es-ES" w:eastAsia="es-MX"/>
        </w:rPr>
        <w:t xml:space="preserve">Lo anterior es compartido por el ahora </w:t>
      </w:r>
      <w:r w:rsidRPr="001B69EF">
        <w:rPr>
          <w:rFonts w:ascii="Palatino Linotype" w:eastAsia="Times New Roman" w:hAnsi="Palatino Linotype" w:cs="Arial"/>
          <w:b/>
          <w:bCs/>
          <w:sz w:val="24"/>
          <w:szCs w:val="24"/>
          <w:lang w:val="es-ES" w:eastAsia="es-MX"/>
        </w:rPr>
        <w:t>Instituto Nacional de Transparencia, Acceso a la Información y Protección de Datos Personales</w:t>
      </w:r>
      <w:r w:rsidRPr="001B69EF">
        <w:rPr>
          <w:rFonts w:ascii="Palatino Linotype" w:eastAsia="Times New Roman" w:hAnsi="Palatino Linotype" w:cs="Arial"/>
          <w:sz w:val="24"/>
          <w:szCs w:val="24"/>
          <w:lang w:val="es-ES" w:eastAsia="es-MX"/>
        </w:rPr>
        <w:t xml:space="preserve"> (INAI), conforme al criterio </w:t>
      </w:r>
      <w:r w:rsidRPr="001B69EF">
        <w:rPr>
          <w:rFonts w:ascii="Palatino Linotype" w:eastAsia="Times New Roman" w:hAnsi="Palatino Linotype" w:cs="Arial"/>
          <w:b/>
          <w:sz w:val="24"/>
          <w:szCs w:val="24"/>
          <w:lang w:val="es-ES" w:eastAsia="es-MX"/>
        </w:rPr>
        <w:t>004/2021,</w:t>
      </w:r>
      <w:r w:rsidRPr="001B69EF">
        <w:rPr>
          <w:rFonts w:ascii="Palatino Linotype" w:eastAsia="Times New Roman" w:hAnsi="Palatino Linotype" w:cs="Arial"/>
          <w:sz w:val="24"/>
          <w:szCs w:val="24"/>
          <w:lang w:val="es-ES" w:eastAsia="es-MX"/>
        </w:rPr>
        <w:t xml:space="preserve"> el cual es del tenor literal siguiente:</w:t>
      </w:r>
    </w:p>
    <w:p w14:paraId="24B924EC" w14:textId="77777777" w:rsidR="00DF0D66" w:rsidRPr="001B69EF" w:rsidRDefault="00DF0D66" w:rsidP="00DF0D66">
      <w:pPr>
        <w:autoSpaceDE w:val="0"/>
        <w:autoSpaceDN w:val="0"/>
        <w:adjustRightInd w:val="0"/>
        <w:spacing w:before="240" w:after="0" w:line="360" w:lineRule="auto"/>
        <w:ind w:left="851" w:right="851"/>
        <w:jc w:val="center"/>
        <w:rPr>
          <w:rFonts w:ascii="Palatino Linotype" w:eastAsia="Times New Roman" w:hAnsi="Palatino Linotype" w:cs="Arial"/>
          <w:b/>
          <w:bCs/>
          <w:i/>
          <w:sz w:val="24"/>
          <w:szCs w:val="24"/>
          <w:lang w:val="es-ES" w:eastAsia="es-ES"/>
        </w:rPr>
      </w:pPr>
      <w:r w:rsidRPr="001B69EF">
        <w:rPr>
          <w:rFonts w:ascii="Palatino Linotype" w:eastAsia="Times New Roman" w:hAnsi="Palatino Linotype" w:cs="Arial"/>
          <w:bCs/>
          <w:i/>
          <w:sz w:val="24"/>
          <w:szCs w:val="24"/>
          <w:lang w:val="es-ES" w:eastAsia="es-ES"/>
        </w:rPr>
        <w:t>“</w:t>
      </w:r>
      <w:r w:rsidRPr="001B69EF">
        <w:rPr>
          <w:rFonts w:ascii="Palatino Linotype" w:eastAsia="Times New Roman" w:hAnsi="Palatino Linotype" w:cs="Arial"/>
          <w:b/>
          <w:bCs/>
          <w:i/>
          <w:sz w:val="24"/>
          <w:szCs w:val="24"/>
          <w:lang w:val="es-ES" w:eastAsia="es-ES"/>
        </w:rPr>
        <w:t>Registro Federal de Contribuyentes (RFC) de personas físicas proveedores o contratistas.</w:t>
      </w:r>
    </w:p>
    <w:p w14:paraId="6DCA2F3F" w14:textId="77777777" w:rsidR="00DF0D66" w:rsidRPr="001B69EF" w:rsidRDefault="00DF0D66" w:rsidP="00DF0D66">
      <w:pPr>
        <w:autoSpaceDE w:val="0"/>
        <w:autoSpaceDN w:val="0"/>
        <w:adjustRightInd w:val="0"/>
        <w:spacing w:before="240" w:after="0" w:line="360" w:lineRule="auto"/>
        <w:ind w:left="851" w:right="851"/>
        <w:jc w:val="both"/>
        <w:rPr>
          <w:rFonts w:ascii="Palatino Linotype" w:eastAsia="Times New Roman" w:hAnsi="Palatino Linotype" w:cs="Arial"/>
          <w:bCs/>
          <w:i/>
          <w:sz w:val="24"/>
          <w:szCs w:val="24"/>
          <w:lang w:val="es-ES" w:eastAsia="es-ES"/>
        </w:rPr>
      </w:pPr>
      <w:r w:rsidRPr="001B69EF">
        <w:rPr>
          <w:rFonts w:ascii="Palatino Linotype" w:eastAsia="Times New Roman" w:hAnsi="Palatino Linotype" w:cs="Arial"/>
          <w:bCs/>
          <w:i/>
          <w:sz w:val="24"/>
          <w:szCs w:val="24"/>
          <w:lang w:val="es-ES" w:eastAsia="es-ES"/>
        </w:rPr>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008388F7" w14:textId="77777777" w:rsidR="00DF0D66" w:rsidRPr="001B69EF" w:rsidRDefault="00DF0D66" w:rsidP="00DF0D66">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ES"/>
        </w:rPr>
      </w:pPr>
      <w:r w:rsidRPr="001B69EF">
        <w:rPr>
          <w:rFonts w:ascii="Palatino Linotype" w:eastAsia="Times New Roman" w:hAnsi="Palatino Linotype" w:cs="Arial"/>
          <w:b/>
          <w:i/>
          <w:sz w:val="24"/>
          <w:szCs w:val="24"/>
          <w:lang w:val="es-ES" w:eastAsia="es-ES"/>
        </w:rPr>
        <w:t>Precedentes:</w:t>
      </w:r>
    </w:p>
    <w:p w14:paraId="512A0F9F" w14:textId="77777777" w:rsidR="00DF0D66" w:rsidRPr="001B69EF" w:rsidRDefault="00DF0D66" w:rsidP="00DF0D66">
      <w:pPr>
        <w:numPr>
          <w:ilvl w:val="0"/>
          <w:numId w:val="36"/>
        </w:numPr>
        <w:autoSpaceDE w:val="0"/>
        <w:autoSpaceDN w:val="0"/>
        <w:adjustRightInd w:val="0"/>
        <w:spacing w:before="240" w:after="0" w:line="360" w:lineRule="auto"/>
        <w:ind w:right="851"/>
        <w:jc w:val="both"/>
        <w:rPr>
          <w:rFonts w:ascii="Palatino Linotype" w:eastAsia="Times New Roman" w:hAnsi="Palatino Linotype" w:cs="Arial"/>
          <w:i/>
          <w:sz w:val="24"/>
          <w:szCs w:val="24"/>
          <w:lang w:val="es-ES" w:eastAsia="es-ES"/>
        </w:rPr>
      </w:pPr>
      <w:r w:rsidRPr="001B69EF">
        <w:rPr>
          <w:rFonts w:ascii="Palatino Linotype" w:eastAsia="Times New Roman" w:hAnsi="Palatino Linotype" w:cs="Arial"/>
          <w:i/>
          <w:sz w:val="24"/>
          <w:szCs w:val="24"/>
          <w:lang w:val="es-ES" w:eastAsia="es-ES"/>
        </w:rPr>
        <w:lastRenderedPageBreak/>
        <w:t>Acceso a la información Pública. RRA 3639/19.</w:t>
      </w:r>
      <w:r w:rsidRPr="001B69EF">
        <w:rPr>
          <w:rFonts w:ascii="Palatino Linotype" w:eastAsia="Times New Roman" w:hAnsi="Palatino Linotype" w:cs="Arial"/>
          <w:bCs/>
          <w:i/>
          <w:sz w:val="24"/>
          <w:szCs w:val="24"/>
          <w:lang w:val="es-ES" w:eastAsia="es-ES"/>
        </w:rPr>
        <w:t xml:space="preserve"> </w:t>
      </w:r>
      <w:r w:rsidRPr="001B69EF">
        <w:rPr>
          <w:rFonts w:ascii="Palatino Linotype" w:eastAsia="Times New Roman" w:hAnsi="Palatino Linotype" w:cs="Arial"/>
          <w:i/>
          <w:sz w:val="24"/>
          <w:szCs w:val="24"/>
          <w:lang w:val="es-ES" w:eastAsia="es-ES"/>
        </w:rPr>
        <w:t>Sesión del 10 de julio de 2019. Votación por mayoría. Con voto disidente del Comisionado Joel Salas Suárez. Instituto para la Protección del Ahorro Bancario. Comisionada Ponente María Patricia Kurczyn Villalobos.</w:t>
      </w:r>
    </w:p>
    <w:p w14:paraId="55A620D3" w14:textId="77777777" w:rsidR="00DF0D66" w:rsidRPr="001B69EF" w:rsidRDefault="00DF0D66" w:rsidP="00DF0D66">
      <w:pPr>
        <w:numPr>
          <w:ilvl w:val="0"/>
          <w:numId w:val="36"/>
        </w:numPr>
        <w:autoSpaceDE w:val="0"/>
        <w:autoSpaceDN w:val="0"/>
        <w:adjustRightInd w:val="0"/>
        <w:spacing w:before="240" w:after="0" w:line="360" w:lineRule="auto"/>
        <w:ind w:right="851"/>
        <w:jc w:val="both"/>
        <w:rPr>
          <w:rFonts w:ascii="Palatino Linotype" w:eastAsia="Times New Roman" w:hAnsi="Palatino Linotype" w:cs="Arial"/>
          <w:bCs/>
          <w:i/>
          <w:sz w:val="24"/>
          <w:szCs w:val="24"/>
          <w:lang w:val="es-ES" w:eastAsia="es-ES"/>
        </w:rPr>
      </w:pPr>
      <w:r w:rsidRPr="001B69EF">
        <w:rPr>
          <w:rFonts w:ascii="Palatino Linotype" w:eastAsia="Times New Roman" w:hAnsi="Palatino Linotype" w:cs="Arial"/>
          <w:i/>
          <w:sz w:val="24"/>
          <w:szCs w:val="24"/>
          <w:lang w:val="es-ES" w:eastAsia="es-ES"/>
        </w:rPr>
        <w:t>Acceso a la información Pública. RRA 7709/19.</w:t>
      </w:r>
      <w:r w:rsidRPr="001B69EF">
        <w:rPr>
          <w:rFonts w:ascii="Palatino Linotype" w:eastAsia="Times New Roman" w:hAnsi="Palatino Linotype" w:cs="Arial"/>
          <w:bCs/>
          <w:i/>
          <w:sz w:val="24"/>
          <w:szCs w:val="24"/>
          <w:lang w:val="es-ES" w:eastAsia="es-ES"/>
        </w:rPr>
        <w:t xml:space="preserve"> </w:t>
      </w:r>
      <w:r w:rsidRPr="001B69EF">
        <w:rPr>
          <w:rFonts w:ascii="Palatino Linotype" w:eastAsia="Times New Roman" w:hAnsi="Palatino Linotype" w:cs="Arial"/>
          <w:i/>
          <w:sz w:val="24"/>
          <w:szCs w:val="24"/>
          <w:lang w:val="es-ES" w:eastAsia="es-ES"/>
        </w:rPr>
        <w:t>Sesión del 13 de agosto de 2019. Votación por unanimidad. Con voto particular de la Comisionada Josefina Román Vergara. Suprema Corte de Justicia de la Nación. Comisionada Ponente Josefina Román Vergara.</w:t>
      </w:r>
    </w:p>
    <w:p w14:paraId="614630B1" w14:textId="77777777" w:rsidR="00DF0D66" w:rsidRPr="001B69EF" w:rsidRDefault="00DF0D66" w:rsidP="00DF0D66">
      <w:pPr>
        <w:numPr>
          <w:ilvl w:val="0"/>
          <w:numId w:val="36"/>
        </w:num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ES"/>
        </w:rPr>
      </w:pPr>
      <w:r w:rsidRPr="001B69EF">
        <w:rPr>
          <w:rFonts w:ascii="Palatino Linotype" w:eastAsia="Times New Roman" w:hAnsi="Palatino Linotype" w:cs="Arial"/>
          <w:i/>
          <w:sz w:val="24"/>
          <w:szCs w:val="24"/>
          <w:lang w:val="es-ES" w:eastAsia="es-ES"/>
        </w:rPr>
        <w:t>Acceso a la información Pública. RRA 5774/19.</w:t>
      </w:r>
      <w:r w:rsidRPr="001B69EF">
        <w:rPr>
          <w:rFonts w:ascii="Palatino Linotype" w:eastAsia="Times New Roman" w:hAnsi="Palatino Linotype" w:cs="Arial"/>
          <w:bCs/>
          <w:i/>
          <w:sz w:val="24"/>
          <w:szCs w:val="24"/>
          <w:lang w:val="es-ES" w:eastAsia="es-ES"/>
        </w:rPr>
        <w:t xml:space="preserve"> </w:t>
      </w:r>
      <w:r w:rsidRPr="001B69EF">
        <w:rPr>
          <w:rFonts w:ascii="Palatino Linotype" w:eastAsia="Times New Roman" w:hAnsi="Palatino Linotype" w:cs="Arial"/>
          <w:i/>
          <w:sz w:val="24"/>
          <w:szCs w:val="24"/>
          <w:lang w:val="es-ES" w:eastAsia="es-ES"/>
        </w:rPr>
        <w:t>Sesión del 21 de agosto de 2019. Votación por mayoría. Con voto disidente del Comisionado Joel Salas Suárez. Secretaría de Marina. Comisionada Ponente Blanca Lilia Ibarra Cadena.” [Sic]</w:t>
      </w:r>
    </w:p>
    <w:p w14:paraId="5CC6E1AC" w14:textId="77777777" w:rsidR="00DF0D66" w:rsidRPr="001B69EF" w:rsidRDefault="00DF0D66" w:rsidP="00DF0D66">
      <w:pPr>
        <w:autoSpaceDE w:val="0"/>
        <w:autoSpaceDN w:val="0"/>
        <w:adjustRightInd w:val="0"/>
        <w:spacing w:before="120" w:after="120" w:line="240" w:lineRule="auto"/>
        <w:ind w:left="567" w:right="850"/>
        <w:jc w:val="both"/>
        <w:rPr>
          <w:rFonts w:ascii="Palatino Linotype" w:eastAsia="Times New Roman" w:hAnsi="Palatino Linotype" w:cs="Arial"/>
          <w:i/>
          <w:sz w:val="24"/>
          <w:szCs w:val="24"/>
          <w:lang w:val="es-ES" w:eastAsia="es-ES"/>
        </w:rPr>
      </w:pPr>
    </w:p>
    <w:p w14:paraId="54CC687D" w14:textId="77777777" w:rsidR="00DF0D66" w:rsidRPr="001B69EF" w:rsidRDefault="00DF0D66" w:rsidP="00DF0D66">
      <w:pPr>
        <w:spacing w:before="240" w:after="240" w:line="360" w:lineRule="auto"/>
        <w:jc w:val="both"/>
        <w:rPr>
          <w:rFonts w:ascii="Palatino Linotype" w:eastAsia="Times New Roman" w:hAnsi="Palatino Linotype" w:cs="Arial"/>
          <w:sz w:val="24"/>
          <w:szCs w:val="24"/>
          <w:lang w:val="es-ES" w:eastAsia="es-MX"/>
        </w:rPr>
      </w:pPr>
      <w:r w:rsidRPr="001B69EF">
        <w:rPr>
          <w:rFonts w:ascii="Palatino Linotype" w:eastAsia="Times New Roman" w:hAnsi="Palatino Linotype" w:cs="Arial"/>
          <w:sz w:val="24"/>
          <w:szCs w:val="24"/>
          <w:lang w:val="es-ES"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40D1578E" w14:textId="77777777" w:rsidR="00DF0D66" w:rsidRPr="001B69EF" w:rsidRDefault="00DF0D66" w:rsidP="00DF0D66">
      <w:pPr>
        <w:spacing w:before="240" w:after="240" w:line="360" w:lineRule="auto"/>
        <w:jc w:val="both"/>
        <w:rPr>
          <w:rFonts w:ascii="Palatino Linotype" w:eastAsia="Calibri" w:hAnsi="Palatino Linotype" w:cs="Arial"/>
          <w:sz w:val="24"/>
          <w:szCs w:val="24"/>
          <w:lang w:val="es-ES" w:eastAsia="es-MX"/>
        </w:rPr>
      </w:pPr>
      <w:r w:rsidRPr="001B69EF">
        <w:rPr>
          <w:rFonts w:ascii="Palatino Linotype" w:eastAsia="Times New Roman" w:hAnsi="Palatino Linotype" w:cs="Arial"/>
          <w:sz w:val="24"/>
          <w:szCs w:val="24"/>
          <w:lang w:val="es-ES" w:eastAsia="es-MX"/>
        </w:rPr>
        <w:t xml:space="preserve">En cuanto a la </w:t>
      </w:r>
      <w:r w:rsidRPr="001B69EF">
        <w:rPr>
          <w:rFonts w:ascii="Palatino Linotype" w:eastAsia="Times New Roman" w:hAnsi="Palatino Linotype" w:cs="Arial"/>
          <w:sz w:val="24"/>
          <w:szCs w:val="24"/>
          <w:lang w:val="es-ES" w:eastAsia="es-ES"/>
        </w:rPr>
        <w:t xml:space="preserve">Clave Única de Registro de Población (CURP) en virtud de que éste se </w:t>
      </w:r>
      <w:r w:rsidRPr="001B69EF">
        <w:rPr>
          <w:rFonts w:ascii="Palatino Linotype" w:eastAsia="Calibri" w:hAnsi="Palatino Linotype" w:cs="Arial"/>
          <w:sz w:val="24"/>
          <w:szCs w:val="24"/>
          <w:lang w:val="es-ES"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A18BBC0" w14:textId="77777777" w:rsidR="00DF0D66" w:rsidRPr="001B69EF" w:rsidRDefault="00DF0D66" w:rsidP="00DF0D66">
      <w:pPr>
        <w:spacing w:before="240" w:after="240" w:line="360" w:lineRule="auto"/>
        <w:ind w:right="-91"/>
        <w:jc w:val="both"/>
        <w:rPr>
          <w:rFonts w:ascii="Palatino Linotype" w:eastAsia="Times New Roman" w:hAnsi="Palatino Linotype" w:cs="Arial"/>
          <w:sz w:val="24"/>
          <w:szCs w:val="24"/>
          <w:lang w:val="es-ES" w:eastAsia="es-ES"/>
        </w:rPr>
      </w:pPr>
      <w:r w:rsidRPr="001B69EF">
        <w:rPr>
          <w:rFonts w:ascii="Palatino Linotype" w:eastAsia="Times New Roman" w:hAnsi="Palatino Linotype" w:cs="Arial"/>
          <w:sz w:val="24"/>
          <w:szCs w:val="24"/>
          <w:lang w:val="es-ES" w:eastAsia="es-ES"/>
        </w:rPr>
        <w:lastRenderedPageBreak/>
        <w:t xml:space="preserve">Argumento que es compartido por el </w:t>
      </w:r>
      <w:r w:rsidRPr="001B69EF">
        <w:rPr>
          <w:rFonts w:ascii="Palatino Linotype" w:eastAsia="Times New Roman" w:hAnsi="Palatino Linotype" w:cs="Arial"/>
          <w:b/>
          <w:bCs/>
          <w:sz w:val="24"/>
          <w:szCs w:val="24"/>
          <w:lang w:val="es-ES" w:eastAsia="es-ES"/>
        </w:rPr>
        <w:t xml:space="preserve">Instituto Nacional de Transparencia, Acceso a la Información y Protección de Datos Personales, conforme al </w:t>
      </w:r>
      <w:r w:rsidRPr="001B69EF">
        <w:rPr>
          <w:rFonts w:ascii="Palatino Linotype" w:eastAsia="Times New Roman" w:hAnsi="Palatino Linotype" w:cs="Arial"/>
          <w:sz w:val="24"/>
          <w:szCs w:val="24"/>
          <w:lang w:val="es-ES" w:eastAsia="es-ES"/>
        </w:rPr>
        <w:t xml:space="preserve">criterio número 18/17 el cual refiere: </w:t>
      </w:r>
    </w:p>
    <w:p w14:paraId="61E7946F" w14:textId="77777777" w:rsidR="00DF0D66" w:rsidRPr="001B69EF" w:rsidRDefault="00DF0D66" w:rsidP="00DF0D66">
      <w:pPr>
        <w:autoSpaceDE w:val="0"/>
        <w:autoSpaceDN w:val="0"/>
        <w:adjustRightInd w:val="0"/>
        <w:spacing w:before="240" w:after="0" w:line="360" w:lineRule="auto"/>
        <w:ind w:left="851" w:right="851"/>
        <w:jc w:val="center"/>
        <w:rPr>
          <w:rFonts w:ascii="Palatino Linotype" w:eastAsia="Times New Roman" w:hAnsi="Palatino Linotype" w:cs="Arial"/>
          <w:b/>
          <w:bCs/>
          <w:i/>
          <w:sz w:val="24"/>
          <w:szCs w:val="24"/>
          <w:lang w:val="es-ES" w:eastAsia="es-MX"/>
        </w:rPr>
      </w:pPr>
      <w:r w:rsidRPr="001B69EF">
        <w:rPr>
          <w:rFonts w:ascii="Palatino Linotype" w:eastAsia="Times New Roman" w:hAnsi="Palatino Linotype" w:cs="Arial"/>
          <w:bCs/>
          <w:i/>
          <w:sz w:val="24"/>
          <w:szCs w:val="24"/>
          <w:lang w:val="es-ES" w:eastAsia="es-MX"/>
        </w:rPr>
        <w:t>“</w:t>
      </w:r>
      <w:r w:rsidRPr="001B69EF">
        <w:rPr>
          <w:rFonts w:ascii="Palatino Linotype" w:eastAsia="Times New Roman" w:hAnsi="Palatino Linotype" w:cs="Arial"/>
          <w:b/>
          <w:bCs/>
          <w:i/>
          <w:sz w:val="24"/>
          <w:szCs w:val="24"/>
          <w:lang w:val="es-ES" w:eastAsia="es-MX"/>
        </w:rPr>
        <w:t>CLAVE ÚNICA DE REGISTRO DE POBLACIÓN (CURP).</w:t>
      </w:r>
    </w:p>
    <w:p w14:paraId="0C363E72" w14:textId="77777777" w:rsidR="00DF0D66" w:rsidRPr="001B69EF" w:rsidRDefault="00DF0D66" w:rsidP="00DF0D66">
      <w:pPr>
        <w:autoSpaceDE w:val="0"/>
        <w:autoSpaceDN w:val="0"/>
        <w:adjustRightInd w:val="0"/>
        <w:spacing w:before="240" w:after="0" w:line="360" w:lineRule="auto"/>
        <w:ind w:left="851" w:right="851"/>
        <w:jc w:val="both"/>
        <w:rPr>
          <w:rFonts w:ascii="Palatino Linotype" w:eastAsia="Times New Roman" w:hAnsi="Palatino Linotype" w:cs="Arial"/>
          <w:b/>
          <w:bCs/>
          <w:i/>
          <w:sz w:val="24"/>
          <w:szCs w:val="24"/>
          <w:lang w:val="es-ES" w:eastAsia="es-MX"/>
        </w:rPr>
      </w:pPr>
      <w:r w:rsidRPr="001B69EF">
        <w:rPr>
          <w:rFonts w:ascii="Palatino Linotype" w:eastAsia="Times New Roman" w:hAnsi="Palatino Linotype" w:cs="Arial"/>
          <w:bCs/>
          <w:i/>
          <w:sz w:val="24"/>
          <w:szCs w:val="24"/>
          <w:lang w:val="es-ES"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8063FE8" w14:textId="77777777" w:rsidR="00DF0D66" w:rsidRPr="001B69EF" w:rsidRDefault="00DF0D66" w:rsidP="00DF0D66">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MX"/>
        </w:rPr>
      </w:pPr>
      <w:r w:rsidRPr="001B69EF">
        <w:rPr>
          <w:rFonts w:ascii="Palatino Linotype" w:eastAsia="Times New Roman" w:hAnsi="Palatino Linotype" w:cs="Arial"/>
          <w:i/>
          <w:sz w:val="24"/>
          <w:szCs w:val="24"/>
          <w:lang w:val="es-ES" w:eastAsia="es-MX"/>
        </w:rPr>
        <w:t xml:space="preserve"> </w:t>
      </w:r>
      <w:r w:rsidRPr="001B69EF">
        <w:rPr>
          <w:rFonts w:ascii="Palatino Linotype" w:eastAsia="Times New Roman" w:hAnsi="Palatino Linotype" w:cs="Arial"/>
          <w:b/>
          <w:i/>
          <w:sz w:val="24"/>
          <w:szCs w:val="24"/>
          <w:lang w:val="es-ES" w:eastAsia="es-MX"/>
        </w:rPr>
        <w:t>Resoluciones:</w:t>
      </w:r>
    </w:p>
    <w:p w14:paraId="42CE6C5E" w14:textId="77777777" w:rsidR="00DF0D66" w:rsidRPr="001B69EF" w:rsidRDefault="00DF0D66" w:rsidP="00DF0D66">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MX"/>
        </w:rPr>
      </w:pPr>
      <w:r w:rsidRPr="001B69EF">
        <w:rPr>
          <w:rFonts w:ascii="Palatino Linotype" w:eastAsia="Times New Roman" w:hAnsi="Palatino Linotype" w:cs="Arial"/>
          <w:b/>
          <w:i/>
          <w:sz w:val="24"/>
          <w:szCs w:val="24"/>
          <w:lang w:val="es-ES" w:eastAsia="es-MX"/>
        </w:rPr>
        <w:t xml:space="preserve">RRA 3995/16. </w:t>
      </w:r>
      <w:r w:rsidRPr="001B69EF">
        <w:rPr>
          <w:rFonts w:ascii="Palatino Linotype" w:eastAsia="Times New Roman" w:hAnsi="Palatino Linotype" w:cs="Arial"/>
          <w:i/>
          <w:sz w:val="24"/>
          <w:szCs w:val="24"/>
          <w:lang w:val="es-ES" w:eastAsia="es-MX"/>
        </w:rPr>
        <w:t>Secretaría de la Defensa Nacional. 1 de febrero de 2017. Por unanimidad. Comisionado Ponente Rosendoevgueni Monterrey Chepov.</w:t>
      </w:r>
    </w:p>
    <w:p w14:paraId="042017C3" w14:textId="77777777" w:rsidR="00DF0D66" w:rsidRPr="001B69EF" w:rsidRDefault="00DF0D66" w:rsidP="00DF0D66">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MX"/>
        </w:rPr>
      </w:pPr>
      <w:r w:rsidRPr="001B69EF">
        <w:rPr>
          <w:rFonts w:ascii="Palatino Linotype" w:eastAsia="Times New Roman" w:hAnsi="Palatino Linotype" w:cs="Arial"/>
          <w:b/>
          <w:i/>
          <w:sz w:val="24"/>
          <w:szCs w:val="24"/>
          <w:lang w:val="es-ES" w:eastAsia="es-MX"/>
        </w:rPr>
        <w:t xml:space="preserve">RRA </w:t>
      </w:r>
      <w:r w:rsidRPr="001B69EF">
        <w:rPr>
          <w:rFonts w:ascii="Palatino Linotype" w:eastAsia="Times New Roman" w:hAnsi="Palatino Linotype" w:cs="Arial"/>
          <w:b/>
          <w:bCs/>
          <w:i/>
          <w:sz w:val="24"/>
          <w:szCs w:val="24"/>
          <w:lang w:val="es-ES" w:eastAsia="es-MX"/>
        </w:rPr>
        <w:t xml:space="preserve">0937/17. </w:t>
      </w:r>
      <w:r w:rsidRPr="001B69EF">
        <w:rPr>
          <w:rFonts w:ascii="Palatino Linotype" w:eastAsia="Times New Roman" w:hAnsi="Palatino Linotype" w:cs="Arial"/>
          <w:bCs/>
          <w:i/>
          <w:sz w:val="24"/>
          <w:szCs w:val="24"/>
          <w:lang w:val="es-ES" w:eastAsia="es-MX"/>
        </w:rPr>
        <w:t xml:space="preserve">Senado de la República. </w:t>
      </w:r>
      <w:r w:rsidRPr="001B69EF">
        <w:rPr>
          <w:rFonts w:ascii="Palatino Linotype" w:eastAsia="Times New Roman" w:hAnsi="Palatino Linotype" w:cs="Arial"/>
          <w:bCs/>
          <w:i/>
          <w:sz w:val="24"/>
          <w:szCs w:val="24"/>
          <w:lang w:val="es-ES_tradnl" w:eastAsia="es-MX"/>
        </w:rPr>
        <w:t xml:space="preserve">15 de marzo de 2017. Por unanimidad. Comisionada Ponente Ximena Puente de la Mora. </w:t>
      </w:r>
    </w:p>
    <w:p w14:paraId="5E3C3D80" w14:textId="77777777" w:rsidR="00DF0D66" w:rsidRPr="001B69EF" w:rsidRDefault="00DF0D66" w:rsidP="00DF0D66">
      <w:pPr>
        <w:autoSpaceDE w:val="0"/>
        <w:autoSpaceDN w:val="0"/>
        <w:adjustRightInd w:val="0"/>
        <w:spacing w:before="240" w:after="0" w:line="360" w:lineRule="auto"/>
        <w:ind w:left="851" w:right="851"/>
        <w:jc w:val="both"/>
        <w:rPr>
          <w:rFonts w:ascii="Palatino Linotype" w:eastAsia="Times New Roman" w:hAnsi="Palatino Linotype" w:cs="Arial"/>
          <w:b/>
          <w:i/>
          <w:sz w:val="24"/>
          <w:szCs w:val="24"/>
          <w:lang w:val="es-ES" w:eastAsia="es-MX"/>
        </w:rPr>
      </w:pPr>
      <w:r w:rsidRPr="001B69EF">
        <w:rPr>
          <w:rFonts w:ascii="Palatino Linotype" w:eastAsia="Times New Roman" w:hAnsi="Palatino Linotype" w:cs="Arial"/>
          <w:b/>
          <w:i/>
          <w:sz w:val="24"/>
          <w:szCs w:val="24"/>
          <w:lang w:val="es-ES" w:eastAsia="es-MX"/>
        </w:rPr>
        <w:t xml:space="preserve">RRA 0478/17. </w:t>
      </w:r>
      <w:r w:rsidRPr="001B69EF">
        <w:rPr>
          <w:rFonts w:ascii="Palatino Linotype" w:eastAsia="Times New Roman" w:hAnsi="Palatino Linotype" w:cs="Arial"/>
          <w:i/>
          <w:sz w:val="24"/>
          <w:szCs w:val="24"/>
          <w:lang w:val="es-ES" w:eastAsia="es-MX"/>
        </w:rPr>
        <w:t xml:space="preserve">Secretaría de Relaciones Exteriores. 26 de abril de 2017. Por unanimidad. Comisionada Ponente Areli Cano Guadiana.” </w:t>
      </w:r>
      <w:r w:rsidRPr="001B69EF">
        <w:rPr>
          <w:rFonts w:ascii="Palatino Linotype" w:eastAsia="Times New Roman" w:hAnsi="Palatino Linotype" w:cs="Arial"/>
          <w:b/>
          <w:i/>
          <w:sz w:val="24"/>
          <w:szCs w:val="24"/>
          <w:lang w:val="es-ES" w:eastAsia="es-MX"/>
        </w:rPr>
        <w:t>[Sic]</w:t>
      </w:r>
    </w:p>
    <w:p w14:paraId="4810310A" w14:textId="77777777" w:rsidR="00DF0D66" w:rsidRPr="001B69EF" w:rsidRDefault="00DF0D66" w:rsidP="00DF0D66">
      <w:pPr>
        <w:spacing w:after="0" w:line="360" w:lineRule="auto"/>
        <w:ind w:right="51"/>
        <w:jc w:val="both"/>
        <w:rPr>
          <w:rFonts w:ascii="Palatino Linotype" w:eastAsia="Times New Roman" w:hAnsi="Palatino Linotype" w:cs="Arial"/>
          <w:sz w:val="24"/>
          <w:szCs w:val="24"/>
          <w:lang w:val="es-ES" w:eastAsia="es-ES"/>
        </w:rPr>
      </w:pPr>
    </w:p>
    <w:p w14:paraId="303628CC" w14:textId="77777777" w:rsidR="00DF0D66" w:rsidRPr="001B69EF" w:rsidRDefault="00DF0D66" w:rsidP="00DF0D66">
      <w:pPr>
        <w:spacing w:after="0" w:line="360" w:lineRule="auto"/>
        <w:ind w:right="51"/>
        <w:jc w:val="both"/>
        <w:rPr>
          <w:rFonts w:ascii="Palatino Linotype" w:eastAsia="Times New Roman" w:hAnsi="Palatino Linotype" w:cs="Arial"/>
          <w:sz w:val="24"/>
          <w:szCs w:val="24"/>
          <w:lang w:val="es-ES" w:eastAsia="es-ES"/>
        </w:rPr>
      </w:pPr>
      <w:r w:rsidRPr="001B69EF">
        <w:rPr>
          <w:rFonts w:ascii="Palatino Linotype" w:eastAsia="Times New Roman" w:hAnsi="Palatino Linotype" w:cs="Arial"/>
          <w:sz w:val="24"/>
          <w:szCs w:val="24"/>
          <w:lang w:val="es-ES" w:eastAsia="es-ES"/>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w:t>
      </w:r>
      <w:r w:rsidRPr="001B69EF">
        <w:rPr>
          <w:rFonts w:ascii="Palatino Linotype" w:eastAsia="Times New Roman" w:hAnsi="Palatino Linotype" w:cs="Arial"/>
          <w:sz w:val="24"/>
          <w:szCs w:val="24"/>
          <w:lang w:val="es-ES" w:eastAsia="es-ES"/>
        </w:rPr>
        <w:lastRenderedPageBreak/>
        <w:t xml:space="preserve">cabalmente las formalidades previstas en el artículo 137 de la Ley de Transparencia y Acceso a la Información Pública del Estado de México y Municipios, así como los numerales aplicables de los </w:t>
      </w:r>
      <w:r w:rsidRPr="001B69EF">
        <w:rPr>
          <w:rFonts w:ascii="Palatino Linotype" w:eastAsia="Times New Roman" w:hAnsi="Palatino Linotype" w:cs="Arial"/>
          <w:b/>
          <w:sz w:val="24"/>
          <w:szCs w:val="24"/>
          <w:lang w:val="es-ES" w:eastAsia="es-ES"/>
        </w:rPr>
        <w:t>LINEAMIENTOS GENERALES EN MATERIA DE CLASIFICACIÓN Y DESCLASIFICACIÓN DE LA INFORMACIÓN, ASÍ COMO PARA LA ELABORACIÓN DE VERSIONES PÚBLICAS,</w:t>
      </w:r>
      <w:r w:rsidRPr="001B69EF">
        <w:rPr>
          <w:rFonts w:ascii="Palatino Linotype" w:eastAsia="Times New Roman" w:hAnsi="Palatino Linotype" w:cs="Arial"/>
          <w:sz w:val="24"/>
          <w:szCs w:val="24"/>
          <w:lang w:val="es-ES" w:eastAsia="es-ES"/>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8C7DD9F" w14:textId="77777777" w:rsidR="00DF0D66" w:rsidRPr="001B69EF" w:rsidRDefault="00DF0D66" w:rsidP="0085737D">
      <w:pPr>
        <w:autoSpaceDE w:val="0"/>
        <w:autoSpaceDN w:val="0"/>
        <w:adjustRightInd w:val="0"/>
        <w:spacing w:after="0" w:line="360" w:lineRule="auto"/>
        <w:jc w:val="both"/>
        <w:rPr>
          <w:rFonts w:ascii="Palatino Linotype" w:hAnsi="Palatino Linotype" w:cs="Arial"/>
          <w:sz w:val="24"/>
          <w:szCs w:val="24"/>
        </w:rPr>
      </w:pPr>
    </w:p>
    <w:p w14:paraId="168DE97E" w14:textId="77777777" w:rsidR="0085737D" w:rsidRPr="001B69EF" w:rsidRDefault="0085737D" w:rsidP="0085737D">
      <w:pPr>
        <w:autoSpaceDE w:val="0"/>
        <w:autoSpaceDN w:val="0"/>
        <w:adjustRightInd w:val="0"/>
        <w:spacing w:after="0" w:line="360" w:lineRule="auto"/>
        <w:jc w:val="both"/>
        <w:rPr>
          <w:rFonts w:ascii="Palatino Linotype" w:hAnsi="Palatino Linotype" w:cs="Arial"/>
          <w:sz w:val="24"/>
          <w:szCs w:val="24"/>
        </w:rPr>
      </w:pPr>
      <w:r w:rsidRPr="001B69EF">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B69EF">
        <w:rPr>
          <w:rFonts w:ascii="Palatino Linotype" w:hAnsi="Palatino Linotype" w:cs="Arial"/>
          <w:b/>
          <w:sz w:val="24"/>
          <w:szCs w:val="24"/>
        </w:rPr>
        <w:t>ORDENA</w:t>
      </w:r>
      <w:r w:rsidRPr="001B69EF">
        <w:rPr>
          <w:rFonts w:ascii="Palatino Linotype" w:hAnsi="Palatino Linotype" w:cs="Arial"/>
          <w:sz w:val="24"/>
          <w:szCs w:val="24"/>
        </w:rPr>
        <w:t xml:space="preserve"> al </w:t>
      </w:r>
      <w:r w:rsidRPr="001B69EF">
        <w:rPr>
          <w:rFonts w:ascii="Palatino Linotype" w:hAnsi="Palatino Linotype" w:cs="Arial"/>
          <w:b/>
          <w:sz w:val="24"/>
          <w:szCs w:val="24"/>
        </w:rPr>
        <w:t>Sujeto Obligado</w:t>
      </w:r>
      <w:r w:rsidRPr="001B69EF">
        <w:rPr>
          <w:rFonts w:ascii="Palatino Linotype" w:hAnsi="Palatino Linotype" w:cs="Arial"/>
          <w:sz w:val="24"/>
          <w:szCs w:val="24"/>
        </w:rPr>
        <w:t xml:space="preserve">, atienda la solicitud de información </w:t>
      </w:r>
      <w:r w:rsidRPr="001B69EF">
        <w:rPr>
          <w:rFonts w:ascii="Palatino Linotype" w:hAnsi="Palatino Linotype" w:cs="Arial"/>
          <w:b/>
          <w:sz w:val="24"/>
          <w:szCs w:val="24"/>
        </w:rPr>
        <w:t xml:space="preserve"> </w:t>
      </w:r>
      <w:r w:rsidR="00DF0D66" w:rsidRPr="001B69EF">
        <w:rPr>
          <w:rFonts w:ascii="Palatino Linotype" w:hAnsi="Palatino Linotype" w:cs="Arial"/>
          <w:b/>
          <w:sz w:val="24"/>
          <w:szCs w:val="24"/>
        </w:rPr>
        <w:t>00910/NAUCALPA/IP/2022</w:t>
      </w:r>
      <w:r w:rsidRPr="001B69EF">
        <w:rPr>
          <w:rFonts w:ascii="Palatino Linotype" w:eastAsia="Times New Roman" w:hAnsi="Palatino Linotype" w:cs="Times New Roman"/>
          <w:b/>
          <w:bCs/>
          <w:sz w:val="24"/>
          <w:szCs w:val="24"/>
          <w:lang w:val="es-ES" w:eastAsia="es-ES"/>
        </w:rPr>
        <w:t>,</w:t>
      </w:r>
      <w:r w:rsidRPr="001B69EF">
        <w:rPr>
          <w:rFonts w:ascii="Palatino Linotype" w:hAnsi="Palatino Linotype" w:cs="Arial"/>
          <w:sz w:val="24"/>
          <w:szCs w:val="24"/>
        </w:rPr>
        <w:t xml:space="preserve"> que ha sido materia del presente fallo.</w:t>
      </w:r>
    </w:p>
    <w:p w14:paraId="5D433A3F" w14:textId="77777777" w:rsidR="0085737D" w:rsidRPr="001B69EF" w:rsidRDefault="0085737D" w:rsidP="0085737D">
      <w:pPr>
        <w:autoSpaceDE w:val="0"/>
        <w:autoSpaceDN w:val="0"/>
        <w:adjustRightInd w:val="0"/>
        <w:spacing w:after="0" w:line="360" w:lineRule="auto"/>
        <w:jc w:val="both"/>
        <w:rPr>
          <w:rFonts w:ascii="Palatino Linotype" w:hAnsi="Palatino Linotype" w:cs="Arial"/>
          <w:sz w:val="24"/>
          <w:szCs w:val="24"/>
        </w:rPr>
      </w:pPr>
    </w:p>
    <w:p w14:paraId="771E7AEB" w14:textId="77777777" w:rsidR="0085737D" w:rsidRPr="001B69EF" w:rsidRDefault="0085737D" w:rsidP="0085737D">
      <w:pPr>
        <w:autoSpaceDE w:val="0"/>
        <w:autoSpaceDN w:val="0"/>
        <w:adjustRightInd w:val="0"/>
        <w:spacing w:after="0" w:line="360" w:lineRule="auto"/>
        <w:jc w:val="both"/>
        <w:rPr>
          <w:rFonts w:ascii="Palatino Linotype" w:hAnsi="Palatino Linotype" w:cs="Arial"/>
          <w:sz w:val="24"/>
          <w:szCs w:val="24"/>
        </w:rPr>
      </w:pPr>
      <w:r w:rsidRPr="001B69EF">
        <w:rPr>
          <w:rFonts w:ascii="Palatino Linotype" w:hAnsi="Palatino Linotype" w:cs="Arial"/>
          <w:sz w:val="24"/>
          <w:szCs w:val="24"/>
        </w:rPr>
        <w:t>Por lo antes expuesto y fundado es de resolverse y,</w:t>
      </w:r>
    </w:p>
    <w:p w14:paraId="675E891F" w14:textId="77777777" w:rsidR="0085737D" w:rsidRPr="001B69EF" w:rsidRDefault="0085737D" w:rsidP="0085737D">
      <w:pPr>
        <w:autoSpaceDE w:val="0"/>
        <w:autoSpaceDN w:val="0"/>
        <w:adjustRightInd w:val="0"/>
        <w:spacing w:after="0" w:line="360" w:lineRule="auto"/>
        <w:jc w:val="both"/>
        <w:rPr>
          <w:rFonts w:ascii="Palatino Linotype" w:hAnsi="Palatino Linotype" w:cs="Arial"/>
          <w:sz w:val="24"/>
          <w:szCs w:val="24"/>
        </w:rPr>
      </w:pPr>
    </w:p>
    <w:p w14:paraId="30BF5EED" w14:textId="77777777" w:rsidR="0085737D" w:rsidRPr="001B69EF" w:rsidRDefault="0085737D" w:rsidP="0085737D">
      <w:pPr>
        <w:spacing w:after="0" w:line="360" w:lineRule="auto"/>
        <w:ind w:left="426"/>
        <w:jc w:val="center"/>
        <w:rPr>
          <w:rFonts w:ascii="Palatino Linotype" w:eastAsia="Times New Roman" w:hAnsi="Palatino Linotype" w:cs="Times New Roman"/>
          <w:b/>
          <w:color w:val="000000"/>
          <w:sz w:val="28"/>
          <w:szCs w:val="24"/>
          <w:lang w:val="es-ES" w:eastAsia="es-ES"/>
        </w:rPr>
      </w:pPr>
      <w:r w:rsidRPr="001B69EF">
        <w:rPr>
          <w:rFonts w:ascii="Palatino Linotype" w:eastAsia="Times New Roman" w:hAnsi="Palatino Linotype" w:cs="Times New Roman"/>
          <w:b/>
          <w:color w:val="000000"/>
          <w:sz w:val="28"/>
          <w:szCs w:val="24"/>
          <w:lang w:val="es-ES" w:eastAsia="es-ES"/>
        </w:rPr>
        <w:t>SE    RESUELVE</w:t>
      </w:r>
    </w:p>
    <w:p w14:paraId="38A97CD2" w14:textId="77777777" w:rsidR="0085737D" w:rsidRPr="001B69EF" w:rsidRDefault="0085737D" w:rsidP="0085737D">
      <w:pPr>
        <w:tabs>
          <w:tab w:val="left" w:pos="8647"/>
        </w:tabs>
        <w:spacing w:after="0" w:line="360" w:lineRule="auto"/>
        <w:ind w:right="51"/>
        <w:jc w:val="both"/>
        <w:rPr>
          <w:rFonts w:ascii="Palatino Linotype" w:hAnsi="Palatino Linotype" w:cs="Arial"/>
          <w:sz w:val="24"/>
          <w:szCs w:val="24"/>
        </w:rPr>
      </w:pPr>
    </w:p>
    <w:p w14:paraId="59264C25" w14:textId="77777777" w:rsidR="0085737D" w:rsidRPr="001B69EF" w:rsidRDefault="0085737D" w:rsidP="0085737D">
      <w:pPr>
        <w:tabs>
          <w:tab w:val="left" w:pos="8647"/>
        </w:tabs>
        <w:spacing w:after="0" w:line="360" w:lineRule="auto"/>
        <w:ind w:right="51"/>
        <w:jc w:val="both"/>
        <w:rPr>
          <w:rFonts w:ascii="Palatino Linotype" w:hAnsi="Palatino Linotype" w:cs="Arial"/>
          <w:sz w:val="24"/>
          <w:szCs w:val="24"/>
        </w:rPr>
      </w:pPr>
      <w:r w:rsidRPr="001B69EF">
        <w:rPr>
          <w:rFonts w:ascii="Palatino Linotype" w:hAnsi="Palatino Linotype" w:cs="Arial"/>
          <w:b/>
          <w:sz w:val="28"/>
          <w:szCs w:val="24"/>
        </w:rPr>
        <w:t>PRIMERO.</w:t>
      </w:r>
      <w:r w:rsidRPr="001B69EF">
        <w:rPr>
          <w:rFonts w:ascii="Palatino Linotype" w:hAnsi="Palatino Linotype" w:cs="Arial"/>
          <w:sz w:val="24"/>
          <w:szCs w:val="24"/>
        </w:rPr>
        <w:t xml:space="preserve"> Resultan fundadas las razones o motivos de inconformidad hechos valer por el </w:t>
      </w:r>
      <w:r w:rsidRPr="001B69EF">
        <w:rPr>
          <w:rFonts w:ascii="Palatino Linotype" w:hAnsi="Palatino Linotype" w:cs="Arial"/>
          <w:b/>
          <w:sz w:val="24"/>
          <w:szCs w:val="24"/>
        </w:rPr>
        <w:t>Recurrente,</w:t>
      </w:r>
      <w:r w:rsidRPr="001B69EF">
        <w:rPr>
          <w:rFonts w:ascii="Palatino Linotype" w:hAnsi="Palatino Linotype" w:cs="Arial"/>
          <w:sz w:val="24"/>
          <w:szCs w:val="24"/>
        </w:rPr>
        <w:t xml:space="preserve"> en términos del considerando </w:t>
      </w:r>
      <w:r w:rsidRPr="001B69EF">
        <w:rPr>
          <w:rFonts w:ascii="Palatino Linotype" w:hAnsi="Palatino Linotype" w:cs="Arial"/>
          <w:b/>
          <w:sz w:val="24"/>
          <w:szCs w:val="24"/>
        </w:rPr>
        <w:t>CUARTO</w:t>
      </w:r>
      <w:r w:rsidRPr="001B69EF">
        <w:rPr>
          <w:rFonts w:ascii="Palatino Linotype" w:hAnsi="Palatino Linotype" w:cs="Arial"/>
          <w:sz w:val="24"/>
          <w:szCs w:val="24"/>
        </w:rPr>
        <w:t>, de la presente resolución.</w:t>
      </w:r>
    </w:p>
    <w:p w14:paraId="2D4408B3" w14:textId="77777777" w:rsidR="0085737D" w:rsidRPr="001B69EF" w:rsidRDefault="0085737D" w:rsidP="0085737D">
      <w:pPr>
        <w:tabs>
          <w:tab w:val="left" w:pos="8647"/>
        </w:tabs>
        <w:spacing w:after="0" w:line="360" w:lineRule="auto"/>
        <w:ind w:right="51"/>
        <w:jc w:val="both"/>
        <w:rPr>
          <w:rFonts w:ascii="Palatino Linotype" w:hAnsi="Palatino Linotype" w:cs="Arial"/>
          <w:sz w:val="24"/>
          <w:szCs w:val="24"/>
        </w:rPr>
      </w:pPr>
    </w:p>
    <w:p w14:paraId="260E8C07" w14:textId="77777777" w:rsidR="0085737D" w:rsidRPr="001B69EF" w:rsidRDefault="0085737D" w:rsidP="0085737D">
      <w:pPr>
        <w:spacing w:line="360" w:lineRule="auto"/>
        <w:ind w:right="49"/>
        <w:jc w:val="both"/>
        <w:rPr>
          <w:rFonts w:ascii="Palatino Linotype" w:hAnsi="Palatino Linotype"/>
          <w:bCs/>
          <w:sz w:val="24"/>
          <w:szCs w:val="24"/>
        </w:rPr>
      </w:pPr>
      <w:r w:rsidRPr="001B69EF">
        <w:rPr>
          <w:rFonts w:ascii="Palatino Linotype" w:hAnsi="Palatino Linotype" w:cstheme="minorHAnsi"/>
          <w:b/>
          <w:sz w:val="28"/>
        </w:rPr>
        <w:lastRenderedPageBreak/>
        <w:t>SEGUNDO</w:t>
      </w:r>
      <w:r w:rsidRPr="001B69EF">
        <w:rPr>
          <w:rFonts w:ascii="Palatino Linotype" w:hAnsi="Palatino Linotype" w:cstheme="minorHAnsi"/>
          <w:b/>
        </w:rPr>
        <w:t xml:space="preserve">. </w:t>
      </w:r>
      <w:r w:rsidRPr="001B69EF">
        <w:rPr>
          <w:rFonts w:ascii="Palatino Linotype" w:hAnsi="Palatino Linotype"/>
          <w:bCs/>
          <w:sz w:val="24"/>
          <w:lang w:eastAsia="es-MX"/>
        </w:rPr>
        <w:t xml:space="preserve">Se </w:t>
      </w:r>
      <w:r w:rsidRPr="001B69EF">
        <w:rPr>
          <w:rFonts w:ascii="Palatino Linotype" w:hAnsi="Palatino Linotype"/>
          <w:b/>
          <w:bCs/>
          <w:sz w:val="24"/>
          <w:lang w:eastAsia="es-MX"/>
        </w:rPr>
        <w:t xml:space="preserve">ORDENA </w:t>
      </w:r>
      <w:r w:rsidRPr="001B69EF">
        <w:rPr>
          <w:rFonts w:ascii="Palatino Linotype" w:hAnsi="Palatino Linotype"/>
          <w:bCs/>
          <w:sz w:val="24"/>
          <w:lang w:eastAsia="es-MX"/>
        </w:rPr>
        <w:t>al</w:t>
      </w:r>
      <w:r w:rsidRPr="001B69EF">
        <w:rPr>
          <w:rFonts w:ascii="Palatino Linotype" w:hAnsi="Palatino Linotype"/>
          <w:b/>
          <w:sz w:val="24"/>
          <w:lang w:eastAsia="es-MX"/>
        </w:rPr>
        <w:t xml:space="preserve"> SUJETO</w:t>
      </w:r>
      <w:r w:rsidRPr="001B69EF">
        <w:rPr>
          <w:rFonts w:ascii="Palatino Linotype" w:hAnsi="Palatino Linotype"/>
          <w:b/>
          <w:lang w:eastAsia="es-MX"/>
        </w:rPr>
        <w:t xml:space="preserve"> </w:t>
      </w:r>
      <w:r w:rsidRPr="001B69EF">
        <w:rPr>
          <w:rFonts w:ascii="Palatino Linotype" w:hAnsi="Palatino Linotype"/>
          <w:b/>
          <w:sz w:val="24"/>
          <w:lang w:eastAsia="es-MX"/>
        </w:rPr>
        <w:t xml:space="preserve">OBLIGADO </w:t>
      </w:r>
      <w:r w:rsidRPr="001B69EF">
        <w:rPr>
          <w:rFonts w:ascii="Palatino Linotype" w:hAnsi="Palatino Linotype"/>
          <w:bCs/>
          <w:sz w:val="24"/>
          <w:lang w:eastAsia="es-MX"/>
        </w:rPr>
        <w:t xml:space="preserve">en la solicitud de información número </w:t>
      </w:r>
      <w:r w:rsidR="003345BD" w:rsidRPr="001B69EF">
        <w:rPr>
          <w:rFonts w:ascii="Palatino Linotype" w:hAnsi="Palatino Linotype" w:cs="Arial"/>
          <w:b/>
          <w:sz w:val="24"/>
          <w:lang w:val="es-ES"/>
        </w:rPr>
        <w:t>00910/NAUCALPA/IP/2022</w:t>
      </w:r>
      <w:r w:rsidRPr="001B69EF">
        <w:rPr>
          <w:rFonts w:ascii="Palatino Linotype" w:hAnsi="Palatino Linotype"/>
          <w:sz w:val="24"/>
          <w:lang w:eastAsia="es-MX"/>
        </w:rPr>
        <w:t xml:space="preserve">, </w:t>
      </w:r>
      <w:r w:rsidRPr="001B69EF">
        <w:rPr>
          <w:rFonts w:ascii="Palatino Linotype" w:hAnsi="Palatino Linotype"/>
          <w:bCs/>
          <w:sz w:val="24"/>
          <w:lang w:eastAsia="es-MX"/>
        </w:rPr>
        <w:t xml:space="preserve">en términos del Considerando </w:t>
      </w:r>
      <w:r w:rsidRPr="001B69EF">
        <w:rPr>
          <w:rFonts w:ascii="Palatino Linotype" w:hAnsi="Palatino Linotype"/>
          <w:b/>
          <w:bCs/>
          <w:sz w:val="24"/>
          <w:szCs w:val="24"/>
          <w:lang w:eastAsia="es-MX"/>
        </w:rPr>
        <w:t>CUARTO</w:t>
      </w:r>
      <w:r w:rsidRPr="001B69EF">
        <w:rPr>
          <w:rFonts w:ascii="Palatino Linotype" w:hAnsi="Palatino Linotype"/>
          <w:bCs/>
          <w:sz w:val="24"/>
          <w:szCs w:val="24"/>
          <w:lang w:eastAsia="es-MX"/>
        </w:rPr>
        <w:t xml:space="preserve"> de esta resolución, </w:t>
      </w:r>
      <w:r w:rsidR="003345BD" w:rsidRPr="001B69EF">
        <w:rPr>
          <w:rFonts w:ascii="Palatino Linotype" w:hAnsi="Palatino Linotype"/>
          <w:bCs/>
          <w:sz w:val="24"/>
          <w:szCs w:val="24"/>
          <w:lang w:eastAsia="es-MX"/>
        </w:rPr>
        <w:t xml:space="preserve">previa búsqueda exhaustiva </w:t>
      </w:r>
      <w:r w:rsidRPr="001B69EF">
        <w:rPr>
          <w:rFonts w:ascii="Palatino Linotype" w:hAnsi="Palatino Linotype" w:cs="Arial"/>
          <w:sz w:val="24"/>
          <w:szCs w:val="24"/>
        </w:rPr>
        <w:t>haga entrega en versión pública de lo siguiente</w:t>
      </w:r>
      <w:r w:rsidRPr="001B69EF">
        <w:rPr>
          <w:rFonts w:ascii="Palatino Linotype" w:hAnsi="Palatino Linotype"/>
          <w:bCs/>
          <w:sz w:val="24"/>
          <w:szCs w:val="24"/>
        </w:rPr>
        <w:t>:</w:t>
      </w:r>
    </w:p>
    <w:p w14:paraId="171EA995" w14:textId="77777777" w:rsidR="00DF0D66" w:rsidRPr="001B69EF" w:rsidRDefault="00DF0D66" w:rsidP="00DF0D66">
      <w:pPr>
        <w:pStyle w:val="Prrafodelista"/>
        <w:numPr>
          <w:ilvl w:val="0"/>
          <w:numId w:val="35"/>
        </w:numPr>
        <w:spacing w:before="240" w:line="360" w:lineRule="auto"/>
        <w:ind w:left="851"/>
        <w:jc w:val="both"/>
        <w:rPr>
          <w:rFonts w:ascii="Palatino Linotype" w:hAnsi="Palatino Linotype"/>
        </w:rPr>
      </w:pPr>
      <w:r w:rsidRPr="001B69EF">
        <w:rPr>
          <w:rFonts w:ascii="Palatino Linotype" w:hAnsi="Palatino Linotype"/>
        </w:rPr>
        <w:t>“Vales por un Viaje de Mezcla Asfáltica”, del primero de enero de dos mil diecinueve al trece de octubre de dos mil veintidós.</w:t>
      </w:r>
    </w:p>
    <w:p w14:paraId="0E5C8615" w14:textId="77777777" w:rsidR="00DF0D66" w:rsidRPr="001B69EF" w:rsidRDefault="00DF0D66" w:rsidP="00DF0D66">
      <w:pPr>
        <w:pStyle w:val="Prrafodelista"/>
        <w:numPr>
          <w:ilvl w:val="0"/>
          <w:numId w:val="35"/>
        </w:numPr>
        <w:spacing w:before="240" w:line="360" w:lineRule="auto"/>
        <w:ind w:left="851"/>
        <w:jc w:val="both"/>
        <w:rPr>
          <w:rFonts w:ascii="Palatino Linotype" w:hAnsi="Palatino Linotype"/>
        </w:rPr>
      </w:pPr>
      <w:r w:rsidRPr="001B69EF">
        <w:rPr>
          <w:rFonts w:ascii="Palatino Linotype" w:hAnsi="Palatino Linotype"/>
        </w:rPr>
        <w:t>De los Vales referidos en el punto anterior: los expedientes de Licitación, Invitación Restringida y/o Adjudicación Directa para el suministro de mezcla asfáltica, del primero de enero de dos mil diecinueve al trece de octubre de dos mil veintidós.</w:t>
      </w:r>
    </w:p>
    <w:p w14:paraId="0E909C03" w14:textId="77777777" w:rsidR="005A66EE" w:rsidRPr="001B69EF" w:rsidRDefault="005A66EE" w:rsidP="00DF0D66">
      <w:pPr>
        <w:pStyle w:val="Prrafodelista"/>
        <w:numPr>
          <w:ilvl w:val="0"/>
          <w:numId w:val="35"/>
        </w:numPr>
        <w:spacing w:before="240" w:line="360" w:lineRule="auto"/>
        <w:ind w:left="851"/>
        <w:jc w:val="both"/>
        <w:rPr>
          <w:rFonts w:ascii="Palatino Linotype" w:hAnsi="Palatino Linotype"/>
        </w:rPr>
      </w:pPr>
      <w:r w:rsidRPr="001B69EF">
        <w:rPr>
          <w:rFonts w:ascii="Palatino Linotype" w:hAnsi="Palatino Linotype"/>
        </w:rPr>
        <w:t>Listado de proveedores a los que se les adeuda por concepto de mezcla asfáltica, del primero de enero de dos mil diecinueve al trece de octubre de dos mil veintidós.</w:t>
      </w:r>
    </w:p>
    <w:p w14:paraId="5CBDE466" w14:textId="77777777" w:rsidR="007802E1" w:rsidRPr="001B69EF" w:rsidRDefault="007802E1" w:rsidP="007802E1">
      <w:pPr>
        <w:pStyle w:val="INFOEM"/>
      </w:pPr>
      <w:r w:rsidRPr="001B69EF">
        <w:t>Finalmente, la información requerida</w:t>
      </w:r>
      <w:r w:rsidRPr="001B69EF">
        <w:rPr>
          <w:b/>
        </w:rPr>
        <w:t xml:space="preserve">, </w:t>
      </w:r>
      <w:r w:rsidRPr="001B69EF">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w:t>
      </w:r>
    </w:p>
    <w:p w14:paraId="7BEFF791" w14:textId="77777777" w:rsidR="005A66EE" w:rsidRPr="001B69EF" w:rsidRDefault="005A66EE" w:rsidP="007802E1">
      <w:pPr>
        <w:pStyle w:val="INFOEM"/>
      </w:pPr>
      <w:r w:rsidRPr="001B69EF">
        <w:t>En el punto 3 y para el supuesto de que no cuente con la información, el área competente deberá hacer del conocimiento al Recurrente de manera clara y precisa.</w:t>
      </w:r>
    </w:p>
    <w:p w14:paraId="3FF95FB3" w14:textId="77777777" w:rsidR="0085737D" w:rsidRPr="001B69EF" w:rsidRDefault="0085737D" w:rsidP="0085737D">
      <w:pPr>
        <w:pStyle w:val="Sinespaciado"/>
        <w:spacing w:line="360" w:lineRule="auto"/>
        <w:jc w:val="both"/>
        <w:rPr>
          <w:rFonts w:ascii="Palatino Linotype" w:hAnsi="Palatino Linotype"/>
          <w:b/>
          <w:bCs/>
          <w:color w:val="222222"/>
          <w:lang w:eastAsia="es-MX"/>
        </w:rPr>
      </w:pPr>
    </w:p>
    <w:p w14:paraId="5CD930C4" w14:textId="77777777" w:rsidR="0085737D" w:rsidRPr="001B69EF" w:rsidRDefault="0085737D" w:rsidP="0085737D">
      <w:pPr>
        <w:tabs>
          <w:tab w:val="left" w:pos="8647"/>
        </w:tabs>
        <w:spacing w:after="0" w:line="360" w:lineRule="auto"/>
        <w:ind w:right="51"/>
        <w:jc w:val="both"/>
        <w:rPr>
          <w:rFonts w:ascii="Palatino Linotype" w:hAnsi="Palatino Linotype" w:cs="Arial"/>
          <w:sz w:val="24"/>
          <w:szCs w:val="24"/>
        </w:rPr>
      </w:pPr>
      <w:r w:rsidRPr="001B69EF">
        <w:rPr>
          <w:rFonts w:ascii="Palatino Linotype" w:hAnsi="Palatino Linotype" w:cs="Arial"/>
          <w:b/>
          <w:sz w:val="28"/>
          <w:szCs w:val="24"/>
        </w:rPr>
        <w:lastRenderedPageBreak/>
        <w:t>TERCERO</w:t>
      </w:r>
      <w:r w:rsidRPr="001B69EF">
        <w:rPr>
          <w:rFonts w:ascii="Palatino Linotype" w:hAnsi="Palatino Linotype" w:cs="Arial"/>
          <w:b/>
          <w:sz w:val="24"/>
          <w:szCs w:val="24"/>
        </w:rPr>
        <w:t>.</w:t>
      </w:r>
      <w:r w:rsidRPr="001B69EF">
        <w:rPr>
          <w:rFonts w:ascii="Palatino Linotype" w:hAnsi="Palatino Linotype" w:cs="Arial"/>
          <w:sz w:val="24"/>
          <w:szCs w:val="24"/>
        </w:rPr>
        <w:t xml:space="preserve"> </w:t>
      </w:r>
      <w:r w:rsidRPr="001B69EF">
        <w:rPr>
          <w:rFonts w:ascii="Palatino Linotype" w:hAnsi="Palatino Linotype" w:cs="Arial"/>
          <w:b/>
          <w:sz w:val="24"/>
          <w:szCs w:val="24"/>
        </w:rPr>
        <w:t>Notifíquese</w:t>
      </w:r>
      <w:r w:rsidRPr="001B69EF">
        <w:rPr>
          <w:rFonts w:ascii="Palatino Linotype" w:hAnsi="Palatino Linotype" w:cs="Arial"/>
          <w:b/>
          <w:i/>
          <w:sz w:val="24"/>
          <w:szCs w:val="24"/>
        </w:rPr>
        <w:t xml:space="preserve"> </w:t>
      </w:r>
      <w:r w:rsidRPr="001B69EF">
        <w:rPr>
          <w:rFonts w:ascii="Palatino Linotype" w:hAnsi="Palatino Linotype" w:cs="Arial"/>
          <w:sz w:val="24"/>
          <w:szCs w:val="24"/>
        </w:rPr>
        <w:t>al Titular de la Unidad de Transparencia del</w:t>
      </w:r>
      <w:r w:rsidRPr="001B69EF">
        <w:rPr>
          <w:rFonts w:ascii="Palatino Linotype" w:hAnsi="Palatino Linotype" w:cs="Arial"/>
          <w:b/>
          <w:sz w:val="24"/>
          <w:szCs w:val="24"/>
        </w:rPr>
        <w:t xml:space="preserve"> Sujeto Obligado</w:t>
      </w:r>
      <w:r w:rsidRPr="001B69EF">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1B69EF">
        <w:rPr>
          <w:rFonts w:ascii="Palatino Linotype" w:hAnsi="Palatino Linotype" w:cs="Arial"/>
          <w:b/>
          <w:sz w:val="24"/>
          <w:szCs w:val="32"/>
          <w:lang w:val="es-ES_tradnl"/>
        </w:rPr>
        <w:t>y</w:t>
      </w:r>
      <w:r w:rsidRPr="001B69EF">
        <w:rPr>
          <w:rFonts w:ascii="Palatino Linotype" w:hAnsi="Palatino Linotype" w:cs="Arial"/>
          <w:sz w:val="24"/>
          <w:szCs w:val="32"/>
          <w:lang w:val="es-ES_tradnl"/>
        </w:rPr>
        <w:t xml:space="preserve"> </w:t>
      </w:r>
      <w:r w:rsidRPr="001B69EF">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330A7C5" w14:textId="77777777" w:rsidR="0085737D" w:rsidRPr="001B69EF" w:rsidRDefault="0085737D" w:rsidP="0085737D">
      <w:pPr>
        <w:tabs>
          <w:tab w:val="left" w:pos="8647"/>
        </w:tabs>
        <w:spacing w:after="0" w:line="360" w:lineRule="auto"/>
        <w:ind w:right="51"/>
        <w:jc w:val="both"/>
        <w:rPr>
          <w:rFonts w:ascii="Palatino Linotype" w:hAnsi="Palatino Linotype" w:cs="Arial"/>
          <w:sz w:val="24"/>
          <w:szCs w:val="24"/>
        </w:rPr>
      </w:pPr>
    </w:p>
    <w:p w14:paraId="4CA0FEDE" w14:textId="77777777" w:rsidR="0085737D" w:rsidRPr="001B69EF" w:rsidRDefault="0085737D" w:rsidP="0085737D">
      <w:pPr>
        <w:spacing w:after="0" w:line="360" w:lineRule="auto"/>
        <w:jc w:val="both"/>
        <w:rPr>
          <w:rFonts w:ascii="Palatino Linotype" w:eastAsia="Times New Roman" w:hAnsi="Palatino Linotype" w:cs="Arial"/>
          <w:sz w:val="24"/>
          <w:szCs w:val="24"/>
          <w:lang w:val="es-ES" w:eastAsia="es-ES"/>
        </w:rPr>
      </w:pPr>
      <w:r w:rsidRPr="001B69EF">
        <w:rPr>
          <w:rFonts w:ascii="Palatino Linotype" w:eastAsia="Times New Roman" w:hAnsi="Palatino Linotype" w:cs="Arial"/>
          <w:b/>
          <w:sz w:val="28"/>
          <w:szCs w:val="24"/>
          <w:lang w:val="es-ES" w:eastAsia="es-ES"/>
        </w:rPr>
        <w:t>CUARTO</w:t>
      </w:r>
      <w:r w:rsidRPr="001B69EF">
        <w:rPr>
          <w:rFonts w:ascii="Palatino Linotype" w:eastAsia="Times New Roman" w:hAnsi="Palatino Linotype" w:cs="Arial"/>
          <w:b/>
          <w:sz w:val="24"/>
          <w:szCs w:val="24"/>
          <w:lang w:val="es-ES" w:eastAsia="es-ES"/>
        </w:rPr>
        <w:t>. Notifíquese</w:t>
      </w:r>
      <w:r w:rsidRPr="001B69EF">
        <w:rPr>
          <w:rFonts w:ascii="Palatino Linotype" w:eastAsia="Times New Roman" w:hAnsi="Palatino Linotype" w:cs="Arial"/>
          <w:sz w:val="24"/>
          <w:szCs w:val="24"/>
          <w:lang w:val="es-ES" w:eastAsia="es-ES"/>
        </w:rPr>
        <w:t xml:space="preserve"> </w:t>
      </w:r>
      <w:r w:rsidRPr="001B69EF">
        <w:rPr>
          <w:rFonts w:ascii="Palatino Linotype" w:eastAsia="Times New Roman" w:hAnsi="Palatino Linotype" w:cs="Arial"/>
          <w:b/>
          <w:sz w:val="24"/>
          <w:szCs w:val="24"/>
          <w:lang w:val="es-ES" w:eastAsia="es-ES"/>
        </w:rPr>
        <w:t>a la Recurrente</w:t>
      </w:r>
      <w:r w:rsidRPr="001B69EF">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575E5D5E" w14:textId="77777777" w:rsidR="0085737D" w:rsidRPr="001B69EF" w:rsidRDefault="0085737D" w:rsidP="0085737D">
      <w:pPr>
        <w:spacing w:after="0" w:line="360" w:lineRule="auto"/>
        <w:jc w:val="both"/>
        <w:rPr>
          <w:rFonts w:ascii="Palatino Linotype" w:hAnsi="Palatino Linotype"/>
          <w:sz w:val="24"/>
          <w:szCs w:val="24"/>
          <w:lang w:eastAsia="es-ES_tradnl"/>
        </w:rPr>
      </w:pPr>
    </w:p>
    <w:p w14:paraId="5A30CD5E" w14:textId="77777777" w:rsidR="0085737D" w:rsidRPr="001B69EF" w:rsidRDefault="0085737D" w:rsidP="0085737D">
      <w:pPr>
        <w:spacing w:after="0" w:line="360" w:lineRule="auto"/>
        <w:jc w:val="both"/>
        <w:rPr>
          <w:rFonts w:ascii="Palatino Linotype" w:eastAsia="Calibri" w:hAnsi="Palatino Linotype" w:cs="Times New Roman"/>
          <w:sz w:val="24"/>
          <w:szCs w:val="24"/>
          <w:lang w:eastAsia="es-ES_tradnl"/>
        </w:rPr>
      </w:pPr>
      <w:r w:rsidRPr="001B69EF">
        <w:rPr>
          <w:rFonts w:ascii="Palatino Linotype" w:eastAsia="Calibri" w:hAnsi="Palatino Linotype" w:cs="Times New Roman"/>
          <w:b/>
          <w:sz w:val="28"/>
          <w:szCs w:val="24"/>
          <w:lang w:eastAsia="es-ES_tradnl"/>
        </w:rPr>
        <w:t>QUINTO</w:t>
      </w:r>
      <w:r w:rsidRPr="001B69EF">
        <w:rPr>
          <w:rFonts w:ascii="Palatino Linotype" w:eastAsia="Calibri" w:hAnsi="Palatino Linotype" w:cs="Times New Roman"/>
          <w:b/>
          <w:sz w:val="24"/>
          <w:szCs w:val="24"/>
          <w:lang w:eastAsia="es-ES_tradnl"/>
        </w:rPr>
        <w:t>.</w:t>
      </w:r>
      <w:r w:rsidRPr="001B69EF">
        <w:rPr>
          <w:rFonts w:ascii="Palatino Linotype" w:eastAsia="Calibri" w:hAnsi="Palatino Linotype" w:cs="Times New Roman"/>
          <w:sz w:val="24"/>
          <w:szCs w:val="24"/>
          <w:lang w:eastAsia="es-ES_tradnl"/>
        </w:rPr>
        <w:t xml:space="preserve"> </w:t>
      </w:r>
      <w:r w:rsidRPr="001B69EF">
        <w:rPr>
          <w:rFonts w:ascii="Palatino Linotype" w:eastAsia="Calibri" w:hAnsi="Palatino Linotype" w:cs="Times New Roman"/>
          <w:b/>
          <w:sz w:val="24"/>
          <w:szCs w:val="24"/>
          <w:lang w:eastAsia="es-ES_tradnl"/>
        </w:rPr>
        <w:t>Notifíquese</w:t>
      </w:r>
      <w:r w:rsidRPr="001B69EF">
        <w:rPr>
          <w:rFonts w:ascii="Palatino Linotype" w:eastAsia="Calibri" w:hAnsi="Palatino Linotype" w:cs="Times New Roman"/>
          <w:sz w:val="24"/>
          <w:szCs w:val="24"/>
          <w:lang w:eastAsia="es-ES_tradnl"/>
        </w:rPr>
        <w:t xml:space="preserve"> al </w:t>
      </w:r>
      <w:r w:rsidRPr="001B69EF">
        <w:rPr>
          <w:rFonts w:ascii="Palatino Linotype" w:eastAsia="Calibri" w:hAnsi="Palatino Linotype" w:cs="Times New Roman"/>
          <w:b/>
          <w:sz w:val="24"/>
          <w:szCs w:val="24"/>
          <w:lang w:eastAsia="es-ES_tradnl"/>
        </w:rPr>
        <w:t>Recurrente</w:t>
      </w:r>
      <w:r w:rsidRPr="001B69EF">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1B69EF">
        <w:rPr>
          <w:rFonts w:ascii="Palatino Linotype" w:eastAsia="Calibri" w:hAnsi="Palatino Linotype" w:cs="Times New Roman"/>
          <w:b/>
          <w:sz w:val="24"/>
          <w:szCs w:val="24"/>
          <w:lang w:eastAsia="es-ES_tradnl"/>
        </w:rPr>
        <w:t>Sujeto Obligado</w:t>
      </w:r>
      <w:r w:rsidRPr="001B69EF">
        <w:rPr>
          <w:rFonts w:ascii="Palatino Linotype" w:eastAsia="Calibri" w:hAnsi="Palatino Linotype" w:cs="Times New Roman"/>
          <w:sz w:val="24"/>
          <w:szCs w:val="24"/>
          <w:lang w:eastAsia="es-ES_tradnl"/>
        </w:rPr>
        <w:t>, en cumplimiento a esta Resolución.</w:t>
      </w:r>
    </w:p>
    <w:p w14:paraId="1D437068" w14:textId="77777777" w:rsidR="0085737D" w:rsidRPr="001B69EF" w:rsidRDefault="0085737D" w:rsidP="0085737D">
      <w:pPr>
        <w:spacing w:after="0" w:line="360" w:lineRule="auto"/>
        <w:jc w:val="both"/>
        <w:rPr>
          <w:rFonts w:ascii="Palatino Linotype" w:eastAsia="Calibri" w:hAnsi="Palatino Linotype" w:cs="Times New Roman"/>
          <w:sz w:val="24"/>
          <w:szCs w:val="24"/>
          <w:lang w:eastAsia="es-ES_tradnl"/>
        </w:rPr>
      </w:pPr>
    </w:p>
    <w:p w14:paraId="3F3C16C7" w14:textId="77777777" w:rsidR="0085737D" w:rsidRPr="001B69EF" w:rsidRDefault="0085737D" w:rsidP="00253336">
      <w:pPr>
        <w:spacing w:after="0" w:line="360" w:lineRule="auto"/>
        <w:jc w:val="both"/>
        <w:rPr>
          <w:rFonts w:ascii="Palatino Linotype" w:hAnsi="Palatino Linotype"/>
          <w:sz w:val="24"/>
          <w:szCs w:val="24"/>
          <w:lang w:eastAsia="es-ES_tradnl"/>
        </w:rPr>
      </w:pPr>
      <w:r w:rsidRPr="001B69EF">
        <w:rPr>
          <w:rFonts w:ascii="Palatino Linotype" w:eastAsia="Calibri" w:hAnsi="Palatino Linotype" w:cs="Times New Roman"/>
          <w:b/>
          <w:sz w:val="28"/>
          <w:szCs w:val="24"/>
          <w:lang w:eastAsia="es-ES_tradnl"/>
        </w:rPr>
        <w:lastRenderedPageBreak/>
        <w:t>SEXTO</w:t>
      </w:r>
      <w:r w:rsidRPr="001B69EF">
        <w:rPr>
          <w:rFonts w:ascii="Palatino Linotype" w:eastAsia="Calibri" w:hAnsi="Palatino Linotype" w:cs="Times New Roman"/>
          <w:b/>
          <w:sz w:val="24"/>
          <w:szCs w:val="24"/>
          <w:lang w:eastAsia="es-ES_tradnl"/>
        </w:rPr>
        <w:t xml:space="preserve">. - </w:t>
      </w:r>
      <w:r w:rsidRPr="001B69EF">
        <w:rPr>
          <w:rFonts w:ascii="Palatino Linotype" w:hAnsi="Palatino Linotype"/>
          <w:b/>
          <w:sz w:val="24"/>
          <w:szCs w:val="24"/>
          <w:lang w:eastAsia="es-ES_tradnl"/>
        </w:rPr>
        <w:t xml:space="preserve">Gírese </w:t>
      </w:r>
      <w:r w:rsidRPr="001B69EF">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1B69EF">
        <w:rPr>
          <w:rFonts w:ascii="Palatino Linotype" w:hAnsi="Palatino Linotype"/>
          <w:b/>
          <w:bCs/>
          <w:sz w:val="24"/>
          <w:szCs w:val="24"/>
          <w:lang w:eastAsia="es-ES_tradnl"/>
        </w:rPr>
        <w:t>CUARTO</w:t>
      </w:r>
      <w:r w:rsidRPr="001B69EF">
        <w:rPr>
          <w:rFonts w:ascii="Palatino Linotype" w:hAnsi="Palatino Linotype"/>
          <w:sz w:val="24"/>
          <w:szCs w:val="24"/>
          <w:lang w:eastAsia="es-ES_tradnl"/>
        </w:rPr>
        <w:t xml:space="preserve"> de la presente resolución. </w:t>
      </w:r>
    </w:p>
    <w:p w14:paraId="7F42B7B1" w14:textId="77777777" w:rsidR="0085737D" w:rsidRPr="001B69EF" w:rsidRDefault="0085737D" w:rsidP="0085737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D8DF49E" w14:textId="77777777" w:rsidR="0085737D" w:rsidRPr="001B69EF" w:rsidRDefault="0085737D" w:rsidP="0085737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1B69EF">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253336" w:rsidRPr="001B69EF">
        <w:rPr>
          <w:rFonts w:ascii="Palatino Linotype" w:eastAsiaTheme="minorEastAsia" w:hAnsi="Palatino Linotype"/>
          <w:color w:val="000000" w:themeColor="text1"/>
          <w:sz w:val="24"/>
          <w:szCs w:val="24"/>
          <w:lang w:val="es-ES_tradnl" w:eastAsia="es-ES"/>
        </w:rPr>
        <w:t xml:space="preserve"> </w:t>
      </w:r>
      <w:r w:rsidR="00253336" w:rsidRPr="001B69EF">
        <w:rPr>
          <w:rFonts w:ascii="Palatino Linotype" w:hAnsi="Palatino Linotype" w:cs="Arial"/>
          <w:sz w:val="24"/>
          <w:szCs w:val="24"/>
        </w:rPr>
        <w:t>(AUSENCIA JUSTIFICADA)</w:t>
      </w:r>
      <w:r w:rsidRPr="001B69EF">
        <w:rPr>
          <w:rFonts w:ascii="Palatino Linotype" w:eastAsiaTheme="minorEastAsia" w:hAnsi="Palatino Linotype"/>
          <w:color w:val="000000" w:themeColor="text1"/>
          <w:sz w:val="24"/>
          <w:szCs w:val="24"/>
          <w:lang w:val="es-ES_tradnl" w:eastAsia="es-ES"/>
        </w:rPr>
        <w:t xml:space="preserve">, SHARON CRISTINA MORALES MARTÍNEZ, LUIS GUSTAVO PARRA NORIEGA Y GUADALUPE RAMIREZ PEÑA; EN LA TRIGÉSIMA </w:t>
      </w:r>
      <w:r w:rsidR="00D57FDB" w:rsidRPr="001B69EF">
        <w:rPr>
          <w:rFonts w:ascii="Palatino Linotype" w:eastAsiaTheme="minorEastAsia" w:hAnsi="Palatino Linotype"/>
          <w:color w:val="000000" w:themeColor="text1"/>
          <w:sz w:val="24"/>
          <w:szCs w:val="24"/>
          <w:lang w:val="es-ES_tradnl" w:eastAsia="es-ES"/>
        </w:rPr>
        <w:t>CUARTA</w:t>
      </w:r>
      <w:r w:rsidRPr="001B69EF">
        <w:rPr>
          <w:rFonts w:ascii="Palatino Linotype" w:eastAsiaTheme="minorEastAsia" w:hAnsi="Palatino Linotype"/>
          <w:color w:val="000000" w:themeColor="text1"/>
          <w:sz w:val="24"/>
          <w:szCs w:val="24"/>
          <w:lang w:val="es-ES_tradnl" w:eastAsia="es-ES"/>
        </w:rPr>
        <w:t xml:space="preserve"> SESIÓN ORDINARIA CELEBRADA EL </w:t>
      </w:r>
      <w:r w:rsidR="00D57FDB" w:rsidRPr="001B69EF">
        <w:rPr>
          <w:rFonts w:ascii="Palatino Linotype" w:eastAsiaTheme="minorEastAsia" w:hAnsi="Palatino Linotype"/>
          <w:color w:val="000000" w:themeColor="text1"/>
          <w:sz w:val="24"/>
          <w:szCs w:val="24"/>
          <w:lang w:val="es-ES_tradnl" w:eastAsia="es-ES"/>
        </w:rPr>
        <w:t>VEINT</w:t>
      </w:r>
      <w:r w:rsidR="00DB18E8" w:rsidRPr="001B69EF">
        <w:rPr>
          <w:rFonts w:ascii="Palatino Linotype" w:eastAsiaTheme="minorEastAsia" w:hAnsi="Palatino Linotype"/>
          <w:color w:val="000000" w:themeColor="text1"/>
          <w:sz w:val="24"/>
          <w:szCs w:val="24"/>
          <w:lang w:val="es-ES_tradnl" w:eastAsia="es-ES"/>
        </w:rPr>
        <w:t>E</w:t>
      </w:r>
      <w:r w:rsidRPr="001B69EF">
        <w:rPr>
          <w:rFonts w:ascii="Palatino Linotype" w:eastAsiaTheme="minorEastAsia" w:hAnsi="Palatino Linotype"/>
          <w:color w:val="000000" w:themeColor="text1"/>
          <w:sz w:val="24"/>
          <w:szCs w:val="24"/>
          <w:lang w:val="es-ES_tradnl" w:eastAsia="es-ES"/>
        </w:rPr>
        <w:t xml:space="preserve"> DE SEPTIEMBRE DE DOS MIL VEINTITRÉS, ANTE EL SECRETARIO TÉCNICO DEL PLENO ALEXIS TAPIA RAMÍREZ.----------------------------------------------------------------------------------------------------------------------------------------------------------------------------------------------------------------------------------------------------------------------------------------------------------------------------------------------------------------------------------------------------------------------------------------------------------------------------------------------------------------------------------------------------------------------------------------------------------------------------------------------------------------------------------------------------------------------------------------------------------------------------------------------------------------------------------------------------------------------------------------------------------------------------------------------------------------------------------------------------------------------------</w:t>
      </w:r>
    </w:p>
    <w:p w14:paraId="09EE19DC" w14:textId="77777777" w:rsidR="0085737D" w:rsidRPr="00E11432" w:rsidRDefault="0085737D" w:rsidP="0085737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1B69EF">
        <w:rPr>
          <w:rFonts w:ascii="Palatino Linotype" w:hAnsi="Palatino Linotype"/>
          <w:sz w:val="16"/>
          <w:szCs w:val="18"/>
        </w:rPr>
        <w:t>JMV/CCR/LMST</w:t>
      </w:r>
      <w:bookmarkStart w:id="2" w:name="_GoBack"/>
      <w:bookmarkEnd w:id="2"/>
    </w:p>
    <w:p w14:paraId="0E62B2D7" w14:textId="77777777" w:rsidR="0085737D" w:rsidRDefault="0085737D" w:rsidP="0085737D"/>
    <w:p w14:paraId="7B739222" w14:textId="77777777" w:rsidR="0085737D" w:rsidRDefault="0085737D" w:rsidP="0085737D"/>
    <w:p w14:paraId="1BBA0CC1" w14:textId="77777777" w:rsidR="00547F37" w:rsidRPr="006067D0" w:rsidRDefault="00547F37" w:rsidP="006067D0">
      <w:pPr>
        <w:tabs>
          <w:tab w:val="left" w:pos="2355"/>
        </w:tabs>
      </w:pPr>
    </w:p>
    <w:sectPr w:rsidR="00547F37" w:rsidRPr="006067D0" w:rsidSect="00547F37">
      <w:headerReference w:type="even" r:id="rId18"/>
      <w:headerReference w:type="default" r:id="rId19"/>
      <w:footerReference w:type="default" r:id="rId20"/>
      <w:headerReference w:type="first" r:id="rId21"/>
      <w:footerReference w:type="first" r:id="rId2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6D30C" w14:textId="77777777" w:rsidR="00141F5C" w:rsidRDefault="00141F5C" w:rsidP="00ED34B5">
      <w:pPr>
        <w:spacing w:after="0" w:line="240" w:lineRule="auto"/>
      </w:pPr>
      <w:r>
        <w:separator/>
      </w:r>
    </w:p>
  </w:endnote>
  <w:endnote w:type="continuationSeparator" w:id="0">
    <w:p w14:paraId="6C27F5EC" w14:textId="77777777" w:rsidR="00141F5C" w:rsidRDefault="00141F5C" w:rsidP="00ED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3CCE9" w14:textId="77777777" w:rsidR="00141F5C" w:rsidRPr="000B69FA" w:rsidRDefault="00141F5C" w:rsidP="00547F3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69EF">
      <w:rPr>
        <w:rFonts w:ascii="Palatino Linotype" w:hAnsi="Palatino Linotype"/>
        <w:bCs/>
        <w:noProof/>
        <w:sz w:val="20"/>
      </w:rPr>
      <w:t>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B69EF">
      <w:rPr>
        <w:rFonts w:ascii="Palatino Linotype" w:hAnsi="Palatino Linotype"/>
        <w:bCs/>
        <w:noProof/>
        <w:sz w:val="20"/>
      </w:rPr>
      <w:t>47</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0956C" w14:textId="77777777" w:rsidR="00141F5C" w:rsidRPr="000B69FA" w:rsidRDefault="00141F5C" w:rsidP="00547F3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69E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B69EF">
      <w:rPr>
        <w:rFonts w:ascii="Palatino Linotype" w:hAnsi="Palatino Linotype"/>
        <w:bCs/>
        <w:noProof/>
        <w:sz w:val="20"/>
      </w:rPr>
      <w:t>47</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A5E94" w14:textId="77777777" w:rsidR="00141F5C" w:rsidRDefault="00141F5C" w:rsidP="00ED34B5">
      <w:pPr>
        <w:spacing w:after="0" w:line="240" w:lineRule="auto"/>
      </w:pPr>
      <w:r>
        <w:separator/>
      </w:r>
    </w:p>
  </w:footnote>
  <w:footnote w:type="continuationSeparator" w:id="0">
    <w:p w14:paraId="2E89A55E" w14:textId="77777777" w:rsidR="00141F5C" w:rsidRDefault="00141F5C" w:rsidP="00ED34B5">
      <w:pPr>
        <w:spacing w:after="0" w:line="240" w:lineRule="auto"/>
      </w:pPr>
      <w:r>
        <w:continuationSeparator/>
      </w:r>
    </w:p>
  </w:footnote>
  <w:footnote w:id="1">
    <w:p w14:paraId="22F584D2" w14:textId="77777777" w:rsidR="00141F5C" w:rsidRPr="00481AAF" w:rsidRDefault="00141F5C" w:rsidP="00ED34B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3FF53173" w14:textId="77777777" w:rsidR="00141F5C" w:rsidRPr="00946E1F" w:rsidRDefault="00141F5C" w:rsidP="00ED34B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E4B20" w14:textId="77777777" w:rsidR="00141F5C" w:rsidRDefault="001B69EF">
    <w:pPr>
      <w:pStyle w:val="Encabezado"/>
    </w:pPr>
    <w:r>
      <w:rPr>
        <w:noProof/>
      </w:rPr>
      <w:pict w14:anchorId="41CE3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EB3F9" w14:textId="77777777" w:rsidR="00141F5C" w:rsidRDefault="001B69EF">
    <w:pPr>
      <w:pStyle w:val="Encabezado"/>
    </w:pPr>
    <w:r>
      <w:rPr>
        <w:noProof/>
      </w:rPr>
      <w:pict w14:anchorId="1EAE6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141F5C" w14:paraId="5A31AEA8" w14:textId="77777777" w:rsidTr="00547F37">
      <w:trPr>
        <w:trHeight w:val="227"/>
      </w:trPr>
      <w:tc>
        <w:tcPr>
          <w:tcW w:w="5949" w:type="dxa"/>
          <w:hideMark/>
        </w:tcPr>
        <w:p w14:paraId="5BDB4A65" w14:textId="77777777" w:rsidR="00141F5C" w:rsidRDefault="00141F5C"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6C1F71C" w14:textId="77777777" w:rsidR="00141F5C" w:rsidRPr="00B4142F" w:rsidRDefault="00141F5C" w:rsidP="00547F3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16260/INFOEM/IP/RR/2022</w:t>
          </w:r>
        </w:p>
      </w:tc>
    </w:tr>
    <w:tr w:rsidR="00141F5C" w14:paraId="7837A4C2" w14:textId="77777777" w:rsidTr="00547F37">
      <w:trPr>
        <w:trHeight w:val="242"/>
      </w:trPr>
      <w:tc>
        <w:tcPr>
          <w:tcW w:w="5949" w:type="dxa"/>
          <w:hideMark/>
        </w:tcPr>
        <w:p w14:paraId="3F0659CB" w14:textId="77777777" w:rsidR="00141F5C" w:rsidRDefault="00141F5C"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71AF96C3" w14:textId="77777777" w:rsidR="00141F5C" w:rsidRPr="00F06FED" w:rsidRDefault="00141F5C" w:rsidP="00547F37">
          <w:pPr>
            <w:spacing w:after="120" w:line="256" w:lineRule="auto"/>
            <w:ind w:right="214"/>
            <w:jc w:val="right"/>
            <w:rPr>
              <w:rFonts w:ascii="Palatino Linotype" w:hAnsi="Palatino Linotype" w:cs="Arial"/>
            </w:rPr>
          </w:pPr>
          <w:r w:rsidRPr="00AD361C">
            <w:rPr>
              <w:rFonts w:ascii="Palatino Linotype" w:hAnsi="Palatino Linotype" w:cs="Arial"/>
              <w:szCs w:val="20"/>
            </w:rPr>
            <w:t xml:space="preserve">Ayuntamiento de </w:t>
          </w:r>
          <w:r>
            <w:rPr>
              <w:rFonts w:ascii="Palatino Linotype" w:hAnsi="Palatino Linotype" w:cs="Arial"/>
              <w:szCs w:val="20"/>
            </w:rPr>
            <w:t>Naucalpan de Juárez</w:t>
          </w:r>
        </w:p>
      </w:tc>
    </w:tr>
    <w:tr w:rsidR="00141F5C" w14:paraId="61E23F19" w14:textId="77777777" w:rsidTr="00547F37">
      <w:trPr>
        <w:trHeight w:val="342"/>
      </w:trPr>
      <w:tc>
        <w:tcPr>
          <w:tcW w:w="5949" w:type="dxa"/>
          <w:hideMark/>
        </w:tcPr>
        <w:p w14:paraId="09B8924D" w14:textId="77777777" w:rsidR="00141F5C" w:rsidRDefault="00141F5C" w:rsidP="00547F3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08D15623" w14:textId="77777777" w:rsidR="00141F5C" w:rsidRDefault="00141F5C" w:rsidP="00547F3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3F9B9FBD" w14:textId="77777777" w:rsidR="00141F5C" w:rsidRDefault="00141F5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141F5C" w14:paraId="790CAC1F" w14:textId="77777777" w:rsidTr="00547F37">
      <w:trPr>
        <w:trHeight w:val="227"/>
      </w:trPr>
      <w:tc>
        <w:tcPr>
          <w:tcW w:w="6091" w:type="dxa"/>
          <w:hideMark/>
        </w:tcPr>
        <w:p w14:paraId="10F290C1" w14:textId="77777777" w:rsidR="00141F5C" w:rsidRDefault="00141F5C"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44A7EBC5" w14:textId="77777777" w:rsidR="00141F5C" w:rsidRPr="00B4142F" w:rsidRDefault="00141F5C" w:rsidP="00ED34B5">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16260/INFOEM/IP/RR/2022</w:t>
          </w:r>
        </w:p>
      </w:tc>
    </w:tr>
    <w:tr w:rsidR="00141F5C" w14:paraId="532F81F9" w14:textId="77777777" w:rsidTr="00547F37">
      <w:trPr>
        <w:trHeight w:val="196"/>
      </w:trPr>
      <w:tc>
        <w:tcPr>
          <w:tcW w:w="6091" w:type="dxa"/>
          <w:hideMark/>
        </w:tcPr>
        <w:p w14:paraId="76340D01" w14:textId="77777777" w:rsidR="00141F5C" w:rsidRDefault="00141F5C"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45E3E75C" w14:textId="263F9EA8" w:rsidR="00141F5C" w:rsidRPr="00F06FED" w:rsidRDefault="00523DA3" w:rsidP="00547F37">
          <w:pPr>
            <w:spacing w:after="120" w:line="256" w:lineRule="auto"/>
            <w:ind w:right="214"/>
            <w:jc w:val="right"/>
            <w:rPr>
              <w:rFonts w:ascii="Palatino Linotype" w:hAnsi="Palatino Linotype" w:cs="Arial"/>
            </w:rPr>
          </w:pPr>
          <w:r>
            <w:rPr>
              <w:rFonts w:ascii="Palatino Linotype" w:hAnsi="Palatino Linotype" w:cs="Arial"/>
            </w:rPr>
            <w:t>XXXX</w:t>
          </w:r>
        </w:p>
      </w:tc>
    </w:tr>
    <w:tr w:rsidR="00141F5C" w14:paraId="6594F9A7" w14:textId="77777777" w:rsidTr="00547F37">
      <w:trPr>
        <w:trHeight w:val="242"/>
      </w:trPr>
      <w:tc>
        <w:tcPr>
          <w:tcW w:w="6091" w:type="dxa"/>
          <w:hideMark/>
        </w:tcPr>
        <w:p w14:paraId="609A0738" w14:textId="77777777" w:rsidR="00141F5C" w:rsidRDefault="00141F5C"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1013E06A" w14:textId="77777777" w:rsidR="00141F5C" w:rsidRDefault="00141F5C" w:rsidP="00B3453A">
          <w:pPr>
            <w:spacing w:after="120" w:line="256" w:lineRule="auto"/>
            <w:ind w:right="214"/>
            <w:jc w:val="right"/>
            <w:rPr>
              <w:rFonts w:ascii="Palatino Linotype" w:hAnsi="Palatino Linotype" w:cs="Arial"/>
              <w:szCs w:val="20"/>
            </w:rPr>
          </w:pPr>
          <w:r>
            <w:rPr>
              <w:rFonts w:ascii="Palatino Linotype" w:hAnsi="Palatino Linotype" w:cs="Arial"/>
              <w:szCs w:val="20"/>
            </w:rPr>
            <w:t>Ayuntamiento de Naucalpan de Juárez</w:t>
          </w:r>
        </w:p>
      </w:tc>
    </w:tr>
    <w:tr w:rsidR="00141F5C" w14:paraId="62924375" w14:textId="77777777" w:rsidTr="00547F37">
      <w:trPr>
        <w:trHeight w:val="342"/>
      </w:trPr>
      <w:tc>
        <w:tcPr>
          <w:tcW w:w="6091" w:type="dxa"/>
          <w:hideMark/>
        </w:tcPr>
        <w:p w14:paraId="1F3A6FE2" w14:textId="77777777" w:rsidR="00141F5C" w:rsidRDefault="00141F5C" w:rsidP="00547F3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1FE30061" w14:textId="77777777" w:rsidR="00141F5C" w:rsidRDefault="00141F5C" w:rsidP="00547F37">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032BE84" w14:textId="77777777" w:rsidR="00141F5C" w:rsidRDefault="001B69EF">
    <w:pPr>
      <w:pStyle w:val="Encabezado"/>
    </w:pPr>
    <w:r>
      <w:rPr>
        <w:noProof/>
      </w:rPr>
      <w:pict w14:anchorId="24852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60B9"/>
    <w:multiLevelType w:val="hybridMultilevel"/>
    <w:tmpl w:val="DB9A2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003C6"/>
    <w:multiLevelType w:val="hybridMultilevel"/>
    <w:tmpl w:val="6FB600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CA3910"/>
    <w:multiLevelType w:val="hybridMultilevel"/>
    <w:tmpl w:val="0714D37A"/>
    <w:lvl w:ilvl="0" w:tplc="A26A4098">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C300EC"/>
    <w:multiLevelType w:val="hybridMultilevel"/>
    <w:tmpl w:val="FF9EF86E"/>
    <w:lvl w:ilvl="0" w:tplc="3224154A">
      <w:start w:val="1"/>
      <w:numFmt w:val="decimal"/>
      <w:lvlText w:val="%1."/>
      <w:lvlJc w:val="left"/>
      <w:pPr>
        <w:ind w:left="720" w:hanging="360"/>
      </w:pPr>
      <w:rPr>
        <w:rFonts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F3366F"/>
    <w:multiLevelType w:val="hybridMultilevel"/>
    <w:tmpl w:val="BA1C5378"/>
    <w:lvl w:ilvl="0" w:tplc="776E33D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E317128"/>
    <w:multiLevelType w:val="hybridMultilevel"/>
    <w:tmpl w:val="1F9AA1B4"/>
    <w:lvl w:ilvl="0" w:tplc="080A000F">
      <w:start w:val="1"/>
      <w:numFmt w:val="decimal"/>
      <w:lvlText w:val="%1."/>
      <w:lvlJc w:val="left"/>
      <w:pPr>
        <w:ind w:left="1571"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22803773"/>
    <w:multiLevelType w:val="hybridMultilevel"/>
    <w:tmpl w:val="F9D06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472F2B"/>
    <w:multiLevelType w:val="hybridMultilevel"/>
    <w:tmpl w:val="DB9A2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7900A2"/>
    <w:multiLevelType w:val="hybridMultilevel"/>
    <w:tmpl w:val="5132595C"/>
    <w:lvl w:ilvl="0" w:tplc="49C207F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2B62628"/>
    <w:multiLevelType w:val="hybridMultilevel"/>
    <w:tmpl w:val="1F9AA1B4"/>
    <w:lvl w:ilvl="0" w:tplc="080A000F">
      <w:start w:val="1"/>
      <w:numFmt w:val="decimal"/>
      <w:lvlText w:val="%1."/>
      <w:lvlJc w:val="left"/>
      <w:pPr>
        <w:ind w:left="1571"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9C0BD0"/>
    <w:multiLevelType w:val="hybridMultilevel"/>
    <w:tmpl w:val="C62C2C74"/>
    <w:lvl w:ilvl="0" w:tplc="C992A1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868F9"/>
    <w:multiLevelType w:val="hybridMultilevel"/>
    <w:tmpl w:val="7F046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1" w15:restartNumberingAfterBreak="0">
    <w:nsid w:val="56720984"/>
    <w:multiLevelType w:val="hybridMultilevel"/>
    <w:tmpl w:val="DE00489C"/>
    <w:lvl w:ilvl="0" w:tplc="16E6E7A0">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D70E11"/>
    <w:multiLevelType w:val="hybridMultilevel"/>
    <w:tmpl w:val="D3DE6382"/>
    <w:lvl w:ilvl="0" w:tplc="D48CA18C">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796900"/>
    <w:multiLevelType w:val="hybridMultilevel"/>
    <w:tmpl w:val="47D418C6"/>
    <w:lvl w:ilvl="0" w:tplc="080A0001">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93D205C"/>
    <w:multiLevelType w:val="hybridMultilevel"/>
    <w:tmpl w:val="64C423A2"/>
    <w:lvl w:ilvl="0" w:tplc="6964B39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6E4C2CCB"/>
    <w:multiLevelType w:val="hybridMultilevel"/>
    <w:tmpl w:val="C462959C"/>
    <w:lvl w:ilvl="0" w:tplc="FB628C14">
      <w:start w:val="1"/>
      <w:numFmt w:val="upperRoman"/>
      <w:lvlText w:val="%1."/>
      <w:lvlJc w:val="left"/>
      <w:pPr>
        <w:ind w:left="1080" w:hanging="72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0C630D4"/>
    <w:multiLevelType w:val="hybridMultilevel"/>
    <w:tmpl w:val="B930FEBA"/>
    <w:lvl w:ilvl="0" w:tplc="B45A864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730978C2"/>
    <w:multiLevelType w:val="hybridMultilevel"/>
    <w:tmpl w:val="5B146A02"/>
    <w:lvl w:ilvl="0" w:tplc="391E968E">
      <w:start w:val="1"/>
      <w:numFmt w:val="lowerLetter"/>
      <w:lvlText w:val="%1."/>
      <w:lvlJc w:val="left"/>
      <w:pPr>
        <w:ind w:left="720" w:hanging="360"/>
      </w:pPr>
      <w:rPr>
        <w:rFonts w:cs="Tahoma"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17437F"/>
    <w:multiLevelType w:val="hybridMultilevel"/>
    <w:tmpl w:val="54628C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382F44"/>
    <w:multiLevelType w:val="hybridMultilevel"/>
    <w:tmpl w:val="1F9AA1B4"/>
    <w:lvl w:ilvl="0" w:tplc="080A000F">
      <w:start w:val="1"/>
      <w:numFmt w:val="decimal"/>
      <w:lvlText w:val="%1."/>
      <w:lvlJc w:val="left"/>
      <w:pPr>
        <w:ind w:left="1571"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786EC1"/>
    <w:multiLevelType w:val="hybridMultilevel"/>
    <w:tmpl w:val="FE046708"/>
    <w:lvl w:ilvl="0" w:tplc="22744566">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F73FC0"/>
    <w:multiLevelType w:val="hybridMultilevel"/>
    <w:tmpl w:val="DB9A2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8A14BB"/>
    <w:multiLevelType w:val="hybridMultilevel"/>
    <w:tmpl w:val="DB9A2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251845"/>
    <w:multiLevelType w:val="hybridMultilevel"/>
    <w:tmpl w:val="3BC08980"/>
    <w:lvl w:ilvl="0" w:tplc="9800D81C">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6"/>
  </w:num>
  <w:num w:numId="2">
    <w:abstractNumId w:val="23"/>
  </w:num>
  <w:num w:numId="3">
    <w:abstractNumId w:val="3"/>
  </w:num>
  <w:num w:numId="4">
    <w:abstractNumId w:val="6"/>
  </w:num>
  <w:num w:numId="5">
    <w:abstractNumId w:val="11"/>
  </w:num>
  <w:num w:numId="6">
    <w:abstractNumId w:val="19"/>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5"/>
  </w:num>
  <w:num w:numId="11">
    <w:abstractNumId w:val="7"/>
  </w:num>
  <w:num w:numId="12">
    <w:abstractNumId w:val="17"/>
  </w:num>
  <w:num w:numId="13">
    <w:abstractNumId w:val="26"/>
  </w:num>
  <w:num w:numId="14">
    <w:abstractNumId w:val="21"/>
  </w:num>
  <w:num w:numId="15">
    <w:abstractNumId w:val="15"/>
  </w:num>
  <w:num w:numId="16">
    <w:abstractNumId w:val="18"/>
  </w:num>
  <w:num w:numId="17">
    <w:abstractNumId w:val="28"/>
  </w:num>
  <w:num w:numId="18">
    <w:abstractNumId w:val="9"/>
  </w:num>
  <w:num w:numId="19">
    <w:abstractNumId w:val="10"/>
  </w:num>
  <w:num w:numId="20">
    <w:abstractNumId w:val="1"/>
  </w:num>
  <w:num w:numId="21">
    <w:abstractNumId w:val="5"/>
  </w:num>
  <w:num w:numId="22">
    <w:abstractNumId w:val="34"/>
  </w:num>
  <w:num w:numId="23">
    <w:abstractNumId w:val="31"/>
  </w:num>
  <w:num w:numId="24">
    <w:abstractNumId w:val="2"/>
  </w:num>
  <w:num w:numId="25">
    <w:abstractNumId w:val="22"/>
  </w:num>
  <w:num w:numId="26">
    <w:abstractNumId w:val="27"/>
  </w:num>
  <w:num w:numId="27">
    <w:abstractNumId w:val="32"/>
  </w:num>
  <w:num w:numId="28">
    <w:abstractNumId w:val="33"/>
  </w:num>
  <w:num w:numId="29">
    <w:abstractNumId w:val="0"/>
  </w:num>
  <w:num w:numId="30">
    <w:abstractNumId w:val="29"/>
  </w:num>
  <w:num w:numId="31">
    <w:abstractNumId w:val="13"/>
  </w:num>
  <w:num w:numId="32">
    <w:abstractNumId w:val="14"/>
  </w:num>
  <w:num w:numId="33">
    <w:abstractNumId w:val="30"/>
  </w:num>
  <w:num w:numId="34">
    <w:abstractNumId w:val="24"/>
  </w:num>
  <w:num w:numId="35">
    <w:abstractNumId w:val="8"/>
  </w:num>
  <w:num w:numId="36">
    <w:abstractNumId w:val="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B5"/>
    <w:rsid w:val="00000CBA"/>
    <w:rsid w:val="00092AA7"/>
    <w:rsid w:val="000A1F2E"/>
    <w:rsid w:val="000C5E3D"/>
    <w:rsid w:val="000E2944"/>
    <w:rsid w:val="00141F5C"/>
    <w:rsid w:val="001B69EF"/>
    <w:rsid w:val="001D45C3"/>
    <w:rsid w:val="002528C9"/>
    <w:rsid w:val="00253336"/>
    <w:rsid w:val="00265D66"/>
    <w:rsid w:val="00283567"/>
    <w:rsid w:val="002B5FDA"/>
    <w:rsid w:val="002F600B"/>
    <w:rsid w:val="00306B93"/>
    <w:rsid w:val="003345BD"/>
    <w:rsid w:val="00343CAB"/>
    <w:rsid w:val="0039565F"/>
    <w:rsid w:val="003B1832"/>
    <w:rsid w:val="003F2E55"/>
    <w:rsid w:val="00523DA3"/>
    <w:rsid w:val="00547F37"/>
    <w:rsid w:val="005A66EE"/>
    <w:rsid w:val="005E1175"/>
    <w:rsid w:val="006067D0"/>
    <w:rsid w:val="0066290C"/>
    <w:rsid w:val="006B13D9"/>
    <w:rsid w:val="007001D7"/>
    <w:rsid w:val="007802E1"/>
    <w:rsid w:val="007F2738"/>
    <w:rsid w:val="008067C9"/>
    <w:rsid w:val="0082703D"/>
    <w:rsid w:val="00837EC7"/>
    <w:rsid w:val="008546E3"/>
    <w:rsid w:val="00855E64"/>
    <w:rsid w:val="0085737D"/>
    <w:rsid w:val="008D2CE6"/>
    <w:rsid w:val="00937F06"/>
    <w:rsid w:val="009827D2"/>
    <w:rsid w:val="00A8035E"/>
    <w:rsid w:val="00AB432B"/>
    <w:rsid w:val="00B1502C"/>
    <w:rsid w:val="00B3453A"/>
    <w:rsid w:val="00B95AC4"/>
    <w:rsid w:val="00C10DEC"/>
    <w:rsid w:val="00C15548"/>
    <w:rsid w:val="00C30559"/>
    <w:rsid w:val="00C34021"/>
    <w:rsid w:val="00CB4044"/>
    <w:rsid w:val="00D56910"/>
    <w:rsid w:val="00D57FDB"/>
    <w:rsid w:val="00D750AC"/>
    <w:rsid w:val="00DB18E8"/>
    <w:rsid w:val="00DF0D66"/>
    <w:rsid w:val="00E7599A"/>
    <w:rsid w:val="00ED34B5"/>
    <w:rsid w:val="00F103A8"/>
    <w:rsid w:val="00F24250"/>
    <w:rsid w:val="00F40CEF"/>
    <w:rsid w:val="00FA069E"/>
    <w:rsid w:val="00FC1EFB"/>
    <w:rsid w:val="00FF3C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ADEA47"/>
  <w15:chartTrackingRefBased/>
  <w15:docId w15:val="{72C277A2-ECDE-4935-ACCF-4ADDD952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4B5"/>
  </w:style>
  <w:style w:type="paragraph" w:styleId="Ttulo2">
    <w:name w:val="heading 2"/>
    <w:aliases w:val="Subtítulos"/>
    <w:basedOn w:val="Normal"/>
    <w:next w:val="Normal"/>
    <w:link w:val="Ttulo2Car"/>
    <w:uiPriority w:val="9"/>
    <w:unhideWhenUsed/>
    <w:qFormat/>
    <w:rsid w:val="00ED34B5"/>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ED34B5"/>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ED34B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D34B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D34B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D34B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D34B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ED34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D34B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D34B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ED34B5"/>
    <w:pPr>
      <w:spacing w:after="120"/>
    </w:pPr>
  </w:style>
  <w:style w:type="character" w:customStyle="1" w:styleId="TextoindependienteCar">
    <w:name w:val="Texto independiente Car"/>
    <w:basedOn w:val="Fuentedeprrafopredeter"/>
    <w:link w:val="Textoindependiente"/>
    <w:uiPriority w:val="1"/>
    <w:rsid w:val="00ED34B5"/>
  </w:style>
  <w:style w:type="character" w:customStyle="1" w:styleId="apple-converted-space">
    <w:name w:val="apple-converted-space"/>
    <w:basedOn w:val="Fuentedeprrafopredeter"/>
    <w:rsid w:val="00ED34B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D34B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D34B5"/>
    <w:rPr>
      <w:color w:val="0563C1" w:themeColor="hyperlink"/>
      <w:u w:val="single"/>
    </w:rPr>
  </w:style>
  <w:style w:type="paragraph" w:customStyle="1" w:styleId="INFOEM">
    <w:name w:val="INFOEM"/>
    <w:basedOn w:val="Normal"/>
    <w:qFormat/>
    <w:rsid w:val="00ED34B5"/>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D34B5"/>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343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292299">
      <w:bodyDiv w:val="1"/>
      <w:marLeft w:val="0"/>
      <w:marRight w:val="0"/>
      <w:marTop w:val="0"/>
      <w:marBottom w:val="0"/>
      <w:divBdr>
        <w:top w:val="none" w:sz="0" w:space="0" w:color="auto"/>
        <w:left w:val="none" w:sz="0" w:space="0" w:color="auto"/>
        <w:bottom w:val="none" w:sz="0" w:space="0" w:color="auto"/>
        <w:right w:val="none" w:sz="0" w:space="0" w:color="auto"/>
      </w:divBdr>
    </w:div>
    <w:div w:id="190483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36808.page" TargetMode="External"/><Relationship Id="rId13" Type="http://schemas.openxmlformats.org/officeDocument/2006/relationships/image" Target="media/image1.tmp"/><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saimex.org.mx/saimex/solicitud/downloadAttach/1643700.page" TargetMode="External"/><Relationship Id="rId12" Type="http://schemas.openxmlformats.org/officeDocument/2006/relationships/hyperlink" Target="https://saimex.org.mx/saimex/solicitud/downloadAttach/1636291.page" TargetMode="External"/><Relationship Id="rId17" Type="http://schemas.openxmlformats.org/officeDocument/2006/relationships/image" Target="media/image5.tmp"/><Relationship Id="rId2" Type="http://schemas.openxmlformats.org/officeDocument/2006/relationships/styles" Target="styles.xml"/><Relationship Id="rId16" Type="http://schemas.openxmlformats.org/officeDocument/2006/relationships/image" Target="media/image4.tmp"/><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636292.pag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tmp"/><Relationship Id="rId23" Type="http://schemas.openxmlformats.org/officeDocument/2006/relationships/fontTable" Target="fontTable.xml"/><Relationship Id="rId10" Type="http://schemas.openxmlformats.org/officeDocument/2006/relationships/hyperlink" Target="https://saimex.org.mx/saimex/solicitud/downloadAttach/1645187.pag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saimex.org.mx/saimex/solicitud/downloadAttach/1636807.page" TargetMode="External"/><Relationship Id="rId14" Type="http://schemas.openxmlformats.org/officeDocument/2006/relationships/image" Target="media/image2.tmp"/><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47</Pages>
  <Words>9570</Words>
  <Characters>52636</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22</cp:revision>
  <dcterms:created xsi:type="dcterms:W3CDTF">2023-09-12T17:25:00Z</dcterms:created>
  <dcterms:modified xsi:type="dcterms:W3CDTF">2023-10-11T19:19:00Z</dcterms:modified>
</cp:coreProperties>
</file>