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B835B" w14:textId="390A18CD" w:rsidR="00870B18" w:rsidRDefault="00870B18" w:rsidP="00870B18">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464D1">
        <w:rPr>
          <w:rFonts w:ascii="Palatino Linotype" w:eastAsia="Times New Roman" w:hAnsi="Palatino Linotype" w:cs="Arial"/>
          <w:color w:val="000000"/>
          <w:sz w:val="24"/>
          <w:szCs w:val="24"/>
          <w:lang w:eastAsia="es-MX"/>
        </w:rPr>
        <w:t>veinticinco</w:t>
      </w:r>
      <w:r w:rsidR="00E25A1A">
        <w:rPr>
          <w:rFonts w:ascii="Palatino Linotype" w:eastAsia="Times New Roman" w:hAnsi="Palatino Linotype" w:cs="Arial"/>
          <w:color w:val="000000"/>
          <w:sz w:val="24"/>
          <w:szCs w:val="24"/>
          <w:lang w:eastAsia="es-MX"/>
        </w:rPr>
        <w:t xml:space="preserve"> de octubre de dos mil veintitrés. </w:t>
      </w:r>
      <w:r w:rsidR="0021546A">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CF43F4E" w14:textId="47371C9A" w:rsidR="00F048D7" w:rsidRPr="00F048D7" w:rsidRDefault="00870B18" w:rsidP="00870B18">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D6297A">
        <w:rPr>
          <w:rFonts w:ascii="Palatino Linotype" w:hAnsi="Palatino Linotype" w:cs="Arial"/>
          <w:b/>
          <w:bCs/>
          <w:sz w:val="24"/>
          <w:lang w:eastAsia="es-MX"/>
        </w:rPr>
        <w:t>05915</w:t>
      </w:r>
      <w:r>
        <w:rPr>
          <w:rFonts w:ascii="Palatino Linotype" w:hAnsi="Palatino Linotype" w:cs="Arial"/>
          <w:b/>
          <w:bCs/>
          <w:sz w:val="24"/>
          <w:lang w:eastAsia="es-MX"/>
        </w:rPr>
        <w:t>/</w:t>
      </w:r>
      <w:r w:rsidRPr="00F403EA">
        <w:rPr>
          <w:rFonts w:ascii="Palatino Linotype" w:hAnsi="Palatino Linotype" w:cs="Arial"/>
          <w:b/>
          <w:bCs/>
          <w:sz w:val="24"/>
          <w:lang w:eastAsia="es-MX"/>
        </w:rPr>
        <w:t>INFOEM/IP/RR/20</w:t>
      </w:r>
      <w:r>
        <w:rPr>
          <w:rFonts w:ascii="Palatino Linotype" w:hAnsi="Palatino Linotype" w:cs="Arial"/>
          <w:b/>
          <w:bCs/>
          <w:sz w:val="24"/>
          <w:lang w:eastAsia="es-MX"/>
        </w:rPr>
        <w:t>23</w:t>
      </w:r>
      <w:r w:rsidRPr="00F403EA">
        <w:rPr>
          <w:rFonts w:ascii="Palatino Linotype" w:hAnsi="Palatino Linotype" w:cs="Arial"/>
          <w:sz w:val="24"/>
        </w:rPr>
        <w:t xml:space="preserve">, </w:t>
      </w:r>
      <w:r w:rsidRPr="00F403EA">
        <w:rPr>
          <w:rFonts w:ascii="Palatino Linotype" w:hAnsi="Palatino Linotype" w:cs="Arial"/>
          <w:sz w:val="24"/>
          <w:szCs w:val="24"/>
        </w:rPr>
        <w:t>interpuesto por</w:t>
      </w:r>
      <w:r>
        <w:rPr>
          <w:rFonts w:ascii="Palatino Linotype" w:hAnsi="Palatino Linotype" w:cs="Arial"/>
          <w:sz w:val="24"/>
          <w:szCs w:val="24"/>
        </w:rPr>
        <w:t xml:space="preserve"> </w:t>
      </w:r>
      <w:r w:rsidR="00F048D7">
        <w:rPr>
          <w:rFonts w:ascii="Palatino Linotype" w:hAnsi="Palatino Linotype" w:cs="Arial"/>
          <w:sz w:val="24"/>
          <w:szCs w:val="24"/>
        </w:rPr>
        <w:t xml:space="preserve">un particular, en lo sucesivo </w:t>
      </w:r>
      <w:r w:rsidR="00F048D7">
        <w:rPr>
          <w:rFonts w:ascii="Palatino Linotype" w:hAnsi="Palatino Linotype" w:cs="Arial"/>
          <w:b/>
          <w:bCs/>
          <w:sz w:val="24"/>
          <w:szCs w:val="24"/>
        </w:rPr>
        <w:t xml:space="preserve">El Recurrente, </w:t>
      </w:r>
      <w:r w:rsidR="00F048D7">
        <w:rPr>
          <w:rFonts w:ascii="Palatino Linotype" w:hAnsi="Palatino Linotype" w:cs="Arial"/>
          <w:sz w:val="24"/>
          <w:szCs w:val="24"/>
        </w:rPr>
        <w:t xml:space="preserve">en contra de la respuesta del </w:t>
      </w:r>
      <w:r w:rsidR="00F048D7">
        <w:rPr>
          <w:rFonts w:ascii="Palatino Linotype" w:hAnsi="Palatino Linotype" w:cs="Arial"/>
          <w:b/>
          <w:bCs/>
          <w:sz w:val="24"/>
          <w:szCs w:val="24"/>
        </w:rPr>
        <w:t xml:space="preserve">Ayuntamiento de Zinacantepec, </w:t>
      </w:r>
      <w:r w:rsidR="00F048D7">
        <w:rPr>
          <w:rFonts w:ascii="Palatino Linotype" w:hAnsi="Palatino Linotype" w:cs="Arial"/>
          <w:sz w:val="24"/>
          <w:szCs w:val="24"/>
        </w:rPr>
        <w:t xml:space="preserve">en lo subsecuente </w:t>
      </w:r>
      <w:r w:rsidR="00F048D7">
        <w:rPr>
          <w:rFonts w:ascii="Palatino Linotype" w:hAnsi="Palatino Linotype" w:cs="Arial"/>
          <w:b/>
          <w:bCs/>
          <w:sz w:val="24"/>
          <w:szCs w:val="24"/>
        </w:rPr>
        <w:t xml:space="preserve">El Sujeto Obligado, </w:t>
      </w:r>
      <w:r w:rsidR="00F048D7">
        <w:rPr>
          <w:rFonts w:ascii="Palatino Linotype" w:hAnsi="Palatino Linotype" w:cs="Arial"/>
          <w:sz w:val="24"/>
          <w:szCs w:val="24"/>
        </w:rPr>
        <w:t xml:space="preserve">se procede a dictar la presente resolución. </w:t>
      </w:r>
    </w:p>
    <w:p w14:paraId="0AC73ACD" w14:textId="77777777" w:rsidR="00F048D7" w:rsidRDefault="00F048D7" w:rsidP="00870B18">
      <w:pPr>
        <w:tabs>
          <w:tab w:val="left" w:pos="1701"/>
        </w:tabs>
        <w:spacing w:before="240" w:line="360" w:lineRule="auto"/>
        <w:jc w:val="both"/>
        <w:rPr>
          <w:rFonts w:ascii="Palatino Linotype" w:hAnsi="Palatino Linotype" w:cs="Arial"/>
          <w:sz w:val="24"/>
          <w:szCs w:val="24"/>
        </w:rPr>
      </w:pPr>
    </w:p>
    <w:p w14:paraId="51FDFCCD" w14:textId="1AF3433D" w:rsidR="00870B18" w:rsidRPr="00F205B9" w:rsidRDefault="00870B18" w:rsidP="00870B18">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7D82356" w14:textId="77777777" w:rsidR="00870B18" w:rsidRDefault="00870B18" w:rsidP="00870B18">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A9379FA" w14:textId="18571199" w:rsidR="00D6297A" w:rsidRDefault="00870B18" w:rsidP="00870B18">
      <w:pPr>
        <w:spacing w:before="240" w:line="360" w:lineRule="auto"/>
        <w:jc w:val="both"/>
        <w:rPr>
          <w:rFonts w:ascii="Palatino Linotype" w:hAnsi="Palatino Linotype" w:cs="Arial"/>
          <w:sz w:val="24"/>
        </w:rPr>
      </w:pPr>
      <w:r>
        <w:rPr>
          <w:rFonts w:ascii="Palatino Linotype" w:hAnsi="Palatino Linotype" w:cs="Arial"/>
          <w:sz w:val="24"/>
        </w:rPr>
        <w:t>Con fecha</w:t>
      </w:r>
      <w:r w:rsidR="00F048D7">
        <w:rPr>
          <w:rFonts w:ascii="Palatino Linotype" w:hAnsi="Palatino Linotype" w:cs="Arial"/>
          <w:sz w:val="24"/>
        </w:rPr>
        <w:t xml:space="preserve"> </w:t>
      </w:r>
      <w:r w:rsidR="00D6297A">
        <w:rPr>
          <w:rFonts w:ascii="Palatino Linotype" w:hAnsi="Palatino Linotype" w:cs="Arial"/>
          <w:sz w:val="24"/>
        </w:rPr>
        <w:t xml:space="preserve">treinta y uno de julio de dos mil veintitrés, </w:t>
      </w:r>
      <w:r w:rsidR="00D6297A">
        <w:rPr>
          <w:rFonts w:ascii="Palatino Linotype" w:hAnsi="Palatino Linotype" w:cs="Arial"/>
          <w:b/>
          <w:bCs/>
          <w:sz w:val="24"/>
        </w:rPr>
        <w:t xml:space="preserve">El Recurrente, </w:t>
      </w:r>
      <w:r w:rsidR="00D6297A">
        <w:rPr>
          <w:rFonts w:ascii="Palatino Linotype" w:hAnsi="Palatino Linotype" w:cs="Arial"/>
          <w:sz w:val="24"/>
        </w:rPr>
        <w:t>presentó a través del Sistema de Acceso a la Información Mexiquense (</w:t>
      </w:r>
      <w:r w:rsidR="00D6297A">
        <w:rPr>
          <w:rFonts w:ascii="Palatino Linotype" w:hAnsi="Palatino Linotype" w:cs="Arial"/>
          <w:b/>
          <w:sz w:val="24"/>
        </w:rPr>
        <w:t>SAIMEX)</w:t>
      </w:r>
      <w:r w:rsidR="00D6297A">
        <w:rPr>
          <w:rFonts w:ascii="Palatino Linotype" w:hAnsi="Palatino Linotype" w:cs="Arial"/>
          <w:sz w:val="24"/>
        </w:rPr>
        <w:t xml:space="preserve"> ante </w:t>
      </w:r>
      <w:r w:rsidR="00D6297A">
        <w:rPr>
          <w:rFonts w:ascii="Palatino Linotype" w:hAnsi="Palatino Linotype" w:cs="Arial"/>
          <w:b/>
          <w:sz w:val="24"/>
        </w:rPr>
        <w:t>El Sujeto Obligado</w:t>
      </w:r>
      <w:r w:rsidR="00D6297A">
        <w:rPr>
          <w:rFonts w:ascii="Palatino Linotype" w:hAnsi="Palatino Linotype" w:cs="Arial"/>
          <w:sz w:val="24"/>
        </w:rPr>
        <w:t xml:space="preserve">, solicitud de acceso a la información pública, registrada bajo el número de expediente </w:t>
      </w:r>
      <w:r w:rsidR="00D6297A">
        <w:rPr>
          <w:rFonts w:ascii="Palatino Linotype" w:hAnsi="Palatino Linotype" w:cs="Arial"/>
          <w:b/>
          <w:bCs/>
          <w:sz w:val="24"/>
        </w:rPr>
        <w:t xml:space="preserve">00843/ZINACANT/IP/2023, </w:t>
      </w:r>
      <w:r w:rsidR="00D6297A">
        <w:rPr>
          <w:rFonts w:ascii="Palatino Linotype" w:hAnsi="Palatino Linotype" w:cs="Arial"/>
          <w:sz w:val="24"/>
        </w:rPr>
        <w:t xml:space="preserve">mediante la cual solicitó información en el tenor siguiente: </w:t>
      </w:r>
    </w:p>
    <w:p w14:paraId="544E616E" w14:textId="32FF9B1A" w:rsidR="00D6297A" w:rsidRPr="00D6297A" w:rsidRDefault="00D6297A" w:rsidP="00D6297A">
      <w:pPr>
        <w:pStyle w:val="Citas"/>
        <w:rPr>
          <w:b/>
          <w:bCs/>
          <w:sz w:val="24"/>
        </w:rPr>
      </w:pPr>
      <w:r>
        <w:t xml:space="preserve">“SOLICITO LOS DOCUMENTOS QUE AVALEN LA PROPIEDAD DEL PATRIMONIO DEL INSTITUTO MUNICIPAL DE LA MUJER Y DE LA JUVENTUD” </w:t>
      </w:r>
      <w:r>
        <w:rPr>
          <w:b/>
          <w:bCs/>
        </w:rPr>
        <w:t>(Sic)</w:t>
      </w:r>
    </w:p>
    <w:p w14:paraId="3DFD50C0" w14:textId="77777777" w:rsidR="00870B18" w:rsidRDefault="00870B18"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47D92D6A" w14:textId="77777777" w:rsidR="00D6297A" w:rsidRDefault="00D6297A" w:rsidP="00D6297A">
      <w:pPr>
        <w:spacing w:before="240" w:line="360" w:lineRule="auto"/>
        <w:ind w:right="850"/>
        <w:jc w:val="both"/>
        <w:rPr>
          <w:rFonts w:ascii="Palatino Linotype" w:hAnsi="Palatino Linotype" w:cs="Arial"/>
          <w:b/>
          <w:sz w:val="28"/>
        </w:rPr>
      </w:pPr>
      <w:r>
        <w:rPr>
          <w:rFonts w:ascii="Palatino Linotype" w:hAnsi="Palatino Linotype" w:cs="Arial"/>
          <w:b/>
          <w:sz w:val="28"/>
        </w:rPr>
        <w:lastRenderedPageBreak/>
        <w:t xml:space="preserve">SEGUNDO. De la prórroga del Sujeto Obligado. </w:t>
      </w:r>
    </w:p>
    <w:p w14:paraId="71B007DB" w14:textId="42E8626A" w:rsidR="00D6297A" w:rsidRPr="001D3E11" w:rsidRDefault="00D6297A" w:rsidP="00D6297A">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w:t>
      </w:r>
      <w:r>
        <w:rPr>
          <w:rFonts w:ascii="Palatino Linotype" w:hAnsi="Palatino Linotype" w:cs="Arial"/>
          <w:b/>
          <w:bCs/>
          <w:sz w:val="24"/>
          <w:szCs w:val="24"/>
        </w:rPr>
        <w:t xml:space="preserve">veintiuno de agosto de dos mil veintitrés, El Sujeto Obligado </w:t>
      </w:r>
      <w:r>
        <w:rPr>
          <w:rFonts w:ascii="Palatino Linotype" w:hAnsi="Palatino Linotype" w:cs="Arial"/>
          <w:sz w:val="24"/>
          <w:szCs w:val="24"/>
        </w:rPr>
        <w:t xml:space="preserve">solicitó prórroga de siete días para recabar la información solicitada y dar cumplimiento a lo requerido por </w:t>
      </w:r>
      <w:r>
        <w:rPr>
          <w:rFonts w:ascii="Palatino Linotype" w:hAnsi="Palatino Linotype" w:cs="Arial"/>
          <w:b/>
          <w:bCs/>
          <w:sz w:val="24"/>
          <w:szCs w:val="24"/>
        </w:rPr>
        <w:t xml:space="preserve">El Recurrente, </w:t>
      </w:r>
      <w:r>
        <w:rPr>
          <w:rFonts w:ascii="Palatino Linotype" w:hAnsi="Palatino Linotype" w:cs="Arial"/>
          <w:sz w:val="24"/>
          <w:szCs w:val="24"/>
        </w:rPr>
        <w:t xml:space="preserve">advirtiendo que dicha prórroga </w:t>
      </w:r>
      <w:r>
        <w:rPr>
          <w:rFonts w:ascii="Palatino Linotype" w:hAnsi="Palatino Linotype" w:cs="Arial"/>
          <w:b/>
          <w:bCs/>
          <w:sz w:val="24"/>
          <w:szCs w:val="24"/>
        </w:rPr>
        <w:t xml:space="preserve">no </w:t>
      </w:r>
      <w:r>
        <w:rPr>
          <w:rFonts w:ascii="Palatino Linotype" w:hAnsi="Palatino Linotype" w:cs="Arial"/>
          <w:sz w:val="24"/>
          <w:szCs w:val="24"/>
        </w:rPr>
        <w:t xml:space="preserve">cumple con lo </w:t>
      </w:r>
      <w:r>
        <w:rPr>
          <w:rFonts w:ascii="Palatino Linotype" w:hAnsi="Palatino Linotype"/>
          <w:sz w:val="24"/>
          <w:szCs w:val="24"/>
        </w:rPr>
        <w:t xml:space="preserve">establecido </w:t>
      </w:r>
      <w:r w:rsidRPr="00441692">
        <w:rPr>
          <w:rFonts w:ascii="Palatino Linotype" w:hAnsi="Palatino Linotype"/>
          <w:sz w:val="24"/>
          <w:szCs w:val="24"/>
        </w:rPr>
        <w:t xml:space="preserve">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092A6049" w14:textId="77777777" w:rsidR="00D6297A" w:rsidRDefault="00D6297A" w:rsidP="00D6297A">
      <w:pPr>
        <w:spacing w:before="240" w:line="360" w:lineRule="auto"/>
        <w:jc w:val="both"/>
        <w:rPr>
          <w:rFonts w:ascii="Palatino Linotype" w:hAnsi="Palatino Linotype" w:cs="Arial"/>
          <w:b/>
          <w:sz w:val="28"/>
        </w:rPr>
      </w:pPr>
    </w:p>
    <w:p w14:paraId="39BC9095" w14:textId="77777777" w:rsidR="00D6297A" w:rsidRDefault="00D6297A" w:rsidP="00D6297A">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E6757EC" w14:textId="77777777" w:rsidR="00D6297A" w:rsidRDefault="00D6297A" w:rsidP="00D6297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Pr>
          <w:rFonts w:ascii="Palatino Linotype" w:hAnsi="Palatino Linotype" w:cs="Arial"/>
          <w:b/>
          <w:bCs/>
          <w:sz w:val="24"/>
          <w:szCs w:val="24"/>
        </w:rPr>
        <w:t xml:space="preserve">treinta de agosto de dos mil veintitrés, El Sujeto Obligado </w:t>
      </w:r>
      <w:r>
        <w:rPr>
          <w:rFonts w:ascii="Palatino Linotype" w:hAnsi="Palatino Linotype" w:cs="Arial"/>
          <w:sz w:val="24"/>
          <w:szCs w:val="24"/>
        </w:rPr>
        <w:t xml:space="preserve">dio respuesta a la solicitud de información en los siguientes términos: </w:t>
      </w:r>
    </w:p>
    <w:p w14:paraId="6EB48C57" w14:textId="04A96FE2" w:rsidR="00D6297A" w:rsidRDefault="00D6297A" w:rsidP="00D6297A">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787F22F0" w14:textId="370F51E2" w:rsidR="00D6297A" w:rsidRPr="00D6297A" w:rsidRDefault="00D6297A" w:rsidP="00D6297A">
      <w:pPr>
        <w:pStyle w:val="Citas"/>
        <w:rPr>
          <w:b/>
          <w:bCs/>
          <w:sz w:val="24"/>
          <w:szCs w:val="24"/>
        </w:rPr>
      </w:pPr>
      <w:r>
        <w:t xml:space="preserve">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w:t>
      </w:r>
      <w:r>
        <w:lastRenderedPageBreak/>
        <w:t xml:space="preserve">información con número de folio 00843/ZINACANT/IP/2023, recibida a través del Sistema SAIMEX, en donde se solicita textualmente lo siguiente: “SOLICITO LOS DOCUMENTOS QUE AVALEN LA PROPIEDAD DEL PATRIMONIO DEL INSTITUTO MUNICIPAL DE LA MUJER Y DE LA JUVENTUD” (sic). En apego a lo establecido su solicitud fue analizada y turnada a el área poseedora de la información, en este caso a la Secretaría del Ayuntamiento,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Pr>
          <w:b/>
          <w:bCs/>
        </w:rPr>
        <w:t>(Sic)</w:t>
      </w:r>
    </w:p>
    <w:p w14:paraId="3D5B1388" w14:textId="77777777" w:rsidR="00D6297A" w:rsidRDefault="00D6297A" w:rsidP="00D6297A">
      <w:pPr>
        <w:spacing w:before="240" w:line="360" w:lineRule="auto"/>
        <w:jc w:val="both"/>
        <w:rPr>
          <w:rFonts w:ascii="Palatino Linotype" w:hAnsi="Palatino Linotype" w:cs="Arial"/>
          <w:sz w:val="24"/>
          <w:szCs w:val="24"/>
        </w:rPr>
      </w:pPr>
    </w:p>
    <w:p w14:paraId="62F065AE" w14:textId="29A86C9A" w:rsidR="00D6297A" w:rsidRPr="00D6297A" w:rsidRDefault="00D6297A" w:rsidP="00D6297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“20231814123656733-7.pdf”, </w:t>
      </w:r>
      <w:r>
        <w:rPr>
          <w:rFonts w:ascii="Palatino Linotype" w:hAnsi="Palatino Linotype" w:cs="Arial"/>
          <w:sz w:val="24"/>
          <w:szCs w:val="24"/>
        </w:rPr>
        <w:t xml:space="preserve">cuyo contenido será materia de estudio en el considerando respectivo. </w:t>
      </w:r>
    </w:p>
    <w:p w14:paraId="43DC4874" w14:textId="77777777" w:rsidR="00D6297A" w:rsidRDefault="00D6297A" w:rsidP="00D6297A">
      <w:pPr>
        <w:spacing w:before="240" w:line="360" w:lineRule="auto"/>
        <w:jc w:val="both"/>
        <w:rPr>
          <w:rFonts w:ascii="Palatino Linotype" w:hAnsi="Palatino Linotype" w:cs="Arial"/>
          <w:b/>
          <w:bCs/>
          <w:sz w:val="24"/>
          <w:szCs w:val="24"/>
        </w:rPr>
      </w:pPr>
    </w:p>
    <w:p w14:paraId="0794361A" w14:textId="77777777" w:rsidR="00D6297A" w:rsidRDefault="00D6297A" w:rsidP="00D6297A">
      <w:pPr>
        <w:spacing w:before="240" w:line="360" w:lineRule="auto"/>
        <w:rPr>
          <w:rFonts w:ascii="Palatino Linotype" w:hAnsi="Palatino Linotype" w:cs="Arial"/>
          <w:b/>
          <w:sz w:val="28"/>
        </w:rPr>
      </w:pPr>
      <w:r>
        <w:rPr>
          <w:rFonts w:ascii="Palatino Linotype" w:hAnsi="Palatino Linotype" w:cs="Arial"/>
          <w:b/>
          <w:sz w:val="28"/>
        </w:rPr>
        <w:lastRenderedPageBreak/>
        <w:t xml:space="preserve">CUARTO. </w:t>
      </w:r>
      <w:r>
        <w:rPr>
          <w:rFonts w:ascii="Palatino Linotype" w:hAnsi="Palatino Linotype"/>
          <w:b/>
          <w:sz w:val="28"/>
        </w:rPr>
        <w:t>Del recurso de revisión.</w:t>
      </w:r>
    </w:p>
    <w:p w14:paraId="7A87E729" w14:textId="32D30B80" w:rsidR="00D6297A" w:rsidRDefault="00D6297A" w:rsidP="00D6297A">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Pr>
          <w:rFonts w:ascii="Palatino Linotype" w:hAnsi="Palatino Linotype" w:cs="Arial"/>
          <w:b/>
          <w:bCs/>
          <w:sz w:val="24"/>
          <w:szCs w:val="24"/>
        </w:rPr>
        <w:t xml:space="preserve">doce de septiembre de dos mil veintitrés, </w:t>
      </w:r>
      <w:r>
        <w:rPr>
          <w:rFonts w:ascii="Palatino Linotype" w:hAnsi="Palatino Linotype" w:cs="Arial"/>
          <w:sz w:val="24"/>
          <w:szCs w:val="24"/>
        </w:rPr>
        <w:t xml:space="preserve">el cual fue registrado en el sistema electrónico con el expediente </w:t>
      </w:r>
      <w:r>
        <w:rPr>
          <w:rFonts w:ascii="Palatino Linotype" w:hAnsi="Palatino Linotype" w:cs="Arial"/>
          <w:b/>
          <w:bCs/>
          <w:sz w:val="24"/>
          <w:szCs w:val="24"/>
        </w:rPr>
        <w:t xml:space="preserve">05915/INFOEM/IP/RR/2023, </w:t>
      </w:r>
      <w:r>
        <w:rPr>
          <w:rFonts w:ascii="Palatino Linotype" w:hAnsi="Palatino Linotype" w:cs="Arial"/>
          <w:sz w:val="24"/>
          <w:szCs w:val="24"/>
        </w:rPr>
        <w:t>en el cual arguye las siguientes manifestaciones:</w:t>
      </w:r>
    </w:p>
    <w:p w14:paraId="49472918" w14:textId="77777777" w:rsidR="00D6297A" w:rsidRDefault="00D6297A" w:rsidP="00D6297A">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0977F1C" w14:textId="4DAE4043" w:rsidR="00D6297A" w:rsidRPr="00D6297A" w:rsidRDefault="00D6297A" w:rsidP="00D6297A">
      <w:pPr>
        <w:pStyle w:val="Citas"/>
        <w:rPr>
          <w:b/>
          <w:bCs/>
        </w:rPr>
      </w:pPr>
      <w:r>
        <w:t xml:space="preserve">“LA RESPUESTA” </w:t>
      </w:r>
      <w:r>
        <w:rPr>
          <w:b/>
          <w:bCs/>
        </w:rPr>
        <w:t>(Sic)</w:t>
      </w:r>
    </w:p>
    <w:p w14:paraId="7D029552" w14:textId="77777777" w:rsidR="00D6297A" w:rsidRDefault="00D6297A" w:rsidP="00D6297A">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5D7E9A97" w14:textId="1A4710D7" w:rsidR="00D6297A" w:rsidRPr="00D6297A" w:rsidRDefault="00D6297A" w:rsidP="00D6297A">
      <w:pPr>
        <w:pStyle w:val="Citas"/>
        <w:rPr>
          <w:b/>
          <w:bCs/>
          <w:sz w:val="24"/>
          <w:szCs w:val="24"/>
        </w:rPr>
      </w:pPr>
      <w:r>
        <w:t xml:space="preserve">“NO JUSTIFICAN SU RESPUESTA” </w:t>
      </w:r>
      <w:r>
        <w:rPr>
          <w:b/>
          <w:bCs/>
        </w:rPr>
        <w:t>(Sic)</w:t>
      </w:r>
    </w:p>
    <w:p w14:paraId="2A976E48" w14:textId="77777777" w:rsidR="00D6297A" w:rsidRDefault="00D6297A" w:rsidP="00D6297A">
      <w:pPr>
        <w:spacing w:before="240" w:line="360" w:lineRule="auto"/>
        <w:jc w:val="both"/>
        <w:rPr>
          <w:rFonts w:ascii="Palatino Linotype" w:hAnsi="Palatino Linotype" w:cs="Arial"/>
          <w:sz w:val="24"/>
          <w:szCs w:val="24"/>
        </w:rPr>
      </w:pPr>
    </w:p>
    <w:p w14:paraId="1BD4D1AE" w14:textId="77777777" w:rsidR="00D6297A" w:rsidRDefault="00D6297A" w:rsidP="00D6297A">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4E7CB988" w14:textId="31472724" w:rsidR="00D6297A" w:rsidRDefault="00D6297A" w:rsidP="00D6297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b/>
          <w:bCs/>
          <w:sz w:val="24"/>
          <w:szCs w:val="24"/>
        </w:rPr>
        <w:t xml:space="preserve">catorce de septiembre de dos mil veintitrés, </w:t>
      </w:r>
      <w:r>
        <w:rPr>
          <w:rFonts w:ascii="Palatino Linotype" w:hAnsi="Palatino Linotype" w:cs="Arial"/>
          <w:sz w:val="24"/>
          <w:szCs w:val="24"/>
        </w:rPr>
        <w:t>determinándose en él, un plazo de siete días para que las partes manifestaran lo que a su derecho corresponda en términos del numeral ya citado.</w:t>
      </w:r>
    </w:p>
    <w:p w14:paraId="21E66E86" w14:textId="77777777" w:rsidR="00D6297A" w:rsidRDefault="00D6297A" w:rsidP="00D6297A">
      <w:pPr>
        <w:spacing w:before="240" w:line="360" w:lineRule="auto"/>
        <w:jc w:val="both"/>
        <w:rPr>
          <w:rFonts w:ascii="Palatino Linotype" w:hAnsi="Palatino Linotype" w:cs="Arial"/>
          <w:sz w:val="24"/>
          <w:szCs w:val="24"/>
        </w:rPr>
      </w:pPr>
    </w:p>
    <w:p w14:paraId="202AD589" w14:textId="77777777" w:rsidR="00D6297A" w:rsidRDefault="00D6297A" w:rsidP="00D6297A">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264EADDB" w14:textId="77777777" w:rsidR="00D6297A" w:rsidRDefault="00D6297A" w:rsidP="00D6297A">
      <w:pPr>
        <w:spacing w:after="0" w:line="360" w:lineRule="auto"/>
        <w:jc w:val="both"/>
        <w:rPr>
          <w:rFonts w:ascii="Palatino Linotype" w:hAnsi="Palatino Linotype" w:cs="Arial"/>
          <w:bCs/>
          <w:sz w:val="24"/>
          <w:szCs w:val="24"/>
        </w:rPr>
      </w:pPr>
      <w:r>
        <w:rPr>
          <w:rFonts w:ascii="Palatino Linotype" w:hAnsi="Palatino Linotype" w:cs="Arial"/>
          <w:sz w:val="24"/>
          <w:szCs w:val="24"/>
        </w:rPr>
        <w:lastRenderedPageBreak/>
        <w:t xml:space="preserve">Así, en la etapa de instrucción, de las constancias que obran en los expedientes electrónicos de los recursos de revisión se advierte que </w:t>
      </w:r>
      <w:r>
        <w:rPr>
          <w:rFonts w:ascii="Palatino Linotype" w:hAnsi="Palatino Linotype" w:cs="Arial"/>
          <w:b/>
          <w:bCs/>
          <w:sz w:val="24"/>
          <w:szCs w:val="24"/>
        </w:rPr>
        <w:t xml:space="preserve">El Sujeto Obligado </w:t>
      </w:r>
      <w:r>
        <w:rPr>
          <w:rFonts w:ascii="Palatino Linotype" w:hAnsi="Palatino Linotype" w:cs="Arial"/>
          <w:bCs/>
          <w:sz w:val="24"/>
          <w:szCs w:val="24"/>
        </w:rPr>
        <w:t xml:space="preserve">fue omiso en rendir su informe justificado. </w:t>
      </w:r>
    </w:p>
    <w:p w14:paraId="3370702B" w14:textId="77777777" w:rsidR="00D6297A" w:rsidRDefault="00D6297A" w:rsidP="00D6297A">
      <w:pPr>
        <w:spacing w:after="0" w:line="360" w:lineRule="auto"/>
        <w:jc w:val="both"/>
        <w:rPr>
          <w:rFonts w:ascii="Palatino Linotype" w:hAnsi="Palatino Linotype" w:cs="Arial"/>
          <w:bCs/>
          <w:sz w:val="24"/>
          <w:szCs w:val="24"/>
        </w:rPr>
      </w:pPr>
    </w:p>
    <w:p w14:paraId="7B8BF1A4" w14:textId="65F8BF9C" w:rsidR="00D6297A" w:rsidRDefault="00D6297A" w:rsidP="00D6297A">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Pr>
          <w:rFonts w:ascii="Palatino Linotype" w:hAnsi="Palatino Linotype" w:cs="Arial"/>
          <w:b/>
          <w:sz w:val="24"/>
          <w:szCs w:val="24"/>
        </w:rPr>
        <w:t xml:space="preserve">veintiocho de septiembre del presente,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A6651AF" w14:textId="77777777" w:rsidR="00D36C02" w:rsidRDefault="00D36C02" w:rsidP="00870B18">
      <w:pPr>
        <w:spacing w:before="240" w:line="360" w:lineRule="auto"/>
        <w:jc w:val="center"/>
        <w:rPr>
          <w:rFonts w:ascii="Palatino Linotype" w:hAnsi="Palatino Linotype" w:cs="Arial"/>
          <w:b/>
          <w:sz w:val="24"/>
        </w:rPr>
      </w:pPr>
    </w:p>
    <w:p w14:paraId="34D2D0F1" w14:textId="026CFE59" w:rsidR="00870B18" w:rsidRDefault="00870B18" w:rsidP="00870B18">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16A675B6" w14:textId="77777777" w:rsidR="00870B18" w:rsidRDefault="00870B18" w:rsidP="00870B18">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A4305D9" w14:textId="68F7C199" w:rsidR="005C5860" w:rsidRPr="00146FFD" w:rsidRDefault="00146FFD" w:rsidP="00870B18">
      <w:pPr>
        <w:pStyle w:val="Prrafodelista"/>
        <w:autoSpaceDE w:val="0"/>
        <w:autoSpaceDN w:val="0"/>
        <w:adjustRightInd w:val="0"/>
        <w:spacing w:before="240" w:after="160" w:line="360" w:lineRule="auto"/>
        <w:ind w:left="0"/>
        <w:jc w:val="both"/>
        <w:rPr>
          <w:rFonts w:ascii="Palatino Linotype" w:hAnsi="Palatino Linotype" w:cs="Arial"/>
          <w:bCs/>
        </w:rPr>
      </w:pPr>
      <w:r w:rsidRPr="00146FFD">
        <w:rPr>
          <w:rFonts w:ascii="Palatino Linotype" w:hAnsi="Palatino Linotype" w:cs="Arial"/>
          <w:bC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E4610B4" w14:textId="325866A4"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0FB8842"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CA70EAA"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p>
    <w:p w14:paraId="0245D2A8" w14:textId="77777777" w:rsidR="005C5860" w:rsidRPr="00161CEB" w:rsidRDefault="005C5860" w:rsidP="005C586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4BAF2530" w14:textId="77777777" w:rsidR="005C5860" w:rsidRPr="00187D70" w:rsidRDefault="005C5860" w:rsidP="005C5860">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9327816"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40359FB6"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643CDA0A"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D859212"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5841673F"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6022CA41"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31B60ECF"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3062E3F5"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CCFEFCA"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302F04A8"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16D26691"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20B591BC" w14:textId="77777777" w:rsidR="005C5860" w:rsidRPr="009B74C2" w:rsidRDefault="005C5860" w:rsidP="005C5860">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70A49097" w14:textId="77777777" w:rsidR="005C5860" w:rsidRPr="00187D70" w:rsidRDefault="005C5860" w:rsidP="005C5860">
      <w:pPr>
        <w:spacing w:after="0" w:line="360" w:lineRule="auto"/>
        <w:jc w:val="both"/>
        <w:rPr>
          <w:rFonts w:ascii="Palatino Linotype" w:eastAsia="Times New Roman" w:hAnsi="Palatino Linotype" w:cs="Arial"/>
          <w:b/>
          <w:i/>
          <w:sz w:val="24"/>
          <w:szCs w:val="24"/>
          <w:lang w:eastAsia="es-ES"/>
        </w:rPr>
      </w:pPr>
    </w:p>
    <w:p w14:paraId="744BF301" w14:textId="77777777" w:rsidR="005C5860" w:rsidRPr="00187D70" w:rsidRDefault="005C5860" w:rsidP="005C5860">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0B65AD6" w14:textId="77777777" w:rsidR="005C5860" w:rsidRDefault="005C5860" w:rsidP="005C5860">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0EC785C2" w14:textId="77777777" w:rsidR="005C5860" w:rsidRPr="009B74C2" w:rsidRDefault="005C5860" w:rsidP="005C5860">
      <w:pPr>
        <w:spacing w:before="240" w:line="360" w:lineRule="auto"/>
        <w:ind w:left="851" w:right="851"/>
        <w:jc w:val="both"/>
        <w:rPr>
          <w:rFonts w:ascii="Palatino Linotype" w:hAnsi="Palatino Linotype" w:cs="Arial"/>
          <w:b/>
          <w:i/>
          <w:lang w:val="es-ES" w:eastAsia="es-ES"/>
        </w:rPr>
      </w:pPr>
    </w:p>
    <w:p w14:paraId="176317EE" w14:textId="77777777" w:rsidR="005C5860" w:rsidRDefault="005C5860" w:rsidP="005C5860">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4F99BEA1" w14:textId="77777777" w:rsidR="005C5860" w:rsidRPr="00187D70" w:rsidRDefault="005C5860" w:rsidP="005C5860">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58331708"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B076101"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52127B3"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03FCCAAF"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3F84816"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6F2236C"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0245BF41" w14:textId="77777777" w:rsidR="005C5860" w:rsidRDefault="005C5860" w:rsidP="005C5860">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8C6CBFF" w14:textId="77777777" w:rsidR="005C5860" w:rsidRPr="00E71AB2" w:rsidRDefault="005C5860" w:rsidP="005C5860">
      <w:pPr>
        <w:spacing w:before="240" w:line="360" w:lineRule="auto"/>
        <w:ind w:left="851" w:right="851"/>
        <w:jc w:val="both"/>
        <w:rPr>
          <w:rFonts w:ascii="Palatino Linotype" w:eastAsia="Times New Roman" w:hAnsi="Palatino Linotype" w:cs="Times New Roman"/>
          <w:b/>
          <w:i/>
          <w:lang w:val="es-ES" w:eastAsia="es-ES"/>
        </w:rPr>
      </w:pPr>
    </w:p>
    <w:p w14:paraId="0D8CD600" w14:textId="77777777" w:rsidR="005C5860" w:rsidRPr="00187D70" w:rsidRDefault="005C5860" w:rsidP="005C5860">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EFA78BE"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9F6FA73"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2F2D722"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9340686"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BEB0DFB"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13844515"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5AE383"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DD6EADD"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8FCE4B1"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8DE5449"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4544345" w14:textId="77777777" w:rsidR="005C5860" w:rsidRPr="009B74C2" w:rsidRDefault="005C5860" w:rsidP="005C5860">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1BCEC74B" w14:textId="77777777" w:rsidR="005C5860" w:rsidRPr="00187D70" w:rsidRDefault="005C5860" w:rsidP="005C5860">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14:paraId="66C04563" w14:textId="77777777" w:rsidR="005C5860" w:rsidRPr="00187D70" w:rsidRDefault="005C5860" w:rsidP="005C5860">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932C931" w14:textId="77777777" w:rsidR="005C5860" w:rsidRPr="00187D70" w:rsidRDefault="005C5860" w:rsidP="005C5860">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C5D6206" w14:textId="77777777" w:rsidR="005C5860" w:rsidRPr="009B74C2" w:rsidRDefault="005C5860" w:rsidP="005C5860">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15865886" w14:textId="77777777" w:rsidR="005C5860" w:rsidRDefault="005C5860" w:rsidP="005C5860">
      <w:pPr>
        <w:pStyle w:val="Prrafodelista"/>
        <w:autoSpaceDE w:val="0"/>
        <w:autoSpaceDN w:val="0"/>
        <w:adjustRightInd w:val="0"/>
        <w:spacing w:before="240" w:after="160" w:line="360" w:lineRule="auto"/>
        <w:ind w:left="0"/>
        <w:jc w:val="both"/>
        <w:rPr>
          <w:rFonts w:ascii="Palatino Linotype" w:hAnsi="Palatino Linotype"/>
        </w:rPr>
      </w:pPr>
    </w:p>
    <w:p w14:paraId="5DFEC613" w14:textId="77777777" w:rsidR="005C5860" w:rsidRDefault="005C5860" w:rsidP="005C586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87D70">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hAnsi="Palatino Linotype"/>
          <w:b/>
          <w:u w:val="single"/>
        </w:rPr>
        <w:t>incluso, la solicitud de acceso a la información pueda ser anónima</w:t>
      </w:r>
      <w:r w:rsidRPr="00187D70">
        <w:rPr>
          <w:rFonts w:ascii="Palatino Linotype" w:hAnsi="Palatino Linotype"/>
        </w:rPr>
        <w:t xml:space="preserve"> o no contener un nombre que identifique al solicitante o que permita tener </w:t>
      </w:r>
      <w:r w:rsidRPr="00187D70">
        <w:rPr>
          <w:rFonts w:ascii="Palatino Linotype" w:hAnsi="Palatino Linotype"/>
        </w:rPr>
        <w:lastRenderedPageBreak/>
        <w:t>certeza sobre su identidad.</w:t>
      </w:r>
      <w:r>
        <w:rPr>
          <w:rFonts w:ascii="Palatino Linotype" w:hAnsi="Palatino Linotype"/>
        </w:rPr>
        <w:t xml:space="preserve"> </w:t>
      </w:r>
      <w:r w:rsidRPr="009A0C69">
        <w:rPr>
          <w:rFonts w:ascii="Palatino Linotype" w:hAnsi="Palatino Linotype" w:cs="Arial"/>
        </w:rPr>
        <w:t>En conclusión, se cubrieron los requisitos de procedencia y procedibilidad y conforme a las constancias que obran en el expediente.</w:t>
      </w:r>
    </w:p>
    <w:p w14:paraId="1201A5FD" w14:textId="77777777" w:rsidR="005C5860" w:rsidRPr="00C07D77" w:rsidRDefault="005C5860" w:rsidP="005C5860">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449A1A4" w14:textId="77777777" w:rsidR="005C5860" w:rsidRDefault="005C5860" w:rsidP="005C586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77CAFC66" w14:textId="77777777" w:rsidR="005C5860" w:rsidRDefault="005C5860" w:rsidP="005C586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126F4BA3" w14:textId="77777777" w:rsidR="00D6297A" w:rsidRDefault="00D6297A" w:rsidP="00154C5F">
      <w:pPr>
        <w:tabs>
          <w:tab w:val="left" w:pos="709"/>
        </w:tabs>
        <w:spacing w:before="240" w:line="360" w:lineRule="auto"/>
        <w:ind w:right="51"/>
        <w:jc w:val="both"/>
        <w:rPr>
          <w:rFonts w:ascii="Palatino Linotype" w:hAnsi="Palatino Linotype"/>
          <w:b/>
          <w:sz w:val="28"/>
          <w:szCs w:val="28"/>
        </w:rPr>
      </w:pPr>
    </w:p>
    <w:p w14:paraId="1034D210" w14:textId="12DBB9B0" w:rsidR="00154C5F" w:rsidRPr="009A0D0A" w:rsidRDefault="00154C5F" w:rsidP="00154C5F">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556B5846" w14:textId="77777777" w:rsidR="00154C5F"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2265292" w14:textId="55D2EA27" w:rsidR="00154C5F" w:rsidRPr="002869E1" w:rsidRDefault="00154C5F" w:rsidP="00154C5F">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 xml:space="preserve">el derecho de acceso a la información </w:t>
      </w:r>
      <w:r w:rsidR="00787BCF" w:rsidRPr="00505517">
        <w:rPr>
          <w:rFonts w:ascii="Palatino Linotype" w:eastAsia="Times New Roman" w:hAnsi="Palatino Linotype" w:cs="Times New Roman"/>
          <w:sz w:val="24"/>
          <w:szCs w:val="24"/>
          <w:lang w:eastAsia="es-ES"/>
        </w:rPr>
        <w:t>pública</w:t>
      </w:r>
      <w:r w:rsidRPr="00505517">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633A560C"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03EE3D"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778DF"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244CD45"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48383C5"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462DCC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FBCC8B0" w14:textId="77777777" w:rsidR="00154C5F" w:rsidRPr="006010FE" w:rsidRDefault="00154C5F" w:rsidP="00154C5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486BCE3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AD322B7"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0E7C7A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6E35791"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A31FDB" w14:textId="77777777" w:rsidR="00154C5F" w:rsidRPr="006E4CCA" w:rsidRDefault="00154C5F" w:rsidP="00154C5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4F09E7A7" w14:textId="77777777" w:rsidR="00154C5F" w:rsidRDefault="00154C5F" w:rsidP="00154C5F">
      <w:pPr>
        <w:spacing w:after="0" w:line="360" w:lineRule="auto"/>
        <w:jc w:val="both"/>
        <w:rPr>
          <w:rFonts w:ascii="Palatino Linotype" w:eastAsia="Times New Roman" w:hAnsi="Palatino Linotype" w:cs="Times New Roman"/>
          <w:sz w:val="24"/>
          <w:szCs w:val="24"/>
          <w:lang w:eastAsia="es-ES"/>
        </w:rPr>
      </w:pPr>
    </w:p>
    <w:p w14:paraId="4A08DC5E" w14:textId="77777777" w:rsidR="00154C5F" w:rsidRPr="006010FE" w:rsidRDefault="00154C5F" w:rsidP="00154C5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0FACECD" w14:textId="77777777" w:rsidR="00154C5F" w:rsidRDefault="00154C5F" w:rsidP="00154C5F">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71C1A91" w14:textId="5C33D968" w:rsidR="00BE3339" w:rsidRDefault="00BE3339" w:rsidP="00BE3339">
      <w:pPr>
        <w:pStyle w:val="Citas"/>
        <w:rPr>
          <w:b/>
        </w:rPr>
      </w:pPr>
    </w:p>
    <w:p w14:paraId="0AA8C207" w14:textId="7211CB80" w:rsidR="005C5860" w:rsidRDefault="00F42452" w:rsidP="00F42452">
      <w:pPr>
        <w:spacing w:before="240" w:line="360" w:lineRule="auto"/>
        <w:jc w:val="both"/>
        <w:rPr>
          <w:rFonts w:ascii="Palatino Linotype" w:hAnsi="Palatino Linotype" w:cs="Arial"/>
          <w:sz w:val="24"/>
          <w:szCs w:val="24"/>
        </w:rPr>
      </w:pPr>
      <w:r w:rsidRPr="00A279CF">
        <w:rPr>
          <w:rFonts w:ascii="Palatino Linotype" w:hAnsi="Palatino Linotype"/>
          <w:sz w:val="24"/>
          <w:szCs w:val="24"/>
        </w:rPr>
        <w:lastRenderedPageBreak/>
        <w:t xml:space="preserve">Una vez sentado lo anterior, </w:t>
      </w:r>
      <w:r>
        <w:rPr>
          <w:rFonts w:ascii="Palatino Linotype" w:hAnsi="Palatino Linotype" w:cs="Arial"/>
          <w:sz w:val="24"/>
          <w:szCs w:val="24"/>
        </w:rPr>
        <w:t xml:space="preserve">de una interpretación </w:t>
      </w:r>
      <w:r w:rsidR="00C15C47">
        <w:rPr>
          <w:rFonts w:ascii="Palatino Linotype" w:hAnsi="Palatino Linotype" w:cs="Arial"/>
          <w:sz w:val="24"/>
          <w:szCs w:val="24"/>
        </w:rPr>
        <w:t xml:space="preserve">literal a la solicitud de información </w:t>
      </w:r>
      <w:r w:rsidR="005C5860">
        <w:rPr>
          <w:rFonts w:ascii="Palatino Linotype" w:hAnsi="Palatino Linotype" w:cs="Arial"/>
          <w:b/>
          <w:bCs/>
          <w:sz w:val="24"/>
          <w:szCs w:val="24"/>
        </w:rPr>
        <w:t xml:space="preserve">01013/ZINACANT/IP/2023, </w:t>
      </w:r>
      <w:r w:rsidR="005C5860">
        <w:rPr>
          <w:rFonts w:ascii="Palatino Linotype" w:hAnsi="Palatino Linotype" w:cs="Arial"/>
          <w:sz w:val="24"/>
          <w:szCs w:val="24"/>
        </w:rPr>
        <w:t xml:space="preserve">se desprenden las siguientes consideraciones: </w:t>
      </w:r>
    </w:p>
    <w:p w14:paraId="0BE3FD43" w14:textId="77777777" w:rsidR="00B27F33" w:rsidRPr="00690743" w:rsidRDefault="005C5860" w:rsidP="00B27F33">
      <w:pPr>
        <w:pStyle w:val="Prrafodelista"/>
        <w:numPr>
          <w:ilvl w:val="0"/>
          <w:numId w:val="2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w:t>
      </w:r>
      <w:r w:rsidR="00B27F33">
        <w:rPr>
          <w:rFonts w:ascii="Palatino Linotype" w:hAnsi="Palatino Linotype" w:cs="Arial"/>
        </w:rPr>
        <w:t xml:space="preserve">derecho de acceso a la información pública estriba en la prerrogativa de carácter constitucional que reconoce la potestad de los ciudadanos para solicitar soportes documentales generados, poseídos o administrados por los </w:t>
      </w:r>
      <w:r w:rsidR="00B27F33">
        <w:rPr>
          <w:rFonts w:ascii="Palatino Linotype" w:hAnsi="Palatino Linotype" w:cs="Arial"/>
          <w:b/>
          <w:bCs/>
        </w:rPr>
        <w:t>Sujetos Obligados.</w:t>
      </w:r>
    </w:p>
    <w:p w14:paraId="16947367" w14:textId="6BE0DAF3" w:rsidR="00D6297A" w:rsidRDefault="00B27F33" w:rsidP="005C5860">
      <w:pPr>
        <w:pStyle w:val="Prrafodelista"/>
        <w:numPr>
          <w:ilvl w:val="0"/>
          <w:numId w:val="28"/>
        </w:numPr>
        <w:spacing w:before="240" w:line="360" w:lineRule="auto"/>
        <w:jc w:val="both"/>
        <w:rPr>
          <w:rFonts w:ascii="Palatino Linotype" w:hAnsi="Palatino Linotype" w:cs="Arial"/>
        </w:rPr>
      </w:pPr>
      <w:r>
        <w:rPr>
          <w:rFonts w:ascii="Palatino Linotype" w:hAnsi="Palatino Linotype" w:cs="Arial"/>
        </w:rPr>
        <w:t>Que fue</w:t>
      </w:r>
      <w:r w:rsidR="00D6297A">
        <w:rPr>
          <w:rFonts w:ascii="Palatino Linotype" w:hAnsi="Palatino Linotype" w:cs="Arial"/>
        </w:rPr>
        <w:t xml:space="preserve">ron formulados </w:t>
      </w:r>
      <w:r w:rsidR="00D6297A">
        <w:rPr>
          <w:rFonts w:ascii="Palatino Linotype" w:hAnsi="Palatino Linotype" w:cs="Arial"/>
          <w:b/>
          <w:bCs/>
        </w:rPr>
        <w:t xml:space="preserve">2 -dos- </w:t>
      </w:r>
      <w:r w:rsidR="00D6297A">
        <w:rPr>
          <w:rFonts w:ascii="Palatino Linotype" w:hAnsi="Palatino Linotype" w:cs="Arial"/>
        </w:rPr>
        <w:t xml:space="preserve">requerimientos, respecto de los cuales no fue delimitado elemento temporal, debiendo de ser fijado a la fecha en que se ejerció el derecho de acceso a la información pública, es decir, al treinta y uno de julio de dos mil veintitrés. </w:t>
      </w:r>
    </w:p>
    <w:p w14:paraId="3B7CAA11" w14:textId="77777777" w:rsidR="00B27F33" w:rsidRPr="008160EA" w:rsidRDefault="00B27F33" w:rsidP="00B27F33">
      <w:pPr>
        <w:pStyle w:val="Prrafodelista"/>
        <w:numPr>
          <w:ilvl w:val="0"/>
          <w:numId w:val="13"/>
        </w:numPr>
        <w:spacing w:before="240" w:line="360" w:lineRule="auto"/>
        <w:jc w:val="both"/>
        <w:rPr>
          <w:rFonts w:ascii="Palatino Linotype" w:hAnsi="Palatino Linotype"/>
        </w:rPr>
      </w:pPr>
      <w:r>
        <w:rPr>
          <w:rFonts w:ascii="Palatino Linotype" w:hAnsi="Palatino Linotype" w:cs="Arial"/>
        </w:rPr>
        <w:t xml:space="preserve">Que cuando los particulares </w:t>
      </w:r>
      <w:r w:rsidRPr="008160EA">
        <w:rPr>
          <w:rFonts w:ascii="Palatino Linotype" w:hAnsi="Palatino Linotype"/>
        </w:rPr>
        <w:t xml:space="preserve">no identifican de forma precisa el documento requerido bastará con que se remita cualquiera que refleje la información requerida. Al respecto cobra relevancia el criterio emitido por el Órgano Garante Nacional con número </w:t>
      </w:r>
      <w:r w:rsidRPr="008160EA">
        <w:rPr>
          <w:rFonts w:ascii="Palatino Linotype" w:hAnsi="Palatino Linotype"/>
          <w:b/>
          <w:bCs/>
        </w:rPr>
        <w:t xml:space="preserve">16/17 </w:t>
      </w:r>
      <w:r w:rsidRPr="008160EA">
        <w:rPr>
          <w:rFonts w:ascii="Palatino Linotype" w:hAnsi="Palatino Linotype"/>
        </w:rPr>
        <w:t>cuyo rubro y texto disponen a la literalidad lo siguiente:</w:t>
      </w:r>
    </w:p>
    <w:p w14:paraId="38951189" w14:textId="77777777" w:rsidR="00B27F33" w:rsidRPr="00AB5B4A" w:rsidRDefault="00B27F33" w:rsidP="00B27F33">
      <w:pPr>
        <w:pStyle w:val="Citas"/>
        <w:jc w:val="center"/>
        <w:rPr>
          <w:b/>
          <w:bCs/>
          <w:sz w:val="24"/>
          <w:szCs w:val="24"/>
        </w:rPr>
      </w:pPr>
      <w:r w:rsidRPr="00AB5B4A">
        <w:rPr>
          <w:b/>
          <w:bCs/>
          <w:sz w:val="24"/>
          <w:szCs w:val="24"/>
        </w:rPr>
        <w:t>“EXPRESIÓN DOCUMENTAL.</w:t>
      </w:r>
    </w:p>
    <w:p w14:paraId="49CE99EC" w14:textId="77777777" w:rsidR="00B27F33" w:rsidRPr="00AB5B4A" w:rsidRDefault="00B27F33" w:rsidP="00B27F33">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15F3D4D2" w14:textId="77777777" w:rsidR="00B27F33" w:rsidRPr="00AB5B4A" w:rsidRDefault="00B27F33" w:rsidP="00B27F33">
      <w:pPr>
        <w:pStyle w:val="Citas"/>
        <w:rPr>
          <w:b/>
        </w:rPr>
      </w:pPr>
      <w:r w:rsidRPr="00AB5B4A">
        <w:rPr>
          <w:b/>
        </w:rPr>
        <w:t>Precedentes:</w:t>
      </w:r>
    </w:p>
    <w:p w14:paraId="463826D9" w14:textId="77777777" w:rsidR="00B27F33" w:rsidRPr="00AB5B4A" w:rsidRDefault="00B27F33" w:rsidP="00B27F33">
      <w:pPr>
        <w:pStyle w:val="Citas"/>
        <w:numPr>
          <w:ilvl w:val="0"/>
          <w:numId w:val="11"/>
        </w:numPr>
        <w:rPr>
          <w:color w:val="000000"/>
        </w:rPr>
      </w:pPr>
      <w:r w:rsidRPr="00AB5B4A">
        <w:lastRenderedPageBreak/>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73373343" w14:textId="77777777" w:rsidR="00B27F33" w:rsidRPr="00AB5B4A" w:rsidRDefault="00B27F33" w:rsidP="00B27F33">
      <w:pPr>
        <w:pStyle w:val="Citas"/>
        <w:numPr>
          <w:ilvl w:val="0"/>
          <w:numId w:val="11"/>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27B688C7" w14:textId="77777777" w:rsidR="00B27F33" w:rsidRPr="00AB5B4A" w:rsidRDefault="00B27F33" w:rsidP="00B27F33">
      <w:pPr>
        <w:pStyle w:val="Citas"/>
        <w:numPr>
          <w:ilvl w:val="0"/>
          <w:numId w:val="11"/>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w:t>
      </w:r>
      <w:proofErr w:type="gramStart"/>
      <w:r w:rsidRPr="00AB5B4A">
        <w:t xml:space="preserve">“ </w:t>
      </w:r>
      <w:r w:rsidRPr="00AB5B4A">
        <w:rPr>
          <w:b/>
          <w:bCs/>
        </w:rPr>
        <w:t>(</w:t>
      </w:r>
      <w:proofErr w:type="gramEnd"/>
      <w:r w:rsidRPr="00AB5B4A">
        <w:rPr>
          <w:b/>
          <w:bCs/>
        </w:rPr>
        <w:t>Sic)</w:t>
      </w:r>
    </w:p>
    <w:p w14:paraId="64C96A6A" w14:textId="20AA0273" w:rsidR="00B27F33" w:rsidRDefault="00B27F33" w:rsidP="00B27F33">
      <w:pPr>
        <w:spacing w:before="240" w:line="360" w:lineRule="auto"/>
        <w:jc w:val="both"/>
        <w:rPr>
          <w:rFonts w:ascii="Palatino Linotype" w:hAnsi="Palatino Linotype" w:cs="Arial"/>
        </w:rPr>
      </w:pPr>
    </w:p>
    <w:p w14:paraId="5E10B501" w14:textId="77777777" w:rsidR="00B27F33" w:rsidRPr="0051062B" w:rsidRDefault="00B27F33" w:rsidP="00B27F33">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41FCBDE8" w14:textId="77777777" w:rsidR="00B27F33" w:rsidRPr="0051062B" w:rsidRDefault="00B27F33" w:rsidP="00B27F33">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180E3F41" w14:textId="77777777" w:rsidR="00B27F33" w:rsidRPr="0051062B" w:rsidRDefault="00B27F33" w:rsidP="00B27F33">
      <w:pPr>
        <w:pStyle w:val="Citas"/>
        <w:rPr>
          <w:b/>
        </w:rPr>
      </w:pPr>
      <w:r w:rsidRPr="0051062B">
        <w:rPr>
          <w:b/>
        </w:rPr>
        <w:t xml:space="preserve">Artículo 181. … </w:t>
      </w:r>
    </w:p>
    <w:p w14:paraId="759D6F83" w14:textId="77777777" w:rsidR="00B27F33" w:rsidRDefault="00B27F33" w:rsidP="00B27F33">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CFBEB27" w14:textId="57FB8CA0" w:rsidR="00B27F33" w:rsidRDefault="00B27F33" w:rsidP="00B27F33">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6B3528A3" w14:textId="77777777" w:rsidR="00824EC8" w:rsidRDefault="00B27F33" w:rsidP="00B27F33">
      <w:pPr>
        <w:pStyle w:val="Prrafodelista"/>
        <w:numPr>
          <w:ilvl w:val="0"/>
          <w:numId w:val="30"/>
        </w:numPr>
        <w:spacing w:before="240" w:line="360" w:lineRule="auto"/>
        <w:jc w:val="both"/>
        <w:rPr>
          <w:rFonts w:ascii="Palatino Linotype" w:hAnsi="Palatino Linotype" w:cs="Arial"/>
        </w:rPr>
      </w:pPr>
      <w:r>
        <w:rPr>
          <w:rFonts w:ascii="Palatino Linotype" w:hAnsi="Palatino Linotype" w:cs="Arial"/>
        </w:rPr>
        <w:t xml:space="preserve">El o los documentos </w:t>
      </w:r>
      <w:r w:rsidR="00D6297A">
        <w:rPr>
          <w:rFonts w:ascii="Palatino Linotype" w:hAnsi="Palatino Linotype" w:cs="Arial"/>
        </w:rPr>
        <w:t xml:space="preserve">que avalen la </w:t>
      </w:r>
      <w:r w:rsidR="00824EC8">
        <w:rPr>
          <w:rFonts w:ascii="Palatino Linotype" w:hAnsi="Palatino Linotype" w:cs="Arial"/>
        </w:rPr>
        <w:t>propiedad del patrimonio del Instituto Municipal de la Mujer, al treinta y uno de julio de dos mil veintitrés.</w:t>
      </w:r>
    </w:p>
    <w:p w14:paraId="7D8ADF7F" w14:textId="2FB074EE" w:rsidR="00B27F33" w:rsidRPr="00B27F33" w:rsidRDefault="00824EC8" w:rsidP="00B27F33">
      <w:pPr>
        <w:pStyle w:val="Prrafodelista"/>
        <w:numPr>
          <w:ilvl w:val="0"/>
          <w:numId w:val="30"/>
        </w:numPr>
        <w:spacing w:before="240" w:line="360" w:lineRule="auto"/>
        <w:jc w:val="both"/>
        <w:rPr>
          <w:rFonts w:ascii="Palatino Linotype" w:hAnsi="Palatino Linotype" w:cs="Arial"/>
        </w:rPr>
      </w:pPr>
      <w:r>
        <w:rPr>
          <w:rFonts w:ascii="Palatino Linotype" w:hAnsi="Palatino Linotype" w:cs="Arial"/>
        </w:rPr>
        <w:t xml:space="preserve">El o los documentos que avalen la propiedad del patrimonio del Instituto Municipal de la Juventud, al treinta y uno de julio de dos mil veintitrés. </w:t>
      </w:r>
      <w:r w:rsidR="00D6297A">
        <w:rPr>
          <w:rFonts w:ascii="Palatino Linotype" w:hAnsi="Palatino Linotype" w:cs="Arial"/>
        </w:rPr>
        <w:t xml:space="preserve"> </w:t>
      </w:r>
    </w:p>
    <w:p w14:paraId="2D43C39E" w14:textId="77777777" w:rsidR="005C5860" w:rsidRDefault="005C5860" w:rsidP="00F42452">
      <w:pPr>
        <w:spacing w:before="240" w:line="360" w:lineRule="auto"/>
        <w:jc w:val="both"/>
        <w:rPr>
          <w:rFonts w:ascii="Palatino Linotype" w:hAnsi="Palatino Linotype" w:cs="Arial"/>
          <w:sz w:val="24"/>
          <w:szCs w:val="24"/>
        </w:rPr>
      </w:pPr>
    </w:p>
    <w:p w14:paraId="30EEF685" w14:textId="77777777" w:rsidR="009018A4" w:rsidRDefault="009018A4" w:rsidP="009018A4">
      <w:pPr>
        <w:autoSpaceDE w:val="0"/>
        <w:autoSpaceDN w:val="0"/>
        <w:adjustRightInd w:val="0"/>
        <w:spacing w:line="360" w:lineRule="auto"/>
        <w:jc w:val="both"/>
        <w:rPr>
          <w:rFonts w:ascii="Palatino Linotype" w:hAnsi="Palatino Linotype" w:cs="Arial"/>
          <w:sz w:val="24"/>
          <w:szCs w:val="24"/>
        </w:rPr>
      </w:pPr>
      <w:r w:rsidRPr="00AE463F">
        <w:rPr>
          <w:rFonts w:ascii="Palatino Linotype" w:hAnsi="Palatino Linotype" w:cs="Arial"/>
          <w:sz w:val="24"/>
          <w:szCs w:val="24"/>
        </w:rPr>
        <w:t xml:space="preserve">Una vez precisado lo anterior y </w:t>
      </w:r>
      <w:r>
        <w:rPr>
          <w:rFonts w:ascii="Palatino Linotype" w:hAnsi="Palatino Linotype" w:cs="Arial"/>
          <w:sz w:val="24"/>
          <w:szCs w:val="24"/>
        </w:rPr>
        <w:t>con el propósito</w:t>
      </w:r>
      <w:r w:rsidRPr="00AE463F">
        <w:rPr>
          <w:rFonts w:ascii="Palatino Linotype" w:hAnsi="Palatino Linotype" w:cs="Arial"/>
          <w:sz w:val="24"/>
          <w:szCs w:val="24"/>
        </w:rPr>
        <w:t xml:space="preserve"> de realizar un análisis exhaustivo de la información requerida, resulta oportu</w:t>
      </w:r>
      <w:r>
        <w:rPr>
          <w:rFonts w:ascii="Palatino Linotype" w:hAnsi="Palatino Linotype" w:cs="Arial"/>
          <w:sz w:val="24"/>
          <w:szCs w:val="24"/>
        </w:rPr>
        <w:t xml:space="preserve">no delimitar las fronteras conceptuales de los órganos desconcentrados. </w:t>
      </w:r>
    </w:p>
    <w:p w14:paraId="16799166" w14:textId="7A1E2896" w:rsidR="00602D39" w:rsidRPr="00602D39" w:rsidRDefault="00787BCF" w:rsidP="0036726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Desde</w:t>
      </w:r>
      <w:r w:rsidR="00602D39">
        <w:rPr>
          <w:rFonts w:ascii="Palatino Linotype" w:hAnsi="Palatino Linotype" w:cs="Arial"/>
          <w:sz w:val="24"/>
          <w:szCs w:val="24"/>
        </w:rPr>
        <w:t xml:space="preserve"> una perspectiva etimológica, </w:t>
      </w:r>
      <w:r>
        <w:rPr>
          <w:rFonts w:ascii="Palatino Linotype" w:hAnsi="Palatino Linotype" w:cs="Arial"/>
          <w:sz w:val="24"/>
          <w:szCs w:val="24"/>
        </w:rPr>
        <w:t>se destaca</w:t>
      </w:r>
      <w:r w:rsidR="009018A4">
        <w:rPr>
          <w:rFonts w:ascii="Palatino Linotype" w:hAnsi="Palatino Linotype" w:cs="Arial"/>
          <w:sz w:val="24"/>
          <w:szCs w:val="24"/>
        </w:rPr>
        <w:t xml:space="preserve"> que </w:t>
      </w:r>
      <w:r w:rsidR="00602D39">
        <w:rPr>
          <w:rFonts w:ascii="Palatino Linotype" w:hAnsi="Palatino Linotype" w:cs="Arial"/>
          <w:sz w:val="24"/>
          <w:szCs w:val="24"/>
        </w:rPr>
        <w:t xml:space="preserve">la palabra </w:t>
      </w:r>
      <w:r w:rsidR="00602D39">
        <w:rPr>
          <w:rFonts w:ascii="Palatino Linotype" w:hAnsi="Palatino Linotype" w:cs="Arial"/>
          <w:b/>
          <w:bCs/>
          <w:sz w:val="24"/>
          <w:szCs w:val="24"/>
        </w:rPr>
        <w:t xml:space="preserve">desconcentrado, </w:t>
      </w:r>
      <w:r w:rsidR="009018A4">
        <w:rPr>
          <w:rFonts w:ascii="Palatino Linotype" w:hAnsi="Palatino Linotype" w:cs="Arial"/>
          <w:sz w:val="24"/>
          <w:szCs w:val="24"/>
        </w:rPr>
        <w:t xml:space="preserve">se encuentra </w:t>
      </w:r>
      <w:r w:rsidR="00602D39">
        <w:rPr>
          <w:rFonts w:ascii="Palatino Linotype" w:hAnsi="Palatino Linotype" w:cs="Arial"/>
          <w:sz w:val="24"/>
          <w:szCs w:val="24"/>
        </w:rPr>
        <w:t>compuest</w:t>
      </w:r>
      <w:r w:rsidR="009018A4">
        <w:rPr>
          <w:rFonts w:ascii="Palatino Linotype" w:hAnsi="Palatino Linotype" w:cs="Arial"/>
          <w:sz w:val="24"/>
          <w:szCs w:val="24"/>
        </w:rPr>
        <w:t>a</w:t>
      </w:r>
      <w:r w:rsidR="00602D39">
        <w:rPr>
          <w:rFonts w:ascii="Palatino Linotype" w:hAnsi="Palatino Linotype" w:cs="Arial"/>
          <w:sz w:val="24"/>
          <w:szCs w:val="24"/>
        </w:rPr>
        <w:t xml:space="preserve"> por el prefijo </w:t>
      </w:r>
      <w:proofErr w:type="spellStart"/>
      <w:r w:rsidR="00602D39" w:rsidRPr="00602D39">
        <w:rPr>
          <w:rFonts w:ascii="Palatino Linotype" w:hAnsi="Palatino Linotype" w:cs="Arial"/>
          <w:b/>
          <w:bCs/>
          <w:i/>
          <w:iCs/>
          <w:sz w:val="24"/>
          <w:szCs w:val="24"/>
        </w:rPr>
        <w:t>dis</w:t>
      </w:r>
      <w:proofErr w:type="spellEnd"/>
      <w:r w:rsidR="00602D39" w:rsidRPr="00602D39">
        <w:rPr>
          <w:rFonts w:ascii="Palatino Linotype" w:hAnsi="Palatino Linotype" w:cs="Arial"/>
          <w:b/>
          <w:bCs/>
          <w:i/>
          <w:iCs/>
          <w:sz w:val="24"/>
          <w:szCs w:val="24"/>
        </w:rPr>
        <w:t xml:space="preserve"> </w:t>
      </w:r>
      <w:r w:rsidR="00602D39">
        <w:rPr>
          <w:rFonts w:ascii="Palatino Linotype" w:hAnsi="Palatino Linotype" w:cs="Arial"/>
          <w:sz w:val="24"/>
          <w:szCs w:val="24"/>
        </w:rPr>
        <w:t xml:space="preserve">(divergencia), </w:t>
      </w:r>
      <w:r w:rsidR="00602D39" w:rsidRPr="00602D39">
        <w:rPr>
          <w:rFonts w:ascii="Palatino Linotype" w:hAnsi="Palatino Linotype" w:cs="Arial"/>
          <w:b/>
          <w:bCs/>
          <w:i/>
          <w:iCs/>
          <w:sz w:val="24"/>
          <w:szCs w:val="24"/>
        </w:rPr>
        <w:t>con</w:t>
      </w:r>
      <w:r w:rsidR="00602D39">
        <w:rPr>
          <w:rFonts w:ascii="Palatino Linotype" w:hAnsi="Palatino Linotype" w:cs="Arial"/>
          <w:b/>
          <w:bCs/>
          <w:sz w:val="24"/>
          <w:szCs w:val="24"/>
        </w:rPr>
        <w:t xml:space="preserve"> </w:t>
      </w:r>
      <w:r w:rsidR="00602D39">
        <w:rPr>
          <w:rFonts w:ascii="Palatino Linotype" w:hAnsi="Palatino Linotype" w:cs="Arial"/>
          <w:sz w:val="24"/>
          <w:szCs w:val="24"/>
        </w:rPr>
        <w:t xml:space="preserve">(todo, junto), </w:t>
      </w:r>
      <w:proofErr w:type="spellStart"/>
      <w:r w:rsidR="00602D39" w:rsidRPr="00602D39">
        <w:rPr>
          <w:rFonts w:ascii="Palatino Linotype" w:hAnsi="Palatino Linotype" w:cs="Arial"/>
          <w:b/>
          <w:bCs/>
          <w:i/>
          <w:iCs/>
          <w:sz w:val="24"/>
          <w:szCs w:val="24"/>
        </w:rPr>
        <w:t>centrum</w:t>
      </w:r>
      <w:proofErr w:type="spellEnd"/>
      <w:r w:rsidR="00602D39" w:rsidRPr="00602D39">
        <w:rPr>
          <w:rFonts w:ascii="Palatino Linotype" w:hAnsi="Palatino Linotype" w:cs="Arial"/>
          <w:b/>
          <w:bCs/>
          <w:i/>
          <w:iCs/>
          <w:sz w:val="24"/>
          <w:szCs w:val="24"/>
        </w:rPr>
        <w:t xml:space="preserve"> </w:t>
      </w:r>
      <w:r w:rsidR="00602D39">
        <w:rPr>
          <w:rFonts w:ascii="Palatino Linotype" w:hAnsi="Palatino Linotype" w:cs="Arial"/>
          <w:sz w:val="24"/>
          <w:szCs w:val="24"/>
        </w:rPr>
        <w:t xml:space="preserve">(en el medio), más el sufijo </w:t>
      </w:r>
      <w:proofErr w:type="spellStart"/>
      <w:r w:rsidR="00602D39">
        <w:rPr>
          <w:rFonts w:ascii="Palatino Linotype" w:hAnsi="Palatino Linotype" w:cs="Arial"/>
          <w:b/>
          <w:bCs/>
          <w:i/>
          <w:iCs/>
          <w:sz w:val="24"/>
          <w:szCs w:val="24"/>
        </w:rPr>
        <w:t>ado</w:t>
      </w:r>
      <w:proofErr w:type="spellEnd"/>
      <w:r w:rsidR="00602D39">
        <w:rPr>
          <w:rFonts w:ascii="Palatino Linotype" w:hAnsi="Palatino Linotype" w:cs="Arial"/>
          <w:b/>
          <w:bCs/>
          <w:i/>
          <w:iCs/>
          <w:sz w:val="24"/>
          <w:szCs w:val="24"/>
        </w:rPr>
        <w:t xml:space="preserve"> </w:t>
      </w:r>
      <w:r w:rsidR="00602D39">
        <w:rPr>
          <w:rFonts w:ascii="Palatino Linotype" w:hAnsi="Palatino Linotype" w:cs="Arial"/>
          <w:sz w:val="24"/>
          <w:szCs w:val="24"/>
        </w:rPr>
        <w:t>(que ha recibido la acción)</w:t>
      </w:r>
      <w:r w:rsidR="003A4BD5">
        <w:rPr>
          <w:rFonts w:ascii="Palatino Linotype" w:hAnsi="Palatino Linotype" w:cs="Arial"/>
          <w:sz w:val="24"/>
          <w:szCs w:val="24"/>
        </w:rPr>
        <w:t>.</w:t>
      </w:r>
    </w:p>
    <w:p w14:paraId="0881B79B" w14:textId="39F1861A" w:rsidR="00602D39" w:rsidRPr="00602D39" w:rsidRDefault="00602D39" w:rsidP="0036726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Por su parte, la Real Academia Española define la</w:t>
      </w:r>
      <w:r w:rsidR="003A4BD5">
        <w:rPr>
          <w:rFonts w:ascii="Palatino Linotype" w:hAnsi="Palatino Linotype" w:cs="Arial"/>
          <w:sz w:val="24"/>
          <w:szCs w:val="24"/>
        </w:rPr>
        <w:t>s</w:t>
      </w:r>
      <w:r>
        <w:rPr>
          <w:rFonts w:ascii="Palatino Linotype" w:hAnsi="Palatino Linotype" w:cs="Arial"/>
          <w:sz w:val="24"/>
          <w:szCs w:val="24"/>
        </w:rPr>
        <w:t xml:space="preserve"> palabra</w:t>
      </w:r>
      <w:r w:rsidR="003A4BD5">
        <w:rPr>
          <w:rFonts w:ascii="Palatino Linotype" w:hAnsi="Palatino Linotype" w:cs="Arial"/>
          <w:sz w:val="24"/>
          <w:szCs w:val="24"/>
        </w:rPr>
        <w:t>s</w:t>
      </w:r>
      <w:r>
        <w:rPr>
          <w:rFonts w:ascii="Palatino Linotype" w:hAnsi="Palatino Linotype" w:cs="Arial"/>
          <w:sz w:val="24"/>
          <w:szCs w:val="24"/>
        </w:rPr>
        <w:t xml:space="preserve"> </w:t>
      </w:r>
      <w:r>
        <w:rPr>
          <w:rFonts w:ascii="Palatino Linotype" w:hAnsi="Palatino Linotype" w:cs="Arial"/>
          <w:b/>
          <w:bCs/>
          <w:sz w:val="24"/>
          <w:szCs w:val="24"/>
        </w:rPr>
        <w:t xml:space="preserve">desconcentrar </w:t>
      </w:r>
      <w:r>
        <w:rPr>
          <w:rFonts w:ascii="Palatino Linotype" w:hAnsi="Palatino Linotype" w:cs="Arial"/>
          <w:sz w:val="24"/>
          <w:szCs w:val="24"/>
        </w:rPr>
        <w:t xml:space="preserve">y </w:t>
      </w:r>
      <w:r>
        <w:rPr>
          <w:rFonts w:ascii="Palatino Linotype" w:hAnsi="Palatino Linotype" w:cs="Arial"/>
          <w:b/>
          <w:bCs/>
          <w:sz w:val="24"/>
          <w:szCs w:val="24"/>
        </w:rPr>
        <w:t xml:space="preserve">desconcentrado, </w:t>
      </w:r>
      <w:r>
        <w:rPr>
          <w:rFonts w:ascii="Palatino Linotype" w:hAnsi="Palatino Linotype" w:cs="Arial"/>
          <w:sz w:val="24"/>
          <w:szCs w:val="24"/>
        </w:rPr>
        <w:t xml:space="preserve">en los siguientes términos: </w:t>
      </w:r>
    </w:p>
    <w:p w14:paraId="46838DF4" w14:textId="0F7E6751" w:rsidR="00602D39" w:rsidRDefault="00602D39" w:rsidP="00602D39">
      <w:pPr>
        <w:pStyle w:val="Citas"/>
      </w:pPr>
      <w:r>
        <w:t>“Desconcentrar</w:t>
      </w:r>
    </w:p>
    <w:p w14:paraId="5E79135D" w14:textId="0938E73F" w:rsidR="00602D39" w:rsidRDefault="00602D39" w:rsidP="00602D39">
      <w:pPr>
        <w:pStyle w:val="Citas"/>
        <w:numPr>
          <w:ilvl w:val="0"/>
          <w:numId w:val="35"/>
        </w:numPr>
      </w:pPr>
      <w:r>
        <w:t xml:space="preserve">Hacer que alguien pierda la concentración o la atención puesta en algo. </w:t>
      </w:r>
    </w:p>
    <w:p w14:paraId="7238D464" w14:textId="526BB29D" w:rsidR="00602D39" w:rsidRDefault="00602D39" w:rsidP="00602D39">
      <w:pPr>
        <w:pStyle w:val="Citas"/>
        <w:numPr>
          <w:ilvl w:val="0"/>
          <w:numId w:val="35"/>
        </w:numPr>
      </w:pPr>
      <w:r>
        <w:t>Repartir entre varios algo que está concentrado en un lugar o que es responsabilidad de una persona.</w:t>
      </w:r>
    </w:p>
    <w:p w14:paraId="633F54D3" w14:textId="7634E5E1" w:rsidR="00602D39" w:rsidRDefault="00602D39" w:rsidP="00602D39">
      <w:pPr>
        <w:pStyle w:val="Citas"/>
        <w:numPr>
          <w:ilvl w:val="0"/>
          <w:numId w:val="35"/>
        </w:numPr>
      </w:pPr>
      <w:r>
        <w:lastRenderedPageBreak/>
        <w:t>Perder la concentración o la atención.</w:t>
      </w:r>
    </w:p>
    <w:p w14:paraId="2535FBBF" w14:textId="0BAB8AD6" w:rsidR="00602D39" w:rsidRDefault="00602D39" w:rsidP="00602D39">
      <w:pPr>
        <w:pStyle w:val="Citas"/>
        <w:rPr>
          <w:b/>
          <w:bCs/>
        </w:rPr>
      </w:pPr>
      <w:r>
        <w:rPr>
          <w:b/>
          <w:bCs/>
        </w:rPr>
        <w:t>Desconcentrado</w:t>
      </w:r>
    </w:p>
    <w:p w14:paraId="66EE2112" w14:textId="203D1311" w:rsidR="00602D39" w:rsidRPr="00602D39" w:rsidRDefault="00602D39" w:rsidP="00602D39">
      <w:pPr>
        <w:pStyle w:val="Citas"/>
        <w:numPr>
          <w:ilvl w:val="0"/>
          <w:numId w:val="36"/>
        </w:numPr>
      </w:pPr>
      <w:r>
        <w:t xml:space="preserve">Dicho de un organismo o de una institución del Estado. Que tiene capacidad en sí mismo para actuar y tomar decisiones” </w:t>
      </w:r>
      <w:r>
        <w:rPr>
          <w:b/>
          <w:bCs/>
        </w:rPr>
        <w:t>(Sic)</w:t>
      </w:r>
    </w:p>
    <w:p w14:paraId="2FA3A40F" w14:textId="77777777" w:rsidR="00602D39" w:rsidRDefault="00602D39" w:rsidP="00367265">
      <w:pPr>
        <w:autoSpaceDE w:val="0"/>
        <w:autoSpaceDN w:val="0"/>
        <w:adjustRightInd w:val="0"/>
        <w:spacing w:line="360" w:lineRule="auto"/>
        <w:jc w:val="both"/>
        <w:rPr>
          <w:rFonts w:ascii="Palatino Linotype" w:hAnsi="Palatino Linotype" w:cs="Arial"/>
          <w:sz w:val="24"/>
          <w:szCs w:val="24"/>
        </w:rPr>
      </w:pPr>
    </w:p>
    <w:p w14:paraId="11388EA3" w14:textId="4AA5A46D" w:rsidR="00602D39" w:rsidRDefault="00EC6EEE" w:rsidP="00602D39">
      <w:pPr>
        <w:pStyle w:val="Prrafodelista"/>
        <w:autoSpaceDE w:val="0"/>
        <w:autoSpaceDN w:val="0"/>
        <w:adjustRightInd w:val="0"/>
        <w:spacing w:line="360" w:lineRule="auto"/>
        <w:ind w:left="0"/>
        <w:jc w:val="both"/>
        <w:rPr>
          <w:rFonts w:ascii="Palatino Linotype" w:hAnsi="Palatino Linotype" w:cs="Arial"/>
          <w:szCs w:val="22"/>
        </w:rPr>
      </w:pPr>
      <w:r>
        <w:rPr>
          <w:rFonts w:ascii="Palatino Linotype" w:hAnsi="Palatino Linotype" w:cs="Arial"/>
          <w:szCs w:val="22"/>
        </w:rPr>
        <w:t>Bajo este contexto</w:t>
      </w:r>
      <w:r w:rsidR="00602D39" w:rsidRPr="00F86EDD">
        <w:rPr>
          <w:rFonts w:ascii="Palatino Linotype" w:hAnsi="Palatino Linotype" w:cs="Arial"/>
          <w:szCs w:val="22"/>
        </w:rPr>
        <w:t xml:space="preserve">, </w:t>
      </w:r>
      <w:r w:rsidR="00602D39">
        <w:rPr>
          <w:rFonts w:ascii="Palatino Linotype" w:hAnsi="Palatino Linotype" w:cs="Arial"/>
          <w:szCs w:val="22"/>
        </w:rPr>
        <w:t xml:space="preserve">Luis José Béjar Rivera </w:t>
      </w:r>
      <w:r>
        <w:rPr>
          <w:rFonts w:ascii="Palatino Linotype" w:hAnsi="Palatino Linotype" w:cs="Arial"/>
          <w:szCs w:val="22"/>
        </w:rPr>
        <w:t xml:space="preserve">(2007), en su obra </w:t>
      </w:r>
      <w:r w:rsidRPr="00EC6EEE">
        <w:rPr>
          <w:rFonts w:ascii="Palatino Linotype" w:hAnsi="Palatino Linotype" w:cs="Arial"/>
          <w:i/>
          <w:iCs/>
          <w:szCs w:val="22"/>
        </w:rPr>
        <w:t>“Curso de derecho administrativo”</w:t>
      </w:r>
      <w:r>
        <w:rPr>
          <w:rFonts w:ascii="Palatino Linotype" w:hAnsi="Palatino Linotype" w:cs="Arial"/>
          <w:szCs w:val="22"/>
        </w:rPr>
        <w:t xml:space="preserve"> delimita las fronteras conceptuales de los órganos desconcentrados en los siguientes términos: </w:t>
      </w:r>
    </w:p>
    <w:p w14:paraId="56680917" w14:textId="0C49E0A0" w:rsidR="00EC6EEE" w:rsidRPr="00EC6EEE" w:rsidRDefault="00EC6EEE" w:rsidP="00EC6EEE">
      <w:pPr>
        <w:pStyle w:val="Citas"/>
        <w:rPr>
          <w:b/>
          <w:bCs/>
        </w:rPr>
      </w:pPr>
      <w:r>
        <w:t xml:space="preserve">“(…) entidades </w:t>
      </w:r>
      <w:r w:rsidRPr="00EC6EEE">
        <w:rPr>
          <w:b/>
          <w:bCs/>
          <w:u w:val="single"/>
        </w:rPr>
        <w:t>carentes de personalidad jurídica y patrimonio propios,</w:t>
      </w:r>
      <w:r>
        <w:t xml:space="preserve"> dependientes del órgano centralizado del cual emanan y al que únicamente se le concedieron ciertas facultades en relación con la simplificación administrativa, y tener un mejor contacto con los gobernados” </w:t>
      </w:r>
      <w:r>
        <w:rPr>
          <w:b/>
          <w:bCs/>
        </w:rPr>
        <w:t>(Sic)</w:t>
      </w:r>
    </w:p>
    <w:p w14:paraId="331487CE" w14:textId="77777777" w:rsidR="00602D39" w:rsidRDefault="00602D39" w:rsidP="00602D39">
      <w:pPr>
        <w:pStyle w:val="Prrafodelista"/>
        <w:autoSpaceDE w:val="0"/>
        <w:autoSpaceDN w:val="0"/>
        <w:adjustRightInd w:val="0"/>
        <w:spacing w:line="360" w:lineRule="auto"/>
        <w:ind w:left="0"/>
        <w:jc w:val="both"/>
        <w:rPr>
          <w:rFonts w:ascii="Palatino Linotype" w:hAnsi="Palatino Linotype" w:cs="Arial"/>
          <w:szCs w:val="22"/>
        </w:rPr>
      </w:pPr>
    </w:p>
    <w:p w14:paraId="6FFF9999" w14:textId="15DBD0F3" w:rsidR="00602D39" w:rsidRDefault="00EC6EEE" w:rsidP="00602D39">
      <w:pPr>
        <w:pStyle w:val="Prrafodelista"/>
        <w:autoSpaceDE w:val="0"/>
        <w:autoSpaceDN w:val="0"/>
        <w:adjustRightInd w:val="0"/>
        <w:spacing w:line="360" w:lineRule="auto"/>
        <w:ind w:left="0"/>
        <w:jc w:val="both"/>
        <w:rPr>
          <w:rFonts w:ascii="Palatino Linotype" w:hAnsi="Palatino Linotype" w:cs="Arial"/>
          <w:szCs w:val="22"/>
        </w:rPr>
      </w:pPr>
      <w:r>
        <w:rPr>
          <w:rFonts w:ascii="Palatino Linotype" w:hAnsi="Palatino Linotype" w:cs="Arial"/>
          <w:szCs w:val="22"/>
        </w:rPr>
        <w:t>De forma complementaria, Rafael Martínez Morales (2009) enlista en</w:t>
      </w:r>
      <w:r w:rsidR="00787BCF">
        <w:rPr>
          <w:rFonts w:ascii="Palatino Linotype" w:hAnsi="Palatino Linotype" w:cs="Arial"/>
          <w:szCs w:val="22"/>
        </w:rPr>
        <w:t xml:space="preserve"> el ejemplar</w:t>
      </w:r>
      <w:r>
        <w:rPr>
          <w:rFonts w:ascii="Palatino Linotype" w:hAnsi="Palatino Linotype" w:cs="Arial"/>
          <w:szCs w:val="22"/>
        </w:rPr>
        <w:t xml:space="preserve"> </w:t>
      </w:r>
      <w:r>
        <w:rPr>
          <w:rFonts w:ascii="Palatino Linotype" w:hAnsi="Palatino Linotype" w:cs="Arial"/>
          <w:i/>
          <w:iCs/>
          <w:szCs w:val="22"/>
        </w:rPr>
        <w:t xml:space="preserve">“Derecho administrativo 1er curso”, </w:t>
      </w:r>
      <w:r>
        <w:rPr>
          <w:rFonts w:ascii="Palatino Linotype" w:hAnsi="Palatino Linotype" w:cs="Arial"/>
          <w:szCs w:val="22"/>
        </w:rPr>
        <w:t>las características de los órganos desconcentrados:</w:t>
      </w:r>
    </w:p>
    <w:p w14:paraId="3B414A29" w14:textId="509777FA" w:rsidR="00EC6EEE" w:rsidRDefault="00EC6EEE" w:rsidP="00EC6EEE">
      <w:pPr>
        <w:pStyle w:val="Citas"/>
      </w:pPr>
      <w:r>
        <w:t>“1. Forman parte de la centralización administrativa</w:t>
      </w:r>
    </w:p>
    <w:p w14:paraId="593C8B3C" w14:textId="6AFAD37B" w:rsidR="00EC6EEE" w:rsidRDefault="00EC6EEE" w:rsidP="00EC6EEE">
      <w:pPr>
        <w:pStyle w:val="Citas"/>
        <w:numPr>
          <w:ilvl w:val="0"/>
          <w:numId w:val="36"/>
        </w:numPr>
      </w:pPr>
      <w:r>
        <w:t>Mantienen liga jerárquica con algún órgano centralizado.</w:t>
      </w:r>
    </w:p>
    <w:p w14:paraId="346EB338" w14:textId="5122AB4E" w:rsidR="00EC6EEE" w:rsidRDefault="00EC6EEE" w:rsidP="00EC6EEE">
      <w:pPr>
        <w:pStyle w:val="Citas"/>
        <w:numPr>
          <w:ilvl w:val="0"/>
          <w:numId w:val="36"/>
        </w:numPr>
      </w:pPr>
      <w:r>
        <w:t>Poseen cierta libertad para su actuación técnica</w:t>
      </w:r>
    </w:p>
    <w:p w14:paraId="77F40066" w14:textId="218974CE" w:rsidR="00EC6EEE" w:rsidRDefault="00EC6EEE" w:rsidP="00EC6EEE">
      <w:pPr>
        <w:pStyle w:val="Citas"/>
        <w:numPr>
          <w:ilvl w:val="0"/>
          <w:numId w:val="36"/>
        </w:numPr>
      </w:pPr>
      <w:r>
        <w:t xml:space="preserve">Debe de ser un instrumento de derecho público (ley, reglamento, decreto o acuerdo) el que los cree, modifique o extinga. </w:t>
      </w:r>
    </w:p>
    <w:p w14:paraId="515BFC5E" w14:textId="1E0B1F91" w:rsidR="00EC6EEE" w:rsidRDefault="00EC6EEE" w:rsidP="00EC6EEE">
      <w:pPr>
        <w:pStyle w:val="Citas"/>
        <w:numPr>
          <w:ilvl w:val="0"/>
          <w:numId w:val="36"/>
        </w:numPr>
      </w:pPr>
      <w:r>
        <w:lastRenderedPageBreak/>
        <w:t xml:space="preserve">Cuentan con competencia limitada a cierta materia o territorio. </w:t>
      </w:r>
    </w:p>
    <w:p w14:paraId="0518F936" w14:textId="1920FE12" w:rsidR="00EC6EEE" w:rsidRPr="00EC6EEE" w:rsidRDefault="00EC6EEE" w:rsidP="00EC6EEE">
      <w:pPr>
        <w:pStyle w:val="Citas"/>
        <w:numPr>
          <w:ilvl w:val="0"/>
          <w:numId w:val="36"/>
        </w:numPr>
      </w:pPr>
      <w:r>
        <w:t xml:space="preserve">No poseen personalidad jurídica” </w:t>
      </w:r>
      <w:r>
        <w:rPr>
          <w:b/>
          <w:bCs/>
        </w:rPr>
        <w:t>(Sic)</w:t>
      </w:r>
    </w:p>
    <w:p w14:paraId="23267D6F" w14:textId="77777777" w:rsidR="00EC6EEE" w:rsidRDefault="00EC6EEE" w:rsidP="00EC6EEE">
      <w:pPr>
        <w:pStyle w:val="Citas"/>
        <w:ind w:left="0"/>
      </w:pPr>
    </w:p>
    <w:p w14:paraId="16430C87" w14:textId="7A6E7298" w:rsidR="00EC6EEE" w:rsidRDefault="00EC6EEE" w:rsidP="00EC6EEE">
      <w:pPr>
        <w:pStyle w:val="Citas"/>
        <w:ind w:left="0" w:right="0"/>
        <w:rPr>
          <w:i w:val="0"/>
          <w:iCs/>
          <w:sz w:val="24"/>
          <w:szCs w:val="24"/>
        </w:rPr>
      </w:pPr>
      <w:r>
        <w:rPr>
          <w:i w:val="0"/>
          <w:iCs/>
          <w:sz w:val="24"/>
          <w:szCs w:val="24"/>
        </w:rPr>
        <w:t xml:space="preserve">Por otra parte, con relación a la autonomía técnica y financiera de los órganos desconcentrados, el autor en cita dispone lo siguiente: </w:t>
      </w:r>
    </w:p>
    <w:p w14:paraId="153FBB28" w14:textId="071742E0" w:rsidR="00EC6EEE" w:rsidRDefault="00EC6EEE" w:rsidP="00EC6EEE">
      <w:pPr>
        <w:pStyle w:val="Citas"/>
      </w:pPr>
      <w:r>
        <w:t xml:space="preserve">“La libertad de acción o autonomía técnica que poseen los órganos desconcentrados es la nota especifica de ellos. Se trata de una autonomía operativa y para ciertas decisiones, pero la política general y las directrices globales son definidas por el órgano centralizado. </w:t>
      </w:r>
    </w:p>
    <w:p w14:paraId="54953CEB" w14:textId="0F3677E1" w:rsidR="00EC6EEE" w:rsidRPr="00147B6B" w:rsidRDefault="00EC6EEE" w:rsidP="00EC6EEE">
      <w:pPr>
        <w:pStyle w:val="Citas"/>
        <w:rPr>
          <w:b/>
          <w:bCs/>
        </w:rPr>
      </w:pPr>
      <w:r w:rsidRPr="00147B6B">
        <w:rPr>
          <w:b/>
          <w:bCs/>
          <w:u w:val="single"/>
        </w:rPr>
        <w:t>Consideramos que la autonomía financiera no se da, ya que están incluidos en el presupuesto del ente central al que pertenecen. Tampoco cuentan con ingresos o patrimonio propios;</w:t>
      </w:r>
      <w:r>
        <w:t xml:space="preserve"> en caso de recaudar ciertos ingresos, éstos deben concentrarse en la Secretaría de Hacienda y Crédito Público”</w:t>
      </w:r>
      <w:r w:rsidR="00147B6B">
        <w:t xml:space="preserve"> </w:t>
      </w:r>
      <w:r w:rsidR="00147B6B">
        <w:rPr>
          <w:b/>
          <w:bCs/>
        </w:rPr>
        <w:t>(Sic)</w:t>
      </w:r>
    </w:p>
    <w:p w14:paraId="3AD59381" w14:textId="77777777" w:rsidR="00EC6EEE" w:rsidRDefault="00EC6EEE" w:rsidP="00602D39">
      <w:pPr>
        <w:pStyle w:val="Prrafodelista"/>
        <w:autoSpaceDE w:val="0"/>
        <w:autoSpaceDN w:val="0"/>
        <w:adjustRightInd w:val="0"/>
        <w:spacing w:line="360" w:lineRule="auto"/>
        <w:ind w:left="0"/>
        <w:jc w:val="both"/>
        <w:rPr>
          <w:rFonts w:ascii="Palatino Linotype" w:hAnsi="Palatino Linotype" w:cs="Arial"/>
          <w:szCs w:val="22"/>
        </w:rPr>
      </w:pPr>
    </w:p>
    <w:p w14:paraId="37F9FEA6" w14:textId="01B2674B" w:rsidR="00367265" w:rsidRPr="00367265" w:rsidRDefault="00147B6B" w:rsidP="00147B6B">
      <w:pPr>
        <w:autoSpaceDE w:val="0"/>
        <w:autoSpaceDN w:val="0"/>
        <w:adjustRightInd w:val="0"/>
        <w:spacing w:line="360" w:lineRule="auto"/>
        <w:jc w:val="both"/>
        <w:rPr>
          <w:rFonts w:ascii="Palatino Linotype" w:hAnsi="Palatino Linotype" w:cs="Arial"/>
        </w:rPr>
      </w:pPr>
      <w:r>
        <w:rPr>
          <w:rFonts w:ascii="Palatino Linotype" w:hAnsi="Palatino Linotype" w:cs="Arial"/>
          <w:sz w:val="24"/>
          <w:szCs w:val="24"/>
        </w:rPr>
        <w:t>Luego entonces</w:t>
      </w:r>
      <w:r w:rsidR="00367265">
        <w:rPr>
          <w:rFonts w:ascii="Palatino Linotype" w:hAnsi="Palatino Linotype" w:cs="Arial"/>
          <w:sz w:val="24"/>
          <w:szCs w:val="24"/>
        </w:rPr>
        <w:t xml:space="preserve">, </w:t>
      </w:r>
      <w:r>
        <w:rPr>
          <w:rFonts w:ascii="Palatino Linotype" w:hAnsi="Palatino Linotype" w:cs="Arial"/>
          <w:sz w:val="24"/>
          <w:szCs w:val="24"/>
        </w:rPr>
        <w:t xml:space="preserve">desde una perspectiva doctrinal se arriba a la premisa de que los órganos desconcentrados carecen de patrimonio propio. </w:t>
      </w:r>
    </w:p>
    <w:p w14:paraId="55F43A4E" w14:textId="2B06DFA6" w:rsidR="00B27F33" w:rsidRPr="00147B6B" w:rsidRDefault="0053201A" w:rsidP="00B27F33">
      <w:pPr>
        <w:spacing w:after="0" w:line="360" w:lineRule="auto"/>
        <w:jc w:val="both"/>
        <w:rPr>
          <w:rFonts w:ascii="Palatino Linotype" w:hAnsi="Palatino Linotype" w:cs="Arial"/>
          <w:b/>
          <w:bCs/>
          <w:noProof/>
          <w:color w:val="000000"/>
          <w:sz w:val="24"/>
          <w:lang w:eastAsia="es-MX"/>
        </w:rPr>
      </w:pPr>
      <w:r>
        <w:rPr>
          <w:rFonts w:ascii="Palatino Linotype" w:hAnsi="Palatino Linotype" w:cs="Arial"/>
          <w:sz w:val="24"/>
          <w:szCs w:val="24"/>
        </w:rPr>
        <w:t>Ahora bien</w:t>
      </w:r>
      <w:r w:rsidR="00B27F33">
        <w:rPr>
          <w:rFonts w:ascii="Palatino Linotype" w:hAnsi="Palatino Linotype" w:cs="Arial"/>
          <w:sz w:val="24"/>
          <w:szCs w:val="24"/>
        </w:rPr>
        <w:t xml:space="preserve">, a efecto de identificar las unidades administrativas competentes </w:t>
      </w:r>
      <w:r w:rsidR="00147B6B">
        <w:rPr>
          <w:rFonts w:ascii="Palatino Linotype" w:hAnsi="Palatino Linotype" w:cs="Arial"/>
          <w:sz w:val="24"/>
          <w:szCs w:val="24"/>
        </w:rPr>
        <w:t xml:space="preserve">para atender la solicitud de información </w:t>
      </w:r>
      <w:r w:rsidR="00147B6B">
        <w:rPr>
          <w:rFonts w:ascii="Palatino Linotype" w:hAnsi="Palatino Linotype" w:cs="Arial"/>
          <w:b/>
          <w:bCs/>
          <w:sz w:val="24"/>
          <w:szCs w:val="24"/>
        </w:rPr>
        <w:t xml:space="preserve">00843/ZINACANT/IP/2023 </w:t>
      </w:r>
      <w:r w:rsidR="00147B6B">
        <w:rPr>
          <w:rFonts w:ascii="Palatino Linotype" w:hAnsi="Palatino Linotype" w:cs="Arial"/>
          <w:sz w:val="24"/>
          <w:szCs w:val="24"/>
        </w:rPr>
        <w:t xml:space="preserve">resulta oportuno traer a colación las siguientes imágenes ilustrativas correspondientes al organigrama del </w:t>
      </w:r>
      <w:r w:rsidR="00147B6B">
        <w:rPr>
          <w:rFonts w:ascii="Palatino Linotype" w:hAnsi="Palatino Linotype" w:cs="Arial"/>
          <w:b/>
          <w:bCs/>
          <w:sz w:val="24"/>
          <w:szCs w:val="24"/>
        </w:rPr>
        <w:t xml:space="preserve">Sujeto Obligado: </w:t>
      </w:r>
    </w:p>
    <w:p w14:paraId="2AA9FA4E" w14:textId="7504CEA9" w:rsidR="00B27F33" w:rsidRDefault="00EA224E" w:rsidP="00F42452">
      <w:pPr>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762688" behindDoc="0" locked="0" layoutInCell="1" allowOverlap="1" wp14:anchorId="403D416A" wp14:editId="54790DB9">
            <wp:simplePos x="0" y="0"/>
            <wp:positionH relativeFrom="page">
              <wp:align>center</wp:align>
            </wp:positionH>
            <wp:positionV relativeFrom="paragraph">
              <wp:posOffset>3608160</wp:posOffset>
            </wp:positionV>
            <wp:extent cx="1976120" cy="1025525"/>
            <wp:effectExtent l="19050" t="19050" r="24130" b="22225"/>
            <wp:wrapThrough wrapText="bothSides">
              <wp:wrapPolygon edited="0">
                <wp:start x="-208" y="-401"/>
                <wp:lineTo x="-208" y="21667"/>
                <wp:lineTo x="21656" y="21667"/>
                <wp:lineTo x="21656" y="-401"/>
                <wp:lineTo x="-208" y="-401"/>
              </wp:wrapPolygon>
            </wp:wrapThrough>
            <wp:docPr id="17352108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6120" cy="10255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47B6B">
        <w:rPr>
          <w:rFonts w:ascii="Palatino Linotype" w:hAnsi="Palatino Linotype" w:cs="Arial"/>
          <w:noProof/>
          <w:sz w:val="24"/>
          <w:szCs w:val="24"/>
        </w:rPr>
        <w:drawing>
          <wp:anchor distT="0" distB="0" distL="114300" distR="114300" simplePos="0" relativeHeight="251752446" behindDoc="0" locked="0" layoutInCell="1" allowOverlap="1" wp14:anchorId="587E500E" wp14:editId="449E581A">
            <wp:simplePos x="0" y="0"/>
            <wp:positionH relativeFrom="page">
              <wp:align>center</wp:align>
            </wp:positionH>
            <wp:positionV relativeFrom="paragraph">
              <wp:posOffset>19412</wp:posOffset>
            </wp:positionV>
            <wp:extent cx="5753100" cy="3262630"/>
            <wp:effectExtent l="19050" t="19050" r="19050" b="13970"/>
            <wp:wrapThrough wrapText="bothSides">
              <wp:wrapPolygon edited="0">
                <wp:start x="-72" y="-126"/>
                <wp:lineTo x="-72" y="21566"/>
                <wp:lineTo x="21600" y="21566"/>
                <wp:lineTo x="21600" y="-126"/>
                <wp:lineTo x="-72" y="-126"/>
              </wp:wrapPolygon>
            </wp:wrapThrough>
            <wp:docPr id="1144418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8231" cy="3271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21CF57E" w14:textId="7A19F053" w:rsidR="005C5860" w:rsidRDefault="005C5860" w:rsidP="00F42452">
      <w:pPr>
        <w:spacing w:before="240" w:line="360" w:lineRule="auto"/>
        <w:jc w:val="both"/>
        <w:rPr>
          <w:rFonts w:ascii="Palatino Linotype" w:hAnsi="Palatino Linotype" w:cs="Arial"/>
          <w:sz w:val="24"/>
          <w:szCs w:val="24"/>
        </w:rPr>
      </w:pPr>
    </w:p>
    <w:p w14:paraId="5F27BFB9" w14:textId="7BD9FE7C" w:rsidR="00B27F33" w:rsidRDefault="00B27F33" w:rsidP="00F42452">
      <w:pPr>
        <w:spacing w:before="240" w:line="360" w:lineRule="auto"/>
        <w:jc w:val="both"/>
        <w:rPr>
          <w:rFonts w:ascii="Palatino Linotype" w:hAnsi="Palatino Linotype" w:cs="Arial"/>
          <w:sz w:val="24"/>
          <w:szCs w:val="24"/>
        </w:rPr>
      </w:pPr>
    </w:p>
    <w:p w14:paraId="6DEDA361" w14:textId="77777777" w:rsidR="00EA224E" w:rsidRDefault="00B27F33" w:rsidP="00B27F3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w:t>
      </w:r>
      <w:r w:rsidR="00513FC4">
        <w:rPr>
          <w:rFonts w:ascii="Palatino Linotype" w:hAnsi="Palatino Linotype" w:cs="Arial"/>
        </w:rPr>
        <w:t xml:space="preserve">la </w:t>
      </w:r>
      <w:r w:rsidR="00EA224E">
        <w:rPr>
          <w:rFonts w:ascii="Palatino Linotype" w:hAnsi="Palatino Linotype" w:cs="Arial"/>
        </w:rPr>
        <w:t xml:space="preserve">Secretaría del Ayuntamiento. </w:t>
      </w:r>
    </w:p>
    <w:p w14:paraId="728CF9A5" w14:textId="12251069" w:rsidR="0002552D" w:rsidRDefault="00EA224E" w:rsidP="00B27F3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 efecto de ilustrar la esfera competencial de la unidad administrativa en cita, resulta oportuno traer a colación el artículo 91 de la Ley orgánica municipal del Estado de México</w:t>
      </w:r>
      <w:r w:rsidR="0002552D">
        <w:rPr>
          <w:rFonts w:ascii="Palatino Linotype" w:hAnsi="Palatino Linotype" w:cs="Arial"/>
        </w:rPr>
        <w:t>;</w:t>
      </w:r>
      <w:r>
        <w:rPr>
          <w:rFonts w:ascii="Palatino Linotype" w:hAnsi="Palatino Linotype" w:cs="Arial"/>
        </w:rPr>
        <w:t xml:space="preserve"> </w:t>
      </w:r>
      <w:r w:rsidR="0002552D">
        <w:rPr>
          <w:rFonts w:ascii="Palatino Linotype" w:hAnsi="Palatino Linotype" w:cs="Arial"/>
        </w:rPr>
        <w:t xml:space="preserve">los numerales 13, </w:t>
      </w:r>
      <w:r w:rsidR="00916358">
        <w:rPr>
          <w:rFonts w:ascii="Palatino Linotype" w:hAnsi="Palatino Linotype" w:cs="Arial"/>
        </w:rPr>
        <w:t xml:space="preserve">14, </w:t>
      </w:r>
      <w:r w:rsidR="0002552D">
        <w:rPr>
          <w:rFonts w:ascii="Palatino Linotype" w:hAnsi="Palatino Linotype" w:cs="Arial"/>
        </w:rPr>
        <w:t xml:space="preserve">17 y 18 de la Ley de Bienes del Estado de México y sus </w:t>
      </w:r>
      <w:r w:rsidR="0002552D">
        <w:rPr>
          <w:rFonts w:ascii="Palatino Linotype" w:hAnsi="Palatino Linotype" w:cs="Arial"/>
        </w:rPr>
        <w:lastRenderedPageBreak/>
        <w:t xml:space="preserve">Municipios; así como los artículos 43 y 44 del Reglamento Orgánico Municipal de Zinacantepec, porciones normativas que disponen a la literalidad lo siguiente: </w:t>
      </w:r>
    </w:p>
    <w:p w14:paraId="3318F439" w14:textId="39E39D90" w:rsidR="0002552D" w:rsidRPr="0002552D" w:rsidRDefault="00A35507" w:rsidP="0002552D">
      <w:pPr>
        <w:pStyle w:val="Citas"/>
        <w:jc w:val="center"/>
        <w:rPr>
          <w:b/>
          <w:bCs/>
        </w:rPr>
      </w:pPr>
      <w:r w:rsidRPr="0002552D">
        <w:rPr>
          <w:b/>
          <w:bCs/>
        </w:rPr>
        <w:t>LEY ORGÁNICA MUNICIPAL DEL ESTADO DE MÉXICO</w:t>
      </w:r>
    </w:p>
    <w:p w14:paraId="296E8197" w14:textId="0683C2FD" w:rsidR="00EA224E" w:rsidRDefault="0002552D" w:rsidP="00EA224E">
      <w:pPr>
        <w:pStyle w:val="Citas"/>
      </w:pPr>
      <w:r>
        <w:t>“</w:t>
      </w:r>
      <w:r w:rsidR="00EA224E">
        <w:t xml:space="preserve">Artículo 91.- La Secretaría del Ayuntamiento estará a cargo de un </w:t>
      </w:r>
      <w:proofErr w:type="gramStart"/>
      <w:r w:rsidR="00EA224E">
        <w:t>Secretario</w:t>
      </w:r>
      <w:proofErr w:type="gramEnd"/>
      <w:r w:rsidR="00EA224E">
        <w:t xml:space="preserve">,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1327C761" w14:textId="77777777" w:rsidR="00EA224E" w:rsidRDefault="00EA224E" w:rsidP="00EA224E">
      <w:pPr>
        <w:pStyle w:val="Citas"/>
      </w:pPr>
      <w:r>
        <w:t xml:space="preserve">I. Asistir a las sesiones del ayuntamiento y levantar las actas correspondientes; </w:t>
      </w:r>
    </w:p>
    <w:p w14:paraId="4D4F93B5" w14:textId="77777777" w:rsidR="00EA224E" w:rsidRDefault="00EA224E" w:rsidP="00EA224E">
      <w:pPr>
        <w:pStyle w:val="Citas"/>
      </w:pPr>
      <w:r>
        <w:t xml:space="preserve">II. Emitir los citatorios para la celebración de las sesiones de cabildo, convocadas legalmente; </w:t>
      </w:r>
    </w:p>
    <w:p w14:paraId="05B4EF02" w14:textId="77777777" w:rsidR="00EA224E" w:rsidRDefault="00EA224E" w:rsidP="00EA224E">
      <w:pPr>
        <w:pStyle w:val="Citas"/>
      </w:pPr>
      <w:r>
        <w:t xml:space="preserve">III. Dar cuenta en la primera sesión de cada mes, del número y contenido de los expedientes pasados a comisión, con mención de los que hayan sido resueltos y de los pendientes; </w:t>
      </w:r>
    </w:p>
    <w:p w14:paraId="3F5E5765" w14:textId="77777777" w:rsidR="00EA224E" w:rsidRDefault="00EA224E" w:rsidP="00EA224E">
      <w:pPr>
        <w:pStyle w:val="Citas"/>
      </w:pPr>
      <w:r>
        <w:t xml:space="preserve">IV. Llevar y conservar los libros de actas de cabildo, obteniendo las firmas de los asistentes a las sesiones; </w:t>
      </w:r>
    </w:p>
    <w:p w14:paraId="69349654" w14:textId="77777777" w:rsidR="00EA224E" w:rsidRDefault="00EA224E" w:rsidP="00EA224E">
      <w:pPr>
        <w:pStyle w:val="Citas"/>
      </w:pPr>
      <w:r>
        <w:t xml:space="preserve">V. Validar con su firma, los documentos oficiales emanados del ayuntamiento o de cualquiera de sus miembros; </w:t>
      </w:r>
    </w:p>
    <w:p w14:paraId="15A5F531" w14:textId="77777777" w:rsidR="00EA224E" w:rsidRDefault="00EA224E" w:rsidP="00EA224E">
      <w:pPr>
        <w:pStyle w:val="Citas"/>
      </w:pPr>
      <w:r>
        <w:t xml:space="preserve">VI. Tener a su cargo el archivo general del ayuntamiento; </w:t>
      </w:r>
    </w:p>
    <w:p w14:paraId="3E26AF53" w14:textId="77777777" w:rsidR="00EA224E" w:rsidRDefault="00EA224E" w:rsidP="00EA224E">
      <w:pPr>
        <w:pStyle w:val="Citas"/>
      </w:pPr>
      <w:r>
        <w:t xml:space="preserve">VII. Controlar y distribuir la correspondencia oficial del ayuntamiento, dando cuenta diaria al presidente municipal para acordar su trámite; </w:t>
      </w:r>
    </w:p>
    <w:p w14:paraId="1EA8A685" w14:textId="77777777" w:rsidR="00EA224E" w:rsidRDefault="00EA224E" w:rsidP="00EA224E">
      <w:pPr>
        <w:pStyle w:val="Citas"/>
      </w:pPr>
      <w:r>
        <w:lastRenderedPageBreak/>
        <w:t xml:space="preserve">VIII. Publicar los reglamentos, circulares y demás disposiciones municipales de observancia general; </w:t>
      </w:r>
    </w:p>
    <w:p w14:paraId="3F2E7609" w14:textId="77777777" w:rsidR="00EA224E" w:rsidRDefault="00EA224E" w:rsidP="00EA224E">
      <w:pPr>
        <w:pStyle w:val="Citas"/>
      </w:pPr>
      <w:r>
        <w:t xml:space="preserve">IX. Compilar leyes, decretos, reglamentos, periódicos oficiales del estado, circulares y órdenes relativas a los distintos sectores de la administración pública municipal; </w:t>
      </w:r>
    </w:p>
    <w:p w14:paraId="7DD16BED" w14:textId="77777777" w:rsidR="00EA224E" w:rsidRDefault="00EA224E" w:rsidP="00EA224E">
      <w:pPr>
        <w:pStyle w:val="Citas"/>
      </w:pPr>
      <w: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775F6991" w14:textId="77777777" w:rsidR="00EA224E" w:rsidRPr="00EA224E" w:rsidRDefault="00EA224E" w:rsidP="00EA224E">
      <w:pPr>
        <w:pStyle w:val="Citas"/>
        <w:rPr>
          <w:b/>
          <w:bCs/>
          <w:u w:val="single"/>
        </w:rPr>
      </w:pPr>
      <w:r w:rsidRPr="00EA224E">
        <w:rPr>
          <w:b/>
          <w:bCs/>
          <w:u w:val="single"/>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693258ED" w14:textId="7DC48641" w:rsidR="00EA224E" w:rsidRDefault="00EA224E" w:rsidP="00EA224E">
      <w:pPr>
        <w:pStyle w:val="Citas"/>
      </w:pPr>
      <w: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16EFB444" w14:textId="77777777" w:rsidR="00EA224E" w:rsidRDefault="00EA224E" w:rsidP="00EA224E">
      <w:pPr>
        <w:pStyle w:val="Citas"/>
      </w:pPr>
      <w:r>
        <w:t xml:space="preserve">XII. Integrar un sistema de información que contenga datos de los aspectos socio-económicos básicos del municipio; </w:t>
      </w:r>
    </w:p>
    <w:p w14:paraId="1E9CBB27" w14:textId="77777777" w:rsidR="00EA224E" w:rsidRDefault="00EA224E" w:rsidP="00EA224E">
      <w:pPr>
        <w:pStyle w:val="Citas"/>
      </w:pPr>
      <w:r>
        <w:t xml:space="preserve">XIII. Ser responsable de la publicación de la Gaceta Municipal, así como de las publicaciones en los estrados de los Ayuntamientos; y </w:t>
      </w:r>
    </w:p>
    <w:p w14:paraId="70D97837" w14:textId="7179FE1A" w:rsidR="00EA224E" w:rsidRPr="0002552D" w:rsidRDefault="00EA224E" w:rsidP="00EA224E">
      <w:pPr>
        <w:pStyle w:val="Citas"/>
        <w:rPr>
          <w:b/>
          <w:bCs/>
          <w:sz w:val="24"/>
          <w:szCs w:val="24"/>
        </w:rPr>
      </w:pPr>
      <w:r>
        <w:lastRenderedPageBreak/>
        <w:t>XIV. Las demás que le confieran esta Ley y disposiciones aplicables.</w:t>
      </w:r>
      <w:r w:rsidR="0002552D">
        <w:t xml:space="preserve">” </w:t>
      </w:r>
      <w:r w:rsidR="0002552D">
        <w:rPr>
          <w:b/>
          <w:bCs/>
        </w:rPr>
        <w:t>(Sic)</w:t>
      </w:r>
    </w:p>
    <w:p w14:paraId="48D260C5" w14:textId="77777777" w:rsidR="00EA224E" w:rsidRDefault="00EA224E" w:rsidP="00B27F33">
      <w:pPr>
        <w:spacing w:before="240" w:line="360" w:lineRule="auto"/>
        <w:jc w:val="both"/>
        <w:rPr>
          <w:rFonts w:ascii="Palatino Linotype" w:hAnsi="Palatino Linotype" w:cs="Arial"/>
          <w:sz w:val="24"/>
          <w:szCs w:val="24"/>
        </w:rPr>
      </w:pPr>
    </w:p>
    <w:p w14:paraId="134F99C8" w14:textId="6C206ADC" w:rsidR="0002552D" w:rsidRPr="0002552D" w:rsidRDefault="0002552D" w:rsidP="00A35507">
      <w:pPr>
        <w:pStyle w:val="Citas"/>
        <w:jc w:val="center"/>
        <w:rPr>
          <w:b/>
          <w:bCs/>
        </w:rPr>
      </w:pPr>
      <w:r w:rsidRPr="0002552D">
        <w:rPr>
          <w:b/>
          <w:bCs/>
        </w:rPr>
        <w:t>LEY DE BIENES DEL ESTADO DE MÉXICO Y SUS MUNICIPIOS</w:t>
      </w:r>
    </w:p>
    <w:p w14:paraId="3815345D" w14:textId="774788B9" w:rsidR="0002552D" w:rsidRDefault="0002552D" w:rsidP="0002552D">
      <w:pPr>
        <w:pStyle w:val="Citas"/>
      </w:pPr>
      <w:r>
        <w:t>“Artículo 13.- Los bienes del Estado de México y sus municipios son:</w:t>
      </w:r>
    </w:p>
    <w:p w14:paraId="693E4A9D" w14:textId="77777777" w:rsidR="0002552D" w:rsidRDefault="0002552D" w:rsidP="0002552D">
      <w:pPr>
        <w:pStyle w:val="Citas"/>
      </w:pPr>
      <w:r>
        <w:t xml:space="preserve"> I. Bienes del dominio público; y </w:t>
      </w:r>
    </w:p>
    <w:p w14:paraId="06FB3466" w14:textId="77777777" w:rsidR="0002552D" w:rsidRDefault="0002552D" w:rsidP="0002552D">
      <w:pPr>
        <w:pStyle w:val="Citas"/>
      </w:pPr>
      <w:r>
        <w:t xml:space="preserve">II. Bienes del dominio privado. </w:t>
      </w:r>
    </w:p>
    <w:p w14:paraId="59D4C1BF" w14:textId="77777777" w:rsidR="0002552D" w:rsidRDefault="0002552D" w:rsidP="0002552D">
      <w:pPr>
        <w:pStyle w:val="Citas"/>
      </w:pPr>
      <w:r>
        <w:t xml:space="preserve">Artículo 14.- Los bienes del dominio público, se clasifican en: </w:t>
      </w:r>
    </w:p>
    <w:p w14:paraId="3E0ED96D" w14:textId="77777777" w:rsidR="0002552D" w:rsidRDefault="0002552D" w:rsidP="0002552D">
      <w:pPr>
        <w:pStyle w:val="Citas"/>
      </w:pPr>
      <w:r>
        <w:t xml:space="preserve">I. Bienes de uso común; y </w:t>
      </w:r>
    </w:p>
    <w:p w14:paraId="624C2314" w14:textId="5219AD01" w:rsidR="00EA224E" w:rsidRDefault="0002552D" w:rsidP="0002552D">
      <w:pPr>
        <w:pStyle w:val="Citas"/>
      </w:pPr>
      <w:r>
        <w:t>II. Bienes destinados a un servicio público.</w:t>
      </w:r>
    </w:p>
    <w:p w14:paraId="5BD46B04" w14:textId="77777777" w:rsidR="0002552D" w:rsidRDefault="0002552D" w:rsidP="0002552D">
      <w:pPr>
        <w:pStyle w:val="Citas"/>
      </w:pPr>
      <w:r>
        <w:t xml:space="preserve">Artículo 17.- Son bienes destinados a un servicio público, aquéllos que utilicen los poderes del Estado y los municipios para el desarrollo de sus actividades o los que de hecho se utilicen para la prestación de servicios públicos o actividades equiparables a ellos. </w:t>
      </w:r>
    </w:p>
    <w:p w14:paraId="22FF360D" w14:textId="6CD5A97F" w:rsidR="0002552D" w:rsidRDefault="0002552D" w:rsidP="0002552D">
      <w:pPr>
        <w:pStyle w:val="Citas"/>
      </w:pPr>
      <w:r>
        <w:t>Artículo 18.- Son bienes destinados a un servicio público:</w:t>
      </w:r>
    </w:p>
    <w:p w14:paraId="5ABE5C41" w14:textId="77777777" w:rsidR="0002552D" w:rsidRDefault="0002552D" w:rsidP="0002552D">
      <w:pPr>
        <w:pStyle w:val="Citas"/>
      </w:pPr>
      <w:r>
        <w:t xml:space="preserve">I. Los inmuebles destinados al servicio de los poderes públicos del Estado de México y de los ayuntamientos; </w:t>
      </w:r>
    </w:p>
    <w:p w14:paraId="37F08437" w14:textId="77777777" w:rsidR="0002552D" w:rsidRDefault="0002552D" w:rsidP="0002552D">
      <w:pPr>
        <w:pStyle w:val="Citas"/>
      </w:pPr>
      <w:r>
        <w:t xml:space="preserve">II. Los inmuebles de propiedad estatal destinados al servicio público de los gobiernos federal o municipales; </w:t>
      </w:r>
    </w:p>
    <w:p w14:paraId="0932AF81" w14:textId="77777777" w:rsidR="0002552D" w:rsidRDefault="0002552D" w:rsidP="0002552D">
      <w:pPr>
        <w:pStyle w:val="Citas"/>
      </w:pPr>
      <w:r>
        <w:lastRenderedPageBreak/>
        <w:t xml:space="preserve">III. Los inmuebles propiedad municipal destinados al servicio de los gobiernos federal y estatal; </w:t>
      </w:r>
    </w:p>
    <w:p w14:paraId="6BEB2A46" w14:textId="77777777" w:rsidR="0002552D" w:rsidRDefault="0002552D" w:rsidP="0002552D">
      <w:pPr>
        <w:pStyle w:val="Citas"/>
      </w:pPr>
      <w:r>
        <w:t xml:space="preserve">IV. Los inmuebles que forman parte del patrimonio de los organismos auxiliares estatales o municipales, que se utilicen en las actividades que tengan encomendadas conforme a sus respectivos objetos. No quedan comprendidos entre los bienes a que se refiere esta fracción los inmuebles que los organismos auxiliares utilicen para propósitos distintos a los de su objeto; </w:t>
      </w:r>
    </w:p>
    <w:p w14:paraId="1ED5FC1E" w14:textId="77777777" w:rsidR="0002552D" w:rsidRDefault="0002552D" w:rsidP="0002552D">
      <w:pPr>
        <w:pStyle w:val="Citas"/>
      </w:pPr>
      <w:r>
        <w:t xml:space="preserve">V. Los inmuebles utilizados para la prestación de servicios públicos estatales o municipales, tales como: mercados, rastros, hospitales, panteones públicos, zoológicos, jardines botánicos, museos, bibliotecas, parques y los demás similares o análogos a ellos; </w:t>
      </w:r>
    </w:p>
    <w:p w14:paraId="3647B2D8" w14:textId="77777777" w:rsidR="0002552D" w:rsidRDefault="0002552D" w:rsidP="0002552D">
      <w:pPr>
        <w:pStyle w:val="Citas"/>
      </w:pPr>
      <w:r>
        <w:t xml:space="preserve">VI. Los bienes muebles de propiedad estatal o municipal que tengan uso o utilidad en la prestación de un servicio público; y </w:t>
      </w:r>
    </w:p>
    <w:p w14:paraId="0B9921BA" w14:textId="77777777" w:rsidR="0002552D" w:rsidRDefault="0002552D" w:rsidP="0002552D">
      <w:pPr>
        <w:pStyle w:val="Citas"/>
      </w:pPr>
      <w:r>
        <w:t xml:space="preserve">VII. Los demás a los que las leyes les asignen este carácter. </w:t>
      </w:r>
    </w:p>
    <w:p w14:paraId="25C40A8E" w14:textId="4482BE1A" w:rsidR="0002552D" w:rsidRPr="0002552D" w:rsidRDefault="0002552D" w:rsidP="0002552D">
      <w:pPr>
        <w:pStyle w:val="Citas"/>
        <w:rPr>
          <w:b/>
          <w:bCs/>
          <w:sz w:val="24"/>
          <w:szCs w:val="24"/>
        </w:rPr>
      </w:pPr>
      <w:r>
        <w:t xml:space="preserve">Se </w:t>
      </w:r>
      <w:proofErr w:type="gramStart"/>
      <w:r>
        <w:t>equiparan</w:t>
      </w:r>
      <w:proofErr w:type="gramEnd"/>
      <w:r>
        <w:t xml:space="preserve"> a los bienes destinados a un servicio público, los inmuebles asignados por la Secretaría de Finanzas o los ayuntamientos, en su caso, a los organismos auxiliares y fideicomisos públicos, estatales o municipales” </w:t>
      </w:r>
      <w:r>
        <w:rPr>
          <w:b/>
          <w:bCs/>
        </w:rPr>
        <w:t>(Sic)</w:t>
      </w:r>
    </w:p>
    <w:p w14:paraId="3B0AF56C" w14:textId="77777777" w:rsidR="00A35507" w:rsidRDefault="00A35507" w:rsidP="0002552D">
      <w:pPr>
        <w:pStyle w:val="Citas"/>
        <w:jc w:val="center"/>
        <w:rPr>
          <w:b/>
          <w:bCs/>
        </w:rPr>
      </w:pPr>
    </w:p>
    <w:p w14:paraId="78CF5576" w14:textId="08F5069A" w:rsidR="0002552D" w:rsidRPr="0002552D" w:rsidRDefault="00A35507" w:rsidP="0002552D">
      <w:pPr>
        <w:pStyle w:val="Citas"/>
        <w:jc w:val="center"/>
        <w:rPr>
          <w:b/>
          <w:bCs/>
        </w:rPr>
      </w:pPr>
      <w:r w:rsidRPr="0002552D">
        <w:rPr>
          <w:b/>
          <w:bCs/>
        </w:rPr>
        <w:t>REGLAMENTO ORGÁNICO MUNICIPAL DE ZINACANTEPEC</w:t>
      </w:r>
    </w:p>
    <w:p w14:paraId="5D636801" w14:textId="0D0663C2" w:rsidR="0002552D" w:rsidRDefault="0002552D" w:rsidP="0002552D">
      <w:pPr>
        <w:pStyle w:val="Citas"/>
      </w:pPr>
      <w:r>
        <w:t xml:space="preserve">“Artículo 43. La </w:t>
      </w:r>
      <w:proofErr w:type="gramStart"/>
      <w:r>
        <w:t>Secretaria</w:t>
      </w:r>
      <w:proofErr w:type="gramEnd"/>
      <w:r>
        <w:t xml:space="preserve"> del Ayuntamiento es la Unidad Administrativa encargada de brindar certeza jurídica a las acciones del Ayuntamiento y de las </w:t>
      </w:r>
      <w:r>
        <w:lastRenderedPageBreak/>
        <w:t xml:space="preserve">diversas Unidades Administrativas en su interrelación con la sociedad y otras instancias gubernamentales. </w:t>
      </w:r>
    </w:p>
    <w:p w14:paraId="2FBB755C" w14:textId="77777777" w:rsidR="0002552D" w:rsidRDefault="0002552D" w:rsidP="0002552D">
      <w:pPr>
        <w:pStyle w:val="Citas"/>
      </w:pPr>
      <w:r>
        <w:t>Artículo 44. Además de las previstas en las disposiciones normativas y administrativas en la materia, la Secretaría del Ayuntamiento tiene las siguientes funciones y atribuciones:</w:t>
      </w:r>
    </w:p>
    <w:p w14:paraId="11411EA1" w14:textId="77777777" w:rsidR="0002552D" w:rsidRDefault="0002552D" w:rsidP="0002552D">
      <w:pPr>
        <w:pStyle w:val="Citas"/>
      </w:pPr>
      <w:r>
        <w:t xml:space="preserve"> I. Auxiliar al </w:t>
      </w:r>
      <w:proofErr w:type="gramStart"/>
      <w:r>
        <w:t>Presidente</w:t>
      </w:r>
      <w:proofErr w:type="gramEnd"/>
      <w:r>
        <w:t xml:space="preserve"> Municipal en la atención de los asuntos públicos del Municipio, así como la celebración de las sesiones de Cabildo; </w:t>
      </w:r>
    </w:p>
    <w:p w14:paraId="4722CDE3" w14:textId="77777777" w:rsidR="0002552D" w:rsidRDefault="0002552D" w:rsidP="0002552D">
      <w:pPr>
        <w:pStyle w:val="Citas"/>
      </w:pPr>
      <w:r>
        <w:t xml:space="preserve">II. Vigilar la adecuada y oportuna publicación del Bando Municipal, los reglamentos municipales, manuales y demás disposiciones de carácter general del Municipio, en la Gaceta Municipal y estrados de la </w:t>
      </w:r>
      <w:proofErr w:type="gramStart"/>
      <w:r>
        <w:t>Secretaria</w:t>
      </w:r>
      <w:proofErr w:type="gramEnd"/>
      <w:r>
        <w:t xml:space="preserve">; </w:t>
      </w:r>
    </w:p>
    <w:p w14:paraId="6F2F37F6" w14:textId="77777777" w:rsidR="0002552D" w:rsidRDefault="0002552D" w:rsidP="0002552D">
      <w:pPr>
        <w:pStyle w:val="Citas"/>
      </w:pPr>
      <w:r>
        <w:t xml:space="preserve">III. Tener a su cargo y difundir el acervo con que cuenta el archivo municipal, para efectos de consulta e interés interno; </w:t>
      </w:r>
    </w:p>
    <w:p w14:paraId="12931809" w14:textId="77777777" w:rsidR="0002552D" w:rsidRDefault="0002552D" w:rsidP="0002552D">
      <w:pPr>
        <w:pStyle w:val="Citas"/>
      </w:pPr>
      <w:r>
        <w:t xml:space="preserve">IV. Vigilar el correcto funcionamiento del archivo histórico, con base en la Ley de Archivos y Administración de Documentos del Estado de México y Municipios; </w:t>
      </w:r>
    </w:p>
    <w:p w14:paraId="1B8F4D12" w14:textId="77777777" w:rsidR="0002552D" w:rsidRDefault="0002552D" w:rsidP="0002552D">
      <w:pPr>
        <w:pStyle w:val="Citas"/>
      </w:pPr>
      <w:r>
        <w:t xml:space="preserve">V. Suscribir junto con el </w:t>
      </w:r>
      <w:proofErr w:type="gramStart"/>
      <w:r>
        <w:t>Presidente</w:t>
      </w:r>
      <w:proofErr w:type="gramEnd"/>
      <w:r>
        <w:t xml:space="preserve"> Municipal los nombramientos de los servidores públicos municipales y autoridades auxiliares del Ayuntamiento; </w:t>
      </w:r>
    </w:p>
    <w:p w14:paraId="1DD93F06" w14:textId="77777777" w:rsidR="0002552D" w:rsidRDefault="0002552D" w:rsidP="0002552D">
      <w:pPr>
        <w:pStyle w:val="Citas"/>
      </w:pPr>
      <w:r>
        <w:t xml:space="preserve">VI. Realizar ante el Sistema Militar Nacional, dependiente de la Secretaría de la Defensa Nacional, los trámites necesarios para la expedición de pre cartillas; </w:t>
      </w:r>
    </w:p>
    <w:p w14:paraId="4BA4FF61" w14:textId="77777777" w:rsidR="0002552D" w:rsidRDefault="0002552D" w:rsidP="0002552D">
      <w:pPr>
        <w:pStyle w:val="Citas"/>
      </w:pPr>
      <w:r w:rsidRPr="0002552D">
        <w:rPr>
          <w:b/>
          <w:bCs/>
          <w:u w:val="single"/>
        </w:rPr>
        <w:t xml:space="preserve">VII. Fungir como </w:t>
      </w:r>
      <w:proofErr w:type="gramStart"/>
      <w:r w:rsidRPr="0002552D">
        <w:rPr>
          <w:b/>
          <w:bCs/>
          <w:u w:val="single"/>
        </w:rPr>
        <w:t>Presidente</w:t>
      </w:r>
      <w:proofErr w:type="gramEnd"/>
      <w:r w:rsidRPr="0002552D">
        <w:rPr>
          <w:b/>
          <w:bCs/>
          <w:u w:val="single"/>
        </w:rPr>
        <w:t xml:space="preserve"> en el Comité de Bienes Muebles e Inmuebles del Ayuntamiento de Zinacantepec;</w:t>
      </w:r>
      <w:r>
        <w:t xml:space="preserve"> </w:t>
      </w:r>
    </w:p>
    <w:p w14:paraId="7A86DECE" w14:textId="77777777" w:rsidR="0002552D" w:rsidRDefault="0002552D" w:rsidP="0002552D">
      <w:pPr>
        <w:pStyle w:val="Citas"/>
      </w:pPr>
      <w:r w:rsidRPr="0002552D">
        <w:rPr>
          <w:b/>
          <w:bCs/>
          <w:u w:val="single"/>
        </w:rPr>
        <w:lastRenderedPageBreak/>
        <w:t>VIII. Verificar con la intervención de la Sindicatura Municipal la valoración, destino y conteo exacto de los bienes patrimoniales del Municipio;</w:t>
      </w:r>
      <w:r>
        <w:t xml:space="preserve"> </w:t>
      </w:r>
    </w:p>
    <w:p w14:paraId="64334A57" w14:textId="77777777" w:rsidR="0002552D" w:rsidRDefault="0002552D" w:rsidP="0002552D">
      <w:pPr>
        <w:pStyle w:val="Citas"/>
      </w:pPr>
      <w:r>
        <w:t xml:space="preserve">IX. Fungir como </w:t>
      </w:r>
      <w:proofErr w:type="gramStart"/>
      <w:r>
        <w:t>Presidente</w:t>
      </w:r>
      <w:proofErr w:type="gramEnd"/>
      <w:r>
        <w:t xml:space="preserve"> de la Comisión del Servicio Profesional de Carrera Policial, Honor y Justicia de Zinacantepec; </w:t>
      </w:r>
    </w:p>
    <w:p w14:paraId="10515C36" w14:textId="77777777" w:rsidR="0002552D" w:rsidRDefault="0002552D" w:rsidP="0002552D">
      <w:pPr>
        <w:pStyle w:val="Citas"/>
      </w:pPr>
      <w:r>
        <w:t xml:space="preserve">X. Respaldar y ordenar la normatividad y reglamentación del Municipio, para uso del </w:t>
      </w:r>
      <w:proofErr w:type="gramStart"/>
      <w:r>
        <w:t>Presidente</w:t>
      </w:r>
      <w:proofErr w:type="gramEnd"/>
      <w:r>
        <w:t xml:space="preserve"> Municipal y de todas las áreas de la Administración Pública Municipal; </w:t>
      </w:r>
    </w:p>
    <w:p w14:paraId="0E0034B6" w14:textId="77777777" w:rsidR="0002552D" w:rsidRDefault="0002552D" w:rsidP="0002552D">
      <w:pPr>
        <w:pStyle w:val="Citas"/>
      </w:pPr>
      <w:r>
        <w:t xml:space="preserve">XI. Impulsar y respaldar las actividades encomendadas al Cronista Municipal; </w:t>
      </w:r>
    </w:p>
    <w:p w14:paraId="58EC7939" w14:textId="77777777" w:rsidR="0002552D" w:rsidRDefault="0002552D" w:rsidP="0002552D">
      <w:pPr>
        <w:pStyle w:val="Citas"/>
      </w:pPr>
      <w:r>
        <w:t xml:space="preserve">XII. Expedir constancias de no afectación de bienes de dominio público, dentro del plazo de 10 días hábiles a partir de la solicitud; </w:t>
      </w:r>
    </w:p>
    <w:p w14:paraId="514B4D27" w14:textId="77777777" w:rsidR="0002552D" w:rsidRDefault="0002552D" w:rsidP="0002552D">
      <w:pPr>
        <w:pStyle w:val="Citas"/>
      </w:pPr>
      <w:r>
        <w:t xml:space="preserve">XIII. Expedir constancias de vecindad, identidad o de ultima residencia que solicite la ciudadanía y que previamente cumplan con los requisitos para tal efecto, en un plazo no mayor a 24 horas a partir de su solicitud. </w:t>
      </w:r>
    </w:p>
    <w:p w14:paraId="19025476" w14:textId="77777777" w:rsidR="0002552D" w:rsidRDefault="0002552D" w:rsidP="0002552D">
      <w:pPr>
        <w:pStyle w:val="Citas"/>
      </w:pPr>
      <w:r>
        <w:t xml:space="preserve">XIV. Suscribir los convenios de colaboración y coordinación, así como los contratos que celebre el </w:t>
      </w:r>
      <w:proofErr w:type="gramStart"/>
      <w:r>
        <w:t>Presidente</w:t>
      </w:r>
      <w:proofErr w:type="gramEnd"/>
      <w:r>
        <w:t xml:space="preserve"> Municipal en representación del Ayuntamiento; </w:t>
      </w:r>
    </w:p>
    <w:p w14:paraId="76269233" w14:textId="6A90A6F6" w:rsidR="0002552D" w:rsidRPr="00A35507" w:rsidRDefault="0002552D" w:rsidP="0002552D">
      <w:pPr>
        <w:pStyle w:val="Citas"/>
        <w:rPr>
          <w:b/>
          <w:bCs/>
          <w:sz w:val="24"/>
          <w:szCs w:val="24"/>
        </w:rPr>
      </w:pPr>
      <w:r>
        <w:t>XV. Vigilar el buen funcionamiento de las Oficialías del Registro Civil que se encuentran en el municipio.”</w:t>
      </w:r>
      <w:r w:rsidR="00A35507">
        <w:t xml:space="preserve"> </w:t>
      </w:r>
      <w:r w:rsidR="00A35507">
        <w:rPr>
          <w:b/>
          <w:bCs/>
        </w:rPr>
        <w:t>(Sic)</w:t>
      </w:r>
    </w:p>
    <w:p w14:paraId="6BA6EDF3" w14:textId="77777777" w:rsidR="00EA224E" w:rsidRDefault="00EA224E" w:rsidP="0002552D">
      <w:pPr>
        <w:pStyle w:val="Citas"/>
        <w:rPr>
          <w:sz w:val="24"/>
          <w:szCs w:val="24"/>
        </w:rPr>
      </w:pPr>
    </w:p>
    <w:p w14:paraId="2ECA6447" w14:textId="7EFDB51C" w:rsidR="00A35507" w:rsidRPr="00A35507" w:rsidRDefault="00C22CC5" w:rsidP="0053201A">
      <w:pPr>
        <w:pStyle w:val="Prrafodelista"/>
        <w:autoSpaceDE w:val="0"/>
        <w:autoSpaceDN w:val="0"/>
        <w:adjustRightInd w:val="0"/>
        <w:spacing w:before="240" w:after="160" w:line="360" w:lineRule="auto"/>
        <w:ind w:left="0"/>
        <w:jc w:val="both"/>
        <w:rPr>
          <w:rFonts w:ascii="Palatino Linotype" w:hAnsi="Palatino Linotype" w:cs="Arial"/>
          <w:b/>
          <w:bCs/>
        </w:rPr>
      </w:pPr>
      <w:r>
        <w:rPr>
          <w:rFonts w:ascii="Palatino Linotype" w:hAnsi="Palatino Linotype" w:cs="Arial"/>
        </w:rPr>
        <w:t xml:space="preserve">De ahí que deba de arribarse a la premisa de que </w:t>
      </w:r>
      <w:r w:rsidR="0053201A">
        <w:rPr>
          <w:rFonts w:ascii="Palatino Linotype" w:hAnsi="Palatino Linotype" w:cs="Arial"/>
        </w:rPr>
        <w:t xml:space="preserve">la </w:t>
      </w:r>
      <w:r w:rsidR="00A35507">
        <w:rPr>
          <w:rFonts w:ascii="Palatino Linotype" w:hAnsi="Palatino Linotype" w:cs="Arial"/>
        </w:rPr>
        <w:t xml:space="preserve">Secretaría del Ayuntamiento, </w:t>
      </w:r>
      <w:r w:rsidR="003E1FFD">
        <w:rPr>
          <w:rFonts w:ascii="Palatino Linotype" w:hAnsi="Palatino Linotype" w:cs="Arial"/>
        </w:rPr>
        <w:t>tiene competencia para</w:t>
      </w:r>
      <w:r w:rsidR="00A35507">
        <w:rPr>
          <w:rFonts w:ascii="Palatino Linotype" w:hAnsi="Palatino Linotype" w:cs="Arial"/>
        </w:rPr>
        <w:t xml:space="preserve"> conocer el uso y destino de los bienes municipales, luego entonces, </w:t>
      </w:r>
      <w:r w:rsidR="00A35507">
        <w:rPr>
          <w:rFonts w:ascii="Palatino Linotype" w:hAnsi="Palatino Linotype" w:cs="Arial"/>
        </w:rPr>
        <w:lastRenderedPageBreak/>
        <w:t xml:space="preserve">resulta una de las áreas competentes para atender la solicitud de información </w:t>
      </w:r>
      <w:r w:rsidR="00A35507">
        <w:rPr>
          <w:rFonts w:ascii="Palatino Linotype" w:hAnsi="Palatino Linotype" w:cs="Arial"/>
          <w:b/>
          <w:bCs/>
        </w:rPr>
        <w:t xml:space="preserve">00843/ZINACANT/IP/2023. </w:t>
      </w:r>
    </w:p>
    <w:p w14:paraId="2BCEAF9F" w14:textId="45A87CC0" w:rsidR="00D61241" w:rsidRDefault="00D61241" w:rsidP="00D61241">
      <w:pPr>
        <w:spacing w:before="240" w:line="360" w:lineRule="auto"/>
        <w:jc w:val="both"/>
        <w:rPr>
          <w:rFonts w:ascii="Palatino Linotype" w:hAnsi="Palatino Linotype"/>
          <w:bCs/>
          <w:sz w:val="24"/>
          <w:szCs w:val="24"/>
        </w:rPr>
      </w:pPr>
      <w:r w:rsidRPr="00322E78">
        <w:rPr>
          <w:rFonts w:ascii="Palatino Linotype" w:hAnsi="Palatino Linotype" w:cs="Arial"/>
          <w:sz w:val="24"/>
          <w:szCs w:val="24"/>
        </w:rPr>
        <w:t>Por otra parte, es óbice mencionar que la información requerida estriba</w:t>
      </w:r>
      <w:r w:rsidR="00A35507">
        <w:rPr>
          <w:rFonts w:ascii="Palatino Linotype" w:hAnsi="Palatino Linotype" w:cs="Arial"/>
          <w:sz w:val="24"/>
          <w:szCs w:val="24"/>
        </w:rPr>
        <w:t xml:space="preserve"> en las obligaciones de transparencia común, lo anterior con fundamento en los </w:t>
      </w:r>
      <w:r w:rsidR="00A35507">
        <w:rPr>
          <w:rFonts w:ascii="Palatino Linotype" w:hAnsi="Palatino Linotype"/>
          <w:bCs/>
          <w:sz w:val="24"/>
          <w:szCs w:val="24"/>
        </w:rPr>
        <w:t>artículos</w:t>
      </w:r>
      <w:r w:rsidR="00A35507" w:rsidRPr="00322E78">
        <w:rPr>
          <w:rFonts w:ascii="Palatino Linotype" w:hAnsi="Palatino Linotype"/>
          <w:bCs/>
          <w:sz w:val="24"/>
          <w:szCs w:val="24"/>
        </w:rPr>
        <w:t xml:space="preserve"> 24, fracción XII, 92, </w:t>
      </w:r>
      <w:r w:rsidR="00A35507">
        <w:rPr>
          <w:rFonts w:ascii="Palatino Linotype" w:hAnsi="Palatino Linotype"/>
          <w:bCs/>
          <w:sz w:val="24"/>
          <w:szCs w:val="24"/>
        </w:rPr>
        <w:t>fracción XXXVIII de la L</w:t>
      </w:r>
      <w:r>
        <w:rPr>
          <w:rFonts w:ascii="Palatino Linotype" w:hAnsi="Palatino Linotype"/>
          <w:bCs/>
          <w:sz w:val="24"/>
          <w:szCs w:val="24"/>
        </w:rPr>
        <w:t>ey de Transparencia y Acceso a la Información Pública del Estado de México y Municipios, porciones normativas que disponen a la literalidad lo siguiente:</w:t>
      </w:r>
    </w:p>
    <w:p w14:paraId="33343C7B" w14:textId="77777777" w:rsidR="00D61241" w:rsidRDefault="00D61241" w:rsidP="00D61241">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76010CBA" w14:textId="77777777" w:rsidR="00D61241" w:rsidRPr="00E66BD3" w:rsidRDefault="00D61241" w:rsidP="00D61241">
      <w:pPr>
        <w:spacing w:before="240" w:line="360" w:lineRule="auto"/>
        <w:ind w:left="851" w:right="851"/>
        <w:jc w:val="both"/>
        <w:rPr>
          <w:rFonts w:ascii="Palatino Linotype" w:hAnsi="Palatino Linotype"/>
          <w:i/>
        </w:rPr>
      </w:pPr>
      <w:r>
        <w:rPr>
          <w:rFonts w:ascii="Palatino Linotype" w:hAnsi="Palatino Linotype"/>
          <w:i/>
        </w:rPr>
        <w:t>(…)</w:t>
      </w:r>
    </w:p>
    <w:p w14:paraId="215237CE" w14:textId="77777777" w:rsidR="00D61241" w:rsidRDefault="00D61241" w:rsidP="00D61241">
      <w:pPr>
        <w:spacing w:before="240" w:line="360" w:lineRule="auto"/>
        <w:ind w:left="851" w:right="851"/>
        <w:jc w:val="both"/>
        <w:rPr>
          <w:rFonts w:ascii="Palatino Linotype" w:hAnsi="Palatino Linotype"/>
          <w:bCs/>
          <w:i/>
        </w:rPr>
      </w:pPr>
      <w:r w:rsidRPr="000C0AAF">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6A33939A" w14:textId="77777777" w:rsidR="00D61241" w:rsidRDefault="00D61241" w:rsidP="00D61241">
      <w:pPr>
        <w:spacing w:before="240" w:line="360" w:lineRule="auto"/>
        <w:ind w:left="851" w:right="851"/>
        <w:jc w:val="both"/>
        <w:rPr>
          <w:rFonts w:ascii="Palatino Linotype" w:hAnsi="Palatino Linotype"/>
          <w:bCs/>
          <w:i/>
        </w:rPr>
      </w:pPr>
      <w:r>
        <w:rPr>
          <w:rFonts w:ascii="Palatino Linotype" w:hAnsi="Palatino Linotype"/>
          <w:bCs/>
          <w:i/>
        </w:rPr>
        <w:t>(…)</w:t>
      </w:r>
    </w:p>
    <w:p w14:paraId="57B27CDF" w14:textId="77777777" w:rsidR="00D61241" w:rsidRDefault="00D61241" w:rsidP="00D61241">
      <w:pPr>
        <w:spacing w:before="240" w:line="360" w:lineRule="auto"/>
        <w:ind w:left="851" w:right="851"/>
        <w:jc w:val="both"/>
        <w:rPr>
          <w:rFonts w:ascii="Palatino Linotype" w:hAnsi="Palatino Linotype"/>
          <w:bCs/>
          <w:sz w:val="24"/>
          <w:szCs w:val="24"/>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C8A93C" w14:textId="1956A599" w:rsidR="00D61241" w:rsidRPr="00D61241" w:rsidRDefault="00A35507" w:rsidP="00D61241">
      <w:pPr>
        <w:pStyle w:val="Citas"/>
        <w:rPr>
          <w:b/>
          <w:bCs/>
        </w:rPr>
      </w:pPr>
      <w:r>
        <w:t xml:space="preserve">XXXVIII. El inventario de bienes muebles e inmuebles en posesión y propiedad; </w:t>
      </w:r>
      <w:r w:rsidR="00D61241">
        <w:t xml:space="preserve">(…)” </w:t>
      </w:r>
      <w:r w:rsidR="00D61241">
        <w:rPr>
          <w:b/>
          <w:bCs/>
        </w:rPr>
        <w:t>(Sic)</w:t>
      </w:r>
    </w:p>
    <w:p w14:paraId="60670301" w14:textId="10924EDC" w:rsidR="00A35507" w:rsidRPr="00A35507" w:rsidRDefault="00D61241" w:rsidP="00A35507">
      <w:pPr>
        <w:autoSpaceDE w:val="0"/>
        <w:autoSpaceDN w:val="0"/>
        <w:adjustRightInd w:val="0"/>
        <w:spacing w:before="240" w:line="360" w:lineRule="auto"/>
        <w:jc w:val="both"/>
        <w:rPr>
          <w:rFonts w:ascii="Palatino Linotype" w:eastAsia="Arial Unicode MS" w:hAnsi="Palatino Linotype"/>
          <w:b/>
          <w:bCs/>
          <w:sz w:val="24"/>
          <w:szCs w:val="24"/>
        </w:rPr>
      </w:pPr>
      <w:r w:rsidRPr="00D9557E">
        <w:rPr>
          <w:rFonts w:ascii="Palatino Linotype" w:eastAsia="MS Mincho" w:hAnsi="Palatino Linotype" w:cs="Tahoma"/>
          <w:sz w:val="24"/>
          <w:szCs w:val="24"/>
        </w:rPr>
        <w:lastRenderedPageBreak/>
        <w:t xml:space="preserve">Así la Ley de Transparencia y Acceso a la Información Pública del Estado de México y Municipios </w:t>
      </w:r>
      <w:r w:rsidRPr="00D9557E">
        <w:rPr>
          <w:rFonts w:ascii="Palatino Linotype" w:eastAsia="Arial Unicode MS" w:hAnsi="Palatino Linotype" w:cs="Arial"/>
          <w:sz w:val="24"/>
          <w:szCs w:val="24"/>
        </w:rPr>
        <w:t xml:space="preserve">en el artículo 92 </w:t>
      </w:r>
      <w:r>
        <w:rPr>
          <w:rFonts w:ascii="Palatino Linotype" w:eastAsia="Arial Unicode MS" w:hAnsi="Palatino Linotype" w:cs="Arial"/>
          <w:sz w:val="24"/>
          <w:szCs w:val="24"/>
        </w:rPr>
        <w:t xml:space="preserve">fracción </w:t>
      </w:r>
      <w:r w:rsidR="00A35507">
        <w:rPr>
          <w:rFonts w:ascii="Palatino Linotype" w:eastAsia="Arial Unicode MS" w:hAnsi="Palatino Linotype" w:cs="Arial"/>
          <w:sz w:val="24"/>
          <w:szCs w:val="24"/>
        </w:rPr>
        <w:t xml:space="preserve">XXXVIII de la Ley de Transparencia y Acceso a la Información </w:t>
      </w:r>
      <w:r w:rsidR="00A35507">
        <w:rPr>
          <w:rFonts w:ascii="Palatino Linotype" w:hAnsi="Palatino Linotype"/>
          <w:bCs/>
          <w:sz w:val="24"/>
          <w:szCs w:val="24"/>
        </w:rPr>
        <w:t xml:space="preserve">Pública del Estado de México y Municipios </w:t>
      </w:r>
      <w:r w:rsidR="00A35507" w:rsidRPr="00D9557E">
        <w:rPr>
          <w:rFonts w:ascii="Palatino Linotype" w:eastAsia="Arial Unicode MS" w:hAnsi="Palatino Linotype"/>
          <w:sz w:val="24"/>
          <w:szCs w:val="24"/>
        </w:rPr>
        <w:t>señala que la información requerida</w:t>
      </w:r>
      <w:r w:rsidR="00A35507">
        <w:rPr>
          <w:rFonts w:ascii="Palatino Linotype" w:eastAsia="Arial Unicode MS" w:hAnsi="Palatino Linotype"/>
          <w:sz w:val="24"/>
          <w:szCs w:val="24"/>
        </w:rPr>
        <w:t xml:space="preserve"> forma parte del inventario de bienes muebles e inmuebles, tratándose de una obligación de transparencia común. Robustece lo anterior las siguientes imágenes ilustrativas correspondientes a la tabla de aplicabilidad del </w:t>
      </w:r>
      <w:r w:rsidR="00A35507">
        <w:rPr>
          <w:rFonts w:ascii="Palatino Linotype" w:eastAsia="Arial Unicode MS" w:hAnsi="Palatino Linotype"/>
          <w:b/>
          <w:bCs/>
          <w:sz w:val="24"/>
          <w:szCs w:val="24"/>
        </w:rPr>
        <w:t xml:space="preserve">Sujeto Obligado: </w:t>
      </w:r>
    </w:p>
    <w:p w14:paraId="597B4554" w14:textId="514B5A10" w:rsidR="00A35507" w:rsidRDefault="00FF4455" w:rsidP="00A35507">
      <w:pPr>
        <w:autoSpaceDE w:val="0"/>
        <w:autoSpaceDN w:val="0"/>
        <w:adjustRightInd w:val="0"/>
        <w:spacing w:before="240" w:line="360" w:lineRule="auto"/>
        <w:jc w:val="both"/>
        <w:rPr>
          <w:rFonts w:ascii="Palatino Linotype" w:eastAsia="Arial Unicode MS" w:hAnsi="Palatino Linotype"/>
          <w:sz w:val="24"/>
          <w:szCs w:val="24"/>
        </w:rPr>
      </w:pPr>
      <w:r>
        <w:rPr>
          <w:rFonts w:ascii="Palatino Linotype" w:hAnsi="Palatino Linotype" w:cs="Arial"/>
          <w:b/>
          <w:bCs/>
          <w:noProof/>
        </w:rPr>
        <w:drawing>
          <wp:anchor distT="0" distB="0" distL="114300" distR="114300" simplePos="0" relativeHeight="251763712" behindDoc="0" locked="0" layoutInCell="1" allowOverlap="1" wp14:anchorId="295B0CF3" wp14:editId="1626B1C6">
            <wp:simplePos x="0" y="0"/>
            <wp:positionH relativeFrom="page">
              <wp:align>center</wp:align>
            </wp:positionH>
            <wp:positionV relativeFrom="paragraph">
              <wp:posOffset>335915</wp:posOffset>
            </wp:positionV>
            <wp:extent cx="5753100" cy="3486150"/>
            <wp:effectExtent l="19050" t="19050" r="19050" b="19050"/>
            <wp:wrapThrough wrapText="bothSides">
              <wp:wrapPolygon edited="0">
                <wp:start x="-72" y="-118"/>
                <wp:lineTo x="-72" y="21600"/>
                <wp:lineTo x="21600" y="21600"/>
                <wp:lineTo x="21600" y="-118"/>
                <wp:lineTo x="-72" y="-118"/>
              </wp:wrapPolygon>
            </wp:wrapThrough>
            <wp:docPr id="16851368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34861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1DDEE5A" w14:textId="7FEF3804" w:rsidR="00A35507" w:rsidRDefault="00A35507" w:rsidP="00A95C19">
      <w:pPr>
        <w:autoSpaceDE w:val="0"/>
        <w:autoSpaceDN w:val="0"/>
        <w:adjustRightInd w:val="0"/>
        <w:spacing w:before="240" w:line="360" w:lineRule="auto"/>
        <w:jc w:val="both"/>
        <w:rPr>
          <w:rFonts w:ascii="Palatino Linotype" w:eastAsia="Arial Unicode MS" w:hAnsi="Palatino Linotype" w:cs="Arial"/>
          <w:sz w:val="24"/>
          <w:szCs w:val="24"/>
        </w:rPr>
      </w:pPr>
    </w:p>
    <w:p w14:paraId="6B251B34" w14:textId="4857FF0E" w:rsidR="00A35507" w:rsidRDefault="00A35507" w:rsidP="00A95C19">
      <w:pPr>
        <w:autoSpaceDE w:val="0"/>
        <w:autoSpaceDN w:val="0"/>
        <w:adjustRightInd w:val="0"/>
        <w:spacing w:before="240" w:line="360" w:lineRule="auto"/>
        <w:jc w:val="both"/>
        <w:rPr>
          <w:rFonts w:ascii="Palatino Linotype" w:eastAsia="Arial Unicode MS" w:hAnsi="Palatino Linotype" w:cs="Arial"/>
          <w:sz w:val="24"/>
          <w:szCs w:val="24"/>
        </w:rPr>
      </w:pPr>
    </w:p>
    <w:p w14:paraId="2E1CC725" w14:textId="4EC46E5F" w:rsidR="00A35507" w:rsidRDefault="00A35507" w:rsidP="00A95C19">
      <w:pPr>
        <w:autoSpaceDE w:val="0"/>
        <w:autoSpaceDN w:val="0"/>
        <w:adjustRightInd w:val="0"/>
        <w:spacing w:before="240" w:line="360" w:lineRule="auto"/>
        <w:jc w:val="both"/>
        <w:rPr>
          <w:rFonts w:ascii="Palatino Linotype" w:eastAsia="Arial Unicode MS" w:hAnsi="Palatino Linotype" w:cs="Arial"/>
          <w:sz w:val="24"/>
          <w:szCs w:val="24"/>
        </w:rPr>
      </w:pPr>
    </w:p>
    <w:p w14:paraId="53B48C6F" w14:textId="5FA406D9" w:rsidR="00D61241" w:rsidRDefault="00FF4455" w:rsidP="00A95C19">
      <w:p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b/>
          <w:bCs/>
          <w:noProof/>
        </w:rPr>
        <w:lastRenderedPageBreak/>
        <w:drawing>
          <wp:anchor distT="0" distB="0" distL="114300" distR="114300" simplePos="0" relativeHeight="251764736" behindDoc="0" locked="0" layoutInCell="1" allowOverlap="1" wp14:anchorId="57F019E8" wp14:editId="536649B6">
            <wp:simplePos x="0" y="0"/>
            <wp:positionH relativeFrom="page">
              <wp:align>center</wp:align>
            </wp:positionH>
            <wp:positionV relativeFrom="paragraph">
              <wp:posOffset>19050</wp:posOffset>
            </wp:positionV>
            <wp:extent cx="5753100" cy="3440430"/>
            <wp:effectExtent l="19050" t="19050" r="19050" b="26670"/>
            <wp:wrapThrough wrapText="bothSides">
              <wp:wrapPolygon edited="0">
                <wp:start x="-72" y="-120"/>
                <wp:lineTo x="-72" y="21648"/>
                <wp:lineTo x="21600" y="21648"/>
                <wp:lineTo x="21600" y="-120"/>
                <wp:lineTo x="-72" y="-120"/>
              </wp:wrapPolygon>
            </wp:wrapThrough>
            <wp:docPr id="7184084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34404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6ED86D6" w14:textId="560EBEAF" w:rsidR="00FF4455" w:rsidRDefault="006A1B2A" w:rsidP="006A1B2A">
      <w:pPr>
        <w:spacing w:after="0" w:line="360" w:lineRule="auto"/>
        <w:jc w:val="both"/>
        <w:rPr>
          <w:rFonts w:ascii="Palatino Linotype" w:hAnsi="Palatino Linotype"/>
          <w:sz w:val="24"/>
          <w:szCs w:val="24"/>
        </w:rPr>
      </w:pPr>
      <w:r w:rsidRPr="00606B79">
        <w:rPr>
          <w:rFonts w:ascii="Palatino Linotype" w:hAnsi="Palatino Linotype" w:cs="Arial"/>
          <w:sz w:val="24"/>
          <w:szCs w:val="24"/>
        </w:rPr>
        <w:t xml:space="preserve">De manera complementaria, resulta propicio señalar que la publicación de las obligaciones de transparencia común se rigen por los </w:t>
      </w:r>
      <w:r w:rsidRPr="003F7952">
        <w:rPr>
          <w:rFonts w:ascii="Palatino Linotype" w:hAnsi="Palatino Linotype"/>
          <w:b/>
          <w:bCs/>
          <w:i/>
          <w:iCs/>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06B79">
        <w:rPr>
          <w:rFonts w:ascii="Palatino Linotype" w:hAnsi="Palatino Linotype"/>
          <w:sz w:val="24"/>
          <w:szCs w:val="24"/>
        </w:rPr>
        <w:t xml:space="preserve"> soporte documental que </w:t>
      </w:r>
      <w:r>
        <w:rPr>
          <w:rFonts w:ascii="Palatino Linotype" w:hAnsi="Palatino Linotype"/>
          <w:sz w:val="24"/>
          <w:szCs w:val="24"/>
        </w:rPr>
        <w:t xml:space="preserve">dispone como criterios sustantivos del </w:t>
      </w:r>
      <w:r w:rsidR="00FF4455">
        <w:rPr>
          <w:rFonts w:ascii="Palatino Linotype" w:hAnsi="Palatino Linotype"/>
          <w:sz w:val="24"/>
          <w:szCs w:val="24"/>
        </w:rPr>
        <w:t>inventario de bienes</w:t>
      </w:r>
      <w:r w:rsidR="00CF270A">
        <w:rPr>
          <w:rFonts w:ascii="Palatino Linotype" w:hAnsi="Palatino Linotype"/>
          <w:sz w:val="24"/>
          <w:szCs w:val="24"/>
        </w:rPr>
        <w:t xml:space="preserve"> muebles e inmuebles en posesión y propiedad: </w:t>
      </w:r>
    </w:p>
    <w:p w14:paraId="3602158D" w14:textId="77777777" w:rsidR="00F35CC1" w:rsidRDefault="00FF4455" w:rsidP="00FF4455">
      <w:pPr>
        <w:pStyle w:val="Citas"/>
      </w:pPr>
      <w:r>
        <w:t xml:space="preserve">“Criterios sustantivos de contenido Respecto de los bienes muebles se publicará: Criterio 1 Ejercicio </w:t>
      </w:r>
    </w:p>
    <w:p w14:paraId="19C4F1EA" w14:textId="77777777" w:rsidR="00F35CC1" w:rsidRDefault="00FF4455" w:rsidP="00FF4455">
      <w:pPr>
        <w:pStyle w:val="Citas"/>
      </w:pPr>
      <w:r>
        <w:lastRenderedPageBreak/>
        <w:t xml:space="preserve">Criterio 2 Periodo que se informa (fecha de inicio y fecha de término con el formato día/mes/año) </w:t>
      </w:r>
    </w:p>
    <w:p w14:paraId="064D4F20" w14:textId="77777777" w:rsidR="00F35CC1" w:rsidRDefault="00FF4455" w:rsidP="00FF4455">
      <w:pPr>
        <w:pStyle w:val="Citas"/>
      </w:pPr>
      <w:r>
        <w:t xml:space="preserve">Criterio 3 Descripción del bien (incluir marca y modelo o, en su caso, señalar si corresponde a una pieza arqueológica, artística, histórica o de otra naturaleza) </w:t>
      </w:r>
    </w:p>
    <w:p w14:paraId="7DED5C67" w14:textId="77777777" w:rsidR="00F35CC1" w:rsidRDefault="00FF4455" w:rsidP="00FF4455">
      <w:pPr>
        <w:pStyle w:val="Citas"/>
      </w:pPr>
      <w:r>
        <w:t xml:space="preserve">Criterio 4 Código de identificación, en su caso </w:t>
      </w:r>
    </w:p>
    <w:p w14:paraId="6C921DBF" w14:textId="77777777" w:rsidR="00F35CC1" w:rsidRPr="00F35CC1" w:rsidRDefault="00FF4455" w:rsidP="00FF4455">
      <w:pPr>
        <w:pStyle w:val="Citas"/>
        <w:rPr>
          <w:b/>
          <w:bCs/>
          <w:u w:val="single"/>
        </w:rPr>
      </w:pPr>
      <w:r w:rsidRPr="00F35CC1">
        <w:rPr>
          <w:b/>
          <w:bCs/>
          <w:u w:val="single"/>
        </w:rPr>
        <w:t xml:space="preserve">Criterio 5 Institución a cargo del bien mueble, en su caso </w:t>
      </w:r>
    </w:p>
    <w:p w14:paraId="6B3F6B79" w14:textId="7B0AE8CE" w:rsidR="00F35CC1" w:rsidRDefault="00FF4455" w:rsidP="00FF4455">
      <w:pPr>
        <w:pStyle w:val="Citas"/>
      </w:pPr>
      <w:r>
        <w:t xml:space="preserve">Criterio 6 Número de inventario </w:t>
      </w:r>
    </w:p>
    <w:p w14:paraId="63C52B3A" w14:textId="77777777" w:rsidR="00F35CC1" w:rsidRDefault="00FF4455" w:rsidP="00FF4455">
      <w:pPr>
        <w:pStyle w:val="Citas"/>
      </w:pPr>
      <w:r>
        <w:t xml:space="preserve">Criterio 7 Monto unitario del bien (precio de adquisición o valor contable) Inventario semestral de altas practicadas a los bienes muebles especificando: </w:t>
      </w:r>
    </w:p>
    <w:p w14:paraId="23459C34" w14:textId="77777777" w:rsidR="00F35CC1" w:rsidRDefault="00FF4455" w:rsidP="00FF4455">
      <w:pPr>
        <w:pStyle w:val="Citas"/>
      </w:pPr>
      <w:r>
        <w:t>Criterio 8 Ejercicio</w:t>
      </w:r>
    </w:p>
    <w:p w14:paraId="76FCFF58" w14:textId="77777777" w:rsidR="00F35CC1" w:rsidRDefault="00FF4455" w:rsidP="00FF4455">
      <w:pPr>
        <w:pStyle w:val="Citas"/>
      </w:pPr>
      <w:r>
        <w:t xml:space="preserve"> Criterio 9 Periodo que se informa (fecha de inicio y fecha de término con el formato día/mes/año) </w:t>
      </w:r>
    </w:p>
    <w:p w14:paraId="4884E003" w14:textId="77777777" w:rsidR="00F35CC1" w:rsidRDefault="00FF4455" w:rsidP="00FF4455">
      <w:pPr>
        <w:pStyle w:val="Citas"/>
      </w:pPr>
      <w:r>
        <w:t xml:space="preserve">Criterio 10 Descripción del bien </w:t>
      </w:r>
    </w:p>
    <w:p w14:paraId="0F7A353C" w14:textId="77777777" w:rsidR="00F35CC1" w:rsidRDefault="00FF4455" w:rsidP="00FF4455">
      <w:pPr>
        <w:pStyle w:val="Citas"/>
      </w:pPr>
      <w:r>
        <w:t xml:space="preserve">Criterio 11 Número de inventario </w:t>
      </w:r>
    </w:p>
    <w:p w14:paraId="163C0EA1" w14:textId="77777777" w:rsidR="00F35CC1" w:rsidRDefault="00FF4455" w:rsidP="00FF4455">
      <w:pPr>
        <w:pStyle w:val="Citas"/>
      </w:pPr>
      <w:r>
        <w:t xml:space="preserve">Criterio 12 Causa de alta </w:t>
      </w:r>
    </w:p>
    <w:p w14:paraId="2E080765" w14:textId="77777777" w:rsidR="00F35CC1" w:rsidRDefault="00FF4455" w:rsidP="00FF4455">
      <w:pPr>
        <w:pStyle w:val="Citas"/>
      </w:pPr>
      <w:r>
        <w:t xml:space="preserve">Criterio 13 Fecha con el formato día/mes/año </w:t>
      </w:r>
    </w:p>
    <w:p w14:paraId="618ED33B" w14:textId="77777777" w:rsidR="00F35CC1" w:rsidRDefault="00FF4455" w:rsidP="00FF4455">
      <w:pPr>
        <w:pStyle w:val="Citas"/>
      </w:pPr>
      <w:r>
        <w:t xml:space="preserve">Criterio 14 Valor del bien a la fecha del alta Inventario semestral de bajas practicadas a los bienes muebles especificando: </w:t>
      </w:r>
    </w:p>
    <w:p w14:paraId="1B73E35E" w14:textId="77777777" w:rsidR="00F35CC1" w:rsidRDefault="00FF4455" w:rsidP="00FF4455">
      <w:pPr>
        <w:pStyle w:val="Citas"/>
      </w:pPr>
      <w:r>
        <w:t xml:space="preserve">Criterio 15 Ejercicio </w:t>
      </w:r>
    </w:p>
    <w:p w14:paraId="22F55DEC" w14:textId="3A20E813" w:rsidR="00F35CC1" w:rsidRDefault="00FF4455" w:rsidP="00FF4455">
      <w:pPr>
        <w:pStyle w:val="Citas"/>
      </w:pPr>
      <w:r>
        <w:lastRenderedPageBreak/>
        <w:t xml:space="preserve">Criterio 16 Periodo que se informa (fecha de inicio y fecha de término con el formato día/mes/año) </w:t>
      </w:r>
    </w:p>
    <w:p w14:paraId="269FFAB1" w14:textId="77777777" w:rsidR="00F35CC1" w:rsidRDefault="00FF4455" w:rsidP="00FF4455">
      <w:pPr>
        <w:pStyle w:val="Citas"/>
      </w:pPr>
      <w:r>
        <w:t xml:space="preserve">Criterio 17 Descripción del bien </w:t>
      </w:r>
    </w:p>
    <w:p w14:paraId="414CB49C" w14:textId="77777777" w:rsidR="00F35CC1" w:rsidRDefault="00FF4455" w:rsidP="00FF4455">
      <w:pPr>
        <w:pStyle w:val="Citas"/>
      </w:pPr>
      <w:r>
        <w:t xml:space="preserve">Criterio 18 Número de inventario </w:t>
      </w:r>
    </w:p>
    <w:p w14:paraId="67F3A42A" w14:textId="62611417" w:rsidR="00F35CC1" w:rsidRDefault="00FF4455" w:rsidP="00FF4455">
      <w:pPr>
        <w:pStyle w:val="Citas"/>
      </w:pPr>
      <w:r>
        <w:t xml:space="preserve">Criterio 19 Causa de baja </w:t>
      </w:r>
    </w:p>
    <w:p w14:paraId="0A61B4FF" w14:textId="77777777" w:rsidR="00F35CC1" w:rsidRDefault="00FF4455" w:rsidP="00FF4455">
      <w:pPr>
        <w:pStyle w:val="Citas"/>
      </w:pPr>
      <w:r>
        <w:t xml:space="preserve">Criterio 20 Fecha de baja con el formato día/mes/año </w:t>
      </w:r>
    </w:p>
    <w:p w14:paraId="0899E59E" w14:textId="77777777" w:rsidR="00F35CC1" w:rsidRDefault="00FF4455" w:rsidP="00FF4455">
      <w:pPr>
        <w:pStyle w:val="Citas"/>
      </w:pPr>
      <w:r>
        <w:t xml:space="preserve">Criterio 21 Valor del bien a la fecha de la baja </w:t>
      </w:r>
    </w:p>
    <w:p w14:paraId="227302DA" w14:textId="7079B822" w:rsidR="00F35CC1" w:rsidRPr="00F35CC1" w:rsidRDefault="00FF4455" w:rsidP="00FF4455">
      <w:pPr>
        <w:pStyle w:val="Citas"/>
        <w:rPr>
          <w:b/>
          <w:bCs/>
          <w:u w:val="single"/>
        </w:rPr>
      </w:pPr>
      <w:r w:rsidRPr="00F35CC1">
        <w:rPr>
          <w:b/>
          <w:bCs/>
          <w:u w:val="single"/>
        </w:rPr>
        <w:t xml:space="preserve">Los datos correspondientes a los bienes inmuebles son: </w:t>
      </w:r>
    </w:p>
    <w:p w14:paraId="2CD48832" w14:textId="77777777" w:rsidR="00F35CC1" w:rsidRDefault="00FF4455" w:rsidP="00FF4455">
      <w:pPr>
        <w:pStyle w:val="Citas"/>
      </w:pPr>
      <w:r>
        <w:t xml:space="preserve">Criterio 22 Ejercicio </w:t>
      </w:r>
    </w:p>
    <w:p w14:paraId="1917BE34" w14:textId="77777777" w:rsidR="00F35CC1" w:rsidRDefault="00FF4455" w:rsidP="00FF4455">
      <w:pPr>
        <w:pStyle w:val="Citas"/>
      </w:pPr>
      <w:r>
        <w:t xml:space="preserve">Criterio 23 Periodo que se informa (fecha de inicio y fecha de término con el formato día/mes/año) </w:t>
      </w:r>
    </w:p>
    <w:p w14:paraId="7A1C50F4" w14:textId="77777777" w:rsidR="00F35CC1" w:rsidRDefault="00FF4455" w:rsidP="00FF4455">
      <w:pPr>
        <w:pStyle w:val="Citas"/>
      </w:pPr>
      <w:r>
        <w:t xml:space="preserve">Criterio 24 Denominación del inmueble, en su caso </w:t>
      </w:r>
    </w:p>
    <w:p w14:paraId="4EA5928B" w14:textId="77777777" w:rsidR="00F35CC1" w:rsidRDefault="00FF4455" w:rsidP="00FF4455">
      <w:pPr>
        <w:pStyle w:val="Citas"/>
      </w:pPr>
      <w:r>
        <w:t xml:space="preserve">Criterio 25 Institución a cargo del inmueble </w:t>
      </w:r>
    </w:p>
    <w:p w14:paraId="618BE60F" w14:textId="3431658A" w:rsidR="00F35CC1" w:rsidRDefault="00FF4455" w:rsidP="00FF4455">
      <w:pPr>
        <w:pStyle w:val="Citas"/>
      </w:pPr>
      <w:r>
        <w:t xml:space="preserve">Criterio 26 </w:t>
      </w:r>
      <w:proofErr w:type="gramStart"/>
      <w:r>
        <w:t>Domicilio  del</w:t>
      </w:r>
      <w:proofErr w:type="gramEnd"/>
      <w:r>
        <w:t xml:space="preserve">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w:t>
      </w:r>
    </w:p>
    <w:p w14:paraId="28A1A007" w14:textId="77777777" w:rsidR="00F35CC1" w:rsidRDefault="00FF4455" w:rsidP="00FF4455">
      <w:pPr>
        <w:pStyle w:val="Citas"/>
      </w:pPr>
      <w:r>
        <w:lastRenderedPageBreak/>
        <w:t xml:space="preserve">Criterio 27 Domicilio en el extranjero. En caso de que el inmueble se ubique en otro país, se deberá incluir el domicilio el cual deberá incluir por lo menos: país, ciudad, calle y número </w:t>
      </w:r>
    </w:p>
    <w:p w14:paraId="17FC9EAA" w14:textId="77777777" w:rsidR="00F35CC1" w:rsidRDefault="00FF4455" w:rsidP="00FF4455">
      <w:pPr>
        <w:pStyle w:val="Citas"/>
      </w:pPr>
      <w:r>
        <w:t xml:space="preserve">Criterio 28 Naturaleza del inmueble (catálogo): Urbana/Rústica (de conformidad con el artículo 66, fracción IV, del Reglamento del Registro Público de la Propiedad Federal) </w:t>
      </w:r>
    </w:p>
    <w:p w14:paraId="5F0FA362" w14:textId="77777777" w:rsidR="00F35CC1" w:rsidRDefault="00FF4455" w:rsidP="00FF4455">
      <w:pPr>
        <w:pStyle w:val="Citas"/>
      </w:pPr>
      <w:r>
        <w:t xml:space="preserve">Criterio 29 Carácter del monumento (catálogo): Arqueológico/Histórico/Artístico (para el caso de inmuebles que hayan sido declarados monumentos arqueológicos, históricos o artísticos </w:t>
      </w:r>
    </w:p>
    <w:p w14:paraId="678B6F77" w14:textId="77777777" w:rsidR="00F35CC1" w:rsidRDefault="00FF4455" w:rsidP="00FF4455">
      <w:pPr>
        <w:pStyle w:val="Citas"/>
      </w:pPr>
      <w:r>
        <w:t xml:space="preserve">Criterio 30 Tipo de inmueble (catálogo): edificación/terreno/mixto </w:t>
      </w:r>
    </w:p>
    <w:p w14:paraId="5945BBDD" w14:textId="6344F582" w:rsidR="00F35CC1" w:rsidRDefault="00FF4455" w:rsidP="00FF4455">
      <w:pPr>
        <w:pStyle w:val="Citas"/>
      </w:pPr>
      <w:r>
        <w:t xml:space="preserve">Criterio 31 Uso del inmueble </w:t>
      </w:r>
    </w:p>
    <w:p w14:paraId="13B2E629" w14:textId="3C87B807" w:rsidR="00F35CC1" w:rsidRDefault="00FF4455" w:rsidP="00FF4455">
      <w:pPr>
        <w:pStyle w:val="Citas"/>
      </w:pPr>
      <w:r>
        <w:t xml:space="preserve">Criterio 32 Operación que da origen a la propiedad o posesión del inmueble </w:t>
      </w:r>
    </w:p>
    <w:p w14:paraId="7F2F78BB" w14:textId="77777777" w:rsidR="00F35CC1" w:rsidRDefault="00FF4455" w:rsidP="00FF4455">
      <w:pPr>
        <w:pStyle w:val="Citas"/>
      </w:pPr>
      <w:r>
        <w:t xml:space="preserve">Criterio 33 Valor catastral o último avalúo del inmueble </w:t>
      </w:r>
    </w:p>
    <w:p w14:paraId="7CCC384A" w14:textId="77777777" w:rsidR="00F35CC1" w:rsidRDefault="00FF4455" w:rsidP="00FF4455">
      <w:pPr>
        <w:pStyle w:val="Citas"/>
      </w:pPr>
      <w:r>
        <w:t xml:space="preserve">Criterio 34 Título por el cual se acredite la propiedad o posesión del inmueble por parte del Gobierno Federal, las entidades federativas o los municipios, a la fecha de actualización de la información </w:t>
      </w:r>
    </w:p>
    <w:p w14:paraId="20515B59" w14:textId="77777777" w:rsidR="00F35CC1" w:rsidRDefault="00FF4455" w:rsidP="00FF4455">
      <w:pPr>
        <w:pStyle w:val="Citas"/>
      </w:pPr>
      <w:r>
        <w:t xml:space="preserve">Criterio 35 Hipervínculo al Sistema de Información Inmobiliaria Federal y Paraestatal u homólogo de cada entidad federativa </w:t>
      </w:r>
    </w:p>
    <w:p w14:paraId="0C66B94C" w14:textId="5BDF4B1C" w:rsidR="00F35CC1" w:rsidRDefault="00FF4455" w:rsidP="00FF4455">
      <w:pPr>
        <w:pStyle w:val="Citas"/>
      </w:pPr>
      <w:r>
        <w:t xml:space="preserve">Criterio 36 Área de adscripción del servidor público /o toda persona que desempeñe un empleo, cargo o comisión y/o ejerza actos de autoridad (de acuerdo con el catálogo </w:t>
      </w:r>
      <w:r>
        <w:lastRenderedPageBreak/>
        <w:t xml:space="preserve">de áreas o puestos que funge como responsable inmobiliario) Inventario semestral de altas practicadas a los bienes inmuebles especificando: </w:t>
      </w:r>
    </w:p>
    <w:p w14:paraId="283CD565" w14:textId="77777777" w:rsidR="00F35CC1" w:rsidRDefault="00FF4455" w:rsidP="00FF4455">
      <w:pPr>
        <w:pStyle w:val="Citas"/>
      </w:pPr>
      <w:r>
        <w:t xml:space="preserve">Criterio 37 Ejercicio </w:t>
      </w:r>
    </w:p>
    <w:p w14:paraId="06BB0776" w14:textId="77777777" w:rsidR="00F35CC1" w:rsidRDefault="00FF4455" w:rsidP="00FF4455">
      <w:pPr>
        <w:pStyle w:val="Citas"/>
      </w:pPr>
      <w:r>
        <w:t xml:space="preserve">Criterio 38 Periodo que se informa (fecha de inicio y fecha de término con el formato día/mes/año) </w:t>
      </w:r>
    </w:p>
    <w:p w14:paraId="103CBD6B" w14:textId="77777777" w:rsidR="00F35CC1" w:rsidRDefault="00FF4455" w:rsidP="00FF4455">
      <w:pPr>
        <w:pStyle w:val="Citas"/>
      </w:pPr>
      <w:r>
        <w:t xml:space="preserve">Criterio 39 Descripción del bien </w:t>
      </w:r>
    </w:p>
    <w:p w14:paraId="51026C25" w14:textId="77777777" w:rsidR="00F35CC1" w:rsidRDefault="00FF4455" w:rsidP="00FF4455">
      <w:pPr>
        <w:pStyle w:val="Citas"/>
      </w:pPr>
      <w:r>
        <w:t xml:space="preserve">Criterio 40 Causa de alta </w:t>
      </w:r>
    </w:p>
    <w:p w14:paraId="23C06055" w14:textId="77777777" w:rsidR="00F35CC1" w:rsidRDefault="00FF4455" w:rsidP="00FF4455">
      <w:pPr>
        <w:pStyle w:val="Citas"/>
      </w:pPr>
      <w:r>
        <w:t xml:space="preserve">Criterio 41 Fecha de alta con el formato día/mes/año </w:t>
      </w:r>
    </w:p>
    <w:p w14:paraId="7425763E" w14:textId="77777777" w:rsidR="00F35CC1" w:rsidRDefault="00FF4455" w:rsidP="00FF4455">
      <w:pPr>
        <w:pStyle w:val="Citas"/>
      </w:pPr>
      <w:r>
        <w:t xml:space="preserve">Criterio 42 Valor del bien a la fecha del alta Inventario semestral de bajas practicadas a los bienes inmuebles especificando: </w:t>
      </w:r>
    </w:p>
    <w:p w14:paraId="2485FC2A" w14:textId="77777777" w:rsidR="00F35CC1" w:rsidRDefault="00FF4455" w:rsidP="00FF4455">
      <w:pPr>
        <w:pStyle w:val="Citas"/>
      </w:pPr>
      <w:r>
        <w:t xml:space="preserve">Criterio 43 Ejercicio </w:t>
      </w:r>
    </w:p>
    <w:p w14:paraId="6212DCA9" w14:textId="77777777" w:rsidR="00F35CC1" w:rsidRDefault="00FF4455" w:rsidP="00FF4455">
      <w:pPr>
        <w:pStyle w:val="Citas"/>
      </w:pPr>
      <w:r>
        <w:t xml:space="preserve">Criterio 44 Periodo que se informa (fecha de inicio y fecha de término con el formato día/mes/año) </w:t>
      </w:r>
    </w:p>
    <w:p w14:paraId="37AB58A1" w14:textId="77777777" w:rsidR="00F35CC1" w:rsidRDefault="00FF4455" w:rsidP="00FF4455">
      <w:pPr>
        <w:pStyle w:val="Citas"/>
      </w:pPr>
      <w:r>
        <w:t xml:space="preserve">Criterio 45 Descripción del bien </w:t>
      </w:r>
    </w:p>
    <w:p w14:paraId="4FAECE82" w14:textId="77777777" w:rsidR="00F35CC1" w:rsidRDefault="00FF4455" w:rsidP="00FF4455">
      <w:pPr>
        <w:pStyle w:val="Citas"/>
      </w:pPr>
      <w:r>
        <w:t xml:space="preserve">Criterio 46 Causa de baja </w:t>
      </w:r>
    </w:p>
    <w:p w14:paraId="15B5FAD6" w14:textId="77777777" w:rsidR="00F35CC1" w:rsidRDefault="00FF4455" w:rsidP="00FF4455">
      <w:pPr>
        <w:pStyle w:val="Citas"/>
      </w:pPr>
      <w:r>
        <w:t xml:space="preserve">Criterio 47 Fecha de baja con el formato día/mes/año </w:t>
      </w:r>
    </w:p>
    <w:p w14:paraId="6548E374" w14:textId="77777777" w:rsidR="004A7B62" w:rsidRDefault="00FF4455" w:rsidP="00FF4455">
      <w:pPr>
        <w:pStyle w:val="Citas"/>
      </w:pPr>
      <w:r>
        <w:t xml:space="preserve">Criterio 48 Valor del inmueble a la fecha de la baja </w:t>
      </w:r>
    </w:p>
    <w:p w14:paraId="2E9AFB5F" w14:textId="3F4215BE" w:rsidR="004A7B62" w:rsidRDefault="00FF4455" w:rsidP="00FF4455">
      <w:pPr>
        <w:pStyle w:val="Citas"/>
      </w:pPr>
      <w:r>
        <w:t xml:space="preserve">La información respecto de los bienes muebles e inmuebles donados al sujeto obligado es la siguiente: </w:t>
      </w:r>
    </w:p>
    <w:p w14:paraId="24CC9857" w14:textId="77777777" w:rsidR="004A7B62" w:rsidRDefault="00FF4455" w:rsidP="00FF4455">
      <w:pPr>
        <w:pStyle w:val="Citas"/>
      </w:pPr>
      <w:r>
        <w:lastRenderedPageBreak/>
        <w:t xml:space="preserve">Criterio 49 Ejercicio </w:t>
      </w:r>
    </w:p>
    <w:p w14:paraId="21891351" w14:textId="77777777" w:rsidR="004A7B62" w:rsidRDefault="00FF4455" w:rsidP="00FF4455">
      <w:pPr>
        <w:pStyle w:val="Citas"/>
      </w:pPr>
      <w:r>
        <w:t xml:space="preserve">Criterio 50 Periodo que se informa (fecha de inicio y fecha de término con el formato día/mes/año) </w:t>
      </w:r>
    </w:p>
    <w:p w14:paraId="59270700" w14:textId="77777777" w:rsidR="004A7B62" w:rsidRDefault="00FF4455" w:rsidP="00FF4455">
      <w:pPr>
        <w:pStyle w:val="Citas"/>
      </w:pPr>
      <w:r>
        <w:t xml:space="preserve">Criterio 51 Descripción del bien </w:t>
      </w:r>
    </w:p>
    <w:p w14:paraId="4AB75A8C" w14:textId="77777777" w:rsidR="004A7B62" w:rsidRDefault="00FF4455" w:rsidP="00FF4455">
      <w:pPr>
        <w:pStyle w:val="Citas"/>
      </w:pPr>
      <w:r>
        <w:t xml:space="preserve">Criterio 52 Actividades a las que se destinará el bien donado (catálogo): Educativas/Culturales/De salud/De investigación científica/De aplicación de nuevas tecnologías/De beneficencia/Prestación de servicios sociales/Ayuda humanitaria/Otra </w:t>
      </w:r>
    </w:p>
    <w:p w14:paraId="296B3189" w14:textId="167283CA" w:rsidR="004A7B62" w:rsidRDefault="00FF4455" w:rsidP="00FF4455">
      <w:pPr>
        <w:pStyle w:val="Citas"/>
      </w:pPr>
      <w:r>
        <w:t xml:space="preserve">Criterio 53 Personería jurídica del donante (catálogo): Persona física/Persona moral </w:t>
      </w:r>
    </w:p>
    <w:p w14:paraId="222366CB" w14:textId="77777777" w:rsidR="004A7B62" w:rsidRDefault="00FF4455" w:rsidP="00FF4455">
      <w:pPr>
        <w:pStyle w:val="Citas"/>
      </w:pPr>
      <w:r>
        <w:t xml:space="preserve">Criterio 54 En caso de persona física: Nombre (nombre[s], primer apellido, segundo apellido) </w:t>
      </w:r>
    </w:p>
    <w:p w14:paraId="6E77C714" w14:textId="77777777" w:rsidR="004A7B62" w:rsidRDefault="00FF4455" w:rsidP="00FF4455">
      <w:pPr>
        <w:pStyle w:val="Citas"/>
      </w:pPr>
      <w:r>
        <w:t xml:space="preserve">Criterio 55 Tipo de persona moral, en su caso. Por ejemplo: Entidad federativa, Municipio, Institución de salud, Beneficencia o asistencia, Educativa, Cultural, Prestadores de servicios sociales por encargo, Beneficiarios de algún </w:t>
      </w:r>
      <w:proofErr w:type="gramStart"/>
      <w:r>
        <w:t>servicio  asistencial</w:t>
      </w:r>
      <w:proofErr w:type="gramEnd"/>
      <w:r>
        <w:t xml:space="preserve"> público, Comunidad agraria y ejido, Entidad que lo necesite para sus fines, Gobierno o institución extranjera, Organización internacional </w:t>
      </w:r>
    </w:p>
    <w:p w14:paraId="700CCE60" w14:textId="28213D55" w:rsidR="004A7B62" w:rsidRDefault="00FF4455" w:rsidP="00FF4455">
      <w:pPr>
        <w:pStyle w:val="Citas"/>
      </w:pPr>
      <w:r>
        <w:t>Criterio 56 Denominación o razón social del donante</w:t>
      </w:r>
    </w:p>
    <w:p w14:paraId="2490A953" w14:textId="77777777" w:rsidR="004A7B62" w:rsidRDefault="00FF4455" w:rsidP="00FF4455">
      <w:pPr>
        <w:pStyle w:val="Citas"/>
      </w:pPr>
      <w:r>
        <w:t xml:space="preserve">Criterio 57 Valor de adquisición o valor de inventario del bien donado </w:t>
      </w:r>
    </w:p>
    <w:p w14:paraId="4808F7B4" w14:textId="4A418D3D" w:rsidR="004A7B62" w:rsidRDefault="00FF4455" w:rsidP="00FF4455">
      <w:pPr>
        <w:pStyle w:val="Citas"/>
      </w:pPr>
      <w:r>
        <w:t>Criterio 58 Fecha de firma del contrato de donación, signado por la autoridad pública o representante legal de la institución donante, así como por el donatario</w:t>
      </w:r>
      <w:r w:rsidR="00FF60C8">
        <w:t>.</w:t>
      </w:r>
      <w:r>
        <w:t xml:space="preserve"> En su caso, </w:t>
      </w:r>
      <w:r>
        <w:lastRenderedPageBreak/>
        <w:t xml:space="preserve">la fecha de publicación del Acuerdo presidencial en el DOF con el formato día/mes/año </w:t>
      </w:r>
    </w:p>
    <w:p w14:paraId="1B2F2E19" w14:textId="77777777" w:rsidR="00FF60C8" w:rsidRDefault="00FF4455" w:rsidP="00FF4455">
      <w:pPr>
        <w:pStyle w:val="Citas"/>
      </w:pPr>
      <w:r>
        <w:t xml:space="preserve">Criterio 59 Hipervínculo al Acuerdo presidencial respectivo, en el caso de donaciones a gobiernos e instituciones extranjeros o a organizaciones internacionales para ayuda humanitaria o investigación científica </w:t>
      </w:r>
    </w:p>
    <w:p w14:paraId="4A41A547" w14:textId="4FD4362D" w:rsidR="004A7B62" w:rsidRDefault="00FF4455" w:rsidP="00FF4455">
      <w:pPr>
        <w:pStyle w:val="Citas"/>
      </w:pPr>
      <w:r>
        <w:t xml:space="preserve">Criterios adjetivos de actualización </w:t>
      </w:r>
    </w:p>
    <w:p w14:paraId="4F3AE727" w14:textId="77777777" w:rsidR="004A7B62" w:rsidRDefault="00FF4455" w:rsidP="00FF4455">
      <w:pPr>
        <w:pStyle w:val="Citas"/>
      </w:pPr>
      <w:r>
        <w:t xml:space="preserve">Criterio 60 Periodo de actualización de la información: semestral; en su caso, 30 días hábiles después de adquirir o dar de baja algún bien </w:t>
      </w:r>
    </w:p>
    <w:p w14:paraId="4147D052" w14:textId="77777777" w:rsidR="004A7B62" w:rsidRDefault="00FF4455" w:rsidP="00FF4455">
      <w:pPr>
        <w:pStyle w:val="Citas"/>
      </w:pPr>
      <w:r>
        <w:t xml:space="preserve">Criterio 61 La información deberá estar actualizada al periodo que corresponde de acuerdo con la Tabla de actualización y conservación de la información </w:t>
      </w:r>
    </w:p>
    <w:p w14:paraId="6102DC5E" w14:textId="77777777" w:rsidR="00FF60C8" w:rsidRDefault="00FF4455" w:rsidP="00FF4455">
      <w:pPr>
        <w:pStyle w:val="Citas"/>
      </w:pPr>
      <w:r>
        <w:t xml:space="preserve">Criterio 62 Conservar en el sitio de Internet y a través de la Plataforma Nacional la información de acuerdo con la Tabla de actualización y conservación de la información </w:t>
      </w:r>
    </w:p>
    <w:p w14:paraId="57F6A299" w14:textId="7C082F13" w:rsidR="004A7B62" w:rsidRDefault="00FF4455" w:rsidP="00FF4455">
      <w:pPr>
        <w:pStyle w:val="Citas"/>
      </w:pPr>
      <w:r>
        <w:t xml:space="preserve">Criterios adjetivos de confiabilidad </w:t>
      </w:r>
    </w:p>
    <w:p w14:paraId="26B83EA6" w14:textId="77777777" w:rsidR="004A7B62" w:rsidRDefault="00FF4455" w:rsidP="00FF4455">
      <w:pPr>
        <w:pStyle w:val="Citas"/>
      </w:pPr>
      <w:r>
        <w:t xml:space="preserve">Criterio 63 Área(s) responsable(s) que genera(n), posee(n), publica(n) y/o actualiza(n) la información </w:t>
      </w:r>
    </w:p>
    <w:p w14:paraId="3FA39F2F" w14:textId="77777777" w:rsidR="004A7B62" w:rsidRDefault="00FF4455" w:rsidP="00FF4455">
      <w:pPr>
        <w:pStyle w:val="Citas"/>
      </w:pPr>
      <w:r>
        <w:t xml:space="preserve">Criterio 64 Fecha de actualización de la información publicada con el formato día/mes/año </w:t>
      </w:r>
    </w:p>
    <w:p w14:paraId="486D6114" w14:textId="77777777" w:rsidR="004A7B62" w:rsidRDefault="00FF4455" w:rsidP="00FF4455">
      <w:pPr>
        <w:pStyle w:val="Citas"/>
      </w:pPr>
      <w:r>
        <w:t xml:space="preserve">Criterio 65 Fecha de validación de la información publicada con el formato día/mes/año </w:t>
      </w:r>
    </w:p>
    <w:p w14:paraId="62D4DFE7" w14:textId="77777777" w:rsidR="00FF60C8" w:rsidRDefault="00FF4455" w:rsidP="00FF4455">
      <w:pPr>
        <w:pStyle w:val="Citas"/>
      </w:pPr>
      <w:r>
        <w:lastRenderedPageBreak/>
        <w:t xml:space="preserve">Criterio 66 Nota. Este criterio se cumple en caso de que sea necesario que el sujeto obligado incluya alguna aclaración relativa a la información publicada y/o explicación por la falta de información </w:t>
      </w:r>
    </w:p>
    <w:p w14:paraId="481C6BC2" w14:textId="45CCF4B7" w:rsidR="004A7B62" w:rsidRDefault="00FF4455" w:rsidP="00FF4455">
      <w:pPr>
        <w:pStyle w:val="Citas"/>
      </w:pPr>
      <w:r>
        <w:t xml:space="preserve">Criterios adjetivos de formato </w:t>
      </w:r>
    </w:p>
    <w:p w14:paraId="219F091B" w14:textId="77777777" w:rsidR="004A7B62" w:rsidRDefault="00FF4455" w:rsidP="00FF4455">
      <w:pPr>
        <w:pStyle w:val="Citas"/>
      </w:pPr>
      <w:r>
        <w:t xml:space="preserve">Criterio 67 La información publicada se organiza mediante los formatos 34a al 34g, en los que se incluyen todos los campos especificados en los criterios sustantivos de contenido </w:t>
      </w:r>
    </w:p>
    <w:p w14:paraId="186888C9" w14:textId="722222A4" w:rsidR="006A1B2A" w:rsidRDefault="00FF4455" w:rsidP="00FF4455">
      <w:pPr>
        <w:pStyle w:val="Citas"/>
        <w:rPr>
          <w:sz w:val="24"/>
          <w:szCs w:val="24"/>
        </w:rPr>
      </w:pPr>
      <w:r>
        <w:t>Criterio 68 El soporte de la información permite su reutilización</w:t>
      </w:r>
      <w:r w:rsidR="004A7B62">
        <w:t xml:space="preserve">” </w:t>
      </w:r>
      <w:r w:rsidR="004A7B62">
        <w:rPr>
          <w:b/>
          <w:bCs/>
        </w:rPr>
        <w:t>(Sic)</w:t>
      </w:r>
      <w:r w:rsidR="006A1B2A">
        <w:rPr>
          <w:sz w:val="24"/>
          <w:szCs w:val="24"/>
        </w:rPr>
        <w:t xml:space="preserve"> </w:t>
      </w:r>
    </w:p>
    <w:p w14:paraId="7368FFDD" w14:textId="77777777" w:rsidR="006A1B2A" w:rsidRDefault="006A1B2A" w:rsidP="006A1B2A">
      <w:pPr>
        <w:spacing w:line="360" w:lineRule="auto"/>
        <w:jc w:val="both"/>
        <w:rPr>
          <w:rFonts w:ascii="Palatino Linotype" w:hAnsi="Palatino Linotype" w:cs="Arial"/>
          <w:sz w:val="24"/>
          <w:szCs w:val="24"/>
        </w:rPr>
      </w:pPr>
    </w:p>
    <w:p w14:paraId="1F771153" w14:textId="7CCA8905" w:rsidR="00CF270A" w:rsidRDefault="006A1B2A" w:rsidP="006A1B2A">
      <w:pPr>
        <w:spacing w:line="360" w:lineRule="auto"/>
        <w:jc w:val="both"/>
        <w:rPr>
          <w:rFonts w:ascii="Palatino Linotype" w:hAnsi="Palatino Linotype" w:cs="Arial"/>
          <w:sz w:val="24"/>
          <w:szCs w:val="24"/>
        </w:rPr>
      </w:pPr>
      <w:r w:rsidRPr="000F3EDB">
        <w:rPr>
          <w:rFonts w:ascii="Palatino Linotype" w:hAnsi="Palatino Linotype" w:cs="Arial"/>
          <w:sz w:val="24"/>
          <w:szCs w:val="24"/>
        </w:rPr>
        <w:t xml:space="preserve">Luego entonces, se arriba a la premisa de que el </w:t>
      </w:r>
      <w:r w:rsidR="00CF270A">
        <w:rPr>
          <w:rFonts w:ascii="Palatino Linotype" w:hAnsi="Palatino Linotype" w:cs="Arial"/>
          <w:sz w:val="24"/>
          <w:szCs w:val="24"/>
        </w:rPr>
        <w:t xml:space="preserve">secretario del Ayuntamiento resulta el servidor público habilitado competente para conocer </w:t>
      </w:r>
      <w:r w:rsidR="00FF60C8">
        <w:rPr>
          <w:rFonts w:ascii="Palatino Linotype" w:hAnsi="Palatino Linotype" w:cs="Arial"/>
          <w:sz w:val="24"/>
          <w:szCs w:val="24"/>
        </w:rPr>
        <w:t>respecto d</w:t>
      </w:r>
      <w:r w:rsidR="00CF270A">
        <w:rPr>
          <w:rFonts w:ascii="Palatino Linotype" w:hAnsi="Palatino Linotype" w:cs="Arial"/>
          <w:sz w:val="24"/>
          <w:szCs w:val="24"/>
        </w:rPr>
        <w:t xml:space="preserve">el régimen, uso y destino de bienes muebles e inmuebles municipales.  </w:t>
      </w:r>
    </w:p>
    <w:p w14:paraId="7A3FB99F" w14:textId="1E0677C2" w:rsidR="00CF270A" w:rsidRDefault="00CF270A" w:rsidP="006A1B2A">
      <w:pPr>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como se mencionó en el antecedente tercero,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en fecha </w:t>
      </w:r>
      <w:r>
        <w:rPr>
          <w:rFonts w:ascii="Palatino Linotype" w:hAnsi="Palatino Linotype" w:cs="Arial"/>
          <w:b/>
          <w:bCs/>
          <w:sz w:val="24"/>
          <w:szCs w:val="24"/>
        </w:rPr>
        <w:t xml:space="preserve">treinta de agosto de dos mil veintitrés, </w:t>
      </w:r>
      <w:r>
        <w:rPr>
          <w:rFonts w:ascii="Palatino Linotype" w:hAnsi="Palatino Linotype" w:cs="Arial"/>
          <w:sz w:val="24"/>
          <w:szCs w:val="24"/>
        </w:rPr>
        <w:t>rindió su respuesta a la solicitud de información, adjuntando para tal efecto lo siguiente:</w:t>
      </w:r>
    </w:p>
    <w:p w14:paraId="4FC69416" w14:textId="62E27144" w:rsidR="00CF270A" w:rsidRPr="00CF270A" w:rsidRDefault="00CF270A" w:rsidP="00CF270A">
      <w:pPr>
        <w:pStyle w:val="Prrafodelista"/>
        <w:numPr>
          <w:ilvl w:val="0"/>
          <w:numId w:val="38"/>
        </w:numPr>
        <w:spacing w:line="360" w:lineRule="auto"/>
        <w:jc w:val="both"/>
        <w:rPr>
          <w:rFonts w:ascii="Palatino Linotype" w:hAnsi="Palatino Linotype" w:cs="Arial"/>
          <w:b/>
          <w:bCs/>
        </w:rPr>
      </w:pPr>
      <w:r>
        <w:rPr>
          <w:rFonts w:ascii="Palatino Linotype" w:hAnsi="Palatino Linotype" w:cs="Arial"/>
          <w:b/>
          <w:bCs/>
        </w:rPr>
        <w:t xml:space="preserve">“20230814123656733-7.pdf”: </w:t>
      </w:r>
      <w:r>
        <w:rPr>
          <w:rFonts w:ascii="Palatino Linotype" w:hAnsi="Palatino Linotype" w:cs="Arial"/>
        </w:rPr>
        <w:t xml:space="preserve">Oficio número </w:t>
      </w:r>
      <w:r>
        <w:rPr>
          <w:rFonts w:ascii="Palatino Linotype" w:hAnsi="Palatino Linotype" w:cs="Arial"/>
          <w:b/>
          <w:bCs/>
        </w:rPr>
        <w:t xml:space="preserve">ZIN/SCA/0773/2023 </w:t>
      </w:r>
      <w:r>
        <w:rPr>
          <w:rFonts w:ascii="Palatino Linotype" w:hAnsi="Palatino Linotype" w:cs="Arial"/>
        </w:rPr>
        <w:t>signado por el secretario del Ayuntamiento y dirigido a la titular de la unidad de transparencia, de fecha nueve de agosto de dos mil veintitrés, resulta de nuestro interés el siguiente extracto:</w:t>
      </w:r>
    </w:p>
    <w:p w14:paraId="6D6F1F40" w14:textId="5B6C022B" w:rsidR="00CF270A" w:rsidRPr="00CF270A" w:rsidRDefault="00CF270A" w:rsidP="00CF270A">
      <w:pPr>
        <w:pStyle w:val="Prrafodelista"/>
        <w:spacing w:line="360" w:lineRule="auto"/>
        <w:ind w:left="720"/>
        <w:jc w:val="both"/>
        <w:rPr>
          <w:rFonts w:ascii="Palatino Linotype" w:hAnsi="Palatino Linotype" w:cs="Arial"/>
          <w:b/>
          <w:bCs/>
          <w:i/>
          <w:iCs/>
        </w:rPr>
      </w:pPr>
      <w:r>
        <w:rPr>
          <w:rFonts w:ascii="Palatino Linotype" w:hAnsi="Palatino Linotype" w:cs="Arial"/>
          <w:i/>
          <w:iCs/>
        </w:rPr>
        <w:t xml:space="preserve">“En el Ayuntamiento de Zinacantepec, tanto el Instituto Municipal de la Mujer como el Instituto Municipal de la Juventud, son organismos desconcentrados de la </w:t>
      </w:r>
      <w:r>
        <w:rPr>
          <w:rFonts w:ascii="Palatino Linotype" w:hAnsi="Palatino Linotype" w:cs="Arial"/>
          <w:i/>
          <w:iCs/>
        </w:rPr>
        <w:lastRenderedPageBreak/>
        <w:t xml:space="preserve">Administración Pública Municipal, razón por la cual, </w:t>
      </w:r>
      <w:r w:rsidRPr="00FF60C8">
        <w:rPr>
          <w:rFonts w:ascii="Palatino Linotype" w:hAnsi="Palatino Linotype" w:cs="Arial"/>
          <w:b/>
          <w:bCs/>
          <w:i/>
          <w:iCs/>
          <w:u w:val="single"/>
        </w:rPr>
        <w:t>no cuentan con patrimonio propio,</w:t>
      </w:r>
      <w:r>
        <w:rPr>
          <w:rFonts w:ascii="Palatino Linotype" w:hAnsi="Palatino Linotype" w:cs="Arial"/>
          <w:i/>
          <w:iCs/>
        </w:rPr>
        <w:t xml:space="preserve"> por lo que no ostentan la propiedad de ningún patrimonio” </w:t>
      </w:r>
      <w:r>
        <w:rPr>
          <w:rFonts w:ascii="Palatino Linotype" w:hAnsi="Palatino Linotype" w:cs="Arial"/>
          <w:b/>
          <w:bCs/>
          <w:i/>
          <w:iCs/>
        </w:rPr>
        <w:t>(Sic)</w:t>
      </w:r>
    </w:p>
    <w:p w14:paraId="2F6408D8" w14:textId="77777777" w:rsidR="00FF60C8" w:rsidRDefault="00FF60C8" w:rsidP="00CF270A">
      <w:pPr>
        <w:tabs>
          <w:tab w:val="left" w:pos="1284"/>
        </w:tabs>
        <w:spacing w:line="360" w:lineRule="auto"/>
        <w:jc w:val="both"/>
        <w:rPr>
          <w:rFonts w:ascii="Palatino Linotype" w:hAnsi="Palatino Linotype" w:cs="Arial"/>
          <w:color w:val="000000"/>
          <w:sz w:val="24"/>
        </w:rPr>
      </w:pPr>
    </w:p>
    <w:p w14:paraId="627AA573" w14:textId="00F76ED8" w:rsidR="00CF270A" w:rsidRDefault="00CF270A" w:rsidP="00CF270A">
      <w:pPr>
        <w:tabs>
          <w:tab w:val="left" w:pos="1284"/>
        </w:tabs>
        <w:spacing w:line="360" w:lineRule="auto"/>
        <w:jc w:val="both"/>
        <w:rPr>
          <w:rFonts w:ascii="Palatino Linotype" w:hAnsi="Palatino Linotype" w:cs="Arial"/>
          <w:sz w:val="24"/>
          <w:szCs w:val="24"/>
        </w:rPr>
      </w:pPr>
      <w:r>
        <w:rPr>
          <w:rFonts w:ascii="Palatino Linotype" w:hAnsi="Palatino Linotype" w:cs="Arial"/>
          <w:color w:val="000000"/>
          <w:sz w:val="24"/>
        </w:rPr>
        <w:t xml:space="preserve">Luego entonces, se destaca que el Pleno de este Organismo Garante, </w:t>
      </w:r>
      <w:r w:rsidRPr="00A507EB">
        <w:rPr>
          <w:rFonts w:ascii="Palatino Linotype" w:hAnsi="Palatino Linotype" w:cs="Arial"/>
          <w:sz w:val="24"/>
          <w:szCs w:val="24"/>
        </w:rPr>
        <w:t xml:space="preserve">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al inobservar el numeral 162 de la Ley de Transparencia local, porción normativa que dispone a la literalidad lo siguiente:</w:t>
      </w:r>
    </w:p>
    <w:p w14:paraId="162A0C50" w14:textId="77777777" w:rsidR="00CF270A" w:rsidRPr="00D14967" w:rsidRDefault="00CF270A" w:rsidP="00CF270A">
      <w:pPr>
        <w:pStyle w:val="Citas"/>
        <w:rPr>
          <w:b/>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5B69EE27" w14:textId="77777777" w:rsidR="00CF270A" w:rsidRDefault="00CF270A" w:rsidP="00E6369C">
      <w:pPr>
        <w:spacing w:line="360" w:lineRule="auto"/>
        <w:jc w:val="both"/>
        <w:rPr>
          <w:rFonts w:ascii="Palatino Linotype" w:hAnsi="Palatino Linotype" w:cs="Arial"/>
          <w:sz w:val="24"/>
          <w:szCs w:val="24"/>
        </w:rPr>
      </w:pPr>
    </w:p>
    <w:p w14:paraId="78FA443A" w14:textId="1622AB73" w:rsidR="00A95C19" w:rsidRDefault="00CF270A" w:rsidP="00E6369C">
      <w:pPr>
        <w:spacing w:line="360" w:lineRule="auto"/>
        <w:jc w:val="both"/>
        <w:rPr>
          <w:rFonts w:ascii="Palatino Linotype" w:hAnsi="Palatino Linotype"/>
          <w:iCs/>
          <w:sz w:val="24"/>
          <w:szCs w:val="24"/>
        </w:rPr>
      </w:pPr>
      <w:r>
        <w:rPr>
          <w:rFonts w:ascii="Palatino Linotype" w:hAnsi="Palatino Linotype"/>
          <w:sz w:val="24"/>
          <w:szCs w:val="24"/>
        </w:rPr>
        <w:t xml:space="preserve">Por otra parte, </w:t>
      </w:r>
      <w:r w:rsidR="00E6369C" w:rsidRPr="00C94BC0">
        <w:rPr>
          <w:rFonts w:ascii="Palatino Linotype" w:hAnsi="Palatino Linotype"/>
          <w:sz w:val="24"/>
          <w:szCs w:val="24"/>
        </w:rPr>
        <w:t xml:space="preserve">resulta óbice señalar que el derecho de acceso a la información excluye </w:t>
      </w:r>
      <w:r w:rsidR="00E6369C" w:rsidRPr="00C94BC0">
        <w:rPr>
          <w:rFonts w:ascii="Palatino Linotype" w:hAnsi="Palatino Linotype"/>
          <w:iCs/>
          <w:sz w:val="24"/>
          <w:szCs w:val="24"/>
        </w:rPr>
        <w:t>la obligación de generar, documentos, procesar información o incluso generar soportes documentales encauzados a atender la pretensión de los particulares</w:t>
      </w:r>
      <w:r w:rsidR="00A95C19">
        <w:rPr>
          <w:rFonts w:ascii="Palatino Linotype" w:hAnsi="Palatino Linotype"/>
          <w:iCs/>
          <w:sz w:val="24"/>
          <w:szCs w:val="24"/>
        </w:rPr>
        <w:t xml:space="preserve">, no </w:t>
      </w:r>
      <w:r w:rsidR="008349CC">
        <w:rPr>
          <w:rFonts w:ascii="Palatino Linotype" w:hAnsi="Palatino Linotype"/>
          <w:iCs/>
          <w:sz w:val="24"/>
          <w:szCs w:val="24"/>
        </w:rPr>
        <w:t>obstante,</w:t>
      </w:r>
      <w:r w:rsidR="00A95C19">
        <w:rPr>
          <w:rFonts w:ascii="Palatino Linotype" w:hAnsi="Palatino Linotype"/>
          <w:iCs/>
          <w:sz w:val="24"/>
          <w:szCs w:val="24"/>
        </w:rPr>
        <w:t xml:space="preserve"> la normatividad aplicable no contempla una restricción para elaborar documentos ad hoc por parte de los </w:t>
      </w:r>
      <w:r w:rsidR="00A95C19">
        <w:rPr>
          <w:rFonts w:ascii="Palatino Linotype" w:hAnsi="Palatino Linotype"/>
          <w:b/>
          <w:bCs/>
          <w:iCs/>
          <w:sz w:val="24"/>
          <w:szCs w:val="24"/>
        </w:rPr>
        <w:t xml:space="preserve">Sujetos Obligados. </w:t>
      </w:r>
    </w:p>
    <w:p w14:paraId="2E0FDD2B" w14:textId="7B1BEA59" w:rsidR="00E6369C" w:rsidRPr="00C94BC0" w:rsidRDefault="00E6369C" w:rsidP="00E6369C">
      <w:pPr>
        <w:spacing w:line="360" w:lineRule="auto"/>
        <w:jc w:val="both"/>
        <w:rPr>
          <w:sz w:val="24"/>
          <w:szCs w:val="24"/>
          <w:lang w:val="es-ES_tradnl"/>
        </w:rPr>
      </w:pPr>
      <w:r w:rsidRPr="00C94BC0">
        <w:rPr>
          <w:rFonts w:ascii="Palatino Linotype" w:hAnsi="Palatino Linotype"/>
          <w:iCs/>
          <w:sz w:val="24"/>
          <w:szCs w:val="24"/>
        </w:rPr>
        <w:t xml:space="preserve">Robustece lo anterior, el criterio </w:t>
      </w:r>
      <w:r w:rsidRPr="00C94BC0">
        <w:rPr>
          <w:rFonts w:ascii="Palatino Linotype" w:hAnsi="Palatino Linotype" w:cs="Arial"/>
          <w:color w:val="000000"/>
          <w:sz w:val="24"/>
          <w:szCs w:val="24"/>
          <w:lang w:val="es-ES_tradnl"/>
        </w:rPr>
        <w:t xml:space="preserve">03-17, emitido por </w:t>
      </w:r>
      <w:r w:rsidRPr="00C94BC0">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31A48AB8" w14:textId="77777777" w:rsidR="00E6369C" w:rsidRDefault="00E6369C" w:rsidP="00E6369C">
      <w:pPr>
        <w:pStyle w:val="Citas"/>
        <w:rPr>
          <w:b/>
          <w:spacing w:val="18"/>
        </w:rPr>
      </w:pPr>
      <w:r>
        <w:rPr>
          <w:b/>
        </w:rPr>
        <w:lastRenderedPageBreak/>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106A955B" w14:textId="77777777" w:rsidR="00E6369C" w:rsidRPr="00465B9A" w:rsidRDefault="00E6369C" w:rsidP="00E6369C">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63F075BC" w14:textId="77777777" w:rsidR="00E6369C" w:rsidRDefault="00E6369C" w:rsidP="00E6369C">
      <w:pPr>
        <w:pStyle w:val="Citas"/>
        <w:rPr>
          <w:b/>
        </w:rPr>
      </w:pPr>
      <w:r>
        <w:rPr>
          <w:b/>
        </w:rPr>
        <w:t>Resoluciones</w:t>
      </w:r>
      <w:r w:rsidRPr="00015541">
        <w:rPr>
          <w:b/>
        </w:rPr>
        <w:t>:</w:t>
      </w:r>
    </w:p>
    <w:p w14:paraId="1AE1978C" w14:textId="77777777" w:rsidR="00E6369C" w:rsidRDefault="00E6369C" w:rsidP="00E6369C">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5B7F9F10" w14:textId="77777777" w:rsidR="00E6369C" w:rsidRPr="008C50C4" w:rsidRDefault="00E6369C" w:rsidP="00E6369C">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4A061469" w14:textId="77777777" w:rsidR="00E6369C" w:rsidRPr="003A136D" w:rsidRDefault="00E6369C" w:rsidP="00E6369C">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74778A53" w14:textId="77777777" w:rsidR="00CF270A" w:rsidRDefault="00CF270A" w:rsidP="00093E92">
      <w:pPr>
        <w:spacing w:before="100" w:beforeAutospacing="1" w:after="100" w:afterAutospacing="1" w:line="360" w:lineRule="auto"/>
        <w:jc w:val="both"/>
        <w:rPr>
          <w:rFonts w:ascii="Palatino Linotype" w:hAnsi="Palatino Linotype" w:cs="Arial"/>
          <w:noProof/>
          <w:color w:val="000000"/>
          <w:sz w:val="24"/>
          <w:szCs w:val="24"/>
          <w:lang w:eastAsia="es-MX"/>
        </w:rPr>
      </w:pPr>
    </w:p>
    <w:p w14:paraId="1D9D72D8" w14:textId="5F493A37" w:rsidR="00093E92" w:rsidRPr="00093E92" w:rsidRDefault="00FF60C8" w:rsidP="00093E92">
      <w:pPr>
        <w:spacing w:before="100" w:beforeAutospacing="1" w:after="100" w:afterAutospacing="1" w:line="360" w:lineRule="auto"/>
        <w:jc w:val="both"/>
        <w:rPr>
          <w:rFonts w:ascii="Palatino Linotype" w:hAnsi="Palatino Linotype" w:cs="Arial"/>
          <w:iCs/>
          <w:sz w:val="24"/>
          <w:szCs w:val="24"/>
        </w:rPr>
      </w:pPr>
      <w:r>
        <w:rPr>
          <w:rFonts w:ascii="Palatino Linotype" w:hAnsi="Palatino Linotype" w:cs="Arial"/>
          <w:noProof/>
          <w:color w:val="000000"/>
          <w:sz w:val="24"/>
          <w:szCs w:val="24"/>
          <w:lang w:eastAsia="es-MX"/>
        </w:rPr>
        <w:lastRenderedPageBreak/>
        <w:t>De modo similar</w:t>
      </w:r>
      <w:r w:rsidR="00CF270A">
        <w:rPr>
          <w:rFonts w:ascii="Palatino Linotype" w:hAnsi="Palatino Linotype" w:cs="Arial"/>
          <w:noProof/>
          <w:color w:val="000000"/>
          <w:sz w:val="24"/>
          <w:szCs w:val="24"/>
          <w:lang w:eastAsia="es-MX"/>
        </w:rPr>
        <w:t>,</w:t>
      </w:r>
      <w:r w:rsidR="00CE3B78">
        <w:rPr>
          <w:rFonts w:ascii="Palatino Linotype" w:hAnsi="Palatino Linotype" w:cs="Arial"/>
          <w:noProof/>
          <w:color w:val="000000"/>
          <w:sz w:val="24"/>
          <w:szCs w:val="24"/>
          <w:lang w:eastAsia="es-MX"/>
        </w:rPr>
        <w:t xml:space="preserve"> </w:t>
      </w:r>
      <w:r w:rsidR="00093E92" w:rsidRPr="00093E92">
        <w:rPr>
          <w:rFonts w:ascii="Palatino Linotype" w:hAnsi="Palatino Linotype" w:cs="Arial"/>
          <w:sz w:val="24"/>
          <w:szCs w:val="24"/>
        </w:rPr>
        <w:t xml:space="preserve">se destaca que </w:t>
      </w:r>
      <w:r w:rsidR="00093E92" w:rsidRPr="00093E92">
        <w:rPr>
          <w:rFonts w:ascii="Palatino Linotype" w:hAnsi="Palatino Linotype"/>
          <w:iCs/>
          <w:sz w:val="24"/>
          <w:szCs w:val="24"/>
        </w:rPr>
        <w:t xml:space="preserve">este Instituto no está facultado para manifestarse sobre la veracidad de la información proporcionada, pues este Órgano Garante, conforme al artículo 36 de la Ley de la Materia, no se encuentra facultado para pronunciarse acerca de la autenticidad de dicho pronunciamiento.  </w:t>
      </w:r>
      <w:r w:rsidR="00093E92" w:rsidRPr="00093E92">
        <w:rPr>
          <w:rFonts w:ascii="Palatino Linotype" w:hAnsi="Palatino Linotype" w:cs="Arial"/>
          <w:iCs/>
          <w:sz w:val="24"/>
          <w:szCs w:val="24"/>
        </w:rPr>
        <w:t xml:space="preserve">Sirve de sustento a lo anterior, el criterio </w:t>
      </w:r>
      <w:r w:rsidR="00093E92" w:rsidRPr="00093E92">
        <w:rPr>
          <w:rFonts w:ascii="Palatino Linotype" w:hAnsi="Palatino Linotype" w:cs="Arial"/>
          <w:b/>
          <w:bCs/>
          <w:iCs/>
          <w:sz w:val="24"/>
          <w:szCs w:val="24"/>
        </w:rPr>
        <w:t>31/10</w:t>
      </w:r>
      <w:r w:rsidR="00093E92" w:rsidRPr="00093E92">
        <w:rPr>
          <w:rFonts w:ascii="Palatino Linotype" w:hAnsi="Palatino Linotype" w:cs="Arial"/>
          <w:iCs/>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3C4B79C6" w14:textId="77777777" w:rsidR="00093E92" w:rsidRPr="003A41AE" w:rsidRDefault="00093E92" w:rsidP="00093E92">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368B6856" w14:textId="77777777" w:rsidR="00093E92" w:rsidRDefault="00093E92" w:rsidP="00093E92">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1D2E890E" w14:textId="77777777" w:rsidR="00093E92" w:rsidRDefault="00093E92" w:rsidP="00093E92">
      <w:pPr>
        <w:pStyle w:val="Citas"/>
      </w:pPr>
      <w:r w:rsidRPr="00D02076">
        <w:t xml:space="preserve">Expedientes: </w:t>
      </w:r>
    </w:p>
    <w:p w14:paraId="1D4CA173" w14:textId="77777777" w:rsidR="00093E92" w:rsidRDefault="00093E92" w:rsidP="00093E92">
      <w:pPr>
        <w:pStyle w:val="Citas"/>
        <w:numPr>
          <w:ilvl w:val="0"/>
          <w:numId w:val="1"/>
        </w:numPr>
      </w:pPr>
      <w:r w:rsidRPr="00D02076">
        <w:lastRenderedPageBreak/>
        <w:t xml:space="preserve">2440/07 Comisión Federal de Electricidad - Alonso Lujambio Irazábal </w:t>
      </w:r>
    </w:p>
    <w:p w14:paraId="1FDA7792" w14:textId="77777777" w:rsidR="00093E92" w:rsidRDefault="00093E92" w:rsidP="00093E92">
      <w:pPr>
        <w:pStyle w:val="Citas"/>
        <w:numPr>
          <w:ilvl w:val="0"/>
          <w:numId w:val="1"/>
        </w:numPr>
      </w:pPr>
      <w:r w:rsidRPr="00D02076">
        <w:t xml:space="preserve">0113/09 Instituto de Seguridad y Servicios Sociales de los Trabajadores del Estado – Alonso Lujambio Irazábal </w:t>
      </w:r>
    </w:p>
    <w:p w14:paraId="1B29D7C2" w14:textId="77777777" w:rsidR="00093E92" w:rsidRDefault="00093E92" w:rsidP="00093E92">
      <w:pPr>
        <w:pStyle w:val="Citas"/>
        <w:numPr>
          <w:ilvl w:val="0"/>
          <w:numId w:val="1"/>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2F46FE67" w14:textId="77777777" w:rsidR="00093E92" w:rsidRDefault="00093E92" w:rsidP="00093E92">
      <w:pPr>
        <w:pStyle w:val="Citas"/>
        <w:numPr>
          <w:ilvl w:val="0"/>
          <w:numId w:val="1"/>
        </w:numPr>
      </w:pPr>
      <w:r w:rsidRPr="00D02076">
        <w:t xml:space="preserve">2395/09 Secretaría de Economía - María </w:t>
      </w:r>
      <w:proofErr w:type="spellStart"/>
      <w:r w:rsidRPr="00D02076">
        <w:t>Marván</w:t>
      </w:r>
      <w:proofErr w:type="spellEnd"/>
      <w:r w:rsidRPr="00D02076">
        <w:t xml:space="preserve"> Laborde </w:t>
      </w:r>
    </w:p>
    <w:p w14:paraId="519A6F7D" w14:textId="77777777" w:rsidR="00093E92" w:rsidRPr="00D02076" w:rsidRDefault="00093E92" w:rsidP="00093E92">
      <w:pPr>
        <w:pStyle w:val="Citas"/>
        <w:numPr>
          <w:ilvl w:val="0"/>
          <w:numId w:val="1"/>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3E2533CD" w14:textId="77777777" w:rsidR="00FB5EBB" w:rsidRDefault="00FB5EBB" w:rsidP="00093E92">
      <w:pPr>
        <w:spacing w:after="0" w:line="360" w:lineRule="auto"/>
        <w:jc w:val="both"/>
        <w:rPr>
          <w:rFonts w:ascii="Palatino Linotype" w:hAnsi="Palatino Linotype" w:cs="Arial"/>
          <w:noProof/>
          <w:color w:val="000000"/>
          <w:sz w:val="24"/>
          <w:szCs w:val="24"/>
          <w:lang w:eastAsia="es-MX"/>
        </w:rPr>
      </w:pPr>
    </w:p>
    <w:p w14:paraId="753A22C3" w14:textId="6B9B414E" w:rsidR="00E6369C" w:rsidRPr="00701E4C" w:rsidRDefault="00093E92" w:rsidP="00093E92">
      <w:pPr>
        <w:spacing w:after="0" w:line="360" w:lineRule="auto"/>
        <w:jc w:val="both"/>
        <w:rPr>
          <w:rFonts w:ascii="Palatino Linotype" w:hAnsi="Palatino Linotype" w:cs="Arial"/>
          <w:noProof/>
          <w:color w:val="000000"/>
          <w:sz w:val="24"/>
          <w:szCs w:val="24"/>
          <w:lang w:eastAsia="es-MX"/>
        </w:rPr>
      </w:pPr>
      <w:r w:rsidRPr="00701E4C">
        <w:rPr>
          <w:rFonts w:ascii="Palatino Linotype" w:hAnsi="Palatino Linotype" w:cs="Arial"/>
          <w:noProof/>
          <w:color w:val="000000"/>
          <w:sz w:val="24"/>
          <w:szCs w:val="24"/>
          <w:lang w:eastAsia="es-MX"/>
        </w:rPr>
        <w:t xml:space="preserve">Con base en lo anteriormente expuesto, se arriba a la premisa de que este Instituto no se encuentra facultado para dudar de la veracidad respecto de la información proporcionada por los </w:t>
      </w:r>
      <w:r w:rsidRPr="00701E4C">
        <w:rPr>
          <w:rFonts w:ascii="Palatino Linotype" w:hAnsi="Palatino Linotype" w:cs="Arial"/>
          <w:b/>
          <w:bCs/>
          <w:noProof/>
          <w:color w:val="000000"/>
          <w:sz w:val="24"/>
          <w:szCs w:val="24"/>
          <w:lang w:eastAsia="es-MX"/>
        </w:rPr>
        <w:t>Sujetos Obligados.</w:t>
      </w:r>
    </w:p>
    <w:p w14:paraId="11382325" w14:textId="77777777" w:rsidR="00E6369C" w:rsidRDefault="00E6369C" w:rsidP="00E6369C">
      <w:pPr>
        <w:spacing w:after="0" w:line="360" w:lineRule="auto"/>
        <w:jc w:val="both"/>
        <w:rPr>
          <w:rFonts w:ascii="Palatino Linotype" w:hAnsi="Palatino Linotype" w:cs="Arial"/>
          <w:noProof/>
          <w:color w:val="000000"/>
          <w:sz w:val="24"/>
          <w:lang w:eastAsia="es-MX"/>
        </w:rPr>
      </w:pPr>
    </w:p>
    <w:p w14:paraId="70DA7E39" w14:textId="7B0E0DD1" w:rsidR="00A52EAA" w:rsidRDefault="00093E92" w:rsidP="00E6369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Inconforme con la respuesta rendida por </w:t>
      </w:r>
      <w:r>
        <w:rPr>
          <w:rFonts w:ascii="Palatino Linotype" w:hAnsi="Palatino Linotype" w:cs="Arial"/>
          <w:b/>
          <w:bCs/>
          <w:noProof/>
          <w:color w:val="000000"/>
          <w:sz w:val="24"/>
          <w:lang w:eastAsia="es-MX"/>
        </w:rPr>
        <w:t xml:space="preserve">El Sujeto Obligado, El Recurrente </w:t>
      </w:r>
      <w:r>
        <w:rPr>
          <w:rFonts w:ascii="Palatino Linotype" w:hAnsi="Palatino Linotype" w:cs="Arial"/>
          <w:noProof/>
          <w:color w:val="000000"/>
          <w:sz w:val="24"/>
          <w:lang w:eastAsia="es-MX"/>
        </w:rPr>
        <w:t xml:space="preserve">interpuso recurso de revisión en fecha </w:t>
      </w:r>
      <w:r w:rsidR="00A52EAA">
        <w:rPr>
          <w:rFonts w:ascii="Palatino Linotype" w:hAnsi="Palatino Linotype" w:cs="Arial"/>
          <w:noProof/>
          <w:color w:val="000000"/>
          <w:sz w:val="24"/>
          <w:lang w:eastAsia="es-MX"/>
        </w:rPr>
        <w:t xml:space="preserve">doce de septiembre, admitiendose el catorce de septiembre, ambos de dos mil veintitrés. Señalando como acto impugnado y como razones o motivos de inconformidad: </w:t>
      </w:r>
    </w:p>
    <w:p w14:paraId="25D61D0C" w14:textId="77777777" w:rsidR="00A52EAA" w:rsidRDefault="00A52EAA" w:rsidP="00A52EAA">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2252CBA" w14:textId="77777777" w:rsidR="00A52EAA" w:rsidRPr="00D6297A" w:rsidRDefault="00A52EAA" w:rsidP="00A52EAA">
      <w:pPr>
        <w:pStyle w:val="Citas"/>
        <w:rPr>
          <w:b/>
          <w:bCs/>
        </w:rPr>
      </w:pPr>
      <w:r>
        <w:t xml:space="preserve">“LA RESPUESTA” </w:t>
      </w:r>
      <w:r>
        <w:rPr>
          <w:b/>
          <w:bCs/>
        </w:rPr>
        <w:t>(Sic)</w:t>
      </w:r>
    </w:p>
    <w:p w14:paraId="0731AD79" w14:textId="77777777" w:rsidR="00A52EAA" w:rsidRDefault="00A52EAA" w:rsidP="00A52EAA">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17D89C87" w14:textId="77777777" w:rsidR="00A52EAA" w:rsidRPr="00D6297A" w:rsidRDefault="00A52EAA" w:rsidP="00A52EAA">
      <w:pPr>
        <w:pStyle w:val="Citas"/>
        <w:rPr>
          <w:b/>
          <w:bCs/>
          <w:sz w:val="24"/>
          <w:szCs w:val="24"/>
        </w:rPr>
      </w:pPr>
      <w:r>
        <w:t xml:space="preserve">“NO JUSTIFICAN SU RESPUESTA” </w:t>
      </w:r>
      <w:r>
        <w:rPr>
          <w:b/>
          <w:bCs/>
        </w:rPr>
        <w:t>(Sic)</w:t>
      </w:r>
    </w:p>
    <w:p w14:paraId="37F90230" w14:textId="3376F9BF" w:rsidR="00A95C19" w:rsidRPr="00105956" w:rsidRDefault="00A95C19" w:rsidP="00A95C19">
      <w:pPr>
        <w:spacing w:after="240" w:line="360" w:lineRule="auto"/>
        <w:jc w:val="both"/>
        <w:rPr>
          <w:rFonts w:ascii="Palatino Linotype" w:hAnsi="Palatino Linotype" w:cs="Arial"/>
          <w:bCs/>
          <w:noProof/>
          <w:color w:val="000000"/>
          <w:sz w:val="24"/>
          <w:lang w:eastAsia="es-MX"/>
        </w:rPr>
      </w:pPr>
      <w:r w:rsidRPr="00105956">
        <w:rPr>
          <w:rFonts w:ascii="Palatino Linotype" w:hAnsi="Palatino Linotype"/>
          <w:sz w:val="24"/>
          <w:szCs w:val="24"/>
        </w:rPr>
        <w:lastRenderedPageBreak/>
        <w:t xml:space="preserve">Así las cosas, hasta aquí lo expuesto, resulta inconcuso que </w:t>
      </w:r>
      <w:r w:rsidRPr="00105956">
        <w:rPr>
          <w:rFonts w:ascii="Palatino Linotype" w:hAnsi="Palatino Linotype"/>
          <w:bCs/>
          <w:sz w:val="24"/>
          <w:szCs w:val="24"/>
        </w:rPr>
        <w:t>los motivos de inconformidad aducidos por</w:t>
      </w:r>
      <w:r w:rsidRPr="00105956">
        <w:rPr>
          <w:rFonts w:ascii="Palatino Linotype" w:hAnsi="Palatino Linotype" w:cs="Arial"/>
          <w:noProof/>
          <w:color w:val="000000"/>
          <w:sz w:val="24"/>
          <w:lang w:eastAsia="es-MX"/>
        </w:rPr>
        <w:t xml:space="preserve"> </w:t>
      </w:r>
      <w:r w:rsidRPr="00105956">
        <w:rPr>
          <w:rFonts w:ascii="Palatino Linotype" w:hAnsi="Palatino Linotype" w:cs="Arial"/>
          <w:b/>
          <w:noProof/>
          <w:color w:val="000000"/>
          <w:sz w:val="24"/>
          <w:lang w:eastAsia="es-MX"/>
        </w:rPr>
        <w:t>El Recurrente,</w:t>
      </w:r>
      <w:r>
        <w:rPr>
          <w:rFonts w:ascii="Palatino Linotype" w:hAnsi="Palatino Linotype" w:cs="Arial"/>
          <w:b/>
          <w:noProof/>
          <w:color w:val="000000"/>
          <w:sz w:val="24"/>
          <w:lang w:eastAsia="es-MX"/>
        </w:rPr>
        <w:t xml:space="preserve"> </w:t>
      </w:r>
      <w:r>
        <w:rPr>
          <w:rFonts w:ascii="Palatino Linotype" w:hAnsi="Palatino Linotype" w:cs="Arial"/>
          <w:bCs/>
          <w:noProof/>
          <w:color w:val="000000"/>
          <w:sz w:val="24"/>
          <w:lang w:eastAsia="es-MX"/>
        </w:rPr>
        <w:t xml:space="preserve">actualizan la hipotesis normativa prevista en el artículo 179, </w:t>
      </w:r>
      <w:r w:rsidR="00A52EAA">
        <w:rPr>
          <w:rFonts w:ascii="Palatino Linotype" w:hAnsi="Palatino Linotype" w:cs="Arial"/>
          <w:bCs/>
          <w:noProof/>
          <w:color w:val="000000"/>
          <w:sz w:val="24"/>
          <w:lang w:eastAsia="es-MX"/>
        </w:rPr>
        <w:t>fracciones I y XIII</w:t>
      </w:r>
      <w:r>
        <w:rPr>
          <w:rFonts w:ascii="Palatino Linotype" w:hAnsi="Palatino Linotype" w:cs="Arial"/>
          <w:bCs/>
          <w:noProof/>
          <w:color w:val="000000"/>
          <w:sz w:val="24"/>
          <w:lang w:eastAsia="es-MX"/>
        </w:rPr>
        <w:t xml:space="preserve"> de la Ley de Transparencia y Acceso a la Información Pública del Estado de México y Municipios, cuyo contenido literal es el siguiente: </w:t>
      </w:r>
    </w:p>
    <w:p w14:paraId="66D5B683" w14:textId="77777777" w:rsidR="00A95C19" w:rsidRDefault="00A95C19" w:rsidP="00A95C19">
      <w:pPr>
        <w:pStyle w:val="Citas"/>
      </w:pPr>
      <w:r>
        <w:t>“Artículo 179. El recurso de revisión es un medio de protección que la Ley otorga a los particulares, para hacer valer su derecho de acceso a la información pública, y procederá en contra de las siguientes causas:</w:t>
      </w:r>
    </w:p>
    <w:p w14:paraId="2FC7BFF1" w14:textId="77777777" w:rsidR="00A95C19" w:rsidRDefault="00A95C19" w:rsidP="00A95C19">
      <w:pPr>
        <w:pStyle w:val="Citas"/>
      </w:pPr>
      <w:r>
        <w:t>I. La negativa a la información solicitada;</w:t>
      </w:r>
    </w:p>
    <w:p w14:paraId="63D19928" w14:textId="77777777" w:rsidR="00A52EAA" w:rsidRDefault="00A95C19" w:rsidP="00A95C19">
      <w:pPr>
        <w:pStyle w:val="Citas"/>
        <w:rPr>
          <w:noProof/>
          <w:color w:val="000000"/>
          <w:sz w:val="24"/>
          <w:lang w:eastAsia="es-MX"/>
        </w:rPr>
      </w:pPr>
      <w:r>
        <w:rPr>
          <w:noProof/>
          <w:color w:val="000000"/>
          <w:sz w:val="24"/>
          <w:lang w:eastAsia="es-MX"/>
        </w:rPr>
        <w:t>(…)</w:t>
      </w:r>
    </w:p>
    <w:p w14:paraId="03A60EE0" w14:textId="4AFA060E" w:rsidR="00A52EAA" w:rsidRDefault="00A52EAA" w:rsidP="00A95C19">
      <w:pPr>
        <w:pStyle w:val="Citas"/>
        <w:rPr>
          <w:noProof/>
          <w:color w:val="000000"/>
          <w:sz w:val="24"/>
          <w:lang w:eastAsia="es-MX"/>
        </w:rPr>
      </w:pPr>
      <w:r>
        <w:t>XIII. La falta, deficiencia o insuficiencia de la fundamentación y/o motivación en la respuesta; y</w:t>
      </w:r>
    </w:p>
    <w:p w14:paraId="1D1B6029" w14:textId="5E4B9785" w:rsidR="00A95C19" w:rsidRPr="005A12AE" w:rsidRDefault="00A52EAA" w:rsidP="00A95C19">
      <w:pPr>
        <w:pStyle w:val="Citas"/>
        <w:rPr>
          <w:b/>
          <w:bCs/>
          <w:noProof/>
          <w:color w:val="000000"/>
          <w:sz w:val="24"/>
          <w:lang w:eastAsia="es-MX"/>
        </w:rPr>
      </w:pPr>
      <w:r>
        <w:rPr>
          <w:noProof/>
          <w:color w:val="000000"/>
          <w:sz w:val="24"/>
          <w:lang w:eastAsia="es-MX"/>
        </w:rPr>
        <w:t>(…)</w:t>
      </w:r>
      <w:r w:rsidR="00A95C19">
        <w:rPr>
          <w:noProof/>
          <w:color w:val="000000"/>
          <w:sz w:val="24"/>
          <w:lang w:eastAsia="es-MX"/>
        </w:rPr>
        <w:t xml:space="preserve">” </w:t>
      </w:r>
      <w:r w:rsidR="00A95C19">
        <w:rPr>
          <w:b/>
          <w:bCs/>
          <w:noProof/>
          <w:color w:val="000000"/>
          <w:sz w:val="24"/>
          <w:lang w:eastAsia="es-MX"/>
        </w:rPr>
        <w:t>(Sic)</w:t>
      </w:r>
    </w:p>
    <w:p w14:paraId="631EC7E2" w14:textId="77777777" w:rsidR="00A95C19" w:rsidRDefault="00A95C19" w:rsidP="00E6369C">
      <w:pPr>
        <w:spacing w:after="0" w:line="360" w:lineRule="auto"/>
        <w:jc w:val="both"/>
        <w:rPr>
          <w:rFonts w:ascii="Palatino Linotype" w:hAnsi="Palatino Linotype" w:cs="Arial"/>
          <w:noProof/>
          <w:color w:val="000000"/>
          <w:sz w:val="24"/>
          <w:lang w:eastAsia="es-MX"/>
        </w:rPr>
      </w:pPr>
    </w:p>
    <w:p w14:paraId="5D0B2F37" w14:textId="77777777" w:rsidR="00A52EAA" w:rsidRDefault="00A52EAA" w:rsidP="00A52EAA">
      <w:pPr>
        <w:pStyle w:val="Citas"/>
        <w:tabs>
          <w:tab w:val="left" w:pos="7470"/>
        </w:tabs>
        <w:ind w:left="0" w:right="72"/>
        <w:rPr>
          <w:i w:val="0"/>
          <w:sz w:val="24"/>
          <w:szCs w:val="24"/>
        </w:rPr>
      </w:pPr>
      <w:r w:rsidRPr="00A52EAA">
        <w:rPr>
          <w:i w:val="0"/>
          <w:iCs/>
          <w:color w:val="000000"/>
          <w:sz w:val="24"/>
          <w:lang w:val="es-ES_tradnl"/>
        </w:rPr>
        <w:t>Por lo consiguiente,</w:t>
      </w:r>
      <w:r>
        <w:rPr>
          <w:color w:val="000000"/>
          <w:sz w:val="24"/>
          <w:lang w:val="es-ES_tradnl"/>
        </w:rPr>
        <w:t xml:space="preserve"> </w:t>
      </w:r>
      <w:r>
        <w:rPr>
          <w:i w:val="0"/>
          <w:sz w:val="24"/>
          <w:szCs w:val="24"/>
        </w:rPr>
        <w:t>a efecto de conceptualizar debidamente los términos de fundamentar y motivar, lo haremos inicialmente a través del Diccionario de la Real Academia Española, el cual dispone a la literalidad lo siguiente:</w:t>
      </w:r>
    </w:p>
    <w:p w14:paraId="111F3C48" w14:textId="77777777" w:rsidR="00A52EAA" w:rsidRPr="0036329D" w:rsidRDefault="00A52EAA" w:rsidP="00A52EAA">
      <w:pPr>
        <w:pStyle w:val="Citas"/>
      </w:pPr>
      <w:r>
        <w:t>“</w:t>
      </w:r>
      <w:r w:rsidRPr="0036329D">
        <w:t>Fundamentación</w:t>
      </w:r>
    </w:p>
    <w:p w14:paraId="76584DD3" w14:textId="77777777" w:rsidR="00A52EAA" w:rsidRPr="0036329D" w:rsidRDefault="00A52EAA" w:rsidP="00A52EAA">
      <w:pPr>
        <w:pStyle w:val="Citas"/>
        <w:numPr>
          <w:ilvl w:val="0"/>
          <w:numId w:val="39"/>
        </w:numPr>
      </w:pPr>
      <w:r w:rsidRPr="0036329D">
        <w:t>Acción y efecto de fundamentar (establecer la razón de una cosa)</w:t>
      </w:r>
      <w:r>
        <w:t xml:space="preserve">” </w:t>
      </w:r>
      <w:r>
        <w:rPr>
          <w:b/>
          <w:bCs/>
        </w:rPr>
        <w:t>(Sic)</w:t>
      </w:r>
    </w:p>
    <w:p w14:paraId="34AE9648" w14:textId="77777777" w:rsidR="00A52EAA" w:rsidRPr="0036329D" w:rsidRDefault="00A52EAA" w:rsidP="00A52EAA">
      <w:pPr>
        <w:pStyle w:val="Citas"/>
      </w:pPr>
    </w:p>
    <w:p w14:paraId="28C82119" w14:textId="77777777" w:rsidR="00A52EAA" w:rsidRPr="0036329D" w:rsidRDefault="00A52EAA" w:rsidP="00A52EAA">
      <w:pPr>
        <w:pStyle w:val="Citas"/>
      </w:pPr>
      <w:r>
        <w:lastRenderedPageBreak/>
        <w:t>“</w:t>
      </w:r>
      <w:r w:rsidRPr="0036329D">
        <w:t>Motivación</w:t>
      </w:r>
    </w:p>
    <w:p w14:paraId="20AA86DD" w14:textId="77777777" w:rsidR="00A52EAA" w:rsidRPr="0036329D" w:rsidRDefault="00A52EAA" w:rsidP="00A52EAA">
      <w:pPr>
        <w:pStyle w:val="Citas"/>
        <w:numPr>
          <w:ilvl w:val="0"/>
          <w:numId w:val="40"/>
        </w:numPr>
        <w:ind w:left="1170" w:hanging="270"/>
      </w:pPr>
      <w:r w:rsidRPr="0036329D">
        <w:t>Acción y efecto de motivar</w:t>
      </w:r>
    </w:p>
    <w:p w14:paraId="49048A67" w14:textId="77777777" w:rsidR="00A52EAA" w:rsidRPr="0036329D" w:rsidRDefault="00A52EAA" w:rsidP="00A52EAA">
      <w:pPr>
        <w:pStyle w:val="Citas"/>
        <w:numPr>
          <w:ilvl w:val="0"/>
          <w:numId w:val="40"/>
        </w:numPr>
        <w:ind w:left="1170" w:hanging="270"/>
      </w:pPr>
      <w:r w:rsidRPr="0036329D">
        <w:t>Motivo (causa)</w:t>
      </w:r>
    </w:p>
    <w:p w14:paraId="4E3E5B26" w14:textId="77777777" w:rsidR="00A52EAA" w:rsidRPr="0036329D" w:rsidRDefault="00A52EAA" w:rsidP="00A52EAA">
      <w:pPr>
        <w:pStyle w:val="Citas"/>
        <w:numPr>
          <w:ilvl w:val="0"/>
          <w:numId w:val="40"/>
        </w:numPr>
        <w:ind w:left="1170" w:hanging="270"/>
      </w:pPr>
      <w:r w:rsidRPr="0036329D">
        <w:t>Conjunto de factores internos o externos que determinan en parte las acciones de una persona”</w:t>
      </w:r>
      <w:r>
        <w:t xml:space="preserve"> </w:t>
      </w:r>
      <w:r>
        <w:rPr>
          <w:b/>
          <w:bCs/>
        </w:rPr>
        <w:t>(Sic)</w:t>
      </w:r>
    </w:p>
    <w:p w14:paraId="493B9074" w14:textId="77777777" w:rsidR="00A52EAA" w:rsidRPr="00841F6A" w:rsidRDefault="00A52EAA" w:rsidP="00A52EAA">
      <w:pPr>
        <w:pStyle w:val="Citas"/>
        <w:tabs>
          <w:tab w:val="left" w:pos="7470"/>
        </w:tabs>
        <w:ind w:left="0" w:right="72"/>
        <w:rPr>
          <w:i w:val="0"/>
          <w:sz w:val="24"/>
          <w:szCs w:val="24"/>
        </w:rPr>
      </w:pPr>
    </w:p>
    <w:p w14:paraId="0D218F34" w14:textId="77777777" w:rsidR="00A52EAA" w:rsidRDefault="00A52EAA" w:rsidP="00A52EAA">
      <w:pPr>
        <w:pStyle w:val="Citas"/>
        <w:tabs>
          <w:tab w:val="left" w:pos="7470"/>
        </w:tabs>
        <w:ind w:left="0" w:right="72"/>
        <w:rPr>
          <w:i w:val="0"/>
          <w:sz w:val="24"/>
          <w:szCs w:val="24"/>
        </w:rPr>
      </w:pPr>
      <w:r>
        <w:rPr>
          <w:i w:val="0"/>
          <w:sz w:val="24"/>
          <w:szCs w:val="24"/>
        </w:rPr>
        <w:t xml:space="preserve">En efecto, se advierte que la fundamentación y motivación deben de estar presentes en todos los actos de autoridad, toda vez que el artículo 16 de nuestra Carta no señala excepciones de ningún tipo. </w:t>
      </w:r>
    </w:p>
    <w:p w14:paraId="5B7F884B" w14:textId="4994050B" w:rsidR="00A52EAA" w:rsidRDefault="00A52EAA" w:rsidP="00A52EAA">
      <w:pPr>
        <w:pStyle w:val="Citas"/>
        <w:ind w:left="0" w:right="72"/>
        <w:rPr>
          <w:i w:val="0"/>
          <w:sz w:val="24"/>
          <w:szCs w:val="24"/>
        </w:rPr>
      </w:pPr>
      <w:r>
        <w:rPr>
          <w:i w:val="0"/>
          <w:sz w:val="24"/>
          <w:szCs w:val="24"/>
        </w:rPr>
        <w:t xml:space="preserve">Bajo este contexto, resulta claro observar que la respuesta a una solicitud de información por parte del </w:t>
      </w:r>
      <w:r>
        <w:rPr>
          <w:b/>
          <w:bCs/>
          <w:i w:val="0"/>
          <w:sz w:val="24"/>
          <w:szCs w:val="24"/>
        </w:rPr>
        <w:t xml:space="preserve">Sujeto Obligado, </w:t>
      </w:r>
      <w:r>
        <w:rPr>
          <w:i w:val="0"/>
          <w:sz w:val="24"/>
          <w:szCs w:val="24"/>
        </w:rPr>
        <w:t xml:space="preserve">no únicamente se haga entrega o no de la misma, sino </w:t>
      </w:r>
      <w:r w:rsidR="00916358">
        <w:rPr>
          <w:i w:val="0"/>
          <w:sz w:val="24"/>
          <w:szCs w:val="24"/>
        </w:rPr>
        <w:t>que,</w:t>
      </w:r>
      <w:r>
        <w:rPr>
          <w:i w:val="0"/>
          <w:sz w:val="24"/>
          <w:szCs w:val="24"/>
        </w:rPr>
        <w:t xml:space="preserve"> por el contrario, la respuesta que otorgue deberá estar debidamente fundada con el marco legal que corresponda, en este caso partiendo de la constitución, ley general, ley local u otras disposiciones aplicables. </w:t>
      </w:r>
    </w:p>
    <w:p w14:paraId="469C8D3F" w14:textId="77777777" w:rsidR="00A52EAA" w:rsidRDefault="00A52EAA" w:rsidP="00A52EAA">
      <w:pPr>
        <w:pStyle w:val="Citas"/>
        <w:tabs>
          <w:tab w:val="left" w:pos="7470"/>
        </w:tabs>
        <w:ind w:left="0" w:right="72"/>
        <w:rPr>
          <w:i w:val="0"/>
          <w:sz w:val="24"/>
          <w:szCs w:val="24"/>
        </w:rPr>
      </w:pPr>
      <w:r>
        <w:rPr>
          <w:i w:val="0"/>
          <w:sz w:val="24"/>
          <w:szCs w:val="24"/>
        </w:rPr>
        <w:t xml:space="preserve">Aunado a lo anterior, </w:t>
      </w:r>
      <w:r>
        <w:rPr>
          <w:b/>
          <w:bCs/>
          <w:i w:val="0"/>
          <w:sz w:val="24"/>
          <w:szCs w:val="24"/>
        </w:rPr>
        <w:t xml:space="preserve">El Sujeto Obligado </w:t>
      </w:r>
      <w:r>
        <w:rPr>
          <w:i w:val="0"/>
          <w:sz w:val="24"/>
          <w:szCs w:val="24"/>
        </w:rPr>
        <w:t xml:space="preserve">debe señalar las razones por las cuales está atendiendo la solicitud de información en los términos que lo hace, es decir, explicar de manera clara y precisa la conexión existente entre el marco normativo indicado, y las razones y deducciones que de ello se derivan para entregar o no la información, ya sea de manera íntegra, parcial, o en su defecto la negativa de acceso a la misma. </w:t>
      </w:r>
    </w:p>
    <w:p w14:paraId="7EE38838" w14:textId="77777777" w:rsidR="00A52EAA" w:rsidRDefault="00A52EAA" w:rsidP="00A52EAA">
      <w:pPr>
        <w:pStyle w:val="Citas"/>
        <w:tabs>
          <w:tab w:val="left" w:pos="7470"/>
        </w:tabs>
        <w:ind w:left="0" w:right="72"/>
        <w:rPr>
          <w:i w:val="0"/>
          <w:sz w:val="24"/>
          <w:szCs w:val="24"/>
        </w:rPr>
      </w:pPr>
      <w:r>
        <w:rPr>
          <w:i w:val="0"/>
          <w:sz w:val="24"/>
          <w:szCs w:val="24"/>
        </w:rPr>
        <w:lastRenderedPageBreak/>
        <w:t>A mayor abundamiento, el Poder Judicial de la Federación ha referido que no existe fundamentación y motivación cuando el acto no se adecúa a la norma en que se apoya, de conformidad con el criterio que se expone a continuación:</w:t>
      </w:r>
    </w:p>
    <w:p w14:paraId="79EDC07B" w14:textId="77777777" w:rsidR="00A52EAA" w:rsidRPr="007B4EE4" w:rsidRDefault="00A52EAA" w:rsidP="00A52EAA">
      <w:pPr>
        <w:pStyle w:val="Citas"/>
      </w:pPr>
      <w:r>
        <w:t>“</w:t>
      </w:r>
      <w:r w:rsidRPr="007B4EE4">
        <w:t xml:space="preserve">Época: Novena Época </w:t>
      </w:r>
    </w:p>
    <w:p w14:paraId="30FE1D81" w14:textId="77777777" w:rsidR="00A52EAA" w:rsidRPr="007B4EE4" w:rsidRDefault="00A52EAA" w:rsidP="00A52EAA">
      <w:pPr>
        <w:pStyle w:val="Citas"/>
      </w:pPr>
      <w:r w:rsidRPr="007B4EE4">
        <w:t xml:space="preserve">Registro: 194798 </w:t>
      </w:r>
    </w:p>
    <w:p w14:paraId="1FBEAA38" w14:textId="77777777" w:rsidR="00A52EAA" w:rsidRPr="007B4EE4" w:rsidRDefault="00A52EAA" w:rsidP="00A52EAA">
      <w:pPr>
        <w:pStyle w:val="Citas"/>
      </w:pPr>
      <w:r w:rsidRPr="007B4EE4">
        <w:t>Instancia: Tribunales Colegiados de Circuito</w:t>
      </w:r>
    </w:p>
    <w:p w14:paraId="7094DD57" w14:textId="77777777" w:rsidR="00A52EAA" w:rsidRPr="007B4EE4" w:rsidRDefault="00A52EAA" w:rsidP="00A52EAA">
      <w:pPr>
        <w:pStyle w:val="Citas"/>
      </w:pPr>
      <w:r w:rsidRPr="007B4EE4">
        <w:t xml:space="preserve"> Tipo de Tesis: Jurisprudencia </w:t>
      </w:r>
    </w:p>
    <w:p w14:paraId="19FC38E3" w14:textId="77777777" w:rsidR="00A52EAA" w:rsidRPr="007B4EE4" w:rsidRDefault="00A52EAA" w:rsidP="00A52EAA">
      <w:pPr>
        <w:pStyle w:val="Citas"/>
      </w:pPr>
      <w:r w:rsidRPr="007B4EE4">
        <w:t xml:space="preserve">Fuente: Semanario Judicial de la Federación y su Gaceta </w:t>
      </w:r>
    </w:p>
    <w:p w14:paraId="7C1F0DB0" w14:textId="77777777" w:rsidR="00A52EAA" w:rsidRPr="007B4EE4" w:rsidRDefault="00A52EAA" w:rsidP="00A52EAA">
      <w:pPr>
        <w:pStyle w:val="Citas"/>
      </w:pPr>
      <w:r w:rsidRPr="007B4EE4">
        <w:t xml:space="preserve">Tomo IX, </w:t>
      </w:r>
      <w:proofErr w:type="gramStart"/>
      <w:r w:rsidRPr="007B4EE4">
        <w:t>Enero</w:t>
      </w:r>
      <w:proofErr w:type="gramEnd"/>
      <w:r w:rsidRPr="007B4EE4">
        <w:t xml:space="preserve"> de 1999 </w:t>
      </w:r>
    </w:p>
    <w:p w14:paraId="4E5D261A" w14:textId="77777777" w:rsidR="00A52EAA" w:rsidRPr="007B4EE4" w:rsidRDefault="00A52EAA" w:rsidP="00A52EAA">
      <w:pPr>
        <w:pStyle w:val="Citas"/>
      </w:pPr>
      <w:r w:rsidRPr="007B4EE4">
        <w:t xml:space="preserve">Materia(s): Común </w:t>
      </w:r>
    </w:p>
    <w:p w14:paraId="668B9560" w14:textId="77777777" w:rsidR="00A52EAA" w:rsidRPr="007B4EE4" w:rsidRDefault="00A52EAA" w:rsidP="00A52EAA">
      <w:pPr>
        <w:pStyle w:val="Citas"/>
      </w:pPr>
      <w:r w:rsidRPr="007B4EE4">
        <w:t xml:space="preserve">Tesis: VI.2o. J/123 </w:t>
      </w:r>
    </w:p>
    <w:p w14:paraId="13EE6D3A" w14:textId="77777777" w:rsidR="00A52EAA" w:rsidRPr="007B4EE4" w:rsidRDefault="00A52EAA" w:rsidP="00A52EAA">
      <w:pPr>
        <w:pStyle w:val="Citas"/>
      </w:pPr>
      <w:r w:rsidRPr="007B4EE4">
        <w:t>Página: 660</w:t>
      </w:r>
    </w:p>
    <w:p w14:paraId="3CE10C62" w14:textId="77777777" w:rsidR="00A52EAA" w:rsidRPr="007B4EE4" w:rsidRDefault="00A52EAA" w:rsidP="00A52EAA">
      <w:pPr>
        <w:pStyle w:val="Citas"/>
        <w:rPr>
          <w:b/>
          <w:bCs/>
        </w:rPr>
      </w:pPr>
      <w:r w:rsidRPr="007B4EE4">
        <w:rPr>
          <w:b/>
          <w:bCs/>
        </w:rPr>
        <w:t>FUNDAMENTACIÓN Y MOTIVACIÓN, NO EXISTE CUANDO EL ACTO NO SE ADECUA A LA NORMA EN QUE SE APOYA.</w:t>
      </w:r>
    </w:p>
    <w:p w14:paraId="20A4DBED" w14:textId="77777777" w:rsidR="00A52EAA" w:rsidRPr="007B4EE4" w:rsidRDefault="00A52EAA" w:rsidP="00A52EAA">
      <w:pPr>
        <w:pStyle w:val="Citas"/>
        <w:rPr>
          <w:b/>
          <w:bCs/>
        </w:rPr>
      </w:pPr>
      <w:r w:rsidRPr="007B4EE4">
        <w:t xml:space="preserve">Todo acto de autoridad debe estar suficientemente fundado y motivado, de manera </w:t>
      </w:r>
      <w:proofErr w:type="gramStart"/>
      <w:r w:rsidRPr="007B4EE4">
        <w:t>que</w:t>
      </w:r>
      <w:proofErr w:type="gramEnd"/>
      <w:r w:rsidRPr="007B4EE4">
        <w:t xml:space="preserve"> si los motivos o causas que tomó en cuenta el juzgador para dictar un proveído, no se adecuan a la hipótesis de la norma en que pretende apoyarse, no se cumple con el requisito de fundamentación y motivación que exige el artículo </w:t>
      </w:r>
      <w:hyperlink r:id="rId12" w:history="1">
        <w:r w:rsidRPr="007B4EE4">
          <w:rPr>
            <w:rStyle w:val="Hipervnculo"/>
            <w:color w:val="auto"/>
            <w:u w:val="none"/>
          </w:rPr>
          <w:t>16 constitucional</w:t>
        </w:r>
      </w:hyperlink>
      <w:r w:rsidRPr="007B4EE4">
        <w:t>, por tanto, el acto reclamado es violatorio de garantías.</w:t>
      </w:r>
      <w:r>
        <w:t xml:space="preserve">” </w:t>
      </w:r>
      <w:r>
        <w:rPr>
          <w:b/>
          <w:bCs/>
        </w:rPr>
        <w:t>(Sic)</w:t>
      </w:r>
    </w:p>
    <w:p w14:paraId="6F95E225" w14:textId="77777777" w:rsidR="00A52EAA" w:rsidRDefault="00A52EAA" w:rsidP="00A52EAA">
      <w:pPr>
        <w:autoSpaceDE w:val="0"/>
        <w:autoSpaceDN w:val="0"/>
        <w:adjustRightInd w:val="0"/>
        <w:spacing w:before="240" w:line="360" w:lineRule="auto"/>
        <w:jc w:val="both"/>
        <w:rPr>
          <w:rFonts w:ascii="Calibri" w:hAnsi="Calibri" w:cs="Calibri"/>
          <w:color w:val="212529"/>
          <w:sz w:val="26"/>
          <w:szCs w:val="26"/>
          <w:shd w:val="clear" w:color="auto" w:fill="FFFFFF"/>
        </w:rPr>
      </w:pPr>
    </w:p>
    <w:p w14:paraId="4FF2D0C1" w14:textId="36DA0B7E" w:rsidR="00A52EAA" w:rsidRPr="00A52EAA" w:rsidRDefault="00A52EAA" w:rsidP="00A52EAA">
      <w:pPr>
        <w:autoSpaceDE w:val="0"/>
        <w:autoSpaceDN w:val="0"/>
        <w:adjustRightInd w:val="0"/>
        <w:spacing w:before="240" w:line="360" w:lineRule="auto"/>
        <w:jc w:val="both"/>
        <w:rPr>
          <w:rFonts w:ascii="Palatino Linotype" w:hAnsi="Palatino Linotype" w:cs="Calibri"/>
          <w:color w:val="212529"/>
          <w:sz w:val="24"/>
          <w:szCs w:val="24"/>
          <w:shd w:val="clear" w:color="auto" w:fill="FFFFFF"/>
        </w:rPr>
      </w:pPr>
      <w:r w:rsidRPr="00AD5B5F">
        <w:rPr>
          <w:rFonts w:ascii="Palatino Linotype" w:hAnsi="Palatino Linotype" w:cs="Calibri"/>
          <w:color w:val="212529"/>
          <w:sz w:val="24"/>
          <w:szCs w:val="24"/>
          <w:shd w:val="clear" w:color="auto" w:fill="FFFFFF"/>
        </w:rPr>
        <w:lastRenderedPageBreak/>
        <w:t xml:space="preserve">En virtud de lo anterior, este Órgano Garante advierte con relación </w:t>
      </w:r>
      <w:r>
        <w:rPr>
          <w:rFonts w:ascii="Palatino Linotype" w:hAnsi="Palatino Linotype" w:cs="Calibri"/>
          <w:color w:val="212529"/>
          <w:sz w:val="24"/>
          <w:szCs w:val="24"/>
          <w:shd w:val="clear" w:color="auto" w:fill="FFFFFF"/>
        </w:rPr>
        <w:t xml:space="preserve">al oficio </w:t>
      </w:r>
      <w:r>
        <w:rPr>
          <w:rFonts w:ascii="Palatino Linotype" w:hAnsi="Palatino Linotype" w:cs="Calibri"/>
          <w:b/>
          <w:bCs/>
          <w:color w:val="212529"/>
          <w:sz w:val="24"/>
          <w:szCs w:val="24"/>
          <w:shd w:val="clear" w:color="auto" w:fill="FFFFFF"/>
        </w:rPr>
        <w:t xml:space="preserve">ZIN/SCA/0773/2023 </w:t>
      </w:r>
      <w:r>
        <w:rPr>
          <w:rFonts w:ascii="Palatino Linotype" w:hAnsi="Palatino Linotype" w:cs="Calibri"/>
          <w:color w:val="212529"/>
          <w:sz w:val="24"/>
          <w:szCs w:val="24"/>
          <w:shd w:val="clear" w:color="auto" w:fill="FFFFFF"/>
        </w:rPr>
        <w:t>que explica de manera clara</w:t>
      </w:r>
      <w:r w:rsidR="00FF60C8">
        <w:rPr>
          <w:rFonts w:ascii="Palatino Linotype" w:hAnsi="Palatino Linotype" w:cs="Calibri"/>
          <w:color w:val="212529"/>
          <w:sz w:val="24"/>
          <w:szCs w:val="24"/>
          <w:shd w:val="clear" w:color="auto" w:fill="FFFFFF"/>
        </w:rPr>
        <w:t xml:space="preserve"> y precisa</w:t>
      </w:r>
      <w:r>
        <w:rPr>
          <w:rFonts w:ascii="Palatino Linotype" w:hAnsi="Palatino Linotype" w:cs="Calibri"/>
          <w:color w:val="212529"/>
          <w:sz w:val="24"/>
          <w:szCs w:val="24"/>
          <w:shd w:val="clear" w:color="auto" w:fill="FFFFFF"/>
        </w:rPr>
        <w:t xml:space="preserve"> que los órganos desconcentrados municipales </w:t>
      </w:r>
      <w:r w:rsidR="00FF60C8">
        <w:rPr>
          <w:rFonts w:ascii="Palatino Linotype" w:hAnsi="Palatino Linotype" w:cs="Calibri"/>
          <w:color w:val="212529"/>
          <w:sz w:val="24"/>
          <w:szCs w:val="24"/>
          <w:shd w:val="clear" w:color="auto" w:fill="FFFFFF"/>
        </w:rPr>
        <w:t xml:space="preserve">referidos por el particular </w:t>
      </w:r>
      <w:r>
        <w:rPr>
          <w:rFonts w:ascii="Palatino Linotype" w:hAnsi="Palatino Linotype" w:cs="Calibri"/>
          <w:color w:val="212529"/>
          <w:sz w:val="24"/>
          <w:szCs w:val="24"/>
          <w:shd w:val="clear" w:color="auto" w:fill="FFFFFF"/>
        </w:rPr>
        <w:t xml:space="preserve">carecen de patrimonio propio, luego entonces, la información no obra en sus archivos. Asimismo, refleja fundamentación relativa a garantizar el derecho de acceso a la información pública.  </w:t>
      </w:r>
    </w:p>
    <w:p w14:paraId="5DCDCF53" w14:textId="05EC5279" w:rsidR="00A95C19" w:rsidRDefault="00A95C19" w:rsidP="00A95C19">
      <w:pPr>
        <w:spacing w:after="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referido en el antecedente quinto, </w:t>
      </w:r>
      <w:r>
        <w:rPr>
          <w:rFonts w:ascii="Palatino Linotype" w:hAnsi="Palatino Linotype" w:cs="Arial"/>
          <w:b/>
          <w:bCs/>
          <w:color w:val="000000"/>
          <w:sz w:val="24"/>
          <w:lang w:val="es-ES_tradnl"/>
        </w:rPr>
        <w:t xml:space="preserve">El Sujeto Obligado </w:t>
      </w:r>
      <w:r>
        <w:rPr>
          <w:rFonts w:ascii="Palatino Linotype" w:hAnsi="Palatino Linotype" w:cs="Arial"/>
          <w:color w:val="000000"/>
          <w:sz w:val="24"/>
          <w:lang w:val="es-ES_tradnl"/>
        </w:rPr>
        <w:t>fue omiso en rendir sus informes justificados.</w:t>
      </w:r>
      <w:r w:rsidRPr="00A95C19">
        <w:rPr>
          <w:rFonts w:ascii="Palatino Linotype" w:hAnsi="Palatino Linotype" w:cs="Arial"/>
          <w:color w:val="000000"/>
          <w:sz w:val="24"/>
          <w:lang w:val="es-ES_tradnl"/>
        </w:rPr>
        <w:t xml:space="preserve"> </w:t>
      </w:r>
      <w:r>
        <w:rPr>
          <w:rFonts w:ascii="Palatino Linotype" w:hAnsi="Palatino Linotype" w:cs="Arial"/>
          <w:color w:val="000000"/>
          <w:sz w:val="24"/>
          <w:lang w:val="es-ES_tradnl"/>
        </w:rPr>
        <w:t>De ahí que se infiere a las siguientes conclusiones:</w:t>
      </w:r>
    </w:p>
    <w:p w14:paraId="01F9E99F" w14:textId="77777777" w:rsidR="00330C50" w:rsidRDefault="00330C50" w:rsidP="00330C50">
      <w:pPr>
        <w:pStyle w:val="Prrafodelista"/>
        <w:numPr>
          <w:ilvl w:val="0"/>
          <w:numId w:val="3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El derecho de acceso a la información pública se traduce en la prerrogativa constitucionalmente reconocida que le permite a la ciudadanía, acceder a los soportes documentales generados por los </w:t>
      </w:r>
      <w:r>
        <w:rPr>
          <w:rFonts w:ascii="Palatino Linotype" w:hAnsi="Palatino Linotype" w:cs="Arial"/>
          <w:b/>
          <w:bCs/>
          <w:color w:val="000000"/>
          <w:lang w:val="es-ES_tradnl"/>
        </w:rPr>
        <w:t xml:space="preserve">Sujetos Obligados, </w:t>
      </w:r>
      <w:r>
        <w:rPr>
          <w:rFonts w:ascii="Palatino Linotype" w:hAnsi="Palatino Linotype" w:cs="Arial"/>
          <w:color w:val="000000"/>
          <w:lang w:val="es-ES_tradnl"/>
        </w:rPr>
        <w:t xml:space="preserve">observando las restricciones previstas a la normatividad aplicable. </w:t>
      </w:r>
    </w:p>
    <w:p w14:paraId="26D6932F" w14:textId="00F3C4F9" w:rsidR="00A52EAA" w:rsidRDefault="00330C50" w:rsidP="00024156">
      <w:pPr>
        <w:pStyle w:val="Prrafodelista"/>
        <w:numPr>
          <w:ilvl w:val="0"/>
          <w:numId w:val="32"/>
        </w:numPr>
        <w:spacing w:line="360" w:lineRule="auto"/>
        <w:jc w:val="both"/>
        <w:rPr>
          <w:rFonts w:ascii="Palatino Linotype" w:hAnsi="Palatino Linotype" w:cs="Arial"/>
          <w:color w:val="000000"/>
          <w:lang w:val="es-ES_tradnl"/>
        </w:rPr>
      </w:pPr>
      <w:r w:rsidRPr="00330C50">
        <w:rPr>
          <w:rFonts w:ascii="Palatino Linotype" w:hAnsi="Palatino Linotype" w:cs="Arial"/>
          <w:color w:val="000000"/>
          <w:lang w:val="es-ES_tradnl"/>
        </w:rPr>
        <w:t xml:space="preserve">Que en el caso en particular se observó de manera diligente </w:t>
      </w:r>
      <w:r w:rsidR="00A52EAA">
        <w:rPr>
          <w:rFonts w:ascii="Palatino Linotype" w:hAnsi="Palatino Linotype" w:cs="Arial"/>
          <w:color w:val="000000"/>
          <w:lang w:val="es-ES_tradnl"/>
        </w:rPr>
        <w:t xml:space="preserve">el numeral 161 de la Ley de Transparencia local, porción normativa que dispone la obligación de los </w:t>
      </w:r>
      <w:r w:rsidR="00A52EAA" w:rsidRPr="00330C50">
        <w:rPr>
          <w:rFonts w:ascii="Palatino Linotype" w:hAnsi="Palatino Linotype" w:cs="Arial"/>
          <w:b/>
          <w:bCs/>
          <w:color w:val="000000"/>
          <w:lang w:val="es-ES_tradnl"/>
        </w:rPr>
        <w:t xml:space="preserve">Sujetos Obligados </w:t>
      </w:r>
      <w:r w:rsidR="00A52EAA" w:rsidRPr="00330C50">
        <w:rPr>
          <w:rFonts w:ascii="Palatino Linotype" w:hAnsi="Palatino Linotype" w:cs="Arial"/>
          <w:color w:val="000000"/>
          <w:lang w:val="es-ES_tradnl"/>
        </w:rPr>
        <w:t>de turnar las solicitudes de información a todas las áreas estimadas competentes.</w:t>
      </w:r>
    </w:p>
    <w:p w14:paraId="32C46862" w14:textId="77777777" w:rsidR="00397A02" w:rsidRPr="00397A02" w:rsidRDefault="00330C50" w:rsidP="0048618B">
      <w:pPr>
        <w:pStyle w:val="Prrafodelista"/>
        <w:numPr>
          <w:ilvl w:val="0"/>
          <w:numId w:val="32"/>
        </w:numPr>
        <w:spacing w:line="360" w:lineRule="auto"/>
        <w:jc w:val="both"/>
        <w:rPr>
          <w:rFonts w:ascii="Palatino Linotype" w:hAnsi="Palatino Linotype" w:cs="Arial"/>
          <w:color w:val="000000"/>
          <w:lang w:val="es-ES_tradnl"/>
        </w:rPr>
      </w:pPr>
      <w:r w:rsidRPr="00D61241">
        <w:rPr>
          <w:rFonts w:ascii="Palatino Linotype" w:hAnsi="Palatino Linotype" w:cs="Arial"/>
          <w:color w:val="000000"/>
          <w:lang w:val="es-ES_tradnl"/>
        </w:rPr>
        <w:t xml:space="preserve">Que </w:t>
      </w:r>
      <w:r w:rsidR="00A52EAA">
        <w:rPr>
          <w:rFonts w:ascii="Palatino Linotype" w:hAnsi="Palatino Linotype"/>
        </w:rPr>
        <w:t xml:space="preserve">la naturaleza de los órganos desconcentrados municipales estriba en la ausencia de patrimonio propio, </w:t>
      </w:r>
      <w:r w:rsidR="00191C33">
        <w:rPr>
          <w:rFonts w:ascii="Palatino Linotype" w:hAnsi="Palatino Linotype"/>
        </w:rPr>
        <w:t xml:space="preserve">postura que fue ratificada por el </w:t>
      </w:r>
      <w:r w:rsidR="00397A02">
        <w:rPr>
          <w:rFonts w:ascii="Palatino Linotype" w:hAnsi="Palatino Linotype"/>
        </w:rPr>
        <w:t>s</w:t>
      </w:r>
      <w:r w:rsidR="00191C33">
        <w:rPr>
          <w:rFonts w:ascii="Palatino Linotype" w:hAnsi="Palatino Linotype"/>
        </w:rPr>
        <w:t xml:space="preserve">ecretario del Ayuntamiento como el servidor público habilitado que preside el comité de bienes e incluso genera, posee y administra el inventario de bienes muebles e inmuebles. </w:t>
      </w:r>
    </w:p>
    <w:p w14:paraId="321A76E8" w14:textId="474CDBAA" w:rsidR="00330C50" w:rsidRPr="00D61241" w:rsidRDefault="00397A02" w:rsidP="0048618B">
      <w:pPr>
        <w:pStyle w:val="Prrafodelista"/>
        <w:numPr>
          <w:ilvl w:val="0"/>
          <w:numId w:val="32"/>
        </w:numPr>
        <w:spacing w:line="360" w:lineRule="auto"/>
        <w:jc w:val="both"/>
        <w:rPr>
          <w:rFonts w:ascii="Palatino Linotype" w:hAnsi="Palatino Linotype" w:cs="Arial"/>
          <w:color w:val="000000"/>
          <w:lang w:val="es-ES_tradnl"/>
        </w:rPr>
      </w:pPr>
      <w:proofErr w:type="gramStart"/>
      <w:r>
        <w:rPr>
          <w:rFonts w:ascii="Palatino Linotype" w:hAnsi="Palatino Linotype"/>
        </w:rPr>
        <w:lastRenderedPageBreak/>
        <w:t>Que</w:t>
      </w:r>
      <w:proofErr w:type="gramEnd"/>
      <w:r w:rsidR="00191C33">
        <w:rPr>
          <w:rFonts w:ascii="Palatino Linotype" w:hAnsi="Palatino Linotype"/>
        </w:rPr>
        <w:t xml:space="preserve"> en términos de la corriente legal y doctrinal aplicable, los hechos negativos no son susceptibles de demostración</w:t>
      </w:r>
      <w:r>
        <w:rPr>
          <w:rFonts w:ascii="Palatino Linotype" w:hAnsi="Palatino Linotype"/>
        </w:rPr>
        <w:t xml:space="preserve">, resaltando que dicho pronunciamiento fue emitido por servidor público habilitado competente. </w:t>
      </w:r>
    </w:p>
    <w:p w14:paraId="68A0DACD" w14:textId="4AA57B09" w:rsidR="00A95C19" w:rsidRPr="00330C50" w:rsidRDefault="00330C50" w:rsidP="00330C50">
      <w:pPr>
        <w:pStyle w:val="Prrafodelista"/>
        <w:numPr>
          <w:ilvl w:val="0"/>
          <w:numId w:val="32"/>
        </w:numPr>
        <w:spacing w:line="360" w:lineRule="auto"/>
        <w:jc w:val="both"/>
        <w:rPr>
          <w:rFonts w:ascii="Palatino Linotype" w:hAnsi="Palatino Linotype" w:cs="Arial"/>
          <w:color w:val="000000"/>
          <w:lang w:val="es-ES_tradnl"/>
        </w:rPr>
      </w:pPr>
      <w:r w:rsidRPr="00686E9C">
        <w:rPr>
          <w:rFonts w:ascii="Palatino Linotype" w:hAnsi="Palatino Linotype" w:cs="Arial"/>
          <w:color w:val="000000"/>
          <w:lang w:val="es-ES_tradnl"/>
        </w:rPr>
        <w:t xml:space="preserve"> </w:t>
      </w:r>
      <w:r>
        <w:rPr>
          <w:rFonts w:ascii="Palatino Linotype" w:hAnsi="Palatino Linotype" w:cs="Arial"/>
          <w:color w:val="000000"/>
          <w:lang w:val="es-ES_tradnl"/>
        </w:rPr>
        <w:t xml:space="preserve">Finalmente, resulta óbice señalar que </w:t>
      </w:r>
      <w:r>
        <w:rPr>
          <w:rFonts w:ascii="Palatino Linotype" w:hAnsi="Palatino Linotype" w:cs="Arial"/>
          <w:b/>
          <w:bCs/>
          <w:color w:val="000000"/>
          <w:lang w:val="es-ES_tradnl"/>
        </w:rPr>
        <w:t xml:space="preserve">El Sujeto Obligado </w:t>
      </w:r>
      <w:r>
        <w:rPr>
          <w:rFonts w:ascii="Palatino Linotype" w:hAnsi="Palatino Linotype" w:cs="Arial"/>
          <w:color w:val="000000"/>
          <w:lang w:val="es-ES_tradnl"/>
        </w:rPr>
        <w:t xml:space="preserve">no rindió su informe justificado, no obstante, el derecho de acceso a la información se tuvo por garantizado mediante la respuesta primigenia. </w:t>
      </w:r>
    </w:p>
    <w:p w14:paraId="1ADC12B8" w14:textId="77777777" w:rsidR="00A95C19" w:rsidRDefault="00A95C19" w:rsidP="00E6369C">
      <w:pPr>
        <w:spacing w:after="0" w:line="360" w:lineRule="auto"/>
        <w:jc w:val="both"/>
        <w:rPr>
          <w:rFonts w:ascii="Palatino Linotype" w:hAnsi="Palatino Linotype" w:cs="Arial"/>
          <w:noProof/>
          <w:color w:val="000000"/>
          <w:sz w:val="24"/>
          <w:lang w:eastAsia="es-MX"/>
        </w:rPr>
      </w:pPr>
    </w:p>
    <w:p w14:paraId="77EB5803" w14:textId="77777777" w:rsidR="00E6173D" w:rsidRDefault="00E6173D" w:rsidP="00154C5F">
      <w:pPr>
        <w:spacing w:line="360" w:lineRule="auto"/>
        <w:contextualSpacing/>
        <w:jc w:val="both"/>
        <w:rPr>
          <w:rFonts w:ascii="Palatino Linotype" w:hAnsi="Palatino Linotype" w:cs="Arial"/>
          <w:noProof/>
          <w:color w:val="000000"/>
          <w:sz w:val="24"/>
          <w:lang w:eastAsia="es-MX"/>
        </w:rPr>
      </w:pPr>
    </w:p>
    <w:p w14:paraId="29F747AC" w14:textId="14ED8A9D" w:rsidR="00154C5F" w:rsidRPr="000F7BB3" w:rsidRDefault="00154C5F" w:rsidP="00154C5F">
      <w:pPr>
        <w:spacing w:line="360" w:lineRule="auto"/>
        <w:contextualSpacing/>
        <w:jc w:val="both"/>
        <w:rPr>
          <w:rFonts w:ascii="Palatino Linotype" w:hAnsi="Palatino Linotype" w:cs="Arial"/>
          <w:sz w:val="24"/>
          <w:szCs w:val="24"/>
        </w:rPr>
      </w:pPr>
      <w:r w:rsidRPr="000F7BB3">
        <w:rPr>
          <w:rFonts w:ascii="Palatino Linotype" w:hAnsi="Palatino Linotype" w:cs="Arial"/>
          <w:noProof/>
          <w:color w:val="000000"/>
          <w:sz w:val="24"/>
          <w:lang w:eastAsia="es-MX"/>
        </w:rPr>
        <w:t xml:space="preserve">En virtud de lo anterior, este Órgano Garante arriba a la conclusión de que la respuesta primigenia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se encuentra dotada de los principios de </w:t>
      </w:r>
      <w:r w:rsidRPr="000F7BB3">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0E8569FA" w14:textId="77777777" w:rsidR="00154C5F" w:rsidRPr="000F7BB3" w:rsidRDefault="00154C5F" w:rsidP="00154C5F">
      <w:pPr>
        <w:spacing w:before="240" w:line="360" w:lineRule="auto"/>
        <w:ind w:left="851" w:right="851"/>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2F3F6327" w14:textId="77777777" w:rsidR="00154C5F" w:rsidRPr="000F7BB3" w:rsidRDefault="00154C5F" w:rsidP="00154C5F">
      <w:pPr>
        <w:spacing w:before="240" w:line="360" w:lineRule="auto"/>
        <w:ind w:left="851" w:right="851"/>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w:t>
      </w:r>
      <w:r w:rsidRPr="000F7BB3">
        <w:rPr>
          <w:rFonts w:ascii="Palatino Linotype" w:hAnsi="Palatino Linotype" w:cs="Arial"/>
          <w:i/>
        </w:rPr>
        <w:lastRenderedPageBreak/>
        <w:t>obligados cumplirán con los principios de congruencia y exhaustividad, cuando las respuestas que emitan guarden una relación lógica con lo solicitado y atiendan de manera puntual y expresa, cada uno de los contenidos de información.</w:t>
      </w:r>
    </w:p>
    <w:p w14:paraId="2DCBA603" w14:textId="77777777" w:rsidR="00154C5F" w:rsidRPr="000F7BB3" w:rsidRDefault="00154C5F" w:rsidP="00154C5F">
      <w:pPr>
        <w:pStyle w:val="Prrafodelista"/>
        <w:numPr>
          <w:ilvl w:val="0"/>
          <w:numId w:val="18"/>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78AC8891" w14:textId="77777777" w:rsidR="00154C5F" w:rsidRPr="000F7BB3" w:rsidRDefault="00154C5F" w:rsidP="00154C5F">
      <w:pPr>
        <w:pStyle w:val="Prrafodelista"/>
        <w:numPr>
          <w:ilvl w:val="0"/>
          <w:numId w:val="18"/>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0E002DD2" w14:textId="77777777" w:rsidR="00154C5F" w:rsidRPr="000F7BB3" w:rsidRDefault="00154C5F" w:rsidP="00154C5F">
      <w:pPr>
        <w:pStyle w:val="Prrafodelista"/>
        <w:numPr>
          <w:ilvl w:val="0"/>
          <w:numId w:val="18"/>
        </w:numPr>
        <w:spacing w:before="240" w:line="360" w:lineRule="auto"/>
        <w:ind w:right="851"/>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Pr>
          <w:rFonts w:ascii="Palatino Linotype" w:hAnsi="Palatino Linotype"/>
          <w:b/>
          <w:i/>
          <w:lang w:val="es-ES_tradnl"/>
        </w:rPr>
        <w:t>(Sic)</w:t>
      </w:r>
    </w:p>
    <w:p w14:paraId="37EA909B" w14:textId="77777777" w:rsidR="00154C5F" w:rsidRPr="000F7BB3" w:rsidRDefault="00154C5F" w:rsidP="00154C5F">
      <w:pPr>
        <w:spacing w:after="0" w:line="360" w:lineRule="auto"/>
        <w:jc w:val="both"/>
        <w:rPr>
          <w:rFonts w:ascii="Palatino Linotype" w:hAnsi="Palatino Linotype" w:cs="Arial"/>
          <w:noProof/>
          <w:color w:val="000000"/>
          <w:sz w:val="24"/>
          <w:lang w:eastAsia="es-MX"/>
        </w:rPr>
      </w:pPr>
    </w:p>
    <w:p w14:paraId="52ACD97D" w14:textId="77777777" w:rsidR="00154C5F" w:rsidRPr="000F7BB3" w:rsidRDefault="00154C5F" w:rsidP="00154C5F">
      <w:pPr>
        <w:spacing w:after="0" w:line="360" w:lineRule="auto"/>
        <w:jc w:val="both"/>
        <w:rPr>
          <w:rFonts w:ascii="Palatino Linotype" w:hAnsi="Palatino Linotype" w:cs="Arial"/>
          <w:b/>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arriba a la conclusión de que la respuesta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colmó el derecho de acceso a la información ejercido por el particular. </w:t>
      </w:r>
    </w:p>
    <w:p w14:paraId="467458BD" w14:textId="77777777" w:rsidR="00397A02" w:rsidRDefault="00397A02" w:rsidP="00154C5F">
      <w:pPr>
        <w:spacing w:after="0" w:line="360" w:lineRule="auto"/>
        <w:jc w:val="both"/>
        <w:rPr>
          <w:rFonts w:ascii="Palatino Linotype" w:hAnsi="Palatino Linotype"/>
          <w:sz w:val="24"/>
          <w:szCs w:val="24"/>
        </w:rPr>
      </w:pPr>
    </w:p>
    <w:p w14:paraId="13FA7B05" w14:textId="6A93E2E5" w:rsidR="00154C5F" w:rsidRDefault="00154C5F" w:rsidP="00154C5F">
      <w:pPr>
        <w:spacing w:after="0" w:line="360" w:lineRule="auto"/>
        <w:jc w:val="both"/>
        <w:rPr>
          <w:rFonts w:ascii="Palatino Linotype" w:hAnsi="Palatino Linotype"/>
          <w:bCs/>
          <w:sz w:val="24"/>
          <w:szCs w:val="24"/>
        </w:rPr>
      </w:pPr>
      <w:r w:rsidRPr="000F7BB3">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El Recurrente</w:t>
      </w:r>
      <w:r w:rsidRPr="000F7BB3">
        <w:rPr>
          <w:rFonts w:ascii="Palatino Linotype" w:hAnsi="Palatino Linotype"/>
          <w:b/>
          <w:sz w:val="24"/>
          <w:szCs w:val="24"/>
        </w:rPr>
        <w:t xml:space="preserve"> </w:t>
      </w:r>
      <w:r w:rsidRPr="000F7BB3">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0F7BB3">
        <w:rPr>
          <w:rFonts w:ascii="Palatino Linotype" w:hAnsi="Palatino Linotype"/>
          <w:b/>
          <w:sz w:val="24"/>
          <w:szCs w:val="24"/>
        </w:rPr>
        <w:t>CONFIRMA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número </w:t>
      </w:r>
      <w:r w:rsidR="00191C33">
        <w:rPr>
          <w:rFonts w:ascii="Palatino Linotype" w:hAnsi="Palatino Linotype"/>
          <w:b/>
          <w:sz w:val="24"/>
          <w:szCs w:val="24"/>
        </w:rPr>
        <w:t>00843</w:t>
      </w:r>
      <w:r w:rsidR="00330C50">
        <w:rPr>
          <w:rFonts w:ascii="Palatino Linotype" w:hAnsi="Palatino Linotype"/>
          <w:b/>
          <w:sz w:val="24"/>
          <w:szCs w:val="24"/>
        </w:rPr>
        <w:t>/ZINACANT/IP/2023</w:t>
      </w:r>
      <w:r>
        <w:rPr>
          <w:rFonts w:ascii="Palatino Linotype" w:hAnsi="Palatino Linotype"/>
          <w:b/>
          <w:sz w:val="24"/>
          <w:szCs w:val="24"/>
        </w:rPr>
        <w:t xml:space="preserve"> </w:t>
      </w:r>
      <w:r>
        <w:rPr>
          <w:rFonts w:ascii="Palatino Linotype" w:hAnsi="Palatino Linotype"/>
          <w:bCs/>
          <w:sz w:val="24"/>
          <w:szCs w:val="24"/>
        </w:rPr>
        <w:t xml:space="preserve">que ha sido materia del presente fallo. </w:t>
      </w:r>
    </w:p>
    <w:p w14:paraId="4E3BD7CA" w14:textId="77777777" w:rsidR="00154C5F" w:rsidRDefault="00154C5F" w:rsidP="00154C5F">
      <w:pPr>
        <w:tabs>
          <w:tab w:val="left" w:pos="709"/>
        </w:tabs>
        <w:spacing w:before="240" w:line="360" w:lineRule="auto"/>
        <w:ind w:right="51"/>
        <w:jc w:val="both"/>
        <w:rPr>
          <w:rFonts w:ascii="Palatino Linotype" w:hAnsi="Palatino Linotype"/>
          <w:sz w:val="24"/>
          <w:szCs w:val="24"/>
        </w:rPr>
      </w:pPr>
      <w:r w:rsidRPr="000F7BB3">
        <w:rPr>
          <w:rFonts w:ascii="Palatino Linotype" w:hAnsi="Palatino Linotype"/>
          <w:sz w:val="24"/>
          <w:szCs w:val="24"/>
        </w:rPr>
        <w:lastRenderedPageBreak/>
        <w:t xml:space="preserve">Por lo antes expuesto y fundado es de resolverse y, </w:t>
      </w:r>
    </w:p>
    <w:p w14:paraId="68D24755" w14:textId="77777777" w:rsidR="00154C5F" w:rsidRDefault="00154C5F" w:rsidP="00154C5F">
      <w:pPr>
        <w:spacing w:before="240" w:line="360" w:lineRule="auto"/>
        <w:jc w:val="center"/>
        <w:rPr>
          <w:rFonts w:ascii="Palatino Linotype" w:eastAsia="Times New Roman" w:hAnsi="Palatino Linotype"/>
          <w:b/>
          <w:bCs/>
          <w:spacing w:val="60"/>
          <w:sz w:val="28"/>
          <w:lang w:val="es-ES_tradnl"/>
        </w:rPr>
      </w:pPr>
    </w:p>
    <w:p w14:paraId="660777BF" w14:textId="77777777" w:rsidR="00154C5F" w:rsidRPr="000F7BB3" w:rsidRDefault="00154C5F" w:rsidP="00154C5F">
      <w:pPr>
        <w:spacing w:before="240" w:line="360" w:lineRule="auto"/>
        <w:jc w:val="center"/>
        <w:rPr>
          <w:rFonts w:ascii="Palatino Linotype" w:eastAsia="Times New Roman" w:hAnsi="Palatino Linotype"/>
          <w:b/>
          <w:bCs/>
          <w:spacing w:val="60"/>
          <w:sz w:val="28"/>
          <w:lang w:val="es-ES_tradnl"/>
        </w:rPr>
      </w:pPr>
      <w:r w:rsidRPr="000F7BB3">
        <w:rPr>
          <w:rFonts w:ascii="Palatino Linotype" w:eastAsia="Times New Roman" w:hAnsi="Palatino Linotype"/>
          <w:b/>
          <w:bCs/>
          <w:spacing w:val="60"/>
          <w:sz w:val="28"/>
          <w:lang w:val="es-ES_tradnl"/>
        </w:rPr>
        <w:t>SE    RESUELVE</w:t>
      </w:r>
    </w:p>
    <w:p w14:paraId="4789BB7E" w14:textId="622DB7A4" w:rsidR="00154C5F" w:rsidRDefault="00154C5F" w:rsidP="00154C5F">
      <w:pPr>
        <w:spacing w:before="240" w:line="360" w:lineRule="auto"/>
        <w:jc w:val="both"/>
        <w:rPr>
          <w:rFonts w:ascii="Palatino Linotype" w:hAnsi="Palatino Linotype" w:cs="Arial"/>
          <w:sz w:val="24"/>
          <w:szCs w:val="24"/>
        </w:rPr>
      </w:pPr>
      <w:r w:rsidRPr="000F7BB3">
        <w:rPr>
          <w:rFonts w:ascii="Palatino Linotype" w:hAnsi="Palatino Linotype" w:cs="Arial"/>
          <w:b/>
          <w:sz w:val="28"/>
          <w:szCs w:val="28"/>
          <w:lang w:val="es-ES_tradnl"/>
        </w:rPr>
        <w:t>PRIMERO.</w:t>
      </w:r>
      <w:r w:rsidRPr="000F7BB3">
        <w:rPr>
          <w:rFonts w:ascii="Palatino Linotype" w:hAnsi="Palatino Linotype" w:cs="Arial"/>
          <w:lang w:val="es-ES_tradnl"/>
        </w:rPr>
        <w:t xml:space="preserve"> </w:t>
      </w:r>
      <w:r w:rsidRPr="000F7BB3">
        <w:rPr>
          <w:rFonts w:ascii="Palatino Linotype" w:hAnsi="Palatino Linotype" w:cs="Arial"/>
          <w:sz w:val="24"/>
          <w:szCs w:val="24"/>
          <w:lang w:val="es-ES_tradnl"/>
        </w:rPr>
        <w:t xml:space="preserve">Se </w:t>
      </w:r>
      <w:r w:rsidRPr="000F7BB3">
        <w:rPr>
          <w:rFonts w:ascii="Palatino Linotype" w:hAnsi="Palatino Linotype" w:cs="Arial"/>
          <w:b/>
          <w:sz w:val="24"/>
          <w:szCs w:val="24"/>
          <w:lang w:val="es-ES_tradnl"/>
        </w:rPr>
        <w:t>CONFIRMA</w:t>
      </w:r>
      <w:r>
        <w:rPr>
          <w:rFonts w:ascii="Palatino Linotype" w:hAnsi="Palatino Linotype" w:cs="Arial"/>
          <w:b/>
          <w:sz w:val="24"/>
          <w:szCs w:val="24"/>
          <w:lang w:val="es-ES_tradnl"/>
        </w:rPr>
        <w:t xml:space="preserve"> </w:t>
      </w:r>
      <w:r>
        <w:rPr>
          <w:rFonts w:ascii="Palatino Linotype" w:hAnsi="Palatino Linotype" w:cs="Arial"/>
          <w:bCs/>
          <w:sz w:val="24"/>
          <w:szCs w:val="24"/>
          <w:lang w:val="es-ES_tradnl"/>
        </w:rPr>
        <w:t xml:space="preserve">la respuesta entregada por </w:t>
      </w:r>
      <w:r>
        <w:rPr>
          <w:rFonts w:ascii="Palatino Linotype" w:hAnsi="Palatino Linotype" w:cs="Arial"/>
          <w:b/>
          <w:sz w:val="24"/>
          <w:szCs w:val="24"/>
          <w:lang w:val="es-ES_tradnl"/>
        </w:rPr>
        <w:t xml:space="preserve">El Sujeto Obligado </w:t>
      </w:r>
      <w:r>
        <w:rPr>
          <w:rFonts w:ascii="Palatino Linotype" w:hAnsi="Palatino Linotype" w:cs="Arial"/>
          <w:bCs/>
          <w:sz w:val="24"/>
          <w:szCs w:val="24"/>
          <w:lang w:val="es-ES_tradnl"/>
        </w:rPr>
        <w:t xml:space="preserve">a la solicitud de información número </w:t>
      </w:r>
      <w:r w:rsidR="00191C33">
        <w:rPr>
          <w:rFonts w:ascii="Palatino Linotype" w:hAnsi="Palatino Linotype"/>
          <w:b/>
          <w:sz w:val="24"/>
          <w:szCs w:val="24"/>
        </w:rPr>
        <w:t>00843/ZINACANT/IP/2023</w:t>
      </w:r>
      <w:r>
        <w:rPr>
          <w:rFonts w:ascii="Palatino Linotype" w:hAnsi="Palatino Linotype" w:cs="Arial"/>
          <w:b/>
          <w:sz w:val="24"/>
          <w:szCs w:val="24"/>
          <w:lang w:val="es-ES_tradnl"/>
        </w:rPr>
        <w:t xml:space="preserve">, </w:t>
      </w:r>
      <w:r>
        <w:rPr>
          <w:rFonts w:ascii="Palatino Linotype" w:hAnsi="Palatino Linotype" w:cs="Arial"/>
          <w:bCs/>
          <w:sz w:val="24"/>
          <w:szCs w:val="24"/>
          <w:lang w:val="es-ES_tradnl"/>
        </w:rPr>
        <w:t xml:space="preserve">por resultar infundados los motivos de inconformidad que arguye </w:t>
      </w:r>
      <w:r>
        <w:rPr>
          <w:rFonts w:ascii="Palatino Linotype" w:hAnsi="Palatino Linotype" w:cs="Arial"/>
          <w:b/>
          <w:sz w:val="24"/>
          <w:szCs w:val="24"/>
          <w:lang w:val="es-ES_tradnl"/>
        </w:rPr>
        <w:t xml:space="preserve">EL RECURRENTE, </w:t>
      </w:r>
      <w:r>
        <w:rPr>
          <w:rFonts w:ascii="Palatino Linotype" w:hAnsi="Palatino Linotype" w:cs="Arial"/>
          <w:bCs/>
          <w:sz w:val="24"/>
          <w:szCs w:val="24"/>
          <w:lang w:val="es-ES_tradnl"/>
        </w:rPr>
        <w:t xml:space="preserve">en términos del </w:t>
      </w:r>
      <w:r w:rsidRPr="000F7BB3">
        <w:rPr>
          <w:rFonts w:ascii="Palatino Linotype" w:hAnsi="Palatino Linotype" w:cs="Arial"/>
          <w:b/>
          <w:sz w:val="24"/>
          <w:szCs w:val="24"/>
        </w:rPr>
        <w:t>Considerando CUARTO</w:t>
      </w:r>
      <w:r w:rsidRPr="000F7BB3">
        <w:rPr>
          <w:rFonts w:ascii="Palatino Linotype" w:hAnsi="Palatino Linotype" w:cs="Arial"/>
          <w:sz w:val="24"/>
          <w:szCs w:val="24"/>
        </w:rPr>
        <w:t xml:space="preserve"> de la presente resolución.</w:t>
      </w:r>
    </w:p>
    <w:p w14:paraId="09EABA33" w14:textId="77777777" w:rsidR="00154C5F" w:rsidRDefault="00154C5F" w:rsidP="00154C5F">
      <w:pPr>
        <w:spacing w:before="240" w:line="360" w:lineRule="auto"/>
        <w:jc w:val="both"/>
        <w:rPr>
          <w:rFonts w:ascii="Palatino Linotype" w:hAnsi="Palatino Linotype" w:cs="Arial"/>
          <w:sz w:val="24"/>
          <w:szCs w:val="24"/>
        </w:rPr>
      </w:pPr>
    </w:p>
    <w:p w14:paraId="0CF5FFD0" w14:textId="77777777" w:rsidR="00154C5F" w:rsidRDefault="00154C5F" w:rsidP="00154C5F">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t>SEGUNDO.</w:t>
      </w:r>
      <w:r w:rsidRPr="000F7BB3">
        <w:rPr>
          <w:rFonts w:ascii="Palatino Linotype" w:hAnsi="Palatino Linotype" w:cs="Arial"/>
          <w:b/>
          <w:sz w:val="24"/>
          <w:szCs w:val="24"/>
        </w:rPr>
        <w:t xml:space="preserve"> Notifíquese</w:t>
      </w:r>
      <w:r w:rsidRPr="000F7BB3">
        <w:rPr>
          <w:rFonts w:ascii="Palatino Linotype" w:hAnsi="Palatino Linotype" w:cs="Arial"/>
          <w:b/>
          <w:i/>
          <w:sz w:val="24"/>
          <w:szCs w:val="24"/>
        </w:rPr>
        <w:t xml:space="preserve"> </w:t>
      </w:r>
      <w:r w:rsidRPr="000F7BB3">
        <w:rPr>
          <w:rFonts w:ascii="Palatino Linotype" w:hAnsi="Palatino Linotype" w:cs="Arial"/>
          <w:sz w:val="24"/>
          <w:szCs w:val="24"/>
        </w:rPr>
        <w:t xml:space="preserve">la presente resolución al Titular de la Unidad de Transparencia del </w:t>
      </w:r>
      <w:r w:rsidRPr="000F7BB3">
        <w:rPr>
          <w:rFonts w:ascii="Palatino Linotype" w:hAnsi="Palatino Linotype" w:cs="Arial"/>
          <w:b/>
          <w:sz w:val="24"/>
          <w:szCs w:val="24"/>
        </w:rPr>
        <w:t xml:space="preserve">SUJETO OBLIGADO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54637466" w14:textId="77777777" w:rsidR="00154C5F" w:rsidRDefault="00154C5F" w:rsidP="00154C5F">
      <w:pPr>
        <w:autoSpaceDE w:val="0"/>
        <w:autoSpaceDN w:val="0"/>
        <w:adjustRightInd w:val="0"/>
        <w:spacing w:before="240" w:line="360" w:lineRule="auto"/>
        <w:jc w:val="both"/>
        <w:rPr>
          <w:rFonts w:ascii="Palatino Linotype" w:hAnsi="Palatino Linotype" w:cs="Arial"/>
          <w:b/>
          <w:sz w:val="24"/>
          <w:szCs w:val="24"/>
        </w:rPr>
      </w:pPr>
    </w:p>
    <w:p w14:paraId="067562D9" w14:textId="77777777" w:rsidR="00154C5F" w:rsidRDefault="00154C5F" w:rsidP="00154C5F">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t>TERCERO</w:t>
      </w:r>
      <w:r w:rsidRPr="00916358">
        <w:rPr>
          <w:rFonts w:ascii="Palatino Linotype" w:hAnsi="Palatino Linotype" w:cs="Arial"/>
          <w:sz w:val="28"/>
          <w:szCs w:val="28"/>
        </w:rPr>
        <w:t>.</w:t>
      </w:r>
      <w:r w:rsidRPr="00916358">
        <w:rPr>
          <w:rFonts w:ascii="Palatino Linotype" w:hAnsi="Palatino Linotype" w:cs="Arial"/>
          <w:sz w:val="24"/>
          <w:szCs w:val="24"/>
        </w:rPr>
        <w:t xml:space="preserve"> </w:t>
      </w:r>
      <w:r w:rsidRPr="00916358">
        <w:rPr>
          <w:rFonts w:ascii="Palatino Linotype" w:hAnsi="Palatino Linotype" w:cs="Arial"/>
          <w:b/>
          <w:bCs/>
          <w:color w:val="222222"/>
          <w:sz w:val="24"/>
          <w:szCs w:val="24"/>
          <w:lang w:val="es-ES"/>
        </w:rPr>
        <w:t>Notifíquese</w:t>
      </w:r>
      <w:r w:rsidRPr="00916358">
        <w:rPr>
          <w:rFonts w:ascii="Palatino Linotype" w:hAnsi="Palatino Linotype" w:cs="Arial"/>
          <w:sz w:val="24"/>
          <w:szCs w:val="24"/>
        </w:rPr>
        <w:t xml:space="preserve"> la</w:t>
      </w:r>
      <w:r w:rsidRPr="000F7BB3">
        <w:rPr>
          <w:rFonts w:ascii="Palatino Linotype" w:hAnsi="Palatino Linotype" w:cs="Arial"/>
          <w:sz w:val="24"/>
          <w:szCs w:val="24"/>
        </w:rPr>
        <w:t xml:space="preserve"> presente resolución </w:t>
      </w:r>
      <w:r>
        <w:rPr>
          <w:rFonts w:ascii="Palatino Linotype" w:hAnsi="Palatino Linotype" w:cs="Arial"/>
          <w:sz w:val="24"/>
          <w:szCs w:val="24"/>
        </w:rPr>
        <w:t>al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7C33660C" w14:textId="77777777" w:rsidR="00E6173D" w:rsidRDefault="00E6173D" w:rsidP="00154C5F">
      <w:pPr>
        <w:autoSpaceDE w:val="0"/>
        <w:autoSpaceDN w:val="0"/>
        <w:adjustRightInd w:val="0"/>
        <w:spacing w:before="240" w:line="360" w:lineRule="auto"/>
        <w:jc w:val="both"/>
        <w:rPr>
          <w:rFonts w:ascii="Palatino Linotype" w:hAnsi="Palatino Linotype" w:cs="Arial"/>
          <w:b/>
          <w:sz w:val="24"/>
          <w:szCs w:val="24"/>
        </w:rPr>
      </w:pPr>
    </w:p>
    <w:p w14:paraId="07B390E5" w14:textId="77777777" w:rsidR="00154C5F" w:rsidRDefault="00154C5F" w:rsidP="00154C5F">
      <w:pPr>
        <w:autoSpaceDE w:val="0"/>
        <w:autoSpaceDN w:val="0"/>
        <w:adjustRightInd w:val="0"/>
        <w:spacing w:before="240" w:line="360" w:lineRule="auto"/>
        <w:jc w:val="both"/>
        <w:rPr>
          <w:rFonts w:ascii="Palatino Linotype" w:hAnsi="Palatino Linotype" w:cs="Arial"/>
          <w:sz w:val="24"/>
          <w:szCs w:val="24"/>
        </w:rPr>
      </w:pPr>
      <w:r w:rsidRPr="000F7BB3">
        <w:rPr>
          <w:rFonts w:ascii="Palatino Linotype" w:hAnsi="Palatino Linotype" w:cs="Arial"/>
          <w:b/>
          <w:sz w:val="28"/>
          <w:szCs w:val="28"/>
        </w:rPr>
        <w:t xml:space="preserve">CUARTO. </w:t>
      </w:r>
      <w:r w:rsidRPr="000F7BB3">
        <w:rPr>
          <w:rFonts w:ascii="Palatino Linotype" w:hAnsi="Palatino Linotype" w:cs="Arial"/>
          <w:sz w:val="24"/>
          <w:szCs w:val="24"/>
        </w:rPr>
        <w:t xml:space="preserve">Se hace del conocimiento </w:t>
      </w:r>
      <w:r>
        <w:rPr>
          <w:rFonts w:ascii="Palatino Linotype" w:hAnsi="Palatino Linotype" w:cs="Arial"/>
          <w:sz w:val="24"/>
          <w:szCs w:val="24"/>
        </w:rPr>
        <w:t>del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w:t>
      </w:r>
      <w:r w:rsidRPr="000F7BB3">
        <w:rPr>
          <w:rFonts w:ascii="Palatino Linotype" w:hAnsi="Palatino Linotype" w:cs="Arial"/>
          <w:sz w:val="24"/>
          <w:szCs w:val="24"/>
        </w:rPr>
        <w:lastRenderedPageBreak/>
        <w:t>le cause algún perjuicio podrá impugnarla vía juicio de amparo en los términos de las leyes aplicables.</w:t>
      </w:r>
      <w:r w:rsidRPr="004C117E">
        <w:rPr>
          <w:rFonts w:ascii="Palatino Linotype" w:hAnsi="Palatino Linotype" w:cs="Arial"/>
          <w:sz w:val="24"/>
          <w:szCs w:val="24"/>
        </w:rPr>
        <w:t xml:space="preserve"> </w:t>
      </w:r>
    </w:p>
    <w:p w14:paraId="0ECA61B5" w14:textId="77777777" w:rsidR="00154C5F" w:rsidRPr="004C117E" w:rsidRDefault="00154C5F" w:rsidP="00154C5F">
      <w:pPr>
        <w:autoSpaceDE w:val="0"/>
        <w:autoSpaceDN w:val="0"/>
        <w:adjustRightInd w:val="0"/>
        <w:spacing w:before="240" w:line="360" w:lineRule="auto"/>
        <w:jc w:val="both"/>
        <w:rPr>
          <w:rFonts w:ascii="Palatino Linotype" w:hAnsi="Palatino Linotype" w:cs="Arial"/>
          <w:sz w:val="24"/>
          <w:szCs w:val="24"/>
        </w:rPr>
      </w:pPr>
    </w:p>
    <w:p w14:paraId="05131F4B" w14:textId="4D272583" w:rsidR="00154C5F" w:rsidRPr="00AA7E8A"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AA7E8A">
        <w:rPr>
          <w:rFonts w:ascii="Palatino Linotype" w:hAnsi="Palatino Linotype" w:cs="Arial"/>
        </w:rPr>
        <w:t>ASÍ LO ACORDÓ, POR UNANIMIDAD DE VOTOS, EL PLENO DEL</w:t>
      </w:r>
      <w:r w:rsidRPr="00AA7E8A">
        <w:rPr>
          <w:rFonts w:ascii="Palatino Linotype" w:eastAsia="Arial Unicode MS" w:hAnsi="Palatino Linotype" w:cs="Arial"/>
        </w:rPr>
        <w:t xml:space="preserve"> INSTITUTO DE TRANSPARENCIA, ACCESO A LA INFORMACIÓN PÚBLICA Y PROTECCIÓN DE DATOS PERSONALES DEL ESTADO DE MÉXICO Y MUNICIPIOS</w:t>
      </w:r>
      <w:r w:rsidRPr="00AA7E8A">
        <w:rPr>
          <w:rFonts w:ascii="Palatino Linotype" w:hAnsi="Palatino Linotype" w:cs="Arial"/>
        </w:rPr>
        <w:t>, CONFORMADO POR LOS COMISIONADOS JOSÉ MARTÍNEZ VILCHIS, MARÍA DEL ROSARIO MEJÍA AYALA, SHARON CRISTINA MORALES MARTÍNEZ, LUIS GUSTAVO PARRA NORIEGA Y GUADALUPE RAMÍREZ PEÑA</w:t>
      </w:r>
      <w:r w:rsidR="006A1B2A">
        <w:rPr>
          <w:rFonts w:ascii="Palatino Linotype" w:hAnsi="Palatino Linotype" w:cs="Arial"/>
        </w:rPr>
        <w:t xml:space="preserve">; </w:t>
      </w:r>
      <w:r w:rsidRPr="00AA7E8A">
        <w:rPr>
          <w:rFonts w:ascii="Palatino Linotype" w:hAnsi="Palatino Linotype" w:cs="Arial"/>
        </w:rPr>
        <w:t xml:space="preserve">EN LA </w:t>
      </w:r>
      <w:r>
        <w:rPr>
          <w:rFonts w:ascii="Palatino Linotype" w:hAnsi="Palatino Linotype" w:cs="Arial"/>
        </w:rPr>
        <w:t xml:space="preserve">TRIGÉSIMA </w:t>
      </w:r>
      <w:r w:rsidR="006A1B2A">
        <w:rPr>
          <w:rFonts w:ascii="Palatino Linotype" w:hAnsi="Palatino Linotype" w:cs="Arial"/>
        </w:rPr>
        <w:t xml:space="preserve">OCTAVA </w:t>
      </w:r>
      <w:r>
        <w:rPr>
          <w:rFonts w:ascii="Palatino Linotype" w:hAnsi="Palatino Linotype" w:cs="Arial"/>
        </w:rPr>
        <w:t xml:space="preserve">SESIÓN ORDINARIA, CELEBRADA EL </w:t>
      </w:r>
      <w:r w:rsidR="00D67A43">
        <w:rPr>
          <w:rFonts w:ascii="Palatino Linotype" w:hAnsi="Palatino Linotype" w:cs="Arial"/>
        </w:rPr>
        <w:t>VEINTICINCO</w:t>
      </w:r>
      <w:r w:rsidR="006A1B2A">
        <w:rPr>
          <w:rFonts w:ascii="Palatino Linotype" w:hAnsi="Palatino Linotype" w:cs="Arial"/>
        </w:rPr>
        <w:t xml:space="preserve"> DE OCTUBRE</w:t>
      </w:r>
      <w:r>
        <w:rPr>
          <w:rFonts w:ascii="Palatino Linotype" w:hAnsi="Palatino Linotype" w:cs="Arial"/>
        </w:rPr>
        <w:t xml:space="preserve"> DE DOS MIL VEINTITRÉS, ANTE EL </w:t>
      </w:r>
      <w:r w:rsidRPr="00AA7E8A">
        <w:rPr>
          <w:rFonts w:ascii="Palatino Linotype" w:hAnsi="Palatino Linotype" w:cs="Arial"/>
        </w:rPr>
        <w:t xml:space="preserve">SECRETARIO TÉCNICO DEL PLENO, ALEXIS TAPIA RAMÍREZ. </w:t>
      </w:r>
    </w:p>
    <w:p w14:paraId="49A43F1C" w14:textId="57D1B763" w:rsidR="00154C5F" w:rsidRDefault="00397A02" w:rsidP="00154C5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noProof/>
        </w:rPr>
        <mc:AlternateContent>
          <mc:Choice Requires="wps">
            <w:drawing>
              <wp:anchor distT="0" distB="0" distL="114300" distR="114300" simplePos="0" relativeHeight="251765760" behindDoc="0" locked="0" layoutInCell="1" allowOverlap="1" wp14:anchorId="3F976053" wp14:editId="120E1461">
                <wp:simplePos x="0" y="0"/>
                <wp:positionH relativeFrom="column">
                  <wp:posOffset>-105864</wp:posOffset>
                </wp:positionH>
                <wp:positionV relativeFrom="paragraph">
                  <wp:posOffset>401955</wp:posOffset>
                </wp:positionV>
                <wp:extent cx="6200503" cy="3131820"/>
                <wp:effectExtent l="0" t="0" r="29210" b="30480"/>
                <wp:wrapNone/>
                <wp:docPr id="616965583" name="Straight Connector 6"/>
                <wp:cNvGraphicFramePr/>
                <a:graphic xmlns:a="http://schemas.openxmlformats.org/drawingml/2006/main">
                  <a:graphicData uri="http://schemas.microsoft.com/office/word/2010/wordprocessingShape">
                    <wps:wsp>
                      <wps:cNvCnPr/>
                      <wps:spPr>
                        <a:xfrm>
                          <a:off x="0" y="0"/>
                          <a:ext cx="6200503" cy="31318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8A251" id="Straight Connector 6"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31.65pt" to="479.9pt,2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" strokecolor="#5b9bd5 [3204]" strokeweight=".5pt">
                <v:stroke joinstyle="miter"/>
              </v:line>
            </w:pict>
          </mc:Fallback>
        </mc:AlternateContent>
      </w:r>
      <w:r w:rsidR="00154C5F">
        <w:rPr>
          <w:rFonts w:ascii="Palatino Linotype" w:hAnsi="Palatino Linotype"/>
          <w:bCs/>
          <w:sz w:val="18"/>
          <w:szCs w:val="18"/>
        </w:rPr>
        <w:t>CCR/J</w:t>
      </w:r>
      <w:r w:rsidR="00154C5F" w:rsidRPr="00280B8B">
        <w:rPr>
          <w:rFonts w:ascii="Palatino Linotype" w:hAnsi="Palatino Linotype"/>
          <w:bCs/>
          <w:sz w:val="18"/>
          <w:szCs w:val="18"/>
        </w:rPr>
        <w:t>CMA</w:t>
      </w:r>
    </w:p>
    <w:p w14:paraId="62070D02" w14:textId="234491E3" w:rsidR="00154C5F" w:rsidRDefault="00154C5F" w:rsidP="00B436EA">
      <w:pPr>
        <w:spacing w:before="240" w:line="360" w:lineRule="auto"/>
        <w:jc w:val="both"/>
        <w:rPr>
          <w:rFonts w:ascii="Palatino Linotype" w:hAnsi="Palatino Linotype"/>
          <w:sz w:val="24"/>
          <w:szCs w:val="24"/>
        </w:rPr>
      </w:pPr>
    </w:p>
    <w:p w14:paraId="1FAFA7ED" w14:textId="77777777" w:rsidR="00154C5F" w:rsidRDefault="00154C5F" w:rsidP="00B436EA">
      <w:pPr>
        <w:spacing w:before="240" w:line="360" w:lineRule="auto"/>
        <w:jc w:val="both"/>
        <w:rPr>
          <w:rFonts w:ascii="Palatino Linotype" w:hAnsi="Palatino Linotype"/>
          <w:sz w:val="24"/>
          <w:szCs w:val="24"/>
        </w:rPr>
      </w:pPr>
    </w:p>
    <w:p w14:paraId="4FC607E1" w14:textId="77777777" w:rsidR="00154C5F" w:rsidRDefault="00154C5F" w:rsidP="00B436EA">
      <w:pPr>
        <w:spacing w:before="240" w:line="360" w:lineRule="auto"/>
        <w:jc w:val="both"/>
        <w:rPr>
          <w:rFonts w:ascii="Palatino Linotype" w:hAnsi="Palatino Linotype"/>
          <w:sz w:val="24"/>
          <w:szCs w:val="24"/>
        </w:rPr>
      </w:pPr>
    </w:p>
    <w:p w14:paraId="73DB2431" w14:textId="77777777" w:rsidR="00154C5F" w:rsidRDefault="00154C5F" w:rsidP="00B436EA">
      <w:pPr>
        <w:spacing w:before="240" w:line="360" w:lineRule="auto"/>
        <w:jc w:val="both"/>
        <w:rPr>
          <w:rFonts w:ascii="Palatino Linotype" w:hAnsi="Palatino Linotype"/>
          <w:sz w:val="24"/>
          <w:szCs w:val="24"/>
        </w:rPr>
      </w:pPr>
    </w:p>
    <w:p w14:paraId="1301B5AA" w14:textId="77777777" w:rsidR="00154C5F" w:rsidRDefault="00154C5F" w:rsidP="00B436EA">
      <w:pPr>
        <w:spacing w:before="240" w:line="360" w:lineRule="auto"/>
        <w:jc w:val="both"/>
        <w:rPr>
          <w:rFonts w:ascii="Palatino Linotype" w:hAnsi="Palatino Linotype"/>
          <w:sz w:val="24"/>
          <w:szCs w:val="24"/>
        </w:rPr>
      </w:pPr>
    </w:p>
    <w:p w14:paraId="7263DA32" w14:textId="77777777" w:rsidR="003E3072" w:rsidRDefault="003E3072" w:rsidP="00B436EA">
      <w:pPr>
        <w:spacing w:before="240" w:line="360" w:lineRule="auto"/>
        <w:jc w:val="both"/>
        <w:rPr>
          <w:rFonts w:ascii="Palatino Linotype" w:hAnsi="Palatino Linotype"/>
          <w:sz w:val="24"/>
          <w:szCs w:val="24"/>
        </w:rPr>
      </w:pPr>
    </w:p>
    <w:p w14:paraId="27A4D9D6" w14:textId="77777777" w:rsidR="003E3072" w:rsidRDefault="003E3072" w:rsidP="00B436EA">
      <w:pPr>
        <w:spacing w:before="240" w:line="360" w:lineRule="auto"/>
        <w:jc w:val="both"/>
        <w:rPr>
          <w:rFonts w:ascii="Palatino Linotype" w:hAnsi="Palatino Linotype"/>
          <w:sz w:val="24"/>
          <w:szCs w:val="24"/>
        </w:rPr>
      </w:pPr>
    </w:p>
    <w:p w14:paraId="5C9E97FA" w14:textId="77777777" w:rsidR="003E3072" w:rsidRDefault="003E3072" w:rsidP="00B436EA">
      <w:pPr>
        <w:spacing w:before="240" w:line="360" w:lineRule="auto"/>
        <w:jc w:val="both"/>
        <w:rPr>
          <w:rFonts w:ascii="Palatino Linotype" w:hAnsi="Palatino Linotype"/>
          <w:sz w:val="24"/>
          <w:szCs w:val="24"/>
        </w:rPr>
      </w:pPr>
    </w:p>
    <w:p w14:paraId="6F299793" w14:textId="77777777" w:rsidR="003E3072" w:rsidRDefault="003E3072" w:rsidP="00B436EA">
      <w:pPr>
        <w:spacing w:before="240" w:line="360" w:lineRule="auto"/>
        <w:jc w:val="both"/>
        <w:rPr>
          <w:rFonts w:ascii="Palatino Linotype" w:hAnsi="Palatino Linotype"/>
          <w:sz w:val="24"/>
          <w:szCs w:val="24"/>
        </w:rPr>
      </w:pPr>
    </w:p>
    <w:p w14:paraId="4F3DE3BA" w14:textId="77777777" w:rsidR="003E3072" w:rsidRDefault="003E3072" w:rsidP="00B436EA">
      <w:pPr>
        <w:spacing w:before="240" w:line="360" w:lineRule="auto"/>
        <w:jc w:val="both"/>
        <w:rPr>
          <w:rFonts w:ascii="Palatino Linotype" w:hAnsi="Palatino Linotype"/>
          <w:sz w:val="24"/>
          <w:szCs w:val="24"/>
        </w:rPr>
      </w:pPr>
    </w:p>
    <w:p w14:paraId="4AE7CE2B" w14:textId="77777777" w:rsidR="003E3072" w:rsidRDefault="003E3072" w:rsidP="00B436EA">
      <w:pPr>
        <w:spacing w:before="240" w:line="360" w:lineRule="auto"/>
        <w:jc w:val="both"/>
        <w:rPr>
          <w:rFonts w:ascii="Palatino Linotype" w:hAnsi="Palatino Linotype"/>
          <w:sz w:val="24"/>
          <w:szCs w:val="24"/>
        </w:rPr>
      </w:pPr>
    </w:p>
    <w:p w14:paraId="734B1E2F" w14:textId="77777777" w:rsidR="003E3072" w:rsidRDefault="003E3072" w:rsidP="00B436EA">
      <w:pPr>
        <w:spacing w:before="240" w:line="360" w:lineRule="auto"/>
        <w:jc w:val="both"/>
        <w:rPr>
          <w:rFonts w:ascii="Palatino Linotype" w:hAnsi="Palatino Linotype"/>
          <w:sz w:val="24"/>
          <w:szCs w:val="24"/>
        </w:rPr>
      </w:pPr>
    </w:p>
    <w:p w14:paraId="456781E4" w14:textId="77777777" w:rsidR="003E3072" w:rsidRDefault="003E3072" w:rsidP="00B436EA">
      <w:pPr>
        <w:spacing w:before="240" w:line="360" w:lineRule="auto"/>
        <w:jc w:val="both"/>
        <w:rPr>
          <w:rFonts w:ascii="Palatino Linotype" w:hAnsi="Palatino Linotype"/>
          <w:sz w:val="24"/>
          <w:szCs w:val="24"/>
        </w:rPr>
      </w:pPr>
    </w:p>
    <w:p w14:paraId="1DDB48B8" w14:textId="77777777" w:rsidR="003E3072" w:rsidRDefault="003E3072" w:rsidP="00B436EA">
      <w:pPr>
        <w:spacing w:before="240" w:line="360" w:lineRule="auto"/>
        <w:jc w:val="both"/>
        <w:rPr>
          <w:rFonts w:ascii="Palatino Linotype" w:hAnsi="Palatino Linotype"/>
          <w:sz w:val="24"/>
          <w:szCs w:val="24"/>
        </w:rPr>
      </w:pPr>
    </w:p>
    <w:p w14:paraId="0018F579" w14:textId="77777777" w:rsidR="003E3072" w:rsidRDefault="003E3072" w:rsidP="00B436EA">
      <w:pPr>
        <w:spacing w:before="240" w:line="360" w:lineRule="auto"/>
        <w:jc w:val="both"/>
        <w:rPr>
          <w:rFonts w:ascii="Palatino Linotype" w:hAnsi="Palatino Linotype"/>
          <w:sz w:val="24"/>
          <w:szCs w:val="24"/>
        </w:rPr>
      </w:pPr>
    </w:p>
    <w:sectPr w:rsidR="003E3072"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FDE43" w14:textId="77777777" w:rsidR="002E3217" w:rsidRDefault="002E3217" w:rsidP="006168E4">
      <w:pPr>
        <w:spacing w:after="0" w:line="240" w:lineRule="auto"/>
      </w:pPr>
      <w:r>
        <w:separator/>
      </w:r>
    </w:p>
  </w:endnote>
  <w:endnote w:type="continuationSeparator" w:id="0">
    <w:p w14:paraId="6CF4DD8E" w14:textId="77777777" w:rsidR="002E3217" w:rsidRDefault="002E321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7B0E" w14:textId="77777777" w:rsidR="002E3217" w:rsidRDefault="002E3217" w:rsidP="006168E4">
      <w:pPr>
        <w:spacing w:after="0" w:line="240" w:lineRule="auto"/>
      </w:pPr>
      <w:r>
        <w:separator/>
      </w:r>
    </w:p>
  </w:footnote>
  <w:footnote w:type="continuationSeparator" w:id="0">
    <w:p w14:paraId="49A747E8" w14:textId="77777777" w:rsidR="002E3217" w:rsidRDefault="002E3217" w:rsidP="006168E4">
      <w:pPr>
        <w:spacing w:after="0" w:line="240" w:lineRule="auto"/>
      </w:pPr>
      <w:r>
        <w:continuationSeparator/>
      </w:r>
    </w:p>
  </w:footnote>
  <w:footnote w:id="1">
    <w:p w14:paraId="120FDFCC" w14:textId="77777777" w:rsidR="005C5860" w:rsidRPr="005552A8" w:rsidRDefault="005C5860" w:rsidP="005C5860">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6095819" w14:textId="77777777" w:rsidR="005C5860" w:rsidRPr="005552A8" w:rsidRDefault="005C5860" w:rsidP="005C586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F2DE57B" w14:textId="48D917C2"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6297A">
            <w:rPr>
              <w:rFonts w:ascii="Palatino Linotype" w:hAnsi="Palatino Linotype" w:cs="Arial"/>
              <w:bCs/>
              <w:sz w:val="24"/>
              <w:lang w:eastAsia="es-MX"/>
            </w:rPr>
            <w:t>5915</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00B67E77" w:rsidR="00C70B4A" w:rsidRPr="00F06FED" w:rsidRDefault="0021546A" w:rsidP="00C01E1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F048D7">
            <w:rPr>
              <w:rFonts w:ascii="Palatino Linotype" w:hAnsi="Palatino Linotype" w:cs="Arial"/>
            </w:rPr>
            <w:t>Zinacantepec</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84B110A" w14:textId="59703C57"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6297A">
            <w:rPr>
              <w:rFonts w:ascii="Palatino Linotype" w:hAnsi="Palatino Linotype" w:cs="Arial"/>
              <w:bCs/>
              <w:sz w:val="24"/>
              <w:lang w:eastAsia="es-MX"/>
            </w:rPr>
            <w:t>5915</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2D10E8EB" w:rsidR="00C70B4A" w:rsidRPr="00F06FED" w:rsidRDefault="00320FB8" w:rsidP="00870B18">
          <w:pPr>
            <w:spacing w:after="120" w:line="256" w:lineRule="auto"/>
            <w:ind w:left="637" w:right="214"/>
            <w:jc w:val="both"/>
            <w:rPr>
              <w:rFonts w:ascii="Palatino Linotype" w:hAnsi="Palatino Linotype" w:cs="Arial"/>
            </w:rPr>
          </w:pPr>
          <w:r>
            <w:rPr>
              <w:rFonts w:ascii="Palatino Linotype" w:hAnsi="Palatino Linotype" w:cs="Arial"/>
            </w:rPr>
            <w:t>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057A24C6" w:rsidR="00C70B4A" w:rsidRDefault="0021546A"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F048D7">
            <w:rPr>
              <w:rFonts w:ascii="Palatino Linotype" w:hAnsi="Palatino Linotype" w:cs="Arial"/>
              <w:szCs w:val="20"/>
            </w:rPr>
            <w:t>Zinacantepec</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A28"/>
    <w:multiLevelType w:val="hybridMultilevel"/>
    <w:tmpl w:val="19DE9950"/>
    <w:lvl w:ilvl="0" w:tplc="307EA66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F6271"/>
    <w:multiLevelType w:val="hybridMultilevel"/>
    <w:tmpl w:val="89064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F4468D"/>
    <w:multiLevelType w:val="hybridMultilevel"/>
    <w:tmpl w:val="9B42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0512C"/>
    <w:multiLevelType w:val="hybridMultilevel"/>
    <w:tmpl w:val="4008BD28"/>
    <w:lvl w:ilvl="0" w:tplc="CF988FB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9F04268"/>
    <w:multiLevelType w:val="hybridMultilevel"/>
    <w:tmpl w:val="9F5C0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DE4F93"/>
    <w:multiLevelType w:val="hybridMultilevel"/>
    <w:tmpl w:val="E7D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8537F"/>
    <w:multiLevelType w:val="hybridMultilevel"/>
    <w:tmpl w:val="C9AA285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7DE7809"/>
    <w:multiLevelType w:val="hybridMultilevel"/>
    <w:tmpl w:val="61FA48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3E446C"/>
    <w:multiLevelType w:val="hybridMultilevel"/>
    <w:tmpl w:val="2B96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D5634E"/>
    <w:multiLevelType w:val="hybridMultilevel"/>
    <w:tmpl w:val="F0824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6A04FD"/>
    <w:multiLevelType w:val="hybridMultilevel"/>
    <w:tmpl w:val="4C3E590E"/>
    <w:lvl w:ilvl="0" w:tplc="4A900424">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41727BDC"/>
    <w:multiLevelType w:val="hybridMultilevel"/>
    <w:tmpl w:val="D908AB8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44966B2C"/>
    <w:multiLevelType w:val="hybridMultilevel"/>
    <w:tmpl w:val="A4BAE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400597"/>
    <w:multiLevelType w:val="hybridMultilevel"/>
    <w:tmpl w:val="34620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65622A"/>
    <w:multiLevelType w:val="hybridMultilevel"/>
    <w:tmpl w:val="6C345DB6"/>
    <w:lvl w:ilvl="0" w:tplc="470E4CD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F2C16"/>
    <w:multiLevelType w:val="hybridMultilevel"/>
    <w:tmpl w:val="2B5CE9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5C9B6767"/>
    <w:multiLevelType w:val="hybridMultilevel"/>
    <w:tmpl w:val="9042C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2D576D"/>
    <w:multiLevelType w:val="hybridMultilevel"/>
    <w:tmpl w:val="71D442DE"/>
    <w:lvl w:ilvl="0" w:tplc="933A9A28">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0D45FF7"/>
    <w:multiLevelType w:val="hybridMultilevel"/>
    <w:tmpl w:val="67C444DA"/>
    <w:lvl w:ilvl="0" w:tplc="B900D344">
      <w:start w:val="1"/>
      <w:numFmt w:val="decimal"/>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68E978A1"/>
    <w:multiLevelType w:val="hybridMultilevel"/>
    <w:tmpl w:val="2704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DD061F"/>
    <w:multiLevelType w:val="hybridMultilevel"/>
    <w:tmpl w:val="96C6AF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702169A9"/>
    <w:multiLevelType w:val="hybridMultilevel"/>
    <w:tmpl w:val="8392EC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D72084"/>
    <w:multiLevelType w:val="hybridMultilevel"/>
    <w:tmpl w:val="5EEAC2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63C15"/>
    <w:multiLevelType w:val="hybridMultilevel"/>
    <w:tmpl w:val="A386D79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386340"/>
    <w:multiLevelType w:val="hybridMultilevel"/>
    <w:tmpl w:val="8A901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342423"/>
    <w:multiLevelType w:val="hybridMultilevel"/>
    <w:tmpl w:val="84647480"/>
    <w:lvl w:ilvl="0" w:tplc="8E4A10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79713176"/>
    <w:multiLevelType w:val="hybridMultilevel"/>
    <w:tmpl w:val="62A0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6072757">
    <w:abstractNumId w:val="28"/>
  </w:num>
  <w:num w:numId="2" w16cid:durableId="1636250913">
    <w:abstractNumId w:val="38"/>
  </w:num>
  <w:num w:numId="3" w16cid:durableId="1409838631">
    <w:abstractNumId w:val="6"/>
  </w:num>
  <w:num w:numId="4" w16cid:durableId="1312102109">
    <w:abstractNumId w:val="23"/>
  </w:num>
  <w:num w:numId="5" w16cid:durableId="1682047203">
    <w:abstractNumId w:val="36"/>
  </w:num>
  <w:num w:numId="6" w16cid:durableId="1331366660">
    <w:abstractNumId w:val="18"/>
  </w:num>
  <w:num w:numId="7" w16cid:durableId="1632592892">
    <w:abstractNumId w:val="39"/>
  </w:num>
  <w:num w:numId="8" w16cid:durableId="2066369611">
    <w:abstractNumId w:val="8"/>
  </w:num>
  <w:num w:numId="9" w16cid:durableId="281227578">
    <w:abstractNumId w:val="30"/>
  </w:num>
  <w:num w:numId="10" w16cid:durableId="862279735">
    <w:abstractNumId w:val="14"/>
  </w:num>
  <w:num w:numId="11" w16cid:durableId="287442552">
    <w:abstractNumId w:val="5"/>
  </w:num>
  <w:num w:numId="12" w16cid:durableId="1269775793">
    <w:abstractNumId w:val="21"/>
  </w:num>
  <w:num w:numId="13" w16cid:durableId="2036733833">
    <w:abstractNumId w:val="35"/>
  </w:num>
  <w:num w:numId="14" w16cid:durableId="1483155067">
    <w:abstractNumId w:val="1"/>
  </w:num>
  <w:num w:numId="15" w16cid:durableId="1960530610">
    <w:abstractNumId w:val="33"/>
  </w:num>
  <w:num w:numId="16" w16cid:durableId="45613175">
    <w:abstractNumId w:val="31"/>
  </w:num>
  <w:num w:numId="17" w16cid:durableId="397896962">
    <w:abstractNumId w:val="9"/>
  </w:num>
  <w:num w:numId="18" w16cid:durableId="744227832">
    <w:abstractNumId w:val="22"/>
  </w:num>
  <w:num w:numId="19" w16cid:durableId="1950352748">
    <w:abstractNumId w:val="10"/>
  </w:num>
  <w:num w:numId="20" w16cid:durableId="442462972">
    <w:abstractNumId w:val="32"/>
  </w:num>
  <w:num w:numId="21" w16cid:durableId="746194281">
    <w:abstractNumId w:val="26"/>
  </w:num>
  <w:num w:numId="22" w16cid:durableId="1466005069">
    <w:abstractNumId w:val="27"/>
  </w:num>
  <w:num w:numId="23" w16cid:durableId="2084328958">
    <w:abstractNumId w:val="37"/>
  </w:num>
  <w:num w:numId="24" w16cid:durableId="971402525">
    <w:abstractNumId w:val="34"/>
  </w:num>
  <w:num w:numId="25" w16cid:durableId="763961220">
    <w:abstractNumId w:val="24"/>
  </w:num>
  <w:num w:numId="26" w16cid:durableId="1355961080">
    <w:abstractNumId w:val="20"/>
  </w:num>
  <w:num w:numId="27" w16cid:durableId="740371077">
    <w:abstractNumId w:val="12"/>
  </w:num>
  <w:num w:numId="28" w16cid:durableId="1585643564">
    <w:abstractNumId w:val="11"/>
  </w:num>
  <w:num w:numId="29" w16cid:durableId="12996145">
    <w:abstractNumId w:val="29"/>
  </w:num>
  <w:num w:numId="30" w16cid:durableId="1309168510">
    <w:abstractNumId w:val="15"/>
  </w:num>
  <w:num w:numId="31" w16cid:durableId="537280119">
    <w:abstractNumId w:val="19"/>
  </w:num>
  <w:num w:numId="32" w16cid:durableId="1599174447">
    <w:abstractNumId w:val="2"/>
  </w:num>
  <w:num w:numId="33" w16cid:durableId="1694769598">
    <w:abstractNumId w:val="4"/>
  </w:num>
  <w:num w:numId="34" w16cid:durableId="1829666123">
    <w:abstractNumId w:val="0"/>
  </w:num>
  <w:num w:numId="35" w16cid:durableId="348720807">
    <w:abstractNumId w:val="25"/>
  </w:num>
  <w:num w:numId="36" w16cid:durableId="1766458642">
    <w:abstractNumId w:val="17"/>
  </w:num>
  <w:num w:numId="37" w16cid:durableId="835650870">
    <w:abstractNumId w:val="7"/>
  </w:num>
  <w:num w:numId="38" w16cid:durableId="309018805">
    <w:abstractNumId w:val="16"/>
  </w:num>
  <w:num w:numId="39" w16cid:durableId="567686938">
    <w:abstractNumId w:val="3"/>
  </w:num>
  <w:num w:numId="40" w16cid:durableId="36714756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630D"/>
    <w:rsid w:val="000170DF"/>
    <w:rsid w:val="00020A70"/>
    <w:rsid w:val="00021CBD"/>
    <w:rsid w:val="00022604"/>
    <w:rsid w:val="000236FA"/>
    <w:rsid w:val="0002450B"/>
    <w:rsid w:val="00025509"/>
    <w:rsid w:val="0002552D"/>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3F93"/>
    <w:rsid w:val="000662F8"/>
    <w:rsid w:val="00073E78"/>
    <w:rsid w:val="000758EF"/>
    <w:rsid w:val="00081988"/>
    <w:rsid w:val="0008582E"/>
    <w:rsid w:val="00090AFC"/>
    <w:rsid w:val="00091552"/>
    <w:rsid w:val="00091C3A"/>
    <w:rsid w:val="00093E92"/>
    <w:rsid w:val="000A0BB1"/>
    <w:rsid w:val="000A2D37"/>
    <w:rsid w:val="000A3486"/>
    <w:rsid w:val="000A44C7"/>
    <w:rsid w:val="000A4DD1"/>
    <w:rsid w:val="000A70F8"/>
    <w:rsid w:val="000A71F4"/>
    <w:rsid w:val="000A733E"/>
    <w:rsid w:val="000A79DA"/>
    <w:rsid w:val="000B0B8F"/>
    <w:rsid w:val="000B1702"/>
    <w:rsid w:val="000B4B51"/>
    <w:rsid w:val="000B7158"/>
    <w:rsid w:val="000C1477"/>
    <w:rsid w:val="000C309C"/>
    <w:rsid w:val="000C5B8B"/>
    <w:rsid w:val="000C7E6E"/>
    <w:rsid w:val="000D0BC5"/>
    <w:rsid w:val="000D1B55"/>
    <w:rsid w:val="000D3C75"/>
    <w:rsid w:val="000D53CB"/>
    <w:rsid w:val="000D6116"/>
    <w:rsid w:val="000D7A3D"/>
    <w:rsid w:val="000D7B04"/>
    <w:rsid w:val="000E0557"/>
    <w:rsid w:val="000E0655"/>
    <w:rsid w:val="000E0A71"/>
    <w:rsid w:val="000E686B"/>
    <w:rsid w:val="000F3EDB"/>
    <w:rsid w:val="000F3EE7"/>
    <w:rsid w:val="000F68B1"/>
    <w:rsid w:val="000F6F19"/>
    <w:rsid w:val="000F7AC2"/>
    <w:rsid w:val="00100E19"/>
    <w:rsid w:val="00102D69"/>
    <w:rsid w:val="00110EDB"/>
    <w:rsid w:val="00111DCD"/>
    <w:rsid w:val="00114CF9"/>
    <w:rsid w:val="0011564C"/>
    <w:rsid w:val="001167AA"/>
    <w:rsid w:val="00117157"/>
    <w:rsid w:val="00123898"/>
    <w:rsid w:val="00124855"/>
    <w:rsid w:val="00124EC6"/>
    <w:rsid w:val="001254F5"/>
    <w:rsid w:val="001336D3"/>
    <w:rsid w:val="001364AA"/>
    <w:rsid w:val="00136FAD"/>
    <w:rsid w:val="00143D5F"/>
    <w:rsid w:val="00144B4A"/>
    <w:rsid w:val="00146F0A"/>
    <w:rsid w:val="00146FFD"/>
    <w:rsid w:val="00147B36"/>
    <w:rsid w:val="00147B6B"/>
    <w:rsid w:val="00150196"/>
    <w:rsid w:val="00150D1D"/>
    <w:rsid w:val="00152124"/>
    <w:rsid w:val="00152C2B"/>
    <w:rsid w:val="001542FC"/>
    <w:rsid w:val="00154C5F"/>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2DA4"/>
    <w:rsid w:val="00191926"/>
    <w:rsid w:val="00191C33"/>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7319"/>
    <w:rsid w:val="001C7D87"/>
    <w:rsid w:val="001D299A"/>
    <w:rsid w:val="001D3E87"/>
    <w:rsid w:val="001D5F16"/>
    <w:rsid w:val="001D6FAB"/>
    <w:rsid w:val="001E0EC8"/>
    <w:rsid w:val="001E1D18"/>
    <w:rsid w:val="001E2C0F"/>
    <w:rsid w:val="001E668A"/>
    <w:rsid w:val="001E6A63"/>
    <w:rsid w:val="001F0A4F"/>
    <w:rsid w:val="001F2A14"/>
    <w:rsid w:val="001F3F0E"/>
    <w:rsid w:val="001F4ADC"/>
    <w:rsid w:val="001F5597"/>
    <w:rsid w:val="001F71ED"/>
    <w:rsid w:val="00203D3A"/>
    <w:rsid w:val="00203FF3"/>
    <w:rsid w:val="002044B4"/>
    <w:rsid w:val="00207086"/>
    <w:rsid w:val="00211D60"/>
    <w:rsid w:val="0021501E"/>
    <w:rsid w:val="0021546A"/>
    <w:rsid w:val="0021572A"/>
    <w:rsid w:val="002205C0"/>
    <w:rsid w:val="0022494A"/>
    <w:rsid w:val="00225507"/>
    <w:rsid w:val="00232223"/>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3217"/>
    <w:rsid w:val="002E5E6A"/>
    <w:rsid w:val="002E6FBB"/>
    <w:rsid w:val="002F22FA"/>
    <w:rsid w:val="002F37BE"/>
    <w:rsid w:val="002F41CA"/>
    <w:rsid w:val="002F4C6A"/>
    <w:rsid w:val="002F527C"/>
    <w:rsid w:val="002F70F6"/>
    <w:rsid w:val="00300D0B"/>
    <w:rsid w:val="003043BE"/>
    <w:rsid w:val="00305181"/>
    <w:rsid w:val="00306096"/>
    <w:rsid w:val="00306974"/>
    <w:rsid w:val="00307014"/>
    <w:rsid w:val="00307CAC"/>
    <w:rsid w:val="00313A1F"/>
    <w:rsid w:val="00314F93"/>
    <w:rsid w:val="0031645D"/>
    <w:rsid w:val="00320A67"/>
    <w:rsid w:val="00320FB8"/>
    <w:rsid w:val="00324AC9"/>
    <w:rsid w:val="003272FB"/>
    <w:rsid w:val="00330857"/>
    <w:rsid w:val="00330C50"/>
    <w:rsid w:val="00331499"/>
    <w:rsid w:val="0033580E"/>
    <w:rsid w:val="00337F09"/>
    <w:rsid w:val="00343D1E"/>
    <w:rsid w:val="0035054D"/>
    <w:rsid w:val="00354258"/>
    <w:rsid w:val="00355593"/>
    <w:rsid w:val="00357548"/>
    <w:rsid w:val="00357E0E"/>
    <w:rsid w:val="00361B9C"/>
    <w:rsid w:val="00361D89"/>
    <w:rsid w:val="00367265"/>
    <w:rsid w:val="003672FB"/>
    <w:rsid w:val="00370588"/>
    <w:rsid w:val="00370797"/>
    <w:rsid w:val="003707FE"/>
    <w:rsid w:val="00370C79"/>
    <w:rsid w:val="003712F3"/>
    <w:rsid w:val="00372D3E"/>
    <w:rsid w:val="003746C6"/>
    <w:rsid w:val="00375763"/>
    <w:rsid w:val="00375BEA"/>
    <w:rsid w:val="00376CEC"/>
    <w:rsid w:val="00380758"/>
    <w:rsid w:val="003810B1"/>
    <w:rsid w:val="003815E5"/>
    <w:rsid w:val="00381E2B"/>
    <w:rsid w:val="003821A1"/>
    <w:rsid w:val="003838B4"/>
    <w:rsid w:val="00384029"/>
    <w:rsid w:val="00385BBD"/>
    <w:rsid w:val="00387929"/>
    <w:rsid w:val="00390988"/>
    <w:rsid w:val="0039347E"/>
    <w:rsid w:val="00393D5B"/>
    <w:rsid w:val="0039460D"/>
    <w:rsid w:val="00394873"/>
    <w:rsid w:val="00394A1E"/>
    <w:rsid w:val="003968C7"/>
    <w:rsid w:val="00397A02"/>
    <w:rsid w:val="003A2246"/>
    <w:rsid w:val="003A2658"/>
    <w:rsid w:val="003A4BD5"/>
    <w:rsid w:val="003A4CF6"/>
    <w:rsid w:val="003A61F9"/>
    <w:rsid w:val="003A6975"/>
    <w:rsid w:val="003B0793"/>
    <w:rsid w:val="003B0D66"/>
    <w:rsid w:val="003B11BA"/>
    <w:rsid w:val="003B1E88"/>
    <w:rsid w:val="003B5E96"/>
    <w:rsid w:val="003C3F7B"/>
    <w:rsid w:val="003C5243"/>
    <w:rsid w:val="003C53ED"/>
    <w:rsid w:val="003D0B7E"/>
    <w:rsid w:val="003D4E0F"/>
    <w:rsid w:val="003D5C0A"/>
    <w:rsid w:val="003E16E1"/>
    <w:rsid w:val="003E1871"/>
    <w:rsid w:val="003E1FFD"/>
    <w:rsid w:val="003E3072"/>
    <w:rsid w:val="003E504D"/>
    <w:rsid w:val="003E656A"/>
    <w:rsid w:val="003E78B7"/>
    <w:rsid w:val="003F0230"/>
    <w:rsid w:val="003F3016"/>
    <w:rsid w:val="003F38EB"/>
    <w:rsid w:val="003F76E5"/>
    <w:rsid w:val="003F7952"/>
    <w:rsid w:val="004012CF"/>
    <w:rsid w:val="004015EE"/>
    <w:rsid w:val="00402FF3"/>
    <w:rsid w:val="0040673A"/>
    <w:rsid w:val="004069EB"/>
    <w:rsid w:val="00410ACB"/>
    <w:rsid w:val="00411E6F"/>
    <w:rsid w:val="00412600"/>
    <w:rsid w:val="004150FE"/>
    <w:rsid w:val="00421D09"/>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2DA6"/>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549B"/>
    <w:rsid w:val="004967E2"/>
    <w:rsid w:val="004975A8"/>
    <w:rsid w:val="004A114B"/>
    <w:rsid w:val="004A2363"/>
    <w:rsid w:val="004A290F"/>
    <w:rsid w:val="004A55D8"/>
    <w:rsid w:val="004A5FFD"/>
    <w:rsid w:val="004A7B62"/>
    <w:rsid w:val="004A7CE2"/>
    <w:rsid w:val="004B031A"/>
    <w:rsid w:val="004B1236"/>
    <w:rsid w:val="004B1ACE"/>
    <w:rsid w:val="004B234F"/>
    <w:rsid w:val="004B353F"/>
    <w:rsid w:val="004B59BB"/>
    <w:rsid w:val="004B5CCC"/>
    <w:rsid w:val="004C117E"/>
    <w:rsid w:val="004C2845"/>
    <w:rsid w:val="004C3081"/>
    <w:rsid w:val="004C7961"/>
    <w:rsid w:val="004D0658"/>
    <w:rsid w:val="004D08EB"/>
    <w:rsid w:val="004D3B15"/>
    <w:rsid w:val="004D54E3"/>
    <w:rsid w:val="004D6459"/>
    <w:rsid w:val="004D761E"/>
    <w:rsid w:val="004E1A3D"/>
    <w:rsid w:val="004E1A71"/>
    <w:rsid w:val="004E2371"/>
    <w:rsid w:val="004E3C3B"/>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3FC4"/>
    <w:rsid w:val="00514207"/>
    <w:rsid w:val="005146B1"/>
    <w:rsid w:val="005149BE"/>
    <w:rsid w:val="00515090"/>
    <w:rsid w:val="005179E4"/>
    <w:rsid w:val="00521E57"/>
    <w:rsid w:val="00525093"/>
    <w:rsid w:val="005305EA"/>
    <w:rsid w:val="0053201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5860"/>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2D39"/>
    <w:rsid w:val="0060676C"/>
    <w:rsid w:val="00606B79"/>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56060"/>
    <w:rsid w:val="00661753"/>
    <w:rsid w:val="0066216F"/>
    <w:rsid w:val="00663C3F"/>
    <w:rsid w:val="00664B05"/>
    <w:rsid w:val="006654F6"/>
    <w:rsid w:val="00666CAF"/>
    <w:rsid w:val="00675390"/>
    <w:rsid w:val="00676CAA"/>
    <w:rsid w:val="006802CF"/>
    <w:rsid w:val="006827AB"/>
    <w:rsid w:val="006831E4"/>
    <w:rsid w:val="00683B62"/>
    <w:rsid w:val="006848B7"/>
    <w:rsid w:val="006868A7"/>
    <w:rsid w:val="00690791"/>
    <w:rsid w:val="006915EA"/>
    <w:rsid w:val="00694828"/>
    <w:rsid w:val="006A1B2A"/>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D23FC"/>
    <w:rsid w:val="006D643D"/>
    <w:rsid w:val="006E063C"/>
    <w:rsid w:val="006E0EA3"/>
    <w:rsid w:val="006E3851"/>
    <w:rsid w:val="006E53FF"/>
    <w:rsid w:val="006E7EEE"/>
    <w:rsid w:val="006F1167"/>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2E3A"/>
    <w:rsid w:val="00713CE6"/>
    <w:rsid w:val="007169EF"/>
    <w:rsid w:val="00721506"/>
    <w:rsid w:val="007216DB"/>
    <w:rsid w:val="0072323D"/>
    <w:rsid w:val="007246D3"/>
    <w:rsid w:val="00725F5A"/>
    <w:rsid w:val="007274EC"/>
    <w:rsid w:val="00737175"/>
    <w:rsid w:val="00737605"/>
    <w:rsid w:val="007404D5"/>
    <w:rsid w:val="00740BDD"/>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623B"/>
    <w:rsid w:val="00766EFD"/>
    <w:rsid w:val="00767E4B"/>
    <w:rsid w:val="007718AD"/>
    <w:rsid w:val="007742A7"/>
    <w:rsid w:val="00777034"/>
    <w:rsid w:val="007851D5"/>
    <w:rsid w:val="0078766F"/>
    <w:rsid w:val="00787BC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319E"/>
    <w:rsid w:val="007E4FA1"/>
    <w:rsid w:val="007E7B07"/>
    <w:rsid w:val="007E7BAB"/>
    <w:rsid w:val="007E7DCE"/>
    <w:rsid w:val="007E7EB9"/>
    <w:rsid w:val="007E7FA9"/>
    <w:rsid w:val="007F20AC"/>
    <w:rsid w:val="007F6623"/>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4DCD"/>
    <w:rsid w:val="00824EC8"/>
    <w:rsid w:val="00827964"/>
    <w:rsid w:val="008311A6"/>
    <w:rsid w:val="008327EA"/>
    <w:rsid w:val="00833E8A"/>
    <w:rsid w:val="008349CC"/>
    <w:rsid w:val="00834D2F"/>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B18"/>
    <w:rsid w:val="00870F44"/>
    <w:rsid w:val="00872ECB"/>
    <w:rsid w:val="0087456A"/>
    <w:rsid w:val="008763E4"/>
    <w:rsid w:val="008770FC"/>
    <w:rsid w:val="00877C8E"/>
    <w:rsid w:val="00880488"/>
    <w:rsid w:val="00884054"/>
    <w:rsid w:val="00890B7A"/>
    <w:rsid w:val="00890C62"/>
    <w:rsid w:val="0089173B"/>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4DF4"/>
    <w:rsid w:val="008B5971"/>
    <w:rsid w:val="008B6C58"/>
    <w:rsid w:val="008B70DC"/>
    <w:rsid w:val="008C08BE"/>
    <w:rsid w:val="008C229F"/>
    <w:rsid w:val="008C32A8"/>
    <w:rsid w:val="008C3445"/>
    <w:rsid w:val="008C366D"/>
    <w:rsid w:val="008C4E94"/>
    <w:rsid w:val="008C5595"/>
    <w:rsid w:val="008C55A3"/>
    <w:rsid w:val="008C7368"/>
    <w:rsid w:val="008D32F0"/>
    <w:rsid w:val="008D595F"/>
    <w:rsid w:val="008E012F"/>
    <w:rsid w:val="008E6375"/>
    <w:rsid w:val="008F17A1"/>
    <w:rsid w:val="008F2158"/>
    <w:rsid w:val="008F3D79"/>
    <w:rsid w:val="008F4670"/>
    <w:rsid w:val="008F4C65"/>
    <w:rsid w:val="008F5D20"/>
    <w:rsid w:val="008F7579"/>
    <w:rsid w:val="0090019F"/>
    <w:rsid w:val="009018A4"/>
    <w:rsid w:val="00902944"/>
    <w:rsid w:val="009041AF"/>
    <w:rsid w:val="00905422"/>
    <w:rsid w:val="009067B3"/>
    <w:rsid w:val="00906BD5"/>
    <w:rsid w:val="0090759E"/>
    <w:rsid w:val="009104D1"/>
    <w:rsid w:val="00911863"/>
    <w:rsid w:val="00913133"/>
    <w:rsid w:val="009131C3"/>
    <w:rsid w:val="0091475B"/>
    <w:rsid w:val="00914DC8"/>
    <w:rsid w:val="00916358"/>
    <w:rsid w:val="0092120C"/>
    <w:rsid w:val="00921AC3"/>
    <w:rsid w:val="00921DB9"/>
    <w:rsid w:val="0092403D"/>
    <w:rsid w:val="00924E40"/>
    <w:rsid w:val="0092524A"/>
    <w:rsid w:val="00925E60"/>
    <w:rsid w:val="00926C36"/>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793"/>
    <w:rsid w:val="009C62BD"/>
    <w:rsid w:val="009C68AC"/>
    <w:rsid w:val="009D26AD"/>
    <w:rsid w:val="009D341C"/>
    <w:rsid w:val="009D3C55"/>
    <w:rsid w:val="009D45BD"/>
    <w:rsid w:val="009D5261"/>
    <w:rsid w:val="009D76A3"/>
    <w:rsid w:val="009E1411"/>
    <w:rsid w:val="009E19FC"/>
    <w:rsid w:val="009E52F2"/>
    <w:rsid w:val="009E70BE"/>
    <w:rsid w:val="009F1118"/>
    <w:rsid w:val="009F1287"/>
    <w:rsid w:val="009F25EB"/>
    <w:rsid w:val="009F2A10"/>
    <w:rsid w:val="009F333B"/>
    <w:rsid w:val="009F3C1F"/>
    <w:rsid w:val="009F614E"/>
    <w:rsid w:val="009F657D"/>
    <w:rsid w:val="009F762B"/>
    <w:rsid w:val="009F76BA"/>
    <w:rsid w:val="009F7E09"/>
    <w:rsid w:val="00A00604"/>
    <w:rsid w:val="00A02047"/>
    <w:rsid w:val="00A02B9D"/>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43D5"/>
    <w:rsid w:val="00A35507"/>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2EAA"/>
    <w:rsid w:val="00A544DC"/>
    <w:rsid w:val="00A55818"/>
    <w:rsid w:val="00A56556"/>
    <w:rsid w:val="00A5790A"/>
    <w:rsid w:val="00A625E2"/>
    <w:rsid w:val="00A63DC7"/>
    <w:rsid w:val="00A65B7E"/>
    <w:rsid w:val="00A70289"/>
    <w:rsid w:val="00A72105"/>
    <w:rsid w:val="00A72465"/>
    <w:rsid w:val="00A80C92"/>
    <w:rsid w:val="00A82461"/>
    <w:rsid w:val="00A84417"/>
    <w:rsid w:val="00A851D8"/>
    <w:rsid w:val="00A870C4"/>
    <w:rsid w:val="00A87326"/>
    <w:rsid w:val="00A94568"/>
    <w:rsid w:val="00A953BA"/>
    <w:rsid w:val="00A95C19"/>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604"/>
    <w:rsid w:val="00AD3AA2"/>
    <w:rsid w:val="00AD43B8"/>
    <w:rsid w:val="00AD4B1A"/>
    <w:rsid w:val="00AD5295"/>
    <w:rsid w:val="00AE008F"/>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23384"/>
    <w:rsid w:val="00B27F33"/>
    <w:rsid w:val="00B32CD3"/>
    <w:rsid w:val="00B34CED"/>
    <w:rsid w:val="00B35A93"/>
    <w:rsid w:val="00B3672D"/>
    <w:rsid w:val="00B37E9B"/>
    <w:rsid w:val="00B433C9"/>
    <w:rsid w:val="00B436EA"/>
    <w:rsid w:val="00B437D8"/>
    <w:rsid w:val="00B44ADE"/>
    <w:rsid w:val="00B464D1"/>
    <w:rsid w:val="00B46B42"/>
    <w:rsid w:val="00B4745C"/>
    <w:rsid w:val="00B52D3E"/>
    <w:rsid w:val="00B52E55"/>
    <w:rsid w:val="00B534F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BE3339"/>
    <w:rsid w:val="00BF1D3A"/>
    <w:rsid w:val="00C008B2"/>
    <w:rsid w:val="00C0130E"/>
    <w:rsid w:val="00C01ABC"/>
    <w:rsid w:val="00C01E1C"/>
    <w:rsid w:val="00C01F6B"/>
    <w:rsid w:val="00C02A84"/>
    <w:rsid w:val="00C07B2D"/>
    <w:rsid w:val="00C12209"/>
    <w:rsid w:val="00C135B2"/>
    <w:rsid w:val="00C14CD6"/>
    <w:rsid w:val="00C15C47"/>
    <w:rsid w:val="00C16927"/>
    <w:rsid w:val="00C2082E"/>
    <w:rsid w:val="00C20835"/>
    <w:rsid w:val="00C22CC5"/>
    <w:rsid w:val="00C24A09"/>
    <w:rsid w:val="00C25084"/>
    <w:rsid w:val="00C274BE"/>
    <w:rsid w:val="00C274C6"/>
    <w:rsid w:val="00C310B6"/>
    <w:rsid w:val="00C321D9"/>
    <w:rsid w:val="00C3330D"/>
    <w:rsid w:val="00C34654"/>
    <w:rsid w:val="00C347FE"/>
    <w:rsid w:val="00C357BE"/>
    <w:rsid w:val="00C4006D"/>
    <w:rsid w:val="00C4530E"/>
    <w:rsid w:val="00C45C21"/>
    <w:rsid w:val="00C52786"/>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32F8"/>
    <w:rsid w:val="00C976C0"/>
    <w:rsid w:val="00CA5334"/>
    <w:rsid w:val="00CA6A85"/>
    <w:rsid w:val="00CA6FDA"/>
    <w:rsid w:val="00CB0886"/>
    <w:rsid w:val="00CB2CC0"/>
    <w:rsid w:val="00CB3B6F"/>
    <w:rsid w:val="00CB5099"/>
    <w:rsid w:val="00CC0C5F"/>
    <w:rsid w:val="00CC2F3D"/>
    <w:rsid w:val="00CC4CF6"/>
    <w:rsid w:val="00CC51A7"/>
    <w:rsid w:val="00CC5FF3"/>
    <w:rsid w:val="00CC6072"/>
    <w:rsid w:val="00CD1612"/>
    <w:rsid w:val="00CD262A"/>
    <w:rsid w:val="00CD365B"/>
    <w:rsid w:val="00CD4BFA"/>
    <w:rsid w:val="00CE0E72"/>
    <w:rsid w:val="00CE2ADF"/>
    <w:rsid w:val="00CE367D"/>
    <w:rsid w:val="00CE3B78"/>
    <w:rsid w:val="00CE6D6A"/>
    <w:rsid w:val="00CF1C84"/>
    <w:rsid w:val="00CF1D7D"/>
    <w:rsid w:val="00CF270A"/>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7C6"/>
    <w:rsid w:val="00D25BEE"/>
    <w:rsid w:val="00D27079"/>
    <w:rsid w:val="00D2737E"/>
    <w:rsid w:val="00D274A9"/>
    <w:rsid w:val="00D302CF"/>
    <w:rsid w:val="00D32644"/>
    <w:rsid w:val="00D33619"/>
    <w:rsid w:val="00D36C02"/>
    <w:rsid w:val="00D400F4"/>
    <w:rsid w:val="00D43CF1"/>
    <w:rsid w:val="00D449AE"/>
    <w:rsid w:val="00D477C3"/>
    <w:rsid w:val="00D508EB"/>
    <w:rsid w:val="00D51B89"/>
    <w:rsid w:val="00D52AC7"/>
    <w:rsid w:val="00D54CA9"/>
    <w:rsid w:val="00D54D64"/>
    <w:rsid w:val="00D5567D"/>
    <w:rsid w:val="00D55FBE"/>
    <w:rsid w:val="00D604FD"/>
    <w:rsid w:val="00D61241"/>
    <w:rsid w:val="00D6297A"/>
    <w:rsid w:val="00D6340F"/>
    <w:rsid w:val="00D6535E"/>
    <w:rsid w:val="00D654EC"/>
    <w:rsid w:val="00D6681B"/>
    <w:rsid w:val="00D66C0C"/>
    <w:rsid w:val="00D67A43"/>
    <w:rsid w:val="00D720DC"/>
    <w:rsid w:val="00D72D16"/>
    <w:rsid w:val="00D742B9"/>
    <w:rsid w:val="00D7492C"/>
    <w:rsid w:val="00D766CC"/>
    <w:rsid w:val="00D81029"/>
    <w:rsid w:val="00D8195B"/>
    <w:rsid w:val="00D821F8"/>
    <w:rsid w:val="00D832FA"/>
    <w:rsid w:val="00D848F9"/>
    <w:rsid w:val="00D84DDC"/>
    <w:rsid w:val="00D85695"/>
    <w:rsid w:val="00D857BA"/>
    <w:rsid w:val="00D8619F"/>
    <w:rsid w:val="00D86764"/>
    <w:rsid w:val="00D870AC"/>
    <w:rsid w:val="00D90B92"/>
    <w:rsid w:val="00D92036"/>
    <w:rsid w:val="00D95611"/>
    <w:rsid w:val="00DA0DF2"/>
    <w:rsid w:val="00DA1152"/>
    <w:rsid w:val="00DA41D7"/>
    <w:rsid w:val="00DA494B"/>
    <w:rsid w:val="00DA5B72"/>
    <w:rsid w:val="00DB0265"/>
    <w:rsid w:val="00DB0CE0"/>
    <w:rsid w:val="00DB5C0A"/>
    <w:rsid w:val="00DC0220"/>
    <w:rsid w:val="00DC0A85"/>
    <w:rsid w:val="00DC6B33"/>
    <w:rsid w:val="00DC6FF8"/>
    <w:rsid w:val="00DD01FC"/>
    <w:rsid w:val="00DD13E2"/>
    <w:rsid w:val="00DD435C"/>
    <w:rsid w:val="00DE47A1"/>
    <w:rsid w:val="00DE7DCC"/>
    <w:rsid w:val="00DF003C"/>
    <w:rsid w:val="00DF0E8B"/>
    <w:rsid w:val="00DF0F8A"/>
    <w:rsid w:val="00DF137F"/>
    <w:rsid w:val="00DF4501"/>
    <w:rsid w:val="00DF5C75"/>
    <w:rsid w:val="00DF65E5"/>
    <w:rsid w:val="00DF6971"/>
    <w:rsid w:val="00DF78AE"/>
    <w:rsid w:val="00E00E78"/>
    <w:rsid w:val="00E0759A"/>
    <w:rsid w:val="00E076C1"/>
    <w:rsid w:val="00E11E2E"/>
    <w:rsid w:val="00E1235F"/>
    <w:rsid w:val="00E13C83"/>
    <w:rsid w:val="00E15555"/>
    <w:rsid w:val="00E15B7D"/>
    <w:rsid w:val="00E23477"/>
    <w:rsid w:val="00E2408E"/>
    <w:rsid w:val="00E25A1A"/>
    <w:rsid w:val="00E27CDB"/>
    <w:rsid w:val="00E371EC"/>
    <w:rsid w:val="00E43116"/>
    <w:rsid w:val="00E444DA"/>
    <w:rsid w:val="00E50F38"/>
    <w:rsid w:val="00E51A48"/>
    <w:rsid w:val="00E550AA"/>
    <w:rsid w:val="00E571F8"/>
    <w:rsid w:val="00E57E5A"/>
    <w:rsid w:val="00E6173D"/>
    <w:rsid w:val="00E6369C"/>
    <w:rsid w:val="00E63C1D"/>
    <w:rsid w:val="00E64F0A"/>
    <w:rsid w:val="00E67668"/>
    <w:rsid w:val="00E70AEE"/>
    <w:rsid w:val="00E7107E"/>
    <w:rsid w:val="00E71C93"/>
    <w:rsid w:val="00E725D5"/>
    <w:rsid w:val="00E72AE3"/>
    <w:rsid w:val="00E73B51"/>
    <w:rsid w:val="00E76B98"/>
    <w:rsid w:val="00E76D0D"/>
    <w:rsid w:val="00E8151C"/>
    <w:rsid w:val="00E81A88"/>
    <w:rsid w:val="00E81E9C"/>
    <w:rsid w:val="00E82E15"/>
    <w:rsid w:val="00E83FE9"/>
    <w:rsid w:val="00E84151"/>
    <w:rsid w:val="00E86FA6"/>
    <w:rsid w:val="00E91409"/>
    <w:rsid w:val="00E91D17"/>
    <w:rsid w:val="00E936FF"/>
    <w:rsid w:val="00E939C8"/>
    <w:rsid w:val="00E93A33"/>
    <w:rsid w:val="00E93B6B"/>
    <w:rsid w:val="00E94308"/>
    <w:rsid w:val="00E96C74"/>
    <w:rsid w:val="00EA1F89"/>
    <w:rsid w:val="00EA224E"/>
    <w:rsid w:val="00EA2512"/>
    <w:rsid w:val="00EA5177"/>
    <w:rsid w:val="00EA7FEF"/>
    <w:rsid w:val="00EB117B"/>
    <w:rsid w:val="00EB2BEB"/>
    <w:rsid w:val="00EB40D6"/>
    <w:rsid w:val="00EB4222"/>
    <w:rsid w:val="00EB5F75"/>
    <w:rsid w:val="00EB79CD"/>
    <w:rsid w:val="00EC52A5"/>
    <w:rsid w:val="00EC6EEE"/>
    <w:rsid w:val="00ED4C91"/>
    <w:rsid w:val="00ED5985"/>
    <w:rsid w:val="00EE0648"/>
    <w:rsid w:val="00EE079C"/>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48D7"/>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5CC1"/>
    <w:rsid w:val="00F367F2"/>
    <w:rsid w:val="00F370A2"/>
    <w:rsid w:val="00F403EA"/>
    <w:rsid w:val="00F42452"/>
    <w:rsid w:val="00F42753"/>
    <w:rsid w:val="00F42E10"/>
    <w:rsid w:val="00F440D8"/>
    <w:rsid w:val="00F44A7B"/>
    <w:rsid w:val="00F44FFA"/>
    <w:rsid w:val="00F45B6F"/>
    <w:rsid w:val="00F46BBF"/>
    <w:rsid w:val="00F510DB"/>
    <w:rsid w:val="00F516E3"/>
    <w:rsid w:val="00F5627B"/>
    <w:rsid w:val="00F567CC"/>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EBB"/>
    <w:rsid w:val="00FB5F2A"/>
    <w:rsid w:val="00FB6CF8"/>
    <w:rsid w:val="00FC16E9"/>
    <w:rsid w:val="00FC279C"/>
    <w:rsid w:val="00FC45DE"/>
    <w:rsid w:val="00FC48CB"/>
    <w:rsid w:val="00FC4F9B"/>
    <w:rsid w:val="00FC59F0"/>
    <w:rsid w:val="00FD0B6D"/>
    <w:rsid w:val="00FD2DEC"/>
    <w:rsid w:val="00FD40CE"/>
    <w:rsid w:val="00FD4599"/>
    <w:rsid w:val="00FD4784"/>
    <w:rsid w:val="00FD51A0"/>
    <w:rsid w:val="00FD65FE"/>
    <w:rsid w:val="00FD74EB"/>
    <w:rsid w:val="00FE009C"/>
    <w:rsid w:val="00FE01E5"/>
    <w:rsid w:val="00FE214F"/>
    <w:rsid w:val="00FE3DA3"/>
    <w:rsid w:val="00FE4094"/>
    <w:rsid w:val="00FE6BC1"/>
    <w:rsid w:val="00FE73F0"/>
    <w:rsid w:val="00FF1082"/>
    <w:rsid w:val="00FF3652"/>
    <w:rsid w:val="00FF4455"/>
    <w:rsid w:val="00FF465F"/>
    <w:rsid w:val="00FF60C8"/>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B8550-DB4B-4E20-B3DE-43F1E183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50</Pages>
  <Words>9325</Words>
  <Characters>51292</Characters>
  <Application>Microsoft Office Word</Application>
  <DocSecurity>0</DocSecurity>
  <Lines>427</Lines>
  <Paragraphs>120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41</cp:revision>
  <cp:lastPrinted>2019-11-07T00:56:00Z</cp:lastPrinted>
  <dcterms:created xsi:type="dcterms:W3CDTF">2023-09-04T20:43:00Z</dcterms:created>
  <dcterms:modified xsi:type="dcterms:W3CDTF">2023-11-07T15:05:00Z</dcterms:modified>
</cp:coreProperties>
</file>