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5BF0B"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dos de agosto de dos mil veintitrés. </w:t>
      </w:r>
    </w:p>
    <w:p w14:paraId="1F2F0C7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VISTO</w:t>
      </w:r>
      <w:r w:rsidRPr="00F23522">
        <w:rPr>
          <w:rFonts w:ascii="Palatino Linotype" w:eastAsia="Palatino Linotype" w:hAnsi="Palatino Linotype" w:cs="Palatino Linotype"/>
        </w:rPr>
        <w:t xml:space="preserve"> el expediente formado con motivo del recurso de revisión </w:t>
      </w:r>
      <w:r w:rsidRPr="00F23522">
        <w:rPr>
          <w:rFonts w:ascii="Palatino Linotype" w:eastAsia="Palatino Linotype" w:hAnsi="Palatino Linotype" w:cs="Palatino Linotype"/>
          <w:b/>
        </w:rPr>
        <w:t>01199/INFOEM/IP/RR/2023</w:t>
      </w:r>
      <w:r w:rsidRPr="00F23522">
        <w:rPr>
          <w:rFonts w:ascii="Palatino Linotype" w:eastAsia="Palatino Linotype" w:hAnsi="Palatino Linotype" w:cs="Palatino Linotype"/>
        </w:rPr>
        <w:t>, interpuesto por</w:t>
      </w:r>
      <w:r w:rsidRPr="00F23522">
        <w:rPr>
          <w:rFonts w:ascii="Palatino Linotype" w:eastAsia="Palatino Linotype" w:hAnsi="Palatino Linotype" w:cs="Palatino Linotype"/>
          <w:b/>
        </w:rPr>
        <w:t xml:space="preserve"> un particular que no proporcionó nombre o seudónimo</w:t>
      </w:r>
      <w:r w:rsidRPr="00F23522">
        <w:rPr>
          <w:rFonts w:ascii="Palatino Linotype" w:eastAsia="Palatino Linotype" w:hAnsi="Palatino Linotype" w:cs="Palatino Linotype"/>
        </w:rPr>
        <w:t>, en lo sucesivo</w:t>
      </w:r>
      <w:r w:rsidRPr="00F23522">
        <w:rPr>
          <w:rFonts w:ascii="Palatino Linotype" w:eastAsia="Palatino Linotype" w:hAnsi="Palatino Linotype" w:cs="Palatino Linotype"/>
          <w:b/>
        </w:rPr>
        <w:t xml:space="preserve"> </w:t>
      </w:r>
      <w:r w:rsidRPr="00F23522">
        <w:rPr>
          <w:rFonts w:ascii="Palatino Linotype" w:eastAsia="Palatino Linotype" w:hAnsi="Palatino Linotype" w:cs="Palatino Linotype"/>
        </w:rPr>
        <w:t xml:space="preserve">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en contra de la respuesta a su solicitud por parte del </w:t>
      </w:r>
      <w:r w:rsidRPr="00F23522">
        <w:rPr>
          <w:rFonts w:ascii="Palatino Linotype" w:eastAsia="Palatino Linotype" w:hAnsi="Palatino Linotype" w:cs="Palatino Linotype"/>
          <w:b/>
        </w:rPr>
        <w:t xml:space="preserve">Ayuntamiento de Toluca, </w:t>
      </w:r>
      <w:r w:rsidRPr="00F23522">
        <w:rPr>
          <w:rFonts w:ascii="Palatino Linotype" w:eastAsia="Palatino Linotype" w:hAnsi="Palatino Linotype" w:cs="Palatino Linotype"/>
        </w:rPr>
        <w:t xml:space="preserve">en lo sucesivo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 xml:space="preserve">se procede a dictar la presente resolución con base en los siguientes: </w:t>
      </w:r>
    </w:p>
    <w:p w14:paraId="6AFF3595" w14:textId="77777777" w:rsidR="00B15CEF" w:rsidRPr="00F23522" w:rsidRDefault="00B8282C">
      <w:pPr>
        <w:spacing w:before="240" w:after="240" w:line="360" w:lineRule="auto"/>
        <w:jc w:val="center"/>
        <w:rPr>
          <w:rFonts w:ascii="Palatino Linotype" w:eastAsia="Palatino Linotype" w:hAnsi="Palatino Linotype" w:cs="Palatino Linotype"/>
          <w:b/>
        </w:rPr>
      </w:pPr>
      <w:r w:rsidRPr="00F23522">
        <w:rPr>
          <w:rFonts w:ascii="Palatino Linotype" w:eastAsia="Palatino Linotype" w:hAnsi="Palatino Linotype" w:cs="Palatino Linotype"/>
          <w:b/>
        </w:rPr>
        <w:t>I. A N T E C E D E N T E S</w:t>
      </w:r>
    </w:p>
    <w:p w14:paraId="5BB77FFA"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1. Solicitud de acceso a la información.</w:t>
      </w:r>
      <w:r w:rsidRPr="00F23522">
        <w:rPr>
          <w:rFonts w:ascii="Palatino Linotype" w:eastAsia="Palatino Linotype" w:hAnsi="Palatino Linotype" w:cs="Palatino Linotype"/>
        </w:rPr>
        <w:t xml:space="preserve"> Con fecha </w:t>
      </w:r>
      <w:r w:rsidRPr="00F23522">
        <w:rPr>
          <w:rFonts w:ascii="Palatino Linotype" w:eastAsia="Palatino Linotype" w:hAnsi="Palatino Linotype" w:cs="Palatino Linotype"/>
          <w:b/>
        </w:rPr>
        <w:t>treinta de enero de</w:t>
      </w:r>
      <w:r w:rsidRPr="00F23522">
        <w:rPr>
          <w:rFonts w:ascii="Palatino Linotype" w:eastAsia="Palatino Linotype" w:hAnsi="Palatino Linotype" w:cs="Palatino Linotype"/>
        </w:rPr>
        <w:t xml:space="preserve"> </w:t>
      </w:r>
      <w:r w:rsidRPr="00F23522">
        <w:rPr>
          <w:rFonts w:ascii="Palatino Linotype" w:eastAsia="Palatino Linotype" w:hAnsi="Palatino Linotype" w:cs="Palatino Linotype"/>
          <w:b/>
        </w:rPr>
        <w:t>dos mil veintitrés,</w:t>
      </w:r>
      <w:r w:rsidRPr="00F23522">
        <w:rPr>
          <w:rFonts w:ascii="Palatino Linotype" w:eastAsia="Palatino Linotype" w:hAnsi="Palatino Linotype" w:cs="Palatino Linotype"/>
        </w:rPr>
        <w:t xml:space="preserve"> la parte </w:t>
      </w:r>
      <w:r w:rsidRPr="00F23522">
        <w:rPr>
          <w:rFonts w:ascii="Palatino Linotype" w:eastAsia="Palatino Linotype" w:hAnsi="Palatino Linotype" w:cs="Palatino Linotype"/>
          <w:b/>
        </w:rPr>
        <w:t xml:space="preserve">Recurrente </w:t>
      </w:r>
      <w:r w:rsidRPr="00F23522">
        <w:rPr>
          <w:rFonts w:ascii="Palatino Linotype" w:eastAsia="Palatino Linotype" w:hAnsi="Palatino Linotype" w:cs="Palatino Linotype"/>
        </w:rPr>
        <w:t xml:space="preserve">presentó, a través del Sistema de Acceso a la Información Mexiquense, en lo subsecuente el </w:t>
      </w:r>
      <w:r w:rsidRPr="00F23522">
        <w:rPr>
          <w:rFonts w:ascii="Palatino Linotype" w:eastAsia="Palatino Linotype" w:hAnsi="Palatino Linotype" w:cs="Palatino Linotype"/>
          <w:b/>
        </w:rPr>
        <w:t>SAIMEX,</w:t>
      </w:r>
      <w:r w:rsidRPr="00F23522">
        <w:rPr>
          <w:rFonts w:ascii="Palatino Linotype" w:eastAsia="Palatino Linotype" w:hAnsi="Palatino Linotype" w:cs="Palatino Linotype"/>
        </w:rPr>
        <w:t xml:space="preserve"> ante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la solicitud de acceso a la información pública, a la que se le asignó el número</w:t>
      </w:r>
      <w:r w:rsidRPr="00F23522">
        <w:rPr>
          <w:rFonts w:ascii="Palatino Linotype" w:eastAsia="Palatino Linotype" w:hAnsi="Palatino Linotype" w:cs="Palatino Linotype"/>
          <w:b/>
        </w:rPr>
        <w:t xml:space="preserve"> 00294/TOLUCA/IP/2023, </w:t>
      </w:r>
      <w:r w:rsidRPr="00F23522">
        <w:rPr>
          <w:rFonts w:ascii="Palatino Linotype" w:eastAsia="Palatino Linotype" w:hAnsi="Palatino Linotype" w:cs="Palatino Linotype"/>
        </w:rPr>
        <w:t xml:space="preserve">mediante la cual requirió la información siguiente: </w:t>
      </w:r>
    </w:p>
    <w:p w14:paraId="29B5748F" w14:textId="77777777" w:rsidR="00B15CEF" w:rsidRPr="00F23522" w:rsidRDefault="00B8282C">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F23522">
        <w:rPr>
          <w:rFonts w:ascii="Palatino Linotype" w:eastAsia="Palatino Linotype" w:hAnsi="Palatino Linotype" w:cs="Palatino Linotype"/>
          <w:i/>
          <w:sz w:val="22"/>
          <w:szCs w:val="22"/>
        </w:rPr>
        <w:t xml:space="preserve"> “Solicito listado nominal actualizado al 2023 que contenga nombre del servidor público, área de adscripción, sueldo, puesto, si es sindicalizado o no, funciones</w:t>
      </w:r>
      <w:r w:rsidRPr="00F23522">
        <w:rPr>
          <w:rFonts w:ascii="Palatino Linotype" w:eastAsia="Palatino Linotype" w:hAnsi="Palatino Linotype" w:cs="Palatino Linotype"/>
          <w:b/>
          <w:i/>
          <w:sz w:val="22"/>
          <w:szCs w:val="22"/>
        </w:rPr>
        <w:t>”</w:t>
      </w:r>
      <w:r w:rsidRPr="00F23522">
        <w:rPr>
          <w:rFonts w:ascii="Palatino Linotype" w:eastAsia="Palatino Linotype" w:hAnsi="Palatino Linotype" w:cs="Palatino Linotype"/>
          <w:i/>
          <w:sz w:val="22"/>
          <w:szCs w:val="22"/>
        </w:rPr>
        <w:t xml:space="preserve"> (sic) </w:t>
      </w:r>
    </w:p>
    <w:p w14:paraId="31456A84"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1" w:name="_heading=h.3dy6vkm" w:colFirst="0" w:colLast="0"/>
      <w:bookmarkEnd w:id="1"/>
      <w:r w:rsidRPr="00F23522">
        <w:rPr>
          <w:rFonts w:ascii="Palatino Linotype" w:eastAsia="Palatino Linotype" w:hAnsi="Palatino Linotype" w:cs="Palatino Linotype"/>
          <w:b/>
        </w:rPr>
        <w:t>Modalidad de Entrega:</w:t>
      </w:r>
      <w:r w:rsidRPr="00F23522">
        <w:rPr>
          <w:rFonts w:ascii="Palatino Linotype" w:eastAsia="Palatino Linotype" w:hAnsi="Palatino Linotype" w:cs="Palatino Linotype"/>
        </w:rPr>
        <w:t xml:space="preserve"> a través </w:t>
      </w:r>
      <w:r w:rsidRPr="00F23522">
        <w:rPr>
          <w:rFonts w:ascii="Palatino Linotype" w:eastAsia="Palatino Linotype" w:hAnsi="Palatino Linotype" w:cs="Palatino Linotype"/>
          <w:b/>
        </w:rPr>
        <w:t>de SAIMEX.</w:t>
      </w:r>
    </w:p>
    <w:p w14:paraId="4F141841" w14:textId="77777777" w:rsidR="00B15CEF" w:rsidRPr="00F23522" w:rsidRDefault="00B8282C">
      <w:pPr>
        <w:spacing w:before="240" w:after="240" w:line="360" w:lineRule="auto"/>
        <w:jc w:val="both"/>
        <w:rPr>
          <w:rFonts w:ascii="Palatino Linotype" w:eastAsia="Palatino Linotype" w:hAnsi="Palatino Linotype" w:cs="Palatino Linotype"/>
          <w:b/>
        </w:rPr>
      </w:pPr>
      <w:r w:rsidRPr="00F23522">
        <w:rPr>
          <w:rFonts w:ascii="Palatino Linotype" w:eastAsia="Palatino Linotype" w:hAnsi="Palatino Linotype" w:cs="Palatino Linotype"/>
          <w:b/>
        </w:rPr>
        <w:t xml:space="preserve">2. Respuesta. </w:t>
      </w:r>
      <w:r w:rsidRPr="00F23522">
        <w:rPr>
          <w:rFonts w:ascii="Palatino Linotype" w:eastAsia="Palatino Linotype" w:hAnsi="Palatino Linotype" w:cs="Palatino Linotype"/>
        </w:rPr>
        <w:t>Con fecha</w:t>
      </w:r>
      <w:r w:rsidRPr="00F23522">
        <w:rPr>
          <w:rFonts w:ascii="Palatino Linotype" w:eastAsia="Palatino Linotype" w:hAnsi="Palatino Linotype" w:cs="Palatino Linotype"/>
          <w:b/>
        </w:rPr>
        <w:t xml:space="preserve"> veintiuno de febrero de dos mil veintitrés</w:t>
      </w:r>
      <w:r w:rsidRPr="00F23522">
        <w:rPr>
          <w:rFonts w:ascii="Palatino Linotype" w:eastAsia="Palatino Linotype" w:hAnsi="Palatino Linotype" w:cs="Palatino Linotype"/>
        </w:rPr>
        <w:t xml:space="preserve">,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0F34855" w14:textId="77777777" w:rsidR="00B15CEF" w:rsidRPr="00F23522" w:rsidRDefault="00B8282C">
      <w:pPr>
        <w:spacing w:before="240" w:after="240"/>
        <w:ind w:left="851" w:right="902"/>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i/>
          <w:sz w:val="22"/>
          <w:szCs w:val="22"/>
        </w:rPr>
        <w:lastRenderedPageBreak/>
        <w:t>“…En atención a la solicitud física con folio 00294/TOLUCA/IP/2023, me permito adjuntar al presente la respuesta correspondiente y anexos...” (</w:t>
      </w:r>
      <w:proofErr w:type="gramStart"/>
      <w:r w:rsidRPr="00F23522">
        <w:rPr>
          <w:rFonts w:ascii="Palatino Linotype" w:eastAsia="Palatino Linotype" w:hAnsi="Palatino Linotype" w:cs="Palatino Linotype"/>
          <w:i/>
          <w:sz w:val="22"/>
          <w:szCs w:val="22"/>
        </w:rPr>
        <w:t>sic</w:t>
      </w:r>
      <w:proofErr w:type="gramEnd"/>
      <w:r w:rsidRPr="00F23522">
        <w:rPr>
          <w:rFonts w:ascii="Palatino Linotype" w:eastAsia="Palatino Linotype" w:hAnsi="Palatino Linotype" w:cs="Palatino Linotype"/>
          <w:i/>
          <w:sz w:val="22"/>
          <w:szCs w:val="22"/>
        </w:rPr>
        <w:t>)</w:t>
      </w:r>
    </w:p>
    <w:p w14:paraId="202AD31A"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adjuntó lo siguiente:</w:t>
      </w:r>
    </w:p>
    <w:p w14:paraId="25F14757"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Escrito de fecha veintiuno de febrero de dos mil veintitrés, signado por la Titular de la Unidad de Transparencia, mediante el cual refiere que la Dirección General de Administración hizo entrega del listado nominal actualizado de 2023, donde se visualiza nombre, adscripción, dirección general, sueldo neto, puesto y categoría, en versión pública, de conformidad con el Acta de la Centésima Trigésima Primera Sesión Extraordinaria del Comité de Transparencia; por lo que hace a las funciones, señaló que son ordenadas por el superior jerárquico de cada servidor público, sin embargo, hizo entrega de los Manuales de Organización de todas las áreas de Ayuntamiento, en los que se pueden ver las actividades encomendadas de cada área; y, finalmente, refirió que la información perteneciente a la Dirección General de Seguridad y Protección, es tratada como reservada en partes con fundamento en el artículo 81, fracción III de la Ley de Seguridad del Estado de México, y el artículo 140, fracción I, IV y X de la Ley de Transparencia y Acceso a la Información Pública del Estado de México y Municipios; por su parte el Instituto Municipal de la Mujer de Toluca hizo entrega del Listado nominal; y, finalmente, el Instituto Municipal de Cultura Física y Deporte de Toluca hizo entrega del listado nominal del año 2023, con relación a sus funciones indicó que estas se encuentran establecidas en el Reglamento Interno del Instituto Municipal de Cultura Física y Deporte publicado en la Gaceta semanal volumen 32, el 31 de octubre del año 2022 -mismo que señala adjuntar, sin embargo, no se localiza en el expediente-.</w:t>
      </w:r>
    </w:p>
    <w:p w14:paraId="344AA59B"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Anexos:</w:t>
      </w:r>
    </w:p>
    <w:p w14:paraId="2EBFEC59"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Plantilla de personal adscrito al Instituto Municipal de Cultura Física y Deporte, generada por la Coordinación Administrativa, que contiene nombre completo del servidor público, adscripción, puesto, categoría, sueldo neto mensual.</w:t>
      </w:r>
    </w:p>
    <w:p w14:paraId="13DADF49"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Listado nominal del Instituto Municipal de la Mujer, que contiene nombre del servidor público, área de adscripción, sueldo, puesto, categoría y funciones.</w:t>
      </w:r>
    </w:p>
    <w:p w14:paraId="4EB4BBE6"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Acta de la Centésima Trigésima Primera Sesión Extraordinaria del Comité de Transparencia, de 2023, mediante la cual, derivado de la propuesta presentada por la Servidora Pública Habilitada de la Dirección General de Administración, para dar respuesta a la solicitud de información número 00294/TOLUCA/IP/2023, se sometió a consideración de los integrantes del Comité, el análisis y aprobación de la propuesta de clasificación como información reservada de forma parcial, por un periodo de dos años, referente al nombre de los servidores públicos adscritos a la Dirección General de Seguridad y Protección contenidos en el listado nominal actualizado al 31 de enero de 2023, con fundamento en los artículos 104, fracciones I y II, 113, fracciones I y V de la Ley General de Transparencia y Acceso a la Información Pública; 129, fracciones I y II, y 140, fracciones I, IV y 11 de la Ley de Transparencia y Acceso a la Información Pública del Estado de México y Municipios.</w:t>
      </w:r>
    </w:p>
    <w:p w14:paraId="0699523B"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Listado nominal actualizado al 31 de enero de 2023, generado por la Dirección General de Administración, a través de la Dirección de Recursos Humanos, constante de 102 páginas, que contiene nombre, adscripción, dirección general, sueldo neto mensual, puesto y categoría.</w:t>
      </w:r>
    </w:p>
    <w:p w14:paraId="42F45595"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Manuales de Organización de la Presidencia, de la Secretaría del Ayuntamiento, de la Tesorería Municipal, la Contraloría Municipal, la Dirección General de Gobierno, la Dirección General de Administración, la Dirección General de Medio Ambiente, la Dirección General de Seguridad y Protección, la Dirección General de Servicios Públicos, la Dirección General de Desarrollo Urbano, Ordenamiento Territorial y Obras Públicas, la Dirección General de Desarrollo Económico, y la Dirección General de Desarrollo Social.</w:t>
      </w:r>
    </w:p>
    <w:p w14:paraId="32841F27"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b/>
        </w:rPr>
        <w:t xml:space="preserve">3. Interposición del recurso de revisión. </w:t>
      </w:r>
      <w:r w:rsidRPr="00F23522">
        <w:rPr>
          <w:rFonts w:ascii="Palatino Linotype" w:eastAsia="Palatino Linotype" w:hAnsi="Palatino Linotype" w:cs="Palatino Linotype"/>
        </w:rPr>
        <w:t xml:space="preserve">Inconforme con los términos de la respuesta emitida por parte del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w:t>
      </w:r>
      <w:r w:rsidRPr="00F23522">
        <w:rPr>
          <w:rFonts w:ascii="Palatino Linotype" w:eastAsia="Palatino Linotype" w:hAnsi="Palatino Linotype" w:cs="Palatino Linotype"/>
          <w:b/>
        </w:rPr>
        <w:t>tres de marzo dos mil veintitrés,</w:t>
      </w:r>
      <w:r w:rsidRPr="00F23522">
        <w:rPr>
          <w:rFonts w:ascii="Palatino Linotype" w:eastAsia="Palatino Linotype" w:hAnsi="Palatino Linotype" w:cs="Palatino Linotype"/>
        </w:rPr>
        <w:t xml:space="preserve">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interpuso el recurso de revisión a través de </w:t>
      </w:r>
      <w:r w:rsidRPr="00F23522">
        <w:rPr>
          <w:rFonts w:ascii="Palatino Linotype" w:eastAsia="Palatino Linotype" w:hAnsi="Palatino Linotype" w:cs="Palatino Linotype"/>
          <w:b/>
        </w:rPr>
        <w:t xml:space="preserve">SAIMEX, </w:t>
      </w:r>
      <w:r w:rsidRPr="00F23522">
        <w:rPr>
          <w:rFonts w:ascii="Palatino Linotype" w:eastAsia="Palatino Linotype" w:hAnsi="Palatino Linotype" w:cs="Palatino Linotype"/>
        </w:rPr>
        <w:t>en donde se manifestó de la siguiente manera:</w:t>
      </w:r>
    </w:p>
    <w:p w14:paraId="11ABF5D6" w14:textId="77777777" w:rsidR="00B15CEF" w:rsidRPr="00F23522" w:rsidRDefault="00B8282C">
      <w:pPr>
        <w:tabs>
          <w:tab w:val="left" w:pos="2745"/>
        </w:tabs>
        <w:spacing w:before="240" w:after="240" w:line="360" w:lineRule="auto"/>
        <w:jc w:val="both"/>
        <w:rPr>
          <w:rFonts w:ascii="Palatino Linotype" w:eastAsia="Palatino Linotype" w:hAnsi="Palatino Linotype" w:cs="Palatino Linotype"/>
          <w:b/>
        </w:rPr>
      </w:pPr>
      <w:r w:rsidRPr="00F23522">
        <w:rPr>
          <w:rFonts w:ascii="Palatino Linotype" w:eastAsia="Palatino Linotype" w:hAnsi="Palatino Linotype" w:cs="Palatino Linotype"/>
          <w:b/>
        </w:rPr>
        <w:t xml:space="preserve">Acto impugnado: </w:t>
      </w:r>
    </w:p>
    <w:p w14:paraId="0D02BDFB" w14:textId="77777777" w:rsidR="00B15CEF" w:rsidRPr="00F23522" w:rsidRDefault="00B8282C">
      <w:pPr>
        <w:tabs>
          <w:tab w:val="left" w:pos="2745"/>
        </w:tabs>
        <w:spacing w:before="240" w:after="24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“Información incompleta.” (</w:t>
      </w:r>
      <w:proofErr w:type="gramStart"/>
      <w:r w:rsidRPr="00F23522">
        <w:rPr>
          <w:rFonts w:ascii="Palatino Linotype" w:eastAsia="Palatino Linotype" w:hAnsi="Palatino Linotype" w:cs="Palatino Linotype"/>
          <w:i/>
          <w:sz w:val="22"/>
          <w:szCs w:val="22"/>
        </w:rPr>
        <w:t>sic</w:t>
      </w:r>
      <w:proofErr w:type="gramEnd"/>
      <w:r w:rsidRPr="00F23522">
        <w:rPr>
          <w:rFonts w:ascii="Palatino Linotype" w:eastAsia="Palatino Linotype" w:hAnsi="Palatino Linotype" w:cs="Palatino Linotype"/>
          <w:i/>
          <w:sz w:val="22"/>
          <w:szCs w:val="22"/>
        </w:rPr>
        <w:t>)</w:t>
      </w:r>
    </w:p>
    <w:p w14:paraId="3D3EF23E" w14:textId="77777777" w:rsidR="00B15CEF" w:rsidRPr="00F23522" w:rsidRDefault="00B8282C">
      <w:pPr>
        <w:spacing w:line="360" w:lineRule="auto"/>
        <w:jc w:val="both"/>
        <w:rPr>
          <w:rFonts w:ascii="Palatino Linotype" w:eastAsia="Palatino Linotype" w:hAnsi="Palatino Linotype" w:cs="Palatino Linotype"/>
        </w:rPr>
      </w:pPr>
      <w:bookmarkStart w:id="2" w:name="_heading=h.30j0zll" w:colFirst="0" w:colLast="0"/>
      <w:bookmarkEnd w:id="2"/>
      <w:r w:rsidRPr="00F23522">
        <w:rPr>
          <w:rFonts w:ascii="Palatino Linotype" w:eastAsia="Palatino Linotype" w:hAnsi="Palatino Linotype" w:cs="Palatino Linotype"/>
          <w:b/>
        </w:rPr>
        <w:t>Y Razones o motivos de inconformidad</w:t>
      </w:r>
      <w:r w:rsidRPr="00F23522">
        <w:rPr>
          <w:rFonts w:ascii="Palatino Linotype" w:eastAsia="Palatino Linotype" w:hAnsi="Palatino Linotype" w:cs="Palatino Linotype"/>
        </w:rPr>
        <w:t>:</w:t>
      </w:r>
    </w:p>
    <w:p w14:paraId="32E006DF" w14:textId="77777777" w:rsidR="00B15CEF" w:rsidRPr="00F23522" w:rsidRDefault="00B8282C">
      <w:pPr>
        <w:spacing w:line="360" w:lineRule="auto"/>
        <w:ind w:left="851"/>
        <w:jc w:val="both"/>
        <w:rPr>
          <w:rFonts w:ascii="Palatino Linotype" w:eastAsia="Palatino Linotype" w:hAnsi="Palatino Linotype" w:cs="Palatino Linotype"/>
          <w:i/>
        </w:rPr>
      </w:pPr>
      <w:r w:rsidRPr="00F23522">
        <w:rPr>
          <w:rFonts w:ascii="Palatino Linotype" w:eastAsia="Palatino Linotype" w:hAnsi="Palatino Linotype" w:cs="Palatino Linotype"/>
        </w:rPr>
        <w:t>“</w:t>
      </w:r>
      <w:r w:rsidRPr="00F23522">
        <w:rPr>
          <w:rFonts w:ascii="Palatino Linotype" w:eastAsia="Palatino Linotype" w:hAnsi="Palatino Linotype" w:cs="Palatino Linotype"/>
          <w:i/>
        </w:rPr>
        <w:t>incompleta</w:t>
      </w:r>
      <w:r w:rsidRPr="00F23522">
        <w:rPr>
          <w:rFonts w:ascii="Palatino Linotype" w:eastAsia="Palatino Linotype" w:hAnsi="Palatino Linotype" w:cs="Palatino Linotype"/>
          <w:b/>
        </w:rPr>
        <w:t xml:space="preserve">” </w:t>
      </w:r>
      <w:r w:rsidRPr="00F23522">
        <w:rPr>
          <w:rFonts w:ascii="Palatino Linotype" w:eastAsia="Palatino Linotype" w:hAnsi="Palatino Linotype" w:cs="Palatino Linotype"/>
          <w:i/>
        </w:rPr>
        <w:t>(sic)</w:t>
      </w:r>
    </w:p>
    <w:p w14:paraId="57746463"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b/>
        </w:rPr>
        <w:t xml:space="preserve">5. Turno. </w:t>
      </w:r>
      <w:r w:rsidRPr="00F2352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23522">
        <w:rPr>
          <w:rFonts w:ascii="Palatino Linotype" w:eastAsia="Palatino Linotype" w:hAnsi="Palatino Linotype" w:cs="Palatino Linotype"/>
          <w:b/>
        </w:rPr>
        <w:t xml:space="preserve">Guadalupe Ramírez Peña, </w:t>
      </w:r>
      <w:r w:rsidRPr="00F23522">
        <w:rPr>
          <w:rFonts w:ascii="Palatino Linotype" w:eastAsia="Palatino Linotype" w:hAnsi="Palatino Linotype" w:cs="Palatino Linotype"/>
        </w:rPr>
        <w:t xml:space="preserve">a efecto de que analizara sobre su admisión o su </w:t>
      </w:r>
      <w:proofErr w:type="spellStart"/>
      <w:r w:rsidRPr="00F23522">
        <w:rPr>
          <w:rFonts w:ascii="Palatino Linotype" w:eastAsia="Palatino Linotype" w:hAnsi="Palatino Linotype" w:cs="Palatino Linotype"/>
        </w:rPr>
        <w:t>desechamiento</w:t>
      </w:r>
      <w:proofErr w:type="spellEnd"/>
      <w:r w:rsidRPr="00F23522">
        <w:rPr>
          <w:rFonts w:ascii="Palatino Linotype" w:eastAsia="Palatino Linotype" w:hAnsi="Palatino Linotype" w:cs="Palatino Linotype"/>
        </w:rPr>
        <w:t>.</w:t>
      </w:r>
    </w:p>
    <w:p w14:paraId="273C1FD4"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lastRenderedPageBreak/>
        <w:t>6. Admisión del Recurso de revisión.</w:t>
      </w:r>
      <w:r w:rsidRPr="00F23522">
        <w:rPr>
          <w:rFonts w:ascii="Palatino Linotype" w:eastAsia="Palatino Linotype" w:hAnsi="Palatino Linotype" w:cs="Palatino Linotype"/>
        </w:rPr>
        <w:t xml:space="preserve"> Con fecha</w:t>
      </w:r>
      <w:r w:rsidRPr="00F23522">
        <w:rPr>
          <w:rFonts w:ascii="Palatino Linotype" w:eastAsia="Palatino Linotype" w:hAnsi="Palatino Linotype" w:cs="Palatino Linotype"/>
          <w:b/>
        </w:rPr>
        <w:t xml:space="preserve"> quince de marzo de dos mil veintitrés, </w:t>
      </w:r>
      <w:r w:rsidRPr="00F2352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presentara su informe justificado.</w:t>
      </w:r>
    </w:p>
    <w:p w14:paraId="489DD724"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F23522">
        <w:rPr>
          <w:rFonts w:ascii="Palatino Linotype" w:eastAsia="Palatino Linotype" w:hAnsi="Palatino Linotype" w:cs="Palatino Linotype"/>
          <w:b/>
        </w:rPr>
        <w:t>7. Manifestaciones</w:t>
      </w:r>
      <w:r w:rsidRPr="00F23522">
        <w:rPr>
          <w:rFonts w:ascii="Palatino Linotype" w:eastAsia="Palatino Linotype" w:hAnsi="Palatino Linotype" w:cs="Palatino Linotype"/>
        </w:rPr>
        <w:t xml:space="preserve">. En fecha </w:t>
      </w:r>
      <w:r w:rsidRPr="00F23522">
        <w:rPr>
          <w:rFonts w:ascii="Palatino Linotype" w:eastAsia="Palatino Linotype" w:hAnsi="Palatino Linotype" w:cs="Palatino Linotype"/>
          <w:b/>
        </w:rPr>
        <w:t xml:space="preserve">veintisiete de marzo de dos mil veintitrés, </w:t>
      </w:r>
      <w:r w:rsidRPr="00F23522">
        <w:rPr>
          <w:rFonts w:ascii="Palatino Linotype" w:eastAsia="Palatino Linotype" w:hAnsi="Palatino Linotype" w:cs="Palatino Linotype"/>
        </w:rPr>
        <w:t xml:space="preserve">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remitió, a través de SAIMEX, su informe justificado, mediante el cual, la Unidad de Transparencia ratifica en todas y cada una de las partes la respuesta de inicio, asimismo, respecto de los motivos de inconformidad aducidos menciona que de acuerdo con los archivos que se encuentran adjuntos a la respuesta, se observa que es la información requerida y que obra en los archivos del Sujeto Obligado.</w:t>
      </w:r>
    </w:p>
    <w:p w14:paraId="6A5352B9"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Una vez analizados los documentos referidos, los mismos se hicieron del conocimiento de la persona solicitante con la finalidad de que manifestara lo que a su derecho estimara conveniente, siendo omisa en ejercer dicha prerrogativa.</w:t>
      </w:r>
    </w:p>
    <w:p w14:paraId="19996A76"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8. Ampliación del término para resolver</w:t>
      </w:r>
      <w:r w:rsidRPr="00F23522">
        <w:rPr>
          <w:rFonts w:ascii="Palatino Linotype" w:eastAsia="Palatino Linotype" w:hAnsi="Palatino Linotype" w:cs="Palatino Linotype"/>
        </w:rPr>
        <w:t xml:space="preserve">. En fecha </w:t>
      </w:r>
      <w:r w:rsidRPr="00F23522">
        <w:rPr>
          <w:rFonts w:ascii="Palatino Linotype" w:eastAsia="Palatino Linotype" w:hAnsi="Palatino Linotype" w:cs="Palatino Linotype"/>
          <w:b/>
        </w:rPr>
        <w:t>veintinueve de mayo de dos mil veintitrés</w:t>
      </w:r>
      <w:r w:rsidRPr="00F2352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D95EFE2"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w:t>
      </w:r>
      <w:r w:rsidRPr="00F23522">
        <w:rPr>
          <w:rFonts w:ascii="Palatino Linotype" w:eastAsia="Palatino Linotype" w:hAnsi="Palatino Linotype" w:cs="Palatino Linotype"/>
        </w:rPr>
        <w:lastRenderedPageBreak/>
        <w:t>con los recibidos el año dos mil veintiuno, se incrementó aproximadamente un 300%, circunstancia atípica que ha rebasado las capacidades técnicas y humanas del personal encargado de la proyección de las resoluciones a dichos medios de impugnación.</w:t>
      </w:r>
    </w:p>
    <w:p w14:paraId="6C2081B9"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61D8121"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EFB09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A57913D" w14:textId="77777777" w:rsidR="00B15CEF" w:rsidRPr="00F23522" w:rsidRDefault="00B8282C">
      <w:pPr>
        <w:spacing w:before="240" w:after="240" w:line="360" w:lineRule="auto"/>
        <w:jc w:val="both"/>
        <w:rPr>
          <w:rFonts w:ascii="Palatino Linotype" w:eastAsia="Palatino Linotype" w:hAnsi="Palatino Linotype" w:cs="Palatino Linotype"/>
          <w:strike/>
        </w:rPr>
      </w:pPr>
      <w:r w:rsidRPr="00F2352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C6BA3F5" w14:textId="77777777" w:rsidR="00B15CEF" w:rsidRPr="00F23522" w:rsidRDefault="00B8282C">
      <w:pPr>
        <w:numPr>
          <w:ilvl w:val="0"/>
          <w:numId w:val="1"/>
        </w:num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87DBCD4" w14:textId="77777777" w:rsidR="00B15CEF" w:rsidRPr="00F23522" w:rsidRDefault="00B8282C">
      <w:pPr>
        <w:numPr>
          <w:ilvl w:val="0"/>
          <w:numId w:val="1"/>
        </w:num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Actividad Procesal del interesado. Acciones u omisiones del interesado.</w:t>
      </w:r>
    </w:p>
    <w:p w14:paraId="4AC1EE27" w14:textId="77777777" w:rsidR="00B15CEF" w:rsidRPr="00F23522" w:rsidRDefault="00B8282C">
      <w:pPr>
        <w:numPr>
          <w:ilvl w:val="0"/>
          <w:numId w:val="1"/>
        </w:num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Conducta de la Autoridad: Las Acciones u omisiones realizadas en el procedimiento. Así como si la autoridad actuó con la debida diligencia.</w:t>
      </w:r>
    </w:p>
    <w:p w14:paraId="0CDA1F8B" w14:textId="77777777" w:rsidR="00B15CEF" w:rsidRPr="00F23522" w:rsidRDefault="00B8282C">
      <w:pPr>
        <w:spacing w:before="240" w:after="240" w:line="360" w:lineRule="auto"/>
        <w:ind w:left="567"/>
        <w:jc w:val="both"/>
        <w:rPr>
          <w:rFonts w:ascii="Palatino Linotype" w:eastAsia="Palatino Linotype" w:hAnsi="Palatino Linotype" w:cs="Palatino Linotype"/>
        </w:rPr>
      </w:pPr>
      <w:r w:rsidRPr="00F23522">
        <w:rPr>
          <w:rFonts w:ascii="Palatino Linotype" w:eastAsia="Palatino Linotype" w:hAnsi="Palatino Linotype" w:cs="Palatino Linotype"/>
        </w:rPr>
        <w:t>d) La afectación generada en la situación jurídica de la persona involucrada en el proceso: Violación a sus derechos humanos.</w:t>
      </w:r>
    </w:p>
    <w:p w14:paraId="26F8D504"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10B2CD" w14:textId="77777777" w:rsidR="00B15CEF" w:rsidRPr="00F23522" w:rsidRDefault="00B8282C">
      <w:pPr>
        <w:spacing w:before="240" w:after="240" w:line="360" w:lineRule="auto"/>
        <w:jc w:val="both"/>
        <w:rPr>
          <w:rFonts w:ascii="Palatino Linotype" w:eastAsia="Palatino Linotype" w:hAnsi="Palatino Linotype" w:cs="Palatino Linotype"/>
          <w:b/>
        </w:rPr>
      </w:pPr>
      <w:r w:rsidRPr="00F23522">
        <w:rPr>
          <w:rFonts w:ascii="Palatino Linotype" w:eastAsia="Palatino Linotype" w:hAnsi="Palatino Linotype" w:cs="Palatino Linotype"/>
        </w:rPr>
        <w:t>Argumento que encuentra sustento en la jurisprudencia P</w:t>
      </w:r>
      <w:proofErr w:type="gramStart"/>
      <w:r w:rsidRPr="00F23522">
        <w:rPr>
          <w:rFonts w:ascii="Palatino Linotype" w:eastAsia="Palatino Linotype" w:hAnsi="Palatino Linotype" w:cs="Palatino Linotype"/>
        </w:rPr>
        <w:t>./</w:t>
      </w:r>
      <w:proofErr w:type="gramEnd"/>
      <w:r w:rsidRPr="00F23522">
        <w:rPr>
          <w:rFonts w:ascii="Palatino Linotype" w:eastAsia="Palatino Linotype" w:hAnsi="Palatino Linotype" w:cs="Palatino Linotype"/>
        </w:rPr>
        <w:t xml:space="preserve">J. 32/92 emitida por el Pleno de la Suprema Corte de Justicia de la Nación de rubro </w:t>
      </w:r>
      <w:r w:rsidRPr="00F2352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23522">
        <w:rPr>
          <w:rFonts w:ascii="Palatino Linotype" w:eastAsia="Palatino Linotype" w:hAnsi="Palatino Linotype" w:cs="Palatino Linotype"/>
        </w:rPr>
        <w:t>, visible en la Gaceta del Seminario Judicial de la Federación con el registro digital 205635.</w:t>
      </w:r>
    </w:p>
    <w:p w14:paraId="22A82CBB"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C8B5A3"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ECEE6E" w14:textId="77777777" w:rsidR="00B15CEF" w:rsidRPr="00F23522" w:rsidRDefault="00B8282C">
      <w:pPr>
        <w:spacing w:before="240" w:after="240"/>
        <w:ind w:left="851" w:right="902"/>
        <w:jc w:val="both"/>
        <w:rPr>
          <w:rFonts w:ascii="Palatino Linotype" w:eastAsia="Palatino Linotype" w:hAnsi="Palatino Linotype" w:cs="Palatino Linotype"/>
          <w:sz w:val="22"/>
          <w:szCs w:val="22"/>
        </w:rPr>
      </w:pPr>
      <w:r w:rsidRPr="00F23522">
        <w:rPr>
          <w:rFonts w:ascii="Palatino Linotype" w:eastAsia="Palatino Linotype" w:hAnsi="Palatino Linotype" w:cs="Palatino Linotype"/>
        </w:rPr>
        <w:t xml:space="preserve"> </w:t>
      </w: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PLAZO RAZONABLE PARA RESOLVER. DIMENSIÓN Y EFECTOS DE ESTE CONCEPTO CUANDO SE ADUCE EXCESIVA CARGA DE TRABAJO</w:t>
      </w: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sz w:val="22"/>
          <w:szCs w:val="22"/>
        </w:rPr>
        <w:t xml:space="preserve"> consultable en el Seminario Judicial de la Federación y su gaceta, con el registro digital 2002351.</w:t>
      </w:r>
    </w:p>
    <w:p w14:paraId="3A83BEFD" w14:textId="77777777" w:rsidR="00B15CEF" w:rsidRPr="00F23522" w:rsidRDefault="00B8282C">
      <w:pPr>
        <w:spacing w:before="240" w:after="240"/>
        <w:ind w:left="851" w:right="902"/>
        <w:jc w:val="both"/>
        <w:rPr>
          <w:rFonts w:ascii="Palatino Linotype" w:eastAsia="Palatino Linotype" w:hAnsi="Palatino Linotype" w:cs="Palatino Linotype"/>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sz w:val="22"/>
          <w:szCs w:val="22"/>
        </w:rPr>
        <w:t>, visible en el Seminario Judicial de la Federación y su gaceta, con el registro digital 2002350.</w:t>
      </w:r>
    </w:p>
    <w:p w14:paraId="6B42BF42"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AB02E86"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lastRenderedPageBreak/>
        <w:t xml:space="preserve">9. Cierre de instrucción. </w:t>
      </w:r>
      <w:r w:rsidRPr="00F2352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23522">
        <w:rPr>
          <w:rFonts w:ascii="Palatino Linotype" w:eastAsia="Palatino Linotype" w:hAnsi="Palatino Linotype" w:cs="Palatino Linotype"/>
          <w:b/>
        </w:rPr>
        <w:t xml:space="preserve">doce de julio de dos mil veintitrés, </w:t>
      </w:r>
      <w:r w:rsidRPr="00F23522">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53F5CC14"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7A30FC8" w14:textId="77777777" w:rsidR="00B15CEF" w:rsidRPr="00F23522" w:rsidRDefault="00B8282C">
      <w:pPr>
        <w:widowControl w:val="0"/>
        <w:spacing w:before="240" w:after="240" w:line="360" w:lineRule="auto"/>
        <w:jc w:val="center"/>
        <w:rPr>
          <w:rFonts w:ascii="Palatino Linotype" w:eastAsia="Palatino Linotype" w:hAnsi="Palatino Linotype" w:cs="Palatino Linotype"/>
          <w:b/>
        </w:rPr>
      </w:pPr>
      <w:r w:rsidRPr="00F23522">
        <w:rPr>
          <w:rFonts w:ascii="Palatino Linotype" w:eastAsia="Palatino Linotype" w:hAnsi="Palatino Linotype" w:cs="Palatino Linotype"/>
          <w:b/>
        </w:rPr>
        <w:t>II. C O N S I D E R A N D O S</w:t>
      </w:r>
    </w:p>
    <w:p w14:paraId="65A13070"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Primero. Competencia.</w:t>
      </w:r>
      <w:r w:rsidRPr="00F2352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3CC2F25"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F23522">
        <w:rPr>
          <w:rFonts w:ascii="Palatino Linotype" w:eastAsia="Palatino Linotype" w:hAnsi="Palatino Linotype" w:cs="Palatino Linotype"/>
          <w:b/>
        </w:rPr>
        <w:t xml:space="preserve">Segundo. Oportunidad y </w:t>
      </w:r>
      <w:proofErr w:type="spellStart"/>
      <w:r w:rsidRPr="00F23522">
        <w:rPr>
          <w:rFonts w:ascii="Palatino Linotype" w:eastAsia="Palatino Linotype" w:hAnsi="Palatino Linotype" w:cs="Palatino Linotype"/>
          <w:b/>
        </w:rPr>
        <w:t>Procedibilidad</w:t>
      </w:r>
      <w:proofErr w:type="spellEnd"/>
      <w:r w:rsidRPr="00F23522">
        <w:rPr>
          <w:rFonts w:ascii="Palatino Linotype" w:eastAsia="Palatino Linotype" w:hAnsi="Palatino Linotype" w:cs="Palatino Linotype"/>
          <w:b/>
        </w:rPr>
        <w:t xml:space="preserve"> del Recurso de Revisión</w:t>
      </w:r>
      <w:r w:rsidRPr="00F23522">
        <w:rPr>
          <w:rFonts w:ascii="Palatino Linotype" w:eastAsia="Palatino Linotype" w:hAnsi="Palatino Linotype" w:cs="Palatino Linotype"/>
        </w:rPr>
        <w:t xml:space="preserve">. Previo al estudio del fondo del asunto, se procede a analizar los requisitos de oportunidad y </w:t>
      </w:r>
      <w:proofErr w:type="spellStart"/>
      <w:r w:rsidRPr="00F23522">
        <w:rPr>
          <w:rFonts w:ascii="Palatino Linotype" w:eastAsia="Palatino Linotype" w:hAnsi="Palatino Linotype" w:cs="Palatino Linotype"/>
        </w:rPr>
        <w:t>procedibilidad</w:t>
      </w:r>
      <w:proofErr w:type="spellEnd"/>
      <w:r w:rsidRPr="00F23522">
        <w:rPr>
          <w:rFonts w:ascii="Palatino Linotype" w:eastAsia="Palatino Linotype" w:hAnsi="Palatino Linotype" w:cs="Palatino Linotype"/>
        </w:rPr>
        <w:t xml:space="preserve"> que debe reunir el recurso de revisión interpuesto, previstos en los </w:t>
      </w:r>
      <w:r w:rsidRPr="00F23522">
        <w:rPr>
          <w:rFonts w:ascii="Palatino Linotype" w:eastAsia="Palatino Linotype" w:hAnsi="Palatino Linotype" w:cs="Palatino Linotype"/>
        </w:rPr>
        <w:lastRenderedPageBreak/>
        <w:t>artículos 178 y 180 de la Ley de Transparencia y Acceso a la Información Pública del Estado de México y Municipios.</w:t>
      </w:r>
    </w:p>
    <w:p w14:paraId="7B39A54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 xml:space="preserve">remitió la respuesta a la solicitud de información el día </w:t>
      </w:r>
      <w:r w:rsidRPr="00F23522">
        <w:rPr>
          <w:rFonts w:ascii="Palatino Linotype" w:eastAsia="Palatino Linotype" w:hAnsi="Palatino Linotype" w:cs="Palatino Linotype"/>
          <w:b/>
        </w:rPr>
        <w:t xml:space="preserve">veintiuno de febrero de dos mil veintitrés, </w:t>
      </w:r>
      <w:r w:rsidRPr="00F23522">
        <w:rPr>
          <w:rFonts w:ascii="Palatino Linotype" w:eastAsia="Palatino Linotype" w:hAnsi="Palatino Linotype" w:cs="Palatino Linotype"/>
        </w:rPr>
        <w:t xml:space="preserve">mientras que el recurso de revisión interpuesto por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se tuvo por presentado el día </w:t>
      </w:r>
      <w:r w:rsidRPr="00F23522">
        <w:rPr>
          <w:rFonts w:ascii="Palatino Linotype" w:eastAsia="Palatino Linotype" w:hAnsi="Palatino Linotype" w:cs="Palatino Linotype"/>
          <w:b/>
        </w:rPr>
        <w:t>tres de marzo</w:t>
      </w:r>
      <w:r w:rsidRPr="00F23522">
        <w:rPr>
          <w:rFonts w:ascii="Palatino Linotype" w:eastAsia="Palatino Linotype" w:hAnsi="Palatino Linotype" w:cs="Palatino Linotype"/>
        </w:rPr>
        <w:t xml:space="preserve"> </w:t>
      </w:r>
      <w:r w:rsidRPr="00F23522">
        <w:rPr>
          <w:rFonts w:ascii="Palatino Linotype" w:eastAsia="Palatino Linotype" w:hAnsi="Palatino Linotype" w:cs="Palatino Linotype"/>
          <w:b/>
        </w:rPr>
        <w:t>de dos mil veintitrés</w:t>
      </w:r>
      <w:r w:rsidRPr="00F23522">
        <w:rPr>
          <w:rFonts w:ascii="Palatino Linotype" w:eastAsia="Palatino Linotype" w:hAnsi="Palatino Linotype" w:cs="Palatino Linotype"/>
        </w:rPr>
        <w:t>, esto es al séptimo día hábil en que tuvo conocimiento de la respuesta impugnada. En este sentido, se concluye que el presente recurso de revisión se encuentra dentro de los márgenes temporales previstos en las disposiciones legales referidas.</w:t>
      </w:r>
    </w:p>
    <w:p w14:paraId="6D87C61A"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F23522">
        <w:rPr>
          <w:rFonts w:ascii="Palatino Linotype" w:eastAsia="Palatino Linotype" w:hAnsi="Palatino Linotype" w:cs="Palatino Linotype"/>
        </w:rPr>
        <w:t xml:space="preserve">Al mismo tiempo, por cuanto hace a la </w:t>
      </w:r>
      <w:proofErr w:type="spellStart"/>
      <w:r w:rsidRPr="00F23522">
        <w:rPr>
          <w:rFonts w:ascii="Palatino Linotype" w:eastAsia="Palatino Linotype" w:hAnsi="Palatino Linotype" w:cs="Palatino Linotype"/>
        </w:rPr>
        <w:t>procedibilidad</w:t>
      </w:r>
      <w:proofErr w:type="spellEnd"/>
      <w:r w:rsidRPr="00F23522">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C7BDC6"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 efecto de sustentar lo anterior, es de suma importancia mencionar que si bien la persona solicitante </w:t>
      </w:r>
      <w:r w:rsidRPr="00F23522">
        <w:rPr>
          <w:rFonts w:ascii="Palatino Linotype" w:eastAsia="Palatino Linotype" w:hAnsi="Palatino Linotype" w:cs="Palatino Linotype"/>
          <w:b/>
        </w:rPr>
        <w:t xml:space="preserve">no proporcionó nombre o seudónimo </w:t>
      </w:r>
      <w:r w:rsidRPr="00F23522">
        <w:rPr>
          <w:rFonts w:ascii="Palatino Linotype" w:eastAsia="Palatino Linotype" w:hAnsi="Palatino Linotype" w:cs="Palatino Linotype"/>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w:t>
      </w:r>
      <w:r w:rsidRPr="00F23522">
        <w:rPr>
          <w:rFonts w:ascii="Palatino Linotype" w:eastAsia="Palatino Linotype" w:hAnsi="Palatino Linotype" w:cs="Palatino Linotype"/>
        </w:rPr>
        <w:lastRenderedPageBreak/>
        <w:t>Ley de Transparencia y Acceso a la Información Pública del Estado de México y Municipios que establece lo siguiente:</w:t>
      </w:r>
    </w:p>
    <w:p w14:paraId="65C7FED0" w14:textId="77777777" w:rsidR="00B15CEF" w:rsidRPr="00F23522" w:rsidRDefault="00B8282C">
      <w:pPr>
        <w:spacing w:before="120" w:after="120" w:line="360" w:lineRule="auto"/>
        <w:ind w:left="860" w:right="900"/>
        <w:jc w:val="both"/>
        <w:rPr>
          <w:rFonts w:ascii="Palatino Linotype" w:eastAsia="Palatino Linotype" w:hAnsi="Palatino Linotype" w:cs="Palatino Linotype"/>
          <w:i/>
        </w:rPr>
      </w:pPr>
      <w:r w:rsidRPr="00F23522">
        <w:rPr>
          <w:rFonts w:ascii="Palatino Linotype" w:eastAsia="Palatino Linotype" w:hAnsi="Palatino Linotype" w:cs="Palatino Linotype"/>
          <w:i/>
        </w:rPr>
        <w:t>"</w:t>
      </w:r>
      <w:r w:rsidRPr="00F23522">
        <w:rPr>
          <w:rFonts w:ascii="Palatino Linotype" w:eastAsia="Palatino Linotype" w:hAnsi="Palatino Linotype" w:cs="Palatino Linotype"/>
          <w:b/>
          <w:i/>
        </w:rPr>
        <w:t>Las solicitudes anónimas</w:t>
      </w:r>
      <w:r w:rsidRPr="00F23522">
        <w:rPr>
          <w:rFonts w:ascii="Palatino Linotype" w:eastAsia="Palatino Linotype" w:hAnsi="Palatino Linotype" w:cs="Palatino Linotype"/>
          <w:i/>
        </w:rPr>
        <w:t xml:space="preserve">, con nombre incompleto o seudónimo </w:t>
      </w:r>
      <w:r w:rsidRPr="00F23522">
        <w:rPr>
          <w:rFonts w:ascii="Palatino Linotype" w:eastAsia="Palatino Linotype" w:hAnsi="Palatino Linotype" w:cs="Palatino Linotype"/>
          <w:b/>
          <w:i/>
        </w:rPr>
        <w:t>serán procedentes para su trámite por parte del sujeto obligado ante quien se presente</w:t>
      </w:r>
      <w:r w:rsidRPr="00F23522">
        <w:rPr>
          <w:rFonts w:ascii="Palatino Linotype" w:eastAsia="Palatino Linotype" w:hAnsi="Palatino Linotype" w:cs="Palatino Linotype"/>
          <w:i/>
        </w:rPr>
        <w:t>. No podrá requerirse información adicional con motivo del nombre proporcionado por el solicitante."</w:t>
      </w:r>
    </w:p>
    <w:p w14:paraId="44876002"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6" w:name="_heading=h.u8qfdeylcuze" w:colFirst="0" w:colLast="0"/>
      <w:bookmarkEnd w:id="6"/>
      <w:r w:rsidRPr="00F23522">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por lo que, en el presente caso, al haber sido presentado el recurso de revisión vía SAIMEX, dicho requisito resulta innecesario.</w:t>
      </w:r>
    </w:p>
    <w:p w14:paraId="187AFC87"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Finalmente, se advierte que resulta procedente la interposición del recurso, según lo manifestado por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en sus motivos de inconformidad, de acuerdo al artículo 179, fracción V del ordenamiento legal citado, que a la letra dice: </w:t>
      </w:r>
    </w:p>
    <w:p w14:paraId="41368BAD" w14:textId="77777777" w:rsidR="00B15CEF" w:rsidRPr="00F23522" w:rsidRDefault="00B8282C">
      <w:pPr>
        <w:spacing w:before="120" w:after="120"/>
        <w:ind w:left="993"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179.</w:t>
      </w:r>
      <w:r w:rsidRPr="00F2352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499545F" w14:textId="77777777" w:rsidR="00B15CEF" w:rsidRPr="00F23522" w:rsidRDefault="00B8282C">
      <w:pPr>
        <w:tabs>
          <w:tab w:val="left" w:pos="7936"/>
        </w:tabs>
        <w:spacing w:before="120" w:after="120"/>
        <w:ind w:left="1134" w:right="902"/>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b/>
          <w:i/>
          <w:sz w:val="22"/>
          <w:szCs w:val="22"/>
        </w:rPr>
        <w:t>...</w:t>
      </w:r>
    </w:p>
    <w:p w14:paraId="6946A942"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 xml:space="preserve">V. </w:t>
      </w:r>
      <w:r w:rsidRPr="00F23522">
        <w:rPr>
          <w:rFonts w:ascii="Palatino Linotype" w:eastAsia="Palatino Linotype" w:hAnsi="Palatino Linotype" w:cs="Palatino Linotype"/>
          <w:i/>
          <w:sz w:val="22"/>
          <w:szCs w:val="22"/>
        </w:rPr>
        <w:t>La entrega de información incompleta;”</w:t>
      </w:r>
    </w:p>
    <w:p w14:paraId="56D846A1" w14:textId="77777777" w:rsidR="00B15CEF" w:rsidRPr="00F23522" w:rsidRDefault="00B8282C">
      <w:pPr>
        <w:spacing w:before="240" w:after="240" w:line="360" w:lineRule="auto"/>
        <w:jc w:val="both"/>
        <w:rPr>
          <w:rFonts w:ascii="Palatino Linotype" w:eastAsia="Palatino Linotype" w:hAnsi="Palatino Linotype" w:cs="Palatino Linotype"/>
          <w:b/>
        </w:rPr>
      </w:pPr>
      <w:r w:rsidRPr="00F23522">
        <w:rPr>
          <w:rFonts w:ascii="Palatino Linotype" w:eastAsia="Palatino Linotype" w:hAnsi="Palatino Linotype" w:cs="Palatino Linotype"/>
          <w:b/>
        </w:rPr>
        <w:t xml:space="preserve">Tercero. Materia de la revisión. </w:t>
      </w:r>
      <w:r w:rsidRPr="00F2352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23522">
        <w:rPr>
          <w:rFonts w:ascii="Palatino Linotype" w:eastAsia="Palatino Linotype" w:hAnsi="Palatino Linotype" w:cs="Palatino Linotype"/>
          <w:b/>
        </w:rPr>
        <w:t xml:space="preserve">verificar si la información proporcionada en respuesta y en informe por el Sujeto </w:t>
      </w:r>
      <w:r w:rsidRPr="00F23522">
        <w:rPr>
          <w:rFonts w:ascii="Palatino Linotype" w:eastAsia="Palatino Linotype" w:hAnsi="Palatino Linotype" w:cs="Palatino Linotype"/>
          <w:b/>
        </w:rPr>
        <w:lastRenderedPageBreak/>
        <w:t xml:space="preserve">Obligado es adecuada y suficiente para satisfacer el derecho de acceso a la información pública </w:t>
      </w:r>
      <w:r w:rsidRPr="00F23522">
        <w:rPr>
          <w:rFonts w:ascii="Palatino Linotype" w:eastAsia="Palatino Linotype" w:hAnsi="Palatino Linotype" w:cs="Palatino Linotype"/>
        </w:rPr>
        <w:t xml:space="preserve">de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o en su defecto, en caso de ser procedente, ordenar la entrega de información oportuna.</w:t>
      </w:r>
    </w:p>
    <w:p w14:paraId="421A7FC8" w14:textId="77777777" w:rsidR="00B15CEF" w:rsidRPr="00F23522" w:rsidRDefault="00B8282C">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F23522">
        <w:rPr>
          <w:rFonts w:ascii="Palatino Linotype" w:eastAsia="Palatino Linotype" w:hAnsi="Palatino Linotype" w:cs="Palatino Linotype"/>
          <w:b/>
        </w:rPr>
        <w:t xml:space="preserve">Cuarto. Estudio del asunto. </w:t>
      </w:r>
      <w:r w:rsidRPr="00F23522">
        <w:rPr>
          <w:rFonts w:ascii="Palatino Linotype" w:eastAsia="Palatino Linotype" w:hAnsi="Palatino Linotype" w:cs="Palatino Linotype"/>
        </w:rPr>
        <w:t xml:space="preserve">Del análisis de la solicitud de información, motivo del recurso de revisión que ahora se resuelve se advierte que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requirió al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le proporcione, información consistente en lo siguiente:</w:t>
      </w:r>
    </w:p>
    <w:p w14:paraId="0DA4E7B6" w14:textId="77777777" w:rsidR="00B15CEF" w:rsidRPr="00F23522" w:rsidRDefault="00B8282C">
      <w:pPr>
        <w:spacing w:before="240" w:after="240" w:line="360" w:lineRule="auto"/>
        <w:ind w:left="426" w:right="51"/>
        <w:jc w:val="both"/>
        <w:rPr>
          <w:rFonts w:ascii="Palatino Linotype" w:eastAsia="Palatino Linotype" w:hAnsi="Palatino Linotype" w:cs="Palatino Linotype"/>
        </w:rPr>
      </w:pPr>
      <w:r w:rsidRPr="00F23522">
        <w:rPr>
          <w:rFonts w:ascii="Palatino Linotype" w:eastAsia="Palatino Linotype" w:hAnsi="Palatino Linotype" w:cs="Palatino Linotype"/>
        </w:rPr>
        <w:t>1. Listado nominal actualizado al 2023 que contenga: nombre del servidor público, área de adscripción, sueldo, puesto, si es sindicalizado o no y funciones.</w:t>
      </w:r>
    </w:p>
    <w:p w14:paraId="0A59F29C"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respuesta,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a través de la Unidad de Transparencia, hizo del conocimiento de la persona solicitante los pronunciamientos de la Dirección General de Administración, el Instituto Municipal de la Mujer y el Instituto Municipal de Cultura Física y Deporte, en el ámbito de sus competencias, proporcionando los listados nominales del año 2023, que contienen nombre del servidor público, área de adscripción, sueldo, puesto, categoría; así como las funciones del Instituto Municipal de la Mujer, y los manuales de organización de las áreas que integran el ayuntamiento en donde se advierten las funciones de estas.</w:t>
      </w:r>
    </w:p>
    <w:p w14:paraId="37BCF4B5"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Al no estar conforme con los términos de la respuesta otorgada a su solicitud, la persona solicitante interpuso el recurso de revisión que ahora nos ocupa, en el que señaló como acto impugnado que se le entregó la información incompleta.</w:t>
      </w:r>
    </w:p>
    <w:p w14:paraId="670499C5" w14:textId="77777777" w:rsidR="00B15CEF" w:rsidRPr="00F23522" w:rsidRDefault="00B8282C">
      <w:pPr>
        <w:spacing w:before="280" w:after="28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Una vez admitido el recurso de revisión, en términos del artículo 185 fracción II</w:t>
      </w:r>
      <w:r w:rsidRPr="00F23522">
        <w:rPr>
          <w:rFonts w:ascii="Palatino Linotype" w:eastAsia="Palatino Linotype" w:hAnsi="Palatino Linotype" w:cs="Palatino Linotype"/>
          <w:vertAlign w:val="superscript"/>
        </w:rPr>
        <w:footnoteReference w:id="1"/>
      </w:r>
      <w:r w:rsidRPr="00F23522">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8C087D" w14:textId="77777777" w:rsidR="00B15CEF" w:rsidRPr="00F23522" w:rsidRDefault="00B8282C">
      <w:pPr>
        <w:spacing w:before="280" w:after="28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tal sentido,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a través de la Unidad de Transparencia ratificó en todas y cada una de las partes la respuesta de inicio, asimismo, respecto de los motivos de inconformidad aducidos menciona que de acuerdo con los archivos que se encuentran adjuntos a la respuesta, se observa que es la información requerida y que obra en los archivos del Sujeto Obligado.</w:t>
      </w:r>
    </w:p>
    <w:p w14:paraId="352E68CB"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esta tesitura, de las constancias que integran los expedientes electrónicos relacionados con el recurso de revisión materia de estudio, se colige que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Pr="00F23522">
        <w:rPr>
          <w:rFonts w:ascii="Palatino Linotype" w:eastAsia="Palatino Linotype" w:hAnsi="Palatino Linotype" w:cs="Palatino Linotype"/>
          <w:i/>
          <w:sz w:val="20"/>
          <w:szCs w:val="20"/>
        </w:rPr>
        <w:t xml:space="preserve">, </w:t>
      </w:r>
      <w:r w:rsidRPr="00F23522">
        <w:rPr>
          <w:rFonts w:ascii="Palatino Linotype" w:eastAsia="Palatino Linotype" w:hAnsi="Palatino Linotype" w:cs="Palatino Linotype"/>
        </w:rPr>
        <w:t xml:space="preserve">lo anterior es así, ya que el estudio enunciado tiene por objeto determinar si </w:t>
      </w:r>
      <w:r w:rsidRPr="00F23522">
        <w:t>los</w:t>
      </w:r>
      <w:r w:rsidRPr="00F23522">
        <w:rPr>
          <w:rFonts w:ascii="Palatino Linotype" w:eastAsia="Palatino Linotype" w:hAnsi="Palatino Linotype" w:cs="Palatino Linotype"/>
        </w:rPr>
        <w:t xml:space="preserve"> Sujeto</w:t>
      </w:r>
      <w:r w:rsidRPr="00F23522">
        <w:t>s</w:t>
      </w:r>
      <w:r w:rsidRPr="00F23522">
        <w:rPr>
          <w:rFonts w:ascii="Palatino Linotype" w:eastAsia="Palatino Linotype" w:hAnsi="Palatino Linotype" w:cs="Palatino Linotype"/>
        </w:rPr>
        <w:t xml:space="preserve"> Obligado</w:t>
      </w:r>
      <w:r w:rsidRPr="00F23522">
        <w:t>s</w:t>
      </w:r>
      <w:r w:rsidRPr="00F23522">
        <w:rPr>
          <w:rFonts w:ascii="Palatino Linotype" w:eastAsia="Palatino Linotype" w:hAnsi="Palatino Linotype" w:cs="Palatino Linotype"/>
        </w:rPr>
        <w:t xml:space="preserve"> generan, poseen o administran  la información solicitada, sin embargo, en aquellos casos en que </w:t>
      </w:r>
      <w:r w:rsidRPr="00F23522">
        <w:t>e</w:t>
      </w:r>
      <w:r w:rsidRPr="00F23522">
        <w:rPr>
          <w:rFonts w:ascii="Palatino Linotype" w:eastAsia="Palatino Linotype" w:hAnsi="Palatino Linotype" w:cs="Palatino Linotype"/>
        </w:rPr>
        <w:t>st</w:t>
      </w:r>
      <w:r w:rsidRPr="00F23522">
        <w:t xml:space="preserve">os </w:t>
      </w:r>
      <w:r w:rsidRPr="00F23522">
        <w:rPr>
          <w:rFonts w:ascii="Palatino Linotype" w:eastAsia="Palatino Linotype" w:hAnsi="Palatino Linotype" w:cs="Palatino Linotype"/>
        </w:rPr>
        <w:t>ha</w:t>
      </w:r>
      <w:r w:rsidRPr="00F23522">
        <w:t>n</w:t>
      </w:r>
      <w:r w:rsidRPr="00F23522">
        <w:rPr>
          <w:rFonts w:ascii="Palatino Linotype" w:eastAsia="Palatino Linotype" w:hAnsi="Palatino Linotype" w:cs="Palatino Linotype"/>
        </w:rPr>
        <w:t xml:space="preserve"> asumido la competencia, sería ocioso y a nada práctico nos conduciría su estudio, ya que, se insiste, el ente obligado asumió la competencia referida, motivo por el cual se </w:t>
      </w:r>
      <w:r w:rsidRPr="00F23522">
        <w:rPr>
          <w:rFonts w:ascii="Palatino Linotype" w:eastAsia="Palatino Linotype" w:hAnsi="Palatino Linotype" w:cs="Palatino Linotype"/>
        </w:rPr>
        <w:lastRenderedPageBreak/>
        <w:t xml:space="preserve">actualiza el supuesto previsto en el artículo 12 de la legislación aplicable en la materia. </w:t>
      </w:r>
    </w:p>
    <w:p w14:paraId="5077153A" w14:textId="77777777" w:rsidR="00B15CEF" w:rsidRPr="00F23522" w:rsidRDefault="00B8282C">
      <w:pPr>
        <w:spacing w:before="240" w:after="24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F23522">
        <w:rPr>
          <w:rFonts w:ascii="Palatino Linotype" w:eastAsia="Palatino Linotype" w:hAnsi="Palatino Linotype" w:cs="Palatino Linotype"/>
          <w:i/>
          <w:sz w:val="22"/>
          <w:szCs w:val="22"/>
        </w:rPr>
        <w:t xml:space="preserve"> en los términos de las disposiciones jurídicas aplicables. </w:t>
      </w:r>
    </w:p>
    <w:p w14:paraId="037637FA" w14:textId="77777777" w:rsidR="00B15CEF" w:rsidRPr="00F23522" w:rsidRDefault="00B8282C">
      <w:pPr>
        <w:spacing w:before="240" w:after="24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23522">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694E267E" w14:textId="77777777" w:rsidR="00B15CEF" w:rsidRPr="00F23522" w:rsidRDefault="00B8282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consiguiente, se procede al análisis de los requerimientos planteados por persona solicitante y la respuesta proporcionada por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7627A436"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Para un mejor entendimiento dicho análisis se efectuará a través de la siguiente tabla:</w:t>
      </w:r>
    </w:p>
    <w:tbl>
      <w:tblPr>
        <w:tblStyle w:val="af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F23522" w:rsidRPr="00F23522" w14:paraId="586AE4C2" w14:textId="77777777">
        <w:trPr>
          <w:jc w:val="center"/>
        </w:trPr>
        <w:tc>
          <w:tcPr>
            <w:tcW w:w="2942" w:type="dxa"/>
            <w:shd w:val="clear" w:color="auto" w:fill="BFBFBF"/>
            <w:vAlign w:val="center"/>
          </w:tcPr>
          <w:p w14:paraId="69D38FCB" w14:textId="77777777" w:rsidR="00B15CEF" w:rsidRPr="00F23522" w:rsidRDefault="00B8282C">
            <w:pPr>
              <w:spacing w:before="120" w:after="120"/>
              <w:jc w:val="center"/>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REQUERIMIENTO</w:t>
            </w:r>
          </w:p>
        </w:tc>
        <w:tc>
          <w:tcPr>
            <w:tcW w:w="2943" w:type="dxa"/>
            <w:shd w:val="clear" w:color="auto" w:fill="BFBFBF"/>
            <w:vAlign w:val="center"/>
          </w:tcPr>
          <w:p w14:paraId="74405967" w14:textId="77777777" w:rsidR="00B15CEF" w:rsidRPr="00F23522" w:rsidRDefault="00B8282C">
            <w:pPr>
              <w:spacing w:before="120" w:after="120"/>
              <w:jc w:val="both"/>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INFORMACIÓN REMITIDA</w:t>
            </w:r>
          </w:p>
        </w:tc>
        <w:tc>
          <w:tcPr>
            <w:tcW w:w="2943" w:type="dxa"/>
            <w:shd w:val="clear" w:color="auto" w:fill="BFBFBF"/>
            <w:vAlign w:val="center"/>
          </w:tcPr>
          <w:p w14:paraId="63B2AB84" w14:textId="77777777" w:rsidR="00B15CEF" w:rsidRPr="00F23522" w:rsidRDefault="00B8282C">
            <w:pPr>
              <w:spacing w:before="120" w:after="120"/>
              <w:jc w:val="center"/>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¿SATISFACE EL DERECHO DE ACCESO?</w:t>
            </w:r>
          </w:p>
        </w:tc>
      </w:tr>
      <w:tr w:rsidR="00F23522" w:rsidRPr="00F23522" w14:paraId="2B23EFF9" w14:textId="77777777">
        <w:trPr>
          <w:jc w:val="center"/>
        </w:trPr>
        <w:tc>
          <w:tcPr>
            <w:tcW w:w="2942" w:type="dxa"/>
            <w:shd w:val="clear" w:color="auto" w:fill="auto"/>
          </w:tcPr>
          <w:p w14:paraId="17D6BF58"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1. Listado nominal actualizado al 2023 que contenga:</w:t>
            </w:r>
          </w:p>
          <w:p w14:paraId="247756C8" w14:textId="77777777" w:rsidR="00B15CEF" w:rsidRPr="00F23522" w:rsidRDefault="00B8282C">
            <w:pPr>
              <w:tabs>
                <w:tab w:val="left" w:pos="553"/>
              </w:tabs>
              <w:spacing w:before="120" w:after="120"/>
              <w:ind w:left="309"/>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Nombre del servidor público.</w:t>
            </w:r>
          </w:p>
          <w:p w14:paraId="1148F8E5" w14:textId="77777777" w:rsidR="00B15CEF" w:rsidRPr="00F23522" w:rsidRDefault="00B8282C">
            <w:pPr>
              <w:tabs>
                <w:tab w:val="left" w:pos="553"/>
              </w:tabs>
              <w:spacing w:before="120" w:after="120"/>
              <w:ind w:left="309"/>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Área de adscripción.</w:t>
            </w:r>
          </w:p>
          <w:p w14:paraId="3781328C" w14:textId="77777777" w:rsidR="00B15CEF" w:rsidRPr="00F23522" w:rsidRDefault="00B8282C">
            <w:pPr>
              <w:tabs>
                <w:tab w:val="left" w:pos="553"/>
              </w:tabs>
              <w:spacing w:before="120" w:after="120"/>
              <w:ind w:left="309"/>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Sueldo.</w:t>
            </w:r>
          </w:p>
          <w:p w14:paraId="727CF807" w14:textId="77777777" w:rsidR="00B15CEF" w:rsidRPr="00F23522" w:rsidRDefault="00B8282C">
            <w:pPr>
              <w:tabs>
                <w:tab w:val="left" w:pos="553"/>
              </w:tabs>
              <w:spacing w:before="120" w:after="120"/>
              <w:ind w:left="309"/>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Puesto.</w:t>
            </w:r>
          </w:p>
          <w:p w14:paraId="3F441636" w14:textId="77777777" w:rsidR="00B15CEF" w:rsidRPr="00F23522" w:rsidRDefault="00B8282C">
            <w:pPr>
              <w:tabs>
                <w:tab w:val="left" w:pos="553"/>
              </w:tabs>
              <w:spacing w:before="120" w:after="120"/>
              <w:ind w:left="309"/>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lastRenderedPageBreak/>
              <w:t>- Si es sindicalizado o no.</w:t>
            </w:r>
          </w:p>
          <w:p w14:paraId="3214DE39" w14:textId="77777777" w:rsidR="00B15CEF" w:rsidRPr="00F23522" w:rsidRDefault="00B15CEF">
            <w:pPr>
              <w:spacing w:before="120" w:after="120"/>
              <w:jc w:val="both"/>
              <w:rPr>
                <w:rFonts w:ascii="Palatino Linotype" w:eastAsia="Palatino Linotype" w:hAnsi="Palatino Linotype" w:cs="Palatino Linotype"/>
                <w:i/>
                <w:sz w:val="22"/>
                <w:szCs w:val="22"/>
              </w:rPr>
            </w:pPr>
          </w:p>
        </w:tc>
        <w:tc>
          <w:tcPr>
            <w:tcW w:w="2943" w:type="dxa"/>
            <w:shd w:val="clear" w:color="auto" w:fill="auto"/>
          </w:tcPr>
          <w:p w14:paraId="659E0AEB"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b/>
                <w:sz w:val="20"/>
                <w:szCs w:val="20"/>
              </w:rPr>
              <w:lastRenderedPageBreak/>
              <w:t>Dirección General de Administración</w:t>
            </w:r>
            <w:r w:rsidRPr="00F23522">
              <w:rPr>
                <w:rFonts w:ascii="Palatino Linotype" w:eastAsia="Palatino Linotype" w:hAnsi="Palatino Linotype" w:cs="Palatino Linotype"/>
                <w:sz w:val="20"/>
                <w:szCs w:val="20"/>
              </w:rPr>
              <w:t>:</w:t>
            </w:r>
          </w:p>
          <w:p w14:paraId="7B15CDE2"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xml:space="preserve">- Listado nominal actualizado al 31 de enero de 2023, en versión pública </w:t>
            </w:r>
            <w:proofErr w:type="gramStart"/>
            <w:r w:rsidRPr="00F23522">
              <w:rPr>
                <w:rFonts w:ascii="Palatino Linotype" w:eastAsia="Palatino Linotype" w:hAnsi="Palatino Linotype" w:cs="Palatino Linotype"/>
                <w:sz w:val="20"/>
                <w:szCs w:val="20"/>
              </w:rPr>
              <w:t>generado</w:t>
            </w:r>
            <w:proofErr w:type="gramEnd"/>
            <w:r w:rsidRPr="00F23522">
              <w:rPr>
                <w:rFonts w:ascii="Palatino Linotype" w:eastAsia="Palatino Linotype" w:hAnsi="Palatino Linotype" w:cs="Palatino Linotype"/>
                <w:sz w:val="20"/>
                <w:szCs w:val="20"/>
              </w:rPr>
              <w:t xml:space="preserve"> por la Dirección General de Administración, a través de la Dirección de Recursos Humanos, constante de 102 </w:t>
            </w:r>
            <w:r w:rsidRPr="00F23522">
              <w:rPr>
                <w:rFonts w:ascii="Palatino Linotype" w:eastAsia="Palatino Linotype" w:hAnsi="Palatino Linotype" w:cs="Palatino Linotype"/>
                <w:sz w:val="20"/>
                <w:szCs w:val="20"/>
              </w:rPr>
              <w:lastRenderedPageBreak/>
              <w:t xml:space="preserve">páginas, que </w:t>
            </w:r>
            <w:r w:rsidRPr="00F23522">
              <w:rPr>
                <w:rFonts w:ascii="Palatino Linotype" w:eastAsia="Palatino Linotype" w:hAnsi="Palatino Linotype" w:cs="Palatino Linotype"/>
                <w:b/>
                <w:sz w:val="20"/>
                <w:szCs w:val="20"/>
              </w:rPr>
              <w:t>contiene nombre, adscripción, dirección general, sueldo neto mensual, puesto y categoría.</w:t>
            </w:r>
          </w:p>
          <w:p w14:paraId="0E884241"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Acta de la Centésima Trigésima Primera Sesión Extraordinaria del Comité de Transparencia, de 2023, en la cual se sometió a consideración de los integrantes del Comité, el análisis y aprobación de la propuesta de clasificación como información reservada de forma parcial, por un periodo de dos años, referente al nombre de los servidores públicos adscritos a la Dirección General de Seguridad y Protección contenidos en el listado nominal actualizado al 31 de enero de 2023.</w:t>
            </w:r>
          </w:p>
          <w:p w14:paraId="1C626180" w14:textId="77777777" w:rsidR="00B15CEF" w:rsidRPr="00F23522" w:rsidRDefault="00B8282C">
            <w:pPr>
              <w:spacing w:before="120" w:after="120"/>
              <w:jc w:val="both"/>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Instituto Municipal de la Mujer de Toluca</w:t>
            </w:r>
          </w:p>
          <w:p w14:paraId="05433396"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Listado nominal del Instituto Municipal de la Mujer, que contiene nombre de siete servidores públicos, área de adscripción, sueldo, puesto, categoría y funciones.</w:t>
            </w:r>
          </w:p>
          <w:p w14:paraId="7E1EAAED" w14:textId="77777777" w:rsidR="00B15CEF" w:rsidRPr="00F23522" w:rsidRDefault="00B15CEF">
            <w:pPr>
              <w:spacing w:before="120" w:after="120"/>
              <w:jc w:val="both"/>
              <w:rPr>
                <w:rFonts w:ascii="Palatino Linotype" w:eastAsia="Palatino Linotype" w:hAnsi="Palatino Linotype" w:cs="Palatino Linotype"/>
                <w:b/>
                <w:sz w:val="20"/>
                <w:szCs w:val="20"/>
              </w:rPr>
            </w:pPr>
          </w:p>
          <w:p w14:paraId="79903118" w14:textId="77777777" w:rsidR="00B15CEF" w:rsidRPr="00F23522" w:rsidRDefault="00B8282C">
            <w:pPr>
              <w:spacing w:before="120" w:after="120"/>
              <w:jc w:val="both"/>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Instituto Municipal de Cultura Física y Deporte</w:t>
            </w:r>
          </w:p>
          <w:p w14:paraId="2BB84E3F"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xml:space="preserve">Plantilla de personal adscrito al Instituto Municipal de Cultura Física y Deporte, generada por la Coordinación Administrativa, que contiene nombre completo del servidor público, adscripción, puesto, </w:t>
            </w:r>
            <w:r w:rsidRPr="00F23522">
              <w:rPr>
                <w:rFonts w:ascii="Palatino Linotype" w:eastAsia="Palatino Linotype" w:hAnsi="Palatino Linotype" w:cs="Palatino Linotype"/>
                <w:sz w:val="20"/>
                <w:szCs w:val="20"/>
              </w:rPr>
              <w:lastRenderedPageBreak/>
              <w:t>categoría público, sueldo neto mensual.</w:t>
            </w:r>
          </w:p>
        </w:tc>
        <w:tc>
          <w:tcPr>
            <w:tcW w:w="2943" w:type="dxa"/>
            <w:shd w:val="clear" w:color="auto" w:fill="auto"/>
          </w:tcPr>
          <w:p w14:paraId="589E8959" w14:textId="77777777" w:rsidR="00B15CEF" w:rsidRPr="00F23522" w:rsidRDefault="00B8282C">
            <w:pPr>
              <w:spacing w:before="120" w:after="120"/>
              <w:jc w:val="center"/>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lastRenderedPageBreak/>
              <w:t>PARCIALMENTE</w:t>
            </w:r>
          </w:p>
          <w:p w14:paraId="5507F997"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No se remitió información de todos los servidores públicos adscritos al Ayuntamiento y al Instituto Municipal de la Mujer de Toluca.</w:t>
            </w:r>
          </w:p>
          <w:p w14:paraId="2DFF0307"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xml:space="preserve">Además, en el caso del Instituto Municipal de la Mujer no se señala si el sueldo </w:t>
            </w:r>
            <w:r w:rsidRPr="00F23522">
              <w:rPr>
                <w:rFonts w:ascii="Palatino Linotype" w:eastAsia="Palatino Linotype" w:hAnsi="Palatino Linotype" w:cs="Palatino Linotype"/>
                <w:sz w:val="20"/>
                <w:szCs w:val="20"/>
              </w:rPr>
              <w:lastRenderedPageBreak/>
              <w:t xml:space="preserve">es bruto o neto, y si es quincenal o mensual. </w:t>
            </w:r>
          </w:p>
        </w:tc>
      </w:tr>
      <w:tr w:rsidR="00F23522" w:rsidRPr="00F23522" w14:paraId="2F33229D" w14:textId="77777777">
        <w:trPr>
          <w:jc w:val="center"/>
        </w:trPr>
        <w:tc>
          <w:tcPr>
            <w:tcW w:w="2942" w:type="dxa"/>
            <w:shd w:val="clear" w:color="auto" w:fill="auto"/>
          </w:tcPr>
          <w:p w14:paraId="1CB9E16D" w14:textId="77777777" w:rsidR="00B15CEF" w:rsidRPr="00F23522" w:rsidRDefault="00B8282C">
            <w:pPr>
              <w:spacing w:before="120" w:after="120"/>
              <w:jc w:val="both"/>
              <w:rPr>
                <w:rFonts w:ascii="Palatino Linotype" w:eastAsia="Palatino Linotype" w:hAnsi="Palatino Linotype" w:cs="Palatino Linotype"/>
                <w:sz w:val="22"/>
                <w:szCs w:val="22"/>
              </w:rPr>
            </w:pPr>
            <w:r w:rsidRPr="00F23522">
              <w:rPr>
                <w:rFonts w:ascii="Palatino Linotype" w:eastAsia="Palatino Linotype" w:hAnsi="Palatino Linotype" w:cs="Palatino Linotype"/>
                <w:sz w:val="22"/>
                <w:szCs w:val="22"/>
              </w:rPr>
              <w:lastRenderedPageBreak/>
              <w:t>2. Funciones.</w:t>
            </w:r>
          </w:p>
        </w:tc>
        <w:tc>
          <w:tcPr>
            <w:tcW w:w="2943" w:type="dxa"/>
            <w:shd w:val="clear" w:color="auto" w:fill="auto"/>
          </w:tcPr>
          <w:p w14:paraId="2209CE65"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b/>
                <w:sz w:val="20"/>
                <w:szCs w:val="20"/>
              </w:rPr>
              <w:t>Dirección General de Administración</w:t>
            </w:r>
            <w:r w:rsidRPr="00F23522">
              <w:rPr>
                <w:rFonts w:ascii="Palatino Linotype" w:eastAsia="Palatino Linotype" w:hAnsi="Palatino Linotype" w:cs="Palatino Linotype"/>
                <w:sz w:val="20"/>
                <w:szCs w:val="20"/>
              </w:rPr>
              <w:t>:</w:t>
            </w:r>
          </w:p>
          <w:p w14:paraId="6D3FAA37"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 Se señaló que las funciones son encomendadas por el superior jerárquico, asimismo se remitieron los Manuales de Organización de la Presidencia, de la Secretaría del Ayuntamiento, de la Tesorería Municipal, la Contraloría Municipal, la Dirección General de Gobierno, la Dirección General de Administración, la Dirección General de Medio Ambiente, la Dirección General de Seguridad y Protección, la Dirección General de Servicios Públicos, la Dirección General de Desarrollo Urbano, Ordenamiento Territorial y Obras Públicas, la Dirección General de Desarrollo Económico, y la Dirección General de Desarrollo Social, en los que se advierten las funciones que tienen encomendadas las áreas.</w:t>
            </w:r>
          </w:p>
          <w:p w14:paraId="3E7202A8" w14:textId="77777777" w:rsidR="00B15CEF" w:rsidRPr="00F23522" w:rsidRDefault="00B15CEF">
            <w:pPr>
              <w:spacing w:before="120" w:after="120"/>
              <w:jc w:val="both"/>
              <w:rPr>
                <w:rFonts w:ascii="Palatino Linotype" w:eastAsia="Palatino Linotype" w:hAnsi="Palatino Linotype" w:cs="Palatino Linotype"/>
                <w:sz w:val="20"/>
                <w:szCs w:val="20"/>
              </w:rPr>
            </w:pPr>
          </w:p>
          <w:p w14:paraId="36DCB87B" w14:textId="77777777" w:rsidR="00B15CEF" w:rsidRPr="00F23522" w:rsidRDefault="00B8282C">
            <w:pPr>
              <w:spacing w:before="120" w:after="120"/>
              <w:jc w:val="both"/>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t>Instituto Municipal de la Mujer de Toluca</w:t>
            </w:r>
          </w:p>
          <w:p w14:paraId="4C9E0B2B"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Listado nominal del Instituto Municipal de la Mujer, que contiene las funciones que tiene encomendadas cada servidor público.</w:t>
            </w:r>
          </w:p>
          <w:p w14:paraId="661F4B35" w14:textId="77777777" w:rsidR="00B15CEF" w:rsidRPr="00F23522" w:rsidRDefault="00B15CEF">
            <w:pPr>
              <w:spacing w:before="120" w:after="120"/>
              <w:jc w:val="both"/>
              <w:rPr>
                <w:rFonts w:ascii="Palatino Linotype" w:eastAsia="Palatino Linotype" w:hAnsi="Palatino Linotype" w:cs="Palatino Linotype"/>
                <w:b/>
                <w:sz w:val="20"/>
                <w:szCs w:val="20"/>
              </w:rPr>
            </w:pPr>
          </w:p>
          <w:p w14:paraId="5995213F" w14:textId="77777777" w:rsidR="00B15CEF" w:rsidRPr="00F23522" w:rsidRDefault="00B8282C">
            <w:pPr>
              <w:spacing w:before="120" w:after="120"/>
              <w:jc w:val="both"/>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lastRenderedPageBreak/>
              <w:t>Instituto Municipal de Cultura Física y Deporte</w:t>
            </w:r>
          </w:p>
          <w:p w14:paraId="4929446E" w14:textId="77777777" w:rsidR="00B15CEF" w:rsidRPr="00F23522" w:rsidRDefault="00B8282C">
            <w:pPr>
              <w:spacing w:before="120" w:after="120"/>
              <w:jc w:val="both"/>
              <w:rPr>
                <w:rFonts w:ascii="Palatino Linotype" w:eastAsia="Palatino Linotype" w:hAnsi="Palatino Linotype" w:cs="Palatino Linotype"/>
                <w:sz w:val="20"/>
                <w:szCs w:val="20"/>
              </w:rPr>
            </w:pPr>
            <w:r w:rsidRPr="00F23522">
              <w:rPr>
                <w:rFonts w:ascii="Palatino Linotype" w:eastAsia="Palatino Linotype" w:hAnsi="Palatino Linotype" w:cs="Palatino Linotype"/>
                <w:sz w:val="20"/>
                <w:szCs w:val="20"/>
              </w:rPr>
              <w:t>Se señala que se encuentran establecidas en el Reglamento Interno del Instituto, que refiere adjuntar, sin embargo, no se localiza en los archivos remitidos en respuesta.</w:t>
            </w:r>
          </w:p>
        </w:tc>
        <w:tc>
          <w:tcPr>
            <w:tcW w:w="2943" w:type="dxa"/>
            <w:shd w:val="clear" w:color="auto" w:fill="auto"/>
          </w:tcPr>
          <w:p w14:paraId="4F3301EF" w14:textId="77777777" w:rsidR="00B15CEF" w:rsidRPr="00F23522" w:rsidRDefault="00B8282C">
            <w:pPr>
              <w:spacing w:before="120" w:after="120"/>
              <w:jc w:val="center"/>
              <w:rPr>
                <w:rFonts w:ascii="Palatino Linotype" w:eastAsia="Palatino Linotype" w:hAnsi="Palatino Linotype" w:cs="Palatino Linotype"/>
                <w:b/>
                <w:sz w:val="20"/>
                <w:szCs w:val="20"/>
              </w:rPr>
            </w:pPr>
            <w:r w:rsidRPr="00F23522">
              <w:rPr>
                <w:rFonts w:ascii="Palatino Linotype" w:eastAsia="Palatino Linotype" w:hAnsi="Palatino Linotype" w:cs="Palatino Linotype"/>
                <w:b/>
                <w:sz w:val="20"/>
                <w:szCs w:val="20"/>
              </w:rPr>
              <w:lastRenderedPageBreak/>
              <w:t>PARCIALMENTE</w:t>
            </w:r>
          </w:p>
          <w:p w14:paraId="72DDFCB9" w14:textId="77777777" w:rsidR="00B15CEF" w:rsidRPr="00F23522" w:rsidRDefault="00B8282C">
            <w:pPr>
              <w:spacing w:before="120" w:after="120"/>
              <w:jc w:val="both"/>
              <w:rPr>
                <w:rFonts w:ascii="Palatino Linotype" w:eastAsia="Palatino Linotype" w:hAnsi="Palatino Linotype" w:cs="Palatino Linotype"/>
                <w:sz w:val="16"/>
                <w:szCs w:val="16"/>
              </w:rPr>
            </w:pPr>
            <w:r w:rsidRPr="00F23522">
              <w:rPr>
                <w:rFonts w:ascii="Palatino Linotype" w:eastAsia="Palatino Linotype" w:hAnsi="Palatino Linotype" w:cs="Palatino Linotype"/>
                <w:sz w:val="16"/>
                <w:szCs w:val="16"/>
              </w:rPr>
              <w:t>Al no remitirse completo el listado nominal del Instituto Municipal de la Mujer, no se hizo entrega de las funciones que desempeña el personal faltante.</w:t>
            </w:r>
          </w:p>
          <w:p w14:paraId="49352950" w14:textId="77777777" w:rsidR="00B15CEF" w:rsidRPr="00F23522" w:rsidRDefault="00B8282C">
            <w:pPr>
              <w:spacing w:before="120" w:after="120"/>
              <w:jc w:val="both"/>
              <w:rPr>
                <w:rFonts w:ascii="Palatino Linotype" w:eastAsia="Palatino Linotype" w:hAnsi="Palatino Linotype" w:cs="Palatino Linotype"/>
                <w:sz w:val="16"/>
                <w:szCs w:val="16"/>
              </w:rPr>
            </w:pPr>
            <w:r w:rsidRPr="00F23522">
              <w:rPr>
                <w:rFonts w:ascii="Palatino Linotype" w:eastAsia="Palatino Linotype" w:hAnsi="Palatino Linotype" w:cs="Palatino Linotype"/>
                <w:sz w:val="16"/>
                <w:szCs w:val="16"/>
              </w:rPr>
              <w:t>No se remitió información de las funciones del personal adscrito al IMCUFIDE.</w:t>
            </w:r>
          </w:p>
          <w:p w14:paraId="177EAF51" w14:textId="77777777" w:rsidR="00B15CEF" w:rsidRPr="00F23522" w:rsidRDefault="00B15CEF">
            <w:pPr>
              <w:spacing w:before="120" w:after="120"/>
              <w:jc w:val="both"/>
              <w:rPr>
                <w:rFonts w:ascii="Palatino Linotype" w:eastAsia="Palatino Linotype" w:hAnsi="Palatino Linotype" w:cs="Palatino Linotype"/>
                <w:sz w:val="16"/>
                <w:szCs w:val="16"/>
              </w:rPr>
            </w:pPr>
          </w:p>
          <w:p w14:paraId="72187450" w14:textId="77777777" w:rsidR="00B15CEF" w:rsidRPr="00F23522" w:rsidRDefault="00B15CEF">
            <w:pPr>
              <w:spacing w:before="120" w:after="120"/>
              <w:jc w:val="center"/>
              <w:rPr>
                <w:rFonts w:ascii="Palatino Linotype" w:eastAsia="Palatino Linotype" w:hAnsi="Palatino Linotype" w:cs="Palatino Linotype"/>
                <w:b/>
                <w:sz w:val="20"/>
                <w:szCs w:val="20"/>
              </w:rPr>
            </w:pPr>
          </w:p>
        </w:tc>
      </w:tr>
    </w:tbl>
    <w:p w14:paraId="57C3BD1F"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Como se advierte en la tabla anterior, la información remitida es suficiente para tener por colmado el requerimiento relativo al listado nominal actualizado al 2023 del Instituto Municipal de Cultura Física y Deporte, al haberse entregado la plantilla de personal proporcionada por el servidor público habilitado de dicho Organismo, mismo que contiene nombre completo de los servidores públicos, adscripción, puesto, categoría –confianza, sindicalizado o eventual-, y el sueldo neto mensual como se observa a continuación:</w:t>
      </w:r>
    </w:p>
    <w:p w14:paraId="0B3B312C" w14:textId="77777777" w:rsidR="00B15CEF" w:rsidRPr="00F23522" w:rsidRDefault="00B8282C">
      <w:pPr>
        <w:spacing w:before="240" w:after="240" w:line="360" w:lineRule="auto"/>
        <w:ind w:right="51"/>
        <w:jc w:val="center"/>
        <w:rPr>
          <w:rFonts w:ascii="Palatino Linotype" w:eastAsia="Palatino Linotype" w:hAnsi="Palatino Linotype" w:cs="Palatino Linotype"/>
        </w:rPr>
      </w:pPr>
      <w:r w:rsidRPr="00F23522">
        <w:rPr>
          <w:noProof/>
        </w:rPr>
        <w:drawing>
          <wp:inline distT="0" distB="0" distL="0" distR="0" wp14:anchorId="56575600" wp14:editId="6F8B27DF">
            <wp:extent cx="5398132" cy="1119446"/>
            <wp:effectExtent l="0" t="0" r="0" b="0"/>
            <wp:docPr id="20675916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22662" b="27207"/>
                    <a:stretch>
                      <a:fillRect/>
                    </a:stretch>
                  </pic:blipFill>
                  <pic:spPr>
                    <a:xfrm>
                      <a:off x="0" y="0"/>
                      <a:ext cx="5398132" cy="1119446"/>
                    </a:xfrm>
                    <a:prstGeom prst="rect">
                      <a:avLst/>
                    </a:prstGeom>
                    <a:ln/>
                  </pic:spPr>
                </pic:pic>
              </a:graphicData>
            </a:graphic>
          </wp:inline>
        </w:drawing>
      </w:r>
    </w:p>
    <w:p w14:paraId="78DA0F77"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Siendo de suma importancia mencionar que en respuesta a la solicitud, la Titular de la Unidad de Transparencia del ayuntamiento indicó que el servidor público habilitado del Instituto Municipal de Cultura Física y Deporte hizo entrega del listado nominal, como puede constarse en el apartado de requerimientos del sistema SAIMEX, en donde se advierte el turno correspondiente, y de donde se desprende que la información fue proporcionada por la Coordinadora de Administración y Finanzas, quien de conformidad con el artículo 20, del </w:t>
      </w:r>
      <w:r w:rsidRPr="00F23522">
        <w:rPr>
          <w:rFonts w:ascii="Palatino Linotype" w:eastAsia="Palatino Linotype" w:hAnsi="Palatino Linotype" w:cs="Palatino Linotype"/>
        </w:rPr>
        <w:lastRenderedPageBreak/>
        <w:t>Reglamento Interno del Instituto Municipal, se encarga de supervisar que los movimientos de personal, tales como altas, bajas y cambios de adscripción, se tengan actualizados, así como la integración de los expedientes del personal del IMCUFIDET, así como supervisar la correcta elaboración del Comprobante Fiscal Digital por Internet (CFDI) en el sistema de nómina,</w:t>
      </w:r>
      <w:r w:rsidRPr="00F23522">
        <w:t xml:space="preserve"> </w:t>
      </w:r>
      <w:r w:rsidRPr="00F23522">
        <w:rPr>
          <w:rFonts w:ascii="Palatino Linotype" w:eastAsia="Palatino Linotype" w:hAnsi="Palatino Linotype" w:cs="Palatino Linotype"/>
        </w:rPr>
        <w:t>cuyo pronunciamiento se emitió medularmente en los siguientes términos:</w:t>
      </w:r>
    </w:p>
    <w:p w14:paraId="6090480E" w14:textId="77777777" w:rsidR="00B15CEF" w:rsidRPr="00F23522" w:rsidRDefault="00B8282C">
      <w:pPr>
        <w:spacing w:before="240" w:after="240" w:line="360" w:lineRule="auto"/>
        <w:ind w:right="51"/>
        <w:jc w:val="center"/>
        <w:rPr>
          <w:rFonts w:ascii="Palatino Linotype" w:eastAsia="Palatino Linotype" w:hAnsi="Palatino Linotype" w:cs="Palatino Linotype"/>
        </w:rPr>
      </w:pPr>
      <w:r w:rsidRPr="00F23522">
        <w:rPr>
          <w:noProof/>
        </w:rPr>
        <w:drawing>
          <wp:inline distT="0" distB="0" distL="0" distR="0" wp14:anchorId="4885891A" wp14:editId="45E98449">
            <wp:extent cx="4500000" cy="3369786"/>
            <wp:effectExtent l="0" t="0" r="0" b="0"/>
            <wp:docPr id="20675916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17240"/>
                    <a:stretch>
                      <a:fillRect/>
                    </a:stretch>
                  </pic:blipFill>
                  <pic:spPr>
                    <a:xfrm>
                      <a:off x="0" y="0"/>
                      <a:ext cx="4500000" cy="3369786"/>
                    </a:xfrm>
                    <a:prstGeom prst="rect">
                      <a:avLst/>
                    </a:prstGeom>
                    <a:ln/>
                  </pic:spPr>
                </pic:pic>
              </a:graphicData>
            </a:graphic>
          </wp:inline>
        </w:drawing>
      </w:r>
    </w:p>
    <w:p w14:paraId="1A293CCC"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Como se advierte, la Coordinadora de Administración y Finanzas del Instituto Municipal de Cultura Física y Deporte, como servidora pública habilitada competente, proporcionó el listado nominal del año 2023 de los servidores públicos del Instituto Municipal, documento que contiene nombre, área de adscripción, puesto, categoría y sueldo neto mensual.</w:t>
      </w:r>
    </w:p>
    <w:p w14:paraId="3B0E0D51" w14:textId="77777777" w:rsidR="00B15CEF" w:rsidRPr="00F23522" w:rsidRDefault="00B8282C">
      <w:pPr>
        <w:spacing w:before="240" w:after="360" w:line="360" w:lineRule="auto"/>
        <w:ind w:right="18"/>
        <w:jc w:val="both"/>
        <w:rPr>
          <w:rFonts w:ascii="Palatino Linotype" w:eastAsia="Palatino Linotype" w:hAnsi="Palatino Linotype" w:cs="Palatino Linotype"/>
        </w:rPr>
      </w:pPr>
      <w:bookmarkStart w:id="8" w:name="_heading=h.1fob9te" w:colFirst="0" w:colLast="0"/>
      <w:bookmarkEnd w:id="8"/>
      <w:r w:rsidRPr="00F23522">
        <w:rPr>
          <w:rFonts w:ascii="Palatino Linotype" w:eastAsia="Palatino Linotype" w:hAnsi="Palatino Linotype" w:cs="Palatino Linotype"/>
        </w:rPr>
        <w:lastRenderedPageBreak/>
        <w:t xml:space="preserve">De manera que, al haber existido un pronunciamiento por parte del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a través del área competente para contar con la información del Instituto Municipal de Cultura Física y Deporte, respecto de la materia del primer punto de la solicitud, este Organismo Garante no está facultado para manifestarse sobre la veracidad de lo expresado por parte de este, pues no existe precepto legal alguno en la Ley de la materia que lo faculte para ello.</w:t>
      </w:r>
    </w:p>
    <w:p w14:paraId="2521A08A" w14:textId="77777777" w:rsidR="00B15CEF" w:rsidRPr="00F23522" w:rsidRDefault="00B8282C">
      <w:pPr>
        <w:spacing w:before="240" w:after="360" w:line="360" w:lineRule="auto"/>
        <w:ind w:right="18"/>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61885E2" w14:textId="77777777" w:rsidR="00B15CEF" w:rsidRPr="00F23522" w:rsidRDefault="00B8282C">
      <w:pPr>
        <w:spacing w:before="240" w:after="240"/>
        <w:ind w:left="993" w:right="1041"/>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F2352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D4E7F9" w14:textId="77777777" w:rsidR="00B15CEF" w:rsidRPr="00F23522" w:rsidRDefault="00B8282C">
      <w:pPr>
        <w:spacing w:before="240" w:after="240" w:line="360" w:lineRule="auto"/>
        <w:ind w:right="51"/>
        <w:jc w:val="both"/>
        <w:rPr>
          <w:rFonts w:ascii="Palatino Linotype" w:eastAsia="Palatino Linotype" w:hAnsi="Palatino Linotype" w:cs="Palatino Linotype"/>
          <w:b/>
        </w:rPr>
      </w:pPr>
      <w:r w:rsidRPr="00F23522">
        <w:rPr>
          <w:rFonts w:ascii="Palatino Linotype" w:eastAsia="Palatino Linotype" w:hAnsi="Palatino Linotype" w:cs="Palatino Linotype"/>
        </w:rPr>
        <w:t xml:space="preserve">En este sentido, como se adelantó </w:t>
      </w:r>
      <w:r w:rsidRPr="00F23522">
        <w:rPr>
          <w:rFonts w:ascii="Palatino Linotype" w:eastAsia="Palatino Linotype" w:hAnsi="Palatino Linotype" w:cs="Palatino Linotype"/>
          <w:b/>
        </w:rPr>
        <w:t xml:space="preserve">se tiene por colmado el requerimiento relativo al listado nominal actualizado al 2023, </w:t>
      </w:r>
      <w:r w:rsidRPr="00F23522">
        <w:rPr>
          <w:rFonts w:ascii="Palatino Linotype" w:eastAsia="Palatino Linotype" w:hAnsi="Palatino Linotype" w:cs="Palatino Linotype"/>
          <w:b/>
          <w:u w:val="single"/>
        </w:rPr>
        <w:t>respecto al Instituto Municipal de Cultura Física y Deporte</w:t>
      </w:r>
      <w:r w:rsidRPr="00F23522">
        <w:rPr>
          <w:rFonts w:ascii="Palatino Linotype" w:eastAsia="Palatino Linotype" w:hAnsi="Palatino Linotype" w:cs="Palatino Linotype"/>
          <w:b/>
        </w:rPr>
        <w:t>.</w:t>
      </w:r>
    </w:p>
    <w:p w14:paraId="13D41021"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xml:space="preserve">En el mismo tenor, </w:t>
      </w:r>
      <w:r w:rsidRPr="00F23522">
        <w:rPr>
          <w:rFonts w:ascii="Palatino Linotype" w:eastAsia="Palatino Linotype" w:hAnsi="Palatino Linotype" w:cs="Palatino Linotype"/>
          <w:b/>
        </w:rPr>
        <w:t>el punto relativo a las funciones de los servidores públicos adscritos al ayuntamiento se tiene por colmado</w:t>
      </w:r>
      <w:r w:rsidRPr="00F23522">
        <w:rPr>
          <w:rFonts w:ascii="Palatino Linotype" w:eastAsia="Palatino Linotype" w:hAnsi="Palatino Linotype" w:cs="Palatino Linotype"/>
        </w:rPr>
        <w:t xml:space="preserve">, en virtud de que la Unidad de Transparencia, a través de la Dirección General de Administración y la Dirección de Recursos Humanos, manifestó que las funciones son ordenadas por el superior jerárquico de cada servidor público, asimismo remitió los manuales de organización de todas las áreas del ayuntamiento, en los que se advierten las actividades encomendadas a cada área. </w:t>
      </w:r>
    </w:p>
    <w:p w14:paraId="497B7F34"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este sentido, es oportuno mencionar que de conformidad con el artículo 23 del Bando Municipal, la o el presidente municipal se auxilia de la Secretaría del Ayuntamiento; la Tesorería Municipal; la Contraloría; la Dirección General de Gobierno; la Dirección General de Seguridad Pública y Protección; la Dirección General de Administración; la Dirección General de Medio Ambiente; la Dirección General de Desarrollo Urbano, Ordenamiento Territorial y Obras Públicas; Dirección General de Desarrollo Económico; y la Dirección General de Desarrollo Social, proporcionando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los manuales de organización de las mismas áreas, como se refirió en el antecedente 2 de la presente resolución, y como se ilustra a continuación para un mejor entendimiento:</w:t>
      </w:r>
    </w:p>
    <w:p w14:paraId="21CBD718" w14:textId="77777777" w:rsidR="00B15CEF" w:rsidRPr="00F23522" w:rsidRDefault="00B8282C">
      <w:pPr>
        <w:spacing w:before="240" w:after="240" w:line="360" w:lineRule="auto"/>
        <w:ind w:right="51"/>
        <w:jc w:val="center"/>
        <w:rPr>
          <w:rFonts w:ascii="Palatino Linotype" w:eastAsia="Palatino Linotype" w:hAnsi="Palatino Linotype" w:cs="Palatino Linotype"/>
        </w:rPr>
      </w:pPr>
      <w:bookmarkStart w:id="9" w:name="_GoBack"/>
      <w:r w:rsidRPr="00F23522">
        <w:rPr>
          <w:noProof/>
        </w:rPr>
        <w:drawing>
          <wp:inline distT="0" distB="0" distL="0" distR="0" wp14:anchorId="2A84B631" wp14:editId="404E4F31">
            <wp:extent cx="3600000" cy="1980000"/>
            <wp:effectExtent l="0" t="0" r="0" b="0"/>
            <wp:docPr id="20675916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3600000" cy="1980000"/>
                    </a:xfrm>
                    <a:prstGeom prst="rect">
                      <a:avLst/>
                    </a:prstGeom>
                    <a:ln/>
                  </pic:spPr>
                </pic:pic>
              </a:graphicData>
            </a:graphic>
          </wp:inline>
        </w:drawing>
      </w:r>
      <w:bookmarkEnd w:id="9"/>
    </w:p>
    <w:tbl>
      <w:tblPr>
        <w:tblStyle w:val="aff3"/>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F23522" w:rsidRPr="00F23522" w14:paraId="3A6F73D2" w14:textId="77777777">
        <w:tc>
          <w:tcPr>
            <w:tcW w:w="4414" w:type="dxa"/>
          </w:tcPr>
          <w:p w14:paraId="24076818"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lastRenderedPageBreak/>
              <w:drawing>
                <wp:inline distT="0" distB="0" distL="0" distR="0" wp14:anchorId="1740D907" wp14:editId="2DD2AD4C">
                  <wp:extent cx="2520000" cy="563451"/>
                  <wp:effectExtent l="0" t="0" r="0" b="0"/>
                  <wp:docPr id="20675916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520000" cy="563451"/>
                          </a:xfrm>
                          <a:prstGeom prst="rect">
                            <a:avLst/>
                          </a:prstGeom>
                          <a:ln/>
                        </pic:spPr>
                      </pic:pic>
                    </a:graphicData>
                  </a:graphic>
                </wp:inline>
              </w:drawing>
            </w:r>
          </w:p>
        </w:tc>
        <w:tc>
          <w:tcPr>
            <w:tcW w:w="4414" w:type="dxa"/>
          </w:tcPr>
          <w:p w14:paraId="4B313949"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064F0897" wp14:editId="21094360">
                  <wp:extent cx="2520000" cy="447373"/>
                  <wp:effectExtent l="0" t="0" r="0" b="0"/>
                  <wp:docPr id="20675916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520000" cy="447373"/>
                          </a:xfrm>
                          <a:prstGeom prst="rect">
                            <a:avLst/>
                          </a:prstGeom>
                          <a:ln/>
                        </pic:spPr>
                      </pic:pic>
                    </a:graphicData>
                  </a:graphic>
                </wp:inline>
              </w:drawing>
            </w:r>
          </w:p>
        </w:tc>
      </w:tr>
      <w:tr w:rsidR="00F23522" w:rsidRPr="00F23522" w14:paraId="62C6592B" w14:textId="77777777">
        <w:tc>
          <w:tcPr>
            <w:tcW w:w="4414" w:type="dxa"/>
          </w:tcPr>
          <w:p w14:paraId="60BB1202"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7B6A8E64" wp14:editId="41E58E56">
                  <wp:extent cx="2520000" cy="433846"/>
                  <wp:effectExtent l="0" t="0" r="0" b="0"/>
                  <wp:docPr id="20675916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520000" cy="433846"/>
                          </a:xfrm>
                          <a:prstGeom prst="rect">
                            <a:avLst/>
                          </a:prstGeom>
                          <a:ln/>
                        </pic:spPr>
                      </pic:pic>
                    </a:graphicData>
                  </a:graphic>
                </wp:inline>
              </w:drawing>
            </w:r>
          </w:p>
        </w:tc>
        <w:tc>
          <w:tcPr>
            <w:tcW w:w="4414" w:type="dxa"/>
          </w:tcPr>
          <w:p w14:paraId="03AEC4F3" w14:textId="77777777" w:rsidR="00B15CEF" w:rsidRPr="00F23522" w:rsidRDefault="00B8282C">
            <w:pPr>
              <w:spacing w:before="120" w:after="120"/>
              <w:ind w:right="51"/>
              <w:jc w:val="both"/>
              <w:rPr>
                <w:rFonts w:ascii="Palatino Linotype" w:eastAsia="Palatino Linotype" w:hAnsi="Palatino Linotype" w:cs="Palatino Linotype"/>
              </w:rPr>
            </w:pPr>
            <w:r w:rsidRPr="00F23522">
              <w:rPr>
                <w:noProof/>
              </w:rPr>
              <w:drawing>
                <wp:inline distT="0" distB="0" distL="0" distR="0" wp14:anchorId="1E924466" wp14:editId="6C56B7A5">
                  <wp:extent cx="2520000" cy="448831"/>
                  <wp:effectExtent l="0" t="0" r="0" b="0"/>
                  <wp:docPr id="20675916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2520000" cy="448831"/>
                          </a:xfrm>
                          <a:prstGeom prst="rect">
                            <a:avLst/>
                          </a:prstGeom>
                          <a:ln/>
                        </pic:spPr>
                      </pic:pic>
                    </a:graphicData>
                  </a:graphic>
                </wp:inline>
              </w:drawing>
            </w:r>
          </w:p>
        </w:tc>
      </w:tr>
      <w:tr w:rsidR="00F23522" w:rsidRPr="00F23522" w14:paraId="6881A071" w14:textId="77777777">
        <w:tc>
          <w:tcPr>
            <w:tcW w:w="4414" w:type="dxa"/>
          </w:tcPr>
          <w:p w14:paraId="6E57BDFB"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55D036CB" wp14:editId="2FD2DB58">
                  <wp:extent cx="2520000" cy="416864"/>
                  <wp:effectExtent l="0" t="0" r="0" b="0"/>
                  <wp:docPr id="20675916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520000" cy="416864"/>
                          </a:xfrm>
                          <a:prstGeom prst="rect">
                            <a:avLst/>
                          </a:prstGeom>
                          <a:ln/>
                        </pic:spPr>
                      </pic:pic>
                    </a:graphicData>
                  </a:graphic>
                </wp:inline>
              </w:drawing>
            </w:r>
          </w:p>
        </w:tc>
        <w:tc>
          <w:tcPr>
            <w:tcW w:w="4414" w:type="dxa"/>
          </w:tcPr>
          <w:p w14:paraId="37202D96" w14:textId="77777777" w:rsidR="00B15CEF" w:rsidRPr="00F23522" w:rsidRDefault="00B8282C">
            <w:pPr>
              <w:spacing w:before="120" w:after="120"/>
              <w:ind w:right="51"/>
              <w:jc w:val="both"/>
              <w:rPr>
                <w:rFonts w:ascii="Palatino Linotype" w:eastAsia="Palatino Linotype" w:hAnsi="Palatino Linotype" w:cs="Palatino Linotype"/>
              </w:rPr>
            </w:pPr>
            <w:r w:rsidRPr="00F23522">
              <w:rPr>
                <w:noProof/>
              </w:rPr>
              <w:drawing>
                <wp:inline distT="0" distB="0" distL="0" distR="0" wp14:anchorId="47359164" wp14:editId="6D177BAC">
                  <wp:extent cx="2520000" cy="401752"/>
                  <wp:effectExtent l="0" t="0" r="0" b="0"/>
                  <wp:docPr id="20675916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520000" cy="401752"/>
                          </a:xfrm>
                          <a:prstGeom prst="rect">
                            <a:avLst/>
                          </a:prstGeom>
                          <a:ln/>
                        </pic:spPr>
                      </pic:pic>
                    </a:graphicData>
                  </a:graphic>
                </wp:inline>
              </w:drawing>
            </w:r>
          </w:p>
        </w:tc>
      </w:tr>
      <w:tr w:rsidR="00F23522" w:rsidRPr="00F23522" w14:paraId="51E92362" w14:textId="77777777">
        <w:tc>
          <w:tcPr>
            <w:tcW w:w="4414" w:type="dxa"/>
          </w:tcPr>
          <w:p w14:paraId="4FF4FDCB"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38F0673A" wp14:editId="79B4EBB7">
                  <wp:extent cx="2520000" cy="402892"/>
                  <wp:effectExtent l="0" t="0" r="0" b="0"/>
                  <wp:docPr id="20675916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520000" cy="402892"/>
                          </a:xfrm>
                          <a:prstGeom prst="rect">
                            <a:avLst/>
                          </a:prstGeom>
                          <a:ln/>
                        </pic:spPr>
                      </pic:pic>
                    </a:graphicData>
                  </a:graphic>
                </wp:inline>
              </w:drawing>
            </w:r>
          </w:p>
        </w:tc>
        <w:tc>
          <w:tcPr>
            <w:tcW w:w="4414" w:type="dxa"/>
          </w:tcPr>
          <w:p w14:paraId="04B9406C" w14:textId="77777777" w:rsidR="00B15CEF" w:rsidRPr="00F23522" w:rsidRDefault="00B8282C">
            <w:pPr>
              <w:spacing w:before="120" w:after="120"/>
              <w:ind w:right="51"/>
              <w:jc w:val="both"/>
              <w:rPr>
                <w:rFonts w:ascii="Palatino Linotype" w:eastAsia="Palatino Linotype" w:hAnsi="Palatino Linotype" w:cs="Palatino Linotype"/>
              </w:rPr>
            </w:pPr>
            <w:r w:rsidRPr="00F23522">
              <w:rPr>
                <w:noProof/>
              </w:rPr>
              <w:drawing>
                <wp:inline distT="0" distB="0" distL="0" distR="0" wp14:anchorId="2CC3CEE8" wp14:editId="6EE564D5">
                  <wp:extent cx="2520000" cy="729351"/>
                  <wp:effectExtent l="0" t="0" r="0" b="0"/>
                  <wp:docPr id="20675916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2520000" cy="729351"/>
                          </a:xfrm>
                          <a:prstGeom prst="rect">
                            <a:avLst/>
                          </a:prstGeom>
                          <a:ln/>
                        </pic:spPr>
                      </pic:pic>
                    </a:graphicData>
                  </a:graphic>
                </wp:inline>
              </w:drawing>
            </w:r>
          </w:p>
        </w:tc>
      </w:tr>
      <w:tr w:rsidR="00F23522" w:rsidRPr="00F23522" w14:paraId="5489EB21" w14:textId="77777777">
        <w:tc>
          <w:tcPr>
            <w:tcW w:w="4414" w:type="dxa"/>
          </w:tcPr>
          <w:p w14:paraId="77FF509F"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715A3550" wp14:editId="2CBC3AAB">
                  <wp:extent cx="2520000" cy="310224"/>
                  <wp:effectExtent l="0" t="0" r="0" b="0"/>
                  <wp:docPr id="20675916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520000" cy="310224"/>
                          </a:xfrm>
                          <a:prstGeom prst="rect">
                            <a:avLst/>
                          </a:prstGeom>
                          <a:ln/>
                        </pic:spPr>
                      </pic:pic>
                    </a:graphicData>
                  </a:graphic>
                </wp:inline>
              </w:drawing>
            </w:r>
          </w:p>
        </w:tc>
        <w:tc>
          <w:tcPr>
            <w:tcW w:w="4414" w:type="dxa"/>
          </w:tcPr>
          <w:p w14:paraId="18C4E4CA" w14:textId="77777777" w:rsidR="00B15CEF" w:rsidRPr="00F23522" w:rsidRDefault="00B8282C">
            <w:pPr>
              <w:spacing w:before="120" w:after="120"/>
              <w:ind w:right="51"/>
              <w:jc w:val="both"/>
              <w:rPr>
                <w:rFonts w:ascii="Palatino Linotype" w:eastAsia="Palatino Linotype" w:hAnsi="Palatino Linotype" w:cs="Palatino Linotype"/>
              </w:rPr>
            </w:pPr>
            <w:r w:rsidRPr="00F23522">
              <w:rPr>
                <w:noProof/>
              </w:rPr>
              <w:drawing>
                <wp:inline distT="0" distB="0" distL="0" distR="0" wp14:anchorId="4C238EA8" wp14:editId="0B24A963">
                  <wp:extent cx="2520000" cy="440815"/>
                  <wp:effectExtent l="0" t="0" r="0" b="0"/>
                  <wp:docPr id="20675916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2520000" cy="440815"/>
                          </a:xfrm>
                          <a:prstGeom prst="rect">
                            <a:avLst/>
                          </a:prstGeom>
                          <a:ln/>
                        </pic:spPr>
                      </pic:pic>
                    </a:graphicData>
                  </a:graphic>
                </wp:inline>
              </w:drawing>
            </w:r>
          </w:p>
        </w:tc>
      </w:tr>
      <w:tr w:rsidR="00F23522" w:rsidRPr="00F23522" w14:paraId="02ACADD2" w14:textId="77777777">
        <w:tc>
          <w:tcPr>
            <w:tcW w:w="4414" w:type="dxa"/>
          </w:tcPr>
          <w:p w14:paraId="4A0E3159" w14:textId="77777777" w:rsidR="00B15CEF" w:rsidRPr="00F23522" w:rsidRDefault="00B8282C">
            <w:pPr>
              <w:spacing w:before="120" w:after="120"/>
              <w:ind w:right="51"/>
              <w:jc w:val="center"/>
              <w:rPr>
                <w:rFonts w:ascii="Palatino Linotype" w:eastAsia="Palatino Linotype" w:hAnsi="Palatino Linotype" w:cs="Palatino Linotype"/>
              </w:rPr>
            </w:pPr>
            <w:r w:rsidRPr="00F23522">
              <w:rPr>
                <w:noProof/>
              </w:rPr>
              <w:drawing>
                <wp:inline distT="0" distB="0" distL="0" distR="0" wp14:anchorId="1882F317" wp14:editId="72B46EB4">
                  <wp:extent cx="2520000" cy="609231"/>
                  <wp:effectExtent l="0" t="0" r="0" b="0"/>
                  <wp:docPr id="20675916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2520000" cy="609231"/>
                          </a:xfrm>
                          <a:prstGeom prst="rect">
                            <a:avLst/>
                          </a:prstGeom>
                          <a:ln/>
                        </pic:spPr>
                      </pic:pic>
                    </a:graphicData>
                  </a:graphic>
                </wp:inline>
              </w:drawing>
            </w:r>
          </w:p>
        </w:tc>
        <w:tc>
          <w:tcPr>
            <w:tcW w:w="4414" w:type="dxa"/>
          </w:tcPr>
          <w:p w14:paraId="1D87ED70" w14:textId="77777777" w:rsidR="00B15CEF" w:rsidRPr="00F23522" w:rsidRDefault="00B8282C">
            <w:pPr>
              <w:spacing w:before="120" w:after="120"/>
              <w:ind w:right="51"/>
              <w:jc w:val="both"/>
              <w:rPr>
                <w:rFonts w:ascii="Palatino Linotype" w:eastAsia="Palatino Linotype" w:hAnsi="Palatino Linotype" w:cs="Palatino Linotype"/>
              </w:rPr>
            </w:pPr>
            <w:r w:rsidRPr="00F23522">
              <w:rPr>
                <w:noProof/>
              </w:rPr>
              <w:drawing>
                <wp:inline distT="0" distB="0" distL="0" distR="0" wp14:anchorId="0F07D5D2" wp14:editId="3AA29874">
                  <wp:extent cx="2520000" cy="285417"/>
                  <wp:effectExtent l="0" t="0" r="0" b="0"/>
                  <wp:docPr id="20675916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520000" cy="285417"/>
                          </a:xfrm>
                          <a:prstGeom prst="rect">
                            <a:avLst/>
                          </a:prstGeom>
                          <a:ln/>
                        </pic:spPr>
                      </pic:pic>
                    </a:graphicData>
                  </a:graphic>
                </wp:inline>
              </w:drawing>
            </w:r>
          </w:p>
        </w:tc>
      </w:tr>
    </w:tbl>
    <w:p w14:paraId="3594F362"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Asimismo, este Organismo Garante procedió a consultar el contenido de los manuales de organización remitidos, con la finalidad de determinar si los mismos contienen las funciones que se les encomiendan a los servidores públicos, advirtiendo, que dichos manuales de organización si refieren las atribuciones, competencias y/o funciones que se le confieren a las unidades administrativas, como se ejemplifica a continuación, respecto de algunas áreas:</w:t>
      </w:r>
    </w:p>
    <w:p w14:paraId="2E49C2E2" w14:textId="77777777" w:rsidR="00B15CEF" w:rsidRPr="00F23522" w:rsidRDefault="00B15CEF">
      <w:pPr>
        <w:spacing w:before="240" w:after="240" w:line="360" w:lineRule="auto"/>
        <w:ind w:right="51"/>
        <w:jc w:val="both"/>
        <w:rPr>
          <w:rFonts w:ascii="Palatino Linotype" w:eastAsia="Palatino Linotype" w:hAnsi="Palatino Linotype" w:cs="Palatino Linotype"/>
        </w:rPr>
      </w:pPr>
    </w:p>
    <w:p w14:paraId="5EC61F22" w14:textId="77777777" w:rsidR="00B15CEF" w:rsidRPr="00F23522" w:rsidRDefault="00B15CEF">
      <w:pPr>
        <w:spacing w:before="240" w:after="240" w:line="360" w:lineRule="auto"/>
        <w:ind w:right="51"/>
        <w:jc w:val="both"/>
        <w:rPr>
          <w:rFonts w:ascii="Palatino Linotype" w:eastAsia="Palatino Linotype" w:hAnsi="Palatino Linotype" w:cs="Palatino Linotype"/>
        </w:rPr>
      </w:pPr>
    </w:p>
    <w:p w14:paraId="71A53CAE" w14:textId="77777777" w:rsidR="00B15CEF" w:rsidRPr="00F23522" w:rsidRDefault="00B15CEF">
      <w:pPr>
        <w:spacing w:before="240" w:after="240" w:line="360" w:lineRule="auto"/>
        <w:ind w:right="51"/>
        <w:jc w:val="both"/>
        <w:rPr>
          <w:rFonts w:ascii="Palatino Linotype" w:eastAsia="Palatino Linotype" w:hAnsi="Palatino Linotype" w:cs="Palatino Linotype"/>
        </w:rPr>
      </w:pPr>
    </w:p>
    <w:p w14:paraId="6B15DD8A"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b/>
        </w:rPr>
        <w:lastRenderedPageBreak/>
        <w:t>Manual de organización de la Presidencia municipal</w:t>
      </w:r>
      <w:r w:rsidRPr="00F23522">
        <w:rPr>
          <w:rFonts w:ascii="Palatino Linotype" w:eastAsia="Palatino Linotype" w:hAnsi="Palatino Linotype" w:cs="Palatino Linotype"/>
        </w:rPr>
        <w:t>:</w:t>
      </w:r>
    </w:p>
    <w:p w14:paraId="40E0DA90" w14:textId="77777777" w:rsidR="00B15CEF" w:rsidRPr="00F23522" w:rsidRDefault="00B8282C">
      <w:pPr>
        <w:spacing w:before="240" w:after="240" w:line="360" w:lineRule="auto"/>
        <w:ind w:right="51"/>
        <w:jc w:val="center"/>
        <w:rPr>
          <w:rFonts w:ascii="Palatino Linotype" w:eastAsia="Palatino Linotype" w:hAnsi="Palatino Linotype" w:cs="Palatino Linotype"/>
        </w:rPr>
      </w:pPr>
      <w:r w:rsidRPr="00F23522">
        <w:rPr>
          <w:noProof/>
        </w:rPr>
        <w:drawing>
          <wp:inline distT="0" distB="0" distL="0" distR="0" wp14:anchorId="0ABF78B4" wp14:editId="6E864DB5">
            <wp:extent cx="4104000" cy="3795665"/>
            <wp:effectExtent l="0" t="0" r="0" b="0"/>
            <wp:docPr id="20675916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4104000" cy="3795665"/>
                    </a:xfrm>
                    <a:prstGeom prst="rect">
                      <a:avLst/>
                    </a:prstGeom>
                    <a:ln/>
                  </pic:spPr>
                </pic:pic>
              </a:graphicData>
            </a:graphic>
          </wp:inline>
        </w:drawing>
      </w:r>
      <w:r w:rsidRPr="00F23522">
        <w:rPr>
          <w:noProof/>
        </w:rPr>
        <w:drawing>
          <wp:inline distT="0" distB="0" distL="0" distR="0" wp14:anchorId="315FFB10" wp14:editId="4A2F5447">
            <wp:extent cx="4032000" cy="1781964"/>
            <wp:effectExtent l="0" t="0" r="0" b="0"/>
            <wp:docPr id="20675916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4032000" cy="1781964"/>
                    </a:xfrm>
                    <a:prstGeom prst="rect">
                      <a:avLst/>
                    </a:prstGeom>
                    <a:ln/>
                  </pic:spPr>
                </pic:pic>
              </a:graphicData>
            </a:graphic>
          </wp:inline>
        </w:drawing>
      </w:r>
    </w:p>
    <w:p w14:paraId="0D2DA1A7" w14:textId="77777777" w:rsidR="00B15CEF" w:rsidRPr="00F23522" w:rsidRDefault="00B15CEF">
      <w:pPr>
        <w:spacing w:before="240" w:after="240" w:line="360" w:lineRule="auto"/>
        <w:ind w:right="51"/>
        <w:jc w:val="both"/>
        <w:rPr>
          <w:rFonts w:ascii="Palatino Linotype" w:eastAsia="Palatino Linotype" w:hAnsi="Palatino Linotype" w:cs="Palatino Linotype"/>
          <w:b/>
        </w:rPr>
      </w:pPr>
    </w:p>
    <w:p w14:paraId="2A9F4741" w14:textId="77777777" w:rsidR="00B15CEF" w:rsidRPr="00F23522" w:rsidRDefault="00B15CEF">
      <w:pPr>
        <w:spacing w:before="240" w:after="240" w:line="360" w:lineRule="auto"/>
        <w:ind w:right="51"/>
        <w:jc w:val="both"/>
        <w:rPr>
          <w:rFonts w:ascii="Palatino Linotype" w:eastAsia="Palatino Linotype" w:hAnsi="Palatino Linotype" w:cs="Palatino Linotype"/>
          <w:b/>
        </w:rPr>
      </w:pPr>
    </w:p>
    <w:p w14:paraId="3B7D5C4F" w14:textId="77777777" w:rsidR="00B15CEF" w:rsidRPr="00F23522" w:rsidRDefault="00B15CEF">
      <w:pPr>
        <w:spacing w:before="240" w:after="240" w:line="360" w:lineRule="auto"/>
        <w:ind w:right="51"/>
        <w:jc w:val="both"/>
        <w:rPr>
          <w:rFonts w:ascii="Palatino Linotype" w:eastAsia="Palatino Linotype" w:hAnsi="Palatino Linotype" w:cs="Palatino Linotype"/>
          <w:b/>
        </w:rPr>
      </w:pPr>
    </w:p>
    <w:p w14:paraId="534B186B" w14:textId="77777777" w:rsidR="00B15CEF" w:rsidRPr="00F23522" w:rsidRDefault="00B8282C">
      <w:pPr>
        <w:spacing w:before="240" w:after="240" w:line="360" w:lineRule="auto"/>
        <w:ind w:right="51"/>
        <w:jc w:val="both"/>
        <w:rPr>
          <w:rFonts w:ascii="Palatino Linotype" w:eastAsia="Palatino Linotype" w:hAnsi="Palatino Linotype" w:cs="Palatino Linotype"/>
          <w:b/>
        </w:rPr>
      </w:pPr>
      <w:r w:rsidRPr="00F23522">
        <w:rPr>
          <w:rFonts w:ascii="Palatino Linotype" w:eastAsia="Palatino Linotype" w:hAnsi="Palatino Linotype" w:cs="Palatino Linotype"/>
          <w:b/>
        </w:rPr>
        <w:lastRenderedPageBreak/>
        <w:t>Manual de organización de la Tesorería municipal:</w:t>
      </w:r>
    </w:p>
    <w:p w14:paraId="02F492EC" w14:textId="77777777" w:rsidR="00B15CEF" w:rsidRPr="00F23522" w:rsidRDefault="00B8282C">
      <w:pPr>
        <w:spacing w:before="240" w:after="240" w:line="360" w:lineRule="auto"/>
        <w:ind w:right="51"/>
        <w:jc w:val="center"/>
        <w:rPr>
          <w:rFonts w:ascii="Palatino Linotype" w:eastAsia="Palatino Linotype" w:hAnsi="Palatino Linotype" w:cs="Palatino Linotype"/>
        </w:rPr>
      </w:pPr>
      <w:r w:rsidRPr="00F23522">
        <w:rPr>
          <w:noProof/>
        </w:rPr>
        <w:drawing>
          <wp:inline distT="0" distB="0" distL="0" distR="0" wp14:anchorId="14C0FBDE" wp14:editId="4A8B1F7B">
            <wp:extent cx="3960000" cy="3374379"/>
            <wp:effectExtent l="0" t="0" r="0" b="0"/>
            <wp:docPr id="20675916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3960000" cy="3374379"/>
                    </a:xfrm>
                    <a:prstGeom prst="rect">
                      <a:avLst/>
                    </a:prstGeom>
                    <a:ln/>
                  </pic:spPr>
                </pic:pic>
              </a:graphicData>
            </a:graphic>
          </wp:inline>
        </w:drawing>
      </w:r>
    </w:p>
    <w:p w14:paraId="7BB5173C" w14:textId="77777777" w:rsidR="00B15CEF" w:rsidRPr="00F23522" w:rsidRDefault="00B8282C">
      <w:pPr>
        <w:spacing w:before="240" w:after="240" w:line="360" w:lineRule="auto"/>
        <w:ind w:right="51"/>
        <w:jc w:val="both"/>
        <w:rPr>
          <w:rFonts w:ascii="Palatino Linotype" w:eastAsia="Palatino Linotype" w:hAnsi="Palatino Linotype" w:cs="Palatino Linotype"/>
          <w:b/>
        </w:rPr>
      </w:pPr>
      <w:r w:rsidRPr="00F23522">
        <w:rPr>
          <w:rFonts w:ascii="Palatino Linotype" w:eastAsia="Palatino Linotype" w:hAnsi="Palatino Linotype" w:cs="Palatino Linotype"/>
          <w:b/>
        </w:rPr>
        <w:t>Manual de organización de la Dirección General de Desarrollo Económico:</w:t>
      </w:r>
    </w:p>
    <w:p w14:paraId="6D495F25" w14:textId="77777777" w:rsidR="00B15CEF" w:rsidRPr="00F23522" w:rsidRDefault="00B8282C">
      <w:pPr>
        <w:spacing w:before="240" w:after="240" w:line="360" w:lineRule="auto"/>
        <w:ind w:right="51"/>
        <w:jc w:val="center"/>
        <w:rPr>
          <w:rFonts w:ascii="Palatino Linotype" w:eastAsia="Palatino Linotype" w:hAnsi="Palatino Linotype" w:cs="Palatino Linotype"/>
          <w:b/>
        </w:rPr>
      </w:pPr>
      <w:r w:rsidRPr="00F23522">
        <w:rPr>
          <w:noProof/>
        </w:rPr>
        <w:drawing>
          <wp:inline distT="0" distB="0" distL="0" distR="0" wp14:anchorId="5643957D" wp14:editId="79CAB426">
            <wp:extent cx="3960000" cy="1714745"/>
            <wp:effectExtent l="0" t="0" r="0" b="0"/>
            <wp:docPr id="20675916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960000" cy="1714745"/>
                    </a:xfrm>
                    <a:prstGeom prst="rect">
                      <a:avLst/>
                    </a:prstGeom>
                    <a:ln/>
                  </pic:spPr>
                </pic:pic>
              </a:graphicData>
            </a:graphic>
          </wp:inline>
        </w:drawing>
      </w:r>
    </w:p>
    <w:p w14:paraId="32D3F312"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Derivado de lo anterior, se estima que el derecho de acceso a la información de la persona solicitante queda atendido respecto de las funciones de los servidores públicos adscritos al ayuntamiento de Toluca, toda vez que en términos del artículo </w:t>
      </w:r>
      <w:r w:rsidRPr="00F23522">
        <w:rPr>
          <w:rFonts w:ascii="Palatino Linotype" w:eastAsia="Palatino Linotype" w:hAnsi="Palatino Linotype" w:cs="Palatino Linotype"/>
        </w:rPr>
        <w:lastRenderedPageBreak/>
        <w:t>166, primer párrafo de la Ley de Transparencia y Acceso a la Información Pública del Estado de México y Municipios, la obligación de acceso a la información pública se tendrá por cumplida cuando el solicitante tenga a su disposición la información requerida, como acontece en el presente caso.</w:t>
      </w:r>
    </w:p>
    <w:p w14:paraId="0820D149"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otro lado, respecto de los </w:t>
      </w:r>
      <w:r w:rsidRPr="00F23522">
        <w:rPr>
          <w:rFonts w:ascii="Palatino Linotype" w:eastAsia="Palatino Linotype" w:hAnsi="Palatino Linotype" w:cs="Palatino Linotype"/>
          <w:b/>
        </w:rPr>
        <w:t>listados nominales del ayuntamiento</w:t>
      </w:r>
      <w:r w:rsidRPr="00F23522">
        <w:rPr>
          <w:rFonts w:ascii="Palatino Linotype" w:eastAsia="Palatino Linotype" w:hAnsi="Palatino Linotype" w:cs="Palatino Linotype"/>
        </w:rPr>
        <w:t xml:space="preserve">, es de señalar que del análisis efectuado por este Organismo Garante se advirtió que no contiene la información de todos los servidores públicos, como es el caso, por ejemplo, del servidor público Antonio </w:t>
      </w:r>
      <w:proofErr w:type="spellStart"/>
      <w:r w:rsidRPr="00F23522">
        <w:rPr>
          <w:rFonts w:ascii="Palatino Linotype" w:eastAsia="Palatino Linotype" w:hAnsi="Palatino Linotype" w:cs="Palatino Linotype"/>
        </w:rPr>
        <w:t>Fabila</w:t>
      </w:r>
      <w:proofErr w:type="spellEnd"/>
      <w:r w:rsidRPr="00F23522">
        <w:rPr>
          <w:rFonts w:ascii="Palatino Linotype" w:eastAsia="Palatino Linotype" w:hAnsi="Palatino Linotype" w:cs="Palatino Linotype"/>
        </w:rPr>
        <w:t xml:space="preserve"> Villanueva, quien se ostenta como Director General de la Dirección de Administración del ayuntamiento de conformidad con la información publicada en el Portal de Información Pública de Oficio Mexiquense, IPOMEX, por Sujeto Obligado en cumplimiento a la obligación de Transparencia prevista en el artículo 92, fracción VII de la Ley de Transparencia del Estado de México y Municipios, asimismo tampoco contiene el nombre de los servidores públicos adscritos a la Dirección de Seguridad Pública y Protección, que desempeñan funciones administrativas, así como los que ostentan cargos de mandos medios y superiores, al haberse clasificado dicha información como información reservada por un plazo de dos años de conformidad con el Acta de la Centésima Trigésima Primera Sesión Extraordinaria del Comité de Transparencia, como se advierte a continuación:</w:t>
      </w:r>
    </w:p>
    <w:p w14:paraId="6E098587"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noProof/>
        </w:rPr>
        <w:drawing>
          <wp:inline distT="0" distB="0" distL="0" distR="0" wp14:anchorId="706E0A8A" wp14:editId="48975056">
            <wp:extent cx="5612130" cy="494030"/>
            <wp:effectExtent l="0" t="0" r="0" b="0"/>
            <wp:docPr id="20675916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5612130" cy="494030"/>
                    </a:xfrm>
                    <a:prstGeom prst="rect">
                      <a:avLst/>
                    </a:prstGeom>
                    <a:ln/>
                  </pic:spPr>
                </pic:pic>
              </a:graphicData>
            </a:graphic>
          </wp:inline>
        </w:drawing>
      </w:r>
    </w:p>
    <w:p w14:paraId="7E548C18"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No obstante, la clasificación del nombre de los servidores públicos adscritos a la Dirección de Seguridad Pública, solo se comparte por este Organismo Garante, </w:t>
      </w:r>
      <w:r w:rsidRPr="00F23522">
        <w:rPr>
          <w:rFonts w:ascii="Palatino Linotype" w:eastAsia="Palatino Linotype" w:hAnsi="Palatino Linotype" w:cs="Palatino Linotype"/>
        </w:rPr>
        <w:lastRenderedPageBreak/>
        <w:t xml:space="preserve">respecto de los servidores públicos que desempeñan funciones operativas, de los cuales además debe protegerse el cargo que ostentan como se detallara en el considerando siguiente; no así respecto de que la información concerniente a los servidores públicos que desempeñan funciones administrativas, y que ostentan cargos de mandos medios y superiores, pues dicha información no actualiza alguno de los supuestos de clasificación previstos en la normativa, razón por la cual se considera que el nombre y cargo de estos últimos son datos susceptibles de entrega. </w:t>
      </w:r>
    </w:p>
    <w:p w14:paraId="0C8F5EE5"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atención a lo anterior, toda vez que la persona solicitante requirió información de todos los servidores públicos, se considera que el soporte documental debe referirse a la totalidad de servidores públicos que se encuentran adscritos, en este caso, </w:t>
      </w:r>
      <w:r w:rsidRPr="00F23522">
        <w:rPr>
          <w:rFonts w:ascii="Palatino Linotype" w:eastAsia="Palatino Linotype" w:hAnsi="Palatino Linotype" w:cs="Palatino Linotype"/>
          <w:b/>
          <w:u w:val="single"/>
        </w:rPr>
        <w:t>a cada una de las unidades administrativas</w:t>
      </w:r>
      <w:r w:rsidRPr="00F23522">
        <w:rPr>
          <w:rFonts w:ascii="Palatino Linotype" w:eastAsia="Palatino Linotype" w:hAnsi="Palatino Linotype" w:cs="Palatino Linotype"/>
          <w:u w:val="single"/>
        </w:rPr>
        <w:t xml:space="preserve"> </w:t>
      </w:r>
      <w:r w:rsidRPr="00F23522">
        <w:rPr>
          <w:rFonts w:ascii="Palatino Linotype" w:eastAsia="Palatino Linotype" w:hAnsi="Palatino Linotype" w:cs="Palatino Linotype"/>
          <w:b/>
          <w:u w:val="single"/>
        </w:rPr>
        <w:t>que integran la estructura orgánica el ayuntamiento,</w:t>
      </w:r>
      <w:r w:rsidRPr="00F23522">
        <w:rPr>
          <w:rFonts w:ascii="Palatino Linotype" w:eastAsia="Palatino Linotype" w:hAnsi="Palatino Linotype" w:cs="Palatino Linotype"/>
        </w:rPr>
        <w:t xml:space="preserve"> de conformidad el artículo 23 del Bando Municipal de Toluca, a saber:</w:t>
      </w:r>
    </w:p>
    <w:p w14:paraId="73383980" w14:textId="77777777" w:rsidR="00B15CEF" w:rsidRPr="00F23522" w:rsidRDefault="00B8282C">
      <w:pPr>
        <w:spacing w:before="120" w:after="120"/>
        <w:ind w:left="851"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23</w:t>
      </w:r>
      <w:r w:rsidRPr="00F23522">
        <w:rPr>
          <w:rFonts w:ascii="Palatino Linotype" w:eastAsia="Palatino Linotype" w:hAnsi="Palatino Linotype" w:cs="Palatino Linotype"/>
          <w:i/>
          <w:sz w:val="22"/>
          <w:szCs w:val="22"/>
        </w:rPr>
        <w:t xml:space="preserve">. Para la consulta, estudio, planeación y despacho de los asuntos en los diversos ramos de la Administración Pública Municipal, la o el Presidente Municipal se auxiliará de la Secretaría del Ayuntamiento y de las siguientes: </w:t>
      </w:r>
    </w:p>
    <w:p w14:paraId="4F02DA30" w14:textId="77777777" w:rsidR="00B15CEF" w:rsidRPr="00F23522" w:rsidRDefault="00B8282C">
      <w:pPr>
        <w:spacing w:before="120" w:after="120"/>
        <w:ind w:left="851" w:right="1043"/>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b/>
          <w:i/>
          <w:sz w:val="22"/>
          <w:szCs w:val="22"/>
        </w:rPr>
        <w:t xml:space="preserve">DEPENDENCIAS: </w:t>
      </w:r>
    </w:p>
    <w:p w14:paraId="3B79327D"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1.</w:t>
      </w:r>
      <w:r w:rsidRPr="00F23522">
        <w:rPr>
          <w:rFonts w:ascii="Palatino Linotype" w:eastAsia="Palatino Linotype" w:hAnsi="Palatino Linotype" w:cs="Palatino Linotype"/>
          <w:i/>
          <w:sz w:val="22"/>
          <w:szCs w:val="22"/>
        </w:rPr>
        <w:t xml:space="preserve"> Tesorería Municipal; </w:t>
      </w:r>
    </w:p>
    <w:p w14:paraId="3392B117"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2.</w:t>
      </w:r>
      <w:r w:rsidRPr="00F23522">
        <w:rPr>
          <w:rFonts w:ascii="Palatino Linotype" w:eastAsia="Palatino Linotype" w:hAnsi="Palatino Linotype" w:cs="Palatino Linotype"/>
          <w:i/>
          <w:sz w:val="22"/>
          <w:szCs w:val="22"/>
        </w:rPr>
        <w:t xml:space="preserve"> Contraloría; </w:t>
      </w:r>
    </w:p>
    <w:p w14:paraId="1DA0845E"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3</w:t>
      </w:r>
      <w:r w:rsidRPr="00F23522">
        <w:rPr>
          <w:rFonts w:ascii="Palatino Linotype" w:eastAsia="Palatino Linotype" w:hAnsi="Palatino Linotype" w:cs="Palatino Linotype"/>
          <w:i/>
          <w:sz w:val="22"/>
          <w:szCs w:val="22"/>
        </w:rPr>
        <w:t xml:space="preserve">. Dirección General de Gobierno; </w:t>
      </w:r>
    </w:p>
    <w:p w14:paraId="3202C8CA"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4.</w:t>
      </w:r>
      <w:r w:rsidRPr="00F23522">
        <w:rPr>
          <w:rFonts w:ascii="Palatino Linotype" w:eastAsia="Palatino Linotype" w:hAnsi="Palatino Linotype" w:cs="Palatino Linotype"/>
          <w:i/>
          <w:sz w:val="22"/>
          <w:szCs w:val="22"/>
        </w:rPr>
        <w:t xml:space="preserve"> Dirección General de Seguridad y Protección; </w:t>
      </w:r>
    </w:p>
    <w:p w14:paraId="2FDDC187"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5</w:t>
      </w:r>
      <w:r w:rsidRPr="00F23522">
        <w:rPr>
          <w:rFonts w:ascii="Palatino Linotype" w:eastAsia="Palatino Linotype" w:hAnsi="Palatino Linotype" w:cs="Palatino Linotype"/>
          <w:i/>
          <w:sz w:val="22"/>
          <w:szCs w:val="22"/>
        </w:rPr>
        <w:t xml:space="preserve">. Dirección General de Administración; </w:t>
      </w:r>
    </w:p>
    <w:p w14:paraId="69563135"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6.</w:t>
      </w:r>
      <w:r w:rsidRPr="00F23522">
        <w:rPr>
          <w:rFonts w:ascii="Palatino Linotype" w:eastAsia="Palatino Linotype" w:hAnsi="Palatino Linotype" w:cs="Palatino Linotype"/>
          <w:i/>
          <w:sz w:val="22"/>
          <w:szCs w:val="22"/>
        </w:rPr>
        <w:t xml:space="preserve"> Dirección General de Medio Ambiente; </w:t>
      </w:r>
    </w:p>
    <w:p w14:paraId="2AAA9DF0"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7</w:t>
      </w:r>
      <w:r w:rsidRPr="00F23522">
        <w:rPr>
          <w:rFonts w:ascii="Palatino Linotype" w:eastAsia="Palatino Linotype" w:hAnsi="Palatino Linotype" w:cs="Palatino Linotype"/>
          <w:i/>
          <w:sz w:val="22"/>
          <w:szCs w:val="22"/>
        </w:rPr>
        <w:t xml:space="preserve">. Dirección General de Servicios Públicos; </w:t>
      </w:r>
    </w:p>
    <w:p w14:paraId="6E79D84D"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lastRenderedPageBreak/>
        <w:t>8.</w:t>
      </w:r>
      <w:r w:rsidRPr="00F23522">
        <w:rPr>
          <w:rFonts w:ascii="Palatino Linotype" w:eastAsia="Palatino Linotype" w:hAnsi="Palatino Linotype" w:cs="Palatino Linotype"/>
          <w:i/>
          <w:sz w:val="22"/>
          <w:szCs w:val="22"/>
        </w:rPr>
        <w:t xml:space="preserve"> Dirección General de Desarrollo Urbano, Ordenamiento Territorial y Obras Públicas;</w:t>
      </w:r>
    </w:p>
    <w:p w14:paraId="536BF330"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9.</w:t>
      </w:r>
      <w:r w:rsidRPr="00F23522">
        <w:rPr>
          <w:rFonts w:ascii="Palatino Linotype" w:eastAsia="Palatino Linotype" w:hAnsi="Palatino Linotype" w:cs="Palatino Linotype"/>
          <w:i/>
          <w:sz w:val="22"/>
          <w:szCs w:val="22"/>
        </w:rPr>
        <w:t xml:space="preserve"> Dirección General de Desarrollo Económico; y </w:t>
      </w:r>
    </w:p>
    <w:p w14:paraId="6F5D63F5"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 xml:space="preserve">10. </w:t>
      </w:r>
      <w:r w:rsidRPr="00F23522">
        <w:rPr>
          <w:rFonts w:ascii="Palatino Linotype" w:eastAsia="Palatino Linotype" w:hAnsi="Palatino Linotype" w:cs="Palatino Linotype"/>
          <w:i/>
          <w:sz w:val="22"/>
          <w:szCs w:val="22"/>
        </w:rPr>
        <w:t>Dirección General de Desarrollo Social.”</w:t>
      </w:r>
    </w:p>
    <w:p w14:paraId="6CD0A0F1" w14:textId="77777777" w:rsidR="00B15CEF" w:rsidRPr="00F23522" w:rsidRDefault="00B8282C">
      <w:pPr>
        <w:spacing w:before="120" w:after="12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Razón por la cual, estima dable ordenar, que previa búsqueda exhaustiva y razonable, se haga entrega del soporte documental que contenga información de los servidores públicos en funciones a la fecha de presentación de la solicitud esto es, al treinta de enero de dos mil veintitrés, consistente en nombre completo del servidor público, área de adscripción, puesto, sueldo y categoría, es decir, de confianza, sindicalizado o eventual, que incluya la información de los servidores públicos faltantes, y los nombres de los servidores públicos que desempeñan funciones administrativas, y que ostentan cargos de mandos medios y superiores, en versión pública conforme al considerando siguiente.</w:t>
      </w:r>
    </w:p>
    <w:p w14:paraId="1ABB2FF8"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Para  efectos de lo anterior, no obsta mencionar que el documento a través del cual pudiera atenderse la solicitud, de manera enunciativa, más no limitativa, es la </w:t>
      </w:r>
      <w:r w:rsidRPr="00F23522">
        <w:rPr>
          <w:rFonts w:ascii="Palatino Linotype" w:eastAsia="Palatino Linotype" w:hAnsi="Palatino Linotype" w:cs="Palatino Linotype"/>
          <w:i/>
        </w:rPr>
        <w:t>conciliación de nómina</w:t>
      </w:r>
      <w:r w:rsidRPr="00F23522">
        <w:rPr>
          <w:rFonts w:ascii="Palatino Linotype" w:eastAsia="Palatino Linotype" w:hAnsi="Palatino Linotype" w:cs="Palatino Linotype"/>
        </w:rPr>
        <w:t xml:space="preserve"> que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se encuentra constreñido a entregar al Órgano Superior de Fiscalización del Estado de México, de conformidad con los Lineamientos para la integración y entrega del Informe Trimestral Municipal, para el ejercicio 2023 y los Instructivos de llenado correspondientes, mismos que se encuentran disponibles en su sitio de internet</w:t>
      </w:r>
      <w:r w:rsidRPr="00F23522">
        <w:rPr>
          <w:rFonts w:ascii="Palatino Linotype" w:eastAsia="Palatino Linotype" w:hAnsi="Palatino Linotype" w:cs="Palatino Linotype"/>
          <w:vertAlign w:val="superscript"/>
        </w:rPr>
        <w:footnoteReference w:id="2"/>
      </w:r>
      <w:r w:rsidRPr="00F23522">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1A2BFEA9" w14:textId="77777777" w:rsidR="00B15CEF" w:rsidRPr="00F23522" w:rsidRDefault="00B8282C">
      <w:pPr>
        <w:spacing w:before="240" w:line="360" w:lineRule="auto"/>
        <w:ind w:right="49"/>
        <w:jc w:val="center"/>
        <w:rPr>
          <w:rFonts w:ascii="Palatino Linotype" w:eastAsia="Palatino Linotype" w:hAnsi="Palatino Linotype" w:cs="Palatino Linotype"/>
        </w:rPr>
      </w:pPr>
      <w:r w:rsidRPr="00F23522">
        <w:rPr>
          <w:noProof/>
        </w:rPr>
        <w:lastRenderedPageBreak/>
        <w:drawing>
          <wp:inline distT="0" distB="0" distL="0" distR="0" wp14:anchorId="6FF1C4FD" wp14:editId="291EFE45">
            <wp:extent cx="4153734" cy="1629102"/>
            <wp:effectExtent l="0" t="0" r="0" b="0"/>
            <wp:docPr id="20675916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153734" cy="1629102"/>
                    </a:xfrm>
                    <a:prstGeom prst="rect">
                      <a:avLst/>
                    </a:prstGeom>
                    <a:ln/>
                  </pic:spPr>
                </pic:pic>
              </a:graphicData>
            </a:graphic>
          </wp:inline>
        </w:drawing>
      </w:r>
    </w:p>
    <w:p w14:paraId="24D54A66"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La información que con motivo de la nómina genera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se encuentra contenida en el Módulo 4 Información administrativa, </w:t>
      </w:r>
      <w:proofErr w:type="spellStart"/>
      <w:r w:rsidRPr="00F23522">
        <w:rPr>
          <w:rFonts w:ascii="Palatino Linotype" w:eastAsia="Palatino Linotype" w:hAnsi="Palatino Linotype" w:cs="Palatino Linotype"/>
        </w:rPr>
        <w:t>Submódulo</w:t>
      </w:r>
      <w:proofErr w:type="spellEnd"/>
      <w:r w:rsidRPr="00F23522">
        <w:rPr>
          <w:rFonts w:ascii="Palatino Linotype" w:eastAsia="Palatino Linotype" w:hAnsi="Palatino Linotype" w:cs="Palatino Linotype"/>
        </w:rPr>
        <w:t xml:space="preserve"> Nómina (Plataforma Digital),</w:t>
      </w:r>
      <w:r w:rsidRPr="00F23522">
        <w:t xml:space="preserve"> </w:t>
      </w:r>
      <w:r w:rsidRPr="00F23522">
        <w:rPr>
          <w:rFonts w:ascii="Palatino Linotype" w:eastAsia="Palatino Linotype" w:hAnsi="Palatino Linotype" w:cs="Palatino Linotype"/>
        </w:rPr>
        <w:t>como se muestra a continuación:</w:t>
      </w:r>
    </w:p>
    <w:p w14:paraId="2593FCF4"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noProof/>
        </w:rPr>
        <w:drawing>
          <wp:inline distT="0" distB="0" distL="0" distR="0" wp14:anchorId="250D6753" wp14:editId="0E418EDB">
            <wp:extent cx="5612130" cy="2235835"/>
            <wp:effectExtent l="0" t="0" r="0" b="0"/>
            <wp:docPr id="20675916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612130" cy="2235835"/>
                    </a:xfrm>
                    <a:prstGeom prst="rect">
                      <a:avLst/>
                    </a:prstGeom>
                    <a:ln/>
                  </pic:spPr>
                </pic:pic>
              </a:graphicData>
            </a:graphic>
          </wp:inline>
        </w:drawing>
      </w:r>
      <w:r w:rsidRPr="00F23522">
        <w:rPr>
          <w:noProof/>
        </w:rPr>
        <mc:AlternateContent>
          <mc:Choice Requires="wpg">
            <w:drawing>
              <wp:anchor distT="0" distB="0" distL="114300" distR="114300" simplePos="0" relativeHeight="251658240" behindDoc="0" locked="0" layoutInCell="1" hidden="0" allowOverlap="1" wp14:anchorId="041227C7" wp14:editId="478CA3F5">
                <wp:simplePos x="0" y="0"/>
                <wp:positionH relativeFrom="column">
                  <wp:posOffset>889000</wp:posOffset>
                </wp:positionH>
                <wp:positionV relativeFrom="paragraph">
                  <wp:posOffset>1028700</wp:posOffset>
                </wp:positionV>
                <wp:extent cx="4725670" cy="396875"/>
                <wp:effectExtent l="0" t="0" r="0" b="0"/>
                <wp:wrapNone/>
                <wp:docPr id="2067591606" name="Rectángulo 2067591606"/>
                <wp:cNvGraphicFramePr/>
                <a:graphic xmlns:a="http://schemas.openxmlformats.org/drawingml/2006/main">
                  <a:graphicData uri="http://schemas.microsoft.com/office/word/2010/wordprocessingShape">
                    <wps:wsp>
                      <wps:cNvSpPr/>
                      <wps:spPr>
                        <a:xfrm>
                          <a:off x="3002215" y="3600613"/>
                          <a:ext cx="4687570" cy="358775"/>
                        </a:xfrm>
                        <a:prstGeom prst="rect">
                          <a:avLst/>
                        </a:prstGeom>
                        <a:noFill/>
                        <a:ln w="38100" cap="flat" cmpd="sng">
                          <a:solidFill>
                            <a:srgbClr val="C00000"/>
                          </a:solidFill>
                          <a:prstDash val="solid"/>
                          <a:round/>
                          <a:headEnd type="none" w="sm" len="sm"/>
                          <a:tailEnd type="none" w="sm" len="sm"/>
                        </a:ln>
                      </wps:spPr>
                      <wps:txbx>
                        <w:txbxContent>
                          <w:p w14:paraId="1B89C4EA"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1028700</wp:posOffset>
                </wp:positionV>
                <wp:extent cx="4725670" cy="396875"/>
                <wp:effectExtent b="0" l="0" r="0" t="0"/>
                <wp:wrapNone/>
                <wp:docPr id="2067591606"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4725670" cy="396875"/>
                        </a:xfrm>
                        <a:prstGeom prst="rect"/>
                        <a:ln/>
                      </pic:spPr>
                    </pic:pic>
                  </a:graphicData>
                </a:graphic>
              </wp:anchor>
            </w:drawing>
          </mc:Fallback>
        </mc:AlternateContent>
      </w:r>
    </w:p>
    <w:p w14:paraId="395BE493"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Como se advierte, los documentos a través de los cuales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puede a satisfacer el requerimiento de información son los formatos de conciliación de nómina que, como ente fiscalizable se encuentra obligado a entregar al Órgano Superior de Fiscalización, a través de los informes trimestrales.</w:t>
      </w:r>
    </w:p>
    <w:p w14:paraId="155C9D44" w14:textId="77777777" w:rsidR="00B15CEF" w:rsidRPr="00F23522" w:rsidRDefault="00B8282C">
      <w:pPr>
        <w:spacing w:before="240" w:after="36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14:paraId="1D0A0695" w14:textId="77777777" w:rsidR="00B15CEF" w:rsidRPr="00F23522" w:rsidRDefault="00B8282C">
      <w:pPr>
        <w:spacing w:before="240" w:line="360" w:lineRule="auto"/>
        <w:ind w:right="49"/>
        <w:jc w:val="center"/>
        <w:rPr>
          <w:rFonts w:ascii="Palatino Linotype" w:eastAsia="Palatino Linotype" w:hAnsi="Palatino Linotype" w:cs="Palatino Linotype"/>
        </w:rPr>
      </w:pPr>
      <w:r w:rsidRPr="00F23522">
        <w:rPr>
          <w:noProof/>
        </w:rPr>
        <w:lastRenderedPageBreak/>
        <w:drawing>
          <wp:inline distT="0" distB="0" distL="0" distR="0" wp14:anchorId="797ABD5A" wp14:editId="74BF0D3E">
            <wp:extent cx="4680000" cy="1760498"/>
            <wp:effectExtent l="0" t="0" r="0" b="0"/>
            <wp:docPr id="2067591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t="-1" b="67965"/>
                    <a:stretch>
                      <a:fillRect/>
                    </a:stretch>
                  </pic:blipFill>
                  <pic:spPr>
                    <a:xfrm>
                      <a:off x="0" y="0"/>
                      <a:ext cx="4680000" cy="1760498"/>
                    </a:xfrm>
                    <a:prstGeom prst="rect">
                      <a:avLst/>
                    </a:prstGeom>
                    <a:ln/>
                  </pic:spPr>
                </pic:pic>
              </a:graphicData>
            </a:graphic>
          </wp:inline>
        </w:drawing>
      </w:r>
    </w:p>
    <w:p w14:paraId="24AB438B" w14:textId="77777777" w:rsidR="00B15CEF" w:rsidRPr="00F23522" w:rsidRDefault="00B8282C">
      <w:pPr>
        <w:spacing w:before="240" w:line="360" w:lineRule="auto"/>
        <w:ind w:right="49"/>
        <w:jc w:val="center"/>
        <w:rPr>
          <w:rFonts w:ascii="Palatino Linotype" w:eastAsia="Palatino Linotype" w:hAnsi="Palatino Linotype" w:cs="Palatino Linotype"/>
        </w:rPr>
      </w:pPr>
      <w:r w:rsidRPr="00F23522">
        <w:rPr>
          <w:noProof/>
        </w:rPr>
        <w:drawing>
          <wp:inline distT="0" distB="0" distL="0" distR="0" wp14:anchorId="606C04EC" wp14:editId="2B05C640">
            <wp:extent cx="4680000" cy="3084416"/>
            <wp:effectExtent l="0" t="0" r="0" b="0"/>
            <wp:docPr id="2067591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t="42320" b="1551"/>
                    <a:stretch>
                      <a:fillRect/>
                    </a:stretch>
                  </pic:blipFill>
                  <pic:spPr>
                    <a:xfrm>
                      <a:off x="0" y="0"/>
                      <a:ext cx="4680000" cy="3084416"/>
                    </a:xfrm>
                    <a:prstGeom prst="rect">
                      <a:avLst/>
                    </a:prstGeom>
                    <a:ln/>
                  </pic:spPr>
                </pic:pic>
              </a:graphicData>
            </a:graphic>
          </wp:inline>
        </w:drawing>
      </w:r>
    </w:p>
    <w:p w14:paraId="594AF4ED" w14:textId="77777777" w:rsidR="00B15CEF" w:rsidRPr="00F23522" w:rsidRDefault="00B8282C">
      <w:pPr>
        <w:spacing w:before="240" w:line="360" w:lineRule="auto"/>
        <w:ind w:right="49"/>
        <w:jc w:val="center"/>
        <w:rPr>
          <w:rFonts w:ascii="Palatino Linotype" w:eastAsia="Palatino Linotype" w:hAnsi="Palatino Linotype" w:cs="Palatino Linotype"/>
        </w:rPr>
      </w:pPr>
      <w:r w:rsidRPr="00F23522">
        <w:rPr>
          <w:noProof/>
        </w:rPr>
        <w:lastRenderedPageBreak/>
        <w:drawing>
          <wp:inline distT="0" distB="0" distL="0" distR="0" wp14:anchorId="17934A09" wp14:editId="088C0B5F">
            <wp:extent cx="4680000" cy="4242373"/>
            <wp:effectExtent l="0" t="0" r="0" b="0"/>
            <wp:docPr id="20675916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b="27413"/>
                    <a:stretch>
                      <a:fillRect/>
                    </a:stretch>
                  </pic:blipFill>
                  <pic:spPr>
                    <a:xfrm>
                      <a:off x="0" y="0"/>
                      <a:ext cx="4680000" cy="4242373"/>
                    </a:xfrm>
                    <a:prstGeom prst="rect">
                      <a:avLst/>
                    </a:prstGeom>
                    <a:ln/>
                  </pic:spPr>
                </pic:pic>
              </a:graphicData>
            </a:graphic>
          </wp:inline>
        </w:drawing>
      </w:r>
      <w:r w:rsidRPr="00F23522">
        <w:rPr>
          <w:noProof/>
        </w:rPr>
        <mc:AlternateContent>
          <mc:Choice Requires="wpg">
            <w:drawing>
              <wp:anchor distT="0" distB="0" distL="114300" distR="114300" simplePos="0" relativeHeight="251659264" behindDoc="0" locked="0" layoutInCell="1" hidden="0" allowOverlap="1" wp14:anchorId="7F9CF5A7" wp14:editId="43890612">
                <wp:simplePos x="0" y="0"/>
                <wp:positionH relativeFrom="column">
                  <wp:posOffset>419100</wp:posOffset>
                </wp:positionH>
                <wp:positionV relativeFrom="paragraph">
                  <wp:posOffset>1892300</wp:posOffset>
                </wp:positionV>
                <wp:extent cx="4726021" cy="397213"/>
                <wp:effectExtent l="0" t="0" r="0" b="0"/>
                <wp:wrapNone/>
                <wp:docPr id="2067591602" name="Rectángulo 2067591602"/>
                <wp:cNvGraphicFramePr/>
                <a:graphic xmlns:a="http://schemas.openxmlformats.org/drawingml/2006/main">
                  <a:graphicData uri="http://schemas.microsoft.com/office/word/2010/wordprocessingShape">
                    <wps:wsp>
                      <wps:cNvSpPr/>
                      <wps:spPr>
                        <a:xfrm>
                          <a:off x="3021090" y="3619494"/>
                          <a:ext cx="4649821" cy="321013"/>
                        </a:xfrm>
                        <a:prstGeom prst="rect">
                          <a:avLst/>
                        </a:prstGeom>
                        <a:noFill/>
                        <a:ln w="38100" cap="flat" cmpd="sng">
                          <a:solidFill>
                            <a:srgbClr val="C00000"/>
                          </a:solidFill>
                          <a:prstDash val="solid"/>
                          <a:round/>
                          <a:headEnd type="none" w="sm" len="sm"/>
                          <a:tailEnd type="none" w="sm" len="sm"/>
                        </a:ln>
                      </wps:spPr>
                      <wps:txbx>
                        <w:txbxContent>
                          <w:p w14:paraId="22BE46BD"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419100</wp:posOffset>
                </wp:positionH>
                <wp:positionV relativeFrom="paragraph">
                  <wp:posOffset>1892300</wp:posOffset>
                </wp:positionV>
                <wp:extent cx="4726021" cy="397213"/>
                <wp:effectExtent b="0" l="0" r="0" t="0"/>
                <wp:wrapNone/>
                <wp:docPr id="2067591602"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4726021" cy="397213"/>
                        </a:xfrm>
                        <a:prstGeom prst="rect"/>
                        <a:ln/>
                      </pic:spPr>
                    </pic:pic>
                  </a:graphicData>
                </a:graphic>
              </wp:anchor>
            </w:drawing>
          </mc:Fallback>
        </mc:AlternateContent>
      </w:r>
      <w:r w:rsidRPr="00F23522">
        <w:rPr>
          <w:noProof/>
        </w:rPr>
        <mc:AlternateContent>
          <mc:Choice Requires="wpg">
            <w:drawing>
              <wp:anchor distT="0" distB="0" distL="114300" distR="114300" simplePos="0" relativeHeight="251660288" behindDoc="0" locked="0" layoutInCell="1" hidden="0" allowOverlap="1" wp14:anchorId="7ABACADC" wp14:editId="6B055075">
                <wp:simplePos x="0" y="0"/>
                <wp:positionH relativeFrom="column">
                  <wp:posOffset>469900</wp:posOffset>
                </wp:positionH>
                <wp:positionV relativeFrom="paragraph">
                  <wp:posOffset>3898900</wp:posOffset>
                </wp:positionV>
                <wp:extent cx="4726021" cy="513067"/>
                <wp:effectExtent l="0" t="0" r="0" b="0"/>
                <wp:wrapNone/>
                <wp:docPr id="2067591601" name="Rectángulo 2067591601"/>
                <wp:cNvGraphicFramePr/>
                <a:graphic xmlns:a="http://schemas.openxmlformats.org/drawingml/2006/main">
                  <a:graphicData uri="http://schemas.microsoft.com/office/word/2010/wordprocessingShape">
                    <wps:wsp>
                      <wps:cNvSpPr/>
                      <wps:spPr>
                        <a:xfrm>
                          <a:off x="3002040" y="3542517"/>
                          <a:ext cx="4687921" cy="474967"/>
                        </a:xfrm>
                        <a:prstGeom prst="rect">
                          <a:avLst/>
                        </a:prstGeom>
                        <a:noFill/>
                        <a:ln w="38100" cap="flat" cmpd="sng">
                          <a:solidFill>
                            <a:srgbClr val="C00000"/>
                          </a:solidFill>
                          <a:prstDash val="solid"/>
                          <a:round/>
                          <a:headEnd type="none" w="sm" len="sm"/>
                          <a:tailEnd type="none" w="sm" len="sm"/>
                        </a:ln>
                      </wps:spPr>
                      <wps:txbx>
                        <w:txbxContent>
                          <w:p w14:paraId="0EAA8974"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469900</wp:posOffset>
                </wp:positionH>
                <wp:positionV relativeFrom="paragraph">
                  <wp:posOffset>3898900</wp:posOffset>
                </wp:positionV>
                <wp:extent cx="4726021" cy="513067"/>
                <wp:effectExtent b="0" l="0" r="0" t="0"/>
                <wp:wrapNone/>
                <wp:docPr id="2067591601" name="image29.png"/>
                <a:graphic>
                  <a:graphicData uri="http://schemas.openxmlformats.org/drawingml/2006/picture">
                    <pic:pic>
                      <pic:nvPicPr>
                        <pic:cNvPr id="0" name="image29.png"/>
                        <pic:cNvPicPr preferRelativeResize="0"/>
                      </pic:nvPicPr>
                      <pic:blipFill>
                        <a:blip r:embed="rId34"/>
                        <a:srcRect/>
                        <a:stretch>
                          <a:fillRect/>
                        </a:stretch>
                      </pic:blipFill>
                      <pic:spPr>
                        <a:xfrm>
                          <a:off x="0" y="0"/>
                          <a:ext cx="4726021" cy="513067"/>
                        </a:xfrm>
                        <a:prstGeom prst="rect"/>
                        <a:ln/>
                      </pic:spPr>
                    </pic:pic>
                  </a:graphicData>
                </a:graphic>
              </wp:anchor>
            </w:drawing>
          </mc:Fallback>
        </mc:AlternateContent>
      </w:r>
      <w:r w:rsidRPr="00F23522">
        <w:rPr>
          <w:noProof/>
        </w:rPr>
        <mc:AlternateContent>
          <mc:Choice Requires="wpg">
            <w:drawing>
              <wp:anchor distT="0" distB="0" distL="114300" distR="114300" simplePos="0" relativeHeight="251661312" behindDoc="0" locked="0" layoutInCell="1" hidden="0" allowOverlap="1" wp14:anchorId="45EC8021" wp14:editId="1CFC53EC">
                <wp:simplePos x="0" y="0"/>
                <wp:positionH relativeFrom="column">
                  <wp:posOffset>431800</wp:posOffset>
                </wp:positionH>
                <wp:positionV relativeFrom="paragraph">
                  <wp:posOffset>2946400</wp:posOffset>
                </wp:positionV>
                <wp:extent cx="4726021" cy="319391"/>
                <wp:effectExtent l="0" t="0" r="0" b="0"/>
                <wp:wrapNone/>
                <wp:docPr id="2067591604" name="Rectángulo 2067591604"/>
                <wp:cNvGraphicFramePr/>
                <a:graphic xmlns:a="http://schemas.openxmlformats.org/drawingml/2006/main">
                  <a:graphicData uri="http://schemas.microsoft.com/office/word/2010/wordprocessingShape">
                    <wps:wsp>
                      <wps:cNvSpPr/>
                      <wps:spPr>
                        <a:xfrm>
                          <a:off x="3002040" y="3639355"/>
                          <a:ext cx="4687921" cy="281291"/>
                        </a:xfrm>
                        <a:prstGeom prst="rect">
                          <a:avLst/>
                        </a:prstGeom>
                        <a:noFill/>
                        <a:ln w="38100" cap="flat" cmpd="sng">
                          <a:solidFill>
                            <a:srgbClr val="C00000"/>
                          </a:solidFill>
                          <a:prstDash val="solid"/>
                          <a:round/>
                          <a:headEnd type="none" w="sm" len="sm"/>
                          <a:tailEnd type="none" w="sm" len="sm"/>
                        </a:ln>
                      </wps:spPr>
                      <wps:txbx>
                        <w:txbxContent>
                          <w:p w14:paraId="101D9B59"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2946400</wp:posOffset>
                </wp:positionV>
                <wp:extent cx="4726021" cy="319391"/>
                <wp:effectExtent b="0" l="0" r="0" t="0"/>
                <wp:wrapNone/>
                <wp:docPr id="2067591604"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4726021" cy="319391"/>
                        </a:xfrm>
                        <a:prstGeom prst="rect"/>
                        <a:ln/>
                      </pic:spPr>
                    </pic:pic>
                  </a:graphicData>
                </a:graphic>
              </wp:anchor>
            </w:drawing>
          </mc:Fallback>
        </mc:AlternateContent>
      </w:r>
    </w:p>
    <w:p w14:paraId="2BA3023D" w14:textId="77777777" w:rsidR="00B15CEF" w:rsidRPr="00F23522" w:rsidRDefault="00B8282C">
      <w:pPr>
        <w:spacing w:before="240" w:line="360" w:lineRule="auto"/>
        <w:ind w:right="49"/>
        <w:jc w:val="center"/>
        <w:rPr>
          <w:rFonts w:ascii="Palatino Linotype" w:eastAsia="Palatino Linotype" w:hAnsi="Palatino Linotype" w:cs="Palatino Linotype"/>
        </w:rPr>
      </w:pPr>
      <w:r w:rsidRPr="00F23522">
        <w:rPr>
          <w:noProof/>
        </w:rPr>
        <w:lastRenderedPageBreak/>
        <w:drawing>
          <wp:inline distT="0" distB="0" distL="0" distR="0" wp14:anchorId="172C47B9" wp14:editId="18C84685">
            <wp:extent cx="4680000" cy="1458772"/>
            <wp:effectExtent l="0" t="0" r="0" b="0"/>
            <wp:docPr id="20675916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t="74266" b="774"/>
                    <a:stretch>
                      <a:fillRect/>
                    </a:stretch>
                  </pic:blipFill>
                  <pic:spPr>
                    <a:xfrm>
                      <a:off x="0" y="0"/>
                      <a:ext cx="4680000" cy="1458772"/>
                    </a:xfrm>
                    <a:prstGeom prst="rect">
                      <a:avLst/>
                    </a:prstGeom>
                    <a:ln/>
                  </pic:spPr>
                </pic:pic>
              </a:graphicData>
            </a:graphic>
          </wp:inline>
        </w:drawing>
      </w:r>
      <w:r w:rsidRPr="00F23522">
        <w:rPr>
          <w:noProof/>
        </w:rPr>
        <w:drawing>
          <wp:inline distT="0" distB="0" distL="0" distR="0" wp14:anchorId="56462CA3" wp14:editId="5D2B5EA0">
            <wp:extent cx="4680000" cy="3300570"/>
            <wp:effectExtent l="0" t="0" r="0" b="0"/>
            <wp:docPr id="2067591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4680000" cy="3300570"/>
                    </a:xfrm>
                    <a:prstGeom prst="rect">
                      <a:avLst/>
                    </a:prstGeom>
                    <a:ln/>
                  </pic:spPr>
                </pic:pic>
              </a:graphicData>
            </a:graphic>
          </wp:inline>
        </w:drawing>
      </w:r>
      <w:r w:rsidRPr="00F23522">
        <w:rPr>
          <w:noProof/>
        </w:rPr>
        <mc:AlternateContent>
          <mc:Choice Requires="wpg">
            <w:drawing>
              <wp:anchor distT="0" distB="0" distL="114300" distR="114300" simplePos="0" relativeHeight="251662336" behindDoc="0" locked="0" layoutInCell="1" hidden="0" allowOverlap="1" wp14:anchorId="63DA122A" wp14:editId="3FF7C0A1">
                <wp:simplePos x="0" y="0"/>
                <wp:positionH relativeFrom="column">
                  <wp:posOffset>431800</wp:posOffset>
                </wp:positionH>
                <wp:positionV relativeFrom="paragraph">
                  <wp:posOffset>2501900</wp:posOffset>
                </wp:positionV>
                <wp:extent cx="4726021" cy="269254"/>
                <wp:effectExtent l="0" t="0" r="0" b="0"/>
                <wp:wrapNone/>
                <wp:docPr id="2067591603" name="Rectángulo 2067591603"/>
                <wp:cNvGraphicFramePr/>
                <a:graphic xmlns:a="http://schemas.openxmlformats.org/drawingml/2006/main">
                  <a:graphicData uri="http://schemas.microsoft.com/office/word/2010/wordprocessingShape">
                    <wps:wsp>
                      <wps:cNvSpPr/>
                      <wps:spPr>
                        <a:xfrm>
                          <a:off x="3021090" y="3683473"/>
                          <a:ext cx="4649821" cy="193054"/>
                        </a:xfrm>
                        <a:prstGeom prst="rect">
                          <a:avLst/>
                        </a:prstGeom>
                        <a:noFill/>
                        <a:ln w="38100" cap="flat" cmpd="sng">
                          <a:solidFill>
                            <a:srgbClr val="C00000"/>
                          </a:solidFill>
                          <a:prstDash val="solid"/>
                          <a:round/>
                          <a:headEnd type="none" w="sm" len="sm"/>
                          <a:tailEnd type="none" w="sm" len="sm"/>
                        </a:ln>
                      </wps:spPr>
                      <wps:txbx>
                        <w:txbxContent>
                          <w:p w14:paraId="784E92BF"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2501900</wp:posOffset>
                </wp:positionV>
                <wp:extent cx="4726021" cy="269254"/>
                <wp:effectExtent b="0" l="0" r="0" t="0"/>
                <wp:wrapNone/>
                <wp:docPr id="2067591603"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4726021" cy="269254"/>
                        </a:xfrm>
                        <a:prstGeom prst="rect"/>
                        <a:ln/>
                      </pic:spPr>
                    </pic:pic>
                  </a:graphicData>
                </a:graphic>
              </wp:anchor>
            </w:drawing>
          </mc:Fallback>
        </mc:AlternateContent>
      </w:r>
      <w:r w:rsidRPr="00F23522">
        <w:rPr>
          <w:noProof/>
        </w:rPr>
        <mc:AlternateContent>
          <mc:Choice Requires="wpg">
            <w:drawing>
              <wp:anchor distT="0" distB="0" distL="114300" distR="114300" simplePos="0" relativeHeight="251663360" behindDoc="0" locked="0" layoutInCell="1" hidden="0" allowOverlap="1" wp14:anchorId="1EA5C57E" wp14:editId="589646EB">
                <wp:simplePos x="0" y="0"/>
                <wp:positionH relativeFrom="column">
                  <wp:posOffset>431800</wp:posOffset>
                </wp:positionH>
                <wp:positionV relativeFrom="paragraph">
                  <wp:posOffset>1066800</wp:posOffset>
                </wp:positionV>
                <wp:extent cx="4726021" cy="377757"/>
                <wp:effectExtent l="0" t="0" r="0" b="0"/>
                <wp:wrapNone/>
                <wp:docPr id="2067591605" name="Rectángulo 2067591605"/>
                <wp:cNvGraphicFramePr/>
                <a:graphic xmlns:a="http://schemas.openxmlformats.org/drawingml/2006/main">
                  <a:graphicData uri="http://schemas.microsoft.com/office/word/2010/wordprocessingShape">
                    <wps:wsp>
                      <wps:cNvSpPr/>
                      <wps:spPr>
                        <a:xfrm>
                          <a:off x="3021090" y="3629222"/>
                          <a:ext cx="4649821" cy="301557"/>
                        </a:xfrm>
                        <a:prstGeom prst="rect">
                          <a:avLst/>
                        </a:prstGeom>
                        <a:noFill/>
                        <a:ln w="38100" cap="flat" cmpd="sng">
                          <a:solidFill>
                            <a:srgbClr val="C00000"/>
                          </a:solidFill>
                          <a:prstDash val="solid"/>
                          <a:round/>
                          <a:headEnd type="none" w="sm" len="sm"/>
                          <a:tailEnd type="none" w="sm" len="sm"/>
                        </a:ln>
                      </wps:spPr>
                      <wps:txbx>
                        <w:txbxContent>
                          <w:p w14:paraId="0D8D49A3" w14:textId="77777777" w:rsidR="00B15CEF" w:rsidRDefault="00B15CE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1066800</wp:posOffset>
                </wp:positionV>
                <wp:extent cx="4726021" cy="377757"/>
                <wp:effectExtent b="0" l="0" r="0" t="0"/>
                <wp:wrapNone/>
                <wp:docPr id="2067591605"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4726021" cy="377757"/>
                        </a:xfrm>
                        <a:prstGeom prst="rect"/>
                        <a:ln/>
                      </pic:spPr>
                    </pic:pic>
                  </a:graphicData>
                </a:graphic>
              </wp:anchor>
            </w:drawing>
          </mc:Fallback>
        </mc:AlternateContent>
      </w:r>
    </w:p>
    <w:p w14:paraId="2799A558"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El formado de Conciliación de Nómina contiene, entre otros datos, el nombre completo, puesto funcional, adscripción, categoría, el total de percepciones brutas, y el total neto, información que se traduce en lo solicitado.</w:t>
      </w:r>
    </w:p>
    <w:p w14:paraId="4C68E9E0"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Asimismo, toda vez que la persona solicitante requirió información actualizada al año 2023, y que la solicitud se tuvo por presentada el día treinta de enero de dos mil veintitrés, se estima que la información que es susceptible de entrega corresponde a la primera quincena  de enero de dos mil veintitrés, ya que por la naturaleza de la información esta se genera de manera quincenal y a la fecha de presentación de la </w:t>
      </w:r>
      <w:r w:rsidRPr="00F23522">
        <w:rPr>
          <w:rFonts w:ascii="Palatino Linotype" w:eastAsia="Palatino Linotype" w:hAnsi="Palatino Linotype" w:cs="Palatino Linotype"/>
        </w:rPr>
        <w:lastRenderedPageBreak/>
        <w:t xml:space="preserve">solicitud, el plazo para generar la información de la segunda quincena de enero aún no fenecía. </w:t>
      </w:r>
    </w:p>
    <w:p w14:paraId="6FE10619"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Respecto a este punto, además, es de señalar que del análisis efectuado en el acuerdo de la Centésima Trigésima Primera Sesión Extraordinaria del Comité de Transparencia, mediante el cual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pretendió restringir el derecho de acceso a la información pública, además de no contener pronunciamiento alguno respecto al cargo de los servidores públicos adscritos a la Dirección de Seguridad Pública y Protección que desempeñan funciones operativas, se advirtió que no se hizo distinción entre los servidores públicos adscritos a la Dirección General de Seguridad y Proyección, por lo que la clasificación invariablemente incluye aquellos que ostentan cargos de mandos medios y superiores, así como los que desempeñan funciones administrativas, sin que la información de éstos se ajuste al supuesto previsto por la norma legal invocada como fundamento como ya se ha señalado.</w:t>
      </w:r>
    </w:p>
    <w:p w14:paraId="26B3D11D"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consecuencia, el Acta remitida es insuficiente para restringir el Derecho de acceso a la información de la persona solicitante, al no haberse acreditado, de manera fundada y motivada, las razones por las cuales la difusión de la información solicitada respecto del personal adscrito a la Dirección General de Seguridad Pública y Protección, que ostenta cargos de mandos medios y superiores, así como el que desempeña funciones administrativas, lesiona el interés jurídicamente protegido por la Ley, que el menoscabo o daño que puede producirse con la publicidad de la información es mayor que el interés de conocerla, y, que por consiguiente deba clasificarse como reservada; por lo que en cumplimiento a la presente resolución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 xml:space="preserve">además de remitir nuevamente el soporte documental que contenga la información requerida deberá emitir una nueva acta que sustente la </w:t>
      </w:r>
      <w:r w:rsidRPr="00F23522">
        <w:rPr>
          <w:rFonts w:ascii="Palatino Linotype" w:eastAsia="Palatino Linotype" w:hAnsi="Palatino Linotype" w:cs="Palatino Linotype"/>
        </w:rPr>
        <w:lastRenderedPageBreak/>
        <w:t>versión pública de dicho soporte documental, que cumpla con la totalidad de las formalidades que se precisan en el considerando siguiente, así como con el Lineamiento Quincuagésimo primero de los Lineamientos Generales en Materia de Clasificación y Desclasificación de la Información, que es del tenor literal siguiente:</w:t>
      </w:r>
    </w:p>
    <w:p w14:paraId="5B6A0BE4"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Quincuagésimo primero.</w:t>
      </w:r>
      <w:r w:rsidRPr="00F23522">
        <w:rPr>
          <w:rFonts w:ascii="Palatino Linotype" w:eastAsia="Palatino Linotype" w:hAnsi="Palatino Linotype" w:cs="Palatino Linotype"/>
          <w:i/>
          <w:sz w:val="22"/>
          <w:szCs w:val="22"/>
        </w:rPr>
        <w:t xml:space="preserve"> Toda acta del Comité de Transparencia deberá contener:</w:t>
      </w:r>
    </w:p>
    <w:p w14:paraId="0E57192D"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w:t>
      </w:r>
      <w:r w:rsidRPr="00F23522">
        <w:rPr>
          <w:rFonts w:ascii="Palatino Linotype" w:eastAsia="Palatino Linotype" w:hAnsi="Palatino Linotype" w:cs="Palatino Linotype"/>
          <w:i/>
          <w:sz w:val="22"/>
          <w:szCs w:val="22"/>
        </w:rPr>
        <w:t xml:space="preserve"> El número de sesión y fecha;</w:t>
      </w:r>
    </w:p>
    <w:p w14:paraId="3E6D83AD"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El nombre del área que solicitó la clasificación de información;</w:t>
      </w:r>
    </w:p>
    <w:p w14:paraId="0A6163C2"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La fundamentación legal y motivación correspondiente;</w:t>
      </w:r>
    </w:p>
    <w:p w14:paraId="553CD022"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IV</w:t>
      </w:r>
      <w:r w:rsidRPr="00F23522">
        <w:rPr>
          <w:rFonts w:ascii="Palatino Linotype" w:eastAsia="Palatino Linotype" w:hAnsi="Palatino Linotype" w:cs="Palatino Linotype"/>
          <w:i/>
          <w:sz w:val="22"/>
          <w:szCs w:val="22"/>
        </w:rPr>
        <w:t xml:space="preserve">. La resolución o resoluciones aprobadas; y </w:t>
      </w:r>
    </w:p>
    <w:p w14:paraId="19098D35"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V.</w:t>
      </w:r>
      <w:r w:rsidRPr="00F23522">
        <w:rPr>
          <w:rFonts w:ascii="Palatino Linotype" w:eastAsia="Palatino Linotype" w:hAnsi="Palatino Linotype" w:cs="Palatino Linotype"/>
          <w:i/>
          <w:sz w:val="22"/>
          <w:szCs w:val="22"/>
        </w:rPr>
        <w:t xml:space="preserve"> La rúbrica o firma digital de cada integrante del Comité de Transparencia.</w:t>
      </w:r>
    </w:p>
    <w:p w14:paraId="1E7AF077"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6D67C046"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w:t>
      </w:r>
      <w:r w:rsidRPr="00F2352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0481C5D"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Descripción de las partes o secciones reservadas, en caso de clasificación parcial; </w:t>
      </w:r>
    </w:p>
    <w:p w14:paraId="2974FB05"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El periodo por el que mantendrá su clasificación y fecha de expiración; y</w:t>
      </w:r>
    </w:p>
    <w:p w14:paraId="07CEC37D"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IV</w:t>
      </w:r>
      <w:r w:rsidRPr="00F23522">
        <w:rPr>
          <w:rFonts w:ascii="Palatino Linotype" w:eastAsia="Palatino Linotype" w:hAnsi="Palatino Linotype" w:cs="Palatino Linotype"/>
          <w:i/>
          <w:sz w:val="22"/>
          <w:szCs w:val="22"/>
        </w:rPr>
        <w:t>. El nombre del titular y área encargada de realizar la versión pública del documento, en su caso.</w:t>
      </w:r>
    </w:p>
    <w:p w14:paraId="222E4FA1"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w:t>
      </w:r>
    </w:p>
    <w:p w14:paraId="65B19653"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68E0C8E3"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Finalmente respecto al punto en estudio, toda vez que en el listado nominal remitido se dejó visible el cargo de los servidores públicos adscritos a la Dirección de Seguridad Pública y Protección que desempeñan funciones operativas, en </w:t>
      </w:r>
      <w:r w:rsidRPr="00F23522">
        <w:rPr>
          <w:rFonts w:ascii="Palatino Linotype" w:eastAsia="Palatino Linotype" w:hAnsi="Palatino Linotype" w:cs="Palatino Linotype"/>
        </w:rPr>
        <w:lastRenderedPageBreak/>
        <w:t xml:space="preserve">términos de lo previsto en el artículo 190 de la Ley de Transparencia y Acceso a la Información Pública del Estado de México y Municipios, se ordena dar vista a la </w:t>
      </w:r>
      <w:r w:rsidRPr="00F23522">
        <w:rPr>
          <w:rFonts w:ascii="Palatino Linotype" w:eastAsia="Palatino Linotype" w:hAnsi="Palatino Linotype" w:cs="Palatino Linotype"/>
          <w:b/>
        </w:rPr>
        <w:t>Secretaría Técnica del Pleno</w:t>
      </w:r>
      <w:r w:rsidRPr="00F23522">
        <w:rPr>
          <w:rFonts w:ascii="Palatino Linotype" w:eastAsia="Palatino Linotype" w:hAnsi="Palatino Linotype" w:cs="Palatino Linotype"/>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w:t>
      </w:r>
    </w:p>
    <w:p w14:paraId="1287AB65"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b/>
        </w:rPr>
        <w:t>Respecto al Instituto Municipal de la Mujer</w:t>
      </w:r>
      <w:r w:rsidRPr="00F23522">
        <w:rPr>
          <w:rFonts w:ascii="Palatino Linotype" w:eastAsia="Palatino Linotype" w:hAnsi="Palatino Linotype" w:cs="Palatino Linotype"/>
        </w:rPr>
        <w:t>, de la revisión efectuada por este Organismo Garante en el listado remitido, se advirtió que no contempla la información de todos los servidores públicos, como es el caso, de manera enunciativa, más no limitativa</w:t>
      </w:r>
      <w:r w:rsidRPr="00F23522">
        <w:rPr>
          <w:rFonts w:ascii="Palatino Linotype" w:eastAsia="Palatino Linotype" w:hAnsi="Palatino Linotype" w:cs="Palatino Linotype"/>
          <w:b/>
        </w:rPr>
        <w:t xml:space="preserve">, </w:t>
      </w:r>
      <w:r w:rsidRPr="00F23522">
        <w:rPr>
          <w:rFonts w:ascii="Palatino Linotype" w:eastAsia="Palatino Linotype" w:hAnsi="Palatino Linotype" w:cs="Palatino Linotype"/>
        </w:rPr>
        <w:t xml:space="preserve">de la servidora pública </w:t>
      </w:r>
      <w:proofErr w:type="spellStart"/>
      <w:r w:rsidRPr="00F23522">
        <w:rPr>
          <w:rFonts w:ascii="Palatino Linotype" w:eastAsia="Palatino Linotype" w:hAnsi="Palatino Linotype" w:cs="Palatino Linotype"/>
        </w:rPr>
        <w:t>Karem</w:t>
      </w:r>
      <w:proofErr w:type="spellEnd"/>
      <w:r w:rsidRPr="00F23522">
        <w:rPr>
          <w:rFonts w:ascii="Palatino Linotype" w:eastAsia="Palatino Linotype" w:hAnsi="Palatino Linotype" w:cs="Palatino Linotype"/>
        </w:rPr>
        <w:t xml:space="preserve"> Santa Cruz Bretón, quien se ostenta como Directora General, de conformidad con la información publicada en el Portal de Información Pública de Oficio Mexiquense, IPOMEX, por Sujeto Obligado en cumplimiento a la obligación de Transparencia prevista en el artículo 92, fracción VII de la Ley de Transparencia del Estado de México y Municipios como se  observa a continuación:</w:t>
      </w:r>
    </w:p>
    <w:p w14:paraId="79C70FFD"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noProof/>
        </w:rPr>
        <w:drawing>
          <wp:inline distT="0" distB="0" distL="0" distR="0" wp14:anchorId="182B7E8A" wp14:editId="57A22D74">
            <wp:extent cx="5612130" cy="1924050"/>
            <wp:effectExtent l="0" t="0" r="0" b="0"/>
            <wp:docPr id="2067591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b="41494"/>
                    <a:stretch>
                      <a:fillRect/>
                    </a:stretch>
                  </pic:blipFill>
                  <pic:spPr>
                    <a:xfrm>
                      <a:off x="0" y="0"/>
                      <a:ext cx="5612130" cy="1924050"/>
                    </a:xfrm>
                    <a:prstGeom prst="rect">
                      <a:avLst/>
                    </a:prstGeom>
                    <a:ln/>
                  </pic:spPr>
                </pic:pic>
              </a:graphicData>
            </a:graphic>
          </wp:inline>
        </w:drawing>
      </w:r>
    </w:p>
    <w:p w14:paraId="64BD55FE"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noProof/>
        </w:rPr>
        <w:lastRenderedPageBreak/>
        <w:drawing>
          <wp:inline distT="0" distB="0" distL="0" distR="0" wp14:anchorId="03B69343" wp14:editId="0E3C15D5">
            <wp:extent cx="5612130" cy="1352550"/>
            <wp:effectExtent l="0" t="0" r="0" b="0"/>
            <wp:docPr id="2067591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t="59087" b="-214"/>
                    <a:stretch>
                      <a:fillRect/>
                    </a:stretch>
                  </pic:blipFill>
                  <pic:spPr>
                    <a:xfrm>
                      <a:off x="0" y="0"/>
                      <a:ext cx="5612130" cy="1352550"/>
                    </a:xfrm>
                    <a:prstGeom prst="rect">
                      <a:avLst/>
                    </a:prstGeom>
                    <a:ln/>
                  </pic:spPr>
                </pic:pic>
              </a:graphicData>
            </a:graphic>
          </wp:inline>
        </w:drawing>
      </w:r>
    </w:p>
    <w:p w14:paraId="4E98DF7E"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Por lo tanto, no puede tenerse por atendido dicho requerimiento de información, y para cumplir dicho fin, se estima necesario que se haga entrega del soporte documental, en versión pública de ser necesario, que dé cuenta del nombre, área de adscripción, puesto, categoría y sueldo de los servidores públicos faltantes en funciones al treinta de enero de dos mil veintitrés, para lo cual, se deberá atender a la estructura orgánica del Instituto Municipal de la Mujer, de conformidad con el artículo 5 del Reglamento Interno del Organismo Público Descentralizado Instituto Municipal de la Mujer de Toluca, a saber:</w:t>
      </w:r>
    </w:p>
    <w:p w14:paraId="59C2C607" w14:textId="77777777" w:rsidR="00B15CEF" w:rsidRPr="00F23522" w:rsidRDefault="00B8282C">
      <w:pPr>
        <w:spacing w:before="120" w:after="120"/>
        <w:ind w:left="851"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“Artículo 5</w:t>
      </w:r>
      <w:r w:rsidRPr="00F23522">
        <w:rPr>
          <w:rFonts w:ascii="Palatino Linotype" w:eastAsia="Palatino Linotype" w:hAnsi="Palatino Linotype" w:cs="Palatino Linotype"/>
          <w:i/>
          <w:sz w:val="22"/>
          <w:szCs w:val="22"/>
        </w:rPr>
        <w:t xml:space="preserve">. La dirección y administración del Instituto estará a cargo de: </w:t>
      </w:r>
    </w:p>
    <w:p w14:paraId="2033F1E8"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w:t>
      </w:r>
      <w:r w:rsidRPr="00F23522">
        <w:rPr>
          <w:rFonts w:ascii="Palatino Linotype" w:eastAsia="Palatino Linotype" w:hAnsi="Palatino Linotype" w:cs="Palatino Linotype"/>
          <w:i/>
          <w:sz w:val="22"/>
          <w:szCs w:val="22"/>
        </w:rPr>
        <w:t xml:space="preserve"> El Consejo Directivo Municipal de la Mujer; </w:t>
      </w:r>
    </w:p>
    <w:p w14:paraId="03D41253"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La </w:t>
      </w:r>
      <w:r w:rsidRPr="00F23522">
        <w:rPr>
          <w:rFonts w:ascii="Palatino Linotype" w:eastAsia="Palatino Linotype" w:hAnsi="Palatino Linotype" w:cs="Palatino Linotype"/>
          <w:i/>
          <w:sz w:val="22"/>
          <w:szCs w:val="22"/>
          <w:u w:val="single"/>
        </w:rPr>
        <w:t>Dirección General</w:t>
      </w:r>
      <w:r w:rsidRPr="00F23522">
        <w:rPr>
          <w:rFonts w:ascii="Palatino Linotype" w:eastAsia="Palatino Linotype" w:hAnsi="Palatino Linotype" w:cs="Palatino Linotype"/>
          <w:i/>
          <w:sz w:val="22"/>
          <w:szCs w:val="22"/>
        </w:rPr>
        <w:t>; y</w:t>
      </w:r>
    </w:p>
    <w:p w14:paraId="79CFA0BD" w14:textId="77777777" w:rsidR="00B15CEF" w:rsidRPr="00F23522" w:rsidRDefault="00B8282C">
      <w:pPr>
        <w:spacing w:before="120" w:after="120"/>
        <w:ind w:left="1134" w:right="1043"/>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Las Unidades Administrativas que determina este Reglamento Interno, de conformidad con las necesidades y suficiencia presupuestal.”</w:t>
      </w:r>
    </w:p>
    <w:p w14:paraId="2D566168"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cuanto hace a las </w:t>
      </w:r>
      <w:r w:rsidRPr="00F23522">
        <w:rPr>
          <w:rFonts w:ascii="Palatino Linotype" w:eastAsia="Palatino Linotype" w:hAnsi="Palatino Linotype" w:cs="Palatino Linotype"/>
          <w:b/>
        </w:rPr>
        <w:t>funciones de los servidores públicos adscritos al Instituto Municipal de Cultura Física y Deporte y al Instituto Municipal de la Mujer</w:t>
      </w:r>
      <w:r w:rsidRPr="00F23522">
        <w:rPr>
          <w:rFonts w:ascii="Palatino Linotype" w:eastAsia="Palatino Linotype" w:hAnsi="Palatino Linotype" w:cs="Palatino Linotype"/>
        </w:rPr>
        <w:t>, no puede tenerse por atendido el derecho de acceso a la información, bajo los siguientes argumentos:</w:t>
      </w:r>
    </w:p>
    <w:p w14:paraId="65E3983D"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Respecto al </w:t>
      </w:r>
      <w:r w:rsidRPr="00F23522">
        <w:rPr>
          <w:rFonts w:ascii="Palatino Linotype" w:eastAsia="Palatino Linotype" w:hAnsi="Palatino Linotype" w:cs="Palatino Linotype"/>
          <w:b/>
        </w:rPr>
        <w:t>Instituto Municipal de Cultura Física y Deporte</w:t>
      </w:r>
      <w:r w:rsidRPr="00F23522">
        <w:rPr>
          <w:rFonts w:ascii="Palatino Linotype" w:eastAsia="Palatino Linotype" w:hAnsi="Palatino Linotype" w:cs="Palatino Linotype"/>
        </w:rPr>
        <w:t xml:space="preserve">, si bien la Coordinadora de Administración y Finanzas, manifestó que las funciones se </w:t>
      </w:r>
      <w:r w:rsidRPr="00F23522">
        <w:rPr>
          <w:rFonts w:ascii="Palatino Linotype" w:eastAsia="Palatino Linotype" w:hAnsi="Palatino Linotype" w:cs="Palatino Linotype"/>
        </w:rPr>
        <w:lastRenderedPageBreak/>
        <w:t xml:space="preserve">encontraban en el Reglamento Interior del Instituto, mismo que fue publicado en la Gaceta Semanal volumen 32, del treinta y uno de octubre el año 2022, no precisó de manera clara la forma en la que puede ser consultado el Reglamento; por su parte, la Titular de la Unidad de Transparencia refirió que dicho ordenamiento se adjuntaba a la respuesta, sin embargo, del análisis efectuado no se advirtió que hubiera sido anexado a la respuesta, por lo tanto, es evidente que para tener por satisfecho el requerimiento respecto del Instituto Municipal de Cultura Física y Deporte,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debe hacer entrega del soporte documental que dé cuenta de las funciones que les fueron conferidas a los servidores públicos adscritos a dicho Instituto, máxime que ya reconoció que cuenta con el mismo.</w:t>
      </w:r>
    </w:p>
    <w:p w14:paraId="6754449C"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b/>
        </w:rPr>
        <w:t>Respecto del Instituto Municipal de la Mujer</w:t>
      </w:r>
      <w:r w:rsidRPr="00F23522">
        <w:rPr>
          <w:rFonts w:ascii="Palatino Linotype" w:eastAsia="Palatino Linotype" w:hAnsi="Palatino Linotype" w:cs="Palatino Linotype"/>
        </w:rPr>
        <w:t xml:space="preserve">,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proporcionó el listado nominal que se observa en las páginas 33 y 34 de la presente resolución, que contiene las funciones, que desempeña cada servidor público, sin embrago, toda vez que no fue proporcionada la información de dos los servidores públicos adscritos a dicho Organismo, tampoco incluye todas las funciones que tienen encomendadas los servidores públicos faltantes,</w:t>
      </w:r>
    </w:p>
    <w:p w14:paraId="26D8F675"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tal sentido, se estima dable ordenar la entrega del soporte documental que dé cuenta de las funciones que tienen conferidas los servidores públicos faltantes del Instituto Municipal de la Mujer, para tener por satisfecho el requerimiento de información. </w:t>
      </w:r>
    </w:p>
    <w:p w14:paraId="6C739B8D" w14:textId="77777777" w:rsidR="00B15CEF" w:rsidRPr="00F23522" w:rsidRDefault="00B8282C">
      <w:pPr>
        <w:spacing w:before="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No obsta mencionar que la información que se ordena se relaciona con la obligación de transparencia prevista en el artículo 92, fracción III de la Ley de Transparencia y </w:t>
      </w:r>
      <w:r w:rsidRPr="00F23522">
        <w:rPr>
          <w:rFonts w:ascii="Palatino Linotype" w:eastAsia="Palatino Linotype" w:hAnsi="Palatino Linotype" w:cs="Palatino Linotype"/>
        </w:rPr>
        <w:lastRenderedPageBreak/>
        <w:t>Acceso a la Información Pública del Estado de México y Municipios, que es del tenor literal siguiente:</w:t>
      </w:r>
    </w:p>
    <w:p w14:paraId="2A236124"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92.</w:t>
      </w:r>
      <w:r w:rsidRPr="00F2352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5271BB" w14:textId="77777777" w:rsidR="00B15CEF" w:rsidRPr="00F23522" w:rsidRDefault="00B8282C">
      <w:pPr>
        <w:spacing w:before="120" w:after="120"/>
        <w:ind w:left="1134" w:right="902"/>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b/>
          <w:i/>
          <w:sz w:val="22"/>
          <w:szCs w:val="22"/>
        </w:rPr>
        <w:t>…</w:t>
      </w:r>
    </w:p>
    <w:p w14:paraId="37E1C9A2" w14:textId="77777777" w:rsidR="00B15CEF" w:rsidRPr="00F23522" w:rsidRDefault="00B8282C">
      <w:pP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Las facultades de cada área;”</w:t>
      </w:r>
    </w:p>
    <w:p w14:paraId="6C011641" w14:textId="77777777" w:rsidR="00B15CEF" w:rsidRPr="00F23522" w:rsidRDefault="00B8282C">
      <w:pPr>
        <w:spacing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Evidenciando que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debe contar con los documentos que den cuenta de las funciones de las áreas que integran la estructura Orgánica del Instituto Municipal de la Mujer, pues si bien el cumplimiento de dicha obligación debe hacerse en medios electrónicos con la finalidad de que esté disponible para cualquier persona, no es óbice para que sea el único medio por el cual puede atenderse el derecho de acceso a la información, pues los Sujetos Obligados se encuentran constreñidos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00BFA39E" w14:textId="77777777" w:rsidR="00B15CEF" w:rsidRPr="00F23522" w:rsidRDefault="00B8282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“Artículo 18</w:t>
      </w:r>
      <w:r w:rsidRPr="00F23522">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52F49C5E" w14:textId="77777777" w:rsidR="00B15CEF" w:rsidRPr="00F23522" w:rsidRDefault="00B8282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p>
    <w:p w14:paraId="0D1FB64B" w14:textId="77777777" w:rsidR="00B15CEF" w:rsidRPr="00F23522" w:rsidRDefault="00B8282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Artículo 24.</w:t>
      </w:r>
      <w:r w:rsidRPr="00F23522">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14A108A8" w14:textId="77777777" w:rsidR="00B15CEF" w:rsidRPr="00F23522" w:rsidRDefault="00B8282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lastRenderedPageBreak/>
        <w:t>XXII.</w:t>
      </w:r>
      <w:r w:rsidRPr="00F23522">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00D5CB5C" w14:textId="77777777" w:rsidR="00B15CEF" w:rsidRPr="00F23522" w:rsidRDefault="00B8282C">
      <w:pPr>
        <w:spacing w:before="120" w:after="120"/>
        <w:ind w:left="851" w:right="902"/>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b/>
          <w:i/>
          <w:sz w:val="22"/>
          <w:szCs w:val="22"/>
        </w:rPr>
        <w:t>…</w:t>
      </w:r>
    </w:p>
    <w:p w14:paraId="24E72FFC" w14:textId="77777777" w:rsidR="00B15CEF" w:rsidRPr="00F23522" w:rsidRDefault="00B8282C">
      <w:pPr>
        <w:spacing w:before="120" w:after="120"/>
        <w:ind w:left="851" w:right="902"/>
        <w:jc w:val="both"/>
        <w:rPr>
          <w:rFonts w:ascii="Palatino Linotype" w:eastAsia="Palatino Linotype" w:hAnsi="Palatino Linotype" w:cs="Palatino Linotype"/>
          <w:i/>
          <w:sz w:val="36"/>
          <w:szCs w:val="36"/>
        </w:rPr>
      </w:pPr>
      <w:r w:rsidRPr="00F23522">
        <w:rPr>
          <w:rFonts w:ascii="Palatino Linotype" w:eastAsia="Palatino Linotype" w:hAnsi="Palatino Linotype" w:cs="Palatino Linotype"/>
          <w:b/>
          <w:i/>
          <w:sz w:val="22"/>
          <w:szCs w:val="22"/>
        </w:rPr>
        <w:t>Artículo 160</w:t>
      </w:r>
      <w:r w:rsidRPr="00F23522">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28ACCA"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De lo hasta aquí expuesto, se concluye que los motivos de inconformidad de la parte </w:t>
      </w:r>
      <w:r w:rsidRPr="00F23522">
        <w:rPr>
          <w:rFonts w:ascii="Palatino Linotype" w:eastAsia="Palatino Linotype" w:hAnsi="Palatino Linotype" w:cs="Palatino Linotype"/>
          <w:b/>
        </w:rPr>
        <w:t xml:space="preserve">Recurrente </w:t>
      </w:r>
      <w:r w:rsidRPr="00F23522">
        <w:rPr>
          <w:rFonts w:ascii="Palatino Linotype" w:eastAsia="Palatino Linotype" w:hAnsi="Palatino Linotype" w:cs="Palatino Linotype"/>
        </w:rPr>
        <w:t xml:space="preserve">devienen fundados, siendo procedente </w:t>
      </w:r>
      <w:r w:rsidRPr="00F23522">
        <w:rPr>
          <w:rFonts w:ascii="Palatino Linotype" w:eastAsia="Palatino Linotype" w:hAnsi="Palatino Linotype" w:cs="Palatino Linotype"/>
          <w:i/>
        </w:rPr>
        <w:t>Modificar</w:t>
      </w:r>
      <w:r w:rsidRPr="00F23522">
        <w:rPr>
          <w:rFonts w:ascii="Palatino Linotype" w:eastAsia="Palatino Linotype" w:hAnsi="Palatino Linotype" w:cs="Palatino Linotype"/>
        </w:rPr>
        <w:t xml:space="preserve"> las respuestas proporcionadas por el </w:t>
      </w:r>
      <w:r w:rsidRPr="00F23522">
        <w:rPr>
          <w:rFonts w:ascii="Palatino Linotype" w:eastAsia="Palatino Linotype" w:hAnsi="Palatino Linotype" w:cs="Palatino Linotype"/>
          <w:b/>
        </w:rPr>
        <w:t xml:space="preserve">Sujeto Obligado </w:t>
      </w:r>
      <w:r w:rsidRPr="00F2352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779A959"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b/>
        </w:rPr>
        <w:t xml:space="preserve">Quinto. Versión Pública. </w:t>
      </w:r>
      <w:r w:rsidRPr="00F23522">
        <w:rPr>
          <w:rFonts w:ascii="Palatino Linotype" w:eastAsia="Palatino Linotype" w:hAnsi="Palatino Linotype" w:cs="Palatino Linotype"/>
        </w:rPr>
        <w:t>Como fue debidamente apuntado,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16282F6"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B470A15"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F5AA4FC"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Al respecto, los artículos 3, fracciones IX, XX, XXI, XXXII, XLV; 6, 91, 137, 143 </w:t>
      </w:r>
      <w:proofErr w:type="gramStart"/>
      <w:r w:rsidRPr="00F23522">
        <w:rPr>
          <w:rFonts w:ascii="Palatino Linotype" w:eastAsia="Palatino Linotype" w:hAnsi="Palatino Linotype" w:cs="Palatino Linotype"/>
        </w:rPr>
        <w:t>fracción</w:t>
      </w:r>
      <w:proofErr w:type="gramEnd"/>
      <w:r w:rsidRPr="00F23522">
        <w:rPr>
          <w:rFonts w:ascii="Palatino Linotype" w:eastAsia="Palatino Linotype" w:hAnsi="Palatino Linotype" w:cs="Palatino Linotype"/>
        </w:rPr>
        <w:t xml:space="preserve"> I, de la Ley de Transparencia y Acceso a la Información Pública del Estado de México y Municipios vigente establecen:</w:t>
      </w:r>
    </w:p>
    <w:p w14:paraId="53786430"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rPr>
        <w:t> </w:t>
      </w:r>
      <w:r w:rsidRPr="00F23522">
        <w:rPr>
          <w:rFonts w:ascii="Palatino Linotype" w:eastAsia="Palatino Linotype" w:hAnsi="Palatino Linotype" w:cs="Palatino Linotype"/>
          <w:i/>
          <w:sz w:val="21"/>
          <w:szCs w:val="21"/>
        </w:rPr>
        <w:t>“</w:t>
      </w:r>
      <w:r w:rsidRPr="00F23522">
        <w:rPr>
          <w:rFonts w:ascii="Palatino Linotype" w:eastAsia="Palatino Linotype" w:hAnsi="Palatino Linotype" w:cs="Palatino Linotype"/>
          <w:b/>
          <w:i/>
          <w:sz w:val="21"/>
          <w:szCs w:val="21"/>
        </w:rPr>
        <w:t>Artículo 3.</w:t>
      </w:r>
      <w:r w:rsidRPr="00F23522">
        <w:rPr>
          <w:rFonts w:ascii="Palatino Linotype" w:eastAsia="Palatino Linotype" w:hAnsi="Palatino Linotype" w:cs="Palatino Linotype"/>
          <w:i/>
          <w:sz w:val="21"/>
          <w:szCs w:val="21"/>
        </w:rPr>
        <w:t xml:space="preserve"> Para los efectos de la presente Ley se entenderá por:</w:t>
      </w:r>
    </w:p>
    <w:p w14:paraId="4CA85D07"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p>
    <w:p w14:paraId="7205BC58"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IX. Datos personales</w:t>
      </w:r>
      <w:r w:rsidRPr="00F23522">
        <w:rPr>
          <w:rFonts w:ascii="Palatino Linotype" w:eastAsia="Palatino Linotype" w:hAnsi="Palatino Linotype" w:cs="Palatino Linotype"/>
          <w:i/>
          <w:sz w:val="21"/>
          <w:szCs w:val="21"/>
        </w:rPr>
        <w:t>: La información concerniente a una persona, identificada o identificable según lo dispuesto por la Ley de Protección de Datos Personales del Estado de México;</w:t>
      </w:r>
    </w:p>
    <w:p w14:paraId="61175DE6"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p>
    <w:p w14:paraId="587A29FA"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XX. Información clasificada</w:t>
      </w:r>
      <w:r w:rsidRPr="00F23522">
        <w:rPr>
          <w:rFonts w:ascii="Palatino Linotype" w:eastAsia="Palatino Linotype" w:hAnsi="Palatino Linotype" w:cs="Palatino Linotype"/>
          <w:i/>
          <w:sz w:val="21"/>
          <w:szCs w:val="21"/>
        </w:rPr>
        <w:t>: Aquella considerada por la presente Ley como reservada o confidencial;</w:t>
      </w:r>
    </w:p>
    <w:p w14:paraId="61A94B76"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XXI. Información confidencial</w:t>
      </w:r>
      <w:r w:rsidRPr="00F23522">
        <w:rPr>
          <w:rFonts w:ascii="Palatino Linotype" w:eastAsia="Palatino Linotype" w:hAnsi="Palatino Linotype" w:cs="Palatino Linotype"/>
          <w:i/>
          <w:sz w:val="21"/>
          <w:szCs w:val="21"/>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C0E06F"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p>
    <w:p w14:paraId="206ED1C0"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XXXII. Protección de Datos Personales</w:t>
      </w:r>
      <w:r w:rsidRPr="00F23522">
        <w:rPr>
          <w:rFonts w:ascii="Palatino Linotype" w:eastAsia="Palatino Linotype" w:hAnsi="Palatino Linotype" w:cs="Palatino Linotype"/>
          <w:i/>
          <w:sz w:val="21"/>
          <w:szCs w:val="21"/>
        </w:rPr>
        <w:t>: Derecho humano que tutela la privacidad de datos personales en poder de los sujetos obligados y sujetos particulares;</w:t>
      </w:r>
    </w:p>
    <w:p w14:paraId="56717AE8"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p>
    <w:p w14:paraId="5A84ED0C" w14:textId="77777777" w:rsidR="00B15CEF" w:rsidRPr="00F23522" w:rsidRDefault="00B8282C">
      <w:pPr>
        <w:tabs>
          <w:tab w:val="left" w:pos="1276"/>
        </w:tabs>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XLV. Versión pública</w:t>
      </w:r>
      <w:r w:rsidRPr="00F23522">
        <w:rPr>
          <w:rFonts w:ascii="Palatino Linotype" w:eastAsia="Palatino Linotype" w:hAnsi="Palatino Linotype" w:cs="Palatino Linotype"/>
          <w:i/>
          <w:sz w:val="21"/>
          <w:szCs w:val="21"/>
        </w:rPr>
        <w:t>: Documento en el que se elimine, suprime o borra la información clasificada como reservada o confidencial para permitir su acceso.</w:t>
      </w:r>
    </w:p>
    <w:p w14:paraId="3886CC3D"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 Artículo 6</w:t>
      </w:r>
      <w:r w:rsidRPr="00F23522">
        <w:rPr>
          <w:rFonts w:ascii="Palatino Linotype" w:eastAsia="Palatino Linotype" w:hAnsi="Palatino Linotype" w:cs="Palatino Linotype"/>
          <w:i/>
          <w:sz w:val="21"/>
          <w:szCs w:val="21"/>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w:t>
      </w:r>
      <w:r w:rsidRPr="00F23522">
        <w:rPr>
          <w:rFonts w:ascii="Palatino Linotype" w:eastAsia="Palatino Linotype" w:hAnsi="Palatino Linotype" w:cs="Palatino Linotype"/>
          <w:i/>
          <w:sz w:val="21"/>
          <w:szCs w:val="21"/>
        </w:rPr>
        <w:lastRenderedPageBreak/>
        <w:t>seguridad en el tratamiento y demás disposiciones en materia de datos personales, se deberá estar a lo dispuesto en las leyes de la materia.</w:t>
      </w:r>
    </w:p>
    <w:p w14:paraId="265602B3"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 (…)</w:t>
      </w:r>
    </w:p>
    <w:p w14:paraId="4CB24BE4"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Artículo 91.</w:t>
      </w:r>
      <w:r w:rsidRPr="00F23522">
        <w:rPr>
          <w:rFonts w:ascii="Palatino Linotype" w:eastAsia="Palatino Linotype" w:hAnsi="Palatino Linotype" w:cs="Palatino Linotype"/>
          <w:i/>
          <w:sz w:val="21"/>
          <w:szCs w:val="21"/>
        </w:rPr>
        <w:t xml:space="preserve"> El acceso a la información pública será restringido excepcionalmente, cuando ésta sea clasificada como reservada o confidencial.</w:t>
      </w:r>
    </w:p>
    <w:p w14:paraId="6F1652E0"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p>
    <w:p w14:paraId="46764E8A"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Artículo 137.</w:t>
      </w:r>
      <w:r w:rsidRPr="00F23522">
        <w:rPr>
          <w:rFonts w:ascii="Palatino Linotype" w:eastAsia="Palatino Linotype" w:hAnsi="Palatino Linotype" w:cs="Palatino Linotype"/>
          <w:i/>
          <w:sz w:val="21"/>
          <w:szCs w:val="21"/>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3AFE504" w14:textId="77777777" w:rsidR="00B15CEF" w:rsidRPr="00F23522" w:rsidRDefault="00B8282C">
      <w:pPr>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 Artículo 143.</w:t>
      </w:r>
      <w:r w:rsidRPr="00F23522">
        <w:rPr>
          <w:rFonts w:ascii="Palatino Linotype" w:eastAsia="Palatino Linotype" w:hAnsi="Palatino Linotype" w:cs="Palatino Linotype"/>
          <w:i/>
          <w:sz w:val="21"/>
          <w:szCs w:val="21"/>
        </w:rPr>
        <w:t xml:space="preserve"> Para los efectos de esta Ley se considera información confidencial, la clasificada como tal, de manera permanente, por su naturaleza, cuando:</w:t>
      </w:r>
    </w:p>
    <w:p w14:paraId="4DF19EF9" w14:textId="77777777" w:rsidR="00B15CEF" w:rsidRPr="00F23522" w:rsidRDefault="00B8282C">
      <w:pPr>
        <w:spacing w:before="120" w:after="120"/>
        <w:ind w:left="1134"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I.</w:t>
      </w:r>
      <w:r w:rsidRPr="00F23522">
        <w:rPr>
          <w:rFonts w:ascii="Palatino Linotype" w:eastAsia="Palatino Linotype" w:hAnsi="Palatino Linotype" w:cs="Palatino Linotype"/>
          <w:i/>
          <w:sz w:val="21"/>
          <w:szCs w:val="21"/>
        </w:rPr>
        <w:t xml:space="preserve"> Se refiera a la información privada y los datos personales concernientes a una persona física o jurídico colectiva identificada o identificable...”</w:t>
      </w:r>
    </w:p>
    <w:p w14:paraId="496C8C1A"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4478C86"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7E6CAAC"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F23522">
        <w:rPr>
          <w:rFonts w:ascii="Palatino Linotype" w:eastAsia="Palatino Linotype" w:hAnsi="Palatino Linotype" w:cs="Palatino Linotype"/>
          <w:b/>
        </w:rPr>
        <w:t>Registro Federal de Contribuyentes</w:t>
      </w:r>
      <w:r w:rsidRPr="00F23522">
        <w:rPr>
          <w:rFonts w:ascii="Palatino Linotype" w:eastAsia="Palatino Linotype" w:hAnsi="Palatino Linotype" w:cs="Palatino Linotype"/>
        </w:rPr>
        <w:t xml:space="preserve"> (RFC), la </w:t>
      </w:r>
      <w:r w:rsidRPr="00F23522">
        <w:rPr>
          <w:rFonts w:ascii="Palatino Linotype" w:eastAsia="Palatino Linotype" w:hAnsi="Palatino Linotype" w:cs="Palatino Linotype"/>
          <w:b/>
        </w:rPr>
        <w:t>Clave Única de Registro de Población</w:t>
      </w:r>
      <w:r w:rsidRPr="00F23522">
        <w:rPr>
          <w:rFonts w:ascii="Palatino Linotype" w:eastAsia="Palatino Linotype" w:hAnsi="Palatino Linotype" w:cs="Palatino Linotype"/>
        </w:rPr>
        <w:t xml:space="preserve"> (CURP), la </w:t>
      </w:r>
      <w:r w:rsidRPr="00F23522">
        <w:rPr>
          <w:rFonts w:ascii="Palatino Linotype" w:eastAsia="Palatino Linotype" w:hAnsi="Palatino Linotype" w:cs="Palatino Linotype"/>
          <w:b/>
        </w:rPr>
        <w:t>Clave de cualquier tipo de seguridad social</w:t>
      </w:r>
      <w:r w:rsidRPr="00F23522">
        <w:rPr>
          <w:rFonts w:ascii="Palatino Linotype" w:eastAsia="Palatino Linotype" w:hAnsi="Palatino Linotype" w:cs="Palatino Linotype"/>
        </w:rPr>
        <w:t xml:space="preserve"> (ISSEMYM, u otros), los </w:t>
      </w:r>
      <w:r w:rsidRPr="00F23522">
        <w:rPr>
          <w:rFonts w:ascii="Palatino Linotype" w:eastAsia="Palatino Linotype" w:hAnsi="Palatino Linotype" w:cs="Palatino Linotype"/>
          <w:b/>
        </w:rPr>
        <w:t>números de cuentas bancarias</w:t>
      </w:r>
      <w:r w:rsidRPr="00F23522">
        <w:rPr>
          <w:rFonts w:ascii="Palatino Linotype" w:eastAsia="Palatino Linotype" w:hAnsi="Palatino Linotype" w:cs="Palatino Linotype"/>
        </w:rPr>
        <w:t xml:space="preserve">, claves estandarizadas – interbancarias - (CLABES) y de tarjetas, los </w:t>
      </w:r>
      <w:r w:rsidRPr="00F23522">
        <w:rPr>
          <w:rFonts w:ascii="Palatino Linotype" w:eastAsia="Palatino Linotype" w:hAnsi="Palatino Linotype" w:cs="Palatino Linotype"/>
          <w:b/>
        </w:rPr>
        <w:t>préstamos o descuentos</w:t>
      </w:r>
      <w:r w:rsidRPr="00F23522">
        <w:rPr>
          <w:rFonts w:ascii="Palatino Linotype" w:eastAsia="Palatino Linotype" w:hAnsi="Palatino Linotype" w:cs="Palatino Linotype"/>
        </w:rPr>
        <w:t xml:space="preserve"> que se le hagan a la persona y que no tengan relación con los impuestos o la cuota por seguridad social, el</w:t>
      </w:r>
      <w:r w:rsidRPr="00F23522">
        <w:rPr>
          <w:rFonts w:ascii="Palatino Linotype" w:eastAsia="Palatino Linotype" w:hAnsi="Palatino Linotype" w:cs="Palatino Linotype"/>
          <w:b/>
        </w:rPr>
        <w:t xml:space="preserve"> número de empleado</w:t>
      </w:r>
      <w:r w:rsidRPr="00F23522">
        <w:rPr>
          <w:rFonts w:ascii="Palatino Linotype" w:eastAsia="Palatino Linotype" w:hAnsi="Palatino Linotype" w:cs="Palatino Linotype"/>
        </w:rPr>
        <w:t xml:space="preserve">, bajo las siguientes consideraciones. </w:t>
      </w:r>
    </w:p>
    <w:p w14:paraId="5BF9E1BA"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C559415"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F23522">
        <w:rPr>
          <w:rFonts w:ascii="Palatino Linotype" w:eastAsia="Palatino Linotype" w:hAnsi="Palatino Linotype" w:cs="Palatino Linotype"/>
        </w:rPr>
        <w:t>homoclave</w:t>
      </w:r>
      <w:proofErr w:type="spellEnd"/>
      <w:r w:rsidRPr="00F2352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A1EB89B"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79CD705"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6F1A3F2" w14:textId="77777777" w:rsidR="00B15CEF" w:rsidRPr="00F23522" w:rsidRDefault="00B8282C">
      <w:pPr>
        <w:ind w:left="851" w:right="900"/>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 xml:space="preserve"> “Registro Federal de Contribuyentes (RFC) de personas físicas</w:t>
      </w:r>
      <w:r w:rsidRPr="00F23522">
        <w:rPr>
          <w:rFonts w:ascii="Palatino Linotype" w:eastAsia="Palatino Linotype" w:hAnsi="Palatino Linotype" w:cs="Palatino Linotype"/>
          <w:i/>
          <w:sz w:val="21"/>
          <w:szCs w:val="21"/>
        </w:rPr>
        <w:t>. El RFC es una clave de carácter fiscal, única e irrepetible, que permite identificar al titular, su edad y fecha de nacimiento, por lo que es un dato personal de carácter confidencial.”</w:t>
      </w:r>
    </w:p>
    <w:p w14:paraId="3F2B5F8B" w14:textId="77777777" w:rsidR="00B15CEF" w:rsidRPr="00F23522" w:rsidRDefault="00B828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F23522">
        <w:rPr>
          <w:rFonts w:ascii="Palatino Linotype" w:eastAsia="Palatino Linotype" w:hAnsi="Palatino Linotype" w:cs="Palatino Linotype"/>
        </w:rPr>
        <w:t>homoclave</w:t>
      </w:r>
      <w:proofErr w:type="spellEnd"/>
      <w:r w:rsidRPr="00F2352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DFD2F29" w14:textId="77777777" w:rsidR="00B15CEF" w:rsidRPr="00F23522" w:rsidRDefault="00B828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50725A9" w14:textId="77777777" w:rsidR="00B15CEF" w:rsidRPr="00F23522" w:rsidRDefault="00B828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2E3CC8A5" w14:textId="77777777" w:rsidR="00B15CEF" w:rsidRPr="00F23522" w:rsidRDefault="00B8282C">
      <w:pPr>
        <w:ind w:left="851" w:right="851"/>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 xml:space="preserve"> “Clave Única de Registro de Población (CURP). </w:t>
      </w:r>
      <w:r w:rsidRPr="00F23522">
        <w:rPr>
          <w:rFonts w:ascii="Palatino Linotype" w:eastAsia="Palatino Linotype" w:hAnsi="Palatino Linotype" w:cs="Palatino Linotype"/>
          <w:i/>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CEA2C58"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EB413F7"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0D6EEF6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3E41CC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113226D7" w14:textId="77777777" w:rsidR="00B15CEF" w:rsidRPr="00F23522" w:rsidRDefault="00B8282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4C08C079"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06CCCEE8"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7A2A51CD" w14:textId="77777777" w:rsidR="00B15CEF" w:rsidRPr="00F23522" w:rsidRDefault="00B8282C">
      <w:pPr>
        <w:spacing w:before="240" w:after="240"/>
        <w:ind w:left="851" w:right="900"/>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w:t>
      </w:r>
      <w:r w:rsidRPr="00F23522">
        <w:rPr>
          <w:rFonts w:ascii="Palatino Linotype" w:eastAsia="Palatino Linotype" w:hAnsi="Palatino Linotype" w:cs="Palatino Linotype"/>
          <w:b/>
          <w:i/>
          <w:sz w:val="21"/>
          <w:szCs w:val="21"/>
        </w:rPr>
        <w:t>Cuentas bancarias y/o CLABE interbancaria de personas físicas y morales privadas.</w:t>
      </w:r>
      <w:r w:rsidRPr="00F23522">
        <w:rPr>
          <w:rFonts w:ascii="Palatino Linotype" w:eastAsia="Palatino Linotype" w:hAnsi="Palatino Linotype" w:cs="Palatino Linotype"/>
          <w:i/>
          <w:sz w:val="21"/>
          <w:szCs w:val="21"/>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F23522">
        <w:rPr>
          <w:rFonts w:ascii="Palatino Linotype" w:eastAsia="Palatino Linotype" w:hAnsi="Palatino Linotype" w:cs="Palatino Linotype"/>
          <w:i/>
          <w:sz w:val="21"/>
          <w:szCs w:val="21"/>
        </w:rPr>
        <w:lastRenderedPageBreak/>
        <w:t>Información Pública y 113 de la Ley Federal de Transparencia y Acceso a la Información Pública.</w:t>
      </w:r>
    </w:p>
    <w:p w14:paraId="4491162A" w14:textId="77777777" w:rsidR="00B15CEF" w:rsidRPr="00F23522" w:rsidRDefault="00B8282C">
      <w:pPr>
        <w:spacing w:before="240" w:after="240"/>
        <w:ind w:left="851" w:right="900"/>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Cuentas bancarias y/o CLABE interbancaria de sujetos obligados que reciben y/o transfieren recursos públicos, son información pública.</w:t>
      </w:r>
      <w:r w:rsidRPr="00F23522">
        <w:rPr>
          <w:rFonts w:ascii="Palatino Linotype" w:eastAsia="Palatino Linotype" w:hAnsi="Palatino Linotype" w:cs="Palatino Linotype"/>
          <w:i/>
          <w:sz w:val="21"/>
          <w:szCs w:val="21"/>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D0C2A4B"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cuanto hace a los </w:t>
      </w:r>
      <w:r w:rsidRPr="00F23522">
        <w:rPr>
          <w:rFonts w:ascii="Palatino Linotype" w:eastAsia="Palatino Linotype" w:hAnsi="Palatino Linotype" w:cs="Palatino Linotype"/>
          <w:b/>
        </w:rPr>
        <w:t>préstamos o descuentos de carácter personal</w:t>
      </w:r>
      <w:r w:rsidRPr="00F2352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26BF3B57"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11544602" w14:textId="77777777" w:rsidR="00B15CEF" w:rsidRPr="00F23522" w:rsidRDefault="00B8282C">
      <w:pPr>
        <w:spacing w:before="240" w:after="240"/>
        <w:ind w:left="851" w:right="900"/>
        <w:jc w:val="both"/>
        <w:rPr>
          <w:rFonts w:ascii="Palatino Linotype" w:eastAsia="Palatino Linotype" w:hAnsi="Palatino Linotype" w:cs="Palatino Linotype"/>
          <w:b/>
          <w:i/>
          <w:sz w:val="21"/>
          <w:szCs w:val="21"/>
        </w:rPr>
      </w:pPr>
      <w:r w:rsidRPr="00F23522">
        <w:rPr>
          <w:rFonts w:ascii="Palatino Linotype" w:eastAsia="Palatino Linotype" w:hAnsi="Palatino Linotype" w:cs="Palatino Linotype"/>
          <w:b/>
          <w:i/>
          <w:sz w:val="21"/>
          <w:szCs w:val="21"/>
        </w:rPr>
        <w:t xml:space="preserve">“ARTÍCULO 84. </w:t>
      </w:r>
      <w:r w:rsidRPr="00F23522">
        <w:rPr>
          <w:rFonts w:ascii="Palatino Linotype" w:eastAsia="Palatino Linotype" w:hAnsi="Palatino Linotype" w:cs="Palatino Linotype"/>
          <w:i/>
          <w:sz w:val="21"/>
          <w:szCs w:val="21"/>
        </w:rPr>
        <w:t>Sólo podrán hacerse retenciones, descuentos o deducciones al sueldo de los servidores públicos por concepto de:</w:t>
      </w:r>
    </w:p>
    <w:p w14:paraId="690E868D"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I. Gravámenes fiscales relacionados con el sueldo;</w:t>
      </w:r>
    </w:p>
    <w:p w14:paraId="6D4CC887"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II. Deudas contraídas con las instituciones públicas o dependencias por concepto de anticipos de sueldo, pagos hechos con exceso, errores o pérdidas debidamente comprobados;</w:t>
      </w:r>
    </w:p>
    <w:p w14:paraId="35B5E62B"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III. Cuotas sindicales;</w:t>
      </w:r>
    </w:p>
    <w:p w14:paraId="1E4BD4AB"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IV. Cuotas de aportación a fondos para la constitución de cooperativas y de cajas de ahorro, siempre que el servidor público hubiese manifestado previamente, de manera expresa, su conformidad;</w:t>
      </w:r>
    </w:p>
    <w:p w14:paraId="5E2A5DD0"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V. Descuentos ordenados por el Instituto de Seguridad Social del Estado de México y Municipios, con motivo de cuotas y obligaciones contraídas con éste por los servidores públicos;</w:t>
      </w:r>
    </w:p>
    <w:p w14:paraId="1A5DEF86"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VI. Obligaciones a cargo del servidor público con las que haya consentido, derivadas de la adquisición o del uso de habitaciones consideradas como de interés social;</w:t>
      </w:r>
    </w:p>
    <w:p w14:paraId="20BA9DEE"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VII. Faltas de puntualidad o de asistencia injustificadas;</w:t>
      </w:r>
    </w:p>
    <w:p w14:paraId="32497A6B" w14:textId="77777777" w:rsidR="00B15CEF" w:rsidRPr="00F23522" w:rsidRDefault="00B8282C">
      <w:pPr>
        <w:ind w:left="993"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VIII. Pensiones alimenticias ordenadas por la autoridad judicial;</w:t>
      </w:r>
      <w:r w:rsidRPr="00F23522">
        <w:rPr>
          <w:rFonts w:ascii="Palatino Linotype" w:eastAsia="Palatino Linotype" w:hAnsi="Palatino Linotype" w:cs="Palatino Linotype"/>
          <w:i/>
          <w:sz w:val="21"/>
          <w:szCs w:val="21"/>
        </w:rPr>
        <w:t xml:space="preserve"> o</w:t>
      </w:r>
    </w:p>
    <w:p w14:paraId="47EA353C" w14:textId="77777777" w:rsidR="00B15CEF" w:rsidRPr="00F23522" w:rsidRDefault="00B8282C">
      <w:pPr>
        <w:ind w:left="993" w:right="902"/>
        <w:jc w:val="both"/>
        <w:rPr>
          <w:rFonts w:ascii="Palatino Linotype" w:eastAsia="Palatino Linotype" w:hAnsi="Palatino Linotype" w:cs="Palatino Linotype"/>
          <w:b/>
          <w:i/>
          <w:sz w:val="21"/>
          <w:szCs w:val="21"/>
        </w:rPr>
      </w:pPr>
      <w:r w:rsidRPr="00F23522">
        <w:rPr>
          <w:rFonts w:ascii="Palatino Linotype" w:eastAsia="Palatino Linotype" w:hAnsi="Palatino Linotype" w:cs="Palatino Linotype"/>
          <w:b/>
          <w:i/>
          <w:sz w:val="21"/>
          <w:szCs w:val="21"/>
        </w:rPr>
        <w:t>IX. Cualquier otro convenido con instituciones de servicios y aceptado por el servidor público.</w:t>
      </w:r>
    </w:p>
    <w:p w14:paraId="7F091AE1" w14:textId="77777777" w:rsidR="00B15CEF" w:rsidRPr="00F23522" w:rsidRDefault="00B8282C">
      <w:pPr>
        <w:spacing w:before="240" w:after="240"/>
        <w:ind w:left="851" w:right="900"/>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i/>
          <w:sz w:val="21"/>
          <w:szCs w:val="21"/>
        </w:rPr>
        <w:t xml:space="preserve">El monto total de las retenciones, descuentos o deducciones no podrá exceder del 30% de la remuneración total, excepto en los casos a que se refieren las fracciones IV, V y </w:t>
      </w:r>
      <w:r w:rsidRPr="00F23522">
        <w:rPr>
          <w:rFonts w:ascii="Palatino Linotype" w:eastAsia="Palatino Linotype" w:hAnsi="Palatino Linotype" w:cs="Palatino Linotype"/>
          <w:i/>
          <w:sz w:val="21"/>
          <w:szCs w:val="21"/>
        </w:rPr>
        <w:lastRenderedPageBreak/>
        <w:t>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B593302"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806A493"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Con relación al </w:t>
      </w:r>
      <w:r w:rsidRPr="00F23522">
        <w:rPr>
          <w:rFonts w:ascii="Palatino Linotype" w:eastAsia="Palatino Linotype" w:hAnsi="Palatino Linotype" w:cs="Palatino Linotype"/>
          <w:b/>
        </w:rPr>
        <w:t>número de empleado</w:t>
      </w:r>
      <w:r w:rsidRPr="00F2352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F23522">
        <w:rPr>
          <w:rFonts w:ascii="Palatino Linotype" w:eastAsia="Palatino Linotype" w:hAnsi="Palatino Linotype" w:cs="Palatino Linotype"/>
          <w:vertAlign w:val="superscript"/>
        </w:rPr>
        <w:footnoteReference w:id="3"/>
      </w:r>
      <w:r w:rsidRPr="00F23522">
        <w:rPr>
          <w:rFonts w:ascii="Palatino Linotype" w:eastAsia="Palatino Linotype" w:hAnsi="Palatino Linotype" w:cs="Palatino Linotype"/>
        </w:rPr>
        <w:t>.</w:t>
      </w:r>
    </w:p>
    <w:p w14:paraId="41E474DE"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74643DD7" w14:textId="77777777" w:rsidR="00B15CEF" w:rsidRPr="00F23522" w:rsidRDefault="00B8282C">
      <w:pPr>
        <w:tabs>
          <w:tab w:val="left" w:pos="7655"/>
        </w:tabs>
        <w:spacing w:before="240" w:after="240"/>
        <w:ind w:left="993" w:right="99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 xml:space="preserve">“Número de empleado. </w:t>
      </w:r>
      <w:r w:rsidRPr="00F23522">
        <w:rPr>
          <w:rFonts w:ascii="Palatino Linotype" w:eastAsia="Palatino Linotype" w:hAnsi="Palatino Linotype" w:cs="Palatino Linotype"/>
          <w:i/>
          <w:sz w:val="21"/>
          <w:szCs w:val="21"/>
        </w:rPr>
        <w:t xml:space="preserve">Cuando el número de empleado o su equivalente, se integra con datos personales de los trabajadores o funciona como una clave de </w:t>
      </w:r>
      <w:r w:rsidRPr="00F23522">
        <w:rPr>
          <w:rFonts w:ascii="Palatino Linotype" w:eastAsia="Palatino Linotype" w:hAnsi="Palatino Linotype" w:cs="Palatino Linotype"/>
          <w:i/>
          <w:sz w:val="21"/>
          <w:szCs w:val="21"/>
        </w:rPr>
        <w:lastRenderedPageBreak/>
        <w:t>acceso que no requiere adicionalmente de una contraseña para ingresar a sistemas o bases de datos personales, procede su clasificación como información confidencial.”</w:t>
      </w:r>
    </w:p>
    <w:p w14:paraId="44A54F1A"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4D864CD"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F23522">
        <w:rPr>
          <w:rFonts w:ascii="Palatino Linotype" w:eastAsia="Palatino Linotype" w:hAnsi="Palatino Linotype" w:cs="Palatino Linotype"/>
          <w:b/>
          <w:u w:val="single"/>
        </w:rPr>
        <w:t xml:space="preserve">sólo por cuanto hace al nombre y cargo, </w:t>
      </w:r>
      <w:r w:rsidRPr="00F23522">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w:t>
      </w:r>
      <w:r w:rsidRPr="00F23522">
        <w:rPr>
          <w:rFonts w:ascii="Palatino Linotype" w:eastAsia="Palatino Linotype" w:hAnsi="Palatino Linotype" w:cs="Palatino Linotype"/>
        </w:rPr>
        <w:lastRenderedPageBreak/>
        <w:t xml:space="preserve">reafirma su compromiso con la rendición de cuentas del Estado y la protección a grupos vulnerables de acuerdo al cargo de seguridad Municipal, por lo que deberá testarse de igual manera sólo el nombre de los servidores públicos de la Policía Municipal </w:t>
      </w:r>
      <w:r w:rsidRPr="00F23522">
        <w:rPr>
          <w:rFonts w:ascii="Palatino Linotype" w:eastAsia="Palatino Linotype" w:hAnsi="Palatino Linotype" w:cs="Palatino Linotype"/>
          <w:b/>
        </w:rPr>
        <w:t>que desempeñen funciones operativas</w:t>
      </w:r>
      <w:r w:rsidRPr="00F23522">
        <w:rPr>
          <w:rFonts w:ascii="Palatino Linotype" w:eastAsia="Palatino Linotype" w:hAnsi="Palatino Linotype" w:cs="Palatino Linotype"/>
        </w:rPr>
        <w:t>.</w:t>
      </w:r>
    </w:p>
    <w:p w14:paraId="4C9FC378"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Al respecto, la información </w:t>
      </w:r>
      <w:r w:rsidRPr="00F23522">
        <w:rPr>
          <w:rFonts w:ascii="Palatino Linotype" w:eastAsia="Palatino Linotype" w:hAnsi="Palatino Linotype" w:cs="Palatino Linotype"/>
          <w:b/>
        </w:rPr>
        <w:t>de los elementos que realizan funciones operativas, entre ellos su nombre y cargo, deben ser protegidos</w:t>
      </w:r>
      <w:r w:rsidRPr="00F23522">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281AB8D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4331A88"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578D8CE0"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C62536D" w14:textId="77777777" w:rsidR="00B15CEF" w:rsidRPr="00F23522" w:rsidRDefault="00B8282C">
      <w:pPr>
        <w:spacing w:before="120" w:after="12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13276593" w14:textId="77777777" w:rsidR="00B15CEF" w:rsidRPr="00F23522" w:rsidRDefault="00B8282C">
      <w:pPr>
        <w:tabs>
          <w:tab w:val="left" w:pos="4962"/>
        </w:tabs>
        <w:spacing w:before="120" w:after="120"/>
        <w:ind w:left="851" w:right="902"/>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“Nombres de servidores públicos dedicados a actividades en materia de seguridad, por excepción pueden considerarse información reservada.</w:t>
      </w:r>
      <w:r w:rsidRPr="00F23522">
        <w:rPr>
          <w:rFonts w:ascii="Palatino Linotype" w:eastAsia="Palatino Linotype" w:hAnsi="Palatino Linotype" w:cs="Palatino Linotype"/>
          <w:i/>
          <w:sz w:val="21"/>
          <w:szCs w:val="21"/>
        </w:rPr>
        <w:t xml:space="preserve"> De conformidad con el artículo 7, fracciones I y III de la Ley Federal de Transparencia y Acceso a la Información Pública Gubernamental el nombre de los servidores públicos </w:t>
      </w:r>
      <w:r w:rsidRPr="00F23522">
        <w:rPr>
          <w:rFonts w:ascii="Palatino Linotype" w:eastAsia="Palatino Linotype" w:hAnsi="Palatino Linotype" w:cs="Palatino Linotype"/>
          <w:i/>
          <w:sz w:val="21"/>
          <w:szCs w:val="21"/>
        </w:rPr>
        <w:lastRenderedPageBreak/>
        <w:t>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9707E4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F23522">
        <w:rPr>
          <w:rFonts w:ascii="Palatino Linotype" w:eastAsia="Palatino Linotype" w:hAnsi="Palatino Linotype" w:cs="Palatino Linotype"/>
          <w:b/>
        </w:rPr>
        <w:t>funciones de carácter operativo.</w:t>
      </w:r>
    </w:p>
    <w:p w14:paraId="1BAA8899" w14:textId="77777777" w:rsidR="00B15CEF" w:rsidRPr="00F23522" w:rsidRDefault="00B8282C">
      <w:pPr>
        <w:spacing w:before="240" w:after="36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8471EA2" w14:textId="77777777" w:rsidR="00B15CEF" w:rsidRPr="00F23522" w:rsidRDefault="00B8282C">
      <w:pPr>
        <w:spacing w:before="120" w:after="120"/>
        <w:ind w:left="851" w:right="760"/>
        <w:jc w:val="both"/>
        <w:rPr>
          <w:rFonts w:ascii="Palatino Linotype" w:eastAsia="Palatino Linotype" w:hAnsi="Palatino Linotype" w:cs="Palatino Linotype"/>
          <w:b/>
          <w:i/>
          <w:sz w:val="21"/>
          <w:szCs w:val="21"/>
        </w:rPr>
      </w:pPr>
      <w:r w:rsidRPr="00F23522">
        <w:rPr>
          <w:rFonts w:ascii="Palatino Linotype" w:eastAsia="Palatino Linotype" w:hAnsi="Palatino Linotype" w:cs="Palatino Linotype"/>
          <w:b/>
          <w:i/>
          <w:sz w:val="21"/>
          <w:szCs w:val="21"/>
        </w:rPr>
        <w:t xml:space="preserve">“DERECHO A LA INFORMACIÓN. SU EJERCICIO SE ENCUENTRA LIMITADO TANTO POR LOS INTERESES NACIONALES Y DE LA SOCIEDAD, COMO POR LOS DERECHOS DE TERCEROS. </w:t>
      </w:r>
      <w:r w:rsidRPr="00F23522">
        <w:rPr>
          <w:rFonts w:ascii="Palatino Linotype" w:eastAsia="Palatino Linotype" w:hAnsi="Palatino Linotype" w:cs="Palatino Linotype"/>
          <w:i/>
          <w:sz w:val="21"/>
          <w:szCs w:val="21"/>
        </w:rPr>
        <w:t xml:space="preserve">El derecho a la información consagrado en la última parte del artículo 6o. de la Constitución Federal no es absoluto, sino que, como toda garantía, se halla sujeto a limitaciones o excepciones </w:t>
      </w:r>
      <w:r w:rsidRPr="00F23522">
        <w:rPr>
          <w:rFonts w:ascii="Palatino Linotype" w:eastAsia="Palatino Linotype" w:hAnsi="Palatino Linotype" w:cs="Palatino Linotype"/>
          <w:i/>
          <w:sz w:val="21"/>
          <w:szCs w:val="21"/>
        </w:rPr>
        <w:lastRenderedPageBreak/>
        <w:t xml:space="preserve">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23522">
        <w:rPr>
          <w:rFonts w:ascii="Palatino Linotype" w:eastAsia="Palatino Linotype" w:hAnsi="Palatino Linotype" w:cs="Palatino Linotype"/>
          <w:b/>
          <w:i/>
          <w:sz w:val="21"/>
          <w:szCs w:val="21"/>
        </w:rPr>
        <w:t>restringen el acceso a la información en esta materia, en razón de que su conocimiento público puede generar daños a los intereses nacionales y, por el otro, sancionan la inobservancia de esa reserva;</w:t>
      </w:r>
      <w:r w:rsidRPr="00F23522">
        <w:rPr>
          <w:rFonts w:ascii="Palatino Linotype" w:eastAsia="Palatino Linotype" w:hAnsi="Palatino Linotype" w:cs="Palatino Linotype"/>
          <w:i/>
          <w:sz w:val="21"/>
          <w:szCs w:val="21"/>
        </w:rPr>
        <w:t xml:space="preserve"> por lo que hace al interés social, se cuenta con normas que tienden a proteger la averiguación de los delitos, la salud y la moral públicas, </w:t>
      </w:r>
      <w:r w:rsidRPr="00F23522">
        <w:rPr>
          <w:rFonts w:ascii="Palatino Linotype" w:eastAsia="Palatino Linotype" w:hAnsi="Palatino Linotype" w:cs="Palatino Linotype"/>
          <w:b/>
          <w:i/>
          <w:sz w:val="21"/>
          <w:szCs w:val="21"/>
        </w:rPr>
        <w:t>mientras que por lo que respecta a la protección de la persona existen normas que protegen el derecho a la vida o a la privacidad de los gobernados.</w:t>
      </w:r>
      <w:r w:rsidRPr="00F23522">
        <w:rPr>
          <w:rFonts w:ascii="Palatino Linotype" w:eastAsia="Palatino Linotype" w:hAnsi="Palatino Linotype" w:cs="Palatino Linotype"/>
          <w:i/>
          <w:sz w:val="21"/>
          <w:szCs w:val="21"/>
        </w:rPr>
        <w:t>”</w:t>
      </w:r>
    </w:p>
    <w:p w14:paraId="5B6F30E0" w14:textId="77777777" w:rsidR="00B15CEF" w:rsidRPr="00F23522" w:rsidRDefault="00B8282C">
      <w:pPr>
        <w:spacing w:before="120" w:after="120"/>
        <w:ind w:left="851" w:right="760"/>
        <w:jc w:val="both"/>
        <w:rPr>
          <w:rFonts w:ascii="Palatino Linotype" w:eastAsia="Palatino Linotype" w:hAnsi="Palatino Linotype" w:cs="Palatino Linotype"/>
          <w:i/>
          <w:sz w:val="21"/>
          <w:szCs w:val="21"/>
        </w:rPr>
      </w:pPr>
      <w:r w:rsidRPr="00F23522">
        <w:rPr>
          <w:rFonts w:ascii="Palatino Linotype" w:eastAsia="Palatino Linotype" w:hAnsi="Palatino Linotype" w:cs="Palatino Linotype"/>
          <w:b/>
          <w:i/>
          <w:sz w:val="21"/>
          <w:szCs w:val="21"/>
        </w:rPr>
        <w:t>“TRANSPARENCIA Y ACCESO A LA INFORMACIÓN PÚBLICA GUBERNAMENTAL. EL ARTÍCULO 14, FRACCIÓN I, DE LA LEY FEDERAL RELATIVA, NO VIOLA LA GARANTÍA DE ACCESO A LA INFORMACIÓN.</w:t>
      </w:r>
      <w:r w:rsidRPr="00F23522">
        <w:rPr>
          <w:rFonts w:ascii="Palatino Linotype" w:eastAsia="Palatino Linotype" w:hAnsi="Palatino Linotype" w:cs="Palatino Linotype"/>
          <w:i/>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23522">
        <w:rPr>
          <w:rFonts w:ascii="Palatino Linotype" w:eastAsia="Palatino Linotype" w:hAnsi="Palatino Linotype" w:cs="Palatino Linotype"/>
          <w:b/>
          <w:i/>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F23522">
        <w:rPr>
          <w:rFonts w:ascii="Palatino Linotype" w:eastAsia="Palatino Linotype" w:hAnsi="Palatino Linotype" w:cs="Palatino Linotype"/>
          <w:i/>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3B2DD50" w14:textId="77777777" w:rsidR="00B15CEF" w:rsidRPr="00F23522" w:rsidRDefault="00B8282C">
      <w:pPr>
        <w:widowControl w:val="0"/>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F23522">
        <w:rPr>
          <w:rFonts w:ascii="Palatino Linotype" w:eastAsia="Palatino Linotype" w:hAnsi="Palatino Linotype" w:cs="Palatino Linotype"/>
          <w:b/>
          <w:u w:val="single"/>
        </w:rPr>
        <w:t>razones, motivos o circunstancias especiales</w:t>
      </w:r>
      <w:r w:rsidRPr="00F23522">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0FE11B09"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9D6DAFF"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lastRenderedPageBreak/>
        <w:t>“Artículo 49.</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Los Comités de Transparencia</w:t>
      </w:r>
      <w:r w:rsidRPr="00F23522">
        <w:rPr>
          <w:rFonts w:ascii="Palatino Linotype" w:eastAsia="Palatino Linotype" w:hAnsi="Palatino Linotype" w:cs="Palatino Linotype"/>
          <w:i/>
          <w:sz w:val="22"/>
          <w:szCs w:val="22"/>
        </w:rPr>
        <w:t xml:space="preserve"> tendrán las siguientes atribuciones:</w:t>
      </w:r>
    </w:p>
    <w:p w14:paraId="529C415A" w14:textId="77777777" w:rsidR="00B15CEF" w:rsidRPr="00F23522" w:rsidRDefault="00B8282C">
      <w:pPr>
        <w:spacing w:before="120" w:after="120"/>
        <w:ind w:left="993"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VIII. Aprobar, modificar o revocar la clasificación de la información</w:t>
      </w:r>
      <w:r w:rsidRPr="00F23522">
        <w:rPr>
          <w:rFonts w:ascii="Palatino Linotype" w:eastAsia="Palatino Linotype" w:hAnsi="Palatino Linotype" w:cs="Palatino Linotype"/>
          <w:i/>
          <w:sz w:val="22"/>
          <w:szCs w:val="22"/>
        </w:rPr>
        <w:t>…”</w:t>
      </w:r>
    </w:p>
    <w:p w14:paraId="4F83F5EE"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53.</w:t>
      </w:r>
      <w:r w:rsidRPr="00F23522">
        <w:rPr>
          <w:rFonts w:ascii="Palatino Linotype" w:eastAsia="Palatino Linotype" w:hAnsi="Palatino Linotype" w:cs="Palatino Linotype"/>
          <w:i/>
          <w:sz w:val="22"/>
          <w:szCs w:val="22"/>
        </w:rPr>
        <w:t xml:space="preserve"> Las </w:t>
      </w:r>
      <w:r w:rsidRPr="00F23522">
        <w:rPr>
          <w:rFonts w:ascii="Palatino Linotype" w:eastAsia="Palatino Linotype" w:hAnsi="Palatino Linotype" w:cs="Palatino Linotype"/>
          <w:b/>
          <w:i/>
          <w:sz w:val="22"/>
          <w:szCs w:val="22"/>
        </w:rPr>
        <w:t>Unidades de Transparencia</w:t>
      </w:r>
      <w:r w:rsidRPr="00F23522">
        <w:rPr>
          <w:rFonts w:ascii="Palatino Linotype" w:eastAsia="Palatino Linotype" w:hAnsi="Palatino Linotype" w:cs="Palatino Linotype"/>
          <w:i/>
          <w:sz w:val="22"/>
          <w:szCs w:val="22"/>
        </w:rPr>
        <w:t xml:space="preserve"> tendrán las siguientes </w:t>
      </w:r>
      <w:r w:rsidRPr="00F23522">
        <w:rPr>
          <w:rFonts w:ascii="Palatino Linotype" w:eastAsia="Palatino Linotype" w:hAnsi="Palatino Linotype" w:cs="Palatino Linotype"/>
          <w:b/>
          <w:i/>
          <w:sz w:val="22"/>
          <w:szCs w:val="22"/>
        </w:rPr>
        <w:t>funciones</w:t>
      </w:r>
      <w:r w:rsidRPr="00F23522">
        <w:rPr>
          <w:rFonts w:ascii="Palatino Linotype" w:eastAsia="Palatino Linotype" w:hAnsi="Palatino Linotype" w:cs="Palatino Linotype"/>
          <w:i/>
          <w:sz w:val="22"/>
          <w:szCs w:val="22"/>
        </w:rPr>
        <w:t>:</w:t>
      </w:r>
    </w:p>
    <w:p w14:paraId="147E9C4E" w14:textId="77777777" w:rsidR="00B15CEF" w:rsidRPr="00F23522" w:rsidRDefault="00B8282C">
      <w:pPr>
        <w:spacing w:before="120" w:after="120"/>
        <w:ind w:left="993"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X. Presentar ante el Comité, el proyecto de clasificación de información</w:t>
      </w:r>
      <w:r w:rsidRPr="00F23522">
        <w:rPr>
          <w:rFonts w:ascii="Palatino Linotype" w:eastAsia="Palatino Linotype" w:hAnsi="Palatino Linotype" w:cs="Palatino Linotype"/>
          <w:i/>
          <w:sz w:val="22"/>
          <w:szCs w:val="22"/>
        </w:rPr>
        <w:t xml:space="preserve">…” </w:t>
      </w:r>
    </w:p>
    <w:p w14:paraId="583F24F1"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“Artículo 59.</w:t>
      </w:r>
      <w:r w:rsidRPr="00F23522">
        <w:rPr>
          <w:rFonts w:ascii="Palatino Linotype" w:eastAsia="Palatino Linotype" w:hAnsi="Palatino Linotype" w:cs="Palatino Linotype"/>
          <w:i/>
          <w:sz w:val="22"/>
          <w:szCs w:val="22"/>
        </w:rPr>
        <w:t xml:space="preserve"> Los </w:t>
      </w:r>
      <w:r w:rsidRPr="00F23522">
        <w:rPr>
          <w:rFonts w:ascii="Palatino Linotype" w:eastAsia="Palatino Linotype" w:hAnsi="Palatino Linotype" w:cs="Palatino Linotype"/>
          <w:b/>
          <w:i/>
          <w:sz w:val="22"/>
          <w:szCs w:val="22"/>
        </w:rPr>
        <w:t>servidores públicos habilitados</w:t>
      </w:r>
      <w:r w:rsidRPr="00F23522">
        <w:rPr>
          <w:rFonts w:ascii="Palatino Linotype" w:eastAsia="Palatino Linotype" w:hAnsi="Palatino Linotype" w:cs="Palatino Linotype"/>
          <w:i/>
          <w:sz w:val="22"/>
          <w:szCs w:val="22"/>
        </w:rPr>
        <w:t xml:space="preserve"> tendrán las </w:t>
      </w:r>
      <w:r w:rsidRPr="00F23522">
        <w:rPr>
          <w:rFonts w:ascii="Palatino Linotype" w:eastAsia="Palatino Linotype" w:hAnsi="Palatino Linotype" w:cs="Palatino Linotype"/>
          <w:b/>
          <w:i/>
          <w:sz w:val="22"/>
          <w:szCs w:val="22"/>
        </w:rPr>
        <w:t>funciones</w:t>
      </w:r>
      <w:r w:rsidRPr="00F23522">
        <w:rPr>
          <w:rFonts w:ascii="Palatino Linotype" w:eastAsia="Palatino Linotype" w:hAnsi="Palatino Linotype" w:cs="Palatino Linotype"/>
          <w:i/>
          <w:sz w:val="22"/>
          <w:szCs w:val="22"/>
        </w:rPr>
        <w:t xml:space="preserve"> siguientes:</w:t>
      </w:r>
    </w:p>
    <w:p w14:paraId="09790BC5"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23522">
        <w:rPr>
          <w:rFonts w:ascii="Palatino Linotype" w:eastAsia="Palatino Linotype" w:hAnsi="Palatino Linotype" w:cs="Palatino Linotype"/>
          <w:i/>
          <w:sz w:val="22"/>
          <w:szCs w:val="22"/>
        </w:rPr>
        <w:t>, la cual tendrá los fundamentos y argumentos en que se basa dicha propuesta…”</w:t>
      </w:r>
    </w:p>
    <w:p w14:paraId="03C52C5B"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E4363D8"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A5A2591" w14:textId="77777777" w:rsidR="00B15CEF" w:rsidRPr="00F23522" w:rsidRDefault="00B8282C">
      <w:pPr>
        <w:spacing w:after="24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149.</w:t>
      </w:r>
      <w:r w:rsidRPr="00F23522">
        <w:rPr>
          <w:rFonts w:ascii="Palatino Linotype" w:eastAsia="Palatino Linotype" w:hAnsi="Palatino Linotype" w:cs="Palatino Linotype"/>
          <w:i/>
          <w:sz w:val="22"/>
          <w:szCs w:val="22"/>
        </w:rPr>
        <w:t xml:space="preserve"> El </w:t>
      </w:r>
      <w:r w:rsidRPr="00F23522">
        <w:rPr>
          <w:rFonts w:ascii="Palatino Linotype" w:eastAsia="Palatino Linotype" w:hAnsi="Palatino Linotype" w:cs="Palatino Linotype"/>
          <w:b/>
          <w:i/>
          <w:sz w:val="22"/>
          <w:szCs w:val="22"/>
        </w:rPr>
        <w:t>acuerdo que clasifique la información como confidencial</w:t>
      </w:r>
      <w:r w:rsidRPr="00F2352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F600C2F" w14:textId="77777777" w:rsidR="00B15CEF" w:rsidRPr="00F23522" w:rsidRDefault="00B8282C">
      <w:pPr>
        <w:spacing w:before="240" w:after="240" w:line="360" w:lineRule="auto"/>
        <w:ind w:right="51"/>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 xml:space="preserve">Es decir,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2C03F1E" w14:textId="77777777" w:rsidR="00B15CEF" w:rsidRPr="00F23522" w:rsidRDefault="00B8282C">
      <w:pPr>
        <w:spacing w:before="240" w:after="240" w:line="360" w:lineRule="auto"/>
        <w:ind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744225C8"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i/>
          <w:sz w:val="22"/>
          <w:szCs w:val="22"/>
        </w:rPr>
        <w:t>“</w:t>
      </w:r>
      <w:r w:rsidRPr="00F23522">
        <w:rPr>
          <w:rFonts w:ascii="Palatino Linotype" w:eastAsia="Palatino Linotype" w:hAnsi="Palatino Linotype" w:cs="Palatino Linotype"/>
          <w:b/>
          <w:i/>
          <w:sz w:val="22"/>
          <w:szCs w:val="22"/>
        </w:rPr>
        <w:t>Artículo 132.</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La clasificación de la información se llevará a cabo en el momento en que:</w:t>
      </w:r>
    </w:p>
    <w:p w14:paraId="28B0593A"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w:t>
      </w:r>
    </w:p>
    <w:p w14:paraId="105BCB62"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Se determine mediante resolución de autoridad competente; o</w:t>
      </w:r>
    </w:p>
    <w:p w14:paraId="2C9622C1"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Se generen versiones públicas para dar cumplimiento a las obligaciones de transparencia previstas en esta Ley</w:t>
      </w:r>
      <w:r w:rsidRPr="00F23522">
        <w:rPr>
          <w:rFonts w:ascii="Palatino Linotype" w:eastAsia="Palatino Linotype" w:hAnsi="Palatino Linotype" w:cs="Palatino Linotype"/>
          <w:i/>
          <w:sz w:val="22"/>
          <w:szCs w:val="22"/>
        </w:rPr>
        <w:t>.”</w:t>
      </w:r>
    </w:p>
    <w:p w14:paraId="16C009C7"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lastRenderedPageBreak/>
        <w:t>“</w:t>
      </w:r>
      <w:r w:rsidRPr="00F23522">
        <w:rPr>
          <w:rFonts w:ascii="Palatino Linotype" w:eastAsia="Palatino Linotype" w:hAnsi="Palatino Linotype" w:cs="Palatino Linotype"/>
          <w:b/>
          <w:i/>
          <w:sz w:val="22"/>
          <w:szCs w:val="22"/>
        </w:rPr>
        <w:t>Segundo.-</w:t>
      </w:r>
      <w:r w:rsidRPr="00F23522">
        <w:rPr>
          <w:rFonts w:ascii="Palatino Linotype" w:eastAsia="Palatino Linotype" w:hAnsi="Palatino Linotype" w:cs="Palatino Linotype"/>
          <w:i/>
          <w:sz w:val="22"/>
          <w:szCs w:val="22"/>
        </w:rPr>
        <w:t xml:space="preserve"> Para efectos de los presentes Lineamientos Generales, se entenderá por:</w:t>
      </w:r>
    </w:p>
    <w:p w14:paraId="6043CB97"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XVIII.</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Versión pública:</w:t>
      </w:r>
      <w:r w:rsidRPr="00F2352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23522">
        <w:rPr>
          <w:rFonts w:ascii="Palatino Linotype" w:eastAsia="Palatino Linotype" w:hAnsi="Palatino Linotype" w:cs="Palatino Linotype"/>
          <w:b/>
          <w:i/>
          <w:sz w:val="22"/>
          <w:szCs w:val="22"/>
        </w:rPr>
        <w:t>fundando y motivando la</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reserva o confidencialidad</w:t>
      </w:r>
      <w:r w:rsidRPr="00F23522">
        <w:rPr>
          <w:rFonts w:ascii="Palatino Linotype" w:eastAsia="Palatino Linotype" w:hAnsi="Palatino Linotype" w:cs="Palatino Linotype"/>
          <w:i/>
          <w:sz w:val="22"/>
          <w:szCs w:val="22"/>
        </w:rPr>
        <w:t>, a través de la resolución que para tal efecto emita el Comité de Transparencia.</w:t>
      </w:r>
    </w:p>
    <w:p w14:paraId="23E657D1"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b/>
          <w:i/>
          <w:sz w:val="22"/>
          <w:szCs w:val="22"/>
        </w:rPr>
      </w:pPr>
      <w:r w:rsidRPr="00F23522">
        <w:rPr>
          <w:rFonts w:ascii="Palatino Linotype" w:eastAsia="Palatino Linotype" w:hAnsi="Palatino Linotype" w:cs="Palatino Linotype"/>
          <w:b/>
          <w:i/>
          <w:sz w:val="22"/>
          <w:szCs w:val="22"/>
        </w:rPr>
        <w:t>...</w:t>
      </w:r>
    </w:p>
    <w:p w14:paraId="56C3BF59"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Cuarto.</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Para clasificar la información como</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reservada o</w:t>
      </w:r>
      <w:r w:rsidRPr="00F23522">
        <w:rPr>
          <w:rFonts w:ascii="Palatino Linotype" w:eastAsia="Palatino Linotype" w:hAnsi="Palatino Linotype" w:cs="Palatino Linotype"/>
          <w:i/>
          <w:sz w:val="22"/>
          <w:szCs w:val="22"/>
        </w:rPr>
        <w:t xml:space="preserve"> </w:t>
      </w:r>
      <w:r w:rsidRPr="00F2352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F2352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908BAE"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A4B5D96"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Quinto.</w:t>
      </w:r>
      <w:r w:rsidRPr="00F2352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52395B"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Sexto.</w:t>
      </w:r>
      <w:r w:rsidRPr="00F23522">
        <w:rPr>
          <w:rFonts w:ascii="Palatino Linotype" w:eastAsia="Palatino Linotype" w:hAnsi="Palatino Linotype" w:cs="Palatino Linotype"/>
          <w:i/>
          <w:sz w:val="22"/>
          <w:szCs w:val="22"/>
        </w:rPr>
        <w:t xml:space="preserve"> Se deroga.</w:t>
      </w:r>
    </w:p>
    <w:p w14:paraId="456F2742"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Séptimo.</w:t>
      </w:r>
      <w:r w:rsidRPr="00F23522">
        <w:rPr>
          <w:rFonts w:ascii="Palatino Linotype" w:eastAsia="Palatino Linotype" w:hAnsi="Palatino Linotype" w:cs="Palatino Linotype"/>
          <w:i/>
          <w:sz w:val="22"/>
          <w:szCs w:val="22"/>
        </w:rPr>
        <w:t xml:space="preserve"> La clasificación de la información se llevará a cabo en el momento en que:</w:t>
      </w:r>
    </w:p>
    <w:p w14:paraId="5441E897"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w:t>
      </w:r>
      <w:r w:rsidRPr="00F23522">
        <w:rPr>
          <w:rFonts w:ascii="Palatino Linotype" w:eastAsia="Palatino Linotype" w:hAnsi="Palatino Linotype" w:cs="Palatino Linotype"/>
          <w:i/>
          <w:sz w:val="22"/>
          <w:szCs w:val="22"/>
        </w:rPr>
        <w:t xml:space="preserve"> Se reciba una solicitud de acceso a la información;</w:t>
      </w:r>
    </w:p>
    <w:p w14:paraId="7F84CBFB"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2492684D" w14:textId="77777777" w:rsidR="00B15CEF" w:rsidRPr="00F23522" w:rsidRDefault="00B8282C">
      <w:pPr>
        <w:tabs>
          <w:tab w:val="left" w:pos="8222"/>
        </w:tabs>
        <w:spacing w:before="120" w:after="120"/>
        <w:ind w:left="1134"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FB81F3A"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para verificar</w:t>
      </w:r>
      <w:r w:rsidRPr="00F23522">
        <w:rPr>
          <w:sz w:val="22"/>
          <w:szCs w:val="22"/>
        </w:rPr>
        <w:t xml:space="preserve">, </w:t>
      </w:r>
      <w:r w:rsidRPr="00F23522">
        <w:rPr>
          <w:rFonts w:ascii="Palatino Linotype" w:eastAsia="Palatino Linotype" w:hAnsi="Palatino Linotype" w:cs="Palatino Linotype"/>
          <w:i/>
          <w:sz w:val="22"/>
          <w:szCs w:val="22"/>
        </w:rPr>
        <w:t>conforme a su naturaleza, si encuadra en una causal de reserva o de confidencialidad.</w:t>
      </w:r>
    </w:p>
    <w:p w14:paraId="7592B1F5"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Octavo.</w:t>
      </w:r>
      <w:r w:rsidRPr="00F2352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7C2058F"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95BF4AD"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27C64D64"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Noveno.</w:t>
      </w:r>
      <w:r w:rsidRPr="00F2352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D93C62C"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Décimo.</w:t>
      </w:r>
      <w:r w:rsidRPr="00F2352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F23522">
        <w:rPr>
          <w:rFonts w:ascii="Palatino Linotype" w:eastAsia="Palatino Linotype" w:hAnsi="Palatino Linotype" w:cs="Palatino Linotype"/>
          <w:i/>
          <w:sz w:val="22"/>
          <w:szCs w:val="22"/>
        </w:rPr>
        <w:t>wn</w:t>
      </w:r>
      <w:proofErr w:type="spellEnd"/>
      <w:r w:rsidRPr="00F23522">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292685D0"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5E851E8" w14:textId="77777777" w:rsidR="00B15CEF" w:rsidRPr="00F23522" w:rsidRDefault="00B8282C">
      <w:pPr>
        <w:tabs>
          <w:tab w:val="left" w:pos="8222"/>
        </w:tabs>
        <w:spacing w:before="120" w:after="120"/>
        <w:ind w:left="851" w:right="1134"/>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Décimo primero.</w:t>
      </w:r>
      <w:r w:rsidRPr="00F2352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C9B06D9"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lastRenderedPageBreak/>
        <w:t>Asimismo, deberá observar el Lineamiento Quincuagésimo segundo de los Lineamientos Generales en Materia de Clasificación y Desclasificación de la Información, así como para la Elaboración de Versiones Públicas, a saber:</w:t>
      </w:r>
    </w:p>
    <w:p w14:paraId="62629D4E"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“Quincuagésimo segundo</w:t>
      </w:r>
      <w:r w:rsidRPr="00F2352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F23522">
        <w:rPr>
          <w:rFonts w:ascii="Palatino Linotype" w:eastAsia="Palatino Linotype" w:hAnsi="Palatino Linotype" w:cs="Palatino Linotype"/>
          <w:i/>
          <w:sz w:val="22"/>
          <w:szCs w:val="22"/>
        </w:rPr>
        <w:t>sobreposición</w:t>
      </w:r>
      <w:proofErr w:type="spellEnd"/>
      <w:r w:rsidRPr="00F23522">
        <w:rPr>
          <w:rFonts w:ascii="Palatino Linotype" w:eastAsia="Palatino Linotype" w:hAnsi="Palatino Linotype" w:cs="Palatino Linotype"/>
          <w:i/>
          <w:sz w:val="22"/>
          <w:szCs w:val="22"/>
        </w:rPr>
        <w:t xml:space="preserve"> de contenido distinto al autorizado por el Comité.</w:t>
      </w:r>
    </w:p>
    <w:p w14:paraId="7C399784"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 xml:space="preserve">En el caso </w:t>
      </w:r>
      <w:proofErr w:type="spellStart"/>
      <w:r w:rsidRPr="00F23522">
        <w:rPr>
          <w:rFonts w:ascii="Palatino Linotype" w:eastAsia="Palatino Linotype" w:hAnsi="Palatino Linotype" w:cs="Palatino Linotype"/>
          <w:i/>
          <w:sz w:val="22"/>
          <w:szCs w:val="22"/>
        </w:rPr>
        <w:t>especifico</w:t>
      </w:r>
      <w:proofErr w:type="spellEnd"/>
      <w:r w:rsidRPr="00F23522">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4876AF85" w14:textId="77777777" w:rsidR="00B15CEF" w:rsidRPr="00F23522" w:rsidRDefault="00B8282C">
      <w:pPr>
        <w:spacing w:before="120" w:after="120"/>
        <w:ind w:left="1134"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w:t>
      </w:r>
      <w:r w:rsidRPr="00F2352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C3851DE" w14:textId="77777777" w:rsidR="00B15CEF" w:rsidRPr="00F23522" w:rsidRDefault="00B8282C">
      <w:pPr>
        <w:spacing w:before="120" w:after="120"/>
        <w:ind w:left="1134"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w:t>
      </w:r>
      <w:r w:rsidRPr="00F2352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7A96F3D" w14:textId="77777777" w:rsidR="00B15CEF" w:rsidRPr="00F23522" w:rsidRDefault="00B8282C">
      <w:pPr>
        <w:spacing w:before="120" w:after="120"/>
        <w:ind w:left="1134"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b/>
          <w:i/>
          <w:sz w:val="22"/>
          <w:szCs w:val="22"/>
        </w:rPr>
        <w:t>III.</w:t>
      </w:r>
      <w:r w:rsidRPr="00F23522">
        <w:rPr>
          <w:rFonts w:ascii="Palatino Linotype" w:eastAsia="Palatino Linotype" w:hAnsi="Palatino Linotype" w:cs="Palatino Linotype"/>
          <w:i/>
          <w:sz w:val="22"/>
          <w:szCs w:val="22"/>
        </w:rPr>
        <w:t xml:space="preserve"> Señalar las personas o instancias autorizadas a acceder a la información clasificada.</w:t>
      </w:r>
    </w:p>
    <w:p w14:paraId="6A1D5CD6" w14:textId="77777777" w:rsidR="00B15CEF" w:rsidRPr="00F23522" w:rsidRDefault="00B8282C">
      <w:pPr>
        <w:spacing w:before="120" w:after="120"/>
        <w:ind w:left="851" w:right="900"/>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37F6A3E" w14:textId="77777777" w:rsidR="00B15CEF" w:rsidRPr="00F23522" w:rsidRDefault="00B8282C">
      <w:pPr>
        <w:spacing w:before="240" w:after="240" w:line="360" w:lineRule="auto"/>
        <w:ind w:right="50"/>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F23522">
        <w:rPr>
          <w:rFonts w:ascii="Palatino Linotype" w:eastAsia="Palatino Linotype" w:hAnsi="Palatino Linotype" w:cs="Palatino Linotype"/>
        </w:rPr>
        <w:t>supraindicados</w:t>
      </w:r>
      <w:proofErr w:type="spellEnd"/>
      <w:r w:rsidRPr="00F23522">
        <w:rPr>
          <w:rFonts w:ascii="Palatino Linotype" w:eastAsia="Palatino Linotype" w:hAnsi="Palatino Linotype" w:cs="Palatino Linotype"/>
        </w:rPr>
        <w:t xml:space="preserve">, que establece los formatos para la clasificación de los documentos, conforme a lo siguiente: </w:t>
      </w:r>
    </w:p>
    <w:p w14:paraId="4A1B8099" w14:textId="77777777" w:rsidR="00B15CEF" w:rsidRPr="00F23522" w:rsidRDefault="00B8282C">
      <w:pPr>
        <w:ind w:left="851" w:right="900"/>
        <w:jc w:val="center"/>
        <w:rPr>
          <w:rFonts w:ascii="Palatino Linotype" w:eastAsia="Palatino Linotype" w:hAnsi="Palatino Linotype" w:cs="Palatino Linotype"/>
          <w:b/>
          <w:i/>
        </w:rPr>
      </w:pPr>
      <w:r w:rsidRPr="00F23522">
        <w:rPr>
          <w:rFonts w:ascii="Palatino Linotype" w:eastAsia="Palatino Linotype" w:hAnsi="Palatino Linotype" w:cs="Palatino Linotype"/>
          <w:b/>
          <w:i/>
        </w:rPr>
        <w:t>CAPÍTULO VIII</w:t>
      </w:r>
    </w:p>
    <w:p w14:paraId="1C2150A4" w14:textId="77777777" w:rsidR="00B15CEF" w:rsidRPr="00F23522" w:rsidRDefault="00B8282C">
      <w:pPr>
        <w:ind w:left="851" w:right="900"/>
        <w:jc w:val="center"/>
        <w:rPr>
          <w:rFonts w:ascii="Palatino Linotype" w:eastAsia="Palatino Linotype" w:hAnsi="Palatino Linotype" w:cs="Palatino Linotype"/>
          <w:b/>
          <w:i/>
        </w:rPr>
      </w:pPr>
      <w:r w:rsidRPr="00F23522">
        <w:rPr>
          <w:rFonts w:ascii="Palatino Linotype" w:eastAsia="Palatino Linotype" w:hAnsi="Palatino Linotype" w:cs="Palatino Linotype"/>
          <w:b/>
          <w:i/>
        </w:rPr>
        <w:t xml:space="preserve">DE LOS ELEMENTOS PARA LA CLASIFICACIÓN </w:t>
      </w:r>
    </w:p>
    <w:p w14:paraId="451F5C00" w14:textId="77777777" w:rsidR="00B15CEF" w:rsidRPr="00F23522" w:rsidRDefault="00B8282C">
      <w:pPr>
        <w:ind w:left="851" w:right="900"/>
        <w:rPr>
          <w:rFonts w:ascii="Palatino Linotype" w:eastAsia="Palatino Linotype" w:hAnsi="Palatino Linotype" w:cs="Palatino Linotype"/>
          <w:i/>
        </w:rPr>
      </w:pPr>
      <w:r w:rsidRPr="00F23522">
        <w:rPr>
          <w:rFonts w:ascii="Palatino Linotype" w:eastAsia="Palatino Linotype" w:hAnsi="Palatino Linotype" w:cs="Palatino Linotype"/>
          <w:i/>
        </w:rPr>
        <w:t>…</w:t>
      </w:r>
    </w:p>
    <w:p w14:paraId="5F193D38" w14:textId="77777777" w:rsidR="00B15CEF" w:rsidRPr="00F23522" w:rsidRDefault="00B8282C">
      <w:pPr>
        <w:spacing w:before="120" w:after="120"/>
        <w:ind w:left="851" w:right="902"/>
        <w:jc w:val="both"/>
        <w:rPr>
          <w:rFonts w:ascii="Palatino Linotype" w:eastAsia="Palatino Linotype" w:hAnsi="Palatino Linotype" w:cs="Palatino Linotype"/>
          <w:i/>
        </w:rPr>
      </w:pPr>
      <w:r w:rsidRPr="00F23522">
        <w:rPr>
          <w:rFonts w:ascii="Palatino Linotype" w:eastAsia="Palatino Linotype" w:hAnsi="Palatino Linotype" w:cs="Palatino Linotype"/>
          <w:b/>
          <w:i/>
        </w:rPr>
        <w:lastRenderedPageBreak/>
        <w:t xml:space="preserve">Quincuagésimo tercero. </w:t>
      </w:r>
      <w:r w:rsidRPr="00F23522">
        <w:rPr>
          <w:rFonts w:ascii="Palatino Linotype" w:eastAsia="Palatino Linotype" w:hAnsi="Palatino Linotype" w:cs="Palatino Linotype"/>
          <w:b/>
          <w:i/>
          <w:u w:val="single"/>
        </w:rPr>
        <w:t>El formato para señalar la clasificación de un documento o expediente que contenga información reservada</w:t>
      </w:r>
      <w:r w:rsidRPr="00F23522">
        <w:rPr>
          <w:rFonts w:ascii="Palatino Linotype" w:eastAsia="Palatino Linotype" w:hAnsi="Palatino Linotype" w:cs="Palatino Linotype"/>
          <w:b/>
          <w:i/>
        </w:rPr>
        <w:t xml:space="preserve">, </w:t>
      </w:r>
      <w:r w:rsidRPr="00F23522">
        <w:rPr>
          <w:rFonts w:ascii="Palatino Linotype" w:eastAsia="Palatino Linotype" w:hAnsi="Palatino Linotype" w:cs="Palatino Linotype"/>
          <w:i/>
        </w:rPr>
        <w:t xml:space="preserve">es el siguiente: </w:t>
      </w:r>
    </w:p>
    <w:p w14:paraId="664E89A6" w14:textId="77777777" w:rsidR="00B15CEF" w:rsidRPr="00F23522" w:rsidRDefault="00B8282C">
      <w:pPr>
        <w:spacing w:before="120" w:after="120"/>
        <w:ind w:left="851" w:right="902"/>
        <w:jc w:val="both"/>
        <w:rPr>
          <w:rFonts w:ascii="Palatino Linotype" w:eastAsia="Palatino Linotype" w:hAnsi="Palatino Linotype" w:cs="Palatino Linotype"/>
          <w:b/>
          <w:i/>
        </w:rPr>
      </w:pPr>
      <w:r w:rsidRPr="00F23522">
        <w:rPr>
          <w:rFonts w:ascii="Palatino Linotype" w:eastAsia="Palatino Linotype" w:hAnsi="Palatino Linotype" w:cs="Palatino Linotype"/>
          <w:b/>
          <w:i/>
          <w:noProof/>
        </w:rPr>
        <w:drawing>
          <wp:inline distT="0" distB="0" distL="0" distR="0" wp14:anchorId="321E5177" wp14:editId="502807D7">
            <wp:extent cx="4320000" cy="295275"/>
            <wp:effectExtent l="0" t="0" r="0" b="0"/>
            <wp:docPr id="20675916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b="95731"/>
                    <a:stretch>
                      <a:fillRect/>
                    </a:stretch>
                  </pic:blipFill>
                  <pic:spPr>
                    <a:xfrm>
                      <a:off x="0" y="0"/>
                      <a:ext cx="4320000" cy="295275"/>
                    </a:xfrm>
                    <a:prstGeom prst="rect">
                      <a:avLst/>
                    </a:prstGeom>
                    <a:ln/>
                  </pic:spPr>
                </pic:pic>
              </a:graphicData>
            </a:graphic>
          </wp:inline>
        </w:drawing>
      </w:r>
    </w:p>
    <w:p w14:paraId="6E038C41" w14:textId="77777777" w:rsidR="00B15CEF" w:rsidRPr="00F23522" w:rsidRDefault="00B8282C">
      <w:pPr>
        <w:spacing w:before="120" w:after="120"/>
        <w:ind w:left="851" w:right="902"/>
        <w:jc w:val="both"/>
        <w:rPr>
          <w:rFonts w:ascii="Palatino Linotype" w:eastAsia="Palatino Linotype" w:hAnsi="Palatino Linotype" w:cs="Palatino Linotype"/>
          <w:b/>
          <w:i/>
        </w:rPr>
      </w:pPr>
      <w:r w:rsidRPr="00F23522">
        <w:rPr>
          <w:rFonts w:ascii="Palatino Linotype" w:eastAsia="Palatino Linotype" w:hAnsi="Palatino Linotype" w:cs="Palatino Linotype"/>
          <w:b/>
          <w:i/>
          <w:noProof/>
        </w:rPr>
        <w:drawing>
          <wp:inline distT="0" distB="0" distL="0" distR="0" wp14:anchorId="2AC19321" wp14:editId="5F363287">
            <wp:extent cx="4333875" cy="779219"/>
            <wp:effectExtent l="0" t="0" r="0" b="0"/>
            <wp:docPr id="20675916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t="30908" b="57808"/>
                    <a:stretch>
                      <a:fillRect/>
                    </a:stretch>
                  </pic:blipFill>
                  <pic:spPr>
                    <a:xfrm>
                      <a:off x="0" y="0"/>
                      <a:ext cx="4333875" cy="779219"/>
                    </a:xfrm>
                    <a:prstGeom prst="rect">
                      <a:avLst/>
                    </a:prstGeom>
                    <a:ln/>
                  </pic:spPr>
                </pic:pic>
              </a:graphicData>
            </a:graphic>
          </wp:inline>
        </w:drawing>
      </w:r>
    </w:p>
    <w:p w14:paraId="1928897C" w14:textId="77777777" w:rsidR="00B15CEF" w:rsidRPr="00F23522" w:rsidRDefault="00B8282C">
      <w:pPr>
        <w:spacing w:before="120" w:after="120"/>
        <w:ind w:left="851" w:right="902"/>
        <w:jc w:val="both"/>
        <w:rPr>
          <w:rFonts w:ascii="Palatino Linotype" w:eastAsia="Palatino Linotype" w:hAnsi="Palatino Linotype" w:cs="Palatino Linotype"/>
          <w:b/>
          <w:i/>
        </w:rPr>
      </w:pPr>
      <w:r w:rsidRPr="00F23522">
        <w:rPr>
          <w:rFonts w:ascii="Palatino Linotype" w:eastAsia="Palatino Linotype" w:hAnsi="Palatino Linotype" w:cs="Palatino Linotype"/>
          <w:b/>
          <w:i/>
          <w:noProof/>
        </w:rPr>
        <w:drawing>
          <wp:inline distT="0" distB="0" distL="0" distR="0" wp14:anchorId="3D3D4135" wp14:editId="71FB51C3">
            <wp:extent cx="4333875" cy="3924468"/>
            <wp:effectExtent l="0" t="0" r="0" b="0"/>
            <wp:docPr id="20675916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t="41501" b="1677"/>
                    <a:stretch>
                      <a:fillRect/>
                    </a:stretch>
                  </pic:blipFill>
                  <pic:spPr>
                    <a:xfrm>
                      <a:off x="0" y="0"/>
                      <a:ext cx="4333875" cy="3924468"/>
                    </a:xfrm>
                    <a:prstGeom prst="rect">
                      <a:avLst/>
                    </a:prstGeom>
                    <a:ln/>
                  </pic:spPr>
                </pic:pic>
              </a:graphicData>
            </a:graphic>
          </wp:inline>
        </w:drawing>
      </w:r>
    </w:p>
    <w:p w14:paraId="432F14DE"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Los documentos que integren un expediente reservado en su totalidad no deberán marcarse en lo individual.</w:t>
      </w:r>
    </w:p>
    <w:p w14:paraId="004052AF" w14:textId="77777777" w:rsidR="00B15CEF" w:rsidRPr="00F23522" w:rsidRDefault="00B8282C">
      <w:pPr>
        <w:spacing w:before="120" w:after="120"/>
        <w:ind w:left="851" w:right="902"/>
        <w:jc w:val="both"/>
        <w:rPr>
          <w:rFonts w:ascii="Palatino Linotype" w:eastAsia="Palatino Linotype" w:hAnsi="Palatino Linotype" w:cs="Palatino Linotype"/>
          <w:i/>
          <w:sz w:val="22"/>
          <w:szCs w:val="22"/>
        </w:rPr>
      </w:pPr>
      <w:r w:rsidRPr="00F23522">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3EB0A25F"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F23522">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14:paraId="1951E318" w14:textId="77777777" w:rsidR="00B15CEF" w:rsidRPr="00F23522" w:rsidRDefault="00B8282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23522">
        <w:rPr>
          <w:rFonts w:ascii="Palatino Linotype" w:eastAsia="Palatino Linotype" w:hAnsi="Palatino Linotype" w:cs="Palatino Linotype"/>
          <w:b/>
        </w:rPr>
        <w:t>III. R E S U E L V E</w:t>
      </w:r>
    </w:p>
    <w:p w14:paraId="7581C3A4" w14:textId="77777777" w:rsidR="00B15CEF" w:rsidRPr="00F23522" w:rsidRDefault="00B8282C">
      <w:pPr>
        <w:spacing w:before="240" w:after="240" w:line="360" w:lineRule="auto"/>
        <w:jc w:val="both"/>
        <w:rPr>
          <w:rFonts w:ascii="Palatino Linotype" w:eastAsia="Palatino Linotype" w:hAnsi="Palatino Linotype" w:cs="Palatino Linotype"/>
          <w:b/>
        </w:rPr>
      </w:pPr>
      <w:bookmarkStart w:id="10" w:name="_heading=h.lnxbz9" w:colFirst="0" w:colLast="0"/>
      <w:bookmarkEnd w:id="10"/>
      <w:r w:rsidRPr="00F23522">
        <w:rPr>
          <w:rFonts w:ascii="Palatino Linotype" w:eastAsia="Palatino Linotype" w:hAnsi="Palatino Linotype" w:cs="Palatino Linotype"/>
          <w:b/>
        </w:rPr>
        <w:t xml:space="preserve">Primero. </w:t>
      </w:r>
      <w:r w:rsidRPr="00F23522">
        <w:rPr>
          <w:rFonts w:ascii="Palatino Linotype" w:eastAsia="Palatino Linotype" w:hAnsi="Palatino Linotype" w:cs="Palatino Linotype"/>
        </w:rPr>
        <w:t xml:space="preserve">Resultan </w:t>
      </w:r>
      <w:r w:rsidRPr="00F23522">
        <w:rPr>
          <w:rFonts w:ascii="Palatino Linotype" w:eastAsia="Palatino Linotype" w:hAnsi="Palatino Linotype" w:cs="Palatino Linotype"/>
          <w:b/>
        </w:rPr>
        <w:t>fundados</w:t>
      </w:r>
      <w:r w:rsidRPr="00F23522">
        <w:rPr>
          <w:rFonts w:ascii="Palatino Linotype" w:eastAsia="Palatino Linotype" w:hAnsi="Palatino Linotype" w:cs="Palatino Linotype"/>
        </w:rPr>
        <w:t xml:space="preserve"> los motivos de inconformidad hechos valer por la parte </w:t>
      </w:r>
      <w:r w:rsidRPr="00F23522">
        <w:rPr>
          <w:rFonts w:ascii="Palatino Linotype" w:eastAsia="Palatino Linotype" w:hAnsi="Palatino Linotype" w:cs="Palatino Linotype"/>
          <w:b/>
        </w:rPr>
        <w:t>Recurrente</w:t>
      </w:r>
      <w:r w:rsidRPr="00F23522">
        <w:rPr>
          <w:rFonts w:ascii="Palatino Linotype" w:eastAsia="Palatino Linotype" w:hAnsi="Palatino Linotype" w:cs="Palatino Linotype"/>
        </w:rPr>
        <w:t xml:space="preserve">, en el recurso de revisión </w:t>
      </w:r>
      <w:r w:rsidRPr="00F23522">
        <w:rPr>
          <w:rFonts w:ascii="Palatino Linotype" w:eastAsia="Palatino Linotype" w:hAnsi="Palatino Linotype" w:cs="Palatino Linotype"/>
          <w:b/>
        </w:rPr>
        <w:t xml:space="preserve">01199/INFOEM/IP/RR/2023, </w:t>
      </w:r>
      <w:r w:rsidRPr="00F23522">
        <w:rPr>
          <w:rFonts w:ascii="Palatino Linotype" w:eastAsia="Palatino Linotype" w:hAnsi="Palatino Linotype" w:cs="Palatino Linotype"/>
        </w:rPr>
        <w:t xml:space="preserve">por lo que, en términos del Considerando </w:t>
      </w:r>
      <w:r w:rsidRPr="00F23522">
        <w:rPr>
          <w:rFonts w:ascii="Palatino Linotype" w:eastAsia="Palatino Linotype" w:hAnsi="Palatino Linotype" w:cs="Palatino Linotype"/>
          <w:b/>
        </w:rPr>
        <w:t>Cuarto</w:t>
      </w:r>
      <w:r w:rsidRPr="00F23522">
        <w:rPr>
          <w:rFonts w:ascii="Palatino Linotype" w:eastAsia="Palatino Linotype" w:hAnsi="Palatino Linotype" w:cs="Palatino Linotype"/>
        </w:rPr>
        <w:t xml:space="preserve"> de la presente resolución, se</w:t>
      </w:r>
      <w:r w:rsidRPr="00F23522">
        <w:rPr>
          <w:rFonts w:ascii="Palatino Linotype" w:eastAsia="Palatino Linotype" w:hAnsi="Palatino Linotype" w:cs="Palatino Linotype"/>
          <w:b/>
        </w:rPr>
        <w:t xml:space="preserve"> Modifica </w:t>
      </w:r>
      <w:r w:rsidRPr="00F23522">
        <w:rPr>
          <w:rFonts w:ascii="Palatino Linotype" w:eastAsia="Palatino Linotype" w:hAnsi="Palatino Linotype" w:cs="Palatino Linotype"/>
        </w:rPr>
        <w:t>la respuesta</w:t>
      </w:r>
      <w:r w:rsidRPr="00F23522">
        <w:rPr>
          <w:rFonts w:ascii="Palatino Linotype" w:eastAsia="Palatino Linotype" w:hAnsi="Palatino Linotype" w:cs="Palatino Linotype"/>
          <w:b/>
        </w:rPr>
        <w:t xml:space="preserve"> </w:t>
      </w:r>
      <w:r w:rsidRPr="00F23522">
        <w:rPr>
          <w:rFonts w:ascii="Palatino Linotype" w:eastAsia="Palatino Linotype" w:hAnsi="Palatino Linotype" w:cs="Palatino Linotype"/>
        </w:rPr>
        <w:t xml:space="preserve">del </w:t>
      </w:r>
      <w:r w:rsidRPr="00F23522">
        <w:rPr>
          <w:rFonts w:ascii="Palatino Linotype" w:eastAsia="Palatino Linotype" w:hAnsi="Palatino Linotype" w:cs="Palatino Linotype"/>
          <w:b/>
        </w:rPr>
        <w:t>Sujeto Obligado.</w:t>
      </w:r>
    </w:p>
    <w:p w14:paraId="0E3B6610"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Segundo.</w:t>
      </w:r>
      <w:r w:rsidRPr="00F23522">
        <w:rPr>
          <w:rFonts w:ascii="Palatino Linotype" w:eastAsia="Palatino Linotype" w:hAnsi="Palatino Linotype" w:cs="Palatino Linotype"/>
        </w:rPr>
        <w:t xml:space="preserve"> Se </w:t>
      </w:r>
      <w:r w:rsidRPr="00F23522">
        <w:rPr>
          <w:rFonts w:ascii="Palatino Linotype" w:eastAsia="Palatino Linotype" w:hAnsi="Palatino Linotype" w:cs="Palatino Linotype"/>
          <w:b/>
        </w:rPr>
        <w:t>Ordena</w:t>
      </w:r>
      <w:r w:rsidRPr="00F23522">
        <w:rPr>
          <w:rFonts w:ascii="Palatino Linotype" w:eastAsia="Palatino Linotype" w:hAnsi="Palatino Linotype" w:cs="Palatino Linotype"/>
        </w:rPr>
        <w:t xml:space="preserve"> al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en términos de los Considerandos </w:t>
      </w:r>
      <w:r w:rsidRPr="00F23522">
        <w:rPr>
          <w:rFonts w:ascii="Palatino Linotype" w:eastAsia="Palatino Linotype" w:hAnsi="Palatino Linotype" w:cs="Palatino Linotype"/>
          <w:b/>
        </w:rPr>
        <w:t xml:space="preserve">Cuarto </w:t>
      </w:r>
      <w:r w:rsidRPr="00F23522">
        <w:rPr>
          <w:rFonts w:ascii="Palatino Linotype" w:eastAsia="Palatino Linotype" w:hAnsi="Palatino Linotype" w:cs="Palatino Linotype"/>
        </w:rPr>
        <w:t xml:space="preserve">y </w:t>
      </w:r>
      <w:r w:rsidRPr="00F23522">
        <w:rPr>
          <w:rFonts w:ascii="Palatino Linotype" w:eastAsia="Palatino Linotype" w:hAnsi="Palatino Linotype" w:cs="Palatino Linotype"/>
          <w:b/>
        </w:rPr>
        <w:t xml:space="preserve">Quinto </w:t>
      </w:r>
      <w:r w:rsidRPr="00F23522">
        <w:rPr>
          <w:rFonts w:ascii="Palatino Linotype" w:eastAsia="Palatino Linotype" w:hAnsi="Palatino Linotype" w:cs="Palatino Linotype"/>
        </w:rPr>
        <w:t>de esta resolución, haga entrega, vía SAIMEX, en versión pública de lo siguiente:</w:t>
      </w:r>
    </w:p>
    <w:p w14:paraId="17C7347A" w14:textId="77777777" w:rsidR="00B15CEF" w:rsidRPr="00F23522" w:rsidRDefault="00B8282C">
      <w:pPr>
        <w:spacing w:before="240" w:after="240" w:line="360" w:lineRule="auto"/>
        <w:ind w:left="567" w:right="49"/>
        <w:jc w:val="both"/>
        <w:rPr>
          <w:rFonts w:ascii="Palatino Linotype" w:eastAsia="Palatino Linotype" w:hAnsi="Palatino Linotype" w:cs="Palatino Linotype"/>
        </w:rPr>
      </w:pPr>
      <w:r w:rsidRPr="00F23522">
        <w:rPr>
          <w:rFonts w:ascii="Palatino Linotype" w:eastAsia="Palatino Linotype" w:hAnsi="Palatino Linotype" w:cs="Palatino Linotype"/>
        </w:rPr>
        <w:t>1. Conciliación de nómina del ayuntamiento de la primera quincena de enero de dos mil veintitrés.</w:t>
      </w:r>
    </w:p>
    <w:p w14:paraId="5034FCCB" w14:textId="77777777" w:rsidR="00B15CEF" w:rsidRPr="00F23522" w:rsidRDefault="00B8282C">
      <w:pPr>
        <w:spacing w:before="240" w:after="240" w:line="360" w:lineRule="auto"/>
        <w:ind w:left="567" w:right="49"/>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2. Soporte documental que dé cuenta de las funciones,  nombre completo, área de adscripción, puesto, categoría y sueldo a la primera quincena de enero de dos mil veintitrés, de los servidores públicos faltantes adscritos al Instituto Municipal de la Mujer. </w:t>
      </w:r>
    </w:p>
    <w:p w14:paraId="1BD2D4BC" w14:textId="77777777" w:rsidR="00B15CEF" w:rsidRPr="00F23522" w:rsidRDefault="00B8282C">
      <w:pPr>
        <w:spacing w:before="240" w:after="240" w:line="360" w:lineRule="auto"/>
        <w:ind w:left="567" w:right="49"/>
        <w:jc w:val="both"/>
        <w:rPr>
          <w:rFonts w:ascii="Palatino Linotype" w:eastAsia="Palatino Linotype" w:hAnsi="Palatino Linotype" w:cs="Palatino Linotype"/>
        </w:rPr>
      </w:pPr>
      <w:r w:rsidRPr="00F23522">
        <w:rPr>
          <w:rFonts w:ascii="Palatino Linotype" w:eastAsia="Palatino Linotype" w:hAnsi="Palatino Linotype" w:cs="Palatino Linotype"/>
        </w:rPr>
        <w:t>3. Soporte documental que dé cuenta de las funciones conferidas a los servidores públicos adscritos del Instituto Municipal de Cultura Física y Deporte, al treinta de enero de dos mil veintitrés.</w:t>
      </w:r>
    </w:p>
    <w:p w14:paraId="0237F3BD" w14:textId="77777777" w:rsidR="00B15CEF" w:rsidRPr="00F23522" w:rsidRDefault="00B8282C">
      <w:pPr>
        <w:spacing w:before="240" w:after="240"/>
        <w:ind w:left="284"/>
        <w:jc w:val="both"/>
        <w:rPr>
          <w:rFonts w:ascii="Palatino Linotype" w:eastAsia="Palatino Linotype" w:hAnsi="Palatino Linotype" w:cs="Palatino Linotype"/>
          <w:i/>
          <w:sz w:val="20"/>
          <w:szCs w:val="20"/>
        </w:rPr>
      </w:pPr>
      <w:r w:rsidRPr="00F23522">
        <w:rPr>
          <w:rFonts w:ascii="Palatino Linotype" w:eastAsia="Palatino Linotype" w:hAnsi="Palatino Linotype" w:cs="Palatino Linotype"/>
          <w:i/>
          <w:sz w:val="20"/>
          <w:szCs w:val="20"/>
        </w:rPr>
        <w:t xml:space="preserve">Para la entrega en versión pública, se deberá entregar el Acuerdo del Comité de Transparencia en términos de la Ley de Transparencia y Acceso a la Información Pública del Estado de México y Municipios, en el que </w:t>
      </w:r>
      <w:r w:rsidRPr="00F23522">
        <w:rPr>
          <w:rFonts w:ascii="Palatino Linotype" w:eastAsia="Palatino Linotype" w:hAnsi="Palatino Linotype" w:cs="Palatino Linotype"/>
          <w:i/>
          <w:sz w:val="20"/>
          <w:szCs w:val="20"/>
        </w:rPr>
        <w:lastRenderedPageBreak/>
        <w:t xml:space="preserve">funde y motive las razones sobre los datos que se supriman o eliminen y se ponga a disposición de la parte </w:t>
      </w:r>
      <w:r w:rsidRPr="00F23522">
        <w:rPr>
          <w:rFonts w:ascii="Palatino Linotype" w:eastAsia="Palatino Linotype" w:hAnsi="Palatino Linotype" w:cs="Palatino Linotype"/>
          <w:b/>
          <w:i/>
          <w:sz w:val="20"/>
          <w:szCs w:val="20"/>
        </w:rPr>
        <w:t>Recurrente</w:t>
      </w:r>
      <w:r w:rsidRPr="00F23522">
        <w:rPr>
          <w:rFonts w:ascii="Palatino Linotype" w:eastAsia="Palatino Linotype" w:hAnsi="Palatino Linotype" w:cs="Palatino Linotype"/>
          <w:i/>
          <w:sz w:val="20"/>
          <w:szCs w:val="20"/>
        </w:rPr>
        <w:t>.</w:t>
      </w:r>
    </w:p>
    <w:p w14:paraId="378E390E" w14:textId="77777777" w:rsidR="00B15CEF" w:rsidRPr="00F23522" w:rsidRDefault="00B8282C">
      <w:pPr>
        <w:spacing w:before="240" w:after="240" w:line="360" w:lineRule="auto"/>
        <w:jc w:val="both"/>
        <w:rPr>
          <w:rFonts w:ascii="Palatino Linotype" w:eastAsia="Palatino Linotype" w:hAnsi="Palatino Linotype" w:cs="Palatino Linotype"/>
          <w:b/>
        </w:rPr>
      </w:pPr>
      <w:r w:rsidRPr="00F23522">
        <w:rPr>
          <w:rFonts w:ascii="Palatino Linotype" w:eastAsia="Palatino Linotype" w:hAnsi="Palatino Linotype" w:cs="Palatino Linotype"/>
          <w:b/>
        </w:rPr>
        <w:t xml:space="preserve">Tercero. Notifíquese, </w:t>
      </w:r>
      <w:r w:rsidRPr="00F23522">
        <w:rPr>
          <w:rFonts w:ascii="Palatino Linotype" w:eastAsia="Palatino Linotype" w:hAnsi="Palatino Linotype" w:cs="Palatino Linotype"/>
        </w:rPr>
        <w:t xml:space="preserve">vía </w:t>
      </w:r>
      <w:r w:rsidRPr="00F23522">
        <w:rPr>
          <w:rFonts w:ascii="Palatino Linotype" w:eastAsia="Palatino Linotype" w:hAnsi="Palatino Linotype" w:cs="Palatino Linotype"/>
          <w:b/>
        </w:rPr>
        <w:t>SAIMEX</w:t>
      </w:r>
      <w:r w:rsidRPr="00F23522">
        <w:rPr>
          <w:rFonts w:ascii="Palatino Linotype" w:eastAsia="Palatino Linotype" w:hAnsi="Palatino Linotype" w:cs="Palatino Linotype"/>
        </w:rPr>
        <w:t xml:space="preserve">, al Titular de la Unidad de Transparencia del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2FAC0C"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23522">
        <w:rPr>
          <w:rFonts w:ascii="Palatino Linotype" w:eastAsia="Palatino Linotype" w:hAnsi="Palatino Linotype" w:cs="Palatino Linotype"/>
          <w:b/>
        </w:rPr>
        <w:t>Sujeto Obligado</w:t>
      </w:r>
      <w:r w:rsidRPr="00F23522">
        <w:rPr>
          <w:rFonts w:ascii="Palatino Linotype" w:eastAsia="Palatino Linotype" w:hAnsi="Palatino Linotype" w:cs="Palatino Linotype"/>
        </w:rPr>
        <w:t xml:space="preserve"> de manera fundada y motivada, podrá solicitar una ampliación de plazo para el cumplimiento de la presente resolución.</w:t>
      </w:r>
    </w:p>
    <w:p w14:paraId="4DE830A9" w14:textId="77777777" w:rsidR="00B15CEF" w:rsidRPr="00F23522" w:rsidRDefault="00B8282C">
      <w:pPr>
        <w:spacing w:before="240" w:after="240"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b/>
        </w:rPr>
        <w:t xml:space="preserve">Cuarto.  Notifíquese, </w:t>
      </w:r>
      <w:r w:rsidRPr="00F23522">
        <w:rPr>
          <w:rFonts w:ascii="Palatino Linotype" w:eastAsia="Palatino Linotype" w:hAnsi="Palatino Linotype" w:cs="Palatino Linotype"/>
        </w:rPr>
        <w:t xml:space="preserve">vía </w:t>
      </w:r>
      <w:r w:rsidRPr="00F23522">
        <w:rPr>
          <w:rFonts w:ascii="Palatino Linotype" w:eastAsia="Palatino Linotype" w:hAnsi="Palatino Linotype" w:cs="Palatino Linotype"/>
          <w:b/>
        </w:rPr>
        <w:t>SAIMEX</w:t>
      </w:r>
      <w:r w:rsidRPr="00F23522">
        <w:rPr>
          <w:rFonts w:ascii="Palatino Linotype" w:eastAsia="Palatino Linotype" w:hAnsi="Palatino Linotype" w:cs="Palatino Linotype"/>
        </w:rPr>
        <w:t xml:space="preserve">, a la parte </w:t>
      </w:r>
      <w:r w:rsidRPr="00F23522">
        <w:rPr>
          <w:rFonts w:ascii="Palatino Linotype" w:eastAsia="Palatino Linotype" w:hAnsi="Palatino Linotype" w:cs="Palatino Linotype"/>
          <w:b/>
        </w:rPr>
        <w:t xml:space="preserve">Recurrente </w:t>
      </w:r>
      <w:r w:rsidRPr="00F2352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F9F973D" w14:textId="77777777" w:rsidR="00B15CEF" w:rsidRPr="00F23522" w:rsidRDefault="00B8282C">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F23522">
        <w:rPr>
          <w:rFonts w:ascii="Palatino Linotype" w:eastAsia="Palatino Linotype" w:hAnsi="Palatino Linotype" w:cs="Palatino Linotype"/>
          <w:b/>
        </w:rPr>
        <w:t xml:space="preserve">Quinto. </w:t>
      </w:r>
      <w:r w:rsidRPr="00F23522">
        <w:rPr>
          <w:rFonts w:ascii="Palatino Linotype" w:eastAsia="Palatino Linotype" w:hAnsi="Palatino Linotype" w:cs="Palatino Linotype"/>
        </w:rPr>
        <w:t xml:space="preserve">Gírese oficio a la </w:t>
      </w:r>
      <w:r w:rsidRPr="00F23522">
        <w:rPr>
          <w:rFonts w:ascii="Palatino Linotype" w:eastAsia="Palatino Linotype" w:hAnsi="Palatino Linotype" w:cs="Palatino Linotype"/>
          <w:b/>
        </w:rPr>
        <w:t>Secretaría Técnica del Pleno de este Instituto</w:t>
      </w:r>
      <w:r w:rsidRPr="00F23522">
        <w:rPr>
          <w:rFonts w:ascii="Palatino Linotype" w:eastAsia="Palatino Linotype" w:hAnsi="Palatino Linotype" w:cs="Palatino Linotype"/>
        </w:rPr>
        <w:t xml:space="preserve"> a fin de que en ejercicio de sus atribuciones haga del conocimiento del Órgano Interno de </w:t>
      </w:r>
      <w:r w:rsidRPr="00F23522">
        <w:rPr>
          <w:rFonts w:ascii="Palatino Linotype" w:eastAsia="Palatino Linotype" w:hAnsi="Palatino Linotype" w:cs="Palatino Linotype"/>
        </w:rPr>
        <w:lastRenderedPageBreak/>
        <w:t xml:space="preserve">Competente la presente resolución, para que de conformidad con el artículo 190, de la Ley de Transparencia y Acceso a la Información Pública del Estado de México y Municipios, determine lo conducente, en términos de lo señalado en el considerando </w:t>
      </w:r>
      <w:r w:rsidRPr="00F23522">
        <w:rPr>
          <w:rFonts w:ascii="Palatino Linotype" w:eastAsia="Palatino Linotype" w:hAnsi="Palatino Linotype" w:cs="Palatino Linotype"/>
          <w:b/>
        </w:rPr>
        <w:t xml:space="preserve">Cuarto </w:t>
      </w:r>
      <w:r w:rsidRPr="00F23522">
        <w:rPr>
          <w:rFonts w:ascii="Palatino Linotype" w:eastAsia="Palatino Linotype" w:hAnsi="Palatino Linotype" w:cs="Palatino Linotype"/>
        </w:rPr>
        <w:t>de la presente resolución.</w:t>
      </w:r>
    </w:p>
    <w:p w14:paraId="0879E2D2" w14:textId="33C42F64" w:rsidR="00B15CEF" w:rsidRPr="00F23522" w:rsidRDefault="00B8282C">
      <w:pPr>
        <w:spacing w:line="360" w:lineRule="auto"/>
        <w:jc w:val="both"/>
        <w:rPr>
          <w:rFonts w:ascii="Palatino Linotype" w:eastAsia="Palatino Linotype" w:hAnsi="Palatino Linotype" w:cs="Palatino Linotype"/>
        </w:rPr>
      </w:pPr>
      <w:r w:rsidRPr="00F2352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VIGÉSIMO SÉPTIMA SESIÓN ORDINARIA, CELEBRADA EL DOS DE AGOSTO DE DOS MIL VEINTITRÉS, ANTE EL SECRETARIO TÉCNICO DEL PLENO ALEXIS TAPIA RAMÍREZ.</w:t>
      </w:r>
    </w:p>
    <w:p w14:paraId="46FF35BB" w14:textId="77777777" w:rsidR="00B15CEF" w:rsidRPr="00F23522" w:rsidRDefault="00B15CEF">
      <w:pPr>
        <w:rPr>
          <w:rFonts w:ascii="Palatino Linotype" w:eastAsia="Palatino Linotype" w:hAnsi="Palatino Linotype" w:cs="Palatino Linotype"/>
        </w:rPr>
      </w:pPr>
      <w:bookmarkStart w:id="12" w:name="_heading=h.4d34og8" w:colFirst="0" w:colLast="0"/>
      <w:bookmarkEnd w:id="12"/>
    </w:p>
    <w:p w14:paraId="47BD1D8D" w14:textId="77777777" w:rsidR="00B15CEF" w:rsidRPr="00F23522" w:rsidRDefault="00B15CEF">
      <w:pPr>
        <w:rPr>
          <w:rFonts w:ascii="Palatino Linotype" w:eastAsia="Palatino Linotype" w:hAnsi="Palatino Linotype" w:cs="Palatino Linotype"/>
        </w:rPr>
      </w:pPr>
    </w:p>
    <w:p w14:paraId="3D23832A" w14:textId="77777777" w:rsidR="00B15CEF" w:rsidRPr="00F23522" w:rsidRDefault="00B15CEF">
      <w:pPr>
        <w:rPr>
          <w:rFonts w:ascii="Palatino Linotype" w:eastAsia="Palatino Linotype" w:hAnsi="Palatino Linotype" w:cs="Palatino Linotype"/>
        </w:rPr>
      </w:pPr>
    </w:p>
    <w:p w14:paraId="166BAD0A" w14:textId="77777777" w:rsidR="00B15CEF" w:rsidRPr="00F23522" w:rsidRDefault="00B15CEF">
      <w:pPr>
        <w:rPr>
          <w:rFonts w:ascii="Palatino Linotype" w:eastAsia="Palatino Linotype" w:hAnsi="Palatino Linotype" w:cs="Palatino Linotype"/>
        </w:rPr>
      </w:pPr>
    </w:p>
    <w:p w14:paraId="3BDA16C0" w14:textId="77777777" w:rsidR="00B15CEF" w:rsidRPr="00F23522" w:rsidRDefault="00B15CEF">
      <w:pPr>
        <w:rPr>
          <w:rFonts w:ascii="Palatino Linotype" w:eastAsia="Palatino Linotype" w:hAnsi="Palatino Linotype" w:cs="Palatino Linotype"/>
        </w:rPr>
      </w:pPr>
    </w:p>
    <w:p w14:paraId="38A78D7B" w14:textId="77777777" w:rsidR="00B15CEF" w:rsidRPr="00F23522" w:rsidRDefault="00B15CEF">
      <w:pPr>
        <w:rPr>
          <w:rFonts w:ascii="Palatino Linotype" w:eastAsia="Palatino Linotype" w:hAnsi="Palatino Linotype" w:cs="Palatino Linotype"/>
        </w:rPr>
      </w:pPr>
    </w:p>
    <w:p w14:paraId="0EEB7756" w14:textId="77777777" w:rsidR="00B15CEF" w:rsidRPr="00F23522" w:rsidRDefault="00B15CEF">
      <w:pPr>
        <w:rPr>
          <w:rFonts w:ascii="Palatino Linotype" w:eastAsia="Palatino Linotype" w:hAnsi="Palatino Linotype" w:cs="Palatino Linotype"/>
        </w:rPr>
      </w:pPr>
    </w:p>
    <w:p w14:paraId="7A4DD4F0" w14:textId="77777777" w:rsidR="00B15CEF" w:rsidRPr="00F23522" w:rsidRDefault="00B15CEF">
      <w:pPr>
        <w:rPr>
          <w:rFonts w:ascii="Palatino Linotype" w:eastAsia="Palatino Linotype" w:hAnsi="Palatino Linotype" w:cs="Palatino Linotype"/>
        </w:rPr>
      </w:pPr>
    </w:p>
    <w:p w14:paraId="16EEEBF5" w14:textId="77777777" w:rsidR="00B15CEF" w:rsidRPr="00F23522" w:rsidRDefault="00B15CEF">
      <w:pPr>
        <w:rPr>
          <w:rFonts w:ascii="Palatino Linotype" w:eastAsia="Palatino Linotype" w:hAnsi="Palatino Linotype" w:cs="Palatino Linotype"/>
        </w:rPr>
      </w:pPr>
    </w:p>
    <w:p w14:paraId="66DED7B7" w14:textId="77777777" w:rsidR="00B15CEF" w:rsidRPr="00F23522" w:rsidRDefault="00B15CEF">
      <w:pPr>
        <w:rPr>
          <w:rFonts w:ascii="Palatino Linotype" w:eastAsia="Palatino Linotype" w:hAnsi="Palatino Linotype" w:cs="Palatino Linotype"/>
        </w:rPr>
      </w:pPr>
    </w:p>
    <w:p w14:paraId="0E066CC9" w14:textId="77777777" w:rsidR="00B15CEF" w:rsidRPr="00F23522" w:rsidRDefault="00B15CEF">
      <w:pPr>
        <w:rPr>
          <w:rFonts w:ascii="Palatino Linotype" w:eastAsia="Palatino Linotype" w:hAnsi="Palatino Linotype" w:cs="Palatino Linotype"/>
        </w:rPr>
      </w:pPr>
    </w:p>
    <w:p w14:paraId="278824AD" w14:textId="77777777" w:rsidR="00B15CEF" w:rsidRPr="00F23522" w:rsidRDefault="00B15CEF">
      <w:pPr>
        <w:spacing w:line="360" w:lineRule="auto"/>
        <w:jc w:val="both"/>
        <w:rPr>
          <w:rFonts w:ascii="Palatino Linotype" w:eastAsia="Palatino Linotype" w:hAnsi="Palatino Linotype" w:cs="Palatino Linotype"/>
        </w:rPr>
      </w:pPr>
      <w:bookmarkStart w:id="13" w:name="_heading=h.3rdcrjn" w:colFirst="0" w:colLast="0"/>
      <w:bookmarkEnd w:id="13"/>
    </w:p>
    <w:p w14:paraId="2CF3C988" w14:textId="77777777" w:rsidR="00B15CEF" w:rsidRPr="00F23522" w:rsidRDefault="00B15CEF">
      <w:pPr>
        <w:spacing w:line="360" w:lineRule="auto"/>
        <w:jc w:val="both"/>
        <w:rPr>
          <w:rFonts w:ascii="Palatino Linotype" w:eastAsia="Palatino Linotype" w:hAnsi="Palatino Linotype" w:cs="Palatino Linotype"/>
        </w:rPr>
      </w:pPr>
    </w:p>
    <w:p w14:paraId="1F87213A" w14:textId="77777777" w:rsidR="00B15CEF" w:rsidRPr="00F23522" w:rsidRDefault="00B15CEF">
      <w:pPr>
        <w:spacing w:line="360" w:lineRule="auto"/>
        <w:jc w:val="both"/>
        <w:rPr>
          <w:rFonts w:ascii="Palatino Linotype" w:eastAsia="Palatino Linotype" w:hAnsi="Palatino Linotype" w:cs="Palatino Linotype"/>
        </w:rPr>
      </w:pPr>
    </w:p>
    <w:p w14:paraId="1E12781A" w14:textId="77777777" w:rsidR="00B15CEF" w:rsidRPr="00F23522" w:rsidRDefault="00B15CEF">
      <w:pPr>
        <w:spacing w:line="360" w:lineRule="auto"/>
        <w:jc w:val="both"/>
        <w:rPr>
          <w:rFonts w:ascii="Palatino Linotype" w:eastAsia="Palatino Linotype" w:hAnsi="Palatino Linotype" w:cs="Palatino Linotype"/>
        </w:rPr>
      </w:pPr>
      <w:bookmarkStart w:id="14" w:name="_heading=h.1t3h5sf" w:colFirst="0" w:colLast="0"/>
      <w:bookmarkEnd w:id="14"/>
    </w:p>
    <w:p w14:paraId="4596429B" w14:textId="77777777" w:rsidR="00B15CEF" w:rsidRPr="00F23522" w:rsidRDefault="00B15CEF">
      <w:pPr>
        <w:spacing w:line="360" w:lineRule="auto"/>
        <w:jc w:val="both"/>
        <w:rPr>
          <w:rFonts w:ascii="Palatino Linotype" w:eastAsia="Palatino Linotype" w:hAnsi="Palatino Linotype" w:cs="Palatino Linotype"/>
        </w:rPr>
      </w:pPr>
    </w:p>
    <w:p w14:paraId="308600E3" w14:textId="77777777" w:rsidR="00B15CEF" w:rsidRPr="00F23522" w:rsidRDefault="00B15CEF">
      <w:pPr>
        <w:spacing w:line="360" w:lineRule="auto"/>
        <w:jc w:val="both"/>
        <w:rPr>
          <w:rFonts w:ascii="Palatino Linotype" w:eastAsia="Palatino Linotype" w:hAnsi="Palatino Linotype" w:cs="Palatino Linotype"/>
        </w:rPr>
      </w:pPr>
    </w:p>
    <w:p w14:paraId="1FDCD05F" w14:textId="77777777" w:rsidR="00B15CEF" w:rsidRPr="00F23522" w:rsidRDefault="00B15CEF">
      <w:pPr>
        <w:spacing w:line="360" w:lineRule="auto"/>
        <w:jc w:val="both"/>
        <w:rPr>
          <w:rFonts w:ascii="Palatino Linotype" w:eastAsia="Palatino Linotype" w:hAnsi="Palatino Linotype" w:cs="Palatino Linotype"/>
        </w:rPr>
      </w:pPr>
    </w:p>
    <w:p w14:paraId="7532800F" w14:textId="77777777" w:rsidR="00B15CEF" w:rsidRPr="00F23522" w:rsidRDefault="00B15CEF">
      <w:pPr>
        <w:spacing w:line="360" w:lineRule="auto"/>
        <w:jc w:val="both"/>
        <w:rPr>
          <w:rFonts w:ascii="Palatino Linotype" w:eastAsia="Palatino Linotype" w:hAnsi="Palatino Linotype" w:cs="Palatino Linotype"/>
        </w:rPr>
      </w:pPr>
    </w:p>
    <w:p w14:paraId="2D67BE74" w14:textId="77777777" w:rsidR="00B15CEF" w:rsidRPr="00F23522" w:rsidRDefault="00B15CEF">
      <w:pPr>
        <w:spacing w:line="360" w:lineRule="auto"/>
        <w:jc w:val="both"/>
        <w:rPr>
          <w:rFonts w:ascii="Palatino Linotype" w:eastAsia="Palatino Linotype" w:hAnsi="Palatino Linotype" w:cs="Palatino Linotype"/>
        </w:rPr>
      </w:pPr>
    </w:p>
    <w:p w14:paraId="00023D7D" w14:textId="77777777" w:rsidR="00B15CEF" w:rsidRPr="00F23522" w:rsidRDefault="00B15CEF">
      <w:pPr>
        <w:spacing w:line="360" w:lineRule="auto"/>
        <w:jc w:val="both"/>
        <w:rPr>
          <w:rFonts w:ascii="Palatino Linotype" w:eastAsia="Palatino Linotype" w:hAnsi="Palatino Linotype" w:cs="Palatino Linotype"/>
        </w:rPr>
      </w:pPr>
    </w:p>
    <w:p w14:paraId="70FD939D" w14:textId="77777777" w:rsidR="00B15CEF" w:rsidRPr="00F23522" w:rsidRDefault="00B15CEF">
      <w:pPr>
        <w:spacing w:line="360" w:lineRule="auto"/>
        <w:jc w:val="both"/>
        <w:rPr>
          <w:rFonts w:ascii="Palatino Linotype" w:eastAsia="Palatino Linotype" w:hAnsi="Palatino Linotype" w:cs="Palatino Linotype"/>
        </w:rPr>
      </w:pPr>
    </w:p>
    <w:p w14:paraId="4B14D882" w14:textId="77777777" w:rsidR="00B15CEF" w:rsidRPr="00F23522" w:rsidRDefault="00B15CEF">
      <w:pPr>
        <w:spacing w:line="360" w:lineRule="auto"/>
        <w:jc w:val="both"/>
        <w:rPr>
          <w:rFonts w:ascii="Palatino Linotype" w:eastAsia="Palatino Linotype" w:hAnsi="Palatino Linotype" w:cs="Palatino Linotype"/>
        </w:rPr>
      </w:pPr>
    </w:p>
    <w:p w14:paraId="79C2DF32" w14:textId="77777777" w:rsidR="00B15CEF" w:rsidRPr="00F23522" w:rsidRDefault="00B15CEF">
      <w:pPr>
        <w:spacing w:line="360" w:lineRule="auto"/>
        <w:jc w:val="both"/>
        <w:rPr>
          <w:rFonts w:ascii="Palatino Linotype" w:eastAsia="Palatino Linotype" w:hAnsi="Palatino Linotype" w:cs="Palatino Linotype"/>
        </w:rPr>
      </w:pPr>
    </w:p>
    <w:p w14:paraId="43F9778D" w14:textId="77777777" w:rsidR="00B15CEF" w:rsidRPr="00F23522" w:rsidRDefault="00B15CEF">
      <w:pPr>
        <w:spacing w:line="360" w:lineRule="auto"/>
        <w:jc w:val="both"/>
        <w:rPr>
          <w:rFonts w:ascii="Palatino Linotype" w:eastAsia="Palatino Linotype" w:hAnsi="Palatino Linotype" w:cs="Palatino Linotype"/>
        </w:rPr>
      </w:pPr>
    </w:p>
    <w:p w14:paraId="546C35C3" w14:textId="77777777" w:rsidR="00B15CEF" w:rsidRPr="00F23522" w:rsidRDefault="00B15CEF">
      <w:pPr>
        <w:spacing w:line="360" w:lineRule="auto"/>
        <w:jc w:val="both"/>
        <w:rPr>
          <w:rFonts w:ascii="Palatino Linotype" w:eastAsia="Palatino Linotype" w:hAnsi="Palatino Linotype" w:cs="Palatino Linotype"/>
        </w:rPr>
      </w:pPr>
    </w:p>
    <w:sectPr w:rsidR="00B15CEF" w:rsidRPr="00F23522">
      <w:headerReference w:type="default" r:id="rId41"/>
      <w:footerReference w:type="default" r:id="rId42"/>
      <w:headerReference w:type="first" r:id="rId43"/>
      <w:footerReference w:type="first" r:id="rId4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1F5CD" w14:textId="77777777" w:rsidR="00E64680" w:rsidRDefault="00E64680">
      <w:r>
        <w:separator/>
      </w:r>
    </w:p>
  </w:endnote>
  <w:endnote w:type="continuationSeparator" w:id="0">
    <w:p w14:paraId="20806045" w14:textId="77777777" w:rsidR="00E64680" w:rsidRDefault="00E6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41AA" w14:textId="77777777" w:rsidR="00B15CEF" w:rsidRDefault="00B828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76D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76D3">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36D5C643" w14:textId="77777777" w:rsidR="00B15CEF" w:rsidRDefault="00B15CE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C48C3" w14:textId="77777777" w:rsidR="00B15CEF" w:rsidRDefault="00B828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A76D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A76D3">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14E04938" w14:textId="77777777" w:rsidR="00B15CEF" w:rsidRDefault="00B15CE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48CCE" w14:textId="77777777" w:rsidR="00E64680" w:rsidRDefault="00E64680">
      <w:r>
        <w:separator/>
      </w:r>
    </w:p>
  </w:footnote>
  <w:footnote w:type="continuationSeparator" w:id="0">
    <w:p w14:paraId="10B77547" w14:textId="77777777" w:rsidR="00E64680" w:rsidRDefault="00E64680">
      <w:r>
        <w:continuationSeparator/>
      </w:r>
    </w:p>
  </w:footnote>
  <w:footnote w:id="1">
    <w:p w14:paraId="3C7F65EA" w14:textId="77777777" w:rsidR="00B15CEF" w:rsidRDefault="00B8282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E7583F1" w14:textId="77777777" w:rsidR="00B15CEF" w:rsidRDefault="00B8282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D53AEC1" w14:textId="77777777" w:rsidR="00B15CEF" w:rsidRDefault="00B8282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3">
    <w:p w14:paraId="0E642C36" w14:textId="77777777" w:rsidR="00B15CEF" w:rsidRDefault="00B8282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711C" w14:textId="77777777" w:rsidR="00B15CEF" w:rsidRDefault="00B8282C">
    <w:pPr>
      <w:rPr>
        <w:rFonts w:ascii="Cambria" w:eastAsia="Cambria" w:hAnsi="Cambria" w:cs="Cambria"/>
        <w:color w:val="000000"/>
      </w:rPr>
    </w:pPr>
    <w:r>
      <w:rPr>
        <w:noProof/>
      </w:rPr>
      <w:drawing>
        <wp:anchor distT="0" distB="0" distL="0" distR="0" simplePos="0" relativeHeight="251658240" behindDoc="1" locked="0" layoutInCell="1" hidden="0" allowOverlap="1" wp14:anchorId="71A51868" wp14:editId="65A64E35">
          <wp:simplePos x="0" y="0"/>
          <wp:positionH relativeFrom="column">
            <wp:posOffset>-1080113</wp:posOffset>
          </wp:positionH>
          <wp:positionV relativeFrom="paragraph">
            <wp:posOffset>-488289</wp:posOffset>
          </wp:positionV>
          <wp:extent cx="7809865" cy="10165715"/>
          <wp:effectExtent l="0" t="0" r="0" b="0"/>
          <wp:wrapNone/>
          <wp:docPr id="20675916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5"/>
      <w:tblW w:w="5953" w:type="dxa"/>
      <w:tblInd w:w="3261" w:type="dxa"/>
      <w:tblLayout w:type="fixed"/>
      <w:tblLook w:val="0400" w:firstRow="0" w:lastRow="0" w:firstColumn="0" w:lastColumn="0" w:noHBand="0" w:noVBand="1"/>
    </w:tblPr>
    <w:tblGrid>
      <w:gridCol w:w="2489"/>
      <w:gridCol w:w="3464"/>
    </w:tblGrid>
    <w:tr w:rsidR="00B15CEF" w14:paraId="0FDCC45A" w14:textId="77777777">
      <w:tc>
        <w:tcPr>
          <w:tcW w:w="2489" w:type="dxa"/>
          <w:shd w:val="clear" w:color="auto" w:fill="auto"/>
        </w:tcPr>
        <w:p w14:paraId="17321006"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69D6947" w14:textId="77777777" w:rsidR="00B15CEF" w:rsidRDefault="00B8282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01199/INFOEM/IP/RR/2023</w:t>
          </w:r>
        </w:p>
      </w:tc>
    </w:tr>
    <w:tr w:rsidR="00B15CEF" w14:paraId="627C5DE6" w14:textId="77777777">
      <w:trPr>
        <w:trHeight w:val="228"/>
      </w:trPr>
      <w:tc>
        <w:tcPr>
          <w:tcW w:w="2489" w:type="dxa"/>
          <w:shd w:val="clear" w:color="auto" w:fill="auto"/>
          <w:vAlign w:val="center"/>
        </w:tcPr>
        <w:p w14:paraId="23657867"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6C8DABE" w14:textId="77777777" w:rsidR="00B15CEF" w:rsidRDefault="00B8282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15CEF" w14:paraId="358C927B" w14:textId="77777777">
      <w:tc>
        <w:tcPr>
          <w:tcW w:w="2489" w:type="dxa"/>
          <w:shd w:val="clear" w:color="auto" w:fill="auto"/>
          <w:vAlign w:val="center"/>
        </w:tcPr>
        <w:p w14:paraId="582B2735" w14:textId="77777777" w:rsidR="00B15CEF" w:rsidRDefault="00B8282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A8BF041" w14:textId="77777777" w:rsidR="00B15CEF" w:rsidRDefault="00B8282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DC3A3E" w14:textId="77777777" w:rsidR="00B15CEF" w:rsidRDefault="00B8282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EB5C6" w14:textId="77777777" w:rsidR="00B15CEF" w:rsidRDefault="00B8282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8132DFB" wp14:editId="52D7D125">
          <wp:simplePos x="0" y="0"/>
          <wp:positionH relativeFrom="column">
            <wp:posOffset>-1079497</wp:posOffset>
          </wp:positionH>
          <wp:positionV relativeFrom="paragraph">
            <wp:posOffset>-254568</wp:posOffset>
          </wp:positionV>
          <wp:extent cx="7809865" cy="10165715"/>
          <wp:effectExtent l="0" t="0" r="0" b="0"/>
          <wp:wrapNone/>
          <wp:docPr id="20675916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5670" w:type="dxa"/>
      <w:tblInd w:w="3261" w:type="dxa"/>
      <w:tblLayout w:type="fixed"/>
      <w:tblLook w:val="0400" w:firstRow="0" w:lastRow="0" w:firstColumn="0" w:lastColumn="0" w:noHBand="0" w:noVBand="1"/>
    </w:tblPr>
    <w:tblGrid>
      <w:gridCol w:w="2551"/>
      <w:gridCol w:w="3119"/>
    </w:tblGrid>
    <w:tr w:rsidR="00B15CEF" w14:paraId="556B4461" w14:textId="77777777">
      <w:tc>
        <w:tcPr>
          <w:tcW w:w="2551" w:type="dxa"/>
          <w:shd w:val="clear" w:color="auto" w:fill="auto"/>
          <w:vAlign w:val="center"/>
        </w:tcPr>
        <w:p w14:paraId="3F007407"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F6FF734" w14:textId="77777777" w:rsidR="00B15CEF" w:rsidRDefault="00B8282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01199/INFOEM/IP/RR/2023</w:t>
          </w:r>
        </w:p>
      </w:tc>
    </w:tr>
    <w:tr w:rsidR="00B15CEF" w14:paraId="5B62D83E" w14:textId="77777777">
      <w:trPr>
        <w:trHeight w:val="130"/>
      </w:trPr>
      <w:tc>
        <w:tcPr>
          <w:tcW w:w="2551" w:type="dxa"/>
          <w:shd w:val="clear" w:color="auto" w:fill="auto"/>
          <w:vAlign w:val="center"/>
        </w:tcPr>
        <w:p w14:paraId="0F2B29D0"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5EFCB9C" w14:textId="77777777" w:rsidR="00B15CEF" w:rsidRDefault="00B15CEF">
          <w:pPr>
            <w:ind w:left="-45"/>
            <w:jc w:val="both"/>
            <w:rPr>
              <w:rFonts w:ascii="Palatino Linotype" w:eastAsia="Palatino Linotype" w:hAnsi="Palatino Linotype" w:cs="Palatino Linotype"/>
              <w:b/>
              <w:sz w:val="22"/>
              <w:szCs w:val="22"/>
            </w:rPr>
          </w:pPr>
        </w:p>
      </w:tc>
    </w:tr>
    <w:tr w:rsidR="00B15CEF" w14:paraId="04A85936" w14:textId="77777777">
      <w:trPr>
        <w:trHeight w:val="228"/>
      </w:trPr>
      <w:tc>
        <w:tcPr>
          <w:tcW w:w="2551" w:type="dxa"/>
          <w:shd w:val="clear" w:color="auto" w:fill="auto"/>
          <w:vAlign w:val="center"/>
        </w:tcPr>
        <w:p w14:paraId="7A0EA1AE"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E5D8447" w14:textId="77777777" w:rsidR="00B15CEF" w:rsidRDefault="00B8282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15CEF" w14:paraId="1395E1AA" w14:textId="77777777">
      <w:tc>
        <w:tcPr>
          <w:tcW w:w="2551" w:type="dxa"/>
          <w:shd w:val="clear" w:color="auto" w:fill="auto"/>
          <w:vAlign w:val="center"/>
        </w:tcPr>
        <w:p w14:paraId="49730FAF" w14:textId="77777777" w:rsidR="00B15CEF" w:rsidRDefault="00B8282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E2D86B6" w14:textId="77777777" w:rsidR="00B15CEF" w:rsidRDefault="00B8282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FEFFA9" w14:textId="77777777" w:rsidR="00B15CEF" w:rsidRDefault="00B15CEF">
    <w:pPr>
      <w:pBdr>
        <w:top w:val="nil"/>
        <w:left w:val="nil"/>
        <w:bottom w:val="nil"/>
        <w:right w:val="nil"/>
        <w:between w:val="nil"/>
      </w:pBdr>
      <w:tabs>
        <w:tab w:val="center" w:pos="4252"/>
        <w:tab w:val="right" w:pos="8504"/>
      </w:tabs>
      <w:rPr>
        <w:rFonts w:ascii="Cambria" w:eastAsia="Cambria" w:hAnsi="Cambria" w:cs="Cambria"/>
        <w:color w:val="000000"/>
      </w:rPr>
    </w:pPr>
  </w:p>
  <w:p w14:paraId="0CA2EC7C" w14:textId="77777777" w:rsidR="00B15CEF" w:rsidRDefault="00B15C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8A6F5A"/>
    <w:multiLevelType w:val="multilevel"/>
    <w:tmpl w:val="2286F17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57315B7"/>
    <w:multiLevelType w:val="multilevel"/>
    <w:tmpl w:val="6EFAE5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CEF"/>
    <w:rsid w:val="000E4DC9"/>
    <w:rsid w:val="00222392"/>
    <w:rsid w:val="004A76D3"/>
    <w:rsid w:val="00A16CE7"/>
    <w:rsid w:val="00B15CEF"/>
    <w:rsid w:val="00B8282C"/>
    <w:rsid w:val="00C33640"/>
    <w:rsid w:val="00E64680"/>
    <w:rsid w:val="00F235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749A6"/>
  <w15:docId w15:val="{12135389-1643-4512-A358-BBE4059B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0"/>
    <w:tblPr>
      <w:tblStyleRowBandSize w:val="1"/>
      <w:tblStyleColBandSize w:val="1"/>
      <w:tblCellMar>
        <w:top w:w="0" w:type="dxa"/>
        <w:left w:w="115" w:type="dxa"/>
        <w:bottom w:w="0" w:type="dxa"/>
        <w:right w:w="115" w:type="dxa"/>
      </w:tblCellMar>
    </w:tblPr>
  </w:style>
  <w:style w:type="table" w:customStyle="1" w:styleId="15">
    <w:name w:val="15"/>
    <w:basedOn w:val="TableNormal60"/>
    <w:tblPr>
      <w:tblStyleRowBandSize w:val="1"/>
      <w:tblStyleColBandSize w:val="1"/>
      <w:tblCellMar>
        <w:top w:w="0" w:type="dxa"/>
        <w:left w:w="115" w:type="dxa"/>
        <w:bottom w:w="0" w:type="dxa"/>
        <w:right w:w="115" w:type="dxa"/>
      </w:tblCellMar>
    </w:tblPr>
  </w:style>
  <w:style w:type="table" w:customStyle="1" w:styleId="14">
    <w:name w:val="14"/>
    <w:basedOn w:val="TableNormal70"/>
    <w:tblPr>
      <w:tblStyleRowBandSize w:val="1"/>
      <w:tblStyleColBandSize w:val="1"/>
      <w:tblCellMar>
        <w:top w:w="0" w:type="dxa"/>
        <w:left w:w="115" w:type="dxa"/>
        <w:bottom w:w="0" w:type="dxa"/>
        <w:right w:w="115" w:type="dxa"/>
      </w:tblCellMar>
    </w:tblPr>
  </w:style>
  <w:style w:type="table" w:customStyle="1" w:styleId="13">
    <w:name w:val="13"/>
    <w:basedOn w:val="TableNormal70"/>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top w:w="0" w:type="dxa"/>
        <w:left w:w="115" w:type="dxa"/>
        <w:bottom w:w="0" w:type="dxa"/>
        <w:right w:w="115" w:type="dxa"/>
      </w:tblCellMar>
    </w:tblPr>
  </w:style>
  <w:style w:type="table" w:customStyle="1" w:styleId="10">
    <w:name w:val="10"/>
    <w:basedOn w:val="TableNormal80"/>
    <w:tblPr>
      <w:tblStyleRowBandSize w:val="1"/>
      <w:tblStyleColBandSize w:val="1"/>
      <w:tblCellMar>
        <w:top w:w="0" w:type="dxa"/>
        <w:left w:w="115" w:type="dxa"/>
        <w:bottom w:w="0" w:type="dxa"/>
        <w:right w:w="115" w:type="dxa"/>
      </w:tblCellMar>
    </w:tblPr>
  </w:style>
  <w:style w:type="table" w:customStyle="1" w:styleId="24">
    <w:name w:val="24"/>
    <w:basedOn w:val="TableNormal90"/>
    <w:tblPr>
      <w:tblStyleRowBandSize w:val="1"/>
      <w:tblStyleColBandSize w:val="1"/>
      <w:tblCellMar>
        <w:top w:w="0" w:type="dxa"/>
        <w:left w:w="115" w:type="dxa"/>
        <w:bottom w:w="0" w:type="dxa"/>
        <w:right w:w="115" w:type="dxa"/>
      </w:tblCellMar>
    </w:tblPr>
  </w:style>
  <w:style w:type="table" w:customStyle="1" w:styleId="23">
    <w:name w:val="23"/>
    <w:basedOn w:val="TableNormal9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top w:w="0" w:type="dxa"/>
        <w:left w:w="115" w:type="dxa"/>
        <w:bottom w:w="0" w:type="dxa"/>
        <w:right w:w="115" w:type="dxa"/>
      </w:tblCellMar>
    </w:tblPr>
  </w:style>
  <w:style w:type="table" w:customStyle="1" w:styleId="21">
    <w:name w:val="21"/>
    <w:basedOn w:val="TableNormal90"/>
    <w:tblPr>
      <w:tblStyleRowBandSize w:val="1"/>
      <w:tblStyleColBandSize w:val="1"/>
      <w:tblCellMar>
        <w:top w:w="0" w:type="dxa"/>
        <w:left w:w="115" w:type="dxa"/>
        <w:bottom w:w="0" w:type="dxa"/>
        <w:right w:w="115" w:type="dxa"/>
      </w:tblCellMar>
    </w:tblPr>
  </w:style>
  <w:style w:type="table" w:customStyle="1" w:styleId="a">
    <w:basedOn w:val="TableNormalb"/>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b"/>
    <w:tblPr>
      <w:tblStyleRowBandSize w:val="1"/>
      <w:tblStyleColBandSize w:val="1"/>
      <w:tblCellMar>
        <w:top w:w="0" w:type="dxa"/>
        <w:left w:w="115" w:type="dxa"/>
        <w:bottom w:w="0" w:type="dxa"/>
        <w:right w:w="115" w:type="dxa"/>
      </w:tblCellMar>
    </w:tblPr>
  </w:style>
  <w:style w:type="table" w:customStyle="1" w:styleId="a2">
    <w:basedOn w:val="TableNormalb"/>
    <w:tblPr>
      <w:tblStyleRowBandSize w:val="1"/>
      <w:tblStyleColBandSize w:val="1"/>
      <w:tblCellMar>
        <w:top w:w="0" w:type="dxa"/>
        <w:left w:w="115" w:type="dxa"/>
        <w:bottom w:w="0" w:type="dxa"/>
        <w:right w:w="115" w:type="dxa"/>
      </w:tblCellMar>
    </w:tblPr>
  </w:style>
  <w:style w:type="table" w:customStyle="1" w:styleId="a3">
    <w:basedOn w:val="TableNormala"/>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a"/>
    <w:tblPr>
      <w:tblStyleRowBandSize w:val="1"/>
      <w:tblStyleColBandSize w:val="1"/>
      <w:tblCellMar>
        <w:top w:w="0" w:type="dxa"/>
        <w:left w:w="115" w:type="dxa"/>
        <w:bottom w:w="0" w:type="dxa"/>
        <w:right w:w="115" w:type="dxa"/>
      </w:tblCellMar>
    </w:tblPr>
  </w:style>
  <w:style w:type="table" w:customStyle="1" w:styleId="a5">
    <w:basedOn w:val="TableNormala"/>
    <w:tblPr>
      <w:tblStyleRowBandSize w:val="1"/>
      <w:tblStyleColBandSize w:val="1"/>
      <w:tblCellMar>
        <w:top w:w="0" w:type="dxa"/>
        <w:left w:w="115" w:type="dxa"/>
        <w:bottom w:w="0" w:type="dxa"/>
        <w:right w:w="115" w:type="dxa"/>
      </w:tblCellMar>
    </w:tblPr>
  </w:style>
  <w:style w:type="table" w:customStyle="1" w:styleId="a6">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9"/>
    <w:tblPr>
      <w:tblStyleRowBandSize w:val="1"/>
      <w:tblStyleColBandSize w:val="1"/>
      <w:tblCellMar>
        <w:top w:w="0" w:type="dxa"/>
        <w:left w:w="115" w:type="dxa"/>
        <w:bottom w:w="0" w:type="dxa"/>
        <w:right w:w="115" w:type="dxa"/>
      </w:tblCellMar>
    </w:tblPr>
  </w:style>
  <w:style w:type="table" w:customStyle="1" w:styleId="a8">
    <w:basedOn w:val="TableNormal9"/>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8"/>
    <w:tblPr>
      <w:tblStyleRowBandSize w:val="1"/>
      <w:tblStyleColBandSize w:val="1"/>
      <w:tblCellMar>
        <w:top w:w="0" w:type="dxa"/>
        <w:left w:w="115" w:type="dxa"/>
        <w:bottom w:w="0" w:type="dxa"/>
        <w:right w:w="115" w:type="dxa"/>
      </w:tblCellMar>
    </w:tblPr>
  </w:style>
  <w:style w:type="table" w:customStyle="1" w:styleId="ab">
    <w:basedOn w:val="TableNormal8"/>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7"/>
    <w:tblPr>
      <w:tblStyleRowBandSize w:val="1"/>
      <w:tblStyleColBandSize w:val="1"/>
      <w:tblCellMar>
        <w:top w:w="0" w:type="dxa"/>
        <w:left w:w="108" w:type="dxa"/>
        <w:bottom w:w="0" w:type="dxa"/>
        <w:right w:w="108" w:type="dxa"/>
      </w:tblCellMar>
    </w:tblPr>
  </w:style>
  <w:style w:type="table" w:customStyle="1" w:styleId="ad">
    <w:basedOn w:val="TableNormal7"/>
    <w:tblPr>
      <w:tblStyleRowBandSize w:val="1"/>
      <w:tblStyleColBandSize w:val="1"/>
      <w:tblCellMar>
        <w:top w:w="0" w:type="dxa"/>
        <w:left w:w="108" w:type="dxa"/>
        <w:bottom w:w="0" w:type="dxa"/>
        <w:right w:w="108" w:type="dxa"/>
      </w:tblCellMar>
    </w:tblPr>
  </w:style>
  <w:style w:type="table" w:customStyle="1" w:styleId="ae">
    <w:basedOn w:val="TableNormal7"/>
    <w:tblPr>
      <w:tblStyleRowBandSize w:val="1"/>
      <w:tblStyleColBandSize w:val="1"/>
      <w:tblCellMar>
        <w:top w:w="0" w:type="dxa"/>
        <w:left w:w="108" w:type="dxa"/>
        <w:bottom w:w="0" w:type="dxa"/>
        <w:right w:w="108" w:type="dxa"/>
      </w:tblCellMar>
    </w:tblPr>
  </w:style>
  <w:style w:type="table" w:customStyle="1" w:styleId="af">
    <w:basedOn w:val="TableNormal7"/>
    <w:tblPr>
      <w:tblStyleRowBandSize w:val="1"/>
      <w:tblStyleColBandSize w:val="1"/>
      <w:tblCellMar>
        <w:top w:w="0" w:type="dxa"/>
        <w:left w:w="115" w:type="dxa"/>
        <w:bottom w:w="0" w:type="dxa"/>
        <w:right w:w="115" w:type="dxa"/>
      </w:tblCellMar>
    </w:tblPr>
  </w:style>
  <w:style w:type="table" w:customStyle="1" w:styleId="af0">
    <w:basedOn w:val="TableNormal7"/>
    <w:tblPr>
      <w:tblStyleRowBandSize w:val="1"/>
      <w:tblStyleColBandSize w:val="1"/>
      <w:tblCellMar>
        <w:top w:w="0" w:type="dxa"/>
        <w:left w:w="115" w:type="dxa"/>
        <w:bottom w:w="0" w:type="dxa"/>
        <w:right w:w="115" w:type="dxa"/>
      </w:tblCellMar>
    </w:tblPr>
  </w:style>
  <w:style w:type="table" w:customStyle="1" w:styleId="af1">
    <w:basedOn w:val="TableNormal6"/>
    <w:tblPr>
      <w:tblStyleRowBandSize w:val="1"/>
      <w:tblStyleColBandSize w:val="1"/>
      <w:tblCellMar>
        <w:top w:w="0" w:type="dxa"/>
        <w:left w:w="115" w:type="dxa"/>
        <w:bottom w:w="0" w:type="dxa"/>
        <w:right w:w="115" w:type="dxa"/>
      </w:tblCellMar>
    </w:tblPr>
  </w:style>
  <w:style w:type="table" w:customStyle="1" w:styleId="af2">
    <w:basedOn w:val="TableNormal6"/>
    <w:tblPr>
      <w:tblStyleRowBandSize w:val="1"/>
      <w:tblStyleColBandSize w:val="1"/>
      <w:tblCellMar>
        <w:top w:w="0" w:type="dxa"/>
        <w:left w:w="115" w:type="dxa"/>
        <w:bottom w:w="0" w:type="dxa"/>
        <w:right w:w="115" w:type="dxa"/>
      </w:tblCellMar>
    </w:tblPr>
  </w:style>
  <w:style w:type="table" w:customStyle="1" w:styleId="af3">
    <w:basedOn w:val="TableNormal5"/>
    <w:tblPr>
      <w:tblStyleRowBandSize w:val="1"/>
      <w:tblStyleColBandSize w:val="1"/>
      <w:tblCellMar>
        <w:top w:w="0" w:type="dxa"/>
        <w:left w:w="115" w:type="dxa"/>
        <w:bottom w:w="0" w:type="dxa"/>
        <w:right w:w="115" w:type="dxa"/>
      </w:tblCellMar>
    </w:tblPr>
  </w:style>
  <w:style w:type="table" w:customStyle="1" w:styleId="af4">
    <w:basedOn w:val="TableNormal5"/>
    <w:tblPr>
      <w:tblStyleRowBandSize w:val="1"/>
      <w:tblStyleColBandSize w:val="1"/>
      <w:tblCellMar>
        <w:top w:w="0" w:type="dxa"/>
        <w:left w:w="115" w:type="dxa"/>
        <w:bottom w:w="0" w:type="dxa"/>
        <w:right w:w="115" w:type="dxa"/>
      </w:tblCellMar>
    </w:tblPr>
  </w:style>
  <w:style w:type="character" w:customStyle="1" w:styleId="Mencinsinresolver5">
    <w:name w:val="Mención sin resolver5"/>
    <w:basedOn w:val="Fuentedeprrafopredeter"/>
    <w:uiPriority w:val="99"/>
    <w:semiHidden/>
    <w:unhideWhenUsed/>
    <w:rsid w:val="00C70AEE"/>
    <w:rPr>
      <w:color w:val="605E5C"/>
      <w:shd w:val="clear" w:color="auto" w:fill="E1DFDD"/>
    </w:r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15" w:type="dxa"/>
        <w:bottom w:w="0" w:type="dxa"/>
        <w:right w:w="115" w:type="dxa"/>
      </w:tblCellMar>
    </w:tblPr>
  </w:style>
  <w:style w:type="table" w:customStyle="1" w:styleId="af7">
    <w:basedOn w:val="TableNormal3"/>
    <w:tblPr>
      <w:tblStyleRowBandSize w:val="1"/>
      <w:tblStyleColBandSize w:val="1"/>
      <w:tblCellMar>
        <w:top w:w="0" w:type="dxa"/>
        <w:left w:w="115" w:type="dxa"/>
        <w:bottom w:w="0" w:type="dxa"/>
        <w:right w:w="115" w:type="dxa"/>
      </w:tblCellMar>
    </w:tblPr>
  </w:style>
  <w:style w:type="table" w:customStyle="1" w:styleId="af8">
    <w:basedOn w:val="TableNormal3"/>
    <w:tblPr>
      <w:tblStyleRowBandSize w:val="1"/>
      <w:tblStyleColBandSize w:val="1"/>
      <w:tblCellMar>
        <w:top w:w="0" w:type="dxa"/>
        <w:left w:w="115" w:type="dxa"/>
        <w:bottom w:w="0" w:type="dxa"/>
        <w:right w:w="115" w:type="dxa"/>
      </w:tblCellMar>
    </w:tbl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tblPr>
      <w:tblStyleRowBandSize w:val="1"/>
      <w:tblStyleColBandSize w:val="1"/>
      <w:tblCellMar>
        <w:top w:w="0" w:type="dxa"/>
        <w:left w:w="115" w:type="dxa"/>
        <w:bottom w:w="0" w:type="dxa"/>
        <w:right w:w="115"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08" w:type="dxa"/>
        <w:bottom w:w="0" w:type="dxa"/>
        <w:right w:w="108" w:type="dxa"/>
      </w:tblCellMar>
    </w:tblPr>
  </w:style>
  <w:style w:type="table" w:customStyle="1" w:styleId="aff0">
    <w:basedOn w:val="TableNormal1"/>
    <w:tblPr>
      <w:tblStyleRowBandSize w:val="1"/>
      <w:tblStyleColBandSize w:val="1"/>
      <w:tblCellMar>
        <w:top w:w="0" w:type="dxa"/>
        <w:left w:w="115" w:type="dxa"/>
        <w:bottom w:w="0" w:type="dxa"/>
        <w:right w:w="115" w:type="dxa"/>
      </w:tblCellMar>
    </w:tblPr>
  </w:style>
  <w:style w:type="table" w:customStyle="1" w:styleId="aff1">
    <w:basedOn w:val="TableNormal1"/>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31.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34.png"/><Relationship Id="rId35" Type="http://schemas.openxmlformats.org/officeDocument/2006/relationships/image" Target="media/image32.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30.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GrTFuhAx2BqVJ7iYvZ513cMVYA==">CgMxLjAyCGguZ2pkZ3hzMgloLjNkeTZ2a20yCWguMzBqMHpsbDIJaC4yczhleW8xMghoLnR5amN3dDIJaC4zem55c2g3Mg5oLnU4cWZkZXlsY3V6ZTIJaC4yZXQ5MnAwMgloLjFmb2I5dGUyCGgubG54Yno5MgloLjE3ZHA4dnUyCWguNGQzNG9nODIJaC4zcmRjcmpuMgloLjF0M2g1c2Y4AHIhMXI2a1hzLXRBQzN3WW1rWkp6WW1CVUx5ZU5SQVNlQkZ0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13933</Words>
  <Characters>76634</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2023-08-04T16:58:00Z</cp:lastPrinted>
  <dcterms:created xsi:type="dcterms:W3CDTF">2023-08-16T17:26:00Z</dcterms:created>
  <dcterms:modified xsi:type="dcterms:W3CDTF">2023-08-16T17:26:00Z</dcterms:modified>
</cp:coreProperties>
</file>