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9EE0F" w14:textId="77777777" w:rsidR="005B4D53" w:rsidRPr="00BB6C13" w:rsidRDefault="00415904">
      <w:pPr>
        <w:spacing w:before="240" w:after="240"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veintinueve de marzo de dos mil veintitrés. </w:t>
      </w:r>
    </w:p>
    <w:p w14:paraId="1C3E88B2" w14:textId="3063CA88" w:rsidR="005B4D53" w:rsidRPr="00BB6C13" w:rsidRDefault="00415904">
      <w:pPr>
        <w:spacing w:before="240" w:after="240"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b/>
        </w:rPr>
        <w:t>VISTO</w:t>
      </w:r>
      <w:r w:rsidRPr="00BB6C13">
        <w:rPr>
          <w:rFonts w:ascii="Palatino Linotype" w:eastAsia="Palatino Linotype" w:hAnsi="Palatino Linotype" w:cs="Palatino Linotype"/>
        </w:rPr>
        <w:t xml:space="preserve"> el expediente formado con motivo del recurso de revisión </w:t>
      </w:r>
      <w:r w:rsidRPr="00BB6C13">
        <w:rPr>
          <w:rFonts w:ascii="Palatino Linotype" w:eastAsia="Palatino Linotype" w:hAnsi="Palatino Linotype" w:cs="Palatino Linotype"/>
          <w:b/>
        </w:rPr>
        <w:t>17004/INFOEM/IP/RR/2022</w:t>
      </w:r>
      <w:r w:rsidRPr="00BB6C13">
        <w:rPr>
          <w:rFonts w:ascii="Palatino Linotype" w:eastAsia="Palatino Linotype" w:hAnsi="Palatino Linotype" w:cs="Palatino Linotype"/>
        </w:rPr>
        <w:t>, interpuesto por</w:t>
      </w:r>
      <w:r w:rsidRPr="00BB6C13">
        <w:rPr>
          <w:rFonts w:ascii="Palatino Linotype" w:eastAsia="Palatino Linotype" w:hAnsi="Palatino Linotype" w:cs="Palatino Linotype"/>
          <w:b/>
        </w:rPr>
        <w:t xml:space="preserve"> </w:t>
      </w:r>
      <w:r w:rsidR="008C0D5D">
        <w:rPr>
          <w:rFonts w:ascii="Palatino Linotype" w:eastAsia="Palatino Linotype" w:hAnsi="Palatino Linotype" w:cs="Palatino Linotype"/>
          <w:b/>
        </w:rPr>
        <w:t>XXXXXX XXXXX XXXX</w:t>
      </w:r>
      <w:r w:rsidRPr="00BB6C13">
        <w:rPr>
          <w:rFonts w:ascii="Palatino Linotype" w:eastAsia="Palatino Linotype" w:hAnsi="Palatino Linotype" w:cs="Palatino Linotype"/>
          <w:b/>
        </w:rPr>
        <w:t>,</w:t>
      </w:r>
      <w:r w:rsidRPr="00BB6C13">
        <w:rPr>
          <w:rFonts w:ascii="Palatino Linotype" w:eastAsia="Palatino Linotype" w:hAnsi="Palatino Linotype" w:cs="Palatino Linotype"/>
        </w:rPr>
        <w:t xml:space="preserve"> en lo sucesivo la </w:t>
      </w:r>
      <w:r w:rsidRPr="00BB6C13">
        <w:rPr>
          <w:rFonts w:ascii="Palatino Linotype" w:eastAsia="Palatino Linotype" w:hAnsi="Palatino Linotype" w:cs="Palatino Linotype"/>
          <w:b/>
        </w:rPr>
        <w:t>RECURRENTE,</w:t>
      </w:r>
      <w:r w:rsidRPr="00BB6C13">
        <w:rPr>
          <w:rFonts w:ascii="Palatino Linotype" w:eastAsia="Palatino Linotype" w:hAnsi="Palatino Linotype" w:cs="Palatino Linotype"/>
        </w:rPr>
        <w:t xml:space="preserve"> en contra de la respuesta a su solicitud de información con número de folio</w:t>
      </w:r>
      <w:r w:rsidRPr="00BB6C13">
        <w:rPr>
          <w:rFonts w:ascii="Palatino Linotype" w:eastAsia="Palatino Linotype" w:hAnsi="Palatino Linotype" w:cs="Palatino Linotype"/>
          <w:b/>
        </w:rPr>
        <w:t xml:space="preserve"> 02349/TOLUCA/IP/2022, </w:t>
      </w:r>
      <w:r w:rsidRPr="00BB6C13">
        <w:rPr>
          <w:rFonts w:ascii="Palatino Linotype" w:eastAsia="Palatino Linotype" w:hAnsi="Palatino Linotype" w:cs="Palatino Linotype"/>
        </w:rPr>
        <w:t xml:space="preserve">por parte del </w:t>
      </w:r>
      <w:r w:rsidRPr="00BB6C13">
        <w:rPr>
          <w:rFonts w:ascii="Palatino Linotype" w:eastAsia="Palatino Linotype" w:hAnsi="Palatino Linotype" w:cs="Palatino Linotype"/>
          <w:b/>
        </w:rPr>
        <w:t xml:space="preserve">Ayuntamiento de Toluca, </w:t>
      </w:r>
      <w:r w:rsidRPr="00BB6C13">
        <w:rPr>
          <w:rFonts w:ascii="Palatino Linotype" w:eastAsia="Palatino Linotype" w:hAnsi="Palatino Linotype" w:cs="Palatino Linotype"/>
        </w:rPr>
        <w:t xml:space="preserve">en lo sucesivo el </w:t>
      </w:r>
      <w:r w:rsidRPr="00BB6C13">
        <w:rPr>
          <w:rFonts w:ascii="Palatino Linotype" w:eastAsia="Palatino Linotype" w:hAnsi="Palatino Linotype" w:cs="Palatino Linotype"/>
          <w:b/>
        </w:rPr>
        <w:t xml:space="preserve">SUJETO OBLIGADO, </w:t>
      </w:r>
      <w:r w:rsidRPr="00BB6C13">
        <w:rPr>
          <w:rFonts w:ascii="Palatino Linotype" w:eastAsia="Palatino Linotype" w:hAnsi="Palatino Linotype" w:cs="Palatino Linotype"/>
        </w:rPr>
        <w:t xml:space="preserve">se procede a dictar la presente resolución con base en los siguientes: </w:t>
      </w:r>
    </w:p>
    <w:p w14:paraId="260EE6F0" w14:textId="77777777" w:rsidR="005B4D53" w:rsidRPr="00BB6C13" w:rsidRDefault="00415904">
      <w:pPr>
        <w:spacing w:before="240" w:after="240" w:line="360" w:lineRule="auto"/>
        <w:jc w:val="center"/>
        <w:rPr>
          <w:rFonts w:ascii="Palatino Linotype" w:eastAsia="Palatino Linotype" w:hAnsi="Palatino Linotype" w:cs="Palatino Linotype"/>
          <w:b/>
        </w:rPr>
      </w:pPr>
      <w:r w:rsidRPr="00BB6C13">
        <w:rPr>
          <w:rFonts w:ascii="Palatino Linotype" w:eastAsia="Palatino Linotype" w:hAnsi="Palatino Linotype" w:cs="Palatino Linotype"/>
          <w:b/>
        </w:rPr>
        <w:t>I. A N T E C E D E N T E S</w:t>
      </w:r>
    </w:p>
    <w:p w14:paraId="24BE4999" w14:textId="77777777" w:rsidR="005B4D53" w:rsidRPr="00BB6C13" w:rsidRDefault="00415904">
      <w:pPr>
        <w:spacing w:before="240" w:after="240"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b/>
        </w:rPr>
        <w:t>1. Solicitud de acceso a la información.</w:t>
      </w:r>
      <w:r w:rsidRPr="00BB6C13">
        <w:rPr>
          <w:rFonts w:ascii="Palatino Linotype" w:eastAsia="Palatino Linotype" w:hAnsi="Palatino Linotype" w:cs="Palatino Linotype"/>
        </w:rPr>
        <w:t xml:space="preserve"> Con fecha </w:t>
      </w:r>
      <w:r w:rsidRPr="00BB6C13">
        <w:rPr>
          <w:rFonts w:ascii="Palatino Linotype" w:eastAsia="Palatino Linotype" w:hAnsi="Palatino Linotype" w:cs="Palatino Linotype"/>
          <w:b/>
        </w:rPr>
        <w:t>diecinueve de septiembre de dos mil veintidós,</w:t>
      </w:r>
      <w:r w:rsidRPr="00BB6C13">
        <w:rPr>
          <w:rFonts w:ascii="Palatino Linotype" w:eastAsia="Palatino Linotype" w:hAnsi="Palatino Linotype" w:cs="Palatino Linotype"/>
        </w:rPr>
        <w:t xml:space="preserve"> la parte </w:t>
      </w:r>
      <w:r w:rsidRPr="00BB6C13">
        <w:rPr>
          <w:rFonts w:ascii="Palatino Linotype" w:eastAsia="Palatino Linotype" w:hAnsi="Palatino Linotype" w:cs="Palatino Linotype"/>
          <w:b/>
        </w:rPr>
        <w:t xml:space="preserve">RECURRENTE </w:t>
      </w:r>
      <w:r w:rsidRPr="00BB6C13">
        <w:rPr>
          <w:rFonts w:ascii="Palatino Linotype" w:eastAsia="Palatino Linotype" w:hAnsi="Palatino Linotype" w:cs="Palatino Linotype"/>
        </w:rPr>
        <w:t xml:space="preserve">presentó, a través del Sistema de Acceso a la Información Mexiquense, en lo subsecuente el </w:t>
      </w:r>
      <w:r w:rsidRPr="00BB6C13">
        <w:rPr>
          <w:rFonts w:ascii="Palatino Linotype" w:eastAsia="Palatino Linotype" w:hAnsi="Palatino Linotype" w:cs="Palatino Linotype"/>
          <w:b/>
        </w:rPr>
        <w:t>SAIMEX,</w:t>
      </w:r>
      <w:r w:rsidRPr="00BB6C13">
        <w:rPr>
          <w:rFonts w:ascii="Palatino Linotype" w:eastAsia="Palatino Linotype" w:hAnsi="Palatino Linotype" w:cs="Palatino Linotype"/>
        </w:rPr>
        <w:t xml:space="preserve"> ante el </w:t>
      </w:r>
      <w:r w:rsidRPr="00BB6C13">
        <w:rPr>
          <w:rFonts w:ascii="Palatino Linotype" w:eastAsia="Palatino Linotype" w:hAnsi="Palatino Linotype" w:cs="Palatino Linotype"/>
          <w:b/>
        </w:rPr>
        <w:t>SUJETO OBLIGADO</w:t>
      </w:r>
      <w:r w:rsidRPr="00BB6C13">
        <w:rPr>
          <w:rFonts w:ascii="Palatino Linotype" w:eastAsia="Palatino Linotype" w:hAnsi="Palatino Linotype" w:cs="Palatino Linotype"/>
        </w:rPr>
        <w:t>, la solicitud de acceso a la información pública, a la que se le asignó el número</w:t>
      </w:r>
      <w:r w:rsidRPr="00BB6C13">
        <w:rPr>
          <w:rFonts w:ascii="Palatino Linotype" w:eastAsia="Palatino Linotype" w:hAnsi="Palatino Linotype" w:cs="Palatino Linotype"/>
          <w:b/>
        </w:rPr>
        <w:t xml:space="preserve"> 02349/TOLUCA/IP/2022, </w:t>
      </w:r>
      <w:r w:rsidRPr="00BB6C13">
        <w:rPr>
          <w:rFonts w:ascii="Palatino Linotype" w:eastAsia="Palatino Linotype" w:hAnsi="Palatino Linotype" w:cs="Palatino Linotype"/>
        </w:rPr>
        <w:t xml:space="preserve">mediante la cual requirió la información siguiente: </w:t>
      </w:r>
    </w:p>
    <w:p w14:paraId="331A4634" w14:textId="77777777" w:rsidR="005B4D53" w:rsidRPr="00BB6C13" w:rsidRDefault="00415904">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BB6C13">
        <w:rPr>
          <w:rFonts w:ascii="Palatino Linotype" w:eastAsia="Palatino Linotype" w:hAnsi="Palatino Linotype" w:cs="Palatino Linotype"/>
          <w:i/>
          <w:sz w:val="22"/>
          <w:szCs w:val="22"/>
        </w:rPr>
        <w:t xml:space="preserve">“Solicito la información detallada de los pagos a proveedores que quedaron pendiente (pasivo) del año 2019 a 2021 y que serán pagados durante 2022 a 2024, </w:t>
      </w:r>
      <w:r w:rsidRPr="00BB6C13">
        <w:rPr>
          <w:rFonts w:ascii="Palatino Linotype" w:eastAsia="Palatino Linotype" w:hAnsi="Palatino Linotype" w:cs="Palatino Linotype"/>
          <w:b/>
          <w:i/>
          <w:sz w:val="22"/>
          <w:szCs w:val="22"/>
        </w:rPr>
        <w:t xml:space="preserve">indicando </w:t>
      </w:r>
      <w:proofErr w:type="spellStart"/>
      <w:r w:rsidRPr="00BB6C13">
        <w:rPr>
          <w:rFonts w:ascii="Palatino Linotype" w:eastAsia="Palatino Linotype" w:hAnsi="Palatino Linotype" w:cs="Palatino Linotype"/>
          <w:b/>
          <w:i/>
          <w:sz w:val="22"/>
          <w:szCs w:val="22"/>
        </w:rPr>
        <w:t>numero</w:t>
      </w:r>
      <w:proofErr w:type="spellEnd"/>
      <w:r w:rsidRPr="00BB6C13">
        <w:rPr>
          <w:rFonts w:ascii="Palatino Linotype" w:eastAsia="Palatino Linotype" w:hAnsi="Palatino Linotype" w:cs="Palatino Linotype"/>
          <w:b/>
          <w:i/>
          <w:sz w:val="22"/>
          <w:szCs w:val="22"/>
        </w:rPr>
        <w:t xml:space="preserve"> de factura, nombre de proveedor, conceptos a pagar, cantidad sin </w:t>
      </w:r>
      <w:proofErr w:type="spellStart"/>
      <w:r w:rsidRPr="00BB6C13">
        <w:rPr>
          <w:rFonts w:ascii="Palatino Linotype" w:eastAsia="Palatino Linotype" w:hAnsi="Palatino Linotype" w:cs="Palatino Linotype"/>
          <w:b/>
          <w:i/>
          <w:sz w:val="22"/>
          <w:szCs w:val="22"/>
        </w:rPr>
        <w:t>iva</w:t>
      </w:r>
      <w:proofErr w:type="spellEnd"/>
      <w:r w:rsidRPr="00BB6C13">
        <w:rPr>
          <w:rFonts w:ascii="Palatino Linotype" w:eastAsia="Palatino Linotype" w:hAnsi="Palatino Linotype" w:cs="Palatino Linotype"/>
          <w:b/>
          <w:i/>
          <w:sz w:val="22"/>
          <w:szCs w:val="22"/>
        </w:rPr>
        <w:t xml:space="preserve">, </w:t>
      </w:r>
      <w:proofErr w:type="spellStart"/>
      <w:r w:rsidRPr="00BB6C13">
        <w:rPr>
          <w:rFonts w:ascii="Palatino Linotype" w:eastAsia="Palatino Linotype" w:hAnsi="Palatino Linotype" w:cs="Palatino Linotype"/>
          <w:b/>
          <w:i/>
          <w:sz w:val="22"/>
          <w:szCs w:val="22"/>
        </w:rPr>
        <w:t>iva</w:t>
      </w:r>
      <w:proofErr w:type="spellEnd"/>
      <w:r w:rsidRPr="00BB6C13">
        <w:rPr>
          <w:rFonts w:ascii="Palatino Linotype" w:eastAsia="Palatino Linotype" w:hAnsi="Palatino Linotype" w:cs="Palatino Linotype"/>
          <w:b/>
          <w:i/>
          <w:sz w:val="22"/>
          <w:szCs w:val="22"/>
        </w:rPr>
        <w:t xml:space="preserve"> de la factura, fecha de pago</w:t>
      </w:r>
      <w:r w:rsidRPr="00BB6C13">
        <w:rPr>
          <w:rFonts w:ascii="Palatino Linotype" w:eastAsia="Palatino Linotype" w:hAnsi="Palatino Linotype" w:cs="Palatino Linotype"/>
          <w:i/>
          <w:sz w:val="22"/>
          <w:szCs w:val="22"/>
        </w:rPr>
        <w:t xml:space="preserve">, indicando además cuanto se </w:t>
      </w:r>
      <w:proofErr w:type="gramStart"/>
      <w:r w:rsidRPr="00BB6C13">
        <w:rPr>
          <w:rFonts w:ascii="Palatino Linotype" w:eastAsia="Palatino Linotype" w:hAnsi="Palatino Linotype" w:cs="Palatino Linotype"/>
          <w:i/>
          <w:sz w:val="22"/>
          <w:szCs w:val="22"/>
        </w:rPr>
        <w:t>le</w:t>
      </w:r>
      <w:proofErr w:type="gramEnd"/>
      <w:r w:rsidRPr="00BB6C13">
        <w:rPr>
          <w:rFonts w:ascii="Palatino Linotype" w:eastAsia="Palatino Linotype" w:hAnsi="Palatino Linotype" w:cs="Palatino Linotype"/>
          <w:i/>
          <w:sz w:val="22"/>
          <w:szCs w:val="22"/>
        </w:rPr>
        <w:t xml:space="preserve"> adeuda a todos los proveedores” (Sic)</w:t>
      </w:r>
    </w:p>
    <w:p w14:paraId="120407A5" w14:textId="77777777" w:rsidR="005B4D53" w:rsidRPr="00BB6C13" w:rsidRDefault="005B4D53">
      <w:pPr>
        <w:spacing w:before="240"/>
        <w:ind w:left="851" w:right="902"/>
        <w:jc w:val="both"/>
        <w:rPr>
          <w:rFonts w:ascii="Palatino Linotype" w:eastAsia="Palatino Linotype" w:hAnsi="Palatino Linotype" w:cs="Palatino Linotype"/>
          <w:i/>
          <w:sz w:val="22"/>
          <w:szCs w:val="22"/>
        </w:rPr>
      </w:pPr>
    </w:p>
    <w:p w14:paraId="3FA5F4BF" w14:textId="77777777" w:rsidR="005B4D53" w:rsidRPr="00BB6C13" w:rsidRDefault="00415904">
      <w:pPr>
        <w:spacing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b/>
        </w:rPr>
        <w:t>Modalidad de Entrega:</w:t>
      </w:r>
      <w:r w:rsidRPr="00BB6C13">
        <w:rPr>
          <w:rFonts w:ascii="Palatino Linotype" w:eastAsia="Palatino Linotype" w:hAnsi="Palatino Linotype" w:cs="Palatino Linotype"/>
        </w:rPr>
        <w:t xml:space="preserve"> A través de SAIMEX.</w:t>
      </w:r>
    </w:p>
    <w:p w14:paraId="5CAB18E1" w14:textId="77777777" w:rsidR="005B4D53" w:rsidRPr="00BB6C13" w:rsidRDefault="005B4D53">
      <w:pPr>
        <w:spacing w:line="360" w:lineRule="auto"/>
        <w:jc w:val="both"/>
        <w:rPr>
          <w:rFonts w:ascii="Palatino Linotype" w:eastAsia="Palatino Linotype" w:hAnsi="Palatino Linotype" w:cs="Palatino Linotype"/>
        </w:rPr>
      </w:pPr>
    </w:p>
    <w:p w14:paraId="2AE6533F" w14:textId="77777777" w:rsidR="005B4D53" w:rsidRPr="00BB6C13" w:rsidRDefault="00415904">
      <w:pPr>
        <w:spacing w:after="240" w:line="360" w:lineRule="auto"/>
        <w:jc w:val="both"/>
        <w:rPr>
          <w:rFonts w:ascii="Palatino Linotype" w:eastAsia="Palatino Linotype" w:hAnsi="Palatino Linotype" w:cs="Palatino Linotype"/>
          <w:b/>
        </w:rPr>
      </w:pPr>
      <w:r w:rsidRPr="00BB6C13">
        <w:rPr>
          <w:rFonts w:ascii="Palatino Linotype" w:eastAsia="Palatino Linotype" w:hAnsi="Palatino Linotype" w:cs="Palatino Linotype"/>
          <w:b/>
        </w:rPr>
        <w:lastRenderedPageBreak/>
        <w:t xml:space="preserve">2. Respuesta. </w:t>
      </w:r>
      <w:r w:rsidRPr="00BB6C13">
        <w:rPr>
          <w:rFonts w:ascii="Palatino Linotype" w:eastAsia="Palatino Linotype" w:hAnsi="Palatino Linotype" w:cs="Palatino Linotype"/>
        </w:rPr>
        <w:t xml:space="preserve">Con fecha </w:t>
      </w:r>
      <w:r w:rsidRPr="00BB6C13">
        <w:rPr>
          <w:rFonts w:ascii="Palatino Linotype" w:eastAsia="Palatino Linotype" w:hAnsi="Palatino Linotype" w:cs="Palatino Linotype"/>
          <w:b/>
        </w:rPr>
        <w:t>veintinueve de noviembre de dos mil veintidós</w:t>
      </w:r>
      <w:r w:rsidRPr="00BB6C13">
        <w:rPr>
          <w:rFonts w:ascii="Palatino Linotype" w:eastAsia="Palatino Linotype" w:hAnsi="Palatino Linotype" w:cs="Palatino Linotype"/>
        </w:rPr>
        <w:t xml:space="preserve">, el </w:t>
      </w:r>
      <w:r w:rsidRPr="00BB6C13">
        <w:rPr>
          <w:rFonts w:ascii="Palatino Linotype" w:eastAsia="Palatino Linotype" w:hAnsi="Palatino Linotype" w:cs="Palatino Linotype"/>
          <w:b/>
        </w:rPr>
        <w:t xml:space="preserve">SUJETO OBLIGADO </w:t>
      </w:r>
      <w:r w:rsidRPr="00BB6C13">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611453C1" w14:textId="77777777" w:rsidR="005B4D53" w:rsidRPr="00BB6C13" w:rsidRDefault="00415904">
      <w:pPr>
        <w:spacing w:before="240"/>
        <w:ind w:left="851" w:right="902"/>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w:t>
      </w:r>
      <w:r w:rsidRPr="00BB6C13">
        <w:rPr>
          <w:rFonts w:ascii="Palatino Linotype" w:eastAsia="Palatino Linotype" w:hAnsi="Palatino Linotype" w:cs="Palatino Linotype"/>
          <w:i/>
          <w:color w:val="000000"/>
          <w:sz w:val="22"/>
          <w:szCs w:val="22"/>
        </w:rPr>
        <w:t>En atención a la solicitud con folio 02349/TOLUCA/IP/2022, me permito adjuntar al presente la respuesta correspondiente y anexo. Sin más por el momento, reciba un saludo</w:t>
      </w:r>
      <w:r w:rsidRPr="00BB6C13">
        <w:rPr>
          <w:rFonts w:ascii="Palatino Linotype" w:eastAsia="Palatino Linotype" w:hAnsi="Palatino Linotype" w:cs="Palatino Linotype"/>
          <w:i/>
          <w:sz w:val="22"/>
          <w:szCs w:val="22"/>
        </w:rPr>
        <w:t>...” (Sic)</w:t>
      </w:r>
    </w:p>
    <w:p w14:paraId="63DDF1F8" w14:textId="77777777" w:rsidR="005B4D53" w:rsidRPr="00BB6C13" w:rsidRDefault="00415904">
      <w:pPr>
        <w:spacing w:before="240" w:after="240" w:line="360" w:lineRule="auto"/>
        <w:ind w:right="49"/>
        <w:jc w:val="both"/>
        <w:rPr>
          <w:rFonts w:ascii="Palatino Linotype" w:eastAsia="Palatino Linotype" w:hAnsi="Palatino Linotype" w:cs="Palatino Linotype"/>
        </w:rPr>
      </w:pPr>
      <w:r w:rsidRPr="00BB6C13">
        <w:rPr>
          <w:rFonts w:ascii="Palatino Linotype" w:eastAsia="Palatino Linotype" w:hAnsi="Palatino Linotype" w:cs="Palatino Linotype"/>
        </w:rPr>
        <w:t xml:space="preserve">El </w:t>
      </w:r>
      <w:r w:rsidRPr="00BB6C13">
        <w:rPr>
          <w:rFonts w:ascii="Palatino Linotype" w:eastAsia="Palatino Linotype" w:hAnsi="Palatino Linotype" w:cs="Palatino Linotype"/>
          <w:b/>
        </w:rPr>
        <w:t>SUJETO OBLIGADO</w:t>
      </w:r>
      <w:r w:rsidRPr="00BB6C13">
        <w:rPr>
          <w:rFonts w:ascii="Palatino Linotype" w:eastAsia="Palatino Linotype" w:hAnsi="Palatino Linotype" w:cs="Palatino Linotype"/>
        </w:rPr>
        <w:t>, adjuntó a su respuesta los archivos electrónicos siguientes:</w:t>
      </w:r>
    </w:p>
    <w:p w14:paraId="5498B5A6" w14:textId="77777777" w:rsidR="005B4D53" w:rsidRPr="00BB6C13" w:rsidRDefault="00415904">
      <w:pPr>
        <w:spacing w:before="240" w:after="240" w:line="360" w:lineRule="auto"/>
        <w:ind w:right="49"/>
        <w:jc w:val="both"/>
        <w:rPr>
          <w:rFonts w:ascii="Palatino Linotype" w:eastAsia="Palatino Linotype" w:hAnsi="Palatino Linotype" w:cs="Palatino Linotype"/>
        </w:rPr>
      </w:pPr>
      <w:r w:rsidRPr="00BB6C13">
        <w:rPr>
          <w:rFonts w:ascii="Palatino Linotype" w:eastAsia="Palatino Linotype" w:hAnsi="Palatino Linotype" w:cs="Palatino Linotype"/>
        </w:rPr>
        <w:t>“</w:t>
      </w:r>
      <w:hyperlink r:id="rId8">
        <w:r w:rsidRPr="00BB6C13">
          <w:rPr>
            <w:rFonts w:ascii="Palatino Linotype" w:eastAsia="Palatino Linotype" w:hAnsi="Palatino Linotype" w:cs="Palatino Linotype"/>
          </w:rPr>
          <w:t>Estado-Analitico-de-Deuda-y-Otros-Pasivos-2021.pdf</w:t>
        </w:r>
      </w:hyperlink>
      <w:r w:rsidRPr="00BB6C13">
        <w:rPr>
          <w:rFonts w:ascii="Palatino Linotype" w:eastAsia="Palatino Linotype" w:hAnsi="Palatino Linotype" w:cs="Palatino Linotype"/>
        </w:rPr>
        <w:t>”, el cual contiene el Estado analítico de la deuda y otros pasivos del periodo comprendido del primero de octubre al treinta y uno de diciembre del año 2021, en donde se observa la deuda a proveedores 2019-2021, como se observa en la siguiente imagen que se inserta a continuación de manera de ejemplo:</w:t>
      </w:r>
    </w:p>
    <w:p w14:paraId="017D7321" w14:textId="77777777" w:rsidR="005B4D53" w:rsidRPr="00BB6C13" w:rsidRDefault="00415904">
      <w:pPr>
        <w:spacing w:before="240" w:after="240" w:line="360" w:lineRule="auto"/>
        <w:ind w:right="49"/>
        <w:jc w:val="both"/>
        <w:rPr>
          <w:rFonts w:ascii="Palatino Linotype" w:eastAsia="Palatino Linotype" w:hAnsi="Palatino Linotype" w:cs="Palatino Linotype"/>
        </w:rPr>
      </w:pPr>
      <w:r w:rsidRPr="00BB6C13">
        <w:rPr>
          <w:noProof/>
          <w:lang w:val="es-MX"/>
        </w:rPr>
        <w:drawing>
          <wp:inline distT="0" distB="0" distL="0" distR="0" wp14:anchorId="44ABFD68" wp14:editId="15255D32">
            <wp:extent cx="5359304" cy="3477494"/>
            <wp:effectExtent l="0" t="0" r="0" b="0"/>
            <wp:docPr id="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30266" t="13730" r="12810"/>
                    <a:stretch>
                      <a:fillRect/>
                    </a:stretch>
                  </pic:blipFill>
                  <pic:spPr>
                    <a:xfrm>
                      <a:off x="0" y="0"/>
                      <a:ext cx="5359304" cy="3477494"/>
                    </a:xfrm>
                    <a:prstGeom prst="rect">
                      <a:avLst/>
                    </a:prstGeom>
                    <a:ln/>
                  </pic:spPr>
                </pic:pic>
              </a:graphicData>
            </a:graphic>
          </wp:inline>
        </w:drawing>
      </w:r>
    </w:p>
    <w:p w14:paraId="44B679F3" w14:textId="77777777" w:rsidR="005B4D53" w:rsidRPr="00BB6C13" w:rsidRDefault="00415904">
      <w:pPr>
        <w:spacing w:before="240" w:after="240" w:line="360" w:lineRule="auto"/>
        <w:ind w:right="49"/>
        <w:jc w:val="both"/>
      </w:pPr>
      <w:r w:rsidRPr="00BB6C13">
        <w:rPr>
          <w:rFonts w:ascii="Palatino Linotype" w:eastAsia="Palatino Linotype" w:hAnsi="Palatino Linotype" w:cs="Palatino Linotype"/>
        </w:rPr>
        <w:lastRenderedPageBreak/>
        <w:t>“</w:t>
      </w:r>
      <w:hyperlink r:id="rId10">
        <w:r w:rsidRPr="00BB6C13">
          <w:rPr>
            <w:rFonts w:ascii="Palatino Linotype" w:eastAsia="Palatino Linotype" w:hAnsi="Palatino Linotype" w:cs="Palatino Linotype"/>
          </w:rPr>
          <w:t>Respuesta 2349.pdf</w:t>
        </w:r>
      </w:hyperlink>
      <w:r w:rsidRPr="00BB6C13">
        <w:rPr>
          <w:rFonts w:ascii="Palatino Linotype" w:eastAsia="Palatino Linotype" w:hAnsi="Palatino Linotype" w:cs="Palatino Linotype"/>
        </w:rPr>
        <w:t xml:space="preserve">”, a través del cual la Unidad de Transparencia puso a disposición de la particular la respuesta de la Tesorería Municipal, la cual informó que la información con la que cuenta es de forma general, de tal manera hace entrega del Estado analítico de la deuda y otros pasivos al treinta y uno de diciembre del año 2021, en términos del fundamento legal que señaló. </w:t>
      </w:r>
    </w:p>
    <w:p w14:paraId="27714BA0" w14:textId="77777777" w:rsidR="005B4D53" w:rsidRPr="00BB6C13" w:rsidRDefault="00415904">
      <w:pPr>
        <w:spacing w:before="240" w:after="240" w:line="360" w:lineRule="auto"/>
        <w:ind w:right="49"/>
        <w:jc w:val="both"/>
        <w:rPr>
          <w:rFonts w:ascii="Palatino Linotype" w:eastAsia="Palatino Linotype" w:hAnsi="Palatino Linotype" w:cs="Palatino Linotype"/>
        </w:rPr>
      </w:pPr>
      <w:r w:rsidRPr="00BB6C13">
        <w:rPr>
          <w:rFonts w:ascii="Palatino Linotype" w:eastAsia="Palatino Linotype" w:hAnsi="Palatino Linotype" w:cs="Palatino Linotype"/>
          <w:b/>
        </w:rPr>
        <w:t xml:space="preserve">3. Interposición del recurso de revisión. </w:t>
      </w:r>
      <w:r w:rsidRPr="00BB6C13">
        <w:rPr>
          <w:rFonts w:ascii="Palatino Linotype" w:eastAsia="Palatino Linotype" w:hAnsi="Palatino Linotype" w:cs="Palatino Linotype"/>
        </w:rPr>
        <w:t xml:space="preserve">Inconforme con los términos de la respuesta emitida por parte del </w:t>
      </w:r>
      <w:r w:rsidRPr="00BB6C13">
        <w:rPr>
          <w:rFonts w:ascii="Palatino Linotype" w:eastAsia="Palatino Linotype" w:hAnsi="Palatino Linotype" w:cs="Palatino Linotype"/>
          <w:b/>
        </w:rPr>
        <w:t>SUJETO OBLIGADO</w:t>
      </w:r>
      <w:r w:rsidRPr="00BB6C13">
        <w:rPr>
          <w:rFonts w:ascii="Palatino Linotype" w:eastAsia="Palatino Linotype" w:hAnsi="Palatino Linotype" w:cs="Palatino Linotype"/>
        </w:rPr>
        <w:t xml:space="preserve">, el </w:t>
      </w:r>
      <w:r w:rsidRPr="00BB6C13">
        <w:rPr>
          <w:rFonts w:ascii="Palatino Linotype" w:eastAsia="Palatino Linotype" w:hAnsi="Palatino Linotype" w:cs="Palatino Linotype"/>
          <w:b/>
        </w:rPr>
        <w:t>veintinueve de noviembre del dos mil veintidós,</w:t>
      </w:r>
      <w:r w:rsidRPr="00BB6C13">
        <w:rPr>
          <w:rFonts w:ascii="Palatino Linotype" w:eastAsia="Palatino Linotype" w:hAnsi="Palatino Linotype" w:cs="Palatino Linotype"/>
        </w:rPr>
        <w:t xml:space="preserve"> la parte recurrente interpuso el recurso de revisión a través de </w:t>
      </w:r>
      <w:r w:rsidRPr="00BB6C13">
        <w:rPr>
          <w:rFonts w:ascii="Palatino Linotype" w:eastAsia="Palatino Linotype" w:hAnsi="Palatino Linotype" w:cs="Palatino Linotype"/>
          <w:b/>
        </w:rPr>
        <w:t xml:space="preserve">SAIMEX, </w:t>
      </w:r>
      <w:r w:rsidRPr="00BB6C13">
        <w:rPr>
          <w:rFonts w:ascii="Palatino Linotype" w:eastAsia="Palatino Linotype" w:hAnsi="Palatino Linotype" w:cs="Palatino Linotype"/>
        </w:rPr>
        <w:t>en donde se manifestó de la siguiente manera:</w:t>
      </w:r>
    </w:p>
    <w:p w14:paraId="406F1117" w14:textId="77777777" w:rsidR="005B4D53" w:rsidRPr="00BB6C13" w:rsidRDefault="00415904">
      <w:pPr>
        <w:tabs>
          <w:tab w:val="left" w:pos="2745"/>
        </w:tabs>
        <w:spacing w:before="240" w:after="240" w:line="360" w:lineRule="auto"/>
        <w:jc w:val="both"/>
        <w:rPr>
          <w:rFonts w:ascii="Palatino Linotype" w:eastAsia="Palatino Linotype" w:hAnsi="Palatino Linotype" w:cs="Palatino Linotype"/>
          <w:b/>
        </w:rPr>
      </w:pPr>
      <w:r w:rsidRPr="00BB6C13">
        <w:rPr>
          <w:rFonts w:ascii="Palatino Linotype" w:eastAsia="Palatino Linotype" w:hAnsi="Palatino Linotype" w:cs="Palatino Linotype"/>
          <w:b/>
        </w:rPr>
        <w:t xml:space="preserve">Acto impugnado: </w:t>
      </w:r>
      <w:r w:rsidRPr="00BB6C13">
        <w:rPr>
          <w:rFonts w:ascii="Palatino Linotype" w:eastAsia="Palatino Linotype" w:hAnsi="Palatino Linotype" w:cs="Palatino Linotype"/>
          <w:b/>
        </w:rPr>
        <w:tab/>
      </w:r>
    </w:p>
    <w:p w14:paraId="7FEF82A2" w14:textId="77777777" w:rsidR="005B4D53" w:rsidRPr="00BB6C13" w:rsidRDefault="00415904">
      <w:pPr>
        <w:ind w:left="851" w:right="902"/>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“La respuesta” (Sic)</w:t>
      </w:r>
    </w:p>
    <w:p w14:paraId="2273748B" w14:textId="77777777" w:rsidR="005B4D53" w:rsidRPr="00BB6C13" w:rsidRDefault="005B4D53">
      <w:pPr>
        <w:ind w:left="851" w:right="902"/>
        <w:jc w:val="both"/>
        <w:rPr>
          <w:rFonts w:ascii="Palatino Linotype" w:eastAsia="Palatino Linotype" w:hAnsi="Palatino Linotype" w:cs="Palatino Linotype"/>
          <w:i/>
          <w:sz w:val="22"/>
          <w:szCs w:val="22"/>
        </w:rPr>
      </w:pPr>
    </w:p>
    <w:p w14:paraId="424ABD5B" w14:textId="77777777" w:rsidR="005B4D53" w:rsidRPr="00BB6C13" w:rsidRDefault="00415904">
      <w:pPr>
        <w:spacing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b/>
        </w:rPr>
        <w:t>Y Razones o motivos de inconformidad</w:t>
      </w:r>
      <w:r w:rsidRPr="00BB6C13">
        <w:rPr>
          <w:rFonts w:ascii="Palatino Linotype" w:eastAsia="Palatino Linotype" w:hAnsi="Palatino Linotype" w:cs="Palatino Linotype"/>
        </w:rPr>
        <w:t>:</w:t>
      </w:r>
    </w:p>
    <w:p w14:paraId="484F2320" w14:textId="77777777" w:rsidR="005B4D53" w:rsidRPr="00BB6C13" w:rsidRDefault="005B4D53">
      <w:pPr>
        <w:spacing w:line="360" w:lineRule="auto"/>
        <w:jc w:val="both"/>
        <w:rPr>
          <w:rFonts w:ascii="Palatino Linotype" w:eastAsia="Palatino Linotype" w:hAnsi="Palatino Linotype" w:cs="Palatino Linotype"/>
        </w:rPr>
      </w:pPr>
    </w:p>
    <w:p w14:paraId="1F035F04" w14:textId="77777777" w:rsidR="005B4D53" w:rsidRPr="00BB6C13" w:rsidRDefault="00415904">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BB6C13">
        <w:rPr>
          <w:rFonts w:ascii="Palatino Linotype" w:eastAsia="Palatino Linotype" w:hAnsi="Palatino Linotype" w:cs="Palatino Linotype"/>
          <w:i/>
          <w:sz w:val="22"/>
          <w:szCs w:val="22"/>
        </w:rPr>
        <w:t xml:space="preserve"> “Me entregaron algo muy distinto a lo que solicité” (Sic)</w:t>
      </w:r>
    </w:p>
    <w:p w14:paraId="5F60CE81" w14:textId="77777777" w:rsidR="005B4D53" w:rsidRPr="00BB6C13" w:rsidRDefault="005B4D53">
      <w:pPr>
        <w:ind w:left="851" w:right="902"/>
        <w:jc w:val="both"/>
        <w:rPr>
          <w:rFonts w:ascii="Palatino Linotype" w:eastAsia="Palatino Linotype" w:hAnsi="Palatino Linotype" w:cs="Palatino Linotype"/>
          <w:i/>
          <w:sz w:val="22"/>
          <w:szCs w:val="22"/>
        </w:rPr>
      </w:pPr>
    </w:p>
    <w:p w14:paraId="1FDF1198" w14:textId="77777777" w:rsidR="005B4D53" w:rsidRPr="00BB6C13" w:rsidRDefault="00415904">
      <w:pPr>
        <w:spacing w:line="360" w:lineRule="auto"/>
        <w:ind w:right="51"/>
        <w:jc w:val="both"/>
        <w:rPr>
          <w:rFonts w:ascii="Palatino Linotype" w:eastAsia="Palatino Linotype" w:hAnsi="Palatino Linotype" w:cs="Palatino Linotype"/>
        </w:rPr>
      </w:pPr>
      <w:r w:rsidRPr="00BB6C13">
        <w:rPr>
          <w:rFonts w:ascii="Palatino Linotype" w:eastAsia="Palatino Linotype" w:hAnsi="Palatino Linotype" w:cs="Palatino Linotype"/>
          <w:b/>
        </w:rPr>
        <w:t xml:space="preserve">4. Turno. </w:t>
      </w:r>
      <w:r w:rsidRPr="00BB6C13">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BB6C13">
        <w:rPr>
          <w:rFonts w:ascii="Palatino Linotype" w:eastAsia="Palatino Linotype" w:hAnsi="Palatino Linotype" w:cs="Palatino Linotype"/>
          <w:b/>
        </w:rPr>
        <w:t xml:space="preserve">Guadalupe Ramírez Peña, </w:t>
      </w:r>
      <w:r w:rsidRPr="00BB6C13">
        <w:rPr>
          <w:rFonts w:ascii="Palatino Linotype" w:eastAsia="Palatino Linotype" w:hAnsi="Palatino Linotype" w:cs="Palatino Linotype"/>
        </w:rPr>
        <w:t xml:space="preserve">a efecto de que analizara sobre su admisión o su </w:t>
      </w:r>
      <w:proofErr w:type="spellStart"/>
      <w:r w:rsidRPr="00BB6C13">
        <w:rPr>
          <w:rFonts w:ascii="Palatino Linotype" w:eastAsia="Palatino Linotype" w:hAnsi="Palatino Linotype" w:cs="Palatino Linotype"/>
        </w:rPr>
        <w:t>desechamiento</w:t>
      </w:r>
      <w:proofErr w:type="spellEnd"/>
      <w:r w:rsidRPr="00BB6C13">
        <w:rPr>
          <w:rFonts w:ascii="Palatino Linotype" w:eastAsia="Palatino Linotype" w:hAnsi="Palatino Linotype" w:cs="Palatino Linotype"/>
        </w:rPr>
        <w:t>.</w:t>
      </w:r>
    </w:p>
    <w:p w14:paraId="4BB2A8D1" w14:textId="77777777" w:rsidR="005B4D53" w:rsidRPr="00BB6C13" w:rsidRDefault="005B4D53">
      <w:pPr>
        <w:spacing w:line="360" w:lineRule="auto"/>
        <w:ind w:right="51"/>
        <w:jc w:val="both"/>
        <w:rPr>
          <w:rFonts w:ascii="Palatino Linotype" w:eastAsia="Palatino Linotype" w:hAnsi="Palatino Linotype" w:cs="Palatino Linotype"/>
        </w:rPr>
      </w:pPr>
    </w:p>
    <w:p w14:paraId="20034766" w14:textId="77777777" w:rsidR="005B4D53" w:rsidRPr="00BB6C13" w:rsidRDefault="00415904">
      <w:pPr>
        <w:spacing w:after="240"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b/>
        </w:rPr>
        <w:t>5. Admisión del Recurso de revisión.</w:t>
      </w:r>
      <w:r w:rsidRPr="00BB6C13">
        <w:rPr>
          <w:rFonts w:ascii="Palatino Linotype" w:eastAsia="Palatino Linotype" w:hAnsi="Palatino Linotype" w:cs="Palatino Linotype"/>
        </w:rPr>
        <w:t xml:space="preserve"> Con fecha</w:t>
      </w:r>
      <w:r w:rsidRPr="00BB6C13">
        <w:rPr>
          <w:rFonts w:ascii="Palatino Linotype" w:eastAsia="Palatino Linotype" w:hAnsi="Palatino Linotype" w:cs="Palatino Linotype"/>
          <w:b/>
        </w:rPr>
        <w:t xml:space="preserve"> dos de diciembre de dos mil veintidós, </w:t>
      </w:r>
      <w:r w:rsidRPr="00BB6C13">
        <w:rPr>
          <w:rFonts w:ascii="Palatino Linotype" w:eastAsia="Palatino Linotype" w:hAnsi="Palatino Linotype" w:cs="Palatino Linotype"/>
        </w:rPr>
        <w:t xml:space="preserve">este Instituto de Transparencia, Acceso a la Información Pública y </w:t>
      </w:r>
      <w:r w:rsidRPr="00BB6C13">
        <w:rPr>
          <w:rFonts w:ascii="Palatino Linotype" w:eastAsia="Palatino Linotype" w:hAnsi="Palatino Linotype" w:cs="Palatino Linotype"/>
        </w:rPr>
        <w:lastRenderedPageBreak/>
        <w:t xml:space="preserve">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BB6C13">
        <w:rPr>
          <w:rFonts w:ascii="Palatino Linotype" w:eastAsia="Palatino Linotype" w:hAnsi="Palatino Linotype" w:cs="Palatino Linotype"/>
          <w:b/>
        </w:rPr>
        <w:t xml:space="preserve">SUJETO OBLIGADO </w:t>
      </w:r>
      <w:r w:rsidRPr="00BB6C13">
        <w:rPr>
          <w:rFonts w:ascii="Palatino Linotype" w:eastAsia="Palatino Linotype" w:hAnsi="Palatino Linotype" w:cs="Palatino Linotype"/>
        </w:rPr>
        <w:t>presentara su informe justificado.</w:t>
      </w:r>
    </w:p>
    <w:p w14:paraId="38D6D5FE" w14:textId="77777777" w:rsidR="005B4D53" w:rsidRPr="00BB6C13" w:rsidRDefault="00415904">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sidRPr="00BB6C13">
        <w:rPr>
          <w:rFonts w:ascii="Palatino Linotype" w:eastAsia="Palatino Linotype" w:hAnsi="Palatino Linotype" w:cs="Palatino Linotype"/>
          <w:b/>
        </w:rPr>
        <w:t>6. Manifestaciones</w:t>
      </w:r>
      <w:r w:rsidRPr="00BB6C13">
        <w:rPr>
          <w:rFonts w:ascii="Palatino Linotype" w:eastAsia="Palatino Linotype" w:hAnsi="Palatino Linotype" w:cs="Palatino Linotype"/>
        </w:rPr>
        <w:t xml:space="preserve">. </w:t>
      </w:r>
      <w:r w:rsidRPr="00BB6C13">
        <w:rPr>
          <w:rFonts w:ascii="Palatino Linotype" w:eastAsia="Palatino Linotype" w:hAnsi="Palatino Linotype" w:cs="Palatino Linotype"/>
          <w:color w:val="000000"/>
        </w:rPr>
        <w:t xml:space="preserve">De las constancias que integran el expediente en que se actúa se advierte que la </w:t>
      </w:r>
      <w:r w:rsidRPr="00BB6C13">
        <w:rPr>
          <w:rFonts w:ascii="Palatino Linotype" w:eastAsia="Palatino Linotype" w:hAnsi="Palatino Linotype" w:cs="Palatino Linotype"/>
          <w:b/>
          <w:color w:val="000000"/>
        </w:rPr>
        <w:t>RECURRENTE</w:t>
      </w:r>
      <w:r w:rsidRPr="00BB6C13">
        <w:rPr>
          <w:rFonts w:ascii="Palatino Linotype" w:eastAsia="Palatino Linotype" w:hAnsi="Palatino Linotype" w:cs="Palatino Linotype"/>
          <w:color w:val="000000"/>
        </w:rPr>
        <w:t>, fue omisa en presentar sus alegatos o manifestación alguna.</w:t>
      </w:r>
    </w:p>
    <w:p w14:paraId="24DC451F" w14:textId="77777777" w:rsidR="005B4D53" w:rsidRPr="00BB6C13" w:rsidRDefault="00415904">
      <w:pPr>
        <w:spacing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 xml:space="preserve">Por su parte el </w:t>
      </w:r>
      <w:r w:rsidRPr="00BB6C13">
        <w:rPr>
          <w:rFonts w:ascii="Palatino Linotype" w:eastAsia="Palatino Linotype" w:hAnsi="Palatino Linotype" w:cs="Palatino Linotype"/>
          <w:b/>
        </w:rPr>
        <w:t>SUJETO OBLIGADO</w:t>
      </w:r>
      <w:r w:rsidRPr="00BB6C13">
        <w:rPr>
          <w:rFonts w:ascii="Palatino Linotype" w:eastAsia="Palatino Linotype" w:hAnsi="Palatino Linotype" w:cs="Palatino Linotype"/>
        </w:rPr>
        <w:t xml:space="preserve"> en fecha trece de diciembre del año dos mil veintidós, adjuntó el archivo electrónico siguiente:</w:t>
      </w:r>
    </w:p>
    <w:p w14:paraId="3154738E" w14:textId="77777777" w:rsidR="005B4D53" w:rsidRPr="00BB6C13" w:rsidRDefault="005B4D53">
      <w:pPr>
        <w:spacing w:line="360" w:lineRule="auto"/>
        <w:jc w:val="both"/>
        <w:rPr>
          <w:rFonts w:ascii="Palatino Linotype" w:eastAsia="Palatino Linotype" w:hAnsi="Palatino Linotype" w:cs="Palatino Linotype"/>
        </w:rPr>
      </w:pPr>
    </w:p>
    <w:p w14:paraId="0FE1D865" w14:textId="77777777" w:rsidR="005B4D53" w:rsidRPr="00BB6C13" w:rsidRDefault="00415904">
      <w:pPr>
        <w:spacing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w:t>
      </w:r>
      <w:hyperlink r:id="rId11">
        <w:r w:rsidRPr="00BB6C13">
          <w:rPr>
            <w:rFonts w:ascii="Palatino Linotype" w:eastAsia="Palatino Linotype" w:hAnsi="Palatino Linotype" w:cs="Palatino Linotype"/>
          </w:rPr>
          <w:t>RR 17004.pdf</w:t>
        </w:r>
      </w:hyperlink>
      <w:r w:rsidRPr="00BB6C13">
        <w:rPr>
          <w:rFonts w:ascii="Palatino Linotype" w:eastAsia="Palatino Linotype" w:hAnsi="Palatino Linotype" w:cs="Palatino Linotype"/>
        </w:rPr>
        <w:t xml:space="preserve">”, por medio del cual en lo medular ratificó la respuesta inicial, adjuntando los mismos documentos que remitió en respuesta. </w:t>
      </w:r>
    </w:p>
    <w:p w14:paraId="66374AF1" w14:textId="77777777" w:rsidR="005B4D53" w:rsidRPr="00BB6C13" w:rsidRDefault="005B4D53">
      <w:pPr>
        <w:spacing w:line="360" w:lineRule="auto"/>
        <w:jc w:val="both"/>
        <w:rPr>
          <w:rFonts w:ascii="Palatino Linotype" w:eastAsia="Palatino Linotype" w:hAnsi="Palatino Linotype" w:cs="Palatino Linotype"/>
        </w:rPr>
      </w:pPr>
    </w:p>
    <w:p w14:paraId="7242FEDA" w14:textId="77777777" w:rsidR="005B4D53" w:rsidRPr="00BB6C13" w:rsidRDefault="00415904">
      <w:pPr>
        <w:spacing w:line="360" w:lineRule="auto"/>
        <w:jc w:val="both"/>
        <w:rPr>
          <w:rFonts w:ascii="Palatino Linotype" w:eastAsia="Palatino Linotype" w:hAnsi="Palatino Linotype" w:cs="Palatino Linotype"/>
          <w:color w:val="FF0000"/>
        </w:rPr>
      </w:pPr>
      <w:r w:rsidRPr="00BB6C13">
        <w:rPr>
          <w:rFonts w:ascii="Palatino Linotype" w:eastAsia="Palatino Linotype" w:hAnsi="Palatino Linotype" w:cs="Palatino Linotype"/>
        </w:rPr>
        <w:t xml:space="preserve">El cual se determinó poner a la vista de la </w:t>
      </w:r>
      <w:r w:rsidRPr="00BB6C13">
        <w:rPr>
          <w:rFonts w:ascii="Palatino Linotype" w:eastAsia="Palatino Linotype" w:hAnsi="Palatino Linotype" w:cs="Palatino Linotype"/>
          <w:b/>
        </w:rPr>
        <w:t>RECURRENTE</w:t>
      </w:r>
      <w:r w:rsidRPr="00BB6C13">
        <w:rPr>
          <w:rFonts w:ascii="Palatino Linotype" w:eastAsia="Palatino Linotype" w:hAnsi="Palatino Linotype" w:cs="Palatino Linotype"/>
        </w:rPr>
        <w:t>, en términos de la fracción III del artículo 185 de la Ley de Transparencia y Acceso a la Información Pública del Estado de México y Municipios.</w:t>
      </w:r>
    </w:p>
    <w:p w14:paraId="0F37E257" w14:textId="77777777" w:rsidR="005B4D53" w:rsidRPr="00BB6C13" w:rsidRDefault="005B4D53">
      <w:pPr>
        <w:widowControl w:val="0"/>
        <w:spacing w:line="360" w:lineRule="auto"/>
        <w:jc w:val="both"/>
        <w:rPr>
          <w:rFonts w:ascii="Palatino Linotype" w:eastAsia="Palatino Linotype" w:hAnsi="Palatino Linotype" w:cs="Palatino Linotype"/>
        </w:rPr>
      </w:pPr>
    </w:p>
    <w:p w14:paraId="6DF2E1DE" w14:textId="77777777" w:rsidR="005B4D53" w:rsidRPr="00BB6C13" w:rsidRDefault="00415904">
      <w:pPr>
        <w:widowControl w:val="0"/>
        <w:spacing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b/>
        </w:rPr>
        <w:t>7</w:t>
      </w:r>
      <w:r w:rsidRPr="00BB6C13">
        <w:rPr>
          <w:rFonts w:ascii="Palatino Linotype" w:eastAsia="Palatino Linotype" w:hAnsi="Palatino Linotype" w:cs="Palatino Linotype"/>
        </w:rPr>
        <w:t xml:space="preserve">. </w:t>
      </w:r>
      <w:r w:rsidRPr="00BB6C13">
        <w:rPr>
          <w:rFonts w:ascii="Palatino Linotype" w:eastAsia="Palatino Linotype" w:hAnsi="Palatino Linotype" w:cs="Palatino Linotype"/>
          <w:b/>
        </w:rPr>
        <w:t>Ampliación del plazo.</w:t>
      </w:r>
      <w:r w:rsidRPr="00BB6C13">
        <w:rPr>
          <w:rFonts w:ascii="Palatino Linotype" w:eastAsia="Palatino Linotype" w:hAnsi="Palatino Linotype" w:cs="Palatino Linotype"/>
        </w:rPr>
        <w:t xml:space="preserve"> En fecha quince de marzo del año dos mil veintitrés, con fundamento en el artículo 181, párrafo tercero de la Ley de Transparencia y Acceso a la Información Pública del Estado de México y Municipios, se acordó la ampliación del plazo para su resolución.</w:t>
      </w:r>
    </w:p>
    <w:p w14:paraId="19CFFFAE" w14:textId="77777777" w:rsidR="005B4D53" w:rsidRPr="00BB6C13" w:rsidRDefault="005B4D53">
      <w:pPr>
        <w:widowControl w:val="0"/>
        <w:spacing w:line="360" w:lineRule="auto"/>
        <w:jc w:val="both"/>
        <w:rPr>
          <w:rFonts w:ascii="Palatino Linotype" w:eastAsia="Palatino Linotype" w:hAnsi="Palatino Linotype" w:cs="Palatino Linotype"/>
        </w:rPr>
      </w:pPr>
    </w:p>
    <w:p w14:paraId="5B907DC4" w14:textId="77777777" w:rsidR="005B4D53" w:rsidRPr="00BB6C13" w:rsidRDefault="00415904">
      <w:pPr>
        <w:spacing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dos mil veintiuno dentro del mismo periodo, se ha incrementado aproximadamente un 400%, circunstancia atípica que ha rebasado las capacidades técnicas y humanas del personal encargado de la proyección de las resoluciones a dichos medios de impugnación.</w:t>
      </w:r>
    </w:p>
    <w:p w14:paraId="5135B3F3" w14:textId="77777777" w:rsidR="005B4D53" w:rsidRPr="00BB6C13" w:rsidRDefault="005B4D53">
      <w:pPr>
        <w:spacing w:line="360" w:lineRule="auto"/>
        <w:jc w:val="both"/>
        <w:rPr>
          <w:rFonts w:ascii="Palatino Linotype" w:eastAsia="Palatino Linotype" w:hAnsi="Palatino Linotype" w:cs="Palatino Linotype"/>
        </w:rPr>
      </w:pPr>
    </w:p>
    <w:p w14:paraId="144552C3" w14:textId="77777777" w:rsidR="005B4D53" w:rsidRPr="00BB6C13" w:rsidRDefault="00415904">
      <w:pPr>
        <w:spacing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284C261" w14:textId="77777777" w:rsidR="005B4D53" w:rsidRPr="00BB6C13" w:rsidRDefault="005B4D53">
      <w:pPr>
        <w:spacing w:line="360" w:lineRule="auto"/>
        <w:jc w:val="both"/>
        <w:rPr>
          <w:rFonts w:ascii="Palatino Linotype" w:eastAsia="Palatino Linotype" w:hAnsi="Palatino Linotype" w:cs="Palatino Linotype"/>
        </w:rPr>
      </w:pPr>
    </w:p>
    <w:p w14:paraId="7A21DE46" w14:textId="77777777" w:rsidR="005B4D53" w:rsidRPr="00BB6C13" w:rsidRDefault="00415904">
      <w:pPr>
        <w:spacing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05917DF" w14:textId="77777777" w:rsidR="005B4D53" w:rsidRPr="00BB6C13" w:rsidRDefault="005B4D53">
      <w:pPr>
        <w:spacing w:line="360" w:lineRule="auto"/>
        <w:jc w:val="both"/>
        <w:rPr>
          <w:rFonts w:ascii="Palatino Linotype" w:eastAsia="Palatino Linotype" w:hAnsi="Palatino Linotype" w:cs="Palatino Linotype"/>
        </w:rPr>
      </w:pPr>
    </w:p>
    <w:p w14:paraId="74F583F9" w14:textId="77777777" w:rsidR="005B4D53" w:rsidRPr="00BB6C13" w:rsidRDefault="00415904">
      <w:pPr>
        <w:spacing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9D4EFFB" w14:textId="77777777" w:rsidR="005B4D53" w:rsidRPr="00BB6C13" w:rsidRDefault="005B4D53">
      <w:pPr>
        <w:spacing w:line="360" w:lineRule="auto"/>
        <w:jc w:val="both"/>
        <w:rPr>
          <w:rFonts w:ascii="Palatino Linotype" w:eastAsia="Palatino Linotype" w:hAnsi="Palatino Linotype" w:cs="Palatino Linotype"/>
        </w:rPr>
      </w:pPr>
    </w:p>
    <w:p w14:paraId="49073019" w14:textId="77777777" w:rsidR="005B4D53" w:rsidRPr="00BB6C13" w:rsidRDefault="00415904">
      <w:pPr>
        <w:spacing w:line="360" w:lineRule="auto"/>
        <w:jc w:val="both"/>
        <w:rPr>
          <w:rFonts w:ascii="Palatino Linotype" w:eastAsia="Palatino Linotype" w:hAnsi="Palatino Linotype" w:cs="Palatino Linotype"/>
          <w:strike/>
          <w:color w:val="FF0000"/>
        </w:rPr>
      </w:pPr>
      <w:r w:rsidRPr="00BB6C13">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33CD0699" w14:textId="77777777" w:rsidR="005B4D53" w:rsidRPr="00BB6C13" w:rsidRDefault="005B4D53">
      <w:pPr>
        <w:spacing w:line="360" w:lineRule="auto"/>
        <w:jc w:val="both"/>
        <w:rPr>
          <w:rFonts w:ascii="Palatino Linotype" w:eastAsia="Palatino Linotype" w:hAnsi="Palatino Linotype" w:cs="Palatino Linotype"/>
        </w:rPr>
      </w:pPr>
    </w:p>
    <w:p w14:paraId="5B82FB6A" w14:textId="77777777" w:rsidR="005B4D53" w:rsidRPr="00BB6C13" w:rsidRDefault="00415904">
      <w:pPr>
        <w:numPr>
          <w:ilvl w:val="0"/>
          <w:numId w:val="1"/>
        </w:numPr>
        <w:ind w:left="851"/>
        <w:jc w:val="both"/>
        <w:rPr>
          <w:rFonts w:ascii="Palatino Linotype" w:eastAsia="Palatino Linotype" w:hAnsi="Palatino Linotype" w:cs="Palatino Linotype"/>
        </w:rPr>
      </w:pPr>
      <w:r w:rsidRPr="00BB6C13">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4AF3F78F" w14:textId="77777777" w:rsidR="005B4D53" w:rsidRPr="00BB6C13" w:rsidRDefault="005B4D53">
      <w:pPr>
        <w:ind w:left="851" w:hanging="360"/>
        <w:jc w:val="both"/>
        <w:rPr>
          <w:rFonts w:ascii="Palatino Linotype" w:eastAsia="Palatino Linotype" w:hAnsi="Palatino Linotype" w:cs="Palatino Linotype"/>
        </w:rPr>
      </w:pPr>
    </w:p>
    <w:p w14:paraId="0C6D11ED" w14:textId="77777777" w:rsidR="005B4D53" w:rsidRPr="00BB6C13" w:rsidRDefault="00415904">
      <w:pPr>
        <w:numPr>
          <w:ilvl w:val="0"/>
          <w:numId w:val="1"/>
        </w:numPr>
        <w:ind w:left="851"/>
        <w:jc w:val="both"/>
        <w:rPr>
          <w:rFonts w:ascii="Palatino Linotype" w:eastAsia="Palatino Linotype" w:hAnsi="Palatino Linotype" w:cs="Palatino Linotype"/>
        </w:rPr>
      </w:pPr>
      <w:r w:rsidRPr="00BB6C13">
        <w:rPr>
          <w:rFonts w:ascii="Palatino Linotype" w:eastAsia="Palatino Linotype" w:hAnsi="Palatino Linotype" w:cs="Palatino Linotype"/>
        </w:rPr>
        <w:t>Actividad Procesal del interesado. Acciones u omisiones del interesado.</w:t>
      </w:r>
    </w:p>
    <w:p w14:paraId="4F5576EE" w14:textId="77777777" w:rsidR="005B4D53" w:rsidRPr="00BB6C13" w:rsidRDefault="005B4D53">
      <w:pPr>
        <w:ind w:left="851" w:hanging="360"/>
        <w:jc w:val="both"/>
        <w:rPr>
          <w:rFonts w:ascii="Palatino Linotype" w:eastAsia="Palatino Linotype" w:hAnsi="Palatino Linotype" w:cs="Palatino Linotype"/>
        </w:rPr>
      </w:pPr>
    </w:p>
    <w:p w14:paraId="1CC06D64" w14:textId="77777777" w:rsidR="005B4D53" w:rsidRPr="00BB6C13" w:rsidRDefault="00415904">
      <w:pPr>
        <w:numPr>
          <w:ilvl w:val="0"/>
          <w:numId w:val="1"/>
        </w:numPr>
        <w:ind w:left="851"/>
        <w:jc w:val="both"/>
        <w:rPr>
          <w:rFonts w:ascii="Palatino Linotype" w:eastAsia="Palatino Linotype" w:hAnsi="Palatino Linotype" w:cs="Palatino Linotype"/>
        </w:rPr>
      </w:pPr>
      <w:r w:rsidRPr="00BB6C13">
        <w:rPr>
          <w:rFonts w:ascii="Palatino Linotype" w:eastAsia="Palatino Linotype" w:hAnsi="Palatino Linotype" w:cs="Palatino Linotype"/>
        </w:rPr>
        <w:t>Conducta de la Autoridad: Las Acciones u omisiones realizadas en el procedimiento. Así como si la autoridad actuó con la debida diligencia.</w:t>
      </w:r>
    </w:p>
    <w:p w14:paraId="1D316282" w14:textId="77777777" w:rsidR="005B4D53" w:rsidRPr="00BB6C13" w:rsidRDefault="005B4D53">
      <w:pPr>
        <w:ind w:left="851" w:hanging="360"/>
        <w:rPr>
          <w:rFonts w:ascii="Palatino Linotype" w:eastAsia="Palatino Linotype" w:hAnsi="Palatino Linotype" w:cs="Palatino Linotype"/>
        </w:rPr>
      </w:pPr>
    </w:p>
    <w:p w14:paraId="0A9CCC27" w14:textId="77777777" w:rsidR="005B4D53" w:rsidRPr="00BB6C13" w:rsidRDefault="00415904">
      <w:pPr>
        <w:ind w:left="851" w:hanging="360"/>
        <w:jc w:val="both"/>
        <w:rPr>
          <w:rFonts w:ascii="Palatino Linotype" w:eastAsia="Palatino Linotype" w:hAnsi="Palatino Linotype" w:cs="Palatino Linotype"/>
        </w:rPr>
      </w:pPr>
      <w:r w:rsidRPr="00BB6C13">
        <w:rPr>
          <w:rFonts w:ascii="Palatino Linotype" w:eastAsia="Palatino Linotype" w:hAnsi="Palatino Linotype" w:cs="Palatino Linotype"/>
        </w:rPr>
        <w:t>d) La afectación generada en la situación jurídica de la persona involucrada en el proceso: Violación a sus derechos humanos.</w:t>
      </w:r>
    </w:p>
    <w:p w14:paraId="3C50AD1D" w14:textId="77777777" w:rsidR="005B4D53" w:rsidRPr="00BB6C13" w:rsidRDefault="005B4D53">
      <w:pPr>
        <w:spacing w:line="360" w:lineRule="auto"/>
        <w:jc w:val="both"/>
        <w:rPr>
          <w:rFonts w:ascii="Palatino Linotype" w:eastAsia="Palatino Linotype" w:hAnsi="Palatino Linotype" w:cs="Palatino Linotype"/>
        </w:rPr>
      </w:pPr>
    </w:p>
    <w:p w14:paraId="7E0E0D2B" w14:textId="77777777" w:rsidR="005B4D53" w:rsidRPr="00BB6C13" w:rsidRDefault="00415904">
      <w:pPr>
        <w:spacing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C1C3071" w14:textId="77777777" w:rsidR="005B4D53" w:rsidRPr="00BB6C13" w:rsidRDefault="005B4D53">
      <w:pPr>
        <w:spacing w:line="360" w:lineRule="auto"/>
        <w:jc w:val="both"/>
        <w:rPr>
          <w:rFonts w:ascii="Palatino Linotype" w:eastAsia="Palatino Linotype" w:hAnsi="Palatino Linotype" w:cs="Palatino Linotype"/>
        </w:rPr>
      </w:pPr>
    </w:p>
    <w:p w14:paraId="607B48C6" w14:textId="77777777" w:rsidR="005B4D53" w:rsidRPr="00BB6C13" w:rsidRDefault="00415904">
      <w:pPr>
        <w:spacing w:line="360" w:lineRule="auto"/>
        <w:jc w:val="both"/>
        <w:rPr>
          <w:rFonts w:ascii="Palatino Linotype" w:eastAsia="Palatino Linotype" w:hAnsi="Palatino Linotype" w:cs="Palatino Linotype"/>
          <w:b/>
        </w:rPr>
      </w:pPr>
      <w:r w:rsidRPr="00BB6C13">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BB6C13">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BB6C13">
        <w:rPr>
          <w:rFonts w:ascii="Palatino Linotype" w:eastAsia="Palatino Linotype" w:hAnsi="Palatino Linotype" w:cs="Palatino Linotype"/>
          <w:i/>
        </w:rPr>
        <w:lastRenderedPageBreak/>
        <w:t>CARACTERÍSTICAS DEL CASO.”</w:t>
      </w:r>
      <w:r w:rsidRPr="00BB6C13">
        <w:rPr>
          <w:rFonts w:ascii="Palatino Linotype" w:eastAsia="Palatino Linotype" w:hAnsi="Palatino Linotype" w:cs="Palatino Linotype"/>
        </w:rPr>
        <w:t>, visible en la Gaceta del Seminario Judicial de la Federación con el registro digital 205635.</w:t>
      </w:r>
    </w:p>
    <w:p w14:paraId="74A3B928" w14:textId="77777777" w:rsidR="005B4D53" w:rsidRPr="00BB6C13" w:rsidRDefault="005B4D53">
      <w:pPr>
        <w:spacing w:line="360" w:lineRule="auto"/>
        <w:jc w:val="both"/>
        <w:rPr>
          <w:rFonts w:ascii="Palatino Linotype" w:eastAsia="Palatino Linotype" w:hAnsi="Palatino Linotype" w:cs="Palatino Linotype"/>
        </w:rPr>
      </w:pPr>
    </w:p>
    <w:p w14:paraId="48031C95" w14:textId="77777777" w:rsidR="005B4D53" w:rsidRPr="00BB6C13" w:rsidRDefault="00415904">
      <w:pPr>
        <w:spacing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A6C4D15" w14:textId="77777777" w:rsidR="005B4D53" w:rsidRPr="00BB6C13" w:rsidRDefault="005B4D53">
      <w:pPr>
        <w:spacing w:line="360" w:lineRule="auto"/>
        <w:jc w:val="both"/>
        <w:rPr>
          <w:rFonts w:ascii="Palatino Linotype" w:eastAsia="Palatino Linotype" w:hAnsi="Palatino Linotype" w:cs="Palatino Linotype"/>
        </w:rPr>
      </w:pPr>
    </w:p>
    <w:p w14:paraId="67D5E702" w14:textId="77777777" w:rsidR="005B4D53" w:rsidRPr="00BB6C13" w:rsidRDefault="00415904">
      <w:pPr>
        <w:spacing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40C2367" w14:textId="77777777" w:rsidR="005B4D53" w:rsidRPr="00BB6C13" w:rsidRDefault="005B4D53">
      <w:pPr>
        <w:spacing w:line="360" w:lineRule="auto"/>
        <w:jc w:val="both"/>
        <w:rPr>
          <w:rFonts w:ascii="Palatino Linotype" w:eastAsia="Palatino Linotype" w:hAnsi="Palatino Linotype" w:cs="Palatino Linotype"/>
        </w:rPr>
      </w:pPr>
    </w:p>
    <w:p w14:paraId="30B6DA92" w14:textId="77777777" w:rsidR="005B4D53" w:rsidRPr="00BB6C13" w:rsidRDefault="00415904">
      <w:pPr>
        <w:spacing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 xml:space="preserve"> </w:t>
      </w:r>
      <w:r w:rsidRPr="00BB6C13">
        <w:rPr>
          <w:rFonts w:ascii="Palatino Linotype" w:eastAsia="Palatino Linotype" w:hAnsi="Palatino Linotype" w:cs="Palatino Linotype"/>
          <w:i/>
        </w:rPr>
        <w:t>“PLAZO RAZONABLE PARA RESOLVER. DIMENSIÓN Y EFECTOS DE ESTE CONCEPTO CUANDO SE ADUCE EXCESIVA CARGA DE TRABAJO.”</w:t>
      </w:r>
      <w:r w:rsidRPr="00BB6C13">
        <w:rPr>
          <w:rFonts w:ascii="Palatino Linotype" w:eastAsia="Palatino Linotype" w:hAnsi="Palatino Linotype" w:cs="Palatino Linotype"/>
        </w:rPr>
        <w:t xml:space="preserve"> consultable en el Seminario Judicial de la Federación y su gaceta, con el registro digital 2002351.</w:t>
      </w:r>
    </w:p>
    <w:p w14:paraId="71EBD6B2" w14:textId="77777777" w:rsidR="005B4D53" w:rsidRPr="00BB6C13" w:rsidRDefault="005B4D53">
      <w:pPr>
        <w:spacing w:line="360" w:lineRule="auto"/>
        <w:jc w:val="both"/>
        <w:rPr>
          <w:rFonts w:ascii="Palatino Linotype" w:eastAsia="Palatino Linotype" w:hAnsi="Palatino Linotype" w:cs="Palatino Linotype"/>
          <w:b/>
        </w:rPr>
      </w:pPr>
    </w:p>
    <w:p w14:paraId="7F986BB0" w14:textId="77777777" w:rsidR="005B4D53" w:rsidRPr="00BB6C13" w:rsidRDefault="00415904">
      <w:pPr>
        <w:spacing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i/>
        </w:rPr>
        <w:t xml:space="preserve">“PLAZO RAZONABLE PARA RESOLVER. CONCEPTO Y ELEMENTOS QUE LO INTEGRAN A LA LUZ DEL DERECHO INTERNACIONAL DE LOS DERECHOS </w:t>
      </w:r>
      <w:r w:rsidRPr="00BB6C13">
        <w:rPr>
          <w:rFonts w:ascii="Palatino Linotype" w:eastAsia="Palatino Linotype" w:hAnsi="Palatino Linotype" w:cs="Palatino Linotype"/>
          <w:i/>
        </w:rPr>
        <w:lastRenderedPageBreak/>
        <w:t>HUMANOS.”</w:t>
      </w:r>
      <w:r w:rsidRPr="00BB6C13">
        <w:rPr>
          <w:rFonts w:ascii="Palatino Linotype" w:eastAsia="Palatino Linotype" w:hAnsi="Palatino Linotype" w:cs="Palatino Linotype"/>
        </w:rPr>
        <w:t>, visible en el Seminario Judicial de la Federación y su gaceta, con el registro digital 2002350.</w:t>
      </w:r>
    </w:p>
    <w:p w14:paraId="1568370D" w14:textId="77777777" w:rsidR="005B4D53" w:rsidRPr="00BB6C13" w:rsidRDefault="005B4D53">
      <w:pPr>
        <w:spacing w:line="360" w:lineRule="auto"/>
        <w:jc w:val="both"/>
        <w:rPr>
          <w:rFonts w:ascii="Palatino Linotype" w:eastAsia="Palatino Linotype" w:hAnsi="Palatino Linotype" w:cs="Palatino Linotype"/>
        </w:rPr>
      </w:pPr>
    </w:p>
    <w:p w14:paraId="5A14A7CA" w14:textId="77777777" w:rsidR="005B4D53" w:rsidRPr="00BB6C13" w:rsidRDefault="00415904">
      <w:pPr>
        <w:spacing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6575E7D1" w14:textId="77777777" w:rsidR="005B4D53" w:rsidRPr="00BB6C13" w:rsidRDefault="00415904">
      <w:pPr>
        <w:spacing w:before="240" w:after="240"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b/>
        </w:rPr>
        <w:t xml:space="preserve">8. Cierre de instrucción. </w:t>
      </w:r>
      <w:r w:rsidRPr="00BB6C13">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BB6C13">
        <w:rPr>
          <w:rFonts w:ascii="Palatino Linotype" w:eastAsia="Palatino Linotype" w:hAnsi="Palatino Linotype" w:cs="Palatino Linotype"/>
          <w:b/>
        </w:rPr>
        <w:t>veintitrés de marzo de dos mil veintitrés</w:t>
      </w:r>
      <w:r w:rsidRPr="00BB6C13">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 </w:t>
      </w:r>
    </w:p>
    <w:p w14:paraId="774B2B4B" w14:textId="77777777" w:rsidR="005B4D53" w:rsidRPr="00BB6C13" w:rsidRDefault="00415904">
      <w:pPr>
        <w:spacing w:before="240" w:after="240"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19C8CB71" w14:textId="77777777" w:rsidR="005B4D53" w:rsidRPr="00BB6C13" w:rsidRDefault="00415904">
      <w:pPr>
        <w:widowControl w:val="0"/>
        <w:spacing w:line="360" w:lineRule="auto"/>
        <w:jc w:val="center"/>
        <w:rPr>
          <w:rFonts w:ascii="Palatino Linotype" w:eastAsia="Palatino Linotype" w:hAnsi="Palatino Linotype" w:cs="Palatino Linotype"/>
          <w:b/>
        </w:rPr>
      </w:pPr>
      <w:r w:rsidRPr="00BB6C13">
        <w:rPr>
          <w:rFonts w:ascii="Palatino Linotype" w:eastAsia="Palatino Linotype" w:hAnsi="Palatino Linotype" w:cs="Palatino Linotype"/>
          <w:b/>
        </w:rPr>
        <w:t>II. C O N S I D E R A N D O S</w:t>
      </w:r>
    </w:p>
    <w:p w14:paraId="473176CE" w14:textId="77777777" w:rsidR="005B4D53" w:rsidRPr="00BB6C13" w:rsidRDefault="005B4D53">
      <w:pPr>
        <w:widowControl w:val="0"/>
        <w:spacing w:line="360" w:lineRule="auto"/>
        <w:jc w:val="center"/>
        <w:rPr>
          <w:rFonts w:ascii="Palatino Linotype" w:eastAsia="Palatino Linotype" w:hAnsi="Palatino Linotype" w:cs="Palatino Linotype"/>
          <w:b/>
        </w:rPr>
      </w:pPr>
    </w:p>
    <w:p w14:paraId="4FA7A4FC" w14:textId="77777777" w:rsidR="005B4D53" w:rsidRPr="00BB6C13" w:rsidRDefault="00415904">
      <w:pPr>
        <w:spacing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b/>
        </w:rPr>
        <w:t>Primero. Competencia.</w:t>
      </w:r>
      <w:r w:rsidRPr="00BB6C13">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w:t>
      </w:r>
      <w:r w:rsidRPr="00BB6C13">
        <w:rPr>
          <w:rFonts w:ascii="Palatino Linotype" w:eastAsia="Palatino Linotype" w:hAnsi="Palatino Linotype" w:cs="Palatino Linotype"/>
        </w:rPr>
        <w:lastRenderedPageBreak/>
        <w:t>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D7143D1" w14:textId="77777777" w:rsidR="005B4D53" w:rsidRPr="00BB6C13" w:rsidRDefault="00415904">
      <w:pPr>
        <w:spacing w:before="240" w:after="240" w:line="360" w:lineRule="auto"/>
        <w:ind w:right="49"/>
        <w:jc w:val="both"/>
        <w:rPr>
          <w:rFonts w:ascii="Palatino Linotype" w:eastAsia="Palatino Linotype" w:hAnsi="Palatino Linotype" w:cs="Palatino Linotype"/>
        </w:rPr>
      </w:pPr>
      <w:bookmarkStart w:id="2" w:name="_heading=h.tyjcwt" w:colFirst="0" w:colLast="0"/>
      <w:bookmarkEnd w:id="2"/>
      <w:r w:rsidRPr="00BB6C13">
        <w:rPr>
          <w:rFonts w:ascii="Palatino Linotype" w:eastAsia="Palatino Linotype" w:hAnsi="Palatino Linotype" w:cs="Palatino Linotype"/>
          <w:b/>
        </w:rPr>
        <w:t xml:space="preserve">Segundo. Oportunidad y Procedibilidad del Recurso de Revisión. </w:t>
      </w:r>
      <w:r w:rsidRPr="00BB6C13">
        <w:rPr>
          <w:rFonts w:ascii="Palatino Linotype" w:eastAsia="Palatino Linotype" w:hAnsi="Palatino Linotype" w:cs="Palatino Linotype"/>
        </w:rPr>
        <w:t xml:space="preserve">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BB6C13">
        <w:rPr>
          <w:rFonts w:ascii="Palatino Linotype" w:eastAsia="Palatino Linotype" w:hAnsi="Palatino Linotype" w:cs="Palatino Linotype"/>
          <w:b/>
        </w:rPr>
        <w:t>SUJETO OBLIGADO</w:t>
      </w:r>
      <w:r w:rsidRPr="00BB6C13">
        <w:rPr>
          <w:rFonts w:ascii="Palatino Linotype" w:eastAsia="Palatino Linotype" w:hAnsi="Palatino Linotype" w:cs="Palatino Linotype"/>
        </w:rPr>
        <w:t xml:space="preserve"> emitió su respuesta a la solicitud planteada por el solicitante el veintinueve de noviembre del año dos mil veintidós y la parte </w:t>
      </w:r>
      <w:r w:rsidRPr="00BB6C13">
        <w:rPr>
          <w:rFonts w:ascii="Palatino Linotype" w:eastAsia="Palatino Linotype" w:hAnsi="Palatino Linotype" w:cs="Palatino Linotype"/>
          <w:b/>
        </w:rPr>
        <w:t>RECURRENTE</w:t>
      </w:r>
      <w:r w:rsidRPr="00BB6C13">
        <w:rPr>
          <w:rFonts w:ascii="Palatino Linotype" w:eastAsia="Palatino Linotype" w:hAnsi="Palatino Linotype" w:cs="Palatino Linotype"/>
        </w:rPr>
        <w:t xml:space="preserve"> presentó su recurso de revisión el mismo día hábil en que tuvo conocimiento de la respuesta impugnada.</w:t>
      </w:r>
    </w:p>
    <w:p w14:paraId="2D4394D3" w14:textId="77777777" w:rsidR="005B4D53" w:rsidRPr="00BB6C13" w:rsidRDefault="00415904">
      <w:pPr>
        <w:spacing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 xml:space="preserve">En este sentido, al considerar la fecha en que se formuló la solicitud y la fecha en que respondió a esta el </w:t>
      </w:r>
      <w:r w:rsidRPr="00BB6C13">
        <w:rPr>
          <w:rFonts w:ascii="Palatino Linotype" w:eastAsia="Palatino Linotype" w:hAnsi="Palatino Linotype" w:cs="Palatino Linotype"/>
          <w:b/>
        </w:rPr>
        <w:t>SUJETO OBLIGADO</w:t>
      </w:r>
      <w:r w:rsidRPr="00BB6C13">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14B12BB6" w14:textId="77777777" w:rsidR="005B4D53" w:rsidRPr="00BB6C13" w:rsidRDefault="00415904">
      <w:pPr>
        <w:spacing w:before="240" w:after="240"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w:t>
      </w:r>
      <w:r w:rsidRPr="00BB6C13">
        <w:rPr>
          <w:rFonts w:ascii="Palatino Linotype" w:eastAsia="Palatino Linotype" w:hAnsi="Palatino Linotype" w:cs="Palatino Linotype"/>
        </w:rPr>
        <w:lastRenderedPageBreak/>
        <w:t>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6BE69C69" w14:textId="77777777" w:rsidR="005B4D53" w:rsidRPr="00BB6C13" w:rsidRDefault="00415904">
      <w:pPr>
        <w:spacing w:before="120" w:after="120"/>
        <w:ind w:left="851" w:right="902"/>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BB6C13">
        <w:rPr>
          <w:rFonts w:ascii="Palatino Linotype" w:eastAsia="Palatino Linotype" w:hAnsi="Palatino Linotype" w:cs="Palatino Linotype"/>
          <w:i/>
          <w:sz w:val="22"/>
          <w:szCs w:val="22"/>
        </w:rPr>
        <w:t>.</w:t>
      </w:r>
    </w:p>
    <w:p w14:paraId="090B6A4C" w14:textId="77777777" w:rsidR="005B4D53" w:rsidRPr="00BB6C13" w:rsidRDefault="00415904">
      <w:pPr>
        <w:spacing w:before="120" w:after="120"/>
        <w:ind w:left="851" w:right="902"/>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roofErr w:type="gramStart"/>
      <w:r w:rsidRPr="00BB6C13">
        <w:rPr>
          <w:rFonts w:ascii="Palatino Linotype" w:eastAsia="Palatino Linotype" w:hAnsi="Palatino Linotype" w:cs="Palatino Linotype"/>
          <w:i/>
          <w:sz w:val="22"/>
          <w:szCs w:val="22"/>
        </w:rPr>
        <w:t>.”(</w:t>
      </w:r>
      <w:proofErr w:type="gramEnd"/>
      <w:r w:rsidRPr="00BB6C13">
        <w:rPr>
          <w:rFonts w:ascii="Palatino Linotype" w:eastAsia="Palatino Linotype" w:hAnsi="Palatino Linotype" w:cs="Palatino Linotype"/>
          <w:i/>
          <w:sz w:val="22"/>
          <w:szCs w:val="22"/>
        </w:rPr>
        <w:t>Sic)</w:t>
      </w:r>
    </w:p>
    <w:p w14:paraId="15F9ACB8" w14:textId="77777777" w:rsidR="005B4D53" w:rsidRPr="00BB6C13" w:rsidRDefault="005B4D53">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p>
    <w:p w14:paraId="2663D0C8" w14:textId="77777777" w:rsidR="005B4D53" w:rsidRPr="00BB6C13" w:rsidRDefault="00415904">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r w:rsidRPr="00BB6C13">
        <w:rPr>
          <w:rFonts w:ascii="Palatino Linotype" w:eastAsia="Palatino Linotype" w:hAnsi="Palatino Linotype" w:cs="Palatino Linotype"/>
          <w:color w:val="000000"/>
        </w:rPr>
        <w:t>Además, por cuanto hace a la procedibilidad de</w:t>
      </w:r>
      <w:r w:rsidRPr="00BB6C13">
        <w:rPr>
          <w:rFonts w:ascii="Palatino Linotype" w:eastAsia="Palatino Linotype" w:hAnsi="Palatino Linotype" w:cs="Palatino Linotype"/>
        </w:rPr>
        <w:t>l</w:t>
      </w:r>
      <w:r w:rsidRPr="00BB6C13">
        <w:rPr>
          <w:rFonts w:ascii="Palatino Linotype" w:eastAsia="Palatino Linotype" w:hAnsi="Palatino Linotype" w:cs="Palatino Linotype"/>
          <w:color w:val="000000"/>
        </w:rPr>
        <w:t xml:space="preserve"> recurso de revisión una vez realizado el análisis de</w:t>
      </w:r>
      <w:r w:rsidRPr="00BB6C13">
        <w:rPr>
          <w:rFonts w:ascii="Palatino Linotype" w:eastAsia="Palatino Linotype" w:hAnsi="Palatino Linotype" w:cs="Palatino Linotype"/>
        </w:rPr>
        <w:t>l</w:t>
      </w:r>
      <w:r w:rsidRPr="00BB6C13">
        <w:rPr>
          <w:rFonts w:ascii="Palatino Linotype" w:eastAsia="Palatino Linotype" w:hAnsi="Palatino Linotype" w:cs="Palatino Linotype"/>
          <w:color w:val="000000"/>
        </w:rPr>
        <w:t xml:space="preserve"> formato de interposición de</w:t>
      </w:r>
      <w:r w:rsidRPr="00BB6C13">
        <w:rPr>
          <w:rFonts w:ascii="Palatino Linotype" w:eastAsia="Palatino Linotype" w:hAnsi="Palatino Linotype" w:cs="Palatino Linotype"/>
        </w:rPr>
        <w:t>l</w:t>
      </w:r>
      <w:r w:rsidRPr="00BB6C13">
        <w:rPr>
          <w:rFonts w:ascii="Palatino Linotype" w:eastAsia="Palatino Linotype" w:hAnsi="Palatino Linotype" w:cs="Palatino Linotype"/>
          <w:color w:val="000000"/>
        </w:rPr>
        <w:t xml:space="preserve">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BB6C13">
        <w:rPr>
          <w:rFonts w:ascii="Palatino Linotype" w:eastAsia="Palatino Linotype" w:hAnsi="Palatino Linotype" w:cs="Palatino Linotype"/>
          <w:b/>
          <w:color w:val="000000"/>
        </w:rPr>
        <w:t>EL</w:t>
      </w:r>
      <w:r w:rsidRPr="00BB6C13">
        <w:rPr>
          <w:rFonts w:ascii="Palatino Linotype" w:eastAsia="Palatino Linotype" w:hAnsi="Palatino Linotype" w:cs="Palatino Linotype"/>
          <w:color w:val="000000"/>
        </w:rPr>
        <w:t xml:space="preserve"> </w:t>
      </w:r>
      <w:r w:rsidRPr="00BB6C13">
        <w:rPr>
          <w:rFonts w:ascii="Palatino Linotype" w:eastAsia="Palatino Linotype" w:hAnsi="Palatino Linotype" w:cs="Palatino Linotype"/>
          <w:b/>
          <w:color w:val="000000"/>
        </w:rPr>
        <w:t>SAIMEX</w:t>
      </w:r>
      <w:r w:rsidRPr="00BB6C13">
        <w:rPr>
          <w:rFonts w:ascii="Palatino Linotype" w:eastAsia="Palatino Linotype" w:hAnsi="Palatino Linotype" w:cs="Palatino Linotype"/>
          <w:color w:val="000000"/>
        </w:rPr>
        <w:t>.</w:t>
      </w:r>
    </w:p>
    <w:p w14:paraId="5E4D5C80" w14:textId="77777777" w:rsidR="005B4D53" w:rsidRPr="00BB6C13" w:rsidRDefault="005B4D53">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p>
    <w:p w14:paraId="58E27E27" w14:textId="77777777" w:rsidR="005B4D53" w:rsidRPr="00BB6C13" w:rsidRDefault="00415904">
      <w:pPr>
        <w:spacing w:after="240"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VI de la ley de la materia, que a la letra dice:</w:t>
      </w:r>
    </w:p>
    <w:p w14:paraId="040E8E57" w14:textId="77777777" w:rsidR="005B4D53" w:rsidRPr="00BB6C13" w:rsidRDefault="00415904">
      <w:pPr>
        <w:ind w:left="1276" w:right="1752"/>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w:t>
      </w:r>
      <w:r w:rsidRPr="00BB6C13">
        <w:rPr>
          <w:rFonts w:ascii="Palatino Linotype" w:eastAsia="Palatino Linotype" w:hAnsi="Palatino Linotype" w:cs="Palatino Linotype"/>
          <w:b/>
          <w:i/>
          <w:sz w:val="22"/>
          <w:szCs w:val="22"/>
        </w:rPr>
        <w:t xml:space="preserve">Artículo 179. </w:t>
      </w:r>
      <w:r w:rsidRPr="00BB6C13">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3D774FDC" w14:textId="77777777" w:rsidR="005B4D53" w:rsidRPr="00BB6C13" w:rsidRDefault="00415904">
      <w:pPr>
        <w:ind w:left="1276" w:right="1752"/>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lastRenderedPageBreak/>
        <w:t>…</w:t>
      </w:r>
    </w:p>
    <w:p w14:paraId="253F83DD" w14:textId="77777777" w:rsidR="005B4D53" w:rsidRPr="00BB6C13" w:rsidRDefault="00415904">
      <w:pPr>
        <w:ind w:left="1276" w:right="1752"/>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VI. La entrega de información que no corresponda con lo solicitado…” (Sic)</w:t>
      </w:r>
    </w:p>
    <w:p w14:paraId="10B28011" w14:textId="77777777" w:rsidR="005B4D53" w:rsidRPr="00BB6C13" w:rsidRDefault="00415904">
      <w:pPr>
        <w:spacing w:before="280" w:after="280"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b/>
          <w:color w:val="000000"/>
        </w:rPr>
        <w:t>Tercero. Materia de Revisión</w:t>
      </w:r>
      <w:r w:rsidRPr="00BB6C13">
        <w:rPr>
          <w:rFonts w:ascii="Palatino Linotype" w:eastAsia="Palatino Linotype" w:hAnsi="Palatino Linotype" w:cs="Palatino Linotype"/>
          <w:color w:val="000000"/>
        </w:rPr>
        <w:t xml:space="preserve">: </w:t>
      </w:r>
      <w:r w:rsidRPr="00BB6C13">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Pr="00BB6C13">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BB6C13">
        <w:rPr>
          <w:rFonts w:ascii="Palatino Linotype" w:eastAsia="Palatino Linotype" w:hAnsi="Palatino Linotype" w:cs="Palatino Linotype"/>
        </w:rPr>
        <w:t xml:space="preserve">de la </w:t>
      </w:r>
      <w:r w:rsidRPr="00BB6C13">
        <w:rPr>
          <w:rFonts w:ascii="Palatino Linotype" w:eastAsia="Palatino Linotype" w:hAnsi="Palatino Linotype" w:cs="Palatino Linotype"/>
          <w:b/>
        </w:rPr>
        <w:t>RECURRENTE</w:t>
      </w:r>
      <w:r w:rsidRPr="00BB6C13">
        <w:rPr>
          <w:rFonts w:ascii="Palatino Linotype" w:eastAsia="Palatino Linotype" w:hAnsi="Palatino Linotype" w:cs="Palatino Linotype"/>
        </w:rPr>
        <w:t>, o en su defecto, en caso de ser procedente, ordenar la entrega de información.</w:t>
      </w:r>
    </w:p>
    <w:p w14:paraId="2AE7CA4B" w14:textId="77777777" w:rsidR="005B4D53" w:rsidRPr="00BB6C13" w:rsidRDefault="00415904">
      <w:pPr>
        <w:spacing w:before="240" w:after="240"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b/>
        </w:rPr>
        <w:t xml:space="preserve">Cuarto. Estudio de fondo del asunto. </w:t>
      </w:r>
      <w:r w:rsidRPr="00BB6C13">
        <w:rPr>
          <w:rFonts w:ascii="Palatino Linotype" w:eastAsia="Palatino Linotype" w:hAnsi="Palatino Linotype" w:cs="Palatino Linotype"/>
        </w:rPr>
        <w:t xml:space="preserve">es conveniente analizar si la respuesta del </w:t>
      </w:r>
      <w:r w:rsidRPr="00BB6C13">
        <w:rPr>
          <w:rFonts w:ascii="Palatino Linotype" w:eastAsia="Palatino Linotype" w:hAnsi="Palatino Linotype" w:cs="Palatino Linotype"/>
          <w:b/>
        </w:rPr>
        <w:t>SUJETO OBLIGADO</w:t>
      </w:r>
      <w:r w:rsidRPr="00BB6C13">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sidRPr="00BB6C13">
        <w:rPr>
          <w:rFonts w:ascii="Palatino Linotype" w:eastAsia="Palatino Linotype" w:hAnsi="Palatino Linotype" w:cs="Palatino Linotype"/>
          <w:color w:val="000000"/>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94868FA" w14:textId="77777777" w:rsidR="005B4D53" w:rsidRPr="00BB6C13" w:rsidRDefault="00415904">
      <w:pPr>
        <w:spacing w:before="240"/>
        <w:ind w:left="709" w:right="760"/>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w:t>
      </w:r>
      <w:r w:rsidRPr="00BB6C13">
        <w:rPr>
          <w:rFonts w:ascii="Palatino Linotype" w:eastAsia="Palatino Linotype" w:hAnsi="Palatino Linotype" w:cs="Palatino Linotype"/>
          <w:b/>
          <w:i/>
          <w:sz w:val="22"/>
          <w:szCs w:val="22"/>
        </w:rPr>
        <w:t>Artículo 4.</w:t>
      </w:r>
      <w:r w:rsidRPr="00BB6C13">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9F00E79" w14:textId="77777777" w:rsidR="005B4D53" w:rsidRPr="00BB6C13" w:rsidRDefault="00415904">
      <w:pPr>
        <w:ind w:left="709" w:right="760"/>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BB6C13">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w:t>
      </w:r>
      <w:r w:rsidRPr="00BB6C13">
        <w:rPr>
          <w:rFonts w:ascii="Palatino Linotype" w:eastAsia="Palatino Linotype" w:hAnsi="Palatino Linotype" w:cs="Palatino Linotype"/>
          <w:i/>
          <w:sz w:val="22"/>
          <w:szCs w:val="22"/>
        </w:rPr>
        <w:lastRenderedPageBreak/>
        <w:t>público, en los términos de las causas legítimas y estrictamente necesarias previstas por esta Ley.</w:t>
      </w:r>
    </w:p>
    <w:p w14:paraId="5967EEA7" w14:textId="77777777" w:rsidR="005B4D53" w:rsidRPr="00BB6C13" w:rsidRDefault="00415904">
      <w:pPr>
        <w:ind w:left="709" w:right="760"/>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BB6C13">
        <w:rPr>
          <w:rFonts w:ascii="Palatino Linotype" w:eastAsia="Palatino Linotype" w:hAnsi="Palatino Linotype" w:cs="Palatino Linotype"/>
          <w:i/>
          <w:sz w:val="22"/>
          <w:szCs w:val="22"/>
        </w:rPr>
        <w:t>.”(</w:t>
      </w:r>
      <w:proofErr w:type="gramEnd"/>
      <w:r w:rsidRPr="00BB6C13">
        <w:rPr>
          <w:rFonts w:ascii="Palatino Linotype" w:eastAsia="Palatino Linotype" w:hAnsi="Palatino Linotype" w:cs="Palatino Linotype"/>
          <w:i/>
          <w:sz w:val="22"/>
          <w:szCs w:val="22"/>
        </w:rPr>
        <w:t>Sic)</w:t>
      </w:r>
    </w:p>
    <w:p w14:paraId="033B6D70" w14:textId="77777777" w:rsidR="005B4D53" w:rsidRPr="00BB6C13" w:rsidRDefault="00415904">
      <w:pPr>
        <w:spacing w:before="240" w:after="240"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19E22354" w14:textId="77777777" w:rsidR="005B4D53" w:rsidRPr="00BB6C13" w:rsidRDefault="00415904">
      <w:pPr>
        <w:ind w:left="567" w:right="758"/>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w:t>
      </w:r>
      <w:r w:rsidRPr="00BB6C13">
        <w:rPr>
          <w:rFonts w:ascii="Palatino Linotype" w:eastAsia="Palatino Linotype" w:hAnsi="Palatino Linotype" w:cs="Palatino Linotype"/>
          <w:b/>
          <w:i/>
          <w:sz w:val="22"/>
          <w:szCs w:val="22"/>
        </w:rPr>
        <w:t>Artículo12.-</w:t>
      </w:r>
      <w:r w:rsidRPr="00BB6C13">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372057E" w14:textId="77777777" w:rsidR="005B4D53" w:rsidRPr="00BB6C13" w:rsidRDefault="00415904">
      <w:pPr>
        <w:ind w:left="567" w:right="758"/>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BB6C13">
        <w:rPr>
          <w:rFonts w:ascii="Palatino Linotype" w:eastAsia="Palatino Linotype" w:hAnsi="Palatino Linotype" w:cs="Palatino Linotype"/>
          <w:i/>
          <w:sz w:val="22"/>
          <w:szCs w:val="22"/>
        </w:rPr>
        <w:t xml:space="preserve">. </w:t>
      </w:r>
      <w:r w:rsidRPr="00BB6C13">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18497131" w14:textId="77777777" w:rsidR="005B4D53" w:rsidRPr="00BB6C13" w:rsidRDefault="005B4D53">
      <w:pPr>
        <w:spacing w:line="360" w:lineRule="auto"/>
        <w:ind w:right="-93"/>
        <w:jc w:val="both"/>
        <w:rPr>
          <w:rFonts w:ascii="Palatino Linotype" w:eastAsia="Palatino Linotype" w:hAnsi="Palatino Linotype" w:cs="Palatino Linotype"/>
          <w:color w:val="000000"/>
        </w:rPr>
      </w:pPr>
    </w:p>
    <w:p w14:paraId="5488240A" w14:textId="77777777" w:rsidR="005B4D53" w:rsidRPr="00BB6C13" w:rsidRDefault="00415904">
      <w:pPr>
        <w:spacing w:line="360" w:lineRule="auto"/>
        <w:ind w:right="-93"/>
        <w:jc w:val="both"/>
        <w:rPr>
          <w:rFonts w:ascii="Palatino Linotype" w:eastAsia="Palatino Linotype" w:hAnsi="Palatino Linotype" w:cs="Palatino Linotype"/>
          <w:color w:val="000000"/>
        </w:rPr>
      </w:pPr>
      <w:r w:rsidRPr="00BB6C13">
        <w:rPr>
          <w:rFonts w:ascii="Palatino Linotype" w:eastAsia="Palatino Linotype" w:hAnsi="Palatino Linotype" w:cs="Palatino Linotype"/>
          <w:color w:val="000000"/>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05DB792A" w14:textId="77777777" w:rsidR="005B4D53" w:rsidRPr="00BB6C13" w:rsidRDefault="005B4D53">
      <w:pPr>
        <w:spacing w:line="360" w:lineRule="auto"/>
        <w:ind w:right="-93"/>
        <w:jc w:val="both"/>
        <w:rPr>
          <w:rFonts w:ascii="Palatino Linotype" w:eastAsia="Palatino Linotype" w:hAnsi="Palatino Linotype" w:cs="Palatino Linotype"/>
          <w:color w:val="000000"/>
        </w:rPr>
      </w:pPr>
    </w:p>
    <w:p w14:paraId="4FC3F874" w14:textId="77777777" w:rsidR="005B4D53" w:rsidRPr="00BB6C13" w:rsidRDefault="00415904">
      <w:pPr>
        <w:spacing w:line="360" w:lineRule="auto"/>
        <w:jc w:val="both"/>
        <w:rPr>
          <w:rFonts w:ascii="Palatino Linotype" w:eastAsia="Palatino Linotype" w:hAnsi="Palatino Linotype" w:cs="Palatino Linotype"/>
          <w:b/>
          <w:color w:val="000000"/>
        </w:rPr>
      </w:pPr>
      <w:r w:rsidRPr="00BB6C13">
        <w:rPr>
          <w:rFonts w:ascii="Palatino Linotype" w:eastAsia="Palatino Linotype" w:hAnsi="Palatino Linotype" w:cs="Palatino Linotype"/>
          <w:color w:val="000000"/>
        </w:rPr>
        <w:lastRenderedPageBreak/>
        <w:t>Sirve de apoyo a lo anterior, el criterio 03-17, expuesto por el Instituto Nacional de Transparencia, Acceso a la Información y Protección de Datos Personales, que dice:</w:t>
      </w:r>
      <w:r w:rsidRPr="00BB6C13">
        <w:rPr>
          <w:rFonts w:ascii="Palatino Linotype" w:eastAsia="Palatino Linotype" w:hAnsi="Palatino Linotype" w:cs="Palatino Linotype"/>
          <w:b/>
          <w:color w:val="000000"/>
        </w:rPr>
        <w:t xml:space="preserve"> </w:t>
      </w:r>
    </w:p>
    <w:p w14:paraId="2C1F5CD3" w14:textId="77777777" w:rsidR="005B4D53" w:rsidRPr="00BB6C13" w:rsidRDefault="00415904">
      <w:pPr>
        <w:ind w:left="851" w:right="901"/>
        <w:jc w:val="both"/>
        <w:rPr>
          <w:rFonts w:ascii="Palatino Linotype" w:eastAsia="Palatino Linotype" w:hAnsi="Palatino Linotype" w:cs="Palatino Linotype"/>
          <w:i/>
          <w:color w:val="000000"/>
          <w:sz w:val="22"/>
          <w:szCs w:val="22"/>
        </w:rPr>
      </w:pPr>
      <w:r w:rsidRPr="00BB6C13">
        <w:rPr>
          <w:rFonts w:ascii="Palatino Linotype" w:eastAsia="Palatino Linotype" w:hAnsi="Palatino Linotype" w:cs="Palatino Linotype"/>
          <w:i/>
          <w:color w:val="000000"/>
          <w:sz w:val="22"/>
          <w:szCs w:val="22"/>
        </w:rPr>
        <w:t>“</w:t>
      </w:r>
      <w:r w:rsidRPr="00BB6C13">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sidRPr="00BB6C13">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A38C698" w14:textId="77777777" w:rsidR="005B4D53" w:rsidRPr="00BB6C13" w:rsidRDefault="00415904">
      <w:pPr>
        <w:ind w:left="851" w:right="901"/>
        <w:jc w:val="both"/>
        <w:rPr>
          <w:rFonts w:ascii="Palatino Linotype" w:eastAsia="Palatino Linotype" w:hAnsi="Palatino Linotype" w:cs="Palatino Linotype"/>
          <w:i/>
          <w:color w:val="000000"/>
          <w:sz w:val="22"/>
          <w:szCs w:val="22"/>
        </w:rPr>
      </w:pPr>
      <w:r w:rsidRPr="00BB6C13">
        <w:rPr>
          <w:rFonts w:ascii="Palatino Linotype" w:eastAsia="Palatino Linotype" w:hAnsi="Palatino Linotype" w:cs="Palatino Linotype"/>
          <w:i/>
          <w:color w:val="000000"/>
          <w:sz w:val="22"/>
          <w:szCs w:val="22"/>
        </w:rPr>
        <w:t xml:space="preserve">Resoluciones: </w:t>
      </w:r>
    </w:p>
    <w:p w14:paraId="7F279B0B" w14:textId="77777777" w:rsidR="005B4D53" w:rsidRPr="00BB6C13" w:rsidRDefault="00415904">
      <w:pPr>
        <w:ind w:left="851" w:right="901"/>
        <w:jc w:val="both"/>
        <w:rPr>
          <w:rFonts w:ascii="Palatino Linotype" w:eastAsia="Palatino Linotype" w:hAnsi="Palatino Linotype" w:cs="Palatino Linotype"/>
          <w:i/>
          <w:color w:val="000000"/>
          <w:sz w:val="22"/>
          <w:szCs w:val="22"/>
        </w:rPr>
      </w:pPr>
      <w:r w:rsidRPr="00BB6C13">
        <w:rPr>
          <w:rFonts w:ascii="Noto Sans Symbols" w:eastAsia="Noto Sans Symbols" w:hAnsi="Noto Sans Symbols" w:cs="Noto Sans Symbols"/>
          <w:i/>
          <w:color w:val="000000"/>
          <w:sz w:val="22"/>
          <w:szCs w:val="22"/>
        </w:rPr>
        <w:t>∙</w:t>
      </w:r>
      <w:r w:rsidRPr="00BB6C13">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14:paraId="2D73EF6E" w14:textId="77777777" w:rsidR="005B4D53" w:rsidRPr="00BB6C13" w:rsidRDefault="00415904">
      <w:pPr>
        <w:ind w:left="851" w:right="901"/>
        <w:jc w:val="both"/>
        <w:rPr>
          <w:rFonts w:ascii="Palatino Linotype" w:eastAsia="Palatino Linotype" w:hAnsi="Palatino Linotype" w:cs="Palatino Linotype"/>
          <w:i/>
          <w:color w:val="000000"/>
          <w:sz w:val="22"/>
          <w:szCs w:val="22"/>
        </w:rPr>
      </w:pPr>
      <w:r w:rsidRPr="00BB6C13">
        <w:rPr>
          <w:rFonts w:ascii="Noto Sans Symbols" w:eastAsia="Noto Sans Symbols" w:hAnsi="Noto Sans Symbols" w:cs="Noto Sans Symbols"/>
          <w:i/>
          <w:color w:val="000000"/>
          <w:sz w:val="22"/>
          <w:szCs w:val="22"/>
        </w:rPr>
        <w:t>∙</w:t>
      </w:r>
      <w:r w:rsidRPr="00BB6C13">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14:paraId="53B5214E" w14:textId="77777777" w:rsidR="005B4D53" w:rsidRPr="00BB6C13" w:rsidRDefault="00415904">
      <w:pPr>
        <w:ind w:left="851" w:right="901"/>
        <w:jc w:val="both"/>
        <w:rPr>
          <w:rFonts w:ascii="Palatino Linotype" w:eastAsia="Palatino Linotype" w:hAnsi="Palatino Linotype" w:cs="Palatino Linotype"/>
          <w:i/>
          <w:color w:val="000000"/>
          <w:sz w:val="22"/>
          <w:szCs w:val="22"/>
        </w:rPr>
      </w:pPr>
      <w:r w:rsidRPr="00BB6C13">
        <w:rPr>
          <w:rFonts w:ascii="Noto Sans Symbols" w:eastAsia="Noto Sans Symbols" w:hAnsi="Noto Sans Symbols" w:cs="Noto Sans Symbols"/>
          <w:i/>
          <w:color w:val="000000"/>
          <w:sz w:val="22"/>
          <w:szCs w:val="22"/>
        </w:rPr>
        <w:t>∙</w:t>
      </w:r>
      <w:r w:rsidRPr="00BB6C13">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w:t>
      </w:r>
      <w:proofErr w:type="gramStart"/>
      <w:r w:rsidRPr="00BB6C13">
        <w:rPr>
          <w:rFonts w:ascii="Palatino Linotype" w:eastAsia="Palatino Linotype" w:hAnsi="Palatino Linotype" w:cs="Palatino Linotype"/>
          <w:i/>
          <w:color w:val="000000"/>
          <w:sz w:val="22"/>
          <w:szCs w:val="22"/>
        </w:rPr>
        <w:t>.”(</w:t>
      </w:r>
      <w:proofErr w:type="gramEnd"/>
      <w:r w:rsidRPr="00BB6C13">
        <w:rPr>
          <w:rFonts w:ascii="Palatino Linotype" w:eastAsia="Palatino Linotype" w:hAnsi="Palatino Linotype" w:cs="Palatino Linotype"/>
          <w:i/>
          <w:color w:val="000000"/>
          <w:sz w:val="22"/>
          <w:szCs w:val="22"/>
        </w:rPr>
        <w:t>Sic)</w:t>
      </w:r>
    </w:p>
    <w:p w14:paraId="66CB9F13" w14:textId="77777777" w:rsidR="005B4D53" w:rsidRPr="00BB6C13" w:rsidRDefault="005B4D53">
      <w:pPr>
        <w:spacing w:line="360" w:lineRule="auto"/>
        <w:jc w:val="both"/>
        <w:rPr>
          <w:rFonts w:ascii="Palatino Linotype" w:eastAsia="Palatino Linotype" w:hAnsi="Palatino Linotype" w:cs="Palatino Linotype"/>
        </w:rPr>
      </w:pPr>
    </w:p>
    <w:p w14:paraId="2CA291C4" w14:textId="77777777" w:rsidR="005B4D53" w:rsidRPr="00BB6C13" w:rsidRDefault="00415904">
      <w:pPr>
        <w:spacing w:line="360" w:lineRule="auto"/>
        <w:jc w:val="both"/>
        <w:rPr>
          <w:rFonts w:ascii="Palatino Linotype" w:eastAsia="Palatino Linotype" w:hAnsi="Palatino Linotype" w:cs="Palatino Linotype"/>
          <w:color w:val="000000"/>
        </w:rPr>
      </w:pPr>
      <w:r w:rsidRPr="00BB6C13">
        <w:rPr>
          <w:rFonts w:ascii="Palatino Linotype" w:eastAsia="Palatino Linotype" w:hAnsi="Palatino Linotype" w:cs="Palatino Linotype"/>
        </w:rPr>
        <w:t xml:space="preserve">En esa tesitura, el artículo 24 en su último párrafo de la Ley de la Materia, dispone que los Sujetos Obligados </w:t>
      </w:r>
      <w:r w:rsidRPr="00BB6C13">
        <w:rPr>
          <w:rFonts w:ascii="Palatino Linotype" w:eastAsia="Palatino Linotype" w:hAnsi="Palatino Linotype" w:cs="Palatino Linotype"/>
          <w:color w:val="000000"/>
        </w:rPr>
        <w:t xml:space="preserve">sólo proporcionarán la información pública que </w:t>
      </w:r>
      <w:r w:rsidRPr="00BB6C13">
        <w:rPr>
          <w:rFonts w:ascii="Palatino Linotype" w:eastAsia="Palatino Linotype" w:hAnsi="Palatino Linotype" w:cs="Palatino Linotype"/>
        </w:rPr>
        <w:t>generen</w:t>
      </w:r>
      <w:r w:rsidRPr="00BB6C13">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73BEDB53" w14:textId="77777777" w:rsidR="005B4D53" w:rsidRPr="00BB6C13" w:rsidRDefault="005B4D53">
      <w:pPr>
        <w:spacing w:line="360" w:lineRule="auto"/>
        <w:jc w:val="both"/>
        <w:rPr>
          <w:rFonts w:ascii="Palatino Linotype" w:eastAsia="Palatino Linotype" w:hAnsi="Palatino Linotype" w:cs="Palatino Linotype"/>
          <w:color w:val="000000"/>
        </w:rPr>
      </w:pPr>
    </w:p>
    <w:p w14:paraId="7BF0F829" w14:textId="77777777" w:rsidR="005B4D53" w:rsidRPr="00BB6C13" w:rsidRDefault="00415904">
      <w:pPr>
        <w:spacing w:line="360" w:lineRule="auto"/>
        <w:ind w:right="49"/>
        <w:jc w:val="both"/>
        <w:rPr>
          <w:rFonts w:ascii="Palatino Linotype" w:eastAsia="Palatino Linotype" w:hAnsi="Palatino Linotype" w:cs="Palatino Linotype"/>
        </w:rPr>
      </w:pPr>
      <w:r w:rsidRPr="00BB6C13">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w:t>
      </w:r>
      <w:r w:rsidRPr="00BB6C13">
        <w:rPr>
          <w:rFonts w:ascii="Palatino Linotype" w:eastAsia="Palatino Linotype" w:hAnsi="Palatino Linotype" w:cs="Palatino Linotype"/>
        </w:rPr>
        <w:lastRenderedPageBreak/>
        <w:t>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66D2438" w14:textId="77777777" w:rsidR="005B4D53" w:rsidRPr="00BB6C13" w:rsidRDefault="005B4D53">
      <w:pPr>
        <w:spacing w:line="360" w:lineRule="auto"/>
        <w:ind w:right="49"/>
        <w:jc w:val="both"/>
        <w:rPr>
          <w:rFonts w:ascii="Palatino Linotype" w:eastAsia="Palatino Linotype" w:hAnsi="Palatino Linotype" w:cs="Palatino Linotype"/>
        </w:rPr>
      </w:pPr>
    </w:p>
    <w:p w14:paraId="041364C5" w14:textId="77777777" w:rsidR="005B4D53" w:rsidRPr="00BB6C13" w:rsidRDefault="00415904">
      <w:pPr>
        <w:spacing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70D86AC" w14:textId="77777777" w:rsidR="005B4D53" w:rsidRPr="00BB6C13" w:rsidRDefault="005B4D53">
      <w:pPr>
        <w:ind w:left="851" w:right="899"/>
        <w:jc w:val="both"/>
        <w:rPr>
          <w:rFonts w:ascii="Palatino Linotype" w:eastAsia="Palatino Linotype" w:hAnsi="Palatino Linotype" w:cs="Palatino Linotype"/>
          <w:i/>
          <w:sz w:val="22"/>
          <w:szCs w:val="22"/>
        </w:rPr>
      </w:pPr>
    </w:p>
    <w:p w14:paraId="5CF45BA9" w14:textId="77777777" w:rsidR="005B4D53" w:rsidRPr="00BB6C13" w:rsidRDefault="00415904">
      <w:pPr>
        <w:ind w:left="851" w:right="899"/>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w:t>
      </w:r>
      <w:r w:rsidRPr="00BB6C13">
        <w:rPr>
          <w:rFonts w:ascii="Palatino Linotype" w:eastAsia="Palatino Linotype" w:hAnsi="Palatino Linotype" w:cs="Palatino Linotype"/>
          <w:b/>
          <w:i/>
          <w:sz w:val="22"/>
          <w:szCs w:val="22"/>
        </w:rPr>
        <w:t xml:space="preserve">Artículo 3. </w:t>
      </w:r>
      <w:r w:rsidRPr="00BB6C13">
        <w:rPr>
          <w:rFonts w:ascii="Palatino Linotype" w:eastAsia="Palatino Linotype" w:hAnsi="Palatino Linotype" w:cs="Palatino Linotype"/>
          <w:i/>
          <w:sz w:val="22"/>
          <w:szCs w:val="22"/>
        </w:rPr>
        <w:t>Para los efectos de la presente Ley se entenderá por:</w:t>
      </w:r>
    </w:p>
    <w:p w14:paraId="256D40E2" w14:textId="77777777" w:rsidR="005B4D53" w:rsidRPr="00BB6C13" w:rsidRDefault="00415904">
      <w:pPr>
        <w:ind w:left="851" w:right="899"/>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w:t>
      </w:r>
    </w:p>
    <w:p w14:paraId="6B5ED373" w14:textId="77777777" w:rsidR="005B4D53" w:rsidRPr="00BB6C13" w:rsidRDefault="00415904">
      <w:pPr>
        <w:ind w:left="851" w:right="899"/>
        <w:jc w:val="both"/>
        <w:rPr>
          <w:rFonts w:ascii="Palatino Linotype" w:eastAsia="Palatino Linotype" w:hAnsi="Palatino Linotype" w:cs="Palatino Linotype"/>
          <w:i/>
          <w:color w:val="000000"/>
          <w:sz w:val="22"/>
          <w:szCs w:val="22"/>
        </w:rPr>
      </w:pPr>
      <w:r w:rsidRPr="00BB6C13">
        <w:rPr>
          <w:rFonts w:ascii="Palatino Linotype" w:eastAsia="Palatino Linotype" w:hAnsi="Palatino Linotype" w:cs="Palatino Linotype"/>
          <w:b/>
          <w:i/>
          <w:color w:val="000000"/>
          <w:sz w:val="22"/>
          <w:szCs w:val="22"/>
        </w:rPr>
        <w:t>XI. Documento:</w:t>
      </w:r>
      <w:r w:rsidRPr="00BB6C13">
        <w:rPr>
          <w:rFonts w:ascii="Palatino Linotype" w:eastAsia="Palatino Linotype" w:hAnsi="Palatino Linotype" w:cs="Palatino Linotype"/>
          <w:i/>
          <w:color w:val="000000"/>
          <w:sz w:val="22"/>
          <w:szCs w:val="22"/>
        </w:rPr>
        <w:t xml:space="preserve"> Los expedientes, reportes, estudios, actas</w:t>
      </w:r>
      <w:r w:rsidRPr="00BB6C13">
        <w:rPr>
          <w:rFonts w:ascii="Palatino Linotype" w:eastAsia="Palatino Linotype" w:hAnsi="Palatino Linotype" w:cs="Palatino Linotype"/>
          <w:b/>
          <w:i/>
          <w:color w:val="000000"/>
          <w:sz w:val="22"/>
          <w:szCs w:val="22"/>
        </w:rPr>
        <w:t>,</w:t>
      </w:r>
      <w:r w:rsidRPr="00BB6C13">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2FE2C935" w14:textId="77777777" w:rsidR="005B4D53" w:rsidRPr="00BB6C13" w:rsidRDefault="005B4D53">
      <w:pPr>
        <w:ind w:left="851" w:right="899"/>
        <w:jc w:val="both"/>
        <w:rPr>
          <w:rFonts w:ascii="Palatino Linotype" w:eastAsia="Palatino Linotype" w:hAnsi="Palatino Linotype" w:cs="Palatino Linotype"/>
          <w:sz w:val="22"/>
          <w:szCs w:val="22"/>
        </w:rPr>
      </w:pPr>
    </w:p>
    <w:p w14:paraId="2A4DB56C" w14:textId="77777777" w:rsidR="005B4D53" w:rsidRPr="00BB6C13" w:rsidRDefault="00415904">
      <w:pPr>
        <w:spacing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BB6C13">
        <w:rPr>
          <w:rFonts w:ascii="Palatino Linotype" w:eastAsia="Palatino Linotype" w:hAnsi="Palatino Linotype" w:cs="Palatino Linotype"/>
        </w:rPr>
        <w:lastRenderedPageBreak/>
        <w:t>Oficial del Gobierno del Estado Libre y Soberano de México “Gaceta del Gobierno”, el diecinueve de octubre de dos mil once, cuyo rubro y texto refieren lo siguiente:</w:t>
      </w:r>
    </w:p>
    <w:p w14:paraId="0235A86F" w14:textId="77777777" w:rsidR="005B4D53" w:rsidRPr="00BB6C13" w:rsidRDefault="005B4D53">
      <w:pPr>
        <w:ind w:left="851" w:right="899"/>
        <w:jc w:val="both"/>
        <w:rPr>
          <w:rFonts w:ascii="Palatino Linotype" w:eastAsia="Palatino Linotype" w:hAnsi="Palatino Linotype" w:cs="Palatino Linotype"/>
        </w:rPr>
      </w:pPr>
    </w:p>
    <w:p w14:paraId="5F8B66A4" w14:textId="77777777" w:rsidR="005B4D53" w:rsidRPr="00BB6C13" w:rsidRDefault="00415904">
      <w:pPr>
        <w:ind w:left="851" w:right="899"/>
        <w:jc w:val="both"/>
        <w:rPr>
          <w:rFonts w:ascii="Palatino Linotype" w:eastAsia="Palatino Linotype" w:hAnsi="Palatino Linotype" w:cs="Palatino Linotype"/>
          <w:b/>
          <w:i/>
          <w:sz w:val="22"/>
          <w:szCs w:val="22"/>
        </w:rPr>
      </w:pPr>
      <w:r w:rsidRPr="00BB6C13">
        <w:rPr>
          <w:rFonts w:ascii="Palatino Linotype" w:eastAsia="Palatino Linotype" w:hAnsi="Palatino Linotype" w:cs="Palatino Linotype"/>
          <w:b/>
          <w:sz w:val="22"/>
          <w:szCs w:val="22"/>
        </w:rPr>
        <w:t>“</w:t>
      </w:r>
      <w:r w:rsidRPr="00BB6C13">
        <w:rPr>
          <w:rFonts w:ascii="Palatino Linotype" w:eastAsia="Palatino Linotype" w:hAnsi="Palatino Linotype" w:cs="Palatino Linotype"/>
          <w:b/>
          <w:i/>
          <w:sz w:val="22"/>
          <w:szCs w:val="22"/>
        </w:rPr>
        <w:t>CRITERIO 0002-11</w:t>
      </w:r>
    </w:p>
    <w:p w14:paraId="01ED83E4" w14:textId="77777777" w:rsidR="005B4D53" w:rsidRPr="00BB6C13" w:rsidRDefault="00415904">
      <w:pPr>
        <w:ind w:left="851" w:right="899"/>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BB6C13">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FE971EF" w14:textId="77777777" w:rsidR="005B4D53" w:rsidRPr="00BB6C13" w:rsidRDefault="00415904">
      <w:pPr>
        <w:ind w:left="851" w:right="899"/>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 xml:space="preserve">En </w:t>
      </w:r>
      <w:proofErr w:type="gramStart"/>
      <w:r w:rsidRPr="00BB6C13">
        <w:rPr>
          <w:rFonts w:ascii="Palatino Linotype" w:eastAsia="Palatino Linotype" w:hAnsi="Palatino Linotype" w:cs="Palatino Linotype"/>
          <w:i/>
          <w:sz w:val="22"/>
          <w:szCs w:val="22"/>
        </w:rPr>
        <w:t>consecuencia</w:t>
      </w:r>
      <w:proofErr w:type="gramEnd"/>
      <w:r w:rsidRPr="00BB6C13">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09C4A8D5" w14:textId="77777777" w:rsidR="005B4D53" w:rsidRPr="00BB6C13" w:rsidRDefault="00415904">
      <w:pPr>
        <w:ind w:left="851" w:right="899"/>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 xml:space="preserve">1) Que se trate de información registrada en cualquier soporte documental, </w:t>
      </w:r>
      <w:proofErr w:type="gramStart"/>
      <w:r w:rsidRPr="00BB6C13">
        <w:rPr>
          <w:rFonts w:ascii="Palatino Linotype" w:eastAsia="Palatino Linotype" w:hAnsi="Palatino Linotype" w:cs="Palatino Linotype"/>
          <w:i/>
          <w:sz w:val="22"/>
          <w:szCs w:val="22"/>
        </w:rPr>
        <w:t>que</w:t>
      </w:r>
      <w:proofErr w:type="gramEnd"/>
      <w:r w:rsidRPr="00BB6C13">
        <w:rPr>
          <w:rFonts w:ascii="Palatino Linotype" w:eastAsia="Palatino Linotype" w:hAnsi="Palatino Linotype" w:cs="Palatino Linotype"/>
          <w:i/>
          <w:sz w:val="22"/>
          <w:szCs w:val="22"/>
        </w:rPr>
        <w:t xml:space="preserve"> en ejercicio de las atribuciones conferidas, sea generada por los Sujetos Obligados;</w:t>
      </w:r>
    </w:p>
    <w:p w14:paraId="588DB70A" w14:textId="77777777" w:rsidR="005B4D53" w:rsidRPr="00BB6C13" w:rsidRDefault="00415904">
      <w:pPr>
        <w:ind w:left="851" w:right="899"/>
        <w:jc w:val="both"/>
        <w:rPr>
          <w:rFonts w:ascii="Palatino Linotype" w:eastAsia="Palatino Linotype" w:hAnsi="Palatino Linotype" w:cs="Palatino Linotype"/>
          <w:b/>
          <w:i/>
          <w:sz w:val="22"/>
          <w:szCs w:val="22"/>
        </w:rPr>
      </w:pPr>
      <w:r w:rsidRPr="00BB6C13">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BB6C13">
        <w:rPr>
          <w:rFonts w:ascii="Palatino Linotype" w:eastAsia="Palatino Linotype" w:hAnsi="Palatino Linotype" w:cs="Palatino Linotype"/>
          <w:b/>
          <w:i/>
          <w:sz w:val="22"/>
          <w:szCs w:val="22"/>
        </w:rPr>
        <w:t>que</w:t>
      </w:r>
      <w:proofErr w:type="gramEnd"/>
      <w:r w:rsidRPr="00BB6C13">
        <w:rPr>
          <w:rFonts w:ascii="Palatino Linotype" w:eastAsia="Palatino Linotype" w:hAnsi="Palatino Linotype" w:cs="Palatino Linotype"/>
          <w:b/>
          <w:i/>
          <w:sz w:val="22"/>
          <w:szCs w:val="22"/>
        </w:rPr>
        <w:t xml:space="preserve"> en ejercicio de las atribuciones conferidas, sea administrada por los Sujetos Obligados, y</w:t>
      </w:r>
    </w:p>
    <w:p w14:paraId="4FB3D54C" w14:textId="77777777" w:rsidR="005B4D53" w:rsidRPr="00BB6C13" w:rsidRDefault="00415904">
      <w:pPr>
        <w:ind w:left="851" w:right="899"/>
        <w:jc w:val="both"/>
        <w:rPr>
          <w:rFonts w:ascii="Palatino Linotype" w:eastAsia="Palatino Linotype" w:hAnsi="Palatino Linotype" w:cs="Palatino Linotype"/>
          <w:b/>
          <w:i/>
          <w:sz w:val="22"/>
          <w:szCs w:val="22"/>
        </w:rPr>
      </w:pPr>
      <w:r w:rsidRPr="00BB6C13">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w:t>
      </w:r>
      <w:proofErr w:type="gramStart"/>
      <w:r w:rsidRPr="00BB6C13">
        <w:rPr>
          <w:rFonts w:ascii="Palatino Linotype" w:eastAsia="Palatino Linotype" w:hAnsi="Palatino Linotype" w:cs="Palatino Linotype"/>
          <w:b/>
          <w:i/>
          <w:sz w:val="22"/>
          <w:szCs w:val="22"/>
        </w:rPr>
        <w:t>.”(</w:t>
      </w:r>
      <w:proofErr w:type="gramEnd"/>
      <w:r w:rsidRPr="00BB6C13">
        <w:rPr>
          <w:rFonts w:ascii="Palatino Linotype" w:eastAsia="Palatino Linotype" w:hAnsi="Palatino Linotype" w:cs="Palatino Linotype"/>
          <w:b/>
          <w:i/>
          <w:sz w:val="22"/>
          <w:szCs w:val="22"/>
        </w:rPr>
        <w:t>Sic)</w:t>
      </w:r>
    </w:p>
    <w:p w14:paraId="410A9635" w14:textId="77777777" w:rsidR="005B4D53" w:rsidRPr="00BB6C13" w:rsidRDefault="00415904">
      <w:pPr>
        <w:spacing w:before="240" w:after="240"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Ahora bien, del análisis de la solicitud de información pública que motivó el recurso de revisión que ahora se resuelve, se advierte que el particular requirió al Ayuntamiento de Toluca, lo siguiente</w:t>
      </w:r>
    </w:p>
    <w:p w14:paraId="4E3141AD" w14:textId="77777777" w:rsidR="005B4D53" w:rsidRPr="00BB6C13" w:rsidRDefault="00415904">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BB6C13">
        <w:rPr>
          <w:rFonts w:ascii="Palatino Linotype" w:eastAsia="Palatino Linotype" w:hAnsi="Palatino Linotype" w:cs="Palatino Linotype"/>
          <w:color w:val="000000"/>
        </w:rPr>
        <w:t xml:space="preserve">Los pagos a proveedores que quedaron pendientes (pasivo) del año 2019 a 2021 y que serán pagados durante 2022 a 2024, indicando </w:t>
      </w:r>
      <w:r w:rsidRPr="00BB6C13">
        <w:rPr>
          <w:rFonts w:ascii="Palatino Linotype" w:eastAsia="Palatino Linotype" w:hAnsi="Palatino Linotype" w:cs="Palatino Linotype"/>
        </w:rPr>
        <w:t>número</w:t>
      </w:r>
      <w:r w:rsidRPr="00BB6C13">
        <w:rPr>
          <w:rFonts w:ascii="Palatino Linotype" w:eastAsia="Palatino Linotype" w:hAnsi="Palatino Linotype" w:cs="Palatino Linotype"/>
          <w:color w:val="000000"/>
        </w:rPr>
        <w:t xml:space="preserve"> de factura, nombre de proveedor, conceptos a pagar, cantidad sin </w:t>
      </w:r>
      <w:proofErr w:type="spellStart"/>
      <w:r w:rsidRPr="00BB6C13">
        <w:rPr>
          <w:rFonts w:ascii="Palatino Linotype" w:eastAsia="Palatino Linotype" w:hAnsi="Palatino Linotype" w:cs="Palatino Linotype"/>
          <w:color w:val="000000"/>
        </w:rPr>
        <w:t>iva</w:t>
      </w:r>
      <w:proofErr w:type="spellEnd"/>
      <w:r w:rsidRPr="00BB6C13">
        <w:rPr>
          <w:rFonts w:ascii="Palatino Linotype" w:eastAsia="Palatino Linotype" w:hAnsi="Palatino Linotype" w:cs="Palatino Linotype"/>
          <w:color w:val="000000"/>
        </w:rPr>
        <w:t xml:space="preserve">, </w:t>
      </w:r>
      <w:proofErr w:type="spellStart"/>
      <w:r w:rsidRPr="00BB6C13">
        <w:rPr>
          <w:rFonts w:ascii="Palatino Linotype" w:eastAsia="Palatino Linotype" w:hAnsi="Palatino Linotype" w:cs="Palatino Linotype"/>
          <w:color w:val="000000"/>
        </w:rPr>
        <w:t>iva</w:t>
      </w:r>
      <w:proofErr w:type="spellEnd"/>
      <w:r w:rsidRPr="00BB6C13">
        <w:rPr>
          <w:rFonts w:ascii="Palatino Linotype" w:eastAsia="Palatino Linotype" w:hAnsi="Palatino Linotype" w:cs="Palatino Linotype"/>
          <w:color w:val="000000"/>
        </w:rPr>
        <w:t xml:space="preserve"> de la factura, fecha de pago, indicando además cuanto se </w:t>
      </w:r>
      <w:proofErr w:type="gramStart"/>
      <w:r w:rsidRPr="00BB6C13">
        <w:rPr>
          <w:rFonts w:ascii="Palatino Linotype" w:eastAsia="Palatino Linotype" w:hAnsi="Palatino Linotype" w:cs="Palatino Linotype"/>
          <w:color w:val="000000"/>
        </w:rPr>
        <w:t>le</w:t>
      </w:r>
      <w:proofErr w:type="gramEnd"/>
      <w:r w:rsidRPr="00BB6C13">
        <w:rPr>
          <w:rFonts w:ascii="Palatino Linotype" w:eastAsia="Palatino Linotype" w:hAnsi="Palatino Linotype" w:cs="Palatino Linotype"/>
          <w:color w:val="000000"/>
        </w:rPr>
        <w:t xml:space="preserve"> adeuda a todos los proveedores.</w:t>
      </w:r>
    </w:p>
    <w:p w14:paraId="52B15C31" w14:textId="77777777" w:rsidR="005B4D53" w:rsidRPr="00BB6C13" w:rsidRDefault="00415904">
      <w:pPr>
        <w:spacing w:before="240" w:after="240" w:line="360" w:lineRule="auto"/>
        <w:ind w:right="49"/>
        <w:jc w:val="both"/>
        <w:rPr>
          <w:rFonts w:ascii="Palatino Linotype" w:eastAsia="Palatino Linotype" w:hAnsi="Palatino Linotype" w:cs="Palatino Linotype"/>
        </w:rPr>
      </w:pPr>
      <w:r w:rsidRPr="00BB6C13">
        <w:rPr>
          <w:rFonts w:ascii="Palatino Linotype" w:eastAsia="Palatino Linotype" w:hAnsi="Palatino Linotype" w:cs="Palatino Linotype"/>
        </w:rPr>
        <w:lastRenderedPageBreak/>
        <w:t xml:space="preserve">En respuesta, el </w:t>
      </w:r>
      <w:r w:rsidRPr="00BB6C13">
        <w:rPr>
          <w:rFonts w:ascii="Palatino Linotype" w:eastAsia="Palatino Linotype" w:hAnsi="Palatino Linotype" w:cs="Palatino Linotype"/>
          <w:b/>
        </w:rPr>
        <w:t xml:space="preserve">SUJETO OBLIGADO </w:t>
      </w:r>
      <w:r w:rsidRPr="00BB6C13">
        <w:rPr>
          <w:rFonts w:ascii="Palatino Linotype" w:eastAsia="Palatino Linotype" w:hAnsi="Palatino Linotype" w:cs="Palatino Linotype"/>
        </w:rPr>
        <w:t xml:space="preserve">a través de Tesorero Municipal señaló que la información con la que cuenta es de forma general, de tal manera hace entrega del Estado analítico de la deuda y otros pasivos al treinta y uno de diciembre del año 2021, en el que se detalla la deuda a proveedores 2019-2021, tal como se advierte a continuación: </w:t>
      </w:r>
    </w:p>
    <w:p w14:paraId="792AB58A" w14:textId="77777777" w:rsidR="005B4D53" w:rsidRPr="00BB6C13" w:rsidRDefault="00415904">
      <w:pPr>
        <w:spacing w:before="240" w:after="240" w:line="360" w:lineRule="auto"/>
        <w:jc w:val="both"/>
        <w:rPr>
          <w:rFonts w:ascii="Palatino Linotype" w:eastAsia="Palatino Linotype" w:hAnsi="Palatino Linotype" w:cs="Palatino Linotype"/>
        </w:rPr>
      </w:pPr>
      <w:r w:rsidRPr="00BB6C13">
        <w:rPr>
          <w:noProof/>
          <w:lang w:val="es-MX"/>
        </w:rPr>
        <w:drawing>
          <wp:inline distT="0" distB="0" distL="0" distR="0" wp14:anchorId="5574F58B" wp14:editId="02FCC00C">
            <wp:extent cx="5328727" cy="4841492"/>
            <wp:effectExtent l="0" t="0" r="0" b="0"/>
            <wp:docPr id="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30266" t="13730" r="12810"/>
                    <a:stretch>
                      <a:fillRect/>
                    </a:stretch>
                  </pic:blipFill>
                  <pic:spPr>
                    <a:xfrm>
                      <a:off x="0" y="0"/>
                      <a:ext cx="5328727" cy="4841492"/>
                    </a:xfrm>
                    <a:prstGeom prst="rect">
                      <a:avLst/>
                    </a:prstGeom>
                    <a:ln/>
                  </pic:spPr>
                </pic:pic>
              </a:graphicData>
            </a:graphic>
          </wp:inline>
        </w:drawing>
      </w:r>
    </w:p>
    <w:p w14:paraId="768364FE" w14:textId="77777777" w:rsidR="005B4D53" w:rsidRPr="00BB6C13" w:rsidRDefault="00415904">
      <w:pPr>
        <w:spacing w:before="240" w:after="240"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 xml:space="preserve">No conforme con la respuesta la parte </w:t>
      </w:r>
      <w:r w:rsidRPr="00BB6C13">
        <w:rPr>
          <w:rFonts w:ascii="Palatino Linotype" w:eastAsia="Palatino Linotype" w:hAnsi="Palatino Linotype" w:cs="Palatino Linotype"/>
          <w:b/>
        </w:rPr>
        <w:t>RECURRENTE</w:t>
      </w:r>
      <w:r w:rsidRPr="00BB6C13">
        <w:rPr>
          <w:rFonts w:ascii="Palatino Linotype" w:eastAsia="Palatino Linotype" w:hAnsi="Palatino Linotype" w:cs="Palatino Linotype"/>
        </w:rPr>
        <w:t xml:space="preserve"> interpuso el recurso de revisión que se analiza en el presente asunto, por medio del cual se inconformó porque le entregaron algo distinto a la que solicitó.</w:t>
      </w:r>
    </w:p>
    <w:p w14:paraId="29C659D6" w14:textId="77777777" w:rsidR="005B4D53" w:rsidRPr="00BB6C13" w:rsidRDefault="00415904">
      <w:pPr>
        <w:spacing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lastRenderedPageBreak/>
        <w:t xml:space="preserve">Ante la interposición del recurso de revisión el </w:t>
      </w:r>
      <w:r w:rsidRPr="00BB6C13">
        <w:rPr>
          <w:rFonts w:ascii="Palatino Linotype" w:eastAsia="Palatino Linotype" w:hAnsi="Palatino Linotype" w:cs="Palatino Linotype"/>
          <w:b/>
        </w:rPr>
        <w:t>SUJETO OBLIGADO</w:t>
      </w:r>
      <w:r w:rsidRPr="00BB6C13">
        <w:rPr>
          <w:rFonts w:ascii="Palatino Linotype" w:eastAsia="Palatino Linotype" w:hAnsi="Palatino Linotype" w:cs="Palatino Linotype"/>
        </w:rPr>
        <w:t xml:space="preserve">, rindió su informe justificado mediante el cual en lo medular ratificó su respuesta inicial. </w:t>
      </w:r>
    </w:p>
    <w:p w14:paraId="3971406F" w14:textId="77777777" w:rsidR="005B4D53" w:rsidRPr="00BB6C13" w:rsidRDefault="005B4D53">
      <w:pPr>
        <w:spacing w:line="360" w:lineRule="auto"/>
        <w:jc w:val="both"/>
        <w:rPr>
          <w:rFonts w:ascii="Palatino Linotype" w:eastAsia="Palatino Linotype" w:hAnsi="Palatino Linotype" w:cs="Palatino Linotype"/>
        </w:rPr>
      </w:pPr>
    </w:p>
    <w:p w14:paraId="48C1A60F" w14:textId="77777777" w:rsidR="005B4D53" w:rsidRPr="00BB6C13" w:rsidRDefault="00415904">
      <w:pPr>
        <w:spacing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color w:val="000000"/>
        </w:rPr>
        <w:t>Con base en lo precedente</w:t>
      </w:r>
      <w:r w:rsidRPr="00BB6C13">
        <w:rPr>
          <w:rFonts w:ascii="Palatino Linotype" w:eastAsia="Palatino Linotype" w:hAnsi="Palatino Linotype" w:cs="Palatino Linotype"/>
        </w:rPr>
        <w:t xml:space="preserve">, se determina que la información proporcionada por el </w:t>
      </w:r>
      <w:r w:rsidRPr="00BB6C13">
        <w:rPr>
          <w:rFonts w:ascii="Palatino Linotype" w:eastAsia="Palatino Linotype" w:hAnsi="Palatino Linotype" w:cs="Palatino Linotype"/>
          <w:b/>
        </w:rPr>
        <w:t>SUJETO OBLIGADO</w:t>
      </w:r>
      <w:r w:rsidRPr="00BB6C13">
        <w:rPr>
          <w:rFonts w:ascii="Palatino Linotype" w:eastAsia="Palatino Linotype" w:hAnsi="Palatino Linotype" w:cs="Palatino Linotype"/>
        </w:rPr>
        <w:t xml:space="preserve"> en su respuesta, cumple parcialmente con lo establecido por los artículos 4, 12 y 24 último párrafo de la Ley de Transparencia y Acceso a la Información Pública del Estado de México y Municipios; por ello, los motivos de inconformidad acontecen fundados para modificar la respuesta del </w:t>
      </w:r>
      <w:r w:rsidRPr="00BB6C13">
        <w:rPr>
          <w:rFonts w:ascii="Palatino Linotype" w:eastAsia="Palatino Linotype" w:hAnsi="Palatino Linotype" w:cs="Palatino Linotype"/>
          <w:b/>
        </w:rPr>
        <w:t>SUJETO OBLIGADO</w:t>
      </w:r>
      <w:r w:rsidRPr="00BB6C13">
        <w:rPr>
          <w:rFonts w:ascii="Palatino Linotype" w:eastAsia="Palatino Linotype" w:hAnsi="Palatino Linotype" w:cs="Palatino Linotype"/>
        </w:rPr>
        <w:t xml:space="preserve"> en razón de las consideraciones de derecho que a continuación se exponen:</w:t>
      </w:r>
    </w:p>
    <w:p w14:paraId="480C6F15" w14:textId="77777777" w:rsidR="005B4D53" w:rsidRPr="00BB6C13" w:rsidRDefault="005B4D53">
      <w:pPr>
        <w:spacing w:line="360" w:lineRule="auto"/>
        <w:jc w:val="both"/>
        <w:rPr>
          <w:rFonts w:ascii="Palatino Linotype" w:eastAsia="Palatino Linotype" w:hAnsi="Palatino Linotype" w:cs="Palatino Linotype"/>
        </w:rPr>
      </w:pPr>
    </w:p>
    <w:p w14:paraId="200E461B" w14:textId="77777777" w:rsidR="005B4D53" w:rsidRPr="00BB6C13" w:rsidRDefault="00415904">
      <w:pPr>
        <w:spacing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Antes del estudio de fondo, es pertinente señalar que se entiende por “pasivos”, el cual es definido por el Diccionario de la Real Academia Española, como:</w:t>
      </w:r>
    </w:p>
    <w:p w14:paraId="5EA44C9A" w14:textId="77777777" w:rsidR="005B4D53" w:rsidRPr="00BB6C13" w:rsidRDefault="005B4D53">
      <w:pPr>
        <w:spacing w:line="360" w:lineRule="auto"/>
        <w:jc w:val="both"/>
        <w:rPr>
          <w:rFonts w:ascii="Palatino Linotype" w:eastAsia="Palatino Linotype" w:hAnsi="Palatino Linotype" w:cs="Palatino Linotype"/>
        </w:rPr>
      </w:pPr>
    </w:p>
    <w:p w14:paraId="601BA522" w14:textId="77777777" w:rsidR="005B4D53" w:rsidRPr="00BB6C13" w:rsidRDefault="00415904">
      <w:pPr>
        <w:ind w:left="851" w:right="899"/>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“Valor monetario total de las deudas y compromisos que gravan a una empresa, institución o individuo, y que se reflejan en su contabilidad.” (Sic)</w:t>
      </w:r>
    </w:p>
    <w:p w14:paraId="1F9AE67D" w14:textId="77777777" w:rsidR="005B4D53" w:rsidRPr="00BB6C13" w:rsidRDefault="00415904">
      <w:pPr>
        <w:spacing w:before="240" w:after="240" w:line="360" w:lineRule="auto"/>
        <w:ind w:right="51"/>
        <w:jc w:val="both"/>
        <w:rPr>
          <w:rFonts w:ascii="Palatino Linotype" w:eastAsia="Palatino Linotype" w:hAnsi="Palatino Linotype" w:cs="Palatino Linotype"/>
        </w:rPr>
      </w:pPr>
      <w:r w:rsidRPr="00BB6C13">
        <w:rPr>
          <w:rFonts w:ascii="Palatino Linotype" w:eastAsia="Palatino Linotype" w:hAnsi="Palatino Linotype" w:cs="Palatino Linotype"/>
        </w:rPr>
        <w:t xml:space="preserve">Esto es, la cantidad de dinero que se le debe a una persona física o jurídica colectiva por la prestación o venta de un servicio o bienes. </w:t>
      </w:r>
    </w:p>
    <w:p w14:paraId="14891AC9" w14:textId="77777777" w:rsidR="005B4D53" w:rsidRPr="00BB6C13" w:rsidRDefault="00415904">
      <w:pPr>
        <w:spacing w:before="240" w:after="240" w:line="360" w:lineRule="auto"/>
        <w:ind w:right="51"/>
        <w:jc w:val="both"/>
        <w:rPr>
          <w:rFonts w:ascii="Palatino Linotype" w:eastAsia="Palatino Linotype" w:hAnsi="Palatino Linotype" w:cs="Palatino Linotype"/>
        </w:rPr>
      </w:pPr>
      <w:bookmarkStart w:id="3" w:name="_heading=h.1fob9te" w:colFirst="0" w:colLast="0"/>
      <w:bookmarkEnd w:id="3"/>
      <w:r w:rsidRPr="00BB6C13">
        <w:rPr>
          <w:rFonts w:ascii="Palatino Linotype" w:eastAsia="Palatino Linotype" w:hAnsi="Palatino Linotype" w:cs="Palatino Linotype"/>
        </w:rPr>
        <w:t xml:space="preserve">En ese sentido, sobre la deuda pública, es necesario señalar que artículo 117 fracción VIII de la Constitución Política de los Estados Unidos Mexicanos, establece que las obligaciones de deuda pública estarán destinadas al financiamiento de inversiones públicas productivas; a la prestación de servicios públicos que en forma directa o mediata generen recursos públicos, incluyendo sin limitar, la contratación de obligaciones de deuda para el pago de pasivos anteriores o la reestructuración de pasivos a cargo de los Municipios, por lo que no debe pasar desapercibido que el </w:t>
      </w:r>
      <w:r w:rsidRPr="00BB6C13">
        <w:rPr>
          <w:rFonts w:ascii="Palatino Linotype" w:eastAsia="Palatino Linotype" w:hAnsi="Palatino Linotype" w:cs="Palatino Linotype"/>
        </w:rPr>
        <w:lastRenderedPageBreak/>
        <w:t>Código Financiero del Estado de México y Municipios establece que la deuda pública está constituida por las obligaciones de pasivo directas, indirectas o contingentes, derivadas de financiamientos a cargo de los entes públicos, sobre el particular es conveniente agregar que el artículo 259 fracción III del Código Financiero vigente en la entidad refiere lo siguiente:</w:t>
      </w:r>
    </w:p>
    <w:p w14:paraId="6AD54E89" w14:textId="77777777" w:rsidR="005B4D53" w:rsidRPr="00BB6C13" w:rsidRDefault="00415904">
      <w:pPr>
        <w:tabs>
          <w:tab w:val="left" w:pos="709"/>
        </w:tabs>
        <w:ind w:left="851" w:right="85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b/>
          <w:i/>
          <w:sz w:val="22"/>
          <w:szCs w:val="22"/>
        </w:rPr>
        <w:t>“Artículo 259.-</w:t>
      </w:r>
      <w:r w:rsidRPr="00BB6C13">
        <w:rPr>
          <w:rFonts w:ascii="Palatino Linotype" w:eastAsia="Palatino Linotype" w:hAnsi="Palatino Linotype" w:cs="Palatino Linotype"/>
          <w:i/>
          <w:sz w:val="22"/>
          <w:szCs w:val="22"/>
        </w:rPr>
        <w:t xml:space="preserve"> La </w:t>
      </w:r>
      <w:r w:rsidRPr="00BB6C13">
        <w:rPr>
          <w:rFonts w:ascii="Palatino Linotype" w:eastAsia="Palatino Linotype" w:hAnsi="Palatino Linotype" w:cs="Palatino Linotype"/>
          <w:b/>
          <w:i/>
          <w:sz w:val="22"/>
          <w:szCs w:val="22"/>
          <w:u w:val="single"/>
        </w:rPr>
        <w:t>deuda pública se integra</w:t>
      </w:r>
      <w:r w:rsidRPr="00BB6C13">
        <w:rPr>
          <w:rFonts w:ascii="Palatino Linotype" w:eastAsia="Palatino Linotype" w:hAnsi="Palatino Linotype" w:cs="Palatino Linotype"/>
          <w:i/>
          <w:sz w:val="22"/>
          <w:szCs w:val="22"/>
        </w:rPr>
        <w:t xml:space="preserve"> por: </w:t>
      </w:r>
    </w:p>
    <w:p w14:paraId="1432BC7B" w14:textId="77777777" w:rsidR="005B4D53" w:rsidRPr="00BB6C13" w:rsidRDefault="00415904">
      <w:pPr>
        <w:tabs>
          <w:tab w:val="left" w:pos="709"/>
        </w:tabs>
        <w:ind w:left="851" w:right="85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b/>
          <w:i/>
          <w:sz w:val="22"/>
          <w:szCs w:val="22"/>
        </w:rPr>
        <w:t>…</w:t>
      </w:r>
    </w:p>
    <w:p w14:paraId="797584EF" w14:textId="77777777" w:rsidR="005B4D53" w:rsidRPr="00BB6C13" w:rsidRDefault="00415904">
      <w:pPr>
        <w:tabs>
          <w:tab w:val="left" w:pos="709"/>
        </w:tabs>
        <w:ind w:left="851" w:right="85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 xml:space="preserve">II. La deuda pública de los municipios: </w:t>
      </w:r>
    </w:p>
    <w:p w14:paraId="2C79C541" w14:textId="77777777" w:rsidR="005B4D53" w:rsidRPr="00BB6C13" w:rsidRDefault="00415904">
      <w:pPr>
        <w:tabs>
          <w:tab w:val="left" w:pos="709"/>
        </w:tabs>
        <w:ind w:left="851" w:right="85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 xml:space="preserve">A). Directa, la que contraten los ayuntamientos. </w:t>
      </w:r>
    </w:p>
    <w:p w14:paraId="56910EFA" w14:textId="77777777" w:rsidR="005B4D53" w:rsidRPr="00BB6C13" w:rsidRDefault="00415904">
      <w:pPr>
        <w:tabs>
          <w:tab w:val="left" w:pos="709"/>
        </w:tabs>
        <w:ind w:left="851" w:right="85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 xml:space="preserve">B). Indirecta, la que contraten los organismos públicos descentralizados municipales, empresas de participación municipal mayoritaria y fideicomisos en los que el fideicomitente sea el propio ayuntamiento. </w:t>
      </w:r>
    </w:p>
    <w:p w14:paraId="15F867C9" w14:textId="77777777" w:rsidR="005B4D53" w:rsidRPr="00BB6C13" w:rsidRDefault="00415904">
      <w:pPr>
        <w:tabs>
          <w:tab w:val="left" w:pos="709"/>
        </w:tabs>
        <w:ind w:left="851" w:right="85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C). Contingente, cualquier financiamiento sin fuente o garantía de pago definida, que sea asumida de manera solidaria o subsidiaria por los municipios con sus respectivos organismos descentralizados y empresas de participación municipal mayoritaria.” (Sic)</w:t>
      </w:r>
    </w:p>
    <w:p w14:paraId="75B25120" w14:textId="77777777" w:rsidR="005B4D53" w:rsidRPr="00BB6C13" w:rsidRDefault="00415904">
      <w:pPr>
        <w:tabs>
          <w:tab w:val="left" w:pos="709"/>
        </w:tabs>
        <w:spacing w:before="240" w:after="240"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En este mismo sentido es conveniente agregar que el numeral 273 del cuerpo legal en comento entre otras cosas refiere que todas las obligaciones de pasivo directas, indirectas y contingentes que contraigan los entes públicos, entre ellos el Ayuntamiento de Toluca, es considerado como obligación de transparencia en términos de lo señalado por el artículo 92 fracción XXVI de la Ley de la Materia, que señala:</w:t>
      </w:r>
    </w:p>
    <w:p w14:paraId="54DF20ED" w14:textId="77777777" w:rsidR="005B4D53" w:rsidRPr="00BB6C13" w:rsidRDefault="00415904">
      <w:pPr>
        <w:tabs>
          <w:tab w:val="left" w:pos="709"/>
        </w:tabs>
        <w:ind w:left="851" w:right="85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EFEF7F2" w14:textId="77777777" w:rsidR="005B4D53" w:rsidRPr="00BB6C13" w:rsidRDefault="00415904">
      <w:pPr>
        <w:tabs>
          <w:tab w:val="left" w:pos="709"/>
        </w:tabs>
        <w:ind w:left="851" w:right="85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w:t>
      </w:r>
    </w:p>
    <w:p w14:paraId="667ABC34" w14:textId="77777777" w:rsidR="005B4D53" w:rsidRPr="00BB6C13" w:rsidRDefault="00415904">
      <w:pPr>
        <w:tabs>
          <w:tab w:val="left" w:pos="709"/>
        </w:tabs>
        <w:ind w:left="851" w:right="85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XXVI. La información relativa a la deuda pública, en términos de las disposiciones jurídicas aplicables…” (Sic)</w:t>
      </w:r>
    </w:p>
    <w:p w14:paraId="0D930710" w14:textId="77777777" w:rsidR="005B4D53" w:rsidRPr="00BB6C13" w:rsidRDefault="00415904">
      <w:pPr>
        <w:spacing w:before="240" w:after="240"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lastRenderedPageBreak/>
        <w:t>Por otro lado, el Órgano Superior de Fiscalización del Estado de México (OSFEM), emite anualmente los Lineamientos para definir los criterios, formatos y documentación necesaria para presentar los informes trimestrales, donde se detalla la información en 4 módulos, los cuales deberán entregarse trimestralmente al OSFEM, y de los que destaca, en relación con el análisis que nos ocupa, el “Modulo 1”, dentro del cual se encuentra lo relativo a la deuda pública, como se observa en las siguiente imágenes que se inserta a continuación de manera ilustrativa:</w:t>
      </w:r>
    </w:p>
    <w:p w14:paraId="5C82A111" w14:textId="77777777" w:rsidR="005B4D53" w:rsidRPr="00BB6C13" w:rsidRDefault="00415904">
      <w:pPr>
        <w:spacing w:before="240" w:after="240" w:line="360" w:lineRule="auto"/>
        <w:jc w:val="both"/>
        <w:rPr>
          <w:rFonts w:ascii="Palatino Linotype" w:eastAsia="Palatino Linotype" w:hAnsi="Palatino Linotype" w:cs="Palatino Linotype"/>
        </w:rPr>
      </w:pPr>
      <w:r w:rsidRPr="00BB6C13">
        <w:rPr>
          <w:noProof/>
          <w:lang w:val="es-MX"/>
        </w:rPr>
        <w:drawing>
          <wp:inline distT="0" distB="0" distL="0" distR="0" wp14:anchorId="35604B13" wp14:editId="4A2CF304">
            <wp:extent cx="5478386" cy="4681036"/>
            <wp:effectExtent l="0" t="0" r="0" b="0"/>
            <wp:docPr id="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38309" t="12414" r="24761" b="7043"/>
                    <a:stretch>
                      <a:fillRect/>
                    </a:stretch>
                  </pic:blipFill>
                  <pic:spPr>
                    <a:xfrm>
                      <a:off x="0" y="0"/>
                      <a:ext cx="5478386" cy="4681036"/>
                    </a:xfrm>
                    <a:prstGeom prst="rect">
                      <a:avLst/>
                    </a:prstGeom>
                    <a:ln/>
                  </pic:spPr>
                </pic:pic>
              </a:graphicData>
            </a:graphic>
          </wp:inline>
        </w:drawing>
      </w:r>
    </w:p>
    <w:p w14:paraId="1A69E21E" w14:textId="77777777" w:rsidR="005B4D53" w:rsidRPr="00BB6C13" w:rsidRDefault="00415904">
      <w:pPr>
        <w:spacing w:before="240" w:after="240" w:line="360" w:lineRule="auto"/>
        <w:jc w:val="both"/>
        <w:rPr>
          <w:rFonts w:ascii="Palatino Linotype" w:eastAsia="Palatino Linotype" w:hAnsi="Palatino Linotype" w:cs="Palatino Linotype"/>
        </w:rPr>
      </w:pPr>
      <w:r w:rsidRPr="00BB6C13">
        <w:rPr>
          <w:noProof/>
          <w:lang w:val="es-MX"/>
        </w:rPr>
        <w:lastRenderedPageBreak/>
        <w:drawing>
          <wp:inline distT="0" distB="0" distL="0" distR="0" wp14:anchorId="3973CC80" wp14:editId="2A79217E">
            <wp:extent cx="5382059" cy="2917607"/>
            <wp:effectExtent l="0" t="0" r="0" b="0"/>
            <wp:docPr id="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l="38202" t="25016" r="23711" b="13260"/>
                    <a:stretch>
                      <a:fillRect/>
                    </a:stretch>
                  </pic:blipFill>
                  <pic:spPr>
                    <a:xfrm>
                      <a:off x="0" y="0"/>
                      <a:ext cx="5382059" cy="2917607"/>
                    </a:xfrm>
                    <a:prstGeom prst="rect">
                      <a:avLst/>
                    </a:prstGeom>
                    <a:ln/>
                  </pic:spPr>
                </pic:pic>
              </a:graphicData>
            </a:graphic>
          </wp:inline>
        </w:drawing>
      </w:r>
    </w:p>
    <w:p w14:paraId="6B1463AD" w14:textId="77777777" w:rsidR="005B4D53" w:rsidRPr="00BB6C13" w:rsidRDefault="00415904">
      <w:pPr>
        <w:spacing w:before="240" w:after="240" w:line="360" w:lineRule="auto"/>
        <w:ind w:right="-142"/>
        <w:jc w:val="both"/>
        <w:rPr>
          <w:rFonts w:ascii="Palatino Linotype" w:eastAsia="Palatino Linotype" w:hAnsi="Palatino Linotype" w:cs="Palatino Linotype"/>
        </w:rPr>
      </w:pPr>
      <w:r w:rsidRPr="00BB6C13">
        <w:rPr>
          <w:rFonts w:ascii="Palatino Linotype" w:eastAsia="Palatino Linotype" w:hAnsi="Palatino Linotype" w:cs="Palatino Linotype"/>
        </w:rPr>
        <w:t>Tal y como señalaron los citados lineamientos, la documentación anexa se encuentra regulada por los Lineamientos de Control Financiero y Administrativo para las Entidades Fiscalizables Municipales del Estado de México, los cuales tienen como objetivo el establecer las normas en materia de control financiero y administrativo en la obtención, administración y aplicación de los recursos públicos para las entidades fiscalizables municipales.</w:t>
      </w:r>
    </w:p>
    <w:p w14:paraId="0840C855" w14:textId="77777777" w:rsidR="005B4D53" w:rsidRPr="00BB6C13" w:rsidRDefault="00415904">
      <w:pPr>
        <w:spacing w:line="360" w:lineRule="auto"/>
        <w:jc w:val="both"/>
        <w:rPr>
          <w:rFonts w:ascii="Palatino Linotype" w:eastAsia="Palatino Linotype" w:hAnsi="Palatino Linotype" w:cs="Palatino Linotype"/>
          <w:b/>
          <w:u w:val="single"/>
        </w:rPr>
      </w:pPr>
      <w:r w:rsidRPr="00BB6C13">
        <w:rPr>
          <w:rFonts w:ascii="Palatino Linotype" w:eastAsia="Palatino Linotype" w:hAnsi="Palatino Linotype" w:cs="Palatino Linotype"/>
        </w:rPr>
        <w:t xml:space="preserve">Ahora bien, en cuanto, punto de la solicitud en donde se solicitó </w:t>
      </w:r>
      <w:r w:rsidRPr="00BB6C13">
        <w:rPr>
          <w:rFonts w:ascii="Palatino Linotype" w:eastAsia="Palatino Linotype" w:hAnsi="Palatino Linotype" w:cs="Palatino Linotype"/>
          <w:b/>
          <w:u w:val="single"/>
        </w:rPr>
        <w:t>la información detallada de los pagos a proveedores que quedaron pendiente (pasivo) del año 2019 a 2021 y que serán pagados durante 2022 a 2024.</w:t>
      </w:r>
    </w:p>
    <w:p w14:paraId="38520852" w14:textId="77777777" w:rsidR="005B4D53" w:rsidRPr="00BB6C13" w:rsidRDefault="00415904">
      <w:pPr>
        <w:spacing w:before="240" w:after="240"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color w:val="000000"/>
        </w:rPr>
        <w:t xml:space="preserve">El </w:t>
      </w:r>
      <w:r w:rsidRPr="00BB6C13">
        <w:rPr>
          <w:rFonts w:ascii="Palatino Linotype" w:eastAsia="Palatino Linotype" w:hAnsi="Palatino Linotype" w:cs="Palatino Linotype"/>
          <w:b/>
          <w:color w:val="000000"/>
        </w:rPr>
        <w:t xml:space="preserve">SUJETO OBLIGADO </w:t>
      </w:r>
      <w:r w:rsidRPr="00BB6C13">
        <w:rPr>
          <w:rFonts w:ascii="Palatino Linotype" w:eastAsia="Palatino Linotype" w:hAnsi="Palatino Linotype" w:cs="Palatino Linotype"/>
          <w:color w:val="000000"/>
        </w:rPr>
        <w:t xml:space="preserve">a través de su Tesorero Municipal, entregó el estado analítico de la deuda y otros pasivos, en donde se observa la deuda a los proveedores del periodo 2019-2022, </w:t>
      </w:r>
      <w:r w:rsidRPr="00BB6C13">
        <w:rPr>
          <w:rFonts w:ascii="Palatino Linotype" w:eastAsia="Palatino Linotype" w:hAnsi="Palatino Linotype" w:cs="Palatino Linotype"/>
        </w:rPr>
        <w:t>en la siguiente imagen que se inserta a continuación de manera ilustrativa:</w:t>
      </w:r>
    </w:p>
    <w:p w14:paraId="3E160868" w14:textId="77777777" w:rsidR="005B4D53" w:rsidRPr="00BB6C13" w:rsidRDefault="005B4D53">
      <w:pPr>
        <w:spacing w:before="240" w:after="240" w:line="360" w:lineRule="auto"/>
        <w:jc w:val="both"/>
      </w:pPr>
    </w:p>
    <w:p w14:paraId="6E4D56B8" w14:textId="77777777" w:rsidR="005B4D53" w:rsidRPr="00BB6C13" w:rsidRDefault="00415904">
      <w:pPr>
        <w:spacing w:before="240" w:after="240" w:line="360" w:lineRule="auto"/>
        <w:jc w:val="both"/>
        <w:rPr>
          <w:rFonts w:ascii="Palatino Linotype" w:eastAsia="Palatino Linotype" w:hAnsi="Palatino Linotype" w:cs="Palatino Linotype"/>
          <w:color w:val="000000"/>
        </w:rPr>
      </w:pPr>
      <w:r w:rsidRPr="00BB6C13">
        <w:rPr>
          <w:noProof/>
          <w:lang w:val="es-MX"/>
        </w:rPr>
        <w:drawing>
          <wp:inline distT="0" distB="0" distL="0" distR="0" wp14:anchorId="0406B432" wp14:editId="103B9857">
            <wp:extent cx="5328727" cy="4841492"/>
            <wp:effectExtent l="0" t="0" r="0" b="0"/>
            <wp:docPr id="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30266" t="13730" r="12810"/>
                    <a:stretch>
                      <a:fillRect/>
                    </a:stretch>
                  </pic:blipFill>
                  <pic:spPr>
                    <a:xfrm>
                      <a:off x="0" y="0"/>
                      <a:ext cx="5328727" cy="4841492"/>
                    </a:xfrm>
                    <a:prstGeom prst="rect">
                      <a:avLst/>
                    </a:prstGeom>
                    <a:ln/>
                  </pic:spPr>
                </pic:pic>
              </a:graphicData>
            </a:graphic>
          </wp:inline>
        </w:drawing>
      </w:r>
      <w:r w:rsidRPr="00BB6C13">
        <w:rPr>
          <w:noProof/>
          <w:lang w:val="es-MX"/>
        </w:rPr>
        <mc:AlternateContent>
          <mc:Choice Requires="wps">
            <w:drawing>
              <wp:anchor distT="0" distB="0" distL="114300" distR="114300" simplePos="0" relativeHeight="251658240" behindDoc="0" locked="0" layoutInCell="1" hidden="0" allowOverlap="1" wp14:anchorId="59500198" wp14:editId="6D5A02B3">
                <wp:simplePos x="0" y="0"/>
                <wp:positionH relativeFrom="column">
                  <wp:posOffset>177800</wp:posOffset>
                </wp:positionH>
                <wp:positionV relativeFrom="paragraph">
                  <wp:posOffset>304800</wp:posOffset>
                </wp:positionV>
                <wp:extent cx="458437" cy="690006"/>
                <wp:effectExtent l="0" t="0" r="0" b="0"/>
                <wp:wrapNone/>
                <wp:docPr id="40" name="Flecha arriba 40"/>
                <wp:cNvGraphicFramePr/>
                <a:graphic xmlns:a="http://schemas.openxmlformats.org/drawingml/2006/main">
                  <a:graphicData uri="http://schemas.microsoft.com/office/word/2010/wordprocessingShape">
                    <wps:wsp>
                      <wps:cNvSpPr/>
                      <wps:spPr>
                        <a:xfrm>
                          <a:off x="5126307" y="3444522"/>
                          <a:ext cx="439387" cy="670956"/>
                        </a:xfrm>
                        <a:prstGeom prst="up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5BD2E67C" w14:textId="77777777" w:rsidR="005B4D53" w:rsidRDefault="005B4D53">
                            <w:pPr>
                              <w:textDirection w:val="btLr"/>
                            </w:pPr>
                          </w:p>
                        </w:txbxContent>
                      </wps:txbx>
                      <wps:bodyPr spcFirstLastPara="1" wrap="square" lIns="91425" tIns="91425" rIns="91425" bIns="91425" anchor="ctr" anchorCtr="0">
                        <a:noAutofit/>
                      </wps:bodyPr>
                    </wps:wsp>
                  </a:graphicData>
                </a:graphic>
              </wp:anchor>
            </w:drawing>
          </mc:Choice>
          <mc:Fallback>
            <w:pict>
              <v:shapetype w14:anchorId="5950019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40" o:spid="_x0000_s1026" type="#_x0000_t68" style="position:absolute;left:0;text-align:left;margin-left:14pt;margin-top:24pt;width:36.1pt;height:54.3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" adj="7073"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14:paraId="5BD2E67C" w14:textId="77777777" w:rsidR="005B4D53" w:rsidRDefault="005B4D53">
                      <w:pPr>
                        <w:textDirection w:val="btLr"/>
                      </w:pPr>
                    </w:p>
                  </w:txbxContent>
                </v:textbox>
              </v:shape>
            </w:pict>
          </mc:Fallback>
        </mc:AlternateContent>
      </w:r>
    </w:p>
    <w:p w14:paraId="2804C1FD" w14:textId="77777777" w:rsidR="005B4D53" w:rsidRPr="00BB6C13" w:rsidRDefault="00415904">
      <w:pPr>
        <w:spacing w:before="240" w:after="240" w:line="360" w:lineRule="auto"/>
        <w:ind w:right="51"/>
        <w:jc w:val="both"/>
        <w:rPr>
          <w:rFonts w:ascii="Palatino Linotype" w:eastAsia="Palatino Linotype" w:hAnsi="Palatino Linotype" w:cs="Palatino Linotype"/>
          <w:color w:val="000000"/>
        </w:rPr>
      </w:pPr>
      <w:r w:rsidRPr="00BB6C13">
        <w:rPr>
          <w:rFonts w:ascii="Palatino Linotype" w:eastAsia="Palatino Linotype" w:hAnsi="Palatino Linotype" w:cs="Palatino Linotype"/>
          <w:color w:val="000000"/>
        </w:rPr>
        <w:t xml:space="preserve">Colmando con ello el derecho de acceso a la información pública del particular, respecto al </w:t>
      </w:r>
      <w:r w:rsidRPr="00BB6C13">
        <w:rPr>
          <w:rFonts w:ascii="Palatino Linotype" w:eastAsia="Palatino Linotype" w:hAnsi="Palatino Linotype" w:cs="Palatino Linotype"/>
        </w:rPr>
        <w:t xml:space="preserve">requerimiento relativo a los proveedores y el monto que de adeuda a cada uno de 2019-2021, </w:t>
      </w:r>
      <w:r w:rsidRPr="00BB6C13">
        <w:rPr>
          <w:rFonts w:ascii="Palatino Linotype" w:eastAsia="Palatino Linotype" w:hAnsi="Palatino Linotype" w:cs="Palatino Linotype"/>
          <w:color w:val="000000"/>
        </w:rPr>
        <w:t>en razón de que la Tesorería Municipal del Ayuntamiento de Toluca, es el área competente para conocer de la información en términos de lo señalado por el artículo 95 fracción IV de la Ley Orgánica Municipal del Estado de México, que señala:</w:t>
      </w:r>
    </w:p>
    <w:p w14:paraId="5992C52D" w14:textId="77777777" w:rsidR="005B4D53" w:rsidRPr="00BB6C13" w:rsidRDefault="00415904">
      <w:pPr>
        <w:tabs>
          <w:tab w:val="left" w:pos="709"/>
        </w:tabs>
        <w:ind w:left="851" w:right="851"/>
        <w:jc w:val="both"/>
        <w:rPr>
          <w:rFonts w:ascii="Palatino Linotype" w:eastAsia="Palatino Linotype" w:hAnsi="Palatino Linotype" w:cs="Palatino Linotype"/>
          <w:b/>
          <w:i/>
          <w:sz w:val="22"/>
          <w:szCs w:val="22"/>
        </w:rPr>
      </w:pPr>
      <w:r w:rsidRPr="00BB6C13">
        <w:rPr>
          <w:rFonts w:ascii="Palatino Linotype" w:eastAsia="Palatino Linotype" w:hAnsi="Palatino Linotype" w:cs="Palatino Linotype"/>
          <w:i/>
          <w:sz w:val="22"/>
          <w:szCs w:val="22"/>
        </w:rPr>
        <w:t xml:space="preserve">“Artículo 95.- </w:t>
      </w:r>
      <w:r w:rsidRPr="00BB6C13">
        <w:rPr>
          <w:rFonts w:ascii="Palatino Linotype" w:eastAsia="Palatino Linotype" w:hAnsi="Palatino Linotype" w:cs="Palatino Linotype"/>
          <w:b/>
          <w:i/>
          <w:sz w:val="22"/>
          <w:szCs w:val="22"/>
        </w:rPr>
        <w:t>Son atribuciones del tesorero municipal:</w:t>
      </w:r>
    </w:p>
    <w:p w14:paraId="6EA32703" w14:textId="77777777" w:rsidR="005B4D53" w:rsidRPr="00BB6C13" w:rsidRDefault="00415904">
      <w:pPr>
        <w:tabs>
          <w:tab w:val="left" w:pos="709"/>
        </w:tabs>
        <w:ind w:left="851" w:right="851"/>
        <w:jc w:val="both"/>
        <w:rPr>
          <w:rFonts w:ascii="Palatino Linotype" w:eastAsia="Palatino Linotype" w:hAnsi="Palatino Linotype" w:cs="Palatino Linotype"/>
          <w:b/>
          <w:i/>
          <w:sz w:val="22"/>
          <w:szCs w:val="22"/>
        </w:rPr>
      </w:pPr>
      <w:r w:rsidRPr="00BB6C13">
        <w:rPr>
          <w:rFonts w:ascii="Palatino Linotype" w:eastAsia="Palatino Linotype" w:hAnsi="Palatino Linotype" w:cs="Palatino Linotype"/>
          <w:b/>
          <w:i/>
          <w:sz w:val="22"/>
          <w:szCs w:val="22"/>
        </w:rPr>
        <w:lastRenderedPageBreak/>
        <w:t>…</w:t>
      </w:r>
    </w:p>
    <w:p w14:paraId="041C8BDD" w14:textId="77777777" w:rsidR="005B4D53" w:rsidRPr="00BB6C13" w:rsidRDefault="00415904">
      <w:pPr>
        <w:tabs>
          <w:tab w:val="left" w:pos="709"/>
        </w:tabs>
        <w:ind w:left="851" w:right="85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b/>
          <w:i/>
          <w:sz w:val="22"/>
          <w:szCs w:val="22"/>
        </w:rPr>
        <w:t>IV. Llevar los registros contables, financieros y administrativos</w:t>
      </w:r>
      <w:r w:rsidRPr="00BB6C13">
        <w:rPr>
          <w:rFonts w:ascii="Palatino Linotype" w:eastAsia="Palatino Linotype" w:hAnsi="Palatino Linotype" w:cs="Palatino Linotype"/>
          <w:i/>
          <w:sz w:val="22"/>
          <w:szCs w:val="22"/>
        </w:rPr>
        <w:t xml:space="preserve"> </w:t>
      </w:r>
      <w:r w:rsidRPr="00BB6C13">
        <w:rPr>
          <w:rFonts w:ascii="Palatino Linotype" w:eastAsia="Palatino Linotype" w:hAnsi="Palatino Linotype" w:cs="Palatino Linotype"/>
          <w:b/>
          <w:i/>
          <w:sz w:val="22"/>
          <w:szCs w:val="22"/>
        </w:rPr>
        <w:t>de los</w:t>
      </w:r>
      <w:r w:rsidRPr="00BB6C13">
        <w:rPr>
          <w:rFonts w:ascii="Palatino Linotype" w:eastAsia="Palatino Linotype" w:hAnsi="Palatino Linotype" w:cs="Palatino Linotype"/>
          <w:i/>
          <w:sz w:val="22"/>
          <w:szCs w:val="22"/>
        </w:rPr>
        <w:t xml:space="preserve"> ingresos, </w:t>
      </w:r>
      <w:r w:rsidRPr="00BB6C13">
        <w:rPr>
          <w:rFonts w:ascii="Palatino Linotype" w:eastAsia="Palatino Linotype" w:hAnsi="Palatino Linotype" w:cs="Palatino Linotype"/>
          <w:b/>
          <w:i/>
          <w:sz w:val="22"/>
          <w:szCs w:val="22"/>
        </w:rPr>
        <w:t>egresos</w:t>
      </w:r>
      <w:r w:rsidRPr="00BB6C13">
        <w:rPr>
          <w:rFonts w:ascii="Palatino Linotype" w:eastAsia="Palatino Linotype" w:hAnsi="Palatino Linotype" w:cs="Palatino Linotype"/>
          <w:i/>
          <w:sz w:val="22"/>
          <w:szCs w:val="22"/>
        </w:rPr>
        <w:t>, e inventarios…” (Sic)</w:t>
      </w:r>
    </w:p>
    <w:p w14:paraId="562E54CE" w14:textId="77777777" w:rsidR="005B4D53" w:rsidRPr="00BB6C13" w:rsidRDefault="00415904">
      <w:pPr>
        <w:spacing w:before="240" w:after="240"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Lo que se robustece con lo señalado por los artículos 3.21 y 3.23 del código reglamentario del Ayuntamiento de Toluca, que señalan</w:t>
      </w:r>
    </w:p>
    <w:p w14:paraId="4A785387" w14:textId="77777777" w:rsidR="005B4D53" w:rsidRPr="00BB6C13" w:rsidRDefault="00415904">
      <w:pPr>
        <w:tabs>
          <w:tab w:val="left" w:pos="709"/>
        </w:tabs>
        <w:ind w:left="851" w:right="85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 xml:space="preserve">“Artículo 3.21. Para el cumplimiento de sus atribuciones </w:t>
      </w:r>
      <w:r w:rsidRPr="00BB6C13">
        <w:rPr>
          <w:rFonts w:ascii="Palatino Linotype" w:eastAsia="Palatino Linotype" w:hAnsi="Palatino Linotype" w:cs="Palatino Linotype"/>
          <w:b/>
          <w:i/>
          <w:sz w:val="22"/>
          <w:szCs w:val="22"/>
        </w:rPr>
        <w:t>la Tesorería Municipal se auxiliará de la</w:t>
      </w:r>
      <w:r w:rsidRPr="00BB6C13">
        <w:rPr>
          <w:rFonts w:ascii="Palatino Linotype" w:eastAsia="Palatino Linotype" w:hAnsi="Palatino Linotype" w:cs="Palatino Linotype"/>
          <w:i/>
          <w:sz w:val="22"/>
          <w:szCs w:val="22"/>
        </w:rPr>
        <w:t xml:space="preserve"> Dirección de Ingresos, de la </w:t>
      </w:r>
      <w:r w:rsidRPr="00BB6C13">
        <w:rPr>
          <w:rFonts w:ascii="Palatino Linotype" w:eastAsia="Palatino Linotype" w:hAnsi="Palatino Linotype" w:cs="Palatino Linotype"/>
          <w:b/>
          <w:i/>
          <w:sz w:val="22"/>
          <w:szCs w:val="22"/>
        </w:rPr>
        <w:t>Dirección de Egresos</w:t>
      </w:r>
      <w:r w:rsidRPr="00BB6C13">
        <w:rPr>
          <w:rFonts w:ascii="Palatino Linotype" w:eastAsia="Palatino Linotype" w:hAnsi="Palatino Linotype" w:cs="Palatino Linotype"/>
          <w:i/>
          <w:sz w:val="22"/>
          <w:szCs w:val="22"/>
        </w:rPr>
        <w:t xml:space="preserve">, de la Dirección de Contaduría y la Unidad de Catastro. </w:t>
      </w:r>
    </w:p>
    <w:p w14:paraId="05294314" w14:textId="77777777" w:rsidR="005B4D53" w:rsidRPr="00BB6C13" w:rsidRDefault="00415904">
      <w:pPr>
        <w:tabs>
          <w:tab w:val="left" w:pos="709"/>
        </w:tabs>
        <w:ind w:left="851" w:right="85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w:t>
      </w:r>
    </w:p>
    <w:p w14:paraId="1AFF125C" w14:textId="77777777" w:rsidR="005B4D53" w:rsidRPr="00BB6C13" w:rsidRDefault="00415904">
      <w:pPr>
        <w:tabs>
          <w:tab w:val="left" w:pos="709"/>
        </w:tabs>
        <w:ind w:left="851" w:right="85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 xml:space="preserve">Artículo 3.23. </w:t>
      </w:r>
      <w:r w:rsidRPr="00BB6C13">
        <w:rPr>
          <w:rFonts w:ascii="Palatino Linotype" w:eastAsia="Palatino Linotype" w:hAnsi="Palatino Linotype" w:cs="Palatino Linotype"/>
          <w:b/>
          <w:i/>
          <w:sz w:val="22"/>
          <w:szCs w:val="22"/>
        </w:rPr>
        <w:t>La o el titular de la Dirección de Egresos</w:t>
      </w:r>
      <w:r w:rsidRPr="00BB6C13">
        <w:rPr>
          <w:rFonts w:ascii="Palatino Linotype" w:eastAsia="Palatino Linotype" w:hAnsi="Palatino Linotype" w:cs="Palatino Linotype"/>
          <w:i/>
          <w:sz w:val="22"/>
          <w:szCs w:val="22"/>
        </w:rPr>
        <w:t xml:space="preserve"> tendrá las siguientes atribuciones:</w:t>
      </w:r>
    </w:p>
    <w:p w14:paraId="467020D3" w14:textId="77777777" w:rsidR="005B4D53" w:rsidRPr="00BB6C13" w:rsidRDefault="00415904">
      <w:pPr>
        <w:tabs>
          <w:tab w:val="left" w:pos="709"/>
        </w:tabs>
        <w:ind w:left="851" w:right="85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w:t>
      </w:r>
    </w:p>
    <w:p w14:paraId="56A80A7B" w14:textId="77777777" w:rsidR="005B4D53" w:rsidRPr="00BB6C13" w:rsidRDefault="00415904">
      <w:pPr>
        <w:tabs>
          <w:tab w:val="left" w:pos="709"/>
        </w:tabs>
        <w:ind w:left="851" w:right="85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 xml:space="preserve">XII. Coordinar y planear la integración, aplicación y distribución de los recursos financieros del Ayuntamiento de Toluca, con base en el presupuesto autorizado a cada dependencia, controlando su adecuado ejercicio y estableciendo las medidas necesarias para la operación de los programas de inversión y gasto corriente; así como para </w:t>
      </w:r>
      <w:r w:rsidRPr="00BB6C13">
        <w:rPr>
          <w:rFonts w:ascii="Palatino Linotype" w:eastAsia="Palatino Linotype" w:hAnsi="Palatino Linotype" w:cs="Palatino Linotype"/>
          <w:b/>
          <w:i/>
          <w:sz w:val="22"/>
          <w:szCs w:val="22"/>
        </w:rPr>
        <w:t>el pago de las obligaciones contraídas con proveedores de bienes y servicios</w:t>
      </w:r>
      <w:r w:rsidRPr="00BB6C13">
        <w:rPr>
          <w:rFonts w:ascii="Palatino Linotype" w:eastAsia="Palatino Linotype" w:hAnsi="Palatino Linotype" w:cs="Palatino Linotype"/>
          <w:i/>
          <w:sz w:val="22"/>
          <w:szCs w:val="22"/>
        </w:rPr>
        <w:t>…” (Sic)</w:t>
      </w:r>
    </w:p>
    <w:p w14:paraId="07A6E3A2" w14:textId="77777777" w:rsidR="005B4D53" w:rsidRPr="00BB6C13" w:rsidRDefault="005B4D53">
      <w:pPr>
        <w:spacing w:after="120" w:line="360" w:lineRule="auto"/>
        <w:jc w:val="both"/>
        <w:rPr>
          <w:rFonts w:ascii="Palatino Linotype" w:eastAsia="Palatino Linotype" w:hAnsi="Palatino Linotype" w:cs="Palatino Linotype"/>
        </w:rPr>
      </w:pPr>
    </w:p>
    <w:p w14:paraId="28777440" w14:textId="77777777" w:rsidR="005B4D53" w:rsidRPr="00BB6C13" w:rsidRDefault="00415904">
      <w:pPr>
        <w:spacing w:after="120"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Máxime, que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09B39026" w14:textId="77777777" w:rsidR="005B4D53" w:rsidRPr="00BB6C13" w:rsidRDefault="00415904">
      <w:pPr>
        <w:spacing w:before="120" w:after="120"/>
        <w:ind w:left="851" w:right="85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w:t>
      </w:r>
      <w:r w:rsidRPr="00BB6C13">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BB6C13">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w:t>
      </w:r>
      <w:r w:rsidRPr="00BB6C13">
        <w:rPr>
          <w:rFonts w:ascii="Palatino Linotype" w:eastAsia="Palatino Linotype" w:hAnsi="Palatino Linotype" w:cs="Palatino Linotype"/>
          <w:i/>
          <w:sz w:val="22"/>
          <w:szCs w:val="22"/>
        </w:rPr>
        <w:lastRenderedPageBreak/>
        <w:t>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roofErr w:type="gramStart"/>
      <w:r w:rsidRPr="00BB6C13">
        <w:rPr>
          <w:rFonts w:ascii="Palatino Linotype" w:eastAsia="Palatino Linotype" w:hAnsi="Palatino Linotype" w:cs="Palatino Linotype"/>
          <w:i/>
          <w:sz w:val="22"/>
          <w:szCs w:val="22"/>
        </w:rPr>
        <w:t>.”(</w:t>
      </w:r>
      <w:proofErr w:type="gramEnd"/>
      <w:r w:rsidRPr="00BB6C13">
        <w:rPr>
          <w:rFonts w:ascii="Palatino Linotype" w:eastAsia="Palatino Linotype" w:hAnsi="Palatino Linotype" w:cs="Palatino Linotype"/>
          <w:i/>
          <w:sz w:val="22"/>
          <w:szCs w:val="22"/>
        </w:rPr>
        <w:t>Sic)</w:t>
      </w:r>
    </w:p>
    <w:p w14:paraId="48ADAD90" w14:textId="77777777" w:rsidR="005B4D53" w:rsidRPr="00BB6C13" w:rsidRDefault="005B4D53">
      <w:pPr>
        <w:spacing w:line="360" w:lineRule="auto"/>
        <w:jc w:val="both"/>
        <w:rPr>
          <w:rFonts w:ascii="Palatino Linotype" w:eastAsia="Palatino Linotype" w:hAnsi="Palatino Linotype" w:cs="Palatino Linotype"/>
        </w:rPr>
      </w:pPr>
    </w:p>
    <w:p w14:paraId="49E84A26" w14:textId="77777777" w:rsidR="005B4D53" w:rsidRPr="00BB6C13" w:rsidRDefault="00415904">
      <w:pPr>
        <w:spacing w:after="240"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6F716FAA" w14:textId="77777777" w:rsidR="005B4D53" w:rsidRPr="00BB6C13" w:rsidRDefault="00415904">
      <w:pPr>
        <w:spacing w:after="240"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Por otro lado, en cuanto al punto de la solicitud en donde se solicitó, </w:t>
      </w:r>
      <w:r w:rsidRPr="00BB6C13">
        <w:rPr>
          <w:rFonts w:ascii="Palatino Linotype" w:eastAsia="Palatino Linotype" w:hAnsi="Palatino Linotype" w:cs="Palatino Linotype"/>
          <w:b/>
          <w:u w:val="single"/>
        </w:rPr>
        <w:t xml:space="preserve">número de factura, nombre de proveedor, conceptos a pagar, cantidad sin </w:t>
      </w:r>
      <w:proofErr w:type="spellStart"/>
      <w:r w:rsidRPr="00BB6C13">
        <w:rPr>
          <w:rFonts w:ascii="Palatino Linotype" w:eastAsia="Palatino Linotype" w:hAnsi="Palatino Linotype" w:cs="Palatino Linotype"/>
          <w:b/>
          <w:u w:val="single"/>
        </w:rPr>
        <w:t>iva</w:t>
      </w:r>
      <w:proofErr w:type="spellEnd"/>
      <w:r w:rsidRPr="00BB6C13">
        <w:rPr>
          <w:rFonts w:ascii="Palatino Linotype" w:eastAsia="Palatino Linotype" w:hAnsi="Palatino Linotype" w:cs="Palatino Linotype"/>
          <w:b/>
          <w:u w:val="single"/>
        </w:rPr>
        <w:t xml:space="preserve">, </w:t>
      </w:r>
      <w:proofErr w:type="spellStart"/>
      <w:r w:rsidRPr="00BB6C13">
        <w:rPr>
          <w:rFonts w:ascii="Palatino Linotype" w:eastAsia="Palatino Linotype" w:hAnsi="Palatino Linotype" w:cs="Palatino Linotype"/>
          <w:b/>
          <w:u w:val="single"/>
        </w:rPr>
        <w:t>iva</w:t>
      </w:r>
      <w:proofErr w:type="spellEnd"/>
      <w:r w:rsidRPr="00BB6C13">
        <w:rPr>
          <w:rFonts w:ascii="Palatino Linotype" w:eastAsia="Palatino Linotype" w:hAnsi="Palatino Linotype" w:cs="Palatino Linotype"/>
          <w:b/>
          <w:u w:val="single"/>
        </w:rPr>
        <w:t xml:space="preserve"> de la factura, fecha de pago, </w:t>
      </w:r>
      <w:r w:rsidRPr="00BB6C13">
        <w:rPr>
          <w:rFonts w:ascii="Palatino Linotype" w:eastAsia="Palatino Linotype" w:hAnsi="Palatino Linotype" w:cs="Palatino Linotype"/>
        </w:rPr>
        <w:t xml:space="preserve">el </w:t>
      </w:r>
      <w:r w:rsidRPr="00BB6C13">
        <w:rPr>
          <w:rFonts w:ascii="Palatino Linotype" w:eastAsia="Palatino Linotype" w:hAnsi="Palatino Linotype" w:cs="Palatino Linotype"/>
          <w:b/>
        </w:rPr>
        <w:t>SUJETO OBLIGADO</w:t>
      </w:r>
      <w:r w:rsidRPr="00BB6C13">
        <w:rPr>
          <w:rFonts w:ascii="Palatino Linotype" w:eastAsia="Palatino Linotype" w:hAnsi="Palatino Linotype" w:cs="Palatino Linotype"/>
        </w:rPr>
        <w:t>, en respuesta a través de su Tesorero Municipal, sólo se concretó a señalar que la información con la que cuenta es de forma general, entregando del Estado analítico de la deuda y otros pasivos al treinta y uno de diciembre del año 2021, en el que se detalla la deuda a proveedores 2019-2021; sin que se pronunciara al respecto de los presentes puntos en cuestión; ante ello, en términos de los previsto por los artículo 11, 20 y 21 de la Ley de Disciplina Financiera de las Entidades Federativas y los Municipios, que señalan:</w:t>
      </w:r>
    </w:p>
    <w:p w14:paraId="6DD5C11E" w14:textId="77777777" w:rsidR="005B4D53" w:rsidRPr="00BB6C13" w:rsidRDefault="00415904">
      <w:pPr>
        <w:spacing w:before="120" w:after="120"/>
        <w:ind w:left="851" w:right="85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 xml:space="preserve">“Artículo 11.- Las Entidades Federativas deberán considerar en sus correspondientes Presupuestos de Egresos, las previsiones de gasto necesarias para hacer frente a los compromisos de pago que se deriven de los contratos de Asociación Público-Privada celebrados o por celebrarse durante el siguiente ejercicio fiscal. </w:t>
      </w:r>
    </w:p>
    <w:p w14:paraId="3C5E9F8C" w14:textId="77777777" w:rsidR="005B4D53" w:rsidRPr="00BB6C13" w:rsidRDefault="00415904">
      <w:pPr>
        <w:spacing w:before="120" w:after="120"/>
        <w:ind w:left="851" w:right="85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lastRenderedPageBreak/>
        <w:t xml:space="preserve">Para el caso de Asociaciones Público Privadas con recursos federales, se observará lo dispuesto en el artículo 4, fracción IV de la Ley de Asociaciones Público Privadas. </w:t>
      </w:r>
    </w:p>
    <w:p w14:paraId="151B9D3F" w14:textId="77777777" w:rsidR="005B4D53" w:rsidRPr="00BB6C13" w:rsidRDefault="00415904">
      <w:pPr>
        <w:spacing w:before="120" w:after="120"/>
        <w:ind w:left="851" w:right="85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w:t>
      </w:r>
    </w:p>
    <w:p w14:paraId="5F6C3621" w14:textId="77777777" w:rsidR="005B4D53" w:rsidRPr="00BB6C13" w:rsidRDefault="00415904">
      <w:pPr>
        <w:spacing w:before="120" w:after="120"/>
        <w:ind w:left="851" w:right="85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Artículo 20.- Los recursos para cubrir los adeudos del ejercicio fiscal anterior, previstos en el proyecto de Presupuesto de Egresos, podrán ser hasta por el 2.5 por ciento de los Ingresos totales del respectivo Municipio</w:t>
      </w:r>
    </w:p>
    <w:p w14:paraId="55656B53" w14:textId="77777777" w:rsidR="005B4D53" w:rsidRPr="00BB6C13" w:rsidRDefault="00415904">
      <w:pPr>
        <w:spacing w:before="120" w:after="120"/>
        <w:ind w:left="851" w:right="85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Artículo 21.- Los Municipios y sus Entes Públicos deberán observar las disposiciones establecidas en los artículos 8, 10, 11, 14, 15 y 17 de esta Ley.” (Sic)</w:t>
      </w:r>
    </w:p>
    <w:p w14:paraId="2ED3391A" w14:textId="77777777" w:rsidR="005B4D53" w:rsidRPr="00BB6C13" w:rsidRDefault="005B4D53">
      <w:pPr>
        <w:spacing w:before="120" w:after="120"/>
        <w:ind w:left="851" w:right="851"/>
        <w:jc w:val="both"/>
        <w:rPr>
          <w:rFonts w:ascii="Palatino Linotype" w:eastAsia="Palatino Linotype" w:hAnsi="Palatino Linotype" w:cs="Palatino Linotype"/>
          <w:i/>
          <w:sz w:val="22"/>
          <w:szCs w:val="22"/>
        </w:rPr>
      </w:pPr>
    </w:p>
    <w:p w14:paraId="78426E23" w14:textId="77777777" w:rsidR="005B4D53" w:rsidRPr="00BB6C13" w:rsidRDefault="00415904">
      <w:pPr>
        <w:spacing w:after="240"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 xml:space="preserve">Se establece que los municipios del Estado de México, entre ellos el Ayuntamiento de Toluca, debieron fijar en su proyecto de presupuesto de egresos los recursos para cubrir los adeudos del ejercicio fiscal anterior; esto es, que el </w:t>
      </w:r>
      <w:r w:rsidRPr="00BB6C13">
        <w:rPr>
          <w:rFonts w:ascii="Palatino Linotype" w:eastAsia="Palatino Linotype" w:hAnsi="Palatino Linotype" w:cs="Palatino Linotype"/>
          <w:b/>
        </w:rPr>
        <w:t>SUJETO OBLIGADO</w:t>
      </w:r>
      <w:r w:rsidRPr="00BB6C13">
        <w:rPr>
          <w:rFonts w:ascii="Palatino Linotype" w:eastAsia="Palatino Linotype" w:hAnsi="Palatino Linotype" w:cs="Palatino Linotype"/>
        </w:rPr>
        <w:t xml:space="preserve">, respecto de los adeudos con los proveedores del año 2019 a 2021, debió establecer un monto de dinero es su proyecto de presupuesto de egresos del año 2022, para pagar los adeudos con sus proveedores del ejercicio fiscal anterior; máxime que dentro del Manual para la Planeación, Programación y Presupuesto de Egresos Municipal para el año 2022, se advierte que el </w:t>
      </w:r>
      <w:r w:rsidRPr="00BB6C13">
        <w:rPr>
          <w:rFonts w:ascii="Palatino Linotype" w:eastAsia="Palatino Linotype" w:hAnsi="Palatino Linotype" w:cs="Palatino Linotype"/>
          <w:b/>
        </w:rPr>
        <w:t>SUJETO OBLIGADO</w:t>
      </w:r>
      <w:r w:rsidRPr="00BB6C13">
        <w:rPr>
          <w:rFonts w:ascii="Palatino Linotype" w:eastAsia="Palatino Linotype" w:hAnsi="Palatino Linotype" w:cs="Palatino Linotype"/>
        </w:rPr>
        <w:t>, debió contemplar un sección específica, en donde se establezca las erogaciones correspondientes a:</w:t>
      </w:r>
    </w:p>
    <w:p w14:paraId="278830CC" w14:textId="77777777" w:rsidR="005B4D53" w:rsidRPr="00BB6C13" w:rsidRDefault="00415904">
      <w:pPr>
        <w:spacing w:before="120" w:after="120"/>
        <w:ind w:left="851" w:right="85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“En el proyecto de presupuesto de egresos se deberá presentar en una sección específica, las erogaciones correspondientes al gasto en servicios personales, la cual comprende:</w:t>
      </w:r>
    </w:p>
    <w:p w14:paraId="2EC4D428" w14:textId="77777777" w:rsidR="005B4D53" w:rsidRPr="00BB6C13" w:rsidRDefault="00415904">
      <w:pPr>
        <w:spacing w:before="120" w:after="120"/>
        <w:ind w:left="851" w:right="85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w:t>
      </w:r>
    </w:p>
    <w:p w14:paraId="500BD866" w14:textId="77777777" w:rsidR="005B4D53" w:rsidRPr="00BB6C13" w:rsidRDefault="00415904">
      <w:pPr>
        <w:spacing w:before="120" w:after="120"/>
        <w:ind w:left="851" w:right="85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 xml:space="preserve">7. Los recursos para cubrir los adeudos del ejercicio fiscal anterior, previstos en el proyecto de presupuesto de egresos, podrán ser hasta por el 2.5 por ciento de los Ingresos totales del respectivo Municipio. </w:t>
      </w:r>
    </w:p>
    <w:p w14:paraId="7179A109" w14:textId="77777777" w:rsidR="005B4D53" w:rsidRPr="00BB6C13" w:rsidRDefault="00415904">
      <w:pPr>
        <w:spacing w:before="120" w:after="120"/>
        <w:ind w:left="851" w:right="85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 xml:space="preserve">8. Los Municipios deberán considerar en sus correspondientes presupuestos de egresos, las previsiones de gasto necesarias para hacer frente a los compromisos de </w:t>
      </w:r>
      <w:r w:rsidRPr="00BB6C13">
        <w:rPr>
          <w:rFonts w:ascii="Palatino Linotype" w:eastAsia="Palatino Linotype" w:hAnsi="Palatino Linotype" w:cs="Palatino Linotype"/>
          <w:i/>
          <w:sz w:val="22"/>
          <w:szCs w:val="22"/>
        </w:rPr>
        <w:lastRenderedPageBreak/>
        <w:t>pago que se deriven de los contratos de Asociación Público-Privada celebrados o por celebrarse durante el siguiente ejercicio fiscal.” (Sic)</w:t>
      </w:r>
    </w:p>
    <w:p w14:paraId="6223CA42" w14:textId="77777777" w:rsidR="005B4D53" w:rsidRPr="00BB6C13" w:rsidRDefault="005B4D53">
      <w:pPr>
        <w:spacing w:line="360" w:lineRule="auto"/>
        <w:ind w:right="49"/>
        <w:jc w:val="both"/>
      </w:pPr>
    </w:p>
    <w:p w14:paraId="121326B6" w14:textId="77777777" w:rsidR="005B4D53" w:rsidRPr="00BB6C13" w:rsidRDefault="00415904">
      <w:pPr>
        <w:spacing w:line="360" w:lineRule="auto"/>
        <w:ind w:right="49"/>
        <w:jc w:val="both"/>
        <w:rPr>
          <w:rFonts w:ascii="Palatino Linotype" w:eastAsia="Palatino Linotype" w:hAnsi="Palatino Linotype" w:cs="Palatino Linotype"/>
          <w:color w:val="FF0000"/>
        </w:rPr>
      </w:pPr>
      <w:r w:rsidRPr="00BB6C13">
        <w:rPr>
          <w:rFonts w:ascii="Palatino Linotype" w:eastAsia="Palatino Linotype" w:hAnsi="Palatino Linotype" w:cs="Palatino Linotype"/>
        </w:rPr>
        <w:t>Advirtiéndose que el Ayuntamiento de Toluca, debió presupuestar dentro del presupuesto de egresos para el año 2022, una sección específica en la cual se fije los recursos para cubrir los adeudos generados en el ejercicio fiscal anterior,  en ese sentido, es necesario analizar el Manual Único de Contabilidad Gubernamental para las Dependencias y Entidades Públicas del Gobierno y Municipios Del Estado De México 2022, en donde se establece respecto de los adeudos de ejercicios fiscales anteriores, lo siguiente:</w:t>
      </w:r>
    </w:p>
    <w:p w14:paraId="03C0DAB4" w14:textId="77777777" w:rsidR="005B4D53" w:rsidRPr="00BB6C13" w:rsidRDefault="00415904">
      <w:pPr>
        <w:spacing w:before="120" w:after="120"/>
        <w:ind w:left="851" w:right="85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 xml:space="preserve">“19) Adeudos de Ejercicios Fiscales Anteriores </w:t>
      </w:r>
    </w:p>
    <w:p w14:paraId="1892E2EA" w14:textId="77777777" w:rsidR="005B4D53" w:rsidRPr="00BB6C13" w:rsidRDefault="00415904">
      <w:pPr>
        <w:spacing w:before="120" w:after="120"/>
        <w:ind w:left="851" w:right="85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Se considerarán Adeudos de Ejercicios Fiscales Anteriores aquellos pasivos que se generen por conceptos de gastos devengados y registrados contable y presupuestalmente al 31 de diciembre de cada ejercicio y no pagados en esa fecha.</w:t>
      </w:r>
    </w:p>
    <w:p w14:paraId="5617F556" w14:textId="77777777" w:rsidR="005B4D53" w:rsidRPr="00BB6C13" w:rsidRDefault="00415904">
      <w:pPr>
        <w:spacing w:before="120" w:after="120"/>
        <w:ind w:left="851" w:right="85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b/>
          <w:i/>
          <w:sz w:val="22"/>
          <w:szCs w:val="22"/>
        </w:rPr>
        <w:t>Las operaciones aplicables a un ciclo presupuestal deberán estar sustentadas con la documentación que acredite el compromiso del ente gubernamental</w:t>
      </w:r>
      <w:r w:rsidRPr="00BB6C13">
        <w:rPr>
          <w:rFonts w:ascii="Palatino Linotype" w:eastAsia="Palatino Linotype" w:hAnsi="Palatino Linotype" w:cs="Palatino Linotype"/>
          <w:i/>
          <w:sz w:val="22"/>
          <w:szCs w:val="22"/>
        </w:rPr>
        <w:t xml:space="preserve">, </w:t>
      </w:r>
      <w:r w:rsidRPr="00BB6C13">
        <w:rPr>
          <w:rFonts w:ascii="Palatino Linotype" w:eastAsia="Palatino Linotype" w:hAnsi="Palatino Linotype" w:cs="Palatino Linotype"/>
          <w:b/>
          <w:i/>
          <w:sz w:val="22"/>
          <w:szCs w:val="22"/>
        </w:rPr>
        <w:t>es decir que acrediten haber recibido los bienes o servicios o la construcción de obras.</w:t>
      </w:r>
      <w:r w:rsidRPr="00BB6C13">
        <w:rPr>
          <w:rFonts w:ascii="Palatino Linotype" w:eastAsia="Palatino Linotype" w:hAnsi="Palatino Linotype" w:cs="Palatino Linotype"/>
          <w:i/>
          <w:sz w:val="22"/>
          <w:szCs w:val="22"/>
        </w:rPr>
        <w:t xml:space="preserve"> </w:t>
      </w:r>
    </w:p>
    <w:p w14:paraId="702BC546" w14:textId="77777777" w:rsidR="005B4D53" w:rsidRPr="00BB6C13" w:rsidRDefault="00415904">
      <w:pPr>
        <w:spacing w:before="120" w:after="120"/>
        <w:ind w:left="851" w:right="85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b/>
          <w:i/>
          <w:sz w:val="22"/>
          <w:szCs w:val="22"/>
        </w:rPr>
        <w:t>Con la documentación que acredite el compromiso, se deberá crear el pasivo correspondiente afectando el presupuesto del ejercicio fiscal en curso, constituyéndose con esta cuenta por pagar el registro de los adeudos</w:t>
      </w:r>
      <w:r w:rsidRPr="00BB6C13">
        <w:rPr>
          <w:rFonts w:ascii="Palatino Linotype" w:eastAsia="Palatino Linotype" w:hAnsi="Palatino Linotype" w:cs="Palatino Linotype"/>
          <w:i/>
          <w:sz w:val="22"/>
          <w:szCs w:val="22"/>
        </w:rPr>
        <w:t xml:space="preserve">. </w:t>
      </w:r>
    </w:p>
    <w:p w14:paraId="5A3BF0E2" w14:textId="77777777" w:rsidR="005B4D53" w:rsidRPr="00BB6C13" w:rsidRDefault="00415904">
      <w:pPr>
        <w:spacing w:before="120" w:after="120"/>
        <w:ind w:left="851" w:right="85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b/>
          <w:i/>
          <w:sz w:val="22"/>
          <w:szCs w:val="22"/>
        </w:rPr>
        <w:t>La documentación comprobatoria, Comprobante Fiscal Digital por Internet (CFDI), estimaciones y cheques entre otros, podrá ser presentada con fecha posterior.</w:t>
      </w:r>
      <w:r w:rsidRPr="00BB6C13">
        <w:rPr>
          <w:rFonts w:ascii="Palatino Linotype" w:eastAsia="Palatino Linotype" w:hAnsi="Palatino Linotype" w:cs="Palatino Linotype"/>
          <w:i/>
          <w:sz w:val="22"/>
          <w:szCs w:val="22"/>
        </w:rPr>
        <w:t xml:space="preserve"> </w:t>
      </w:r>
    </w:p>
    <w:p w14:paraId="48950204" w14:textId="77777777" w:rsidR="005B4D53" w:rsidRPr="00BB6C13" w:rsidRDefault="00415904">
      <w:pPr>
        <w:spacing w:before="120" w:after="120"/>
        <w:ind w:left="851" w:right="85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 xml:space="preserve">En el caso de servicios personales se incluirán aquellas operaciones devengadas no pagadas incluyendo retenciones a favor de terceros por pagar. </w:t>
      </w:r>
    </w:p>
    <w:p w14:paraId="177B2D38" w14:textId="77777777" w:rsidR="005B4D53" w:rsidRPr="00BB6C13" w:rsidRDefault="00415904">
      <w:pPr>
        <w:spacing w:before="120" w:after="120"/>
        <w:ind w:left="851" w:right="85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b/>
          <w:i/>
          <w:sz w:val="22"/>
          <w:szCs w:val="22"/>
        </w:rPr>
        <w:t xml:space="preserve">Al finalizar cada ejercicio fiscal, se deberá registrar presupuestalmente, en la cuenta de ingresos, el monto de los adeudos que se tengan al cierre del ejercicio, </w:t>
      </w:r>
      <w:r w:rsidRPr="00BB6C13">
        <w:rPr>
          <w:rFonts w:ascii="Palatino Linotype" w:eastAsia="Palatino Linotype" w:hAnsi="Palatino Linotype" w:cs="Palatino Linotype"/>
          <w:b/>
          <w:i/>
          <w:sz w:val="22"/>
          <w:szCs w:val="22"/>
          <w:u w:val="single"/>
        </w:rPr>
        <w:t>mismos que serán pagados en el siguiente ejercicio fiscal</w:t>
      </w:r>
      <w:r w:rsidRPr="00BB6C13">
        <w:rPr>
          <w:rFonts w:ascii="Palatino Linotype" w:eastAsia="Palatino Linotype" w:hAnsi="Palatino Linotype" w:cs="Palatino Linotype"/>
          <w:b/>
          <w:i/>
          <w:sz w:val="22"/>
          <w:szCs w:val="22"/>
        </w:rPr>
        <w:t>; en su caso se deberán disminuir las ADEFAS generadas en ejercicio anteriores no pagadas</w:t>
      </w:r>
      <w:r w:rsidRPr="00BB6C13">
        <w:rPr>
          <w:rFonts w:ascii="Palatino Linotype" w:eastAsia="Palatino Linotype" w:hAnsi="Palatino Linotype" w:cs="Palatino Linotype"/>
          <w:i/>
          <w:sz w:val="22"/>
          <w:szCs w:val="22"/>
        </w:rPr>
        <w:t xml:space="preserve">. </w:t>
      </w:r>
    </w:p>
    <w:p w14:paraId="6B82880C" w14:textId="77777777" w:rsidR="005B4D53" w:rsidRPr="00BB6C13" w:rsidRDefault="00415904">
      <w:pPr>
        <w:spacing w:before="120" w:after="120"/>
        <w:ind w:left="851" w:right="85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lastRenderedPageBreak/>
        <w:t>El registro de las ADEFAS en el egreso se realizará por los pagos realizados en el ejercicio de adeudos generados en el año inmediato anterior o en ejercicio anteriores</w:t>
      </w:r>
    </w:p>
    <w:p w14:paraId="09AA11E0" w14:textId="77777777" w:rsidR="005B4D53" w:rsidRPr="00BB6C13" w:rsidRDefault="005B4D53">
      <w:pPr>
        <w:spacing w:after="240" w:line="360" w:lineRule="auto"/>
        <w:jc w:val="both"/>
      </w:pPr>
    </w:p>
    <w:p w14:paraId="5C7C65DC" w14:textId="77777777" w:rsidR="005B4D53" w:rsidRPr="00BB6C13" w:rsidRDefault="00415904">
      <w:pPr>
        <w:spacing w:after="240" w:line="360" w:lineRule="auto"/>
        <w:jc w:val="both"/>
        <w:rPr>
          <w:rFonts w:ascii="Palatino Linotype" w:eastAsia="Palatino Linotype" w:hAnsi="Palatino Linotype" w:cs="Palatino Linotype"/>
        </w:rPr>
      </w:pPr>
      <w:r w:rsidRPr="00BB6C13">
        <w:rPr>
          <w:noProof/>
          <w:lang w:val="es-MX"/>
        </w:rPr>
        <w:lastRenderedPageBreak/>
        <w:drawing>
          <wp:inline distT="0" distB="0" distL="0" distR="0" wp14:anchorId="31268F1B" wp14:editId="2F4CBEE0">
            <wp:extent cx="5435052" cy="7507415"/>
            <wp:effectExtent l="0" t="0" r="0" b="0"/>
            <wp:docPr id="5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43382" t="21265" r="21806" b="2307"/>
                    <a:stretch>
                      <a:fillRect/>
                    </a:stretch>
                  </pic:blipFill>
                  <pic:spPr>
                    <a:xfrm>
                      <a:off x="0" y="0"/>
                      <a:ext cx="5435052" cy="7507415"/>
                    </a:xfrm>
                    <a:prstGeom prst="rect">
                      <a:avLst/>
                    </a:prstGeom>
                    <a:ln/>
                  </pic:spPr>
                </pic:pic>
              </a:graphicData>
            </a:graphic>
          </wp:inline>
        </w:drawing>
      </w:r>
    </w:p>
    <w:p w14:paraId="2B5C9E90" w14:textId="77777777" w:rsidR="005B4D53" w:rsidRPr="00BB6C13" w:rsidRDefault="00415904">
      <w:pPr>
        <w:spacing w:line="360" w:lineRule="auto"/>
        <w:jc w:val="both"/>
        <w:rPr>
          <w:rFonts w:ascii="Palatino Linotype" w:eastAsia="Palatino Linotype" w:hAnsi="Palatino Linotype" w:cs="Palatino Linotype"/>
        </w:rPr>
      </w:pPr>
      <w:r w:rsidRPr="00BB6C13">
        <w:rPr>
          <w:noProof/>
          <w:lang w:val="es-MX"/>
        </w:rPr>
        <w:lastRenderedPageBreak/>
        <w:drawing>
          <wp:inline distT="0" distB="0" distL="0" distR="0" wp14:anchorId="2E435677" wp14:editId="6858EAD2">
            <wp:extent cx="5545050" cy="3610062"/>
            <wp:effectExtent l="0" t="0" r="0" b="0"/>
            <wp:docPr id="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43075" t="28039" r="21903" b="33290"/>
                    <a:stretch>
                      <a:fillRect/>
                    </a:stretch>
                  </pic:blipFill>
                  <pic:spPr>
                    <a:xfrm>
                      <a:off x="0" y="0"/>
                      <a:ext cx="5545050" cy="3610062"/>
                    </a:xfrm>
                    <a:prstGeom prst="rect">
                      <a:avLst/>
                    </a:prstGeom>
                    <a:ln/>
                  </pic:spPr>
                </pic:pic>
              </a:graphicData>
            </a:graphic>
          </wp:inline>
        </w:drawing>
      </w:r>
    </w:p>
    <w:p w14:paraId="1B3BB489" w14:textId="77777777" w:rsidR="005B4D53" w:rsidRPr="00BB6C13" w:rsidRDefault="005B4D53">
      <w:pPr>
        <w:spacing w:line="360" w:lineRule="auto"/>
        <w:jc w:val="both"/>
        <w:rPr>
          <w:rFonts w:ascii="Palatino Linotype" w:eastAsia="Palatino Linotype" w:hAnsi="Palatino Linotype" w:cs="Palatino Linotype"/>
        </w:rPr>
      </w:pPr>
    </w:p>
    <w:p w14:paraId="5C89A46A" w14:textId="77777777" w:rsidR="005B4D53" w:rsidRPr="00BB6C13" w:rsidRDefault="00415904">
      <w:pPr>
        <w:spacing w:line="360" w:lineRule="auto"/>
        <w:jc w:val="both"/>
        <w:rPr>
          <w:rFonts w:ascii="Palatino Linotype" w:eastAsia="Palatino Linotype" w:hAnsi="Palatino Linotype" w:cs="Palatino Linotype"/>
          <w:color w:val="000000"/>
        </w:rPr>
      </w:pPr>
      <w:r w:rsidRPr="00BB6C13">
        <w:rPr>
          <w:rFonts w:ascii="Palatino Linotype" w:eastAsia="Palatino Linotype" w:hAnsi="Palatino Linotype" w:cs="Palatino Linotype"/>
          <w:color w:val="000000"/>
        </w:rPr>
        <w:t>De lo anterior, se establece que los adeudos del ejercicio fiscal anterior, se debió crear el pasivo correspondiente en el presupuesto de eg</w:t>
      </w:r>
      <w:r w:rsidRPr="00BB6C13">
        <w:rPr>
          <w:rFonts w:ascii="Palatino Linotype" w:eastAsia="Palatino Linotype" w:hAnsi="Palatino Linotype" w:cs="Palatino Linotype"/>
        </w:rPr>
        <w:t xml:space="preserve">resos </w:t>
      </w:r>
      <w:r w:rsidRPr="00BB6C13">
        <w:rPr>
          <w:rFonts w:ascii="Palatino Linotype" w:eastAsia="Palatino Linotype" w:hAnsi="Palatino Linotype" w:cs="Palatino Linotype"/>
          <w:color w:val="000000"/>
        </w:rPr>
        <w:t xml:space="preserve">del ejercicio fiscal en curso, en este caso en el ejercicio fiscal del año 2022, constituyéndose una cuenta a pagar en el año 2022, mismo que deberá ser sustentado con la documentación comprobatoria que acredite el compromiso como por ejemplo el comprobante fiscal digital por internet (CFDI), estimaciones y cheques. </w:t>
      </w:r>
    </w:p>
    <w:p w14:paraId="27755CA3" w14:textId="77777777" w:rsidR="005B4D53" w:rsidRPr="00BB6C13" w:rsidRDefault="005B4D53">
      <w:pPr>
        <w:spacing w:line="360" w:lineRule="auto"/>
        <w:jc w:val="both"/>
        <w:rPr>
          <w:rFonts w:ascii="Palatino Linotype" w:eastAsia="Palatino Linotype" w:hAnsi="Palatino Linotype" w:cs="Palatino Linotype"/>
          <w:color w:val="000000"/>
        </w:rPr>
      </w:pPr>
    </w:p>
    <w:p w14:paraId="5C6FA2CB" w14:textId="77777777" w:rsidR="005B4D53" w:rsidRPr="00BB6C13" w:rsidRDefault="00415904">
      <w:pPr>
        <w:spacing w:line="360" w:lineRule="auto"/>
        <w:jc w:val="both"/>
        <w:rPr>
          <w:rFonts w:ascii="Palatino Linotype" w:eastAsia="Palatino Linotype" w:hAnsi="Palatino Linotype" w:cs="Palatino Linotype"/>
          <w:color w:val="000000"/>
        </w:rPr>
      </w:pPr>
      <w:r w:rsidRPr="00BB6C13">
        <w:rPr>
          <w:rFonts w:ascii="Palatino Linotype" w:eastAsia="Palatino Linotype" w:hAnsi="Palatino Linotype" w:cs="Palatino Linotype"/>
          <w:color w:val="000000"/>
        </w:rPr>
        <w:t>Es pertinente aclarar que respecto del comprobante fiscal digital por internet (CFDI), es considerado por el Servicio de Administración Tributaria (SAT), la cual puede ser consultada en la liga electrónica “http://omawww.sat.gob.mx/tramitesyservicios/Paginas/documentos/Anexo_20_G</w:t>
      </w:r>
      <w:r w:rsidRPr="00BB6C13">
        <w:rPr>
          <w:rFonts w:ascii="Palatino Linotype" w:eastAsia="Palatino Linotype" w:hAnsi="Palatino Linotype" w:cs="Palatino Linotype"/>
          <w:color w:val="000000"/>
        </w:rPr>
        <w:lastRenderedPageBreak/>
        <w:t>uia_de_llenado_CFDI.pdf</w:t>
      </w:r>
      <w:proofErr w:type="gramStart"/>
      <w:r w:rsidRPr="00BB6C13">
        <w:rPr>
          <w:rFonts w:ascii="Palatino Linotype" w:eastAsia="Palatino Linotype" w:hAnsi="Palatino Linotype" w:cs="Palatino Linotype"/>
          <w:color w:val="000000"/>
        </w:rPr>
        <w:t>” ,</w:t>
      </w:r>
      <w:proofErr w:type="gramEnd"/>
      <w:r w:rsidRPr="00BB6C13">
        <w:rPr>
          <w:rFonts w:ascii="Palatino Linotype" w:eastAsia="Palatino Linotype" w:hAnsi="Palatino Linotype" w:cs="Palatino Linotype"/>
          <w:color w:val="000000"/>
        </w:rPr>
        <w:t xml:space="preserve"> también como la factura del pago realizado, como se advierte a continuación:</w:t>
      </w:r>
    </w:p>
    <w:p w14:paraId="41C52DD2" w14:textId="77777777" w:rsidR="005B4D53" w:rsidRPr="00BB6C13" w:rsidRDefault="00415904">
      <w:pPr>
        <w:spacing w:before="120" w:after="120"/>
        <w:ind w:left="851" w:right="85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“Expedir CFDI es una obligación de los contribuyentes personas físicas o morales de conformidad con los artículos 29, párrafos primero y segundo, fracción IV y penúltimo párrafo del CFF y 39 del Reglamento del CFF, en relación con la regla 2.7.5.4., y el Capítulo 2.7. “</w:t>
      </w:r>
      <w:r w:rsidRPr="00BB6C13">
        <w:rPr>
          <w:rFonts w:ascii="Palatino Linotype" w:eastAsia="Palatino Linotype" w:hAnsi="Palatino Linotype" w:cs="Palatino Linotype"/>
          <w:b/>
          <w:i/>
          <w:sz w:val="22"/>
          <w:szCs w:val="22"/>
        </w:rPr>
        <w:t>De los Comprobantes Fiscales Digitales por Internet o Factura Electrónica”</w:t>
      </w:r>
      <w:r w:rsidRPr="00BB6C13">
        <w:rPr>
          <w:rFonts w:ascii="Palatino Linotype" w:eastAsia="Palatino Linotype" w:hAnsi="Palatino Linotype" w:cs="Palatino Linotype"/>
          <w:i/>
          <w:sz w:val="22"/>
          <w:szCs w:val="22"/>
        </w:rPr>
        <w:t xml:space="preserve"> de la Resolución Miscelánea Fiscal vigente.</w:t>
      </w:r>
    </w:p>
    <w:p w14:paraId="447BB698" w14:textId="77777777" w:rsidR="005B4D53" w:rsidRPr="00BB6C13" w:rsidRDefault="005B4D53">
      <w:pPr>
        <w:spacing w:line="360" w:lineRule="auto"/>
        <w:jc w:val="both"/>
        <w:rPr>
          <w:rFonts w:ascii="Palatino Linotype" w:eastAsia="Palatino Linotype" w:hAnsi="Palatino Linotype" w:cs="Palatino Linotype"/>
          <w:color w:val="000000"/>
        </w:rPr>
      </w:pPr>
    </w:p>
    <w:p w14:paraId="5918AEDF" w14:textId="77777777" w:rsidR="005B4D53" w:rsidRPr="00BB6C13" w:rsidRDefault="00415904">
      <w:pPr>
        <w:spacing w:line="360" w:lineRule="auto"/>
        <w:jc w:val="both"/>
        <w:rPr>
          <w:rFonts w:ascii="Palatino Linotype" w:eastAsia="Palatino Linotype" w:hAnsi="Palatino Linotype" w:cs="Palatino Linotype"/>
          <w:color w:val="000000"/>
        </w:rPr>
      </w:pPr>
      <w:r w:rsidRPr="00BB6C13">
        <w:rPr>
          <w:rFonts w:ascii="Palatino Linotype" w:eastAsia="Palatino Linotype" w:hAnsi="Palatino Linotype" w:cs="Palatino Linotype"/>
          <w:color w:val="000000"/>
        </w:rPr>
        <w:t xml:space="preserve">Cuyo llenado del CFDI o Factura Electrónica, debe incluir, entre otros datos, nombre del receptor quien es el receptor del comprobante, conceptos a pagar, impuestos (IVA Impuesto sobre el Valor) y fecha de pago, lo cual puede ser corroborado en la Guía de llenado de los comprobantes fiscales digitales por Internet en la siguiente liga electrónica, </w:t>
      </w:r>
      <w:hyperlink r:id="rId16">
        <w:r w:rsidRPr="00BB6C13">
          <w:rPr>
            <w:rFonts w:ascii="Palatino Linotype" w:eastAsia="Palatino Linotype" w:hAnsi="Palatino Linotype" w:cs="Palatino Linotype"/>
            <w:color w:val="0000FF"/>
            <w:u w:val="single"/>
          </w:rPr>
          <w:t>http://omawww.sat.gob.mx/tramitesyservicios/Paginas/documentos/Anexo_20_Guia_de_llenado_CFDI.pdf</w:t>
        </w:r>
      </w:hyperlink>
      <w:r w:rsidRPr="00BB6C13">
        <w:rPr>
          <w:rFonts w:ascii="Palatino Linotype" w:eastAsia="Palatino Linotype" w:hAnsi="Palatino Linotype" w:cs="Palatino Linotype"/>
          <w:color w:val="000000"/>
        </w:rPr>
        <w:t>, para mayor referencia.</w:t>
      </w:r>
    </w:p>
    <w:p w14:paraId="22F9900F" w14:textId="77777777" w:rsidR="005B4D53" w:rsidRPr="00BB6C13" w:rsidRDefault="005B4D53">
      <w:pPr>
        <w:spacing w:line="360" w:lineRule="auto"/>
        <w:jc w:val="both"/>
        <w:rPr>
          <w:rFonts w:ascii="Palatino Linotype" w:eastAsia="Palatino Linotype" w:hAnsi="Palatino Linotype" w:cs="Palatino Linotype"/>
          <w:color w:val="000000"/>
        </w:rPr>
      </w:pPr>
    </w:p>
    <w:p w14:paraId="5B184A44" w14:textId="77777777" w:rsidR="005B4D53" w:rsidRPr="00BB6C13" w:rsidRDefault="00415904">
      <w:pPr>
        <w:spacing w:line="360" w:lineRule="auto"/>
        <w:jc w:val="both"/>
        <w:rPr>
          <w:rFonts w:ascii="Palatino Linotype" w:eastAsia="Palatino Linotype" w:hAnsi="Palatino Linotype" w:cs="Palatino Linotype"/>
          <w:color w:val="000000"/>
        </w:rPr>
      </w:pPr>
      <w:r w:rsidRPr="00BB6C13">
        <w:rPr>
          <w:rFonts w:ascii="Palatino Linotype" w:eastAsia="Palatino Linotype" w:hAnsi="Palatino Linotype" w:cs="Palatino Linotype"/>
          <w:color w:val="000000"/>
        </w:rPr>
        <w:t xml:space="preserve">Razones por las cuales lo procedente es ordenar el documento en donde conste el pago realizado a los proveedores </w:t>
      </w:r>
      <w:r w:rsidR="00E4335F" w:rsidRPr="00BB6C13">
        <w:rPr>
          <w:rFonts w:ascii="Palatino Linotype" w:eastAsia="Palatino Linotype" w:hAnsi="Palatino Linotype" w:cs="Palatino Linotype"/>
          <w:color w:val="000000"/>
        </w:rPr>
        <w:t xml:space="preserve">del periodo comprendido del primero de enero al siete de noviembre del año 2022, que </w:t>
      </w:r>
      <w:proofErr w:type="gramStart"/>
      <w:r w:rsidR="00E4335F" w:rsidRPr="00BB6C13">
        <w:rPr>
          <w:rFonts w:ascii="Palatino Linotype" w:eastAsia="Palatino Linotype" w:hAnsi="Palatino Linotype" w:cs="Palatino Linotype"/>
          <w:color w:val="000000"/>
        </w:rPr>
        <w:t>habían</w:t>
      </w:r>
      <w:proofErr w:type="gramEnd"/>
      <w:r w:rsidR="00E4335F" w:rsidRPr="00BB6C13">
        <w:rPr>
          <w:rFonts w:ascii="Palatino Linotype" w:eastAsia="Palatino Linotype" w:hAnsi="Palatino Linotype" w:cs="Palatino Linotype"/>
          <w:color w:val="000000"/>
        </w:rPr>
        <w:t xml:space="preserve"> pendientes de pasivos en el periodo 2019-2021 </w:t>
      </w:r>
      <w:r w:rsidRPr="00BB6C13">
        <w:rPr>
          <w:rFonts w:ascii="Palatino Linotype" w:eastAsia="Palatino Linotype" w:hAnsi="Palatino Linotype" w:cs="Palatino Linotype"/>
        </w:rPr>
        <w:t xml:space="preserve">y </w:t>
      </w:r>
      <w:r w:rsidRPr="00BB6C13">
        <w:rPr>
          <w:rFonts w:ascii="Palatino Linotype" w:eastAsia="Palatino Linotype" w:hAnsi="Palatino Linotype" w:cs="Palatino Linotype"/>
          <w:color w:val="000000"/>
        </w:rPr>
        <w:t>la documentación comprobatoria del compromiso del pago a dichos proveedores</w:t>
      </w:r>
      <w:r w:rsidRPr="00BB6C13">
        <w:rPr>
          <w:rFonts w:ascii="Palatino Linotype" w:eastAsia="Palatino Linotype" w:hAnsi="Palatino Linotype" w:cs="Palatino Linotype"/>
        </w:rPr>
        <w:t>.</w:t>
      </w:r>
    </w:p>
    <w:p w14:paraId="4DE60318" w14:textId="77777777" w:rsidR="00E4335F" w:rsidRPr="00BB6C13" w:rsidRDefault="00E4335F">
      <w:pPr>
        <w:spacing w:line="360" w:lineRule="auto"/>
        <w:jc w:val="both"/>
        <w:rPr>
          <w:rFonts w:ascii="Palatino Linotype" w:eastAsia="Palatino Linotype" w:hAnsi="Palatino Linotype" w:cs="Palatino Linotype"/>
          <w:i/>
          <w:sz w:val="16"/>
          <w:szCs w:val="16"/>
        </w:rPr>
      </w:pPr>
    </w:p>
    <w:p w14:paraId="0C119B3F" w14:textId="77777777" w:rsidR="005B4D53" w:rsidRPr="00BB6C13" w:rsidRDefault="00415904">
      <w:pPr>
        <w:spacing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 xml:space="preserve">Con la salvedad que para el caso de que aún no se </w:t>
      </w:r>
      <w:proofErr w:type="gramStart"/>
      <w:r w:rsidRPr="00BB6C13">
        <w:rPr>
          <w:rFonts w:ascii="Palatino Linotype" w:eastAsia="Palatino Linotype" w:hAnsi="Palatino Linotype" w:cs="Palatino Linotype"/>
        </w:rPr>
        <w:t>le</w:t>
      </w:r>
      <w:proofErr w:type="gramEnd"/>
      <w:r w:rsidRPr="00BB6C13">
        <w:rPr>
          <w:rFonts w:ascii="Palatino Linotype" w:eastAsia="Palatino Linotype" w:hAnsi="Palatino Linotype" w:cs="Palatino Linotype"/>
        </w:rPr>
        <w:t xml:space="preserve"> hayan pagado a todos los proveedores del periodo 2019-2021, con los cuales tiene una deuda el SUJETO OBLIGADO, bastará que así se lo haga saber al particular de manera fundada y motivada.</w:t>
      </w:r>
    </w:p>
    <w:p w14:paraId="1A7D661A" w14:textId="77777777" w:rsidR="005B4D53" w:rsidRPr="00BB6C13" w:rsidRDefault="005B4D53">
      <w:pPr>
        <w:spacing w:line="360" w:lineRule="auto"/>
        <w:jc w:val="both"/>
        <w:rPr>
          <w:rFonts w:ascii="Palatino Linotype" w:eastAsia="Palatino Linotype" w:hAnsi="Palatino Linotype" w:cs="Palatino Linotype"/>
        </w:rPr>
      </w:pPr>
    </w:p>
    <w:p w14:paraId="57C2BF59" w14:textId="77777777" w:rsidR="005B4D53" w:rsidRPr="00BB6C13" w:rsidRDefault="00415904">
      <w:pPr>
        <w:spacing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lastRenderedPageBreak/>
        <w:t xml:space="preserve">Finalmente, en cuanto al punto </w:t>
      </w:r>
      <w:proofErr w:type="spellStart"/>
      <w:r w:rsidRPr="00BB6C13">
        <w:rPr>
          <w:rFonts w:ascii="Palatino Linotype" w:eastAsia="Palatino Linotype" w:hAnsi="Palatino Linotype" w:cs="Palatino Linotype"/>
        </w:rPr>
        <w:t>e</w:t>
      </w:r>
      <w:proofErr w:type="spellEnd"/>
      <w:r w:rsidRPr="00BB6C13">
        <w:rPr>
          <w:rFonts w:ascii="Palatino Linotype" w:eastAsia="Palatino Linotype" w:hAnsi="Palatino Linotype" w:cs="Palatino Linotype"/>
        </w:rPr>
        <w:t xml:space="preserve"> la solicitud en donde se solicitó, </w:t>
      </w:r>
      <w:r w:rsidRPr="00BB6C13">
        <w:rPr>
          <w:rFonts w:ascii="Palatino Linotype" w:eastAsia="Palatino Linotype" w:hAnsi="Palatino Linotype" w:cs="Palatino Linotype"/>
          <w:b/>
          <w:u w:val="single"/>
        </w:rPr>
        <w:t>indicando además cuanto se le adeuda a todos los proveedores</w:t>
      </w:r>
      <w:r w:rsidRPr="00BB6C13">
        <w:rPr>
          <w:rFonts w:ascii="Palatino Linotype" w:eastAsia="Palatino Linotype" w:hAnsi="Palatino Linotype" w:cs="Palatino Linotype"/>
        </w:rPr>
        <w:t xml:space="preserve">, en términos de lo señalado por los artículos </w:t>
      </w:r>
      <w:r w:rsidRPr="00BB6C13">
        <w:rPr>
          <w:rFonts w:ascii="Palatino Linotype" w:eastAsia="Palatino Linotype" w:hAnsi="Palatino Linotype" w:cs="Palatino Linotype"/>
          <w:color w:val="000000"/>
        </w:rPr>
        <w:t>13 y 181 párrafo cuarto de la Ley de Transparencia y Acceso a la Información Pública del Estado de México y Municipios, este Organismo Garante estima conveniente señalar que lo requerido por el particular es el monto que se le adeuda a los proveedores al siete de noviembre del año dos mil veintidós; ante ello, el</w:t>
      </w:r>
      <w:r w:rsidRPr="00BB6C13">
        <w:rPr>
          <w:rFonts w:ascii="Palatino Linotype" w:eastAsia="Palatino Linotype" w:hAnsi="Palatino Linotype" w:cs="Palatino Linotype"/>
        </w:rPr>
        <w:t xml:space="preserve"> documento que colmaría el requerimiento de información del particular, de manera enunciativa más no limitada, sería la </w:t>
      </w:r>
      <w:r w:rsidRPr="00BB6C13">
        <w:rPr>
          <w:rFonts w:ascii="Palatino Linotype" w:eastAsia="Palatino Linotype" w:hAnsi="Palatino Linotype" w:cs="Palatino Linotype"/>
          <w:b/>
        </w:rPr>
        <w:t>balanza de comprobación detallada</w:t>
      </w:r>
      <w:r w:rsidRPr="00BB6C13">
        <w:rPr>
          <w:rFonts w:ascii="Palatino Linotype" w:eastAsia="Palatino Linotype" w:hAnsi="Palatino Linotype" w:cs="Palatino Linotype"/>
        </w:rPr>
        <w:t xml:space="preserve">, la cual forma parte del </w:t>
      </w:r>
      <w:r w:rsidRPr="00BB6C13">
        <w:rPr>
          <w:rFonts w:ascii="Palatino Linotype" w:eastAsia="Palatino Linotype" w:hAnsi="Palatino Linotype" w:cs="Palatino Linotype"/>
          <w:b/>
        </w:rPr>
        <w:t>Informe Trimestral de los Sujetos de Fiscalización Municipales para el ejercicio 2022</w:t>
      </w:r>
      <w:r w:rsidRPr="00BB6C13">
        <w:rPr>
          <w:rFonts w:ascii="Palatino Linotype" w:eastAsia="Palatino Linotype" w:hAnsi="Palatino Linotype" w:cs="Palatino Linotype"/>
        </w:rPr>
        <w:t>.</w:t>
      </w:r>
    </w:p>
    <w:p w14:paraId="6533933E" w14:textId="77777777" w:rsidR="005B4D53" w:rsidRPr="00BB6C13" w:rsidRDefault="005B4D53">
      <w:pPr>
        <w:spacing w:line="360" w:lineRule="auto"/>
        <w:jc w:val="both"/>
        <w:rPr>
          <w:rFonts w:ascii="Palatino Linotype" w:eastAsia="Palatino Linotype" w:hAnsi="Palatino Linotype" w:cs="Palatino Linotype"/>
        </w:rPr>
      </w:pPr>
    </w:p>
    <w:p w14:paraId="06A4B088" w14:textId="77777777" w:rsidR="005B4D53" w:rsidRPr="00BB6C13" w:rsidRDefault="00415904">
      <w:pPr>
        <w:spacing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 xml:space="preserve">Asimismo, es importante destacar que de conformidad con el artículo 8 de la Ley de Fiscalización Superior delega al Órgano Superior de Fiscalización del Estado de México una serie de facultades entre las que destacan las siguientes: </w:t>
      </w:r>
    </w:p>
    <w:p w14:paraId="7715004F" w14:textId="77777777" w:rsidR="005B4D53" w:rsidRPr="00BB6C13" w:rsidRDefault="005B4D53">
      <w:pPr>
        <w:jc w:val="both"/>
        <w:rPr>
          <w:rFonts w:ascii="Palatino Linotype" w:eastAsia="Palatino Linotype" w:hAnsi="Palatino Linotype" w:cs="Palatino Linotype"/>
        </w:rPr>
      </w:pPr>
    </w:p>
    <w:p w14:paraId="7BB9CBA9" w14:textId="77777777" w:rsidR="005B4D53" w:rsidRPr="00BB6C13" w:rsidRDefault="00415904">
      <w:pPr>
        <w:ind w:left="851" w:right="899"/>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“Artículo 8.- El Órgano Superior tendrá las siguientes atribuciones:</w:t>
      </w:r>
    </w:p>
    <w:p w14:paraId="21C70111" w14:textId="77777777" w:rsidR="005B4D53" w:rsidRPr="00BB6C13" w:rsidRDefault="00415904">
      <w:pPr>
        <w:ind w:left="851" w:right="899"/>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w:t>
      </w:r>
    </w:p>
    <w:p w14:paraId="6A80A797" w14:textId="77777777" w:rsidR="005B4D53" w:rsidRPr="00BB6C13" w:rsidRDefault="00415904">
      <w:pPr>
        <w:ind w:left="851" w:right="899"/>
        <w:jc w:val="both"/>
        <w:rPr>
          <w:rFonts w:ascii="Palatino Linotype" w:eastAsia="Palatino Linotype" w:hAnsi="Palatino Linotype" w:cs="Palatino Linotype"/>
          <w:b/>
          <w:i/>
          <w:sz w:val="22"/>
          <w:szCs w:val="22"/>
          <w:u w:val="single"/>
        </w:rPr>
      </w:pPr>
      <w:r w:rsidRPr="00BB6C13">
        <w:rPr>
          <w:rFonts w:ascii="Palatino Linotype" w:eastAsia="Palatino Linotype" w:hAnsi="Palatino Linotype" w:cs="Palatino Linotype"/>
          <w:b/>
          <w:i/>
          <w:sz w:val="22"/>
          <w:szCs w:val="22"/>
          <w:u w:val="single"/>
        </w:rPr>
        <w:t>XI.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64AA3175" w14:textId="77777777" w:rsidR="005B4D53" w:rsidRPr="00BB6C13" w:rsidRDefault="00415904">
      <w:pPr>
        <w:ind w:left="851" w:right="899"/>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w:t>
      </w:r>
    </w:p>
    <w:p w14:paraId="70383B07" w14:textId="77777777" w:rsidR="005B4D53" w:rsidRPr="00BB6C13" w:rsidRDefault="00415904">
      <w:pPr>
        <w:ind w:left="851" w:right="899"/>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b/>
          <w:i/>
          <w:sz w:val="22"/>
          <w:szCs w:val="22"/>
          <w:u w:val="single"/>
        </w:rPr>
        <w:t xml:space="preserve">XIV. Verificar que las cuentas públicas, los informes trimestrales </w:t>
      </w:r>
      <w:r w:rsidRPr="00BB6C13">
        <w:rPr>
          <w:rFonts w:ascii="Palatino Linotype" w:eastAsia="Palatino Linotype" w:hAnsi="Palatino Linotype" w:cs="Palatino Linotype"/>
          <w:i/>
          <w:sz w:val="22"/>
          <w:szCs w:val="22"/>
        </w:rPr>
        <w:t xml:space="preserve">y la información económica, financiera y, en su caso, la deuda pública, </w:t>
      </w:r>
      <w:r w:rsidRPr="00BB6C13">
        <w:rPr>
          <w:rFonts w:ascii="Palatino Linotype" w:eastAsia="Palatino Linotype" w:hAnsi="Palatino Linotype" w:cs="Palatino Linotype"/>
          <w:b/>
          <w:i/>
          <w:sz w:val="22"/>
          <w:szCs w:val="22"/>
          <w:u w:val="single"/>
        </w:rPr>
        <w:t>se hayan presentado de conformidad con lo dispuesto en la Ley General de Contabilidad Gubernamental, la Ley de Disciplina Financiera de las Entidades Federativas y los Municipios, y demás disposiciones aplicables;</w:t>
      </w:r>
      <w:r w:rsidRPr="00BB6C13">
        <w:rPr>
          <w:rFonts w:ascii="Palatino Linotype" w:eastAsia="Palatino Linotype" w:hAnsi="Palatino Linotype" w:cs="Palatino Linotype"/>
          <w:i/>
          <w:sz w:val="22"/>
          <w:szCs w:val="22"/>
        </w:rPr>
        <w:t>” (Sic)</w:t>
      </w:r>
    </w:p>
    <w:p w14:paraId="383D8077" w14:textId="77777777" w:rsidR="005B4D53" w:rsidRPr="00BB6C13" w:rsidRDefault="005B4D53">
      <w:pPr>
        <w:spacing w:line="360" w:lineRule="auto"/>
        <w:jc w:val="both"/>
        <w:rPr>
          <w:rFonts w:ascii="Palatino Linotype" w:eastAsia="Palatino Linotype" w:hAnsi="Palatino Linotype" w:cs="Palatino Linotype"/>
        </w:rPr>
      </w:pPr>
    </w:p>
    <w:p w14:paraId="2A763810" w14:textId="77777777" w:rsidR="005B4D53" w:rsidRPr="00BB6C13" w:rsidRDefault="00415904">
      <w:pPr>
        <w:spacing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lastRenderedPageBreak/>
        <w:t xml:space="preserve">De manera que entre las facultades que la legislación delega al Órgano Superior de Fiscalización del Estado de México, destaca la recepción y verificación de las cuentas públicas, así como los informes trimestrales que presenten los municipios y demás Sujetos susceptibles de fiscalización. </w:t>
      </w:r>
    </w:p>
    <w:p w14:paraId="145187B2" w14:textId="77777777" w:rsidR="005B4D53" w:rsidRPr="00BB6C13" w:rsidRDefault="005B4D53">
      <w:pPr>
        <w:spacing w:line="360" w:lineRule="auto"/>
        <w:jc w:val="both"/>
        <w:rPr>
          <w:rFonts w:ascii="Palatino Linotype" w:eastAsia="Palatino Linotype" w:hAnsi="Palatino Linotype" w:cs="Palatino Linotype"/>
        </w:rPr>
      </w:pPr>
    </w:p>
    <w:p w14:paraId="16CF6EE4" w14:textId="77777777" w:rsidR="005B4D53" w:rsidRPr="00BB6C13" w:rsidRDefault="00415904">
      <w:pPr>
        <w:spacing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 xml:space="preserve">Ahora bien, es conveniente precisar que la Ley en cita, en su artículo 2 en su fracción XI define al informe trimestral, como: </w:t>
      </w:r>
    </w:p>
    <w:p w14:paraId="2EDDCF49" w14:textId="77777777" w:rsidR="005B4D53" w:rsidRPr="00BB6C13" w:rsidRDefault="005B4D53">
      <w:pPr>
        <w:jc w:val="both"/>
        <w:rPr>
          <w:rFonts w:ascii="Palatino Linotype" w:eastAsia="Palatino Linotype" w:hAnsi="Palatino Linotype" w:cs="Palatino Linotype"/>
        </w:rPr>
      </w:pPr>
    </w:p>
    <w:p w14:paraId="0E65EEAD" w14:textId="77777777" w:rsidR="005B4D53" w:rsidRPr="00BB6C13" w:rsidRDefault="00415904">
      <w:pPr>
        <w:ind w:left="851" w:right="899"/>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“Artículo 2. Para los efectos de la presente Ley, se entenderá por:</w:t>
      </w:r>
    </w:p>
    <w:p w14:paraId="77821D70" w14:textId="77777777" w:rsidR="005B4D53" w:rsidRPr="00BB6C13" w:rsidRDefault="00415904">
      <w:pPr>
        <w:ind w:left="851" w:right="899"/>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w:t>
      </w:r>
    </w:p>
    <w:p w14:paraId="55B0538A" w14:textId="77777777" w:rsidR="005B4D53" w:rsidRPr="00BB6C13" w:rsidRDefault="00415904">
      <w:pPr>
        <w:ind w:left="851" w:right="899"/>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b/>
          <w:i/>
          <w:sz w:val="22"/>
          <w:szCs w:val="22"/>
          <w:u w:val="single"/>
        </w:rPr>
        <w:t>XI. Informe Trimestral: Al documento físico y/o electrónico que trimestralmente presentan las entidades fiscalizables sobre la situación económica, las finanzas públicas, y en su caso deuda pública para su análisis al Órgano Superior, a través de las tesorerías municipales</w:t>
      </w:r>
      <w:r w:rsidRPr="00BB6C13">
        <w:rPr>
          <w:rFonts w:ascii="Palatino Linotype" w:eastAsia="Palatino Linotype" w:hAnsi="Palatino Linotype" w:cs="Palatino Linotype"/>
          <w:i/>
          <w:sz w:val="22"/>
          <w:szCs w:val="22"/>
        </w:rPr>
        <w:t xml:space="preserve"> y la Secretaría de Finanzas y, en su caso, las áreas competentes;” (Sic)</w:t>
      </w:r>
    </w:p>
    <w:p w14:paraId="6881A6BA" w14:textId="77777777" w:rsidR="005B4D53" w:rsidRPr="00BB6C13" w:rsidRDefault="00415904">
      <w:pPr>
        <w:spacing w:before="280" w:after="280"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 xml:space="preserve">Asimismo, el artículo 32 de la legislación en referencia mandata a los entes fiscalizables la entrega de los informes trimestrales dentro de los veinte días hábiles posteriores al término del trimestre correspondiente, además en términos del segundo párrafo del artículo 48, los informes trimestrales deberán firmarse por el </w:t>
      </w:r>
      <w:proofErr w:type="gramStart"/>
      <w:r w:rsidRPr="00BB6C13">
        <w:rPr>
          <w:rFonts w:ascii="Palatino Linotype" w:eastAsia="Palatino Linotype" w:hAnsi="Palatino Linotype" w:cs="Palatino Linotype"/>
        </w:rPr>
        <w:t>Presidente</w:t>
      </w:r>
      <w:proofErr w:type="gramEnd"/>
      <w:r w:rsidRPr="00BB6C13">
        <w:rPr>
          <w:rFonts w:ascii="Palatino Linotype" w:eastAsia="Palatino Linotype" w:hAnsi="Palatino Linotype" w:cs="Palatino Linotype"/>
        </w:rPr>
        <w:t xml:space="preserve"> Municipal, el Tesorero y el Secretario del Ayuntamiento. </w:t>
      </w:r>
    </w:p>
    <w:p w14:paraId="50E6265B" w14:textId="77777777" w:rsidR="005B4D53" w:rsidRPr="00BB6C13" w:rsidRDefault="00415904">
      <w:pPr>
        <w:spacing w:before="280" w:after="280"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 xml:space="preserve">Ahora bien, en observancia a lo dispuesto por los Lineamientos para la integración y entrega del Informe Trimestral Municipal 2022, el informe trimestral contendrá entre otros documentos la </w:t>
      </w:r>
      <w:r w:rsidRPr="00BB6C13">
        <w:rPr>
          <w:rFonts w:ascii="Palatino Linotype" w:eastAsia="Palatino Linotype" w:hAnsi="Palatino Linotype" w:cs="Palatino Linotype"/>
          <w:b/>
        </w:rPr>
        <w:t>balanza de comprobación detallada</w:t>
      </w:r>
      <w:r w:rsidRPr="00BB6C13">
        <w:rPr>
          <w:rFonts w:ascii="Palatino Linotype" w:eastAsia="Palatino Linotype" w:hAnsi="Palatino Linotype" w:cs="Palatino Linotype"/>
        </w:rPr>
        <w:t>, la cual forma parte del módulo 1, correspondiente a la información contable y financiera, la cual si bien se hace entrega de manera trimestral al Órgano Superior de Fiscalización del Estado de México, su integración por parte del Sujeto Obligado</w:t>
      </w:r>
      <w:r w:rsidRPr="00BB6C13">
        <w:rPr>
          <w:rFonts w:ascii="Palatino Linotype" w:eastAsia="Palatino Linotype" w:hAnsi="Palatino Linotype" w:cs="Palatino Linotype"/>
          <w:b/>
        </w:rPr>
        <w:t xml:space="preserve"> </w:t>
      </w:r>
      <w:r w:rsidRPr="00BB6C13">
        <w:rPr>
          <w:rFonts w:ascii="Palatino Linotype" w:eastAsia="Palatino Linotype" w:hAnsi="Palatino Linotype" w:cs="Palatino Linotype"/>
        </w:rPr>
        <w:t>es de manera mensual; para mayor referencia se insertan la siguiente imagen:</w:t>
      </w:r>
    </w:p>
    <w:p w14:paraId="285A4368" w14:textId="77777777" w:rsidR="005B4D53" w:rsidRPr="00BB6C13" w:rsidRDefault="005B4D53">
      <w:pPr>
        <w:spacing w:line="360" w:lineRule="auto"/>
        <w:jc w:val="both"/>
        <w:rPr>
          <w:rFonts w:ascii="Palatino Linotype" w:eastAsia="Palatino Linotype" w:hAnsi="Palatino Linotype" w:cs="Palatino Linotype"/>
        </w:rPr>
      </w:pPr>
    </w:p>
    <w:p w14:paraId="29D8B829" w14:textId="77777777" w:rsidR="005B4D53" w:rsidRPr="00BB6C13" w:rsidRDefault="00415904">
      <w:pPr>
        <w:spacing w:line="360" w:lineRule="auto"/>
        <w:jc w:val="both"/>
        <w:rPr>
          <w:rFonts w:ascii="Palatino Linotype" w:eastAsia="Palatino Linotype" w:hAnsi="Palatino Linotype" w:cs="Palatino Linotype"/>
        </w:rPr>
      </w:pPr>
      <w:r w:rsidRPr="00BB6C13">
        <w:rPr>
          <w:noProof/>
          <w:lang w:val="es-MX"/>
        </w:rPr>
        <w:drawing>
          <wp:inline distT="0" distB="0" distL="0" distR="0" wp14:anchorId="36356117" wp14:editId="38DA914A">
            <wp:extent cx="5433638" cy="3893424"/>
            <wp:effectExtent l="0" t="0" r="0" b="0"/>
            <wp:docPr id="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l="46391" t="19922" r="3710" b="3401"/>
                    <a:stretch>
                      <a:fillRect/>
                    </a:stretch>
                  </pic:blipFill>
                  <pic:spPr>
                    <a:xfrm>
                      <a:off x="0" y="0"/>
                      <a:ext cx="5433638" cy="3893424"/>
                    </a:xfrm>
                    <a:prstGeom prst="rect">
                      <a:avLst/>
                    </a:prstGeom>
                    <a:ln/>
                  </pic:spPr>
                </pic:pic>
              </a:graphicData>
            </a:graphic>
          </wp:inline>
        </w:drawing>
      </w:r>
      <w:r w:rsidRPr="00BB6C13">
        <w:rPr>
          <w:noProof/>
          <w:lang w:val="es-MX"/>
        </w:rPr>
        <mc:AlternateContent>
          <mc:Choice Requires="wps">
            <w:drawing>
              <wp:anchor distT="0" distB="0" distL="114300" distR="114300" simplePos="0" relativeHeight="251659264" behindDoc="0" locked="0" layoutInCell="1" hidden="0" allowOverlap="1" wp14:anchorId="340486DF" wp14:editId="2CB6DB53">
                <wp:simplePos x="0" y="0"/>
                <wp:positionH relativeFrom="column">
                  <wp:posOffset>-12699</wp:posOffset>
                </wp:positionH>
                <wp:positionV relativeFrom="paragraph">
                  <wp:posOffset>2374900</wp:posOffset>
                </wp:positionV>
                <wp:extent cx="666750" cy="698500"/>
                <wp:effectExtent l="0" t="0" r="0" b="0"/>
                <wp:wrapNone/>
                <wp:docPr id="42" name="Flecha izquierda 42"/>
                <wp:cNvGraphicFramePr/>
                <a:graphic xmlns:a="http://schemas.openxmlformats.org/drawingml/2006/main">
                  <a:graphicData uri="http://schemas.microsoft.com/office/word/2010/wordprocessingShape">
                    <wps:wsp>
                      <wps:cNvSpPr/>
                      <wps:spPr>
                        <a:xfrm rot="10800000">
                          <a:off x="5025325" y="3443450"/>
                          <a:ext cx="641350" cy="673100"/>
                        </a:xfrm>
                        <a:prstGeom prst="leftArrow">
                          <a:avLst>
                            <a:gd name="adj1" fmla="val 50000"/>
                            <a:gd name="adj2" fmla="val 50000"/>
                          </a:avLst>
                        </a:prstGeom>
                        <a:solidFill>
                          <a:schemeClr val="accent1"/>
                        </a:solidFill>
                        <a:ln w="25400" cap="flat" cmpd="sng">
                          <a:solidFill>
                            <a:srgbClr val="395E89"/>
                          </a:solidFill>
                          <a:prstDash val="solid"/>
                          <a:round/>
                          <a:headEnd type="none" w="sm" len="sm"/>
                          <a:tailEnd type="none" w="sm" len="sm"/>
                        </a:ln>
                      </wps:spPr>
                      <wps:txbx>
                        <w:txbxContent>
                          <w:p w14:paraId="0ABC0F51" w14:textId="77777777" w:rsidR="005B4D53" w:rsidRDefault="005B4D53">
                            <w:pPr>
                              <w:textDirection w:val="btLr"/>
                            </w:pPr>
                          </w:p>
                        </w:txbxContent>
                      </wps:txbx>
                      <wps:bodyPr spcFirstLastPara="1" wrap="square" lIns="91425" tIns="91425" rIns="91425" bIns="91425" anchor="ctr" anchorCtr="0">
                        <a:noAutofit/>
                      </wps:bodyPr>
                    </wps:wsp>
                  </a:graphicData>
                </a:graphic>
              </wp:anchor>
            </w:drawing>
          </mc:Choice>
          <mc:Fallback>
            <w:pict>
              <v:shapetype w14:anchorId="340486D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42" o:spid="_x0000_s1027" type="#_x0000_t66" style="position:absolute;left:0;text-align:left;margin-left:-1pt;margin-top:187pt;width:52.5pt;height:55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" adj="10800" fillcolor="#4f81bd [3204]" strokecolor="#395e89" strokeweight="2pt">
                <v:stroke startarrowwidth="narrow" startarrowlength="short" endarrowwidth="narrow" endarrowlength="short" joinstyle="round"/>
                <v:textbox inset="2.53958mm,2.53958mm,2.53958mm,2.53958mm">
                  <w:txbxContent>
                    <w:p w14:paraId="0ABC0F51" w14:textId="77777777" w:rsidR="005B4D53" w:rsidRDefault="005B4D53">
                      <w:pPr>
                        <w:textDirection w:val="btLr"/>
                      </w:pPr>
                    </w:p>
                  </w:txbxContent>
                </v:textbox>
              </v:shape>
            </w:pict>
          </mc:Fallback>
        </mc:AlternateContent>
      </w:r>
    </w:p>
    <w:p w14:paraId="7A1DCC64" w14:textId="77777777" w:rsidR="005B4D53" w:rsidRPr="00BB6C13" w:rsidRDefault="00415904">
      <w:pPr>
        <w:spacing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 xml:space="preserve">Aunado a lo anterior, es importante referir que la </w:t>
      </w:r>
      <w:r w:rsidRPr="00BB6C13">
        <w:rPr>
          <w:rFonts w:ascii="Palatino Linotype" w:eastAsia="Palatino Linotype" w:hAnsi="Palatino Linotype" w:cs="Palatino Linotype"/>
          <w:b/>
        </w:rPr>
        <w:t xml:space="preserve">balanza de comprobación detallada </w:t>
      </w:r>
      <w:r w:rsidRPr="00BB6C13">
        <w:rPr>
          <w:rFonts w:ascii="Palatino Linotype" w:eastAsia="Palatino Linotype" w:hAnsi="Palatino Linotype" w:cs="Palatino Linotype"/>
        </w:rPr>
        <w:t xml:space="preserve">es parte también de la Cuenta Pública la cual conforme al artículo 352 del Código Financiero del Estado de México, se encuentra integrada de la siguiente manera: </w:t>
      </w:r>
    </w:p>
    <w:p w14:paraId="64370DD0" w14:textId="77777777" w:rsidR="005B4D53" w:rsidRPr="00BB6C13" w:rsidRDefault="005B4D53">
      <w:pPr>
        <w:spacing w:line="360" w:lineRule="auto"/>
        <w:jc w:val="both"/>
        <w:rPr>
          <w:rFonts w:ascii="Palatino Linotype" w:eastAsia="Palatino Linotype" w:hAnsi="Palatino Linotype" w:cs="Palatino Linotype"/>
        </w:rPr>
      </w:pPr>
    </w:p>
    <w:p w14:paraId="2F19DD93" w14:textId="77777777" w:rsidR="005B4D53" w:rsidRPr="00BB6C13" w:rsidRDefault="00415904">
      <w:pPr>
        <w:ind w:left="851" w:right="899"/>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w:t>
      </w:r>
      <w:r w:rsidRPr="00BB6C13">
        <w:rPr>
          <w:rFonts w:ascii="Palatino Linotype" w:eastAsia="Palatino Linotype" w:hAnsi="Palatino Linotype" w:cs="Palatino Linotype"/>
          <w:b/>
          <w:i/>
          <w:sz w:val="22"/>
          <w:szCs w:val="22"/>
        </w:rPr>
        <w:t>Artículo 352.-</w:t>
      </w:r>
      <w:r w:rsidRPr="00BB6C13">
        <w:rPr>
          <w:rFonts w:ascii="Palatino Linotype" w:eastAsia="Palatino Linotype" w:hAnsi="Palatino Linotype" w:cs="Palatino Linotype"/>
          <w:i/>
          <w:sz w:val="22"/>
          <w:szCs w:val="22"/>
        </w:rPr>
        <w:t xml:space="preserve"> La cuenta pública se constituye por la información económica, patrimonial, presupuestal, programática, cualitativa y cuantitativa que muestre los resultados de la ejecución de la Ley de Ingresos y del Presupuesto de Egresos. </w:t>
      </w:r>
    </w:p>
    <w:p w14:paraId="0E56114B" w14:textId="77777777" w:rsidR="005B4D53" w:rsidRPr="00BB6C13" w:rsidRDefault="00415904">
      <w:pPr>
        <w:ind w:left="851" w:right="899"/>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 xml:space="preserve">La Secretaría y las Tesorerías, proporcionarán la información complementaria requerida por los Órganos de Fiscalización locales y federales, según corresponda, para el análisis y evaluación de la cuenta pública correspondiente. </w:t>
      </w:r>
    </w:p>
    <w:p w14:paraId="16E22943" w14:textId="77777777" w:rsidR="005B4D53" w:rsidRPr="00BB6C13" w:rsidRDefault="00415904">
      <w:pPr>
        <w:ind w:left="851" w:right="899"/>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 xml:space="preserve">El formato de entrega de las Cuentas Públicas del Estado y de los Municipios, deberá ser congruente, contener el mismo nivel de desglose y mantener la debida correlación con respecto a los formatos del Presupuesto de Egresos del Estado y de los Municipios respectivamente, para lograr una mejor claridad, comprensión </w:t>
      </w:r>
      <w:r w:rsidRPr="00BB6C13">
        <w:rPr>
          <w:rFonts w:ascii="Palatino Linotype" w:eastAsia="Palatino Linotype" w:hAnsi="Palatino Linotype" w:cs="Palatino Linotype"/>
          <w:i/>
          <w:sz w:val="22"/>
          <w:szCs w:val="22"/>
        </w:rPr>
        <w:lastRenderedPageBreak/>
        <w:t>y transparencia en la revisión y fiscalización por parte del Órgano Superior de Fiscalización del Estado de México</w:t>
      </w:r>
      <w:proofErr w:type="gramStart"/>
      <w:r w:rsidRPr="00BB6C13">
        <w:rPr>
          <w:rFonts w:ascii="Palatino Linotype" w:eastAsia="Palatino Linotype" w:hAnsi="Palatino Linotype" w:cs="Palatino Linotype"/>
          <w:i/>
          <w:sz w:val="22"/>
          <w:szCs w:val="22"/>
        </w:rPr>
        <w:t>.”(</w:t>
      </w:r>
      <w:proofErr w:type="gramEnd"/>
      <w:r w:rsidRPr="00BB6C13">
        <w:rPr>
          <w:rFonts w:ascii="Palatino Linotype" w:eastAsia="Palatino Linotype" w:hAnsi="Palatino Linotype" w:cs="Palatino Linotype"/>
          <w:i/>
          <w:sz w:val="22"/>
          <w:szCs w:val="22"/>
        </w:rPr>
        <w:t>Sic)</w:t>
      </w:r>
    </w:p>
    <w:p w14:paraId="7D55BFF6" w14:textId="77777777" w:rsidR="005B4D53" w:rsidRPr="00BB6C13" w:rsidRDefault="00415904">
      <w:pPr>
        <w:spacing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Por su parte, la Ley de Fiscalización Superior del Estado de México en su artículo 32, párrafos segundo y tercero señala:</w:t>
      </w:r>
    </w:p>
    <w:p w14:paraId="5DB22B4A" w14:textId="77777777" w:rsidR="005B4D53" w:rsidRPr="00BB6C13" w:rsidRDefault="005B4D53">
      <w:pPr>
        <w:ind w:left="851" w:right="850"/>
        <w:jc w:val="both"/>
        <w:rPr>
          <w:rFonts w:ascii="Palatino Linotype" w:eastAsia="Palatino Linotype" w:hAnsi="Palatino Linotype" w:cs="Palatino Linotype"/>
          <w:i/>
          <w:sz w:val="22"/>
          <w:szCs w:val="22"/>
        </w:rPr>
      </w:pPr>
    </w:p>
    <w:p w14:paraId="17339784" w14:textId="77777777" w:rsidR="005B4D53" w:rsidRPr="00BB6C13" w:rsidRDefault="00415904">
      <w:pPr>
        <w:ind w:left="851" w:right="850"/>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 xml:space="preserve">“…Los </w:t>
      </w:r>
      <w:proofErr w:type="gramStart"/>
      <w:r w:rsidRPr="00BB6C13">
        <w:rPr>
          <w:rFonts w:ascii="Palatino Linotype" w:eastAsia="Palatino Linotype" w:hAnsi="Palatino Linotype" w:cs="Palatino Linotype"/>
          <w:i/>
          <w:sz w:val="22"/>
          <w:szCs w:val="22"/>
        </w:rPr>
        <w:t>Presidentes</w:t>
      </w:r>
      <w:proofErr w:type="gramEnd"/>
      <w:r w:rsidRPr="00BB6C13">
        <w:rPr>
          <w:rFonts w:ascii="Palatino Linotype" w:eastAsia="Palatino Linotype" w:hAnsi="Palatino Linotype" w:cs="Palatino Linotype"/>
          <w:i/>
          <w:sz w:val="22"/>
          <w:szCs w:val="22"/>
        </w:rPr>
        <w:t xml:space="preserve"> Municipales presentarán a la Legislatura las cuentas públicas anuales de sus respectivos municipios, del ejercicio fiscal inmediato anterior, dentro de los quince primeros días del mes de marzo de cada año; asimismo…" (Sic)</w:t>
      </w:r>
    </w:p>
    <w:p w14:paraId="3148706E" w14:textId="77777777" w:rsidR="005B4D53" w:rsidRPr="00BB6C13" w:rsidRDefault="00415904">
      <w:pPr>
        <w:ind w:left="851" w:right="850"/>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 xml:space="preserve">Las cuentas públicas deberán presentarse conforme a lo establecido en la Ley General de Contabilidad Gubernamental, Ley de Disciplina Financiera </w:t>
      </w:r>
      <w:proofErr w:type="gramStart"/>
      <w:r w:rsidRPr="00BB6C13">
        <w:rPr>
          <w:rFonts w:ascii="Palatino Linotype" w:eastAsia="Palatino Linotype" w:hAnsi="Palatino Linotype" w:cs="Palatino Linotype"/>
          <w:i/>
          <w:sz w:val="22"/>
          <w:szCs w:val="22"/>
        </w:rPr>
        <w:t>delas</w:t>
      </w:r>
      <w:proofErr w:type="gramEnd"/>
      <w:r w:rsidRPr="00BB6C13">
        <w:rPr>
          <w:rFonts w:ascii="Palatino Linotype" w:eastAsia="Palatino Linotype" w:hAnsi="Palatino Linotype" w:cs="Palatino Linotype"/>
          <w:i/>
          <w:sz w:val="22"/>
          <w:szCs w:val="22"/>
        </w:rPr>
        <w:t xml:space="preserve"> Entidades Federativas y los Municipios y demás disposiciones aplicables…” (Sic)</w:t>
      </w:r>
    </w:p>
    <w:p w14:paraId="430DFEC2" w14:textId="77777777" w:rsidR="005B4D53" w:rsidRPr="00BB6C13" w:rsidRDefault="005B4D53">
      <w:pPr>
        <w:spacing w:line="360" w:lineRule="auto"/>
        <w:jc w:val="both"/>
        <w:rPr>
          <w:rFonts w:ascii="Palatino Linotype" w:eastAsia="Palatino Linotype" w:hAnsi="Palatino Linotype" w:cs="Palatino Linotype"/>
        </w:rPr>
      </w:pPr>
    </w:p>
    <w:p w14:paraId="0AF3274E" w14:textId="77777777" w:rsidR="005B4D53" w:rsidRPr="00BB6C13" w:rsidRDefault="00415904">
      <w:pPr>
        <w:spacing w:before="240" w:after="240"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Lo que se robustece con el concepto emitido por el Servicio de Administración Tributaria de la Secretaría de Hacienda y Crédito Público del Gobierno Federal, en su página oficial, así como para que sirve, como se observa en la siguiente imagen:</w:t>
      </w:r>
    </w:p>
    <w:p w14:paraId="2D37921C" w14:textId="77777777" w:rsidR="005B4D53" w:rsidRPr="00BB6C13" w:rsidRDefault="005B4D53">
      <w:pPr>
        <w:spacing w:before="240" w:after="240" w:line="360" w:lineRule="auto"/>
        <w:jc w:val="both"/>
        <w:rPr>
          <w:rFonts w:ascii="Palatino Linotype" w:eastAsia="Palatino Linotype" w:hAnsi="Palatino Linotype" w:cs="Palatino Linotype"/>
        </w:rPr>
      </w:pPr>
    </w:p>
    <w:p w14:paraId="47ED0D8B" w14:textId="77777777" w:rsidR="005B4D53" w:rsidRPr="00BB6C13" w:rsidRDefault="00415904">
      <w:pPr>
        <w:spacing w:before="240" w:after="240" w:line="360" w:lineRule="auto"/>
        <w:jc w:val="both"/>
        <w:rPr>
          <w:rFonts w:ascii="Palatino Linotype" w:eastAsia="Palatino Linotype" w:hAnsi="Palatino Linotype" w:cs="Palatino Linotype"/>
        </w:rPr>
      </w:pPr>
      <w:r w:rsidRPr="00BB6C13">
        <w:rPr>
          <w:noProof/>
          <w:lang w:val="es-MX"/>
        </w:rPr>
        <w:lastRenderedPageBreak/>
        <w:drawing>
          <wp:inline distT="0" distB="0" distL="0" distR="0" wp14:anchorId="7E08CF79" wp14:editId="330C4A5F">
            <wp:extent cx="5530850" cy="3803650"/>
            <wp:effectExtent l="0" t="0" r="0" b="0"/>
            <wp:docPr id="5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l="18319" t="7282" r="17965" b="22733"/>
                    <a:stretch>
                      <a:fillRect/>
                    </a:stretch>
                  </pic:blipFill>
                  <pic:spPr>
                    <a:xfrm>
                      <a:off x="0" y="0"/>
                      <a:ext cx="5530850" cy="3803650"/>
                    </a:xfrm>
                    <a:prstGeom prst="rect">
                      <a:avLst/>
                    </a:prstGeom>
                    <a:ln/>
                  </pic:spPr>
                </pic:pic>
              </a:graphicData>
            </a:graphic>
          </wp:inline>
        </w:drawing>
      </w:r>
      <w:r w:rsidRPr="00BB6C13">
        <w:rPr>
          <w:noProof/>
          <w:lang w:val="es-MX"/>
        </w:rPr>
        <mc:AlternateContent>
          <mc:Choice Requires="wps">
            <w:drawing>
              <wp:anchor distT="0" distB="0" distL="114300" distR="114300" simplePos="0" relativeHeight="251660288" behindDoc="0" locked="0" layoutInCell="1" hidden="0" allowOverlap="1" wp14:anchorId="798DEA43" wp14:editId="5460FEAE">
                <wp:simplePos x="0" y="0"/>
                <wp:positionH relativeFrom="column">
                  <wp:posOffset>520700</wp:posOffset>
                </wp:positionH>
                <wp:positionV relativeFrom="paragraph">
                  <wp:posOffset>3517900</wp:posOffset>
                </wp:positionV>
                <wp:extent cx="4505325" cy="269875"/>
                <wp:effectExtent l="0" t="0" r="0" b="0"/>
                <wp:wrapNone/>
                <wp:docPr id="43" name="Rectángulo 43"/>
                <wp:cNvGraphicFramePr/>
                <a:graphic xmlns:a="http://schemas.openxmlformats.org/drawingml/2006/main">
                  <a:graphicData uri="http://schemas.microsoft.com/office/word/2010/wordprocessingShape">
                    <wps:wsp>
                      <wps:cNvSpPr/>
                      <wps:spPr>
                        <a:xfrm>
                          <a:off x="3107625" y="3659350"/>
                          <a:ext cx="4476750" cy="241300"/>
                        </a:xfrm>
                        <a:prstGeom prst="rect">
                          <a:avLst/>
                        </a:prstGeom>
                        <a:noFill/>
                        <a:ln w="28575" cap="flat" cmpd="sng">
                          <a:solidFill>
                            <a:srgbClr val="395E89"/>
                          </a:solidFill>
                          <a:prstDash val="solid"/>
                          <a:round/>
                          <a:headEnd type="none" w="sm" len="sm"/>
                          <a:tailEnd type="none" w="sm" len="sm"/>
                        </a:ln>
                      </wps:spPr>
                      <wps:txbx>
                        <w:txbxContent>
                          <w:p w14:paraId="1763A3B9" w14:textId="77777777" w:rsidR="005B4D53" w:rsidRDefault="005B4D53">
                            <w:pPr>
                              <w:textDirection w:val="btLr"/>
                            </w:pPr>
                          </w:p>
                        </w:txbxContent>
                      </wps:txbx>
                      <wps:bodyPr spcFirstLastPara="1" wrap="square" lIns="91425" tIns="91425" rIns="91425" bIns="91425" anchor="ctr" anchorCtr="0">
                        <a:noAutofit/>
                      </wps:bodyPr>
                    </wps:wsp>
                  </a:graphicData>
                </a:graphic>
              </wp:anchor>
            </w:drawing>
          </mc:Choice>
          <mc:Fallback>
            <w:pict>
              <v:rect w14:anchorId="798DEA43" id="Rectángulo 43" o:spid="_x0000_s1028" style="position:absolute;left:0;text-align:left;margin-left:41pt;margin-top:277pt;width:354.75pt;height:2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" filled="f" strokecolor="#395e89" strokeweight="2.25pt">
                <v:stroke startarrowwidth="narrow" startarrowlength="short" endarrowwidth="narrow" endarrowlength="short" joinstyle="round"/>
                <v:textbox inset="2.53958mm,2.53958mm,2.53958mm,2.53958mm">
                  <w:txbxContent>
                    <w:p w14:paraId="1763A3B9" w14:textId="77777777" w:rsidR="005B4D53" w:rsidRDefault="005B4D53">
                      <w:pPr>
                        <w:textDirection w:val="btLr"/>
                      </w:pPr>
                    </w:p>
                  </w:txbxContent>
                </v:textbox>
              </v:rect>
            </w:pict>
          </mc:Fallback>
        </mc:AlternateContent>
      </w:r>
    </w:p>
    <w:p w14:paraId="6C2D7160" w14:textId="77777777" w:rsidR="005B4D53" w:rsidRPr="00BB6C13" w:rsidRDefault="00415904">
      <w:pPr>
        <w:spacing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Asimismo, la balanza de comprobación detalla, en términos de lo señalado en párrafos anteriores y de los lineamientos alusivos, es información que se debe general trimestralmente, luego entonces en atención a la fecha de la solicitud que fue el pasado siete de noviembre del año 2022, ya se debió haber generado por parte del Ayuntamiento de Toluca la balanza de comprobación detallada al mes de septiembre del año 2022; es decir, del tercer trimestre del año 2022.</w:t>
      </w:r>
    </w:p>
    <w:p w14:paraId="26634E96" w14:textId="77777777" w:rsidR="005B4D53" w:rsidRPr="00BB6C13" w:rsidRDefault="00415904">
      <w:pPr>
        <w:spacing w:line="360" w:lineRule="auto"/>
        <w:jc w:val="both"/>
        <w:rPr>
          <w:rFonts w:ascii="Palatino Linotype" w:eastAsia="Palatino Linotype" w:hAnsi="Palatino Linotype" w:cs="Palatino Linotype"/>
        </w:rPr>
      </w:pPr>
      <w:r w:rsidRPr="00BB6C13">
        <w:rPr>
          <w:noProof/>
          <w:lang w:val="es-MX"/>
        </w:rPr>
        <mc:AlternateContent>
          <mc:Choice Requires="wps">
            <w:drawing>
              <wp:anchor distT="0" distB="0" distL="114300" distR="114300" simplePos="0" relativeHeight="251661312" behindDoc="0" locked="0" layoutInCell="1" hidden="0" allowOverlap="1" wp14:anchorId="28173A3F" wp14:editId="1E223EFB">
                <wp:simplePos x="0" y="0"/>
                <wp:positionH relativeFrom="column">
                  <wp:posOffset>1244600</wp:posOffset>
                </wp:positionH>
                <wp:positionV relativeFrom="paragraph">
                  <wp:posOffset>5295900</wp:posOffset>
                </wp:positionV>
                <wp:extent cx="3936341" cy="278741"/>
                <wp:effectExtent l="0" t="0" r="0" b="0"/>
                <wp:wrapNone/>
                <wp:docPr id="41" name="Rectángulo redondeado 41"/>
                <wp:cNvGraphicFramePr/>
                <a:graphic xmlns:a="http://schemas.openxmlformats.org/drawingml/2006/main">
                  <a:graphicData uri="http://schemas.microsoft.com/office/word/2010/wordprocessingShape">
                    <wps:wsp>
                      <wps:cNvSpPr/>
                      <wps:spPr>
                        <a:xfrm>
                          <a:off x="3392117" y="3654917"/>
                          <a:ext cx="3907766" cy="250166"/>
                        </a:xfrm>
                        <a:prstGeom prst="roundRect">
                          <a:avLst>
                            <a:gd name="adj" fmla="val 16667"/>
                          </a:avLst>
                        </a:prstGeom>
                        <a:noFill/>
                        <a:ln w="28575" cap="flat" cmpd="sng">
                          <a:solidFill>
                            <a:srgbClr val="FF0000"/>
                          </a:solidFill>
                          <a:prstDash val="solid"/>
                          <a:round/>
                          <a:headEnd type="none" w="sm" len="sm"/>
                          <a:tailEnd type="none" w="sm" len="sm"/>
                        </a:ln>
                        <a:effectLst>
                          <a:outerShdw blurRad="40000" dist="23000" dir="5400000" rotWithShape="0">
                            <a:srgbClr val="000000">
                              <a:alpha val="34901"/>
                            </a:srgbClr>
                          </a:outerShdw>
                        </a:effectLst>
                      </wps:spPr>
                      <wps:txbx>
                        <w:txbxContent>
                          <w:p w14:paraId="05A65D43" w14:textId="77777777" w:rsidR="005B4D53" w:rsidRDefault="005B4D53">
                            <w:pPr>
                              <w:textDirection w:val="btLr"/>
                            </w:pPr>
                          </w:p>
                        </w:txbxContent>
                      </wps:txbx>
                      <wps:bodyPr spcFirstLastPara="1" wrap="square" lIns="91425" tIns="91425" rIns="91425" bIns="91425" anchor="ctr" anchorCtr="0">
                        <a:noAutofit/>
                      </wps:bodyPr>
                    </wps:wsp>
                  </a:graphicData>
                </a:graphic>
              </wp:anchor>
            </w:drawing>
          </mc:Choice>
          <mc:Fallback>
            <w:pict>
              <v:roundrect w14:anchorId="28173A3F" id="Rectángulo redondeado 41" o:spid="_x0000_s1029" style="position:absolute;left:0;text-align:left;margin-left:98pt;margin-top:417pt;width:309.95pt;height:21.9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" filled="f" strokecolor="red" strokeweight="2.25pt">
                <v:stroke startarrowwidth="narrow" startarrowlength="short" endarrowwidth="narrow" endarrowlength="short"/>
                <v:shadow on="t" color="black" opacity="22872f" origin=",.5" offset="0,.63889mm"/>
                <v:textbox inset="2.53958mm,2.53958mm,2.53958mm,2.53958mm">
                  <w:txbxContent>
                    <w:p w14:paraId="05A65D43" w14:textId="77777777" w:rsidR="005B4D53" w:rsidRDefault="005B4D53">
                      <w:pPr>
                        <w:textDirection w:val="btLr"/>
                      </w:pPr>
                    </w:p>
                  </w:txbxContent>
                </v:textbox>
              </v:roundrect>
            </w:pict>
          </mc:Fallback>
        </mc:AlternateContent>
      </w:r>
    </w:p>
    <w:p w14:paraId="4ACA9ABF" w14:textId="77777777" w:rsidR="005B4D53" w:rsidRPr="00BB6C13" w:rsidRDefault="00415904">
      <w:pPr>
        <w:spacing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 xml:space="preserve">Derivado de lo anterior, se puede advertir que existe fuente obligacional que constriñe al </w:t>
      </w:r>
      <w:r w:rsidRPr="00BB6C13">
        <w:rPr>
          <w:rFonts w:ascii="Palatino Linotype" w:eastAsia="Palatino Linotype" w:hAnsi="Palatino Linotype" w:cs="Palatino Linotype"/>
          <w:b/>
        </w:rPr>
        <w:t xml:space="preserve">SUJETO OBLIGADO </w:t>
      </w:r>
      <w:r w:rsidRPr="00BB6C13">
        <w:rPr>
          <w:rFonts w:ascii="Palatino Linotype" w:eastAsia="Palatino Linotype" w:hAnsi="Palatino Linotype" w:cs="Palatino Linotype"/>
        </w:rPr>
        <w:t xml:space="preserve">a generar la información requerida por el particular; pues como ya se mencionó la balanza de comprobación detallada es el documento idóneo que de manera enunciativa más no limitativa pudiera colmar el requerimiento del particular; pues éste es entregado de manera trimestral al Órgano </w:t>
      </w:r>
      <w:r w:rsidRPr="00BB6C13">
        <w:rPr>
          <w:rFonts w:ascii="Palatino Linotype" w:eastAsia="Palatino Linotype" w:hAnsi="Palatino Linotype" w:cs="Palatino Linotype"/>
        </w:rPr>
        <w:lastRenderedPageBreak/>
        <w:t xml:space="preserve">Superior de Fiscalización del Estado de México, mismo que debe ser elaborado de manera mensual y que también es parte para la integración de la cuenta pública. </w:t>
      </w:r>
    </w:p>
    <w:p w14:paraId="599F6B73" w14:textId="77777777" w:rsidR="005B4D53" w:rsidRPr="00BB6C13" w:rsidRDefault="005B4D53">
      <w:pPr>
        <w:spacing w:line="360" w:lineRule="auto"/>
        <w:jc w:val="both"/>
        <w:rPr>
          <w:rFonts w:ascii="Palatino Linotype" w:eastAsia="Palatino Linotype" w:hAnsi="Palatino Linotype" w:cs="Palatino Linotype"/>
        </w:rPr>
      </w:pPr>
    </w:p>
    <w:p w14:paraId="53EA015A" w14:textId="77777777" w:rsidR="005B4D53" w:rsidRPr="00BB6C13" w:rsidRDefault="00415904">
      <w:pPr>
        <w:spacing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 xml:space="preserve">En consecuencia, este Organismo Garante determina ordenar de ser procedente en versión pública el o los documentos donde conste </w:t>
      </w:r>
      <w:r w:rsidRPr="00BB6C13">
        <w:rPr>
          <w:rFonts w:ascii="Palatino Linotype" w:eastAsia="Palatino Linotype" w:hAnsi="Palatino Linotype" w:cs="Palatino Linotype"/>
          <w:color w:val="000000"/>
        </w:rPr>
        <w:t>el monto que se le adeuda a los proveedores al siete de noviembre del año dos mil veintidós</w:t>
      </w:r>
      <w:r w:rsidRPr="00BB6C13">
        <w:rPr>
          <w:rFonts w:ascii="Palatino Linotype" w:eastAsia="Palatino Linotype" w:hAnsi="Palatino Linotype" w:cs="Palatino Linotype"/>
        </w:rPr>
        <w:t>, fecha en que fue presentada la solicitud por el hoy Recurrente, debiendo acompañar el acuerdo de clasificación de la información a través del cual se apruebe la versión pública de los documentos en cuestión, debidamente fundado y motivado, precisando los motivos o razones por los cuales llevaron a suprimir, eliminar o testar cada apartado  y en términos de los señalado por el considerando quinto del presenta fallo.</w:t>
      </w:r>
    </w:p>
    <w:p w14:paraId="5342CD16" w14:textId="77777777" w:rsidR="005B4D53" w:rsidRPr="00BB6C13" w:rsidRDefault="005B4D53">
      <w:pPr>
        <w:spacing w:line="360" w:lineRule="auto"/>
        <w:jc w:val="both"/>
        <w:rPr>
          <w:color w:val="000000"/>
        </w:rPr>
      </w:pPr>
    </w:p>
    <w:p w14:paraId="44C29457" w14:textId="77777777" w:rsidR="005B4D53" w:rsidRPr="00BB6C13" w:rsidRDefault="00415904">
      <w:pPr>
        <w:spacing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b/>
        </w:rPr>
        <w:t xml:space="preserve">Quinto. Versión Pública. </w:t>
      </w:r>
      <w:r w:rsidRPr="00BB6C13">
        <w:rPr>
          <w:rFonts w:ascii="Palatino Linotype" w:eastAsia="Palatino Linotype" w:hAnsi="Palatino Linotype" w:cs="Palatino Linotype"/>
        </w:rPr>
        <w:t>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RECURRENTE sin menoscabar el derecho a la protección de los datos personales de terceros.</w:t>
      </w:r>
    </w:p>
    <w:p w14:paraId="77C1B527" w14:textId="77777777" w:rsidR="005B4D53" w:rsidRPr="00BB6C13" w:rsidRDefault="005B4D53">
      <w:pPr>
        <w:spacing w:line="360" w:lineRule="auto"/>
        <w:jc w:val="both"/>
        <w:rPr>
          <w:rFonts w:ascii="Palatino Linotype" w:eastAsia="Palatino Linotype" w:hAnsi="Palatino Linotype" w:cs="Palatino Linotype"/>
        </w:rPr>
      </w:pPr>
    </w:p>
    <w:p w14:paraId="5D4F9A6B" w14:textId="77777777" w:rsidR="005B4D53" w:rsidRPr="00BB6C13" w:rsidRDefault="00415904">
      <w:pPr>
        <w:spacing w:after="240" w:line="360" w:lineRule="auto"/>
        <w:ind w:right="50"/>
        <w:jc w:val="both"/>
        <w:rPr>
          <w:rFonts w:ascii="Palatino Linotype" w:eastAsia="Palatino Linotype" w:hAnsi="Palatino Linotype" w:cs="Palatino Linotype"/>
        </w:rPr>
      </w:pPr>
      <w:r w:rsidRPr="00BB6C13">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51E3E172" w14:textId="77777777" w:rsidR="005B4D53" w:rsidRPr="00BB6C13" w:rsidRDefault="00415904">
      <w:pPr>
        <w:ind w:left="993" w:right="1041"/>
        <w:jc w:val="both"/>
        <w:rPr>
          <w:rFonts w:ascii="Palatino Linotype" w:eastAsia="Palatino Linotype" w:hAnsi="Palatino Linotype" w:cs="Palatino Linotype"/>
          <w:b/>
          <w:i/>
          <w:sz w:val="22"/>
          <w:szCs w:val="22"/>
        </w:rPr>
      </w:pPr>
      <w:r w:rsidRPr="00BB6C13">
        <w:rPr>
          <w:rFonts w:ascii="Palatino Linotype" w:eastAsia="Palatino Linotype" w:hAnsi="Palatino Linotype" w:cs="Palatino Linotype"/>
          <w:b/>
          <w:i/>
          <w:sz w:val="22"/>
          <w:szCs w:val="22"/>
        </w:rPr>
        <w:lastRenderedPageBreak/>
        <w:t xml:space="preserve"> “Artículo 3. Para los efectos de la presente Ley se entenderá por:</w:t>
      </w:r>
    </w:p>
    <w:p w14:paraId="2E4CC5CE" w14:textId="77777777" w:rsidR="005B4D53" w:rsidRPr="00BB6C13" w:rsidRDefault="00415904">
      <w:pPr>
        <w:ind w:left="993" w:right="104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b/>
          <w:i/>
          <w:sz w:val="22"/>
          <w:szCs w:val="22"/>
        </w:rPr>
        <w:t>IX. Datos personales:</w:t>
      </w:r>
      <w:r w:rsidRPr="00BB6C13">
        <w:rPr>
          <w:rFonts w:ascii="Palatino Linotype" w:eastAsia="Palatino Linotype" w:hAnsi="Palatino Linotype" w:cs="Palatino Linotype"/>
          <w:i/>
          <w:sz w:val="22"/>
          <w:szCs w:val="22"/>
        </w:rPr>
        <w:t xml:space="preserve"> </w:t>
      </w:r>
      <w:r w:rsidRPr="00BB6C13">
        <w:rPr>
          <w:rFonts w:ascii="Palatino Linotype" w:eastAsia="Palatino Linotype" w:hAnsi="Palatino Linotype" w:cs="Palatino Linotype"/>
          <w:b/>
          <w:i/>
          <w:sz w:val="22"/>
          <w:szCs w:val="22"/>
        </w:rPr>
        <w:t>La información concerniente a una persona, identificada o identificable</w:t>
      </w:r>
      <w:r w:rsidRPr="00BB6C13">
        <w:rPr>
          <w:rFonts w:ascii="Palatino Linotype" w:eastAsia="Palatino Linotype" w:hAnsi="Palatino Linotype" w:cs="Palatino Linotype"/>
          <w:i/>
          <w:sz w:val="22"/>
          <w:szCs w:val="22"/>
        </w:rPr>
        <w:t xml:space="preserve"> según lo dispuesto por la Ley de Protección de Datos Personales del Estado de México;</w:t>
      </w:r>
    </w:p>
    <w:p w14:paraId="524D3F2F" w14:textId="77777777" w:rsidR="005B4D53" w:rsidRPr="00BB6C13" w:rsidRDefault="00415904">
      <w:pPr>
        <w:ind w:left="993" w:right="104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b/>
          <w:i/>
          <w:sz w:val="22"/>
          <w:szCs w:val="22"/>
        </w:rPr>
        <w:t>XX. Información clasificada:</w:t>
      </w:r>
      <w:r w:rsidRPr="00BB6C13">
        <w:rPr>
          <w:rFonts w:ascii="Palatino Linotype" w:eastAsia="Palatino Linotype" w:hAnsi="Palatino Linotype" w:cs="Palatino Linotype"/>
          <w:i/>
          <w:sz w:val="22"/>
          <w:szCs w:val="22"/>
        </w:rPr>
        <w:t xml:space="preserve"> Aquella considerada por la presente Ley como reservada o confidencial;</w:t>
      </w:r>
    </w:p>
    <w:p w14:paraId="787DD59F" w14:textId="77777777" w:rsidR="005B4D53" w:rsidRPr="00BB6C13" w:rsidRDefault="00415904">
      <w:pPr>
        <w:ind w:left="993" w:right="104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b/>
          <w:i/>
          <w:sz w:val="22"/>
          <w:szCs w:val="22"/>
        </w:rPr>
        <w:t>XXXII. Protección de Datos Personales:</w:t>
      </w:r>
      <w:r w:rsidRPr="00BB6C13">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0E793604" w14:textId="77777777" w:rsidR="005B4D53" w:rsidRPr="00BB6C13" w:rsidRDefault="00415904">
      <w:pPr>
        <w:ind w:left="993" w:right="104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b/>
          <w:i/>
          <w:sz w:val="22"/>
          <w:szCs w:val="22"/>
        </w:rPr>
        <w:t>XLV. Versión pública</w:t>
      </w:r>
      <w:r w:rsidRPr="00BB6C13">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5B19F7AA" w14:textId="77777777" w:rsidR="005B4D53" w:rsidRPr="00BB6C13" w:rsidRDefault="005B4D53">
      <w:pPr>
        <w:ind w:left="993" w:right="1041"/>
        <w:jc w:val="both"/>
        <w:rPr>
          <w:rFonts w:ascii="Palatino Linotype" w:eastAsia="Palatino Linotype" w:hAnsi="Palatino Linotype" w:cs="Palatino Linotype"/>
          <w:i/>
          <w:sz w:val="22"/>
          <w:szCs w:val="22"/>
        </w:rPr>
      </w:pPr>
    </w:p>
    <w:p w14:paraId="0E3F2827" w14:textId="77777777" w:rsidR="005B4D53" w:rsidRPr="00BB6C13" w:rsidRDefault="00415904">
      <w:pPr>
        <w:ind w:left="993" w:right="104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b/>
          <w:i/>
          <w:sz w:val="22"/>
          <w:szCs w:val="22"/>
        </w:rPr>
        <w:t>“Artículo 6.</w:t>
      </w:r>
      <w:r w:rsidRPr="00BB6C13">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7F40928" w14:textId="77777777" w:rsidR="005B4D53" w:rsidRPr="00BB6C13" w:rsidRDefault="005B4D53">
      <w:pPr>
        <w:ind w:left="993" w:right="1041"/>
        <w:jc w:val="both"/>
        <w:rPr>
          <w:rFonts w:ascii="Palatino Linotype" w:eastAsia="Palatino Linotype" w:hAnsi="Palatino Linotype" w:cs="Palatino Linotype"/>
          <w:i/>
          <w:sz w:val="22"/>
          <w:szCs w:val="22"/>
        </w:rPr>
      </w:pPr>
    </w:p>
    <w:p w14:paraId="581004B8" w14:textId="77777777" w:rsidR="005B4D53" w:rsidRPr="00BB6C13" w:rsidRDefault="00415904">
      <w:pPr>
        <w:ind w:left="993" w:right="1041"/>
        <w:jc w:val="both"/>
        <w:rPr>
          <w:rFonts w:ascii="Palatino Linotype" w:eastAsia="Palatino Linotype" w:hAnsi="Palatino Linotype" w:cs="Palatino Linotype"/>
          <w:b/>
          <w:i/>
          <w:sz w:val="22"/>
          <w:szCs w:val="22"/>
        </w:rPr>
      </w:pPr>
      <w:r w:rsidRPr="00BB6C13">
        <w:rPr>
          <w:rFonts w:ascii="Palatino Linotype" w:eastAsia="Palatino Linotype" w:hAnsi="Palatino Linotype" w:cs="Palatino Linotype"/>
          <w:b/>
          <w:i/>
          <w:sz w:val="22"/>
          <w:szCs w:val="22"/>
        </w:rPr>
        <w:t>“Artículo 137.</w:t>
      </w:r>
      <w:r w:rsidRPr="00BB6C13">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991E1BB" w14:textId="77777777" w:rsidR="005B4D53" w:rsidRPr="00BB6C13" w:rsidRDefault="005B4D53">
      <w:pPr>
        <w:ind w:left="993" w:right="1041"/>
        <w:jc w:val="both"/>
        <w:rPr>
          <w:rFonts w:ascii="Palatino Linotype" w:eastAsia="Palatino Linotype" w:hAnsi="Palatino Linotype" w:cs="Palatino Linotype"/>
          <w:b/>
          <w:i/>
          <w:sz w:val="22"/>
          <w:szCs w:val="22"/>
        </w:rPr>
      </w:pPr>
    </w:p>
    <w:p w14:paraId="6C8DA96F" w14:textId="77777777" w:rsidR="005B4D53" w:rsidRPr="00BB6C13" w:rsidRDefault="00415904">
      <w:pPr>
        <w:ind w:left="993" w:right="104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b/>
          <w:i/>
          <w:sz w:val="22"/>
          <w:szCs w:val="22"/>
        </w:rPr>
        <w:t>“Artículo 143</w:t>
      </w:r>
      <w:r w:rsidRPr="00BB6C13">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1A9F3C0" w14:textId="77777777" w:rsidR="005B4D53" w:rsidRPr="00BB6C13" w:rsidRDefault="00415904">
      <w:pPr>
        <w:ind w:left="993" w:right="104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b/>
          <w:i/>
          <w:sz w:val="22"/>
          <w:szCs w:val="22"/>
        </w:rPr>
        <w:t>I.</w:t>
      </w:r>
      <w:r w:rsidRPr="00BB6C13">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3FF8B9EF" w14:textId="77777777" w:rsidR="005B4D53" w:rsidRPr="00BB6C13" w:rsidRDefault="00415904">
      <w:pPr>
        <w:ind w:left="993" w:right="104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4401CD9B" w14:textId="77777777" w:rsidR="005B4D53" w:rsidRPr="00BB6C13" w:rsidRDefault="00415904">
      <w:pPr>
        <w:ind w:left="993" w:right="104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14398D9A" w14:textId="77777777" w:rsidR="005B4D53" w:rsidRPr="00BB6C13" w:rsidRDefault="005B4D53">
      <w:pPr>
        <w:ind w:left="993" w:right="1041"/>
        <w:jc w:val="both"/>
        <w:rPr>
          <w:rFonts w:ascii="Palatino Linotype" w:eastAsia="Palatino Linotype" w:hAnsi="Palatino Linotype" w:cs="Palatino Linotype"/>
          <w:i/>
          <w:sz w:val="22"/>
          <w:szCs w:val="22"/>
        </w:rPr>
      </w:pPr>
    </w:p>
    <w:p w14:paraId="7EF9FBB2" w14:textId="77777777" w:rsidR="005B4D53" w:rsidRPr="00BB6C13" w:rsidRDefault="00415904">
      <w:pPr>
        <w:spacing w:line="360" w:lineRule="auto"/>
        <w:ind w:right="51"/>
        <w:jc w:val="both"/>
        <w:rPr>
          <w:rFonts w:ascii="Palatino Linotype" w:eastAsia="Palatino Linotype" w:hAnsi="Palatino Linotype" w:cs="Palatino Linotype"/>
        </w:rPr>
      </w:pPr>
      <w:r w:rsidRPr="00BB6C13">
        <w:rPr>
          <w:rFonts w:ascii="Palatino Linotype" w:eastAsia="Palatino Linotype" w:hAnsi="Palatino Linotype" w:cs="Palatino Linotype"/>
        </w:rPr>
        <w:lastRenderedPageBreak/>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del </w:t>
      </w:r>
      <w:r w:rsidRPr="00BB6C13">
        <w:rPr>
          <w:rFonts w:ascii="Palatino Linotype" w:eastAsia="Palatino Linotype" w:hAnsi="Palatino Linotype" w:cs="Palatino Linotype"/>
          <w:b/>
        </w:rPr>
        <w:t>RECURRENTE</w:t>
      </w:r>
      <w:r w:rsidRPr="00BB6C13">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5739E90D" w14:textId="77777777" w:rsidR="005B4D53" w:rsidRPr="00BB6C13" w:rsidRDefault="005B4D53">
      <w:pPr>
        <w:spacing w:line="360" w:lineRule="auto"/>
        <w:ind w:right="51"/>
        <w:jc w:val="both"/>
        <w:rPr>
          <w:rFonts w:ascii="Palatino Linotype" w:eastAsia="Palatino Linotype" w:hAnsi="Palatino Linotype" w:cs="Palatino Linotype"/>
        </w:rPr>
      </w:pPr>
    </w:p>
    <w:p w14:paraId="63AE8EA2" w14:textId="77777777" w:rsidR="005B4D53" w:rsidRPr="00BB6C13" w:rsidRDefault="00415904">
      <w:pPr>
        <w:spacing w:line="360" w:lineRule="auto"/>
        <w:ind w:right="51"/>
        <w:jc w:val="both"/>
        <w:rPr>
          <w:rFonts w:ascii="Palatino Linotype" w:eastAsia="Palatino Linotype" w:hAnsi="Palatino Linotype" w:cs="Palatino Linotype"/>
        </w:rPr>
      </w:pPr>
      <w:r w:rsidRPr="00BB6C13">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tome el Servidor Público Habilitado o el </w:t>
      </w:r>
      <w:proofErr w:type="gramStart"/>
      <w:r w:rsidRPr="00BB6C13">
        <w:rPr>
          <w:rFonts w:ascii="Palatino Linotype" w:eastAsia="Palatino Linotype" w:hAnsi="Palatino Linotype" w:cs="Palatino Linotype"/>
        </w:rPr>
        <w:t>Responsable</w:t>
      </w:r>
      <w:proofErr w:type="gramEnd"/>
      <w:r w:rsidRPr="00BB6C13">
        <w:rPr>
          <w:rFonts w:ascii="Palatino Linotype" w:eastAsia="Palatino Linotype" w:hAnsi="Palatino Linotype" w:cs="Palatino Linotype"/>
        </w:rPr>
        <w:t xml:space="preserve"> de la Unidad de Transparencia del </w:t>
      </w:r>
      <w:r w:rsidRPr="00BB6C13">
        <w:rPr>
          <w:rFonts w:ascii="Palatino Linotype" w:eastAsia="Palatino Linotype" w:hAnsi="Palatino Linotype" w:cs="Palatino Linotype"/>
          <w:b/>
        </w:rPr>
        <w:t>SUJETO OBLIGADO</w:t>
      </w:r>
      <w:r w:rsidRPr="00BB6C13">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14:paraId="3AA2C0CE" w14:textId="77777777" w:rsidR="005B4D53" w:rsidRPr="00BB6C13" w:rsidRDefault="005B4D53">
      <w:pPr>
        <w:spacing w:line="360" w:lineRule="auto"/>
        <w:ind w:right="51"/>
        <w:jc w:val="both"/>
        <w:rPr>
          <w:rFonts w:ascii="Palatino Linotype" w:eastAsia="Palatino Linotype" w:hAnsi="Palatino Linotype" w:cs="Palatino Linotype"/>
        </w:rPr>
      </w:pPr>
    </w:p>
    <w:p w14:paraId="10CB8484" w14:textId="77777777" w:rsidR="005B4D53" w:rsidRPr="00BB6C13" w:rsidRDefault="00415904">
      <w:pPr>
        <w:ind w:left="992" w:right="1043"/>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b/>
          <w:i/>
          <w:sz w:val="22"/>
          <w:szCs w:val="22"/>
        </w:rPr>
        <w:t>“Artículo 49.</w:t>
      </w:r>
      <w:r w:rsidRPr="00BB6C13">
        <w:rPr>
          <w:rFonts w:ascii="Palatino Linotype" w:eastAsia="Palatino Linotype" w:hAnsi="Palatino Linotype" w:cs="Palatino Linotype"/>
          <w:i/>
          <w:sz w:val="22"/>
          <w:szCs w:val="22"/>
        </w:rPr>
        <w:t xml:space="preserve"> </w:t>
      </w:r>
      <w:r w:rsidRPr="00BB6C13">
        <w:rPr>
          <w:rFonts w:ascii="Palatino Linotype" w:eastAsia="Palatino Linotype" w:hAnsi="Palatino Linotype" w:cs="Palatino Linotype"/>
          <w:b/>
          <w:i/>
          <w:sz w:val="22"/>
          <w:szCs w:val="22"/>
        </w:rPr>
        <w:t>Los Comités de Transparencia</w:t>
      </w:r>
      <w:r w:rsidRPr="00BB6C13">
        <w:rPr>
          <w:rFonts w:ascii="Palatino Linotype" w:eastAsia="Palatino Linotype" w:hAnsi="Palatino Linotype" w:cs="Palatino Linotype"/>
          <w:i/>
          <w:sz w:val="22"/>
          <w:szCs w:val="22"/>
        </w:rPr>
        <w:t xml:space="preserve"> tendrán las siguientes atribuciones:</w:t>
      </w:r>
    </w:p>
    <w:p w14:paraId="6AA78215" w14:textId="77777777" w:rsidR="005B4D53" w:rsidRPr="00BB6C13" w:rsidRDefault="00415904">
      <w:pPr>
        <w:ind w:left="992" w:right="1043"/>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b/>
          <w:i/>
          <w:sz w:val="22"/>
          <w:szCs w:val="22"/>
        </w:rPr>
        <w:t>VIII. Aprobar, modificar o revocar la clasificación de la información</w:t>
      </w:r>
      <w:r w:rsidRPr="00BB6C13">
        <w:rPr>
          <w:rFonts w:ascii="Palatino Linotype" w:eastAsia="Palatino Linotype" w:hAnsi="Palatino Linotype" w:cs="Palatino Linotype"/>
          <w:i/>
          <w:sz w:val="22"/>
          <w:szCs w:val="22"/>
        </w:rPr>
        <w:t>…”</w:t>
      </w:r>
    </w:p>
    <w:p w14:paraId="3736606E" w14:textId="77777777" w:rsidR="005B4D53" w:rsidRPr="00BB6C13" w:rsidRDefault="00415904">
      <w:pPr>
        <w:ind w:left="992" w:right="1043"/>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w:t>
      </w:r>
      <w:r w:rsidRPr="00BB6C13">
        <w:rPr>
          <w:rFonts w:ascii="Palatino Linotype" w:eastAsia="Palatino Linotype" w:hAnsi="Palatino Linotype" w:cs="Palatino Linotype"/>
          <w:b/>
          <w:i/>
          <w:sz w:val="22"/>
          <w:szCs w:val="22"/>
        </w:rPr>
        <w:t>Artículo 53.</w:t>
      </w:r>
      <w:r w:rsidRPr="00BB6C13">
        <w:rPr>
          <w:rFonts w:ascii="Palatino Linotype" w:eastAsia="Palatino Linotype" w:hAnsi="Palatino Linotype" w:cs="Palatino Linotype"/>
          <w:i/>
          <w:sz w:val="22"/>
          <w:szCs w:val="22"/>
        </w:rPr>
        <w:t xml:space="preserve"> Las </w:t>
      </w:r>
      <w:r w:rsidRPr="00BB6C13">
        <w:rPr>
          <w:rFonts w:ascii="Palatino Linotype" w:eastAsia="Palatino Linotype" w:hAnsi="Palatino Linotype" w:cs="Palatino Linotype"/>
          <w:b/>
          <w:i/>
          <w:sz w:val="22"/>
          <w:szCs w:val="22"/>
        </w:rPr>
        <w:t>Unidades de Transparencia</w:t>
      </w:r>
      <w:r w:rsidRPr="00BB6C13">
        <w:rPr>
          <w:rFonts w:ascii="Palatino Linotype" w:eastAsia="Palatino Linotype" w:hAnsi="Palatino Linotype" w:cs="Palatino Linotype"/>
          <w:i/>
          <w:sz w:val="22"/>
          <w:szCs w:val="22"/>
        </w:rPr>
        <w:t xml:space="preserve"> tendrán las siguientes </w:t>
      </w:r>
      <w:r w:rsidRPr="00BB6C13">
        <w:rPr>
          <w:rFonts w:ascii="Palatino Linotype" w:eastAsia="Palatino Linotype" w:hAnsi="Palatino Linotype" w:cs="Palatino Linotype"/>
          <w:b/>
          <w:i/>
          <w:sz w:val="22"/>
          <w:szCs w:val="22"/>
        </w:rPr>
        <w:t>funciones</w:t>
      </w:r>
      <w:r w:rsidRPr="00BB6C13">
        <w:rPr>
          <w:rFonts w:ascii="Palatino Linotype" w:eastAsia="Palatino Linotype" w:hAnsi="Palatino Linotype" w:cs="Palatino Linotype"/>
          <w:i/>
          <w:sz w:val="22"/>
          <w:szCs w:val="22"/>
        </w:rPr>
        <w:t>:</w:t>
      </w:r>
    </w:p>
    <w:p w14:paraId="3C1E3F04" w14:textId="77777777" w:rsidR="005B4D53" w:rsidRPr="00BB6C13" w:rsidRDefault="00415904">
      <w:pPr>
        <w:ind w:left="992" w:right="1043"/>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b/>
          <w:i/>
          <w:sz w:val="22"/>
          <w:szCs w:val="22"/>
        </w:rPr>
        <w:lastRenderedPageBreak/>
        <w:t>X. Presentar ante el Comité, el proyecto de clasificación de información</w:t>
      </w:r>
      <w:r w:rsidRPr="00BB6C13">
        <w:rPr>
          <w:rFonts w:ascii="Palatino Linotype" w:eastAsia="Palatino Linotype" w:hAnsi="Palatino Linotype" w:cs="Palatino Linotype"/>
          <w:i/>
          <w:sz w:val="22"/>
          <w:szCs w:val="22"/>
        </w:rPr>
        <w:t xml:space="preserve">…” </w:t>
      </w:r>
    </w:p>
    <w:p w14:paraId="6F645B3C" w14:textId="77777777" w:rsidR="005B4D53" w:rsidRPr="00BB6C13" w:rsidRDefault="00415904">
      <w:pPr>
        <w:ind w:left="992" w:right="1043"/>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b/>
          <w:i/>
          <w:sz w:val="22"/>
          <w:szCs w:val="22"/>
        </w:rPr>
        <w:t>“Artículo 59.</w:t>
      </w:r>
      <w:r w:rsidRPr="00BB6C13">
        <w:rPr>
          <w:rFonts w:ascii="Palatino Linotype" w:eastAsia="Palatino Linotype" w:hAnsi="Palatino Linotype" w:cs="Palatino Linotype"/>
          <w:i/>
          <w:sz w:val="22"/>
          <w:szCs w:val="22"/>
        </w:rPr>
        <w:t xml:space="preserve"> Los </w:t>
      </w:r>
      <w:r w:rsidRPr="00BB6C13">
        <w:rPr>
          <w:rFonts w:ascii="Palatino Linotype" w:eastAsia="Palatino Linotype" w:hAnsi="Palatino Linotype" w:cs="Palatino Linotype"/>
          <w:b/>
          <w:i/>
          <w:sz w:val="22"/>
          <w:szCs w:val="22"/>
        </w:rPr>
        <w:t>servidores públicos habilitados</w:t>
      </w:r>
      <w:r w:rsidRPr="00BB6C13">
        <w:rPr>
          <w:rFonts w:ascii="Palatino Linotype" w:eastAsia="Palatino Linotype" w:hAnsi="Palatino Linotype" w:cs="Palatino Linotype"/>
          <w:i/>
          <w:sz w:val="22"/>
          <w:szCs w:val="22"/>
        </w:rPr>
        <w:t xml:space="preserve"> tendrán las </w:t>
      </w:r>
      <w:r w:rsidRPr="00BB6C13">
        <w:rPr>
          <w:rFonts w:ascii="Palatino Linotype" w:eastAsia="Palatino Linotype" w:hAnsi="Palatino Linotype" w:cs="Palatino Linotype"/>
          <w:b/>
          <w:i/>
          <w:sz w:val="22"/>
          <w:szCs w:val="22"/>
        </w:rPr>
        <w:t>funciones</w:t>
      </w:r>
      <w:r w:rsidRPr="00BB6C13">
        <w:rPr>
          <w:rFonts w:ascii="Palatino Linotype" w:eastAsia="Palatino Linotype" w:hAnsi="Palatino Linotype" w:cs="Palatino Linotype"/>
          <w:i/>
          <w:sz w:val="22"/>
          <w:szCs w:val="22"/>
        </w:rPr>
        <w:t xml:space="preserve"> siguientes:</w:t>
      </w:r>
    </w:p>
    <w:p w14:paraId="780D0461" w14:textId="77777777" w:rsidR="005B4D53" w:rsidRPr="00BB6C13" w:rsidRDefault="00415904">
      <w:pPr>
        <w:ind w:left="992" w:right="1043"/>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BB6C13">
        <w:rPr>
          <w:rFonts w:ascii="Palatino Linotype" w:eastAsia="Palatino Linotype" w:hAnsi="Palatino Linotype" w:cs="Palatino Linotype"/>
          <w:i/>
          <w:sz w:val="22"/>
          <w:szCs w:val="22"/>
        </w:rPr>
        <w:t>, la cual tendrá los fundamentos y argumentos en que se basa dicha propuesta…” (Sic)</w:t>
      </w:r>
    </w:p>
    <w:p w14:paraId="266DF98C" w14:textId="77777777" w:rsidR="005B4D53" w:rsidRPr="00BB6C13" w:rsidRDefault="005B4D53">
      <w:pPr>
        <w:ind w:left="992" w:right="1043"/>
        <w:jc w:val="both"/>
        <w:rPr>
          <w:rFonts w:ascii="Palatino Linotype" w:eastAsia="Palatino Linotype" w:hAnsi="Palatino Linotype" w:cs="Palatino Linotype"/>
          <w:i/>
          <w:sz w:val="22"/>
          <w:szCs w:val="22"/>
        </w:rPr>
      </w:pPr>
    </w:p>
    <w:p w14:paraId="640B3085" w14:textId="77777777" w:rsidR="005B4D53" w:rsidRPr="00BB6C13" w:rsidRDefault="00415904">
      <w:pPr>
        <w:spacing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C515528" w14:textId="77777777" w:rsidR="005B4D53" w:rsidRPr="00BB6C13" w:rsidRDefault="005B4D53">
      <w:pPr>
        <w:spacing w:line="360" w:lineRule="auto"/>
        <w:jc w:val="both"/>
        <w:rPr>
          <w:rFonts w:ascii="Palatino Linotype" w:eastAsia="Palatino Linotype" w:hAnsi="Palatino Linotype" w:cs="Palatino Linotype"/>
        </w:rPr>
      </w:pPr>
    </w:p>
    <w:p w14:paraId="773C9627" w14:textId="77777777" w:rsidR="005B4D53" w:rsidRPr="00BB6C13" w:rsidRDefault="00415904">
      <w:pPr>
        <w:spacing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6A593FF7" w14:textId="77777777" w:rsidR="005B4D53" w:rsidRPr="00BB6C13" w:rsidRDefault="005B4D53">
      <w:pPr>
        <w:spacing w:line="360" w:lineRule="auto"/>
        <w:jc w:val="both"/>
        <w:rPr>
          <w:rFonts w:ascii="Palatino Linotype" w:eastAsia="Palatino Linotype" w:hAnsi="Palatino Linotype" w:cs="Palatino Linotype"/>
        </w:rPr>
      </w:pPr>
    </w:p>
    <w:p w14:paraId="7CF7D2D9" w14:textId="77777777" w:rsidR="005B4D53" w:rsidRPr="00BB6C13" w:rsidRDefault="00415904">
      <w:pPr>
        <w:spacing w:after="240"/>
        <w:ind w:left="993" w:right="1041"/>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w:t>
      </w:r>
      <w:r w:rsidRPr="00BB6C13">
        <w:rPr>
          <w:rFonts w:ascii="Palatino Linotype" w:eastAsia="Palatino Linotype" w:hAnsi="Palatino Linotype" w:cs="Palatino Linotype"/>
          <w:b/>
          <w:i/>
          <w:sz w:val="22"/>
          <w:szCs w:val="22"/>
        </w:rPr>
        <w:t>Artículo 149.</w:t>
      </w:r>
      <w:r w:rsidRPr="00BB6C13">
        <w:rPr>
          <w:rFonts w:ascii="Palatino Linotype" w:eastAsia="Palatino Linotype" w:hAnsi="Palatino Linotype" w:cs="Palatino Linotype"/>
          <w:i/>
          <w:sz w:val="22"/>
          <w:szCs w:val="22"/>
        </w:rPr>
        <w:t xml:space="preserve"> El </w:t>
      </w:r>
      <w:r w:rsidRPr="00BB6C13">
        <w:rPr>
          <w:rFonts w:ascii="Palatino Linotype" w:eastAsia="Palatino Linotype" w:hAnsi="Palatino Linotype" w:cs="Palatino Linotype"/>
          <w:b/>
          <w:i/>
          <w:sz w:val="22"/>
          <w:szCs w:val="22"/>
        </w:rPr>
        <w:t>acuerdo que clasifique la información como confidencial</w:t>
      </w:r>
      <w:r w:rsidRPr="00BB6C13">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roofErr w:type="gramStart"/>
      <w:r w:rsidRPr="00BB6C13">
        <w:rPr>
          <w:rFonts w:ascii="Palatino Linotype" w:eastAsia="Palatino Linotype" w:hAnsi="Palatino Linotype" w:cs="Palatino Linotype"/>
          <w:i/>
          <w:sz w:val="22"/>
          <w:szCs w:val="22"/>
        </w:rPr>
        <w:t>.”(</w:t>
      </w:r>
      <w:proofErr w:type="gramEnd"/>
      <w:r w:rsidRPr="00BB6C13">
        <w:rPr>
          <w:rFonts w:ascii="Palatino Linotype" w:eastAsia="Palatino Linotype" w:hAnsi="Palatino Linotype" w:cs="Palatino Linotype"/>
          <w:i/>
          <w:sz w:val="22"/>
          <w:szCs w:val="22"/>
        </w:rPr>
        <w:t>Sic)</w:t>
      </w:r>
    </w:p>
    <w:p w14:paraId="4A60D328" w14:textId="77777777" w:rsidR="005B4D53" w:rsidRPr="00BB6C13" w:rsidRDefault="005B4D53">
      <w:pPr>
        <w:spacing w:before="240" w:line="360" w:lineRule="auto"/>
        <w:ind w:right="51"/>
        <w:jc w:val="both"/>
        <w:rPr>
          <w:rFonts w:ascii="Palatino Linotype" w:eastAsia="Palatino Linotype" w:hAnsi="Palatino Linotype" w:cs="Palatino Linotype"/>
          <w:i/>
          <w:sz w:val="22"/>
          <w:szCs w:val="22"/>
        </w:rPr>
      </w:pPr>
    </w:p>
    <w:p w14:paraId="7F9176FA" w14:textId="77777777" w:rsidR="005B4D53" w:rsidRPr="00BB6C13" w:rsidRDefault="00415904">
      <w:pPr>
        <w:spacing w:line="360" w:lineRule="auto"/>
        <w:ind w:right="51"/>
        <w:jc w:val="both"/>
        <w:rPr>
          <w:rFonts w:ascii="Palatino Linotype" w:eastAsia="Palatino Linotype" w:hAnsi="Palatino Linotype" w:cs="Palatino Linotype"/>
        </w:rPr>
      </w:pPr>
      <w:r w:rsidRPr="00BB6C13">
        <w:rPr>
          <w:rFonts w:ascii="Palatino Linotype" w:eastAsia="Palatino Linotype" w:hAnsi="Palatino Linotype" w:cs="Palatino Linotype"/>
        </w:rPr>
        <w:t xml:space="preserve">Es decir, el </w:t>
      </w:r>
      <w:r w:rsidRPr="00BB6C13">
        <w:rPr>
          <w:rFonts w:ascii="Palatino Linotype" w:eastAsia="Palatino Linotype" w:hAnsi="Palatino Linotype" w:cs="Palatino Linotype"/>
          <w:b/>
        </w:rPr>
        <w:t>SUJETO OBLIGADO</w:t>
      </w:r>
      <w:r w:rsidRPr="00BB6C13">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w:t>
      </w:r>
      <w:r w:rsidRPr="00BB6C13">
        <w:rPr>
          <w:rFonts w:ascii="Palatino Linotype" w:eastAsia="Palatino Linotype" w:hAnsi="Palatino Linotype" w:cs="Palatino Linotype"/>
        </w:rPr>
        <w:lastRenderedPageBreak/>
        <w:t>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0A8E3FAC" w14:textId="77777777" w:rsidR="005B4D53" w:rsidRPr="00BB6C13" w:rsidRDefault="005B4D53">
      <w:pPr>
        <w:spacing w:line="360" w:lineRule="auto"/>
        <w:ind w:right="51"/>
        <w:jc w:val="both"/>
        <w:rPr>
          <w:rFonts w:ascii="Palatino Linotype" w:eastAsia="Palatino Linotype" w:hAnsi="Palatino Linotype" w:cs="Palatino Linotype"/>
        </w:rPr>
      </w:pPr>
    </w:p>
    <w:p w14:paraId="0E2D5DDD" w14:textId="77777777" w:rsidR="005B4D53" w:rsidRPr="00BB6C13" w:rsidRDefault="00415904">
      <w:pPr>
        <w:spacing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sz w:val="22"/>
          <w:szCs w:val="22"/>
        </w:rPr>
        <w:t xml:space="preserve">Es así, que </w:t>
      </w:r>
      <w:r w:rsidRPr="00BB6C13">
        <w:rPr>
          <w:rFonts w:ascii="Palatino Linotype" w:eastAsia="Palatino Linotype" w:hAnsi="Palatino Linotype" w:cs="Palatino Linotype"/>
        </w:rPr>
        <w:t>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14:paraId="7D76997C" w14:textId="77777777" w:rsidR="005B4D53" w:rsidRPr="00BB6C13" w:rsidRDefault="005B4D53">
      <w:pPr>
        <w:spacing w:line="360" w:lineRule="auto"/>
        <w:ind w:right="50"/>
        <w:jc w:val="both"/>
        <w:rPr>
          <w:rFonts w:ascii="Palatino Linotype" w:eastAsia="Palatino Linotype" w:hAnsi="Palatino Linotype" w:cs="Palatino Linotype"/>
        </w:rPr>
      </w:pPr>
    </w:p>
    <w:p w14:paraId="49EB1EB6" w14:textId="77777777" w:rsidR="005B4D53" w:rsidRPr="00BB6C13" w:rsidRDefault="00415904">
      <w:pPr>
        <w:spacing w:line="360" w:lineRule="auto"/>
        <w:ind w:right="51"/>
        <w:jc w:val="both"/>
        <w:rPr>
          <w:rFonts w:ascii="Palatino Linotype" w:eastAsia="Palatino Linotype" w:hAnsi="Palatino Linotype" w:cs="Palatino Linotype"/>
        </w:rPr>
      </w:pPr>
      <w:r w:rsidRPr="00BB6C13">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5C05FEE9" w14:textId="77777777" w:rsidR="005B4D53" w:rsidRPr="00BB6C13" w:rsidRDefault="005B4D53">
      <w:pPr>
        <w:spacing w:line="360" w:lineRule="auto"/>
        <w:ind w:right="51"/>
        <w:jc w:val="both"/>
        <w:rPr>
          <w:rFonts w:ascii="Palatino Linotype" w:eastAsia="Palatino Linotype" w:hAnsi="Palatino Linotype" w:cs="Palatino Linotype"/>
        </w:rPr>
      </w:pPr>
    </w:p>
    <w:p w14:paraId="6D1125D4" w14:textId="77777777" w:rsidR="005B4D53" w:rsidRPr="00BB6C13" w:rsidRDefault="00415904">
      <w:pPr>
        <w:spacing w:line="360" w:lineRule="auto"/>
        <w:ind w:right="50"/>
        <w:jc w:val="both"/>
        <w:rPr>
          <w:rFonts w:ascii="Palatino Linotype" w:eastAsia="Palatino Linotype" w:hAnsi="Palatino Linotype" w:cs="Palatino Linotype"/>
        </w:rPr>
      </w:pPr>
      <w:r w:rsidRPr="00BB6C13">
        <w:rPr>
          <w:rFonts w:ascii="Palatino Linotype" w:eastAsia="Palatino Linotype" w:hAnsi="Palatino Linotype" w:cs="Palatino Linotype"/>
        </w:rPr>
        <w:t>Lo anterior encuentra sustento en el criterio 10/17 emitido por el Instituto Nacional de Transparencia y Acceso a la Información Pública del Estado de México y Municipios, que a la letra dicen:</w:t>
      </w:r>
    </w:p>
    <w:p w14:paraId="45E53984" w14:textId="77777777" w:rsidR="005B4D53" w:rsidRPr="00BB6C13" w:rsidRDefault="005B4D53">
      <w:pPr>
        <w:ind w:right="50"/>
        <w:jc w:val="both"/>
        <w:rPr>
          <w:rFonts w:ascii="Palatino Linotype" w:eastAsia="Palatino Linotype" w:hAnsi="Palatino Linotype" w:cs="Palatino Linotype"/>
        </w:rPr>
      </w:pPr>
    </w:p>
    <w:p w14:paraId="05DC4E67" w14:textId="77777777" w:rsidR="005B4D53" w:rsidRPr="00BB6C13" w:rsidRDefault="00415904">
      <w:pPr>
        <w:ind w:left="851" w:right="1134"/>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b/>
          <w:i/>
          <w:sz w:val="22"/>
          <w:szCs w:val="22"/>
        </w:rPr>
        <w:lastRenderedPageBreak/>
        <w:t>“Cuentas bancarias y/o CLABE interbancaria de personas físicas y morales privadas.</w:t>
      </w:r>
      <w:r w:rsidRPr="00BB6C13">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6FB889E6" w14:textId="77777777" w:rsidR="005B4D53" w:rsidRPr="00BB6C13" w:rsidRDefault="005B4D53">
      <w:pPr>
        <w:ind w:left="851" w:right="899"/>
        <w:jc w:val="center"/>
        <w:rPr>
          <w:rFonts w:ascii="Palatino Linotype" w:eastAsia="Palatino Linotype" w:hAnsi="Palatino Linotype" w:cs="Palatino Linotype"/>
          <w:b/>
          <w:i/>
          <w:sz w:val="22"/>
          <w:szCs w:val="22"/>
        </w:rPr>
      </w:pPr>
    </w:p>
    <w:p w14:paraId="158F3D82" w14:textId="77777777" w:rsidR="005B4D53" w:rsidRPr="00BB6C13" w:rsidRDefault="00415904">
      <w:pPr>
        <w:spacing w:line="360" w:lineRule="auto"/>
        <w:ind w:right="50"/>
        <w:jc w:val="both"/>
        <w:rPr>
          <w:rFonts w:ascii="Palatino Linotype" w:eastAsia="Palatino Linotype" w:hAnsi="Palatino Linotype" w:cs="Palatino Linotype"/>
        </w:rPr>
      </w:pPr>
      <w:r w:rsidRPr="00BB6C13">
        <w:rPr>
          <w:rFonts w:ascii="Palatino Linotype" w:eastAsia="Palatino Linotype" w:hAnsi="Palatino Linotype" w:cs="Palatino Linotype"/>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14:paraId="33376EEE" w14:textId="77777777" w:rsidR="005B4D53" w:rsidRPr="00BB6C13" w:rsidRDefault="005B4D53">
      <w:pPr>
        <w:ind w:right="50"/>
        <w:jc w:val="both"/>
        <w:rPr>
          <w:rFonts w:ascii="Palatino Linotype" w:eastAsia="Palatino Linotype" w:hAnsi="Palatino Linotype" w:cs="Palatino Linotype"/>
        </w:rPr>
      </w:pPr>
    </w:p>
    <w:p w14:paraId="70A77DF8" w14:textId="77777777" w:rsidR="005B4D53" w:rsidRPr="00BB6C13" w:rsidRDefault="00415904">
      <w:pPr>
        <w:ind w:left="851" w:right="1134"/>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w:t>
      </w:r>
      <w:r w:rsidRPr="00BB6C13">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BB6C13">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6498874E" w14:textId="77777777" w:rsidR="005B4D53" w:rsidRPr="00BB6C13" w:rsidRDefault="005B4D53">
      <w:pPr>
        <w:spacing w:line="360" w:lineRule="auto"/>
        <w:ind w:right="51"/>
        <w:jc w:val="both"/>
        <w:rPr>
          <w:rFonts w:ascii="Palatino Linotype" w:eastAsia="Palatino Linotype" w:hAnsi="Palatino Linotype" w:cs="Palatino Linotype"/>
        </w:rPr>
      </w:pPr>
    </w:p>
    <w:p w14:paraId="4A8BB10C" w14:textId="77777777" w:rsidR="005B4D53" w:rsidRPr="00BB6C13" w:rsidRDefault="00415904">
      <w:pPr>
        <w:spacing w:before="240" w:after="240" w:line="360" w:lineRule="auto"/>
        <w:ind w:right="50"/>
        <w:jc w:val="both"/>
        <w:rPr>
          <w:rFonts w:ascii="Palatino Linotype" w:eastAsia="Palatino Linotype" w:hAnsi="Palatino Linotype" w:cs="Palatino Linotype"/>
        </w:rPr>
      </w:pPr>
      <w:r w:rsidRPr="00BB6C13">
        <w:rPr>
          <w:rFonts w:ascii="Palatino Linotype" w:eastAsia="Palatino Linotype" w:hAnsi="Palatino Linotype" w:cs="Palatino Linotype"/>
        </w:rPr>
        <w:t>Sobre el RFC, 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6C1400E8" w14:textId="77777777" w:rsidR="005B4D53" w:rsidRPr="00BB6C13" w:rsidRDefault="00415904">
      <w:pPr>
        <w:spacing w:before="240" w:after="240" w:line="360" w:lineRule="auto"/>
        <w:ind w:right="50"/>
        <w:jc w:val="both"/>
        <w:rPr>
          <w:rFonts w:ascii="Palatino Linotype" w:eastAsia="Palatino Linotype" w:hAnsi="Palatino Linotype" w:cs="Palatino Linotype"/>
        </w:rPr>
      </w:pPr>
      <w:r w:rsidRPr="00BB6C13">
        <w:rPr>
          <w:rFonts w:ascii="Palatino Linotype" w:eastAsia="Palatino Linotype" w:hAnsi="Palatino Linotype" w:cs="Palatino Linotype"/>
        </w:rPr>
        <w:lastRenderedPageBreak/>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5673C588" w14:textId="77777777" w:rsidR="005B4D53" w:rsidRPr="00BB6C13" w:rsidRDefault="00415904">
      <w:pPr>
        <w:spacing w:before="240" w:after="240" w:line="360" w:lineRule="auto"/>
        <w:ind w:right="50"/>
        <w:jc w:val="both"/>
        <w:rPr>
          <w:rFonts w:ascii="Palatino Linotype" w:eastAsia="Palatino Linotype" w:hAnsi="Palatino Linotype" w:cs="Palatino Linotype"/>
        </w:rPr>
      </w:pPr>
      <w:r w:rsidRPr="00BB6C13">
        <w:rPr>
          <w:rFonts w:ascii="Palatino Linotype" w:eastAsia="Palatino Linotype" w:hAnsi="Palatino Linotype" w:cs="Palatino Linotype"/>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326DD8FC" w14:textId="77777777" w:rsidR="005B4D53" w:rsidRPr="00BB6C13" w:rsidRDefault="00415904">
      <w:pPr>
        <w:spacing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 xml:space="preserve">Al respecto, se destaca que la versión pública que elabore el Sujeto Obligado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BB6C13">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BB6C13">
        <w:rPr>
          <w:rFonts w:ascii="Palatino Linotype" w:eastAsia="Palatino Linotype" w:hAnsi="Palatino Linotype" w:cs="Palatino Linotype"/>
        </w:rPr>
        <w:t xml:space="preserve">, publicados en el Diario Oficial de </w:t>
      </w:r>
      <w:r w:rsidRPr="00BB6C13">
        <w:rPr>
          <w:rFonts w:ascii="Palatino Linotype" w:eastAsia="Palatino Linotype" w:hAnsi="Palatino Linotype" w:cs="Palatino Linotype"/>
        </w:rPr>
        <w:lastRenderedPageBreak/>
        <w:t>la Federación en fecha quince de abril del año dos mil dieciséis, mediante Acuerdo del Consejo Nacional del Sistema Nacional de Transparencia, Acceso a la Información Pública y Protección de Datos Personales, que literalmente expresan:</w:t>
      </w:r>
    </w:p>
    <w:p w14:paraId="3B2A0893" w14:textId="77777777" w:rsidR="005B4D53" w:rsidRPr="00BB6C13" w:rsidRDefault="005B4D53">
      <w:pPr>
        <w:ind w:left="709" w:right="709"/>
        <w:jc w:val="both"/>
        <w:rPr>
          <w:rFonts w:ascii="Palatino Linotype" w:eastAsia="Palatino Linotype" w:hAnsi="Palatino Linotype" w:cs="Palatino Linotype"/>
          <w:b/>
          <w:i/>
          <w:sz w:val="22"/>
          <w:szCs w:val="22"/>
        </w:rPr>
      </w:pPr>
    </w:p>
    <w:p w14:paraId="5697BEC0" w14:textId="77777777" w:rsidR="005B4D53" w:rsidRPr="00BB6C13" w:rsidRDefault="00415904">
      <w:pPr>
        <w:ind w:left="709" w:right="709"/>
        <w:jc w:val="both"/>
        <w:rPr>
          <w:rFonts w:ascii="Palatino Linotype" w:eastAsia="Palatino Linotype" w:hAnsi="Palatino Linotype" w:cs="Palatino Linotype"/>
          <w:b/>
          <w:i/>
          <w:sz w:val="22"/>
          <w:szCs w:val="22"/>
        </w:rPr>
      </w:pPr>
      <w:r w:rsidRPr="00BB6C13">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167DB34E" w14:textId="77777777" w:rsidR="005B4D53" w:rsidRPr="00BB6C13" w:rsidRDefault="00415904">
      <w:pPr>
        <w:ind w:left="709" w:right="709"/>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w:t>
      </w:r>
      <w:proofErr w:type="gramStart"/>
      <w:r w:rsidRPr="00BB6C13">
        <w:rPr>
          <w:rFonts w:ascii="Palatino Linotype" w:eastAsia="Palatino Linotype" w:hAnsi="Palatino Linotype" w:cs="Palatino Linotype"/>
          <w:b/>
          <w:i/>
          <w:sz w:val="22"/>
          <w:szCs w:val="22"/>
        </w:rPr>
        <w:t>Segundo.-</w:t>
      </w:r>
      <w:proofErr w:type="gramEnd"/>
      <w:r w:rsidRPr="00BB6C13">
        <w:rPr>
          <w:rFonts w:ascii="Palatino Linotype" w:eastAsia="Palatino Linotype" w:hAnsi="Palatino Linotype" w:cs="Palatino Linotype"/>
          <w:i/>
          <w:sz w:val="22"/>
          <w:szCs w:val="22"/>
        </w:rPr>
        <w:t xml:space="preserve"> Para efectos de los presentes Lineamientos Generales, se entenderá por:</w:t>
      </w:r>
    </w:p>
    <w:p w14:paraId="6F546BDC" w14:textId="77777777" w:rsidR="005B4D53" w:rsidRPr="00BB6C13" w:rsidRDefault="00415904">
      <w:pPr>
        <w:ind w:left="709" w:right="709"/>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b/>
          <w:i/>
          <w:sz w:val="22"/>
          <w:szCs w:val="22"/>
        </w:rPr>
        <w:t>XVIII.</w:t>
      </w:r>
      <w:r w:rsidRPr="00BB6C13">
        <w:rPr>
          <w:rFonts w:ascii="Palatino Linotype" w:eastAsia="Palatino Linotype" w:hAnsi="Palatino Linotype" w:cs="Palatino Linotype"/>
          <w:i/>
          <w:sz w:val="22"/>
          <w:szCs w:val="22"/>
        </w:rPr>
        <w:t xml:space="preserve"> </w:t>
      </w:r>
      <w:r w:rsidRPr="00BB6C13">
        <w:rPr>
          <w:rFonts w:ascii="Palatino Linotype" w:eastAsia="Palatino Linotype" w:hAnsi="Palatino Linotype" w:cs="Palatino Linotype"/>
          <w:b/>
          <w:i/>
          <w:sz w:val="22"/>
          <w:szCs w:val="22"/>
        </w:rPr>
        <w:t>Versión pública:</w:t>
      </w:r>
      <w:r w:rsidRPr="00BB6C13">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BB6C13">
        <w:rPr>
          <w:rFonts w:ascii="Palatino Linotype" w:eastAsia="Palatino Linotype" w:hAnsi="Palatino Linotype" w:cs="Palatino Linotype"/>
          <w:b/>
          <w:i/>
          <w:sz w:val="22"/>
          <w:szCs w:val="22"/>
          <w:u w:val="single"/>
        </w:rPr>
        <w:t>fundando y motivando la</w:t>
      </w:r>
      <w:r w:rsidRPr="00BB6C13">
        <w:rPr>
          <w:rFonts w:ascii="Palatino Linotype" w:eastAsia="Palatino Linotype" w:hAnsi="Palatino Linotype" w:cs="Palatino Linotype"/>
          <w:i/>
          <w:sz w:val="22"/>
          <w:szCs w:val="22"/>
        </w:rPr>
        <w:t xml:space="preserve"> reserva o </w:t>
      </w:r>
      <w:r w:rsidRPr="00BB6C13">
        <w:rPr>
          <w:rFonts w:ascii="Palatino Linotype" w:eastAsia="Palatino Linotype" w:hAnsi="Palatino Linotype" w:cs="Palatino Linotype"/>
          <w:b/>
          <w:i/>
          <w:sz w:val="22"/>
          <w:szCs w:val="22"/>
          <w:u w:val="single"/>
        </w:rPr>
        <w:t>confidencialidad</w:t>
      </w:r>
      <w:r w:rsidRPr="00BB6C13">
        <w:rPr>
          <w:rFonts w:ascii="Palatino Linotype" w:eastAsia="Palatino Linotype" w:hAnsi="Palatino Linotype" w:cs="Palatino Linotype"/>
          <w:i/>
          <w:sz w:val="22"/>
          <w:szCs w:val="22"/>
        </w:rPr>
        <w:t>, a través de la resolución que para tal efecto emita el Comité de Transparencia.</w:t>
      </w:r>
    </w:p>
    <w:p w14:paraId="14BABD6D" w14:textId="77777777" w:rsidR="005B4D53" w:rsidRPr="00BB6C13" w:rsidRDefault="00415904">
      <w:pPr>
        <w:ind w:left="709" w:right="709"/>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b/>
          <w:i/>
          <w:sz w:val="22"/>
          <w:szCs w:val="22"/>
        </w:rPr>
        <w:t>Cuarto.</w:t>
      </w:r>
      <w:r w:rsidRPr="00BB6C13">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B01C4A7" w14:textId="77777777" w:rsidR="005B4D53" w:rsidRPr="00BB6C13" w:rsidRDefault="00415904">
      <w:pPr>
        <w:ind w:left="709" w:right="709"/>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6DE23480" w14:textId="77777777" w:rsidR="005B4D53" w:rsidRPr="00BB6C13" w:rsidRDefault="00415904">
      <w:pPr>
        <w:ind w:left="709" w:right="709"/>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b/>
          <w:i/>
          <w:sz w:val="22"/>
          <w:szCs w:val="22"/>
        </w:rPr>
        <w:t>Quinto.</w:t>
      </w:r>
      <w:r w:rsidRPr="00BB6C13">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A04F9AE" w14:textId="77777777" w:rsidR="005B4D53" w:rsidRPr="00BB6C13" w:rsidRDefault="00415904">
      <w:pPr>
        <w:ind w:left="709" w:right="709"/>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b/>
          <w:i/>
          <w:sz w:val="22"/>
          <w:szCs w:val="22"/>
        </w:rPr>
        <w:t>Sexto.</w:t>
      </w:r>
      <w:r w:rsidRPr="00BB6C13">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BEB4055" w14:textId="77777777" w:rsidR="005B4D53" w:rsidRPr="00BB6C13" w:rsidRDefault="00415904">
      <w:pPr>
        <w:ind w:left="709" w:right="709"/>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1B0FD898" w14:textId="77777777" w:rsidR="005B4D53" w:rsidRPr="00BB6C13" w:rsidRDefault="00415904">
      <w:pPr>
        <w:ind w:left="709" w:right="709"/>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b/>
          <w:i/>
          <w:sz w:val="22"/>
          <w:szCs w:val="22"/>
        </w:rPr>
        <w:t>Séptimo.</w:t>
      </w:r>
      <w:r w:rsidRPr="00BB6C13">
        <w:rPr>
          <w:rFonts w:ascii="Palatino Linotype" w:eastAsia="Palatino Linotype" w:hAnsi="Palatino Linotype" w:cs="Palatino Linotype"/>
          <w:i/>
          <w:sz w:val="22"/>
          <w:szCs w:val="22"/>
        </w:rPr>
        <w:t xml:space="preserve"> La clasificación de la información se llevará a cabo en el momento en que:</w:t>
      </w:r>
    </w:p>
    <w:p w14:paraId="49F4FF48" w14:textId="77777777" w:rsidR="005B4D53" w:rsidRPr="00BB6C13" w:rsidRDefault="00415904">
      <w:pPr>
        <w:ind w:left="709" w:right="709"/>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b/>
          <w:i/>
          <w:sz w:val="22"/>
          <w:szCs w:val="22"/>
        </w:rPr>
        <w:t>I.</w:t>
      </w:r>
      <w:r w:rsidRPr="00BB6C13">
        <w:rPr>
          <w:rFonts w:ascii="Palatino Linotype" w:eastAsia="Palatino Linotype" w:hAnsi="Palatino Linotype" w:cs="Palatino Linotype"/>
          <w:i/>
          <w:sz w:val="22"/>
          <w:szCs w:val="22"/>
        </w:rPr>
        <w:t xml:space="preserve"> Se reciba una solicitud de acceso a la información;</w:t>
      </w:r>
    </w:p>
    <w:p w14:paraId="56F2529C" w14:textId="77777777" w:rsidR="005B4D53" w:rsidRPr="00BB6C13" w:rsidRDefault="00415904">
      <w:pPr>
        <w:ind w:left="709" w:right="709"/>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b/>
          <w:i/>
          <w:sz w:val="22"/>
          <w:szCs w:val="22"/>
        </w:rPr>
        <w:t>II.</w:t>
      </w:r>
      <w:r w:rsidRPr="00BB6C13">
        <w:rPr>
          <w:rFonts w:ascii="Palatino Linotype" w:eastAsia="Palatino Linotype" w:hAnsi="Palatino Linotype" w:cs="Palatino Linotype"/>
          <w:i/>
          <w:sz w:val="22"/>
          <w:szCs w:val="22"/>
        </w:rPr>
        <w:t xml:space="preserve"> Se determine mediante resolución de autoridad competente, o</w:t>
      </w:r>
    </w:p>
    <w:p w14:paraId="29580244" w14:textId="77777777" w:rsidR="005B4D53" w:rsidRPr="00BB6C13" w:rsidRDefault="00415904">
      <w:pPr>
        <w:ind w:left="709" w:right="709"/>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b/>
          <w:i/>
          <w:sz w:val="22"/>
          <w:szCs w:val="22"/>
        </w:rPr>
        <w:t>III.</w:t>
      </w:r>
      <w:r w:rsidRPr="00BB6C13">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305BAB25" w14:textId="77777777" w:rsidR="005B4D53" w:rsidRPr="00BB6C13" w:rsidRDefault="00415904">
      <w:pPr>
        <w:ind w:left="709" w:right="709"/>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lastRenderedPageBreak/>
        <w:t>Los titulares de las áreas deberán revisar la clasificación al momento de la recepción de una solicitud de acceso a la información, para verificar si encuadra en una causal de reserva o de confidencialidad.</w:t>
      </w:r>
    </w:p>
    <w:p w14:paraId="47C16602" w14:textId="77777777" w:rsidR="005B4D53" w:rsidRPr="00BB6C13" w:rsidRDefault="00415904">
      <w:pPr>
        <w:ind w:left="709" w:right="709"/>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b/>
          <w:i/>
          <w:sz w:val="22"/>
          <w:szCs w:val="22"/>
        </w:rPr>
        <w:t>Octavo.</w:t>
      </w:r>
      <w:r w:rsidRPr="00BB6C13">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1734413" w14:textId="77777777" w:rsidR="005B4D53" w:rsidRPr="00BB6C13" w:rsidRDefault="00415904">
      <w:pPr>
        <w:ind w:left="709" w:right="709"/>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1E077594" w14:textId="77777777" w:rsidR="005B4D53" w:rsidRPr="00BB6C13" w:rsidRDefault="00415904">
      <w:pPr>
        <w:ind w:left="709" w:right="709"/>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1F367F17" w14:textId="77777777" w:rsidR="005B4D53" w:rsidRPr="00BB6C13" w:rsidRDefault="00415904">
      <w:pPr>
        <w:ind w:left="709" w:right="709"/>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08B66469" w14:textId="77777777" w:rsidR="005B4D53" w:rsidRPr="00BB6C13" w:rsidRDefault="00415904">
      <w:pPr>
        <w:ind w:left="709" w:right="709"/>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5836B575" w14:textId="77777777" w:rsidR="005B4D53" w:rsidRPr="00BB6C13" w:rsidRDefault="00415904">
      <w:pPr>
        <w:ind w:left="709" w:right="709"/>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b/>
          <w:i/>
          <w:sz w:val="22"/>
          <w:szCs w:val="22"/>
        </w:rPr>
        <w:t>Noveno.</w:t>
      </w:r>
      <w:r w:rsidRPr="00BB6C13">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5DC34E0" w14:textId="77777777" w:rsidR="005B4D53" w:rsidRPr="00BB6C13" w:rsidRDefault="00415904">
      <w:pPr>
        <w:ind w:left="709" w:right="709"/>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b/>
          <w:i/>
          <w:sz w:val="22"/>
          <w:szCs w:val="22"/>
        </w:rPr>
        <w:t>Décimo.</w:t>
      </w:r>
      <w:r w:rsidRPr="00BB6C13">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BE55A61" w14:textId="77777777" w:rsidR="005B4D53" w:rsidRPr="00BB6C13" w:rsidRDefault="00415904">
      <w:pPr>
        <w:ind w:left="709" w:right="709"/>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18C90F63" w14:textId="77777777" w:rsidR="005B4D53" w:rsidRPr="00BB6C13" w:rsidRDefault="00415904">
      <w:pPr>
        <w:ind w:left="709" w:right="709"/>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b/>
          <w:i/>
          <w:sz w:val="22"/>
          <w:szCs w:val="22"/>
        </w:rPr>
        <w:t>Décimo primero.</w:t>
      </w:r>
      <w:r w:rsidRPr="00BB6C13">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45FFBC3" w14:textId="77777777" w:rsidR="005B4D53" w:rsidRPr="00BB6C13" w:rsidRDefault="00415904">
      <w:pPr>
        <w:ind w:left="709" w:right="709"/>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w:t>
      </w:r>
    </w:p>
    <w:p w14:paraId="214A6DE4" w14:textId="77777777" w:rsidR="005B4D53" w:rsidRPr="00BB6C13" w:rsidRDefault="00415904">
      <w:pPr>
        <w:ind w:left="709" w:right="709"/>
        <w:jc w:val="center"/>
        <w:rPr>
          <w:rFonts w:ascii="Palatino Linotype" w:eastAsia="Palatino Linotype" w:hAnsi="Palatino Linotype" w:cs="Palatino Linotype"/>
          <w:b/>
          <w:i/>
          <w:sz w:val="22"/>
          <w:szCs w:val="22"/>
        </w:rPr>
      </w:pPr>
      <w:r w:rsidRPr="00BB6C13">
        <w:rPr>
          <w:rFonts w:ascii="Palatino Linotype" w:eastAsia="Palatino Linotype" w:hAnsi="Palatino Linotype" w:cs="Palatino Linotype"/>
          <w:b/>
          <w:i/>
          <w:sz w:val="22"/>
          <w:szCs w:val="22"/>
        </w:rPr>
        <w:t>CAPÍTULO VIII</w:t>
      </w:r>
    </w:p>
    <w:p w14:paraId="3F6675A8" w14:textId="77777777" w:rsidR="005B4D53" w:rsidRPr="00BB6C13" w:rsidRDefault="00415904">
      <w:pPr>
        <w:ind w:left="709" w:right="709"/>
        <w:jc w:val="center"/>
        <w:rPr>
          <w:rFonts w:ascii="Palatino Linotype" w:eastAsia="Palatino Linotype" w:hAnsi="Palatino Linotype" w:cs="Palatino Linotype"/>
          <w:b/>
          <w:i/>
          <w:sz w:val="22"/>
          <w:szCs w:val="22"/>
        </w:rPr>
      </w:pPr>
      <w:r w:rsidRPr="00BB6C13">
        <w:rPr>
          <w:rFonts w:ascii="Palatino Linotype" w:eastAsia="Palatino Linotype" w:hAnsi="Palatino Linotype" w:cs="Palatino Linotype"/>
          <w:b/>
          <w:i/>
          <w:sz w:val="22"/>
          <w:szCs w:val="22"/>
        </w:rPr>
        <w:t>DE LA LEYENDA DE CLASIFICACIÓN</w:t>
      </w:r>
    </w:p>
    <w:p w14:paraId="58BC7FDA" w14:textId="77777777" w:rsidR="005B4D53" w:rsidRPr="00BB6C13" w:rsidRDefault="00415904">
      <w:pPr>
        <w:ind w:left="709" w:right="709"/>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b/>
          <w:i/>
          <w:sz w:val="22"/>
          <w:szCs w:val="22"/>
        </w:rPr>
        <w:t xml:space="preserve">Quincuagésimo. </w:t>
      </w:r>
      <w:r w:rsidRPr="00BB6C13">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BB6C13">
        <w:rPr>
          <w:rFonts w:ascii="Palatino Linotype" w:eastAsia="Palatino Linotype" w:hAnsi="Palatino Linotype" w:cs="Palatino Linotype"/>
          <w:i/>
          <w:sz w:val="22"/>
          <w:szCs w:val="22"/>
        </w:rPr>
        <w:t xml:space="preserve"> para </w:t>
      </w:r>
      <w:r w:rsidRPr="00BB6C13">
        <w:rPr>
          <w:rFonts w:ascii="Palatino Linotype" w:eastAsia="Palatino Linotype" w:hAnsi="Palatino Linotype" w:cs="Palatino Linotype"/>
          <w:i/>
          <w:sz w:val="22"/>
          <w:szCs w:val="22"/>
        </w:rPr>
        <w:lastRenderedPageBreak/>
        <w:t>señalar la clasificación de documentos o expedientes, sin perjuicio de que establezcan los propios.</w:t>
      </w:r>
    </w:p>
    <w:p w14:paraId="5281B585" w14:textId="77777777" w:rsidR="005B4D53" w:rsidRPr="00BB6C13" w:rsidRDefault="00415904">
      <w:pPr>
        <w:ind w:left="709" w:right="709"/>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w:t>
      </w:r>
    </w:p>
    <w:p w14:paraId="551D9BA9" w14:textId="77777777" w:rsidR="005B4D53" w:rsidRPr="00BB6C13" w:rsidRDefault="00415904">
      <w:pPr>
        <w:spacing w:after="160"/>
        <w:ind w:left="709" w:right="709"/>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b/>
          <w:i/>
          <w:sz w:val="22"/>
          <w:szCs w:val="22"/>
        </w:rPr>
        <w:t xml:space="preserve">Quincuagésimo tercero. </w:t>
      </w:r>
      <w:r w:rsidRPr="00BB6C13">
        <w:rPr>
          <w:rFonts w:ascii="Palatino Linotype" w:eastAsia="Palatino Linotype" w:hAnsi="Palatino Linotype" w:cs="Palatino Linotype"/>
          <w:b/>
          <w:i/>
          <w:sz w:val="22"/>
          <w:szCs w:val="22"/>
          <w:u w:val="single"/>
        </w:rPr>
        <w:t>El formato para señalar la clasificación parcial de un documento</w:t>
      </w:r>
      <w:r w:rsidRPr="00BB6C13">
        <w:rPr>
          <w:rFonts w:ascii="Palatino Linotype" w:eastAsia="Palatino Linotype" w:hAnsi="Palatino Linotype" w:cs="Palatino Linotype"/>
          <w:i/>
          <w:sz w:val="22"/>
          <w:szCs w:val="22"/>
        </w:rPr>
        <w:t>, es el siguiente:</w:t>
      </w:r>
    </w:p>
    <w:tbl>
      <w:tblPr>
        <w:tblStyle w:val="a7"/>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5B4D53" w:rsidRPr="00BB6C13" w14:paraId="5DD02C92" w14:textId="77777777">
        <w:trPr>
          <w:jc w:val="center"/>
        </w:trPr>
        <w:tc>
          <w:tcPr>
            <w:tcW w:w="1159" w:type="dxa"/>
            <w:tcBorders>
              <w:top w:val="nil"/>
              <w:left w:val="nil"/>
              <w:bottom w:val="single" w:sz="4" w:space="0" w:color="000000"/>
              <w:right w:val="single" w:sz="4" w:space="0" w:color="000000"/>
            </w:tcBorders>
          </w:tcPr>
          <w:p w14:paraId="6BE99542" w14:textId="77777777" w:rsidR="005B4D53" w:rsidRPr="00BB6C13" w:rsidRDefault="005B4D53">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B0FF045" w14:textId="77777777" w:rsidR="005B4D53" w:rsidRPr="00BB6C13" w:rsidRDefault="00415904">
            <w:pPr>
              <w:jc w:val="center"/>
              <w:rPr>
                <w:rFonts w:ascii="Palatino Linotype" w:eastAsia="Palatino Linotype" w:hAnsi="Palatino Linotype" w:cs="Palatino Linotype"/>
                <w:b/>
                <w:i/>
              </w:rPr>
            </w:pPr>
            <w:r w:rsidRPr="00BB6C13">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2D818B77" w14:textId="77777777" w:rsidR="005B4D53" w:rsidRPr="00BB6C13" w:rsidRDefault="00415904">
            <w:pPr>
              <w:jc w:val="center"/>
              <w:rPr>
                <w:rFonts w:ascii="Palatino Linotype" w:eastAsia="Palatino Linotype" w:hAnsi="Palatino Linotype" w:cs="Palatino Linotype"/>
                <w:b/>
                <w:i/>
              </w:rPr>
            </w:pPr>
            <w:r w:rsidRPr="00BB6C13">
              <w:rPr>
                <w:rFonts w:ascii="Palatino Linotype" w:eastAsia="Palatino Linotype" w:hAnsi="Palatino Linotype" w:cs="Palatino Linotype"/>
                <w:b/>
                <w:i/>
              </w:rPr>
              <w:t>Dónde:</w:t>
            </w:r>
          </w:p>
        </w:tc>
      </w:tr>
      <w:tr w:rsidR="005B4D53" w:rsidRPr="00BB6C13" w14:paraId="70825603" w14:textId="77777777">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164ABCCD" w14:textId="77777777" w:rsidR="005B4D53" w:rsidRPr="00BB6C13" w:rsidRDefault="00415904">
            <w:pPr>
              <w:jc w:val="center"/>
              <w:rPr>
                <w:rFonts w:ascii="Palatino Linotype" w:eastAsia="Palatino Linotype" w:hAnsi="Palatino Linotype" w:cs="Palatino Linotype"/>
                <w:b/>
                <w:i/>
              </w:rPr>
            </w:pPr>
            <w:r w:rsidRPr="00BB6C13">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4C39BD31" w14:textId="77777777" w:rsidR="005B4D53" w:rsidRPr="00BB6C13" w:rsidRDefault="00415904">
            <w:pPr>
              <w:jc w:val="center"/>
              <w:rPr>
                <w:rFonts w:ascii="Palatino Linotype" w:eastAsia="Palatino Linotype" w:hAnsi="Palatino Linotype" w:cs="Palatino Linotype"/>
                <w:i/>
              </w:rPr>
            </w:pPr>
            <w:r w:rsidRPr="00BB6C13">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5E1BEDE5" w14:textId="77777777" w:rsidR="005B4D53" w:rsidRPr="00BB6C13" w:rsidRDefault="00415904">
            <w:pPr>
              <w:jc w:val="both"/>
              <w:rPr>
                <w:rFonts w:ascii="Palatino Linotype" w:eastAsia="Palatino Linotype" w:hAnsi="Palatino Linotype" w:cs="Palatino Linotype"/>
                <w:i/>
              </w:rPr>
            </w:pPr>
            <w:r w:rsidRPr="00BB6C13">
              <w:rPr>
                <w:rFonts w:ascii="Palatino Linotype" w:eastAsia="Palatino Linotype" w:hAnsi="Palatino Linotype" w:cs="Palatino Linotype"/>
                <w:i/>
              </w:rPr>
              <w:t>Se anotará la fecha en la que el Comité de Transparencia confirmó la clasificación del documento, en su caso.</w:t>
            </w:r>
          </w:p>
        </w:tc>
      </w:tr>
      <w:tr w:rsidR="005B4D53" w:rsidRPr="00BB6C13" w14:paraId="3C63CD92"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32A998A" w14:textId="77777777" w:rsidR="005B4D53" w:rsidRPr="00BB6C13" w:rsidRDefault="005B4D5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4512511" w14:textId="77777777" w:rsidR="005B4D53" w:rsidRPr="00BB6C13" w:rsidRDefault="00415904">
            <w:pPr>
              <w:jc w:val="center"/>
              <w:rPr>
                <w:rFonts w:ascii="Palatino Linotype" w:eastAsia="Palatino Linotype" w:hAnsi="Palatino Linotype" w:cs="Palatino Linotype"/>
                <w:i/>
              </w:rPr>
            </w:pPr>
            <w:r w:rsidRPr="00BB6C13">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5807C029" w14:textId="77777777" w:rsidR="005B4D53" w:rsidRPr="00BB6C13" w:rsidRDefault="00415904">
            <w:pPr>
              <w:jc w:val="both"/>
              <w:rPr>
                <w:rFonts w:ascii="Palatino Linotype" w:eastAsia="Palatino Linotype" w:hAnsi="Palatino Linotype" w:cs="Palatino Linotype"/>
                <w:i/>
              </w:rPr>
            </w:pPr>
            <w:r w:rsidRPr="00BB6C13">
              <w:rPr>
                <w:rFonts w:ascii="Palatino Linotype" w:eastAsia="Palatino Linotype" w:hAnsi="Palatino Linotype" w:cs="Palatino Linotype"/>
                <w:i/>
              </w:rPr>
              <w:t>Se señalará el nombre del área del cual es titular quien clasifica.</w:t>
            </w:r>
          </w:p>
        </w:tc>
      </w:tr>
      <w:tr w:rsidR="005B4D53" w:rsidRPr="00BB6C13" w14:paraId="05673D3F"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BD22A5C" w14:textId="77777777" w:rsidR="005B4D53" w:rsidRPr="00BB6C13" w:rsidRDefault="005B4D5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8B000D6" w14:textId="77777777" w:rsidR="005B4D53" w:rsidRPr="00BB6C13" w:rsidRDefault="00415904">
            <w:pPr>
              <w:jc w:val="center"/>
              <w:rPr>
                <w:rFonts w:ascii="Palatino Linotype" w:eastAsia="Palatino Linotype" w:hAnsi="Palatino Linotype" w:cs="Palatino Linotype"/>
                <w:i/>
              </w:rPr>
            </w:pPr>
            <w:r w:rsidRPr="00BB6C13">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031CDD6C" w14:textId="77777777" w:rsidR="005B4D53" w:rsidRPr="00BB6C13" w:rsidRDefault="00415904">
            <w:pPr>
              <w:jc w:val="both"/>
              <w:rPr>
                <w:rFonts w:ascii="Palatino Linotype" w:eastAsia="Palatino Linotype" w:hAnsi="Palatino Linotype" w:cs="Palatino Linotype"/>
                <w:i/>
              </w:rPr>
            </w:pPr>
            <w:r w:rsidRPr="00BB6C13">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5B4D53" w:rsidRPr="00BB6C13" w14:paraId="2D912FE0"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4A55887" w14:textId="77777777" w:rsidR="005B4D53" w:rsidRPr="00BB6C13" w:rsidRDefault="005B4D5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6421E2F" w14:textId="77777777" w:rsidR="005B4D53" w:rsidRPr="00BB6C13" w:rsidRDefault="00415904">
            <w:pPr>
              <w:jc w:val="center"/>
              <w:rPr>
                <w:rFonts w:ascii="Palatino Linotype" w:eastAsia="Palatino Linotype" w:hAnsi="Palatino Linotype" w:cs="Palatino Linotype"/>
                <w:i/>
              </w:rPr>
            </w:pPr>
            <w:r w:rsidRPr="00BB6C13">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218CB1E4" w14:textId="77777777" w:rsidR="005B4D53" w:rsidRPr="00BB6C13" w:rsidRDefault="00415904">
            <w:pPr>
              <w:jc w:val="both"/>
              <w:rPr>
                <w:rFonts w:ascii="Palatino Linotype" w:eastAsia="Palatino Linotype" w:hAnsi="Palatino Linotype" w:cs="Palatino Linotype"/>
                <w:i/>
              </w:rPr>
            </w:pPr>
            <w:r w:rsidRPr="00BB6C13">
              <w:rPr>
                <w:rFonts w:ascii="Palatino Linotype" w:eastAsia="Palatino Linotype" w:hAnsi="Palatino Linotype" w:cs="Palatino Linotype"/>
                <w:i/>
              </w:rPr>
              <w:t>Se anotará el número de años o meses por los que se mantendrá el documento o las partes del mismo como reservado.</w:t>
            </w:r>
          </w:p>
        </w:tc>
      </w:tr>
      <w:tr w:rsidR="005B4D53" w:rsidRPr="00BB6C13" w14:paraId="31585CE3"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5E6791F" w14:textId="77777777" w:rsidR="005B4D53" w:rsidRPr="00BB6C13" w:rsidRDefault="005B4D5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5C15E72" w14:textId="77777777" w:rsidR="005B4D53" w:rsidRPr="00BB6C13" w:rsidRDefault="00415904">
            <w:pPr>
              <w:jc w:val="center"/>
              <w:rPr>
                <w:rFonts w:ascii="Palatino Linotype" w:eastAsia="Palatino Linotype" w:hAnsi="Palatino Linotype" w:cs="Palatino Linotype"/>
                <w:i/>
              </w:rPr>
            </w:pPr>
            <w:r w:rsidRPr="00BB6C13">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4651207E" w14:textId="77777777" w:rsidR="005B4D53" w:rsidRPr="00BB6C13" w:rsidRDefault="00415904">
            <w:pPr>
              <w:jc w:val="both"/>
              <w:rPr>
                <w:rFonts w:ascii="Palatino Linotype" w:eastAsia="Palatino Linotype" w:hAnsi="Palatino Linotype" w:cs="Palatino Linotype"/>
                <w:i/>
              </w:rPr>
            </w:pPr>
            <w:r w:rsidRPr="00BB6C13">
              <w:rPr>
                <w:rFonts w:ascii="Palatino Linotype" w:eastAsia="Palatino Linotype" w:hAnsi="Palatino Linotype" w:cs="Palatino Linotype"/>
                <w:i/>
              </w:rPr>
              <w:t>Se señalará el nombre del ordenamiento, el o los artículos, fracción(es), párrafo(s) con base en los cuales se sustente la reserva.</w:t>
            </w:r>
          </w:p>
        </w:tc>
      </w:tr>
      <w:tr w:rsidR="005B4D53" w:rsidRPr="00BB6C13" w14:paraId="61219225"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5F04583" w14:textId="77777777" w:rsidR="005B4D53" w:rsidRPr="00BB6C13" w:rsidRDefault="005B4D5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DA76C4A" w14:textId="77777777" w:rsidR="005B4D53" w:rsidRPr="00BB6C13" w:rsidRDefault="00415904">
            <w:pPr>
              <w:jc w:val="center"/>
              <w:rPr>
                <w:rFonts w:ascii="Palatino Linotype" w:eastAsia="Palatino Linotype" w:hAnsi="Palatino Linotype" w:cs="Palatino Linotype"/>
                <w:i/>
              </w:rPr>
            </w:pPr>
            <w:r w:rsidRPr="00BB6C13">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6AF2011C" w14:textId="77777777" w:rsidR="005B4D53" w:rsidRPr="00BB6C13" w:rsidRDefault="00415904">
            <w:pPr>
              <w:jc w:val="both"/>
              <w:rPr>
                <w:rFonts w:ascii="Palatino Linotype" w:eastAsia="Palatino Linotype" w:hAnsi="Palatino Linotype" w:cs="Palatino Linotype"/>
                <w:i/>
              </w:rPr>
            </w:pPr>
            <w:r w:rsidRPr="00BB6C13">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5B4D53" w:rsidRPr="00BB6C13" w14:paraId="7EA91CB9"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FF082C3" w14:textId="77777777" w:rsidR="005B4D53" w:rsidRPr="00BB6C13" w:rsidRDefault="005B4D5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8D54D35" w14:textId="77777777" w:rsidR="005B4D53" w:rsidRPr="00BB6C13" w:rsidRDefault="00415904">
            <w:pPr>
              <w:jc w:val="center"/>
              <w:rPr>
                <w:rFonts w:ascii="Palatino Linotype" w:eastAsia="Palatino Linotype" w:hAnsi="Palatino Linotype" w:cs="Palatino Linotype"/>
                <w:i/>
              </w:rPr>
            </w:pPr>
            <w:r w:rsidRPr="00BB6C13">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19FF9FFB" w14:textId="77777777" w:rsidR="005B4D53" w:rsidRPr="00BB6C13" w:rsidRDefault="00415904">
            <w:pPr>
              <w:jc w:val="both"/>
              <w:rPr>
                <w:rFonts w:ascii="Palatino Linotype" w:eastAsia="Palatino Linotype" w:hAnsi="Palatino Linotype" w:cs="Palatino Linotype"/>
                <w:i/>
              </w:rPr>
            </w:pPr>
            <w:r w:rsidRPr="00BB6C13">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5B4D53" w:rsidRPr="00BB6C13" w14:paraId="41329036"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8BFDC6B" w14:textId="77777777" w:rsidR="005B4D53" w:rsidRPr="00BB6C13" w:rsidRDefault="005B4D5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377CE69" w14:textId="77777777" w:rsidR="005B4D53" w:rsidRPr="00BB6C13" w:rsidRDefault="00415904">
            <w:pPr>
              <w:jc w:val="center"/>
              <w:rPr>
                <w:rFonts w:ascii="Palatino Linotype" w:eastAsia="Palatino Linotype" w:hAnsi="Palatino Linotype" w:cs="Palatino Linotype"/>
                <w:i/>
              </w:rPr>
            </w:pPr>
            <w:r w:rsidRPr="00BB6C13">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16366E4F" w14:textId="77777777" w:rsidR="005B4D53" w:rsidRPr="00BB6C13" w:rsidRDefault="00415904">
            <w:pPr>
              <w:jc w:val="both"/>
              <w:rPr>
                <w:rFonts w:ascii="Palatino Linotype" w:eastAsia="Palatino Linotype" w:hAnsi="Palatino Linotype" w:cs="Palatino Linotype"/>
                <w:i/>
              </w:rPr>
            </w:pPr>
            <w:r w:rsidRPr="00BB6C13">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5B4D53" w:rsidRPr="00BB6C13" w14:paraId="0AB51768"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BD33458" w14:textId="77777777" w:rsidR="005B4D53" w:rsidRPr="00BB6C13" w:rsidRDefault="005B4D5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08BEDD0" w14:textId="77777777" w:rsidR="005B4D53" w:rsidRPr="00BB6C13" w:rsidRDefault="00415904">
            <w:pPr>
              <w:jc w:val="center"/>
              <w:rPr>
                <w:rFonts w:ascii="Palatino Linotype" w:eastAsia="Palatino Linotype" w:hAnsi="Palatino Linotype" w:cs="Palatino Linotype"/>
                <w:i/>
              </w:rPr>
            </w:pPr>
            <w:r w:rsidRPr="00BB6C13">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132EEFE0" w14:textId="77777777" w:rsidR="005B4D53" w:rsidRPr="00BB6C13" w:rsidRDefault="00415904">
            <w:pPr>
              <w:jc w:val="both"/>
              <w:rPr>
                <w:rFonts w:ascii="Palatino Linotype" w:eastAsia="Palatino Linotype" w:hAnsi="Palatino Linotype" w:cs="Palatino Linotype"/>
                <w:i/>
              </w:rPr>
            </w:pPr>
            <w:r w:rsidRPr="00BB6C13">
              <w:rPr>
                <w:rFonts w:ascii="Palatino Linotype" w:eastAsia="Palatino Linotype" w:hAnsi="Palatino Linotype" w:cs="Palatino Linotype"/>
                <w:i/>
              </w:rPr>
              <w:t>Rúbrica autógrafa de quien clasifica.</w:t>
            </w:r>
          </w:p>
        </w:tc>
      </w:tr>
      <w:tr w:rsidR="005B4D53" w:rsidRPr="00BB6C13" w14:paraId="2583F886"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04FA425" w14:textId="77777777" w:rsidR="005B4D53" w:rsidRPr="00BB6C13" w:rsidRDefault="005B4D5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A58F9D7" w14:textId="77777777" w:rsidR="005B4D53" w:rsidRPr="00BB6C13" w:rsidRDefault="00415904">
            <w:pPr>
              <w:jc w:val="center"/>
              <w:rPr>
                <w:rFonts w:ascii="Palatino Linotype" w:eastAsia="Palatino Linotype" w:hAnsi="Palatino Linotype" w:cs="Palatino Linotype"/>
                <w:i/>
              </w:rPr>
            </w:pPr>
            <w:r w:rsidRPr="00BB6C13">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72759FE5" w14:textId="77777777" w:rsidR="005B4D53" w:rsidRPr="00BB6C13" w:rsidRDefault="00415904">
            <w:pPr>
              <w:jc w:val="both"/>
              <w:rPr>
                <w:rFonts w:ascii="Palatino Linotype" w:eastAsia="Palatino Linotype" w:hAnsi="Palatino Linotype" w:cs="Palatino Linotype"/>
                <w:i/>
              </w:rPr>
            </w:pPr>
            <w:r w:rsidRPr="00BB6C13">
              <w:rPr>
                <w:rFonts w:ascii="Palatino Linotype" w:eastAsia="Palatino Linotype" w:hAnsi="Palatino Linotype" w:cs="Palatino Linotype"/>
                <w:i/>
              </w:rPr>
              <w:t>Se anotará la fecha en que se desclasifica el documento.</w:t>
            </w:r>
          </w:p>
        </w:tc>
      </w:tr>
      <w:tr w:rsidR="005B4D53" w:rsidRPr="00BB6C13" w14:paraId="7E10F316"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2E1E88C" w14:textId="77777777" w:rsidR="005B4D53" w:rsidRPr="00BB6C13" w:rsidRDefault="005B4D5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FA321B8" w14:textId="77777777" w:rsidR="005B4D53" w:rsidRPr="00BB6C13" w:rsidRDefault="00415904">
            <w:pPr>
              <w:jc w:val="center"/>
              <w:rPr>
                <w:rFonts w:ascii="Palatino Linotype" w:eastAsia="Palatino Linotype" w:hAnsi="Palatino Linotype" w:cs="Palatino Linotype"/>
                <w:i/>
              </w:rPr>
            </w:pPr>
            <w:r w:rsidRPr="00BB6C13">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70516808" w14:textId="77777777" w:rsidR="005B4D53" w:rsidRPr="00BB6C13" w:rsidRDefault="00415904">
            <w:pPr>
              <w:rPr>
                <w:rFonts w:ascii="Palatino Linotype" w:eastAsia="Palatino Linotype" w:hAnsi="Palatino Linotype" w:cs="Palatino Linotype"/>
                <w:i/>
              </w:rPr>
            </w:pPr>
            <w:r w:rsidRPr="00BB6C13">
              <w:rPr>
                <w:rFonts w:ascii="Palatino Linotype" w:eastAsia="Palatino Linotype" w:hAnsi="Palatino Linotype" w:cs="Palatino Linotype"/>
                <w:i/>
              </w:rPr>
              <w:t>Rúbrica autógrafa de quien desclasifica.</w:t>
            </w:r>
          </w:p>
        </w:tc>
      </w:tr>
    </w:tbl>
    <w:p w14:paraId="6B4AA0AE" w14:textId="77777777" w:rsidR="005B4D53" w:rsidRPr="00BB6C13" w:rsidRDefault="00415904">
      <w:pPr>
        <w:spacing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29031FA2" w14:textId="77777777" w:rsidR="005B4D53" w:rsidRPr="00BB6C13" w:rsidRDefault="005B4D53">
      <w:pPr>
        <w:spacing w:line="360" w:lineRule="auto"/>
        <w:jc w:val="both"/>
        <w:rPr>
          <w:rFonts w:ascii="Palatino Linotype" w:eastAsia="Palatino Linotype" w:hAnsi="Palatino Linotype" w:cs="Palatino Linotype"/>
        </w:rPr>
      </w:pPr>
    </w:p>
    <w:p w14:paraId="77E15D65" w14:textId="77777777" w:rsidR="005B4D53" w:rsidRPr="00BB6C13" w:rsidRDefault="00415904">
      <w:pPr>
        <w:shd w:val="clear" w:color="auto" w:fill="FFFFFF"/>
        <w:spacing w:line="360" w:lineRule="auto"/>
        <w:ind w:right="51"/>
        <w:jc w:val="both"/>
        <w:rPr>
          <w:rFonts w:ascii="Palatino Linotype" w:eastAsia="Palatino Linotype" w:hAnsi="Palatino Linotype" w:cs="Palatino Linotype"/>
        </w:rPr>
      </w:pPr>
      <w:r w:rsidRPr="00BB6C13">
        <w:rPr>
          <w:rFonts w:ascii="Palatino Linotype" w:eastAsia="Palatino Linotype" w:hAnsi="Palatino Linotype" w:cs="Palatino Linotype"/>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Recurrente.</w:t>
      </w:r>
    </w:p>
    <w:p w14:paraId="1BC8D9D7" w14:textId="77777777" w:rsidR="005B4D53" w:rsidRPr="00BB6C13" w:rsidRDefault="005B4D53">
      <w:pPr>
        <w:shd w:val="clear" w:color="auto" w:fill="FFFFFF"/>
        <w:spacing w:line="360" w:lineRule="auto"/>
        <w:ind w:right="51"/>
        <w:jc w:val="both"/>
        <w:rPr>
          <w:rFonts w:ascii="Palatino Linotype" w:eastAsia="Palatino Linotype" w:hAnsi="Palatino Linotype" w:cs="Palatino Linotype"/>
        </w:rPr>
      </w:pPr>
    </w:p>
    <w:p w14:paraId="0359C12F" w14:textId="77777777" w:rsidR="005B4D53" w:rsidRPr="00BB6C13" w:rsidRDefault="00415904">
      <w:pPr>
        <w:spacing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2554E4C5" w14:textId="77777777" w:rsidR="005B4D53" w:rsidRPr="00BB6C13" w:rsidRDefault="005B4D53">
      <w:pPr>
        <w:spacing w:line="360" w:lineRule="auto"/>
        <w:jc w:val="both"/>
        <w:rPr>
          <w:rFonts w:ascii="Palatino Linotype" w:eastAsia="Palatino Linotype" w:hAnsi="Palatino Linotype" w:cs="Palatino Linotype"/>
        </w:rPr>
      </w:pPr>
    </w:p>
    <w:p w14:paraId="44D911FD" w14:textId="77777777" w:rsidR="005B4D53" w:rsidRPr="00BB6C13" w:rsidRDefault="00415904">
      <w:pPr>
        <w:spacing w:after="240"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5693E822" w14:textId="77777777" w:rsidR="005B4D53" w:rsidRPr="00BB6C13" w:rsidRDefault="00415904">
      <w:pPr>
        <w:numPr>
          <w:ilvl w:val="0"/>
          <w:numId w:val="3"/>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2"/>
          <w:szCs w:val="22"/>
        </w:rPr>
      </w:pPr>
      <w:r w:rsidRPr="00BB6C13">
        <w:rPr>
          <w:rFonts w:ascii="Palatino Linotype" w:eastAsia="Palatino Linotype" w:hAnsi="Palatino Linotype" w:cs="Palatino Linotype"/>
          <w:b/>
          <w:color w:val="000000"/>
          <w:sz w:val="22"/>
          <w:szCs w:val="22"/>
        </w:rPr>
        <w:t>R E S U E L V E:</w:t>
      </w:r>
    </w:p>
    <w:p w14:paraId="033D364C" w14:textId="77777777" w:rsidR="005B4D53" w:rsidRPr="00BB6C13" w:rsidRDefault="00415904">
      <w:pPr>
        <w:spacing w:before="240" w:after="240"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b/>
        </w:rPr>
        <w:t xml:space="preserve">Primero. </w:t>
      </w:r>
      <w:r w:rsidRPr="00BB6C13">
        <w:rPr>
          <w:rFonts w:ascii="Palatino Linotype" w:eastAsia="Palatino Linotype" w:hAnsi="Palatino Linotype" w:cs="Palatino Linotype"/>
        </w:rPr>
        <w:t xml:space="preserve">Resultan fundados los motivos de inconformidad hechos valer por el </w:t>
      </w:r>
      <w:r w:rsidRPr="00BB6C13">
        <w:rPr>
          <w:rFonts w:ascii="Palatino Linotype" w:eastAsia="Palatino Linotype" w:hAnsi="Palatino Linotype" w:cs="Palatino Linotype"/>
          <w:b/>
        </w:rPr>
        <w:t>RECURRENTE</w:t>
      </w:r>
      <w:r w:rsidRPr="00BB6C13">
        <w:rPr>
          <w:rFonts w:ascii="Palatino Linotype" w:eastAsia="Palatino Linotype" w:hAnsi="Palatino Linotype" w:cs="Palatino Linotype"/>
        </w:rPr>
        <w:t xml:space="preserve"> en el Recurso de Revisión </w:t>
      </w:r>
      <w:r w:rsidRPr="00BB6C13">
        <w:rPr>
          <w:rFonts w:ascii="Palatino Linotype" w:eastAsia="Palatino Linotype" w:hAnsi="Palatino Linotype" w:cs="Palatino Linotype"/>
          <w:b/>
        </w:rPr>
        <w:t xml:space="preserve">17004/INFOEM/IP/RR/2022, </w:t>
      </w:r>
      <w:r w:rsidRPr="00BB6C13">
        <w:rPr>
          <w:rFonts w:ascii="Palatino Linotype" w:eastAsia="Palatino Linotype" w:hAnsi="Palatino Linotype" w:cs="Palatino Linotype"/>
        </w:rPr>
        <w:t xml:space="preserve">por lo que, en términos del considerando </w:t>
      </w:r>
      <w:r w:rsidRPr="00BB6C13">
        <w:rPr>
          <w:rFonts w:ascii="Palatino Linotype" w:eastAsia="Palatino Linotype" w:hAnsi="Palatino Linotype" w:cs="Palatino Linotype"/>
          <w:b/>
        </w:rPr>
        <w:t xml:space="preserve">Cuarto </w:t>
      </w:r>
      <w:r w:rsidRPr="00BB6C13">
        <w:rPr>
          <w:rFonts w:ascii="Palatino Linotype" w:eastAsia="Palatino Linotype" w:hAnsi="Palatino Linotype" w:cs="Palatino Linotype"/>
        </w:rPr>
        <w:t xml:space="preserve">de esta resolución, se </w:t>
      </w:r>
      <w:r w:rsidRPr="00BB6C13">
        <w:rPr>
          <w:rFonts w:ascii="Palatino Linotype" w:eastAsia="Palatino Linotype" w:hAnsi="Palatino Linotype" w:cs="Palatino Linotype"/>
          <w:b/>
        </w:rPr>
        <w:t xml:space="preserve">REVOCA </w:t>
      </w:r>
      <w:r w:rsidRPr="00BB6C13">
        <w:rPr>
          <w:rFonts w:ascii="Palatino Linotype" w:eastAsia="Palatino Linotype" w:hAnsi="Palatino Linotype" w:cs="Palatino Linotype"/>
        </w:rPr>
        <w:t xml:space="preserve">la respuesta emitida por el </w:t>
      </w:r>
      <w:r w:rsidRPr="00BB6C13">
        <w:rPr>
          <w:rFonts w:ascii="Palatino Linotype" w:eastAsia="Palatino Linotype" w:hAnsi="Palatino Linotype" w:cs="Palatino Linotype"/>
          <w:b/>
        </w:rPr>
        <w:t>SUJETO OBLIGADO</w:t>
      </w:r>
      <w:r w:rsidRPr="00BB6C13">
        <w:rPr>
          <w:rFonts w:ascii="Palatino Linotype" w:eastAsia="Palatino Linotype" w:hAnsi="Palatino Linotype" w:cs="Palatino Linotype"/>
        </w:rPr>
        <w:t>.</w:t>
      </w:r>
    </w:p>
    <w:p w14:paraId="5E58C232" w14:textId="77777777" w:rsidR="005B4D53" w:rsidRPr="00BB6C13" w:rsidRDefault="00415904">
      <w:pPr>
        <w:spacing w:before="240" w:after="240" w:line="360" w:lineRule="auto"/>
        <w:ind w:right="49"/>
        <w:jc w:val="both"/>
        <w:rPr>
          <w:rFonts w:ascii="Palatino Linotype" w:eastAsia="Palatino Linotype" w:hAnsi="Palatino Linotype" w:cs="Palatino Linotype"/>
        </w:rPr>
      </w:pPr>
      <w:r w:rsidRPr="00BB6C13">
        <w:rPr>
          <w:rFonts w:ascii="Palatino Linotype" w:eastAsia="Palatino Linotype" w:hAnsi="Palatino Linotype" w:cs="Palatino Linotype"/>
          <w:b/>
        </w:rPr>
        <w:t xml:space="preserve">Segundo. </w:t>
      </w:r>
      <w:r w:rsidRPr="00BB6C13">
        <w:rPr>
          <w:rFonts w:ascii="Palatino Linotype" w:eastAsia="Palatino Linotype" w:hAnsi="Palatino Linotype" w:cs="Palatino Linotype"/>
        </w:rPr>
        <w:t>Se</w:t>
      </w:r>
      <w:r w:rsidRPr="00BB6C13">
        <w:rPr>
          <w:rFonts w:ascii="Palatino Linotype" w:eastAsia="Palatino Linotype" w:hAnsi="Palatino Linotype" w:cs="Palatino Linotype"/>
          <w:b/>
        </w:rPr>
        <w:t xml:space="preserve"> ORDENA </w:t>
      </w:r>
      <w:r w:rsidRPr="00BB6C13">
        <w:rPr>
          <w:rFonts w:ascii="Palatino Linotype" w:eastAsia="Palatino Linotype" w:hAnsi="Palatino Linotype" w:cs="Palatino Linotype"/>
        </w:rPr>
        <w:t xml:space="preserve">al </w:t>
      </w:r>
      <w:r w:rsidRPr="00BB6C13">
        <w:rPr>
          <w:rFonts w:ascii="Palatino Linotype" w:eastAsia="Palatino Linotype" w:hAnsi="Palatino Linotype" w:cs="Palatino Linotype"/>
          <w:b/>
        </w:rPr>
        <w:t>SUJETO OBLIGADO</w:t>
      </w:r>
      <w:r w:rsidRPr="00BB6C13">
        <w:rPr>
          <w:rFonts w:ascii="Palatino Linotype" w:eastAsia="Palatino Linotype" w:hAnsi="Palatino Linotype" w:cs="Palatino Linotype"/>
        </w:rPr>
        <w:t xml:space="preserve"> a que,</w:t>
      </w:r>
      <w:r w:rsidRPr="00BB6C13">
        <w:rPr>
          <w:rFonts w:ascii="Palatino Linotype" w:eastAsia="Palatino Linotype" w:hAnsi="Palatino Linotype" w:cs="Palatino Linotype"/>
          <w:b/>
        </w:rPr>
        <w:t xml:space="preserve"> </w:t>
      </w:r>
      <w:r w:rsidRPr="00BB6C13">
        <w:rPr>
          <w:rFonts w:ascii="Palatino Linotype" w:eastAsia="Palatino Linotype" w:hAnsi="Palatino Linotype" w:cs="Palatino Linotype"/>
        </w:rPr>
        <w:t>en términos de los Considerandos Cuarto y Quinto de la presente resolución, haga entrega vía SAIMEX y en versión pública de ser procedente, del documento o documentos en donde conste lo siguiente:</w:t>
      </w:r>
    </w:p>
    <w:p w14:paraId="0E1EE80A" w14:textId="77777777" w:rsidR="005B4D53" w:rsidRPr="00BB6C13" w:rsidRDefault="00415904">
      <w:pPr>
        <w:spacing w:before="240" w:after="240" w:line="360" w:lineRule="auto"/>
        <w:ind w:left="1080" w:right="40" w:hanging="360"/>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1.</w:t>
      </w:r>
      <w:r w:rsidRPr="00BB6C13">
        <w:rPr>
          <w:i/>
          <w:sz w:val="14"/>
          <w:szCs w:val="14"/>
        </w:rPr>
        <w:t xml:space="preserve">  </w:t>
      </w:r>
      <w:r w:rsidRPr="00BB6C13">
        <w:rPr>
          <w:i/>
          <w:sz w:val="14"/>
          <w:szCs w:val="14"/>
        </w:rPr>
        <w:tab/>
      </w:r>
      <w:r w:rsidRPr="00BB6C13">
        <w:rPr>
          <w:rFonts w:ascii="Palatino Linotype" w:eastAsia="Palatino Linotype" w:hAnsi="Palatino Linotype" w:cs="Palatino Linotype"/>
          <w:i/>
          <w:sz w:val="22"/>
          <w:szCs w:val="22"/>
        </w:rPr>
        <w:t xml:space="preserve">El pago realizado a los proveedores </w:t>
      </w:r>
      <w:r w:rsidR="00E4335F" w:rsidRPr="00BB6C13">
        <w:rPr>
          <w:rFonts w:ascii="Palatino Linotype" w:eastAsia="Palatino Linotype" w:hAnsi="Palatino Linotype" w:cs="Palatino Linotype"/>
          <w:i/>
          <w:sz w:val="22"/>
          <w:szCs w:val="22"/>
        </w:rPr>
        <w:t xml:space="preserve">del periodo comprendido del primero de enero al siete de noviembre del año 2022, que </w:t>
      </w:r>
      <w:proofErr w:type="gramStart"/>
      <w:r w:rsidR="00E4335F" w:rsidRPr="00BB6C13">
        <w:rPr>
          <w:rFonts w:ascii="Palatino Linotype" w:eastAsia="Palatino Linotype" w:hAnsi="Palatino Linotype" w:cs="Palatino Linotype"/>
          <w:i/>
          <w:sz w:val="22"/>
          <w:szCs w:val="22"/>
        </w:rPr>
        <w:t>habían</w:t>
      </w:r>
      <w:proofErr w:type="gramEnd"/>
      <w:r w:rsidRPr="00BB6C13">
        <w:rPr>
          <w:rFonts w:ascii="Palatino Linotype" w:eastAsia="Palatino Linotype" w:hAnsi="Palatino Linotype" w:cs="Palatino Linotype"/>
          <w:i/>
          <w:sz w:val="22"/>
          <w:szCs w:val="22"/>
        </w:rPr>
        <w:t xml:space="preserve"> pendientes de p</w:t>
      </w:r>
      <w:r w:rsidR="00E4335F" w:rsidRPr="00BB6C13">
        <w:rPr>
          <w:rFonts w:ascii="Palatino Linotype" w:eastAsia="Palatino Linotype" w:hAnsi="Palatino Linotype" w:cs="Palatino Linotype"/>
          <w:i/>
          <w:sz w:val="22"/>
          <w:szCs w:val="22"/>
        </w:rPr>
        <w:t>asivos en el periodo 2019-2021.</w:t>
      </w:r>
    </w:p>
    <w:p w14:paraId="52B87304" w14:textId="77777777" w:rsidR="005B4D53" w:rsidRPr="00BB6C13" w:rsidRDefault="00415904">
      <w:pPr>
        <w:spacing w:before="240" w:after="240" w:line="360" w:lineRule="auto"/>
        <w:ind w:left="1080" w:right="40" w:hanging="360"/>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lastRenderedPageBreak/>
        <w:t>2.</w:t>
      </w:r>
      <w:r w:rsidRPr="00BB6C13">
        <w:rPr>
          <w:i/>
          <w:sz w:val="14"/>
          <w:szCs w:val="14"/>
        </w:rPr>
        <w:t xml:space="preserve">  </w:t>
      </w:r>
      <w:r w:rsidRPr="00BB6C13">
        <w:rPr>
          <w:i/>
          <w:sz w:val="14"/>
          <w:szCs w:val="14"/>
        </w:rPr>
        <w:tab/>
      </w:r>
      <w:r w:rsidRPr="00BB6C13">
        <w:rPr>
          <w:rFonts w:ascii="Palatino Linotype" w:eastAsia="Palatino Linotype" w:hAnsi="Palatino Linotype" w:cs="Palatino Linotype"/>
          <w:i/>
          <w:sz w:val="22"/>
          <w:szCs w:val="22"/>
        </w:rPr>
        <w:t>La documentación comprobatoria del compromiso del pago a los proveedores que quedaron pendientes de pasivos en el periodo 2019-2021.</w:t>
      </w:r>
    </w:p>
    <w:p w14:paraId="092140D1" w14:textId="77777777" w:rsidR="005B4D53" w:rsidRPr="00BB6C13" w:rsidRDefault="00415904">
      <w:pPr>
        <w:spacing w:before="240" w:after="240" w:line="360" w:lineRule="auto"/>
        <w:ind w:left="1080" w:right="40" w:hanging="360"/>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3.</w:t>
      </w:r>
      <w:r w:rsidRPr="00BB6C13">
        <w:rPr>
          <w:i/>
          <w:sz w:val="14"/>
          <w:szCs w:val="14"/>
        </w:rPr>
        <w:t xml:space="preserve">  </w:t>
      </w:r>
      <w:r w:rsidRPr="00BB6C13">
        <w:rPr>
          <w:i/>
          <w:sz w:val="14"/>
          <w:szCs w:val="14"/>
        </w:rPr>
        <w:tab/>
      </w:r>
      <w:r w:rsidRPr="00BB6C13">
        <w:rPr>
          <w:rFonts w:ascii="Palatino Linotype" w:eastAsia="Palatino Linotype" w:hAnsi="Palatino Linotype" w:cs="Palatino Linotype"/>
          <w:i/>
          <w:sz w:val="22"/>
          <w:szCs w:val="22"/>
        </w:rPr>
        <w:t>El monto que se le adeuda a los proveedores al siete de noviembre del año dos mil veintidós.</w:t>
      </w:r>
    </w:p>
    <w:p w14:paraId="5BC035AA" w14:textId="77777777" w:rsidR="005B4D53" w:rsidRPr="00BB6C13" w:rsidRDefault="00415904">
      <w:pPr>
        <w:spacing w:before="240" w:line="360" w:lineRule="auto"/>
        <w:ind w:left="560" w:right="40"/>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14:paraId="77D7AD3F" w14:textId="77777777" w:rsidR="005B4D53" w:rsidRPr="00BB6C13" w:rsidRDefault="00415904">
      <w:pPr>
        <w:spacing w:before="240" w:line="360" w:lineRule="auto"/>
        <w:ind w:left="560" w:right="40"/>
        <w:jc w:val="both"/>
        <w:rPr>
          <w:rFonts w:ascii="Palatino Linotype" w:eastAsia="Palatino Linotype" w:hAnsi="Palatino Linotype" w:cs="Palatino Linotype"/>
          <w:i/>
          <w:sz w:val="22"/>
          <w:szCs w:val="22"/>
        </w:rPr>
      </w:pPr>
      <w:r w:rsidRPr="00BB6C13">
        <w:rPr>
          <w:rFonts w:ascii="Palatino Linotype" w:eastAsia="Palatino Linotype" w:hAnsi="Palatino Linotype" w:cs="Palatino Linotype"/>
          <w:i/>
          <w:sz w:val="22"/>
          <w:szCs w:val="22"/>
        </w:rPr>
        <w:t xml:space="preserve">Para el caso de la información que se ordena en el numeral “1”, existan proveedores a los cuales aún no se les haya pagado el adeudo, bastará que así se lo haga saber al </w:t>
      </w:r>
      <w:r w:rsidRPr="00BB6C13">
        <w:rPr>
          <w:rFonts w:ascii="Palatino Linotype" w:eastAsia="Palatino Linotype" w:hAnsi="Palatino Linotype" w:cs="Palatino Linotype"/>
          <w:b/>
          <w:i/>
          <w:sz w:val="22"/>
          <w:szCs w:val="22"/>
        </w:rPr>
        <w:t>RECURRENTE</w:t>
      </w:r>
      <w:r w:rsidRPr="00BB6C13">
        <w:rPr>
          <w:rFonts w:ascii="Palatino Linotype" w:eastAsia="Palatino Linotype" w:hAnsi="Palatino Linotype" w:cs="Palatino Linotype"/>
          <w:i/>
          <w:sz w:val="22"/>
          <w:szCs w:val="22"/>
        </w:rPr>
        <w:t xml:space="preserve"> de manera fundada y motivada en términos de lo señalado por el segundo párrafo del artículo 19 de la Ley en la materia.</w:t>
      </w:r>
    </w:p>
    <w:p w14:paraId="281E38B5" w14:textId="77777777" w:rsidR="005B4D53" w:rsidRPr="00BB6C13" w:rsidRDefault="005B4D53">
      <w:pPr>
        <w:spacing w:line="360" w:lineRule="auto"/>
        <w:ind w:left="567"/>
        <w:jc w:val="both"/>
        <w:rPr>
          <w:rFonts w:ascii="Palatino Linotype" w:eastAsia="Palatino Linotype" w:hAnsi="Palatino Linotype" w:cs="Palatino Linotype"/>
          <w:b/>
          <w:i/>
          <w:sz w:val="22"/>
          <w:szCs w:val="22"/>
        </w:rPr>
      </w:pPr>
    </w:p>
    <w:p w14:paraId="2A72441C" w14:textId="77777777" w:rsidR="005B4D53" w:rsidRPr="00BB6C13" w:rsidRDefault="00415904">
      <w:pPr>
        <w:spacing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b/>
        </w:rPr>
        <w:t>Tercero. Notifíquese vía SAIMEX,</w:t>
      </w:r>
      <w:r w:rsidRPr="00BB6C13">
        <w:rPr>
          <w:rFonts w:ascii="Palatino Linotype" w:eastAsia="Palatino Linotype" w:hAnsi="Palatino Linotype" w:cs="Palatino Linotype"/>
          <w:b/>
          <w:i/>
        </w:rPr>
        <w:t xml:space="preserve"> </w:t>
      </w:r>
      <w:r w:rsidRPr="00BB6C13">
        <w:rPr>
          <w:rFonts w:ascii="Palatino Linotype" w:eastAsia="Palatino Linotype" w:hAnsi="Palatino Linotype" w:cs="Palatino Linotype"/>
        </w:rPr>
        <w:t xml:space="preserve">al </w:t>
      </w:r>
      <w:proofErr w:type="gramStart"/>
      <w:r w:rsidRPr="00BB6C13">
        <w:rPr>
          <w:rFonts w:ascii="Palatino Linotype" w:eastAsia="Palatino Linotype" w:hAnsi="Palatino Linotype" w:cs="Palatino Linotype"/>
        </w:rPr>
        <w:t>Responsable</w:t>
      </w:r>
      <w:proofErr w:type="gramEnd"/>
      <w:r w:rsidRPr="00BB6C13">
        <w:rPr>
          <w:rFonts w:ascii="Palatino Linotype" w:eastAsia="Palatino Linotype" w:hAnsi="Palatino Linotype" w:cs="Palatino Linotype"/>
        </w:rPr>
        <w:t xml:space="preserve"> de la Unidad de Transparencia del </w:t>
      </w:r>
      <w:r w:rsidRPr="00BB6C13">
        <w:rPr>
          <w:rFonts w:ascii="Palatino Linotype" w:eastAsia="Palatino Linotype" w:hAnsi="Palatino Linotype" w:cs="Palatino Linotype"/>
          <w:b/>
        </w:rPr>
        <w:t>SUJETO OBLIGADO</w:t>
      </w:r>
      <w:r w:rsidRPr="00BB6C13">
        <w:rPr>
          <w:rFonts w:ascii="Palatino Linotype" w:eastAsia="Palatino Linotype" w:hAnsi="Palatino Linotype" w:cs="Palatino Linotype"/>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7CAB9D2A" w14:textId="77777777" w:rsidR="005B4D53" w:rsidRPr="00BB6C13" w:rsidRDefault="005B4D53">
      <w:pPr>
        <w:spacing w:line="360" w:lineRule="auto"/>
        <w:jc w:val="both"/>
        <w:rPr>
          <w:rFonts w:ascii="Palatino Linotype" w:eastAsia="Palatino Linotype" w:hAnsi="Palatino Linotype" w:cs="Palatino Linotype"/>
        </w:rPr>
      </w:pPr>
    </w:p>
    <w:p w14:paraId="5EB960E6" w14:textId="77777777" w:rsidR="005B4D53" w:rsidRPr="00BB6C13" w:rsidRDefault="00415904">
      <w:pPr>
        <w:spacing w:after="240"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b/>
        </w:rPr>
        <w:t xml:space="preserve">Cuarto. </w:t>
      </w:r>
      <w:r w:rsidRPr="00BB6C13">
        <w:rPr>
          <w:rFonts w:ascii="Palatino Linotype" w:eastAsia="Palatino Linotype" w:hAnsi="Palatino Linotype" w:cs="Palatino Linotype"/>
        </w:rPr>
        <w:t xml:space="preserve">Notifíquese, vía </w:t>
      </w:r>
      <w:r w:rsidRPr="00BB6C13">
        <w:rPr>
          <w:rFonts w:ascii="Palatino Linotype" w:eastAsia="Palatino Linotype" w:hAnsi="Palatino Linotype" w:cs="Palatino Linotype"/>
          <w:b/>
        </w:rPr>
        <w:t>SAIMEX</w:t>
      </w:r>
      <w:r w:rsidRPr="00BB6C13">
        <w:rPr>
          <w:rFonts w:ascii="Palatino Linotype" w:eastAsia="Palatino Linotype" w:hAnsi="Palatino Linotype" w:cs="Palatino Linotype"/>
        </w:rPr>
        <w:t xml:space="preserve">, a la parte </w:t>
      </w:r>
      <w:r w:rsidRPr="00BB6C13">
        <w:rPr>
          <w:rFonts w:ascii="Palatino Linotype" w:eastAsia="Palatino Linotype" w:hAnsi="Palatino Linotype" w:cs="Palatino Linotype"/>
          <w:b/>
        </w:rPr>
        <w:t>RECURRENTE</w:t>
      </w:r>
      <w:r w:rsidRPr="00BB6C13">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w:t>
      </w:r>
      <w:r w:rsidRPr="00BB6C13">
        <w:rPr>
          <w:rFonts w:ascii="Palatino Linotype" w:eastAsia="Palatino Linotype" w:hAnsi="Palatino Linotype" w:cs="Palatino Linotype"/>
        </w:rPr>
        <w:lastRenderedPageBreak/>
        <w:t>en caso de que considere que le causa algún perjuicio podrá impugnarla vía Juicio de Amparo en los términos de las leyes aplicables.</w:t>
      </w:r>
    </w:p>
    <w:p w14:paraId="08C72F26" w14:textId="77777777" w:rsidR="005B4D53" w:rsidRPr="00BB6C13" w:rsidRDefault="00415904">
      <w:pPr>
        <w:spacing w:after="240"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b/>
        </w:rPr>
        <w:t>Quinto.</w:t>
      </w:r>
      <w:r w:rsidRPr="00BB6C13">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BB6C13">
        <w:rPr>
          <w:rFonts w:ascii="Palatino Linotype" w:eastAsia="Palatino Linotype" w:hAnsi="Palatino Linotype" w:cs="Palatino Linotype"/>
          <w:b/>
        </w:rPr>
        <w:t>SUJETO OBLIGADO</w:t>
      </w:r>
      <w:r w:rsidRPr="00BB6C13">
        <w:rPr>
          <w:rFonts w:ascii="Palatino Linotype" w:eastAsia="Palatino Linotype" w:hAnsi="Palatino Linotype" w:cs="Palatino Linotype"/>
        </w:rPr>
        <w:t xml:space="preserve"> de manera fundada y motivada, podrá solicitar una ampliación de plazo para el cumplimiento de la presente resolución.</w:t>
      </w:r>
    </w:p>
    <w:p w14:paraId="5C68853E" w14:textId="77777777" w:rsidR="005B4D53" w:rsidRPr="00BB6C13" w:rsidRDefault="005B4D53">
      <w:pPr>
        <w:spacing w:line="360" w:lineRule="auto"/>
        <w:jc w:val="both"/>
        <w:rPr>
          <w:color w:val="000000"/>
        </w:rPr>
      </w:pPr>
    </w:p>
    <w:p w14:paraId="30CC7D75" w14:textId="77777777" w:rsidR="005B4D53" w:rsidRDefault="00415904">
      <w:pPr>
        <w:spacing w:before="240" w:after="240" w:line="360" w:lineRule="auto"/>
        <w:jc w:val="both"/>
        <w:rPr>
          <w:rFonts w:ascii="Palatino Linotype" w:eastAsia="Palatino Linotype" w:hAnsi="Palatino Linotype" w:cs="Palatino Linotype"/>
        </w:rPr>
      </w:pPr>
      <w:r w:rsidRPr="00BB6C13">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VEINTINUEVE DE MARZO DE DOS MIL VEINTITRÉS, ANTE EL SECRETARIO TÉCNICO DEL PLENO ALEXIS TAPIA RAMÍREZ.</w:t>
      </w:r>
    </w:p>
    <w:p w14:paraId="2FF5B47E" w14:textId="77777777" w:rsidR="00BB6C13" w:rsidRDefault="00BB6C13">
      <w:pPr>
        <w:spacing w:before="240" w:after="240" w:line="360" w:lineRule="auto"/>
        <w:jc w:val="both"/>
        <w:rPr>
          <w:rFonts w:ascii="Palatino Linotype" w:eastAsia="Palatino Linotype" w:hAnsi="Palatino Linotype" w:cs="Palatino Linotype"/>
        </w:rPr>
      </w:pPr>
    </w:p>
    <w:p w14:paraId="001A0817" w14:textId="77777777" w:rsidR="00BB6C13" w:rsidRDefault="00BB6C13">
      <w:pPr>
        <w:spacing w:before="240" w:after="240" w:line="360" w:lineRule="auto"/>
        <w:jc w:val="both"/>
        <w:rPr>
          <w:rFonts w:ascii="Palatino Linotype" w:eastAsia="Palatino Linotype" w:hAnsi="Palatino Linotype" w:cs="Palatino Linotype"/>
        </w:rPr>
      </w:pPr>
    </w:p>
    <w:p w14:paraId="01B50452" w14:textId="77777777" w:rsidR="00BB6C13" w:rsidRDefault="00BB6C13">
      <w:pPr>
        <w:spacing w:before="240" w:after="240" w:line="360" w:lineRule="auto"/>
        <w:jc w:val="both"/>
        <w:rPr>
          <w:rFonts w:ascii="Palatino Linotype" w:eastAsia="Palatino Linotype" w:hAnsi="Palatino Linotype" w:cs="Palatino Linotype"/>
        </w:rPr>
      </w:pPr>
    </w:p>
    <w:p w14:paraId="1873667B" w14:textId="77777777" w:rsidR="00BB6C13" w:rsidRDefault="00BB6C13">
      <w:pPr>
        <w:spacing w:before="240" w:after="240" w:line="360" w:lineRule="auto"/>
        <w:jc w:val="both"/>
        <w:rPr>
          <w:rFonts w:ascii="Palatino Linotype" w:eastAsia="Palatino Linotype" w:hAnsi="Palatino Linotype" w:cs="Palatino Linotype"/>
        </w:rPr>
      </w:pPr>
    </w:p>
    <w:p w14:paraId="1E2F3060" w14:textId="77777777" w:rsidR="00BB6C13" w:rsidRDefault="00BB6C13">
      <w:pPr>
        <w:spacing w:before="240" w:after="240" w:line="360" w:lineRule="auto"/>
        <w:jc w:val="both"/>
        <w:rPr>
          <w:rFonts w:ascii="Palatino Linotype" w:eastAsia="Palatino Linotype" w:hAnsi="Palatino Linotype" w:cs="Palatino Linotype"/>
        </w:rPr>
      </w:pPr>
    </w:p>
    <w:p w14:paraId="135F9334" w14:textId="77777777" w:rsidR="00BB6C13" w:rsidRDefault="00BB6C13">
      <w:pPr>
        <w:spacing w:before="240" w:after="240" w:line="360" w:lineRule="auto"/>
        <w:jc w:val="both"/>
        <w:rPr>
          <w:rFonts w:ascii="Palatino Linotype" w:eastAsia="Palatino Linotype" w:hAnsi="Palatino Linotype" w:cs="Palatino Linotype"/>
        </w:rPr>
      </w:pPr>
    </w:p>
    <w:p w14:paraId="549EF630" w14:textId="77777777" w:rsidR="00BB6C13" w:rsidRDefault="00BB6C13">
      <w:pPr>
        <w:spacing w:before="240" w:after="240" w:line="360" w:lineRule="auto"/>
        <w:jc w:val="both"/>
        <w:rPr>
          <w:rFonts w:ascii="Palatino Linotype" w:eastAsia="Palatino Linotype" w:hAnsi="Palatino Linotype" w:cs="Palatino Linotype"/>
        </w:rPr>
      </w:pPr>
    </w:p>
    <w:p w14:paraId="71576BC9" w14:textId="77777777" w:rsidR="00BB6C13" w:rsidRDefault="00BB6C13">
      <w:pPr>
        <w:spacing w:before="240" w:after="240" w:line="360" w:lineRule="auto"/>
        <w:jc w:val="both"/>
        <w:rPr>
          <w:rFonts w:ascii="Palatino Linotype" w:eastAsia="Palatino Linotype" w:hAnsi="Palatino Linotype" w:cs="Palatino Linotype"/>
        </w:rPr>
      </w:pPr>
    </w:p>
    <w:p w14:paraId="41CEE62C" w14:textId="77777777" w:rsidR="00BB6C13" w:rsidRDefault="00BB6C13">
      <w:pPr>
        <w:spacing w:before="240" w:after="240" w:line="360" w:lineRule="auto"/>
        <w:jc w:val="both"/>
        <w:rPr>
          <w:rFonts w:ascii="Palatino Linotype" w:eastAsia="Palatino Linotype" w:hAnsi="Palatino Linotype" w:cs="Palatino Linotype"/>
        </w:rPr>
      </w:pPr>
    </w:p>
    <w:p w14:paraId="3960EC0B" w14:textId="77777777" w:rsidR="00BB6C13" w:rsidRDefault="00BB6C13">
      <w:pPr>
        <w:spacing w:before="240" w:after="240" w:line="360" w:lineRule="auto"/>
        <w:jc w:val="both"/>
        <w:rPr>
          <w:rFonts w:ascii="Palatino Linotype" w:eastAsia="Palatino Linotype" w:hAnsi="Palatino Linotype" w:cs="Palatino Linotype"/>
        </w:rPr>
      </w:pPr>
    </w:p>
    <w:p w14:paraId="564C3577" w14:textId="77777777" w:rsidR="00BB6C13" w:rsidRDefault="00BB6C13">
      <w:pPr>
        <w:spacing w:before="240" w:after="240" w:line="360" w:lineRule="auto"/>
        <w:jc w:val="both"/>
        <w:rPr>
          <w:rFonts w:ascii="Palatino Linotype" w:eastAsia="Palatino Linotype" w:hAnsi="Palatino Linotype" w:cs="Palatino Linotype"/>
        </w:rPr>
      </w:pPr>
    </w:p>
    <w:sectPr w:rsidR="00BB6C13">
      <w:headerReference w:type="default" r:id="rId19"/>
      <w:footerReference w:type="default" r:id="rId20"/>
      <w:headerReference w:type="first" r:id="rId21"/>
      <w:footerReference w:type="first" r:id="rId22"/>
      <w:pgSz w:w="12240" w:h="15840"/>
      <w:pgMar w:top="1985"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AA357" w14:textId="77777777" w:rsidR="00EC6476" w:rsidRDefault="00EC6476">
      <w:r>
        <w:separator/>
      </w:r>
    </w:p>
  </w:endnote>
  <w:endnote w:type="continuationSeparator" w:id="0">
    <w:p w14:paraId="2D100431" w14:textId="77777777" w:rsidR="00EC6476" w:rsidRDefault="00EC6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A2B35" w14:textId="77777777" w:rsidR="005B4D53" w:rsidRDefault="0041590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F519A">
      <w:rPr>
        <w:rFonts w:ascii="Palatino Linotype" w:eastAsia="Palatino Linotype" w:hAnsi="Palatino Linotype" w:cs="Palatino Linotype"/>
        <w:b/>
        <w:noProof/>
        <w:color w:val="000000"/>
        <w:sz w:val="20"/>
        <w:szCs w:val="20"/>
      </w:rPr>
      <w:t>47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F519A">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p>
  <w:p w14:paraId="0B885AA9" w14:textId="77777777" w:rsidR="005B4D53" w:rsidRDefault="005B4D5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E82EA" w14:textId="77777777" w:rsidR="005B4D53" w:rsidRDefault="0041590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F519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F519A">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p>
  <w:p w14:paraId="0B8104C8" w14:textId="77777777" w:rsidR="005B4D53" w:rsidRDefault="005B4D5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6F096" w14:textId="77777777" w:rsidR="00EC6476" w:rsidRDefault="00EC6476">
      <w:r>
        <w:separator/>
      </w:r>
    </w:p>
  </w:footnote>
  <w:footnote w:type="continuationSeparator" w:id="0">
    <w:p w14:paraId="4D3FFABC" w14:textId="77777777" w:rsidR="00EC6476" w:rsidRDefault="00EC64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5F2C3" w14:textId="77777777" w:rsidR="005B4D53" w:rsidRDefault="0041590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BC16520" wp14:editId="455180CC">
          <wp:simplePos x="0" y="0"/>
          <wp:positionH relativeFrom="column">
            <wp:posOffset>-1080131</wp:posOffset>
          </wp:positionH>
          <wp:positionV relativeFrom="paragraph">
            <wp:posOffset>-488311</wp:posOffset>
          </wp:positionV>
          <wp:extent cx="7809865" cy="10165715"/>
          <wp:effectExtent l="0" t="0" r="0" b="0"/>
          <wp:wrapNone/>
          <wp:docPr id="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9"/>
      <w:tblW w:w="5953" w:type="dxa"/>
      <w:tblInd w:w="3261" w:type="dxa"/>
      <w:tblLayout w:type="fixed"/>
      <w:tblLook w:val="0400" w:firstRow="0" w:lastRow="0" w:firstColumn="0" w:lastColumn="0" w:noHBand="0" w:noVBand="1"/>
    </w:tblPr>
    <w:tblGrid>
      <w:gridCol w:w="2489"/>
      <w:gridCol w:w="3464"/>
    </w:tblGrid>
    <w:tr w:rsidR="005B4D53" w14:paraId="28043C8E" w14:textId="77777777">
      <w:tc>
        <w:tcPr>
          <w:tcW w:w="2489" w:type="dxa"/>
          <w:shd w:val="clear" w:color="auto" w:fill="auto"/>
        </w:tcPr>
        <w:p w14:paraId="108ED9B1" w14:textId="77777777" w:rsidR="005B4D53" w:rsidRDefault="0041590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53420D47" w14:textId="77777777" w:rsidR="005B4D53" w:rsidRDefault="0041590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17004/INFOEM/IP/RR/2022</w:t>
          </w:r>
        </w:p>
      </w:tc>
    </w:tr>
    <w:tr w:rsidR="005B4D53" w14:paraId="0D039CC9" w14:textId="77777777">
      <w:trPr>
        <w:trHeight w:val="228"/>
      </w:trPr>
      <w:tc>
        <w:tcPr>
          <w:tcW w:w="2489" w:type="dxa"/>
          <w:shd w:val="clear" w:color="auto" w:fill="auto"/>
          <w:vAlign w:val="center"/>
        </w:tcPr>
        <w:p w14:paraId="4593CC4F" w14:textId="77777777" w:rsidR="005B4D53" w:rsidRDefault="0041590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5211B96E" w14:textId="77777777" w:rsidR="005B4D53" w:rsidRDefault="00415904">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5B4D53" w14:paraId="76314A44" w14:textId="77777777">
      <w:tc>
        <w:tcPr>
          <w:tcW w:w="2489" w:type="dxa"/>
          <w:shd w:val="clear" w:color="auto" w:fill="auto"/>
          <w:vAlign w:val="center"/>
        </w:tcPr>
        <w:p w14:paraId="5EA28D1B" w14:textId="77777777" w:rsidR="005B4D53" w:rsidRDefault="00415904">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1D0C2698" w14:textId="77777777" w:rsidR="005B4D53" w:rsidRDefault="0041590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BFB039E" w14:textId="77777777" w:rsidR="005B4D53" w:rsidRDefault="0041590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25C3D" w14:textId="77777777" w:rsidR="005B4D53" w:rsidRDefault="005B4D5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8"/>
      <w:tblW w:w="5670" w:type="dxa"/>
      <w:tblInd w:w="3261" w:type="dxa"/>
      <w:tblLayout w:type="fixed"/>
      <w:tblLook w:val="0400" w:firstRow="0" w:lastRow="0" w:firstColumn="0" w:lastColumn="0" w:noHBand="0" w:noVBand="1"/>
    </w:tblPr>
    <w:tblGrid>
      <w:gridCol w:w="2551"/>
      <w:gridCol w:w="3119"/>
    </w:tblGrid>
    <w:tr w:rsidR="005B4D53" w14:paraId="2A9BB63D" w14:textId="77777777">
      <w:tc>
        <w:tcPr>
          <w:tcW w:w="2551" w:type="dxa"/>
          <w:shd w:val="clear" w:color="auto" w:fill="auto"/>
          <w:vAlign w:val="center"/>
        </w:tcPr>
        <w:p w14:paraId="0D19844D" w14:textId="77777777" w:rsidR="005B4D53" w:rsidRDefault="0041590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26F5466E" w14:textId="77777777" w:rsidR="005B4D53" w:rsidRDefault="00415904">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17004/INFOEM/IP/RR/2022</w:t>
          </w:r>
        </w:p>
      </w:tc>
    </w:tr>
    <w:tr w:rsidR="005B4D53" w14:paraId="053281E8" w14:textId="77777777">
      <w:trPr>
        <w:trHeight w:val="130"/>
      </w:trPr>
      <w:tc>
        <w:tcPr>
          <w:tcW w:w="2551" w:type="dxa"/>
          <w:shd w:val="clear" w:color="auto" w:fill="auto"/>
          <w:vAlign w:val="center"/>
        </w:tcPr>
        <w:p w14:paraId="32AB188E" w14:textId="77777777" w:rsidR="005B4D53" w:rsidRDefault="0041590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68D9C39E" w14:textId="7B7606AE" w:rsidR="005B4D53" w:rsidRDefault="008C0D5D">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 XXXX</w:t>
          </w:r>
        </w:p>
      </w:tc>
    </w:tr>
    <w:tr w:rsidR="005B4D53" w14:paraId="73F4DB61" w14:textId="77777777">
      <w:trPr>
        <w:trHeight w:val="228"/>
      </w:trPr>
      <w:tc>
        <w:tcPr>
          <w:tcW w:w="2551" w:type="dxa"/>
          <w:shd w:val="clear" w:color="auto" w:fill="auto"/>
          <w:vAlign w:val="center"/>
        </w:tcPr>
        <w:p w14:paraId="7DAE5E45" w14:textId="77777777" w:rsidR="005B4D53" w:rsidRDefault="0041590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256377BA" w14:textId="77777777" w:rsidR="005B4D53" w:rsidRDefault="00415904">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5B4D53" w14:paraId="09E265EE" w14:textId="77777777">
      <w:tc>
        <w:tcPr>
          <w:tcW w:w="2551" w:type="dxa"/>
          <w:shd w:val="clear" w:color="auto" w:fill="auto"/>
          <w:vAlign w:val="center"/>
        </w:tcPr>
        <w:p w14:paraId="13911D04" w14:textId="77777777" w:rsidR="005B4D53" w:rsidRDefault="0041590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4112D0D6" w14:textId="77777777" w:rsidR="005B4D53" w:rsidRDefault="00415904">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D6D1A2D" w14:textId="77777777" w:rsidR="005B4D53" w:rsidRDefault="00415904">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62C6FBD5" wp14:editId="06B7FF89">
          <wp:simplePos x="0" y="0"/>
          <wp:positionH relativeFrom="column">
            <wp:posOffset>-1089656</wp:posOffset>
          </wp:positionH>
          <wp:positionV relativeFrom="paragraph">
            <wp:posOffset>-1169666</wp:posOffset>
          </wp:positionV>
          <wp:extent cx="7809865" cy="10165715"/>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0D4604"/>
    <w:multiLevelType w:val="multilevel"/>
    <w:tmpl w:val="9D4A9EEE"/>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BD961B0"/>
    <w:multiLevelType w:val="multilevel"/>
    <w:tmpl w:val="CB2E1E2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3FA008E"/>
    <w:multiLevelType w:val="multilevel"/>
    <w:tmpl w:val="FA4617F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D53"/>
    <w:rsid w:val="00131322"/>
    <w:rsid w:val="003C7D99"/>
    <w:rsid w:val="003F3169"/>
    <w:rsid w:val="00415904"/>
    <w:rsid w:val="005B4D53"/>
    <w:rsid w:val="008C0D5D"/>
    <w:rsid w:val="00BB6C13"/>
    <w:rsid w:val="00BC0E2D"/>
    <w:rsid w:val="00CF519A"/>
    <w:rsid w:val="00E04016"/>
    <w:rsid w:val="00E4335F"/>
    <w:rsid w:val="00EC64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4C155"/>
  <w15:docId w15:val="{0215B845-D8B4-44BD-B872-3DA012678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Fundamentos,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Fundamentos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643274.page"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omawww.sat.gob.mx/tramitesyservicios/Paginas/documentos/Anexo_20_Guia_de_llenado_CFDI.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665401.pag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saimex.org.mx/saimex/solicitud/downloadAttach/1649286.p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l1lx5w2EgGM4Wr7fctbynea1Bjw==">AMUW2mUqUNpyyiKEn4ND+sE/m5xBvVAtGvo/sm5rXE0UTz7JMXXF8RrBbXYbuOdTHw3f3tILJ9UDt7rKwqbeUILQdaijNvCaggYvZxQGgWsBMLXwviWe7W6XoudB0K3sERcTnCInxduY0SqueTvz55jLuyJ6Og6OkxIRtpD4P1w3T/YxmR3UzgY=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11243</Words>
  <Characters>61837</Characters>
  <Application>Microsoft Office Word</Application>
  <DocSecurity>0</DocSecurity>
  <Lines>515</Lines>
  <Paragraphs>145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2023-03-31T16:54:00Z</cp:lastPrinted>
  <dcterms:created xsi:type="dcterms:W3CDTF">2023-04-11T04:56:00Z</dcterms:created>
  <dcterms:modified xsi:type="dcterms:W3CDTF">2023-04-11T04:56:00Z</dcterms:modified>
</cp:coreProperties>
</file>